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7D06" w14:textId="5EF669A0" w:rsidR="00697632" w:rsidRDefault="00697632" w:rsidP="00F55823">
      <w:pPr>
        <w:rPr>
          <w:rFonts w:cs="Calibri"/>
        </w:rPr>
      </w:pPr>
      <w:bookmarkStart w:id="0" w:name="_Toc188321269"/>
      <w:bookmarkStart w:id="1" w:name="_Toc188361211"/>
      <w:r w:rsidRPr="00497554">
        <w:rPr>
          <w:rFonts w:cs="Calibri"/>
        </w:rPr>
        <w:t xml:space="preserve"> </w:t>
      </w:r>
    </w:p>
    <w:p w14:paraId="51C6701A" w14:textId="77663E9C" w:rsidR="00B60939" w:rsidRPr="0098262F" w:rsidRDefault="00FB1C58" w:rsidP="00D5566B">
      <w:pPr>
        <w:pStyle w:val="1-MainHeading"/>
      </w:pPr>
      <w:r w:rsidRPr="7AF51647">
        <w:t>5.18</w:t>
      </w:r>
      <w:r>
        <w:tab/>
      </w:r>
      <w:r w:rsidR="00233D31" w:rsidRPr="7AF51647">
        <w:t>TORIPALIMAB</w:t>
      </w:r>
      <w:r w:rsidR="00163F66" w:rsidRPr="7AF51647">
        <w:t>,</w:t>
      </w:r>
      <w:r>
        <w:br/>
      </w:r>
      <w:r w:rsidR="00D5566B" w:rsidRPr="7AF51647">
        <w:t>Solution concentrate for I.V. infusion</w:t>
      </w:r>
      <w:r w:rsidR="002401DB">
        <w:t xml:space="preserve"> </w:t>
      </w:r>
      <w:r w:rsidR="00233D31" w:rsidRPr="7AF51647">
        <w:t>240 mg in 6 mL (40 mg per mL)</w:t>
      </w:r>
      <w:r w:rsidR="00163F66" w:rsidRPr="7AF51647">
        <w:t>,</w:t>
      </w:r>
      <w:r>
        <w:br/>
      </w:r>
      <w:r w:rsidR="00233D31" w:rsidRPr="7AF51647">
        <w:t>Zytorvi</w:t>
      </w:r>
      <w:r w:rsidR="00B60939" w:rsidRPr="7AF51647">
        <w:rPr>
          <w:vertAlign w:val="superscript"/>
        </w:rPr>
        <w:t>®</w:t>
      </w:r>
      <w:r w:rsidR="004A6040" w:rsidRPr="7AF51647">
        <w:t>,</w:t>
      </w:r>
      <w:r>
        <w:br/>
      </w:r>
      <w:r w:rsidR="00D5566B" w:rsidRPr="7AF51647">
        <w:t>D</w:t>
      </w:r>
      <w:r w:rsidR="00674E59" w:rsidRPr="7AF51647">
        <w:t>r</w:t>
      </w:r>
      <w:r w:rsidR="00D5566B" w:rsidRPr="7AF51647">
        <w:t xml:space="preserve"> R</w:t>
      </w:r>
      <w:r w:rsidR="00674E59" w:rsidRPr="7AF51647">
        <w:t>eddy's</w:t>
      </w:r>
      <w:r w:rsidR="00D5566B" w:rsidRPr="7AF51647">
        <w:t xml:space="preserve"> L</w:t>
      </w:r>
      <w:r w:rsidR="00674E59" w:rsidRPr="7AF51647">
        <w:t>aboratories</w:t>
      </w:r>
      <w:r w:rsidR="00D5566B" w:rsidRPr="7AF51647">
        <w:t xml:space="preserve"> A</w:t>
      </w:r>
      <w:r w:rsidR="00674E59" w:rsidRPr="7AF51647">
        <w:t>ustralia</w:t>
      </w:r>
      <w:r w:rsidR="00D5566B" w:rsidRPr="7AF51647">
        <w:t xml:space="preserve"> P</w:t>
      </w:r>
      <w:r w:rsidR="00674E59" w:rsidRPr="7AF51647">
        <w:t>ty</w:t>
      </w:r>
      <w:r w:rsidR="00D5566B" w:rsidRPr="7AF51647">
        <w:t xml:space="preserve"> L</w:t>
      </w:r>
      <w:r w:rsidR="00674E59" w:rsidRPr="7AF51647">
        <w:t>td</w:t>
      </w:r>
      <w:bookmarkEnd w:id="0"/>
      <w:bookmarkEnd w:id="1"/>
      <w:r w:rsidR="00F73E08" w:rsidRPr="7AF51647">
        <w:t xml:space="preserve"> </w:t>
      </w:r>
    </w:p>
    <w:p w14:paraId="11C00795" w14:textId="3DFB6D23" w:rsidR="00B50DB8" w:rsidRPr="0098262F" w:rsidRDefault="00B50DB8" w:rsidP="004A6040">
      <w:pPr>
        <w:pStyle w:val="2-SectionHeading"/>
      </w:pPr>
      <w:bookmarkStart w:id="2" w:name="_Toc188361213"/>
      <w:r w:rsidRPr="00A1137A">
        <w:t xml:space="preserve">Purpose of </w:t>
      </w:r>
      <w:r w:rsidR="00CD7193" w:rsidRPr="0098262F">
        <w:t>s</w:t>
      </w:r>
      <w:r w:rsidR="00BB3A45" w:rsidRPr="0098262F">
        <w:t>ubmission</w:t>
      </w:r>
      <w:bookmarkEnd w:id="2"/>
    </w:p>
    <w:p w14:paraId="19414AA1" w14:textId="55A61C18" w:rsidR="002C2775" w:rsidRPr="0098262F" w:rsidRDefault="007170DA">
      <w:pPr>
        <w:pStyle w:val="3-BodyText"/>
      </w:pPr>
      <w:r w:rsidRPr="0098262F">
        <w:t xml:space="preserve">The </w:t>
      </w:r>
      <w:r w:rsidR="00F73E08" w:rsidRPr="00EA0DB3">
        <w:t xml:space="preserve">Category </w:t>
      </w:r>
      <w:r w:rsidR="00E967AC">
        <w:t>2</w:t>
      </w:r>
      <w:r w:rsidR="001321E0" w:rsidRPr="00EA0DB3">
        <w:t xml:space="preserve"> </w:t>
      </w:r>
      <w:r w:rsidRPr="00EA0DB3">
        <w:t>submission</w:t>
      </w:r>
      <w:r w:rsidRPr="0098262F">
        <w:t xml:space="preserve"> requested </w:t>
      </w:r>
      <w:r w:rsidR="001321E0">
        <w:t>a Section 100 (Efficient Funding of Chemotherapy Program) Authority Required (STREAMLINED) listing for the treatment of recurrent or metastatic nasopharyngeal carcinoma</w:t>
      </w:r>
      <w:r w:rsidR="00671B85">
        <w:t xml:space="preserve"> (RM-NPC)</w:t>
      </w:r>
      <w:r w:rsidR="001321E0">
        <w:t>.</w:t>
      </w:r>
    </w:p>
    <w:p w14:paraId="150A311E" w14:textId="5DC97242" w:rsidR="00893295" w:rsidRPr="00A83DE1" w:rsidRDefault="005750C5" w:rsidP="7B7B42C7">
      <w:pPr>
        <w:pStyle w:val="3-BodyText"/>
        <w:rPr>
          <w:iCs/>
        </w:rPr>
      </w:pPr>
      <w:r>
        <w:t xml:space="preserve">Listing was requested on the basis of a cost-effectiveness analysis versus </w:t>
      </w:r>
      <w:r w:rsidR="004814EE">
        <w:t xml:space="preserve">standard of care, defined as </w:t>
      </w:r>
      <w:r w:rsidR="005904DD">
        <w:t>a platinum-containing chemotherapy doublet, specifically, cisplatin and gemcitabine (Cis+Gem)</w:t>
      </w:r>
      <w:r>
        <w:t xml:space="preserve">. </w:t>
      </w:r>
      <w:r w:rsidR="005904DD" w:rsidRPr="00A83DE1">
        <w:rPr>
          <w:iCs/>
        </w:rPr>
        <w:t>The submission presented a cost-effectiveness analysis for first-line (1L) treatment of RM-NPC</w:t>
      </w:r>
      <w:r w:rsidR="6E50459F" w:rsidRPr="00A83DE1">
        <w:rPr>
          <w:iCs/>
        </w:rPr>
        <w:t>, only</w:t>
      </w:r>
      <w:r w:rsidR="005904DD" w:rsidRPr="00A83DE1">
        <w:rPr>
          <w:iCs/>
        </w:rPr>
        <w:t>; no economic evaluation for the second-line (2L) treatment of RM-NPC was presented.</w:t>
      </w:r>
    </w:p>
    <w:p w14:paraId="4E9FBCB5" w14:textId="430B151B" w:rsidR="00C2778B" w:rsidRPr="0098262F" w:rsidRDefault="00C2778B" w:rsidP="00893295">
      <w:pPr>
        <w:pStyle w:val="3-BodyText"/>
        <w:numPr>
          <w:ilvl w:val="0"/>
          <w:numId w:val="0"/>
        </w:numPr>
        <w:ind w:left="720"/>
      </w:pPr>
    </w:p>
    <w:p w14:paraId="3718DE61" w14:textId="5D0EDC4B" w:rsidR="008B1757" w:rsidRDefault="00696EF9" w:rsidP="004A6040">
      <w:pPr>
        <w:pStyle w:val="TableFigureHeading"/>
        <w:rPr>
          <w:rStyle w:val="CommentReference"/>
          <w:b/>
          <w:szCs w:val="24"/>
        </w:rPr>
      </w:pPr>
      <w:r w:rsidRPr="0098262F">
        <w:t xml:space="preserve">Table </w:t>
      </w:r>
      <w:r w:rsidR="000B117D">
        <w:fldChar w:fldCharType="begin"/>
      </w:r>
      <w:r w:rsidR="000B117D">
        <w:instrText xml:space="preserve"> SEQ Table \* ARABIC </w:instrText>
      </w:r>
      <w:r w:rsidR="000B117D">
        <w:fldChar w:fldCharType="separate"/>
      </w:r>
      <w:r w:rsidR="002C005D">
        <w:rPr>
          <w:noProof/>
        </w:rPr>
        <w:t>1</w:t>
      </w:r>
      <w:r w:rsidR="000B117D">
        <w:rPr>
          <w:noProof/>
        </w:rPr>
        <w:fldChar w:fldCharType="end"/>
      </w:r>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Style w:val="TableGrid"/>
        <w:tblW w:w="0" w:type="auto"/>
        <w:tblLook w:val="04A0" w:firstRow="1" w:lastRow="0" w:firstColumn="1" w:lastColumn="0" w:noHBand="0" w:noVBand="1"/>
      </w:tblPr>
      <w:tblGrid>
        <w:gridCol w:w="1696"/>
        <w:gridCol w:w="7321"/>
      </w:tblGrid>
      <w:tr w:rsidR="00247CB1" w14:paraId="1678617B" w14:textId="77777777" w:rsidTr="7AF51647">
        <w:trPr>
          <w:trHeight w:val="70"/>
        </w:trPr>
        <w:tc>
          <w:tcPr>
            <w:tcW w:w="1696" w:type="dxa"/>
          </w:tcPr>
          <w:p w14:paraId="60AC837A" w14:textId="4DF779B8" w:rsidR="00247CB1" w:rsidRDefault="00247CB1" w:rsidP="00247CB1">
            <w:pPr>
              <w:pStyle w:val="TableFigureHeading"/>
              <w:rPr>
                <w:rStyle w:val="CommentReference"/>
                <w:b/>
                <w:szCs w:val="24"/>
              </w:rPr>
            </w:pPr>
            <w:r w:rsidRPr="0098262F">
              <w:t>Component</w:t>
            </w:r>
          </w:p>
        </w:tc>
        <w:tc>
          <w:tcPr>
            <w:tcW w:w="7321" w:type="dxa"/>
            <w:vAlign w:val="center"/>
          </w:tcPr>
          <w:p w14:paraId="553CBF01" w14:textId="2A0576F7" w:rsidR="00247CB1" w:rsidRDefault="00247CB1" w:rsidP="00247CB1">
            <w:pPr>
              <w:pStyle w:val="TableFigureHeading"/>
              <w:jc w:val="center"/>
              <w:rPr>
                <w:rStyle w:val="CommentReference"/>
                <w:b/>
                <w:szCs w:val="24"/>
              </w:rPr>
            </w:pPr>
            <w:r w:rsidRPr="0098262F">
              <w:t>Description</w:t>
            </w:r>
          </w:p>
        </w:tc>
      </w:tr>
      <w:tr w:rsidR="00247CB1" w14:paraId="3C0896F4" w14:textId="77777777" w:rsidTr="7AF51647">
        <w:tc>
          <w:tcPr>
            <w:tcW w:w="1696" w:type="dxa"/>
            <w:vAlign w:val="center"/>
          </w:tcPr>
          <w:p w14:paraId="2340768A" w14:textId="6F1E0347" w:rsidR="00247CB1" w:rsidRPr="00247CB1" w:rsidRDefault="00247CB1" w:rsidP="00247CB1">
            <w:pPr>
              <w:pStyle w:val="TableFigureHeading"/>
              <w:rPr>
                <w:rStyle w:val="CommentReference"/>
                <w:bCs w:val="0"/>
                <w:szCs w:val="24"/>
              </w:rPr>
            </w:pPr>
            <w:r w:rsidRPr="00247CB1">
              <w:rPr>
                <w:b w:val="0"/>
                <w:bCs w:val="0"/>
              </w:rPr>
              <w:t>Population</w:t>
            </w:r>
          </w:p>
        </w:tc>
        <w:tc>
          <w:tcPr>
            <w:tcW w:w="7321" w:type="dxa"/>
            <w:vAlign w:val="center"/>
          </w:tcPr>
          <w:p w14:paraId="6D70BAB1" w14:textId="77777777" w:rsidR="00247CB1" w:rsidRPr="00247CB1" w:rsidRDefault="00247CB1" w:rsidP="00A90F7C">
            <w:pPr>
              <w:pStyle w:val="TableText0"/>
              <w:framePr w:wrap="around"/>
            </w:pPr>
            <w:r w:rsidRPr="00247CB1">
              <w:t>First-line treatment of adults with metastatic or with recurrent, locally advanced NPC.</w:t>
            </w:r>
          </w:p>
          <w:p w14:paraId="7B105137" w14:textId="18B71AE7" w:rsidR="00247CB1" w:rsidRPr="00247CB1" w:rsidRDefault="00247CB1" w:rsidP="00247CB1">
            <w:pPr>
              <w:pStyle w:val="TableFigureHeading"/>
              <w:rPr>
                <w:rStyle w:val="CommentReference"/>
                <w:bCs w:val="0"/>
                <w:szCs w:val="24"/>
              </w:rPr>
            </w:pPr>
            <w:r w:rsidRPr="00247CB1">
              <w:rPr>
                <w:b w:val="0"/>
                <w:bCs w:val="0"/>
              </w:rPr>
              <w:t>Second-line treatment of adults with recurrent unresectable or metastatic NPC with disease progression on or after a platinum-containing chemotherapy.</w:t>
            </w:r>
          </w:p>
        </w:tc>
      </w:tr>
      <w:tr w:rsidR="00247CB1" w14:paraId="079C1EAA" w14:textId="77777777" w:rsidTr="7AF51647">
        <w:tc>
          <w:tcPr>
            <w:tcW w:w="1696" w:type="dxa"/>
            <w:vAlign w:val="center"/>
          </w:tcPr>
          <w:p w14:paraId="3093DEBE" w14:textId="438FDA79" w:rsidR="00247CB1" w:rsidRPr="00247CB1" w:rsidRDefault="00247CB1" w:rsidP="00247CB1">
            <w:pPr>
              <w:pStyle w:val="TableFigureHeading"/>
              <w:rPr>
                <w:rStyle w:val="CommentReference"/>
                <w:bCs w:val="0"/>
                <w:szCs w:val="24"/>
              </w:rPr>
            </w:pPr>
            <w:r w:rsidRPr="00247CB1">
              <w:rPr>
                <w:b w:val="0"/>
                <w:bCs w:val="0"/>
              </w:rPr>
              <w:t>Intervention</w:t>
            </w:r>
          </w:p>
        </w:tc>
        <w:tc>
          <w:tcPr>
            <w:tcW w:w="7321" w:type="dxa"/>
            <w:vAlign w:val="center"/>
          </w:tcPr>
          <w:p w14:paraId="00BD2389" w14:textId="210B3677" w:rsidR="00247CB1" w:rsidRPr="00247CB1" w:rsidRDefault="00247CB1" w:rsidP="00247CB1">
            <w:pPr>
              <w:pStyle w:val="Tabletext"/>
              <w:keepNext/>
              <w:keepLines/>
              <w:spacing w:before="20" w:after="20"/>
            </w:pPr>
            <w:r w:rsidRPr="00247CB1">
              <w:t>First-line treatment: Toripalimab 240 mg once every three weeks, intravenous infusion administration in combination with gemcitabine (1000</w:t>
            </w:r>
            <w:r w:rsidR="003C6893">
              <w:t xml:space="preserve"> </w:t>
            </w:r>
            <w:r w:rsidRPr="00247CB1">
              <w:t>mg/m</w:t>
            </w:r>
            <w:r w:rsidRPr="00247CB1">
              <w:rPr>
                <w:vertAlign w:val="superscript"/>
              </w:rPr>
              <w:t>2</w:t>
            </w:r>
            <w:r w:rsidRPr="00247CB1">
              <w:t>) and cisplatin (80 mg/m</w:t>
            </w:r>
            <w:r w:rsidRPr="00247CB1">
              <w:rPr>
                <w:vertAlign w:val="superscript"/>
              </w:rPr>
              <w:t>2</w:t>
            </w:r>
            <w:r w:rsidRPr="00247CB1">
              <w:t xml:space="preserve">) </w:t>
            </w:r>
            <w:r w:rsidRPr="00A83DE1">
              <w:rPr>
                <w:iCs/>
              </w:rPr>
              <w:t>for six cycles, followed by toripalimab 240 mg monotherapy every three weeks for up to 24 months</w:t>
            </w:r>
            <w:r w:rsidRPr="00247CB1">
              <w:t>.</w:t>
            </w:r>
          </w:p>
          <w:p w14:paraId="33D4D92B" w14:textId="7308EE7F" w:rsidR="00247CB1" w:rsidRPr="00247CB1" w:rsidRDefault="00247CB1" w:rsidP="00247CB1">
            <w:pPr>
              <w:pStyle w:val="TableFigureHeading"/>
              <w:rPr>
                <w:rStyle w:val="CommentReference"/>
                <w:bCs w:val="0"/>
                <w:szCs w:val="24"/>
              </w:rPr>
            </w:pPr>
            <w:r w:rsidRPr="00247CB1">
              <w:rPr>
                <w:b w:val="0"/>
                <w:bCs w:val="0"/>
              </w:rPr>
              <w:t>Second-line treatment: Toripalimab monotherapy 3 mg/kg once every two weeks for a treatment cycle of 4 weeks, intravenous infusion administration.</w:t>
            </w:r>
          </w:p>
        </w:tc>
      </w:tr>
      <w:tr w:rsidR="00247CB1" w14:paraId="6FB08909" w14:textId="77777777" w:rsidTr="7AF51647">
        <w:tc>
          <w:tcPr>
            <w:tcW w:w="1696" w:type="dxa"/>
            <w:vAlign w:val="center"/>
          </w:tcPr>
          <w:p w14:paraId="0B5123A5" w14:textId="38B27307" w:rsidR="00247CB1" w:rsidRPr="00247CB1" w:rsidRDefault="00247CB1" w:rsidP="00247CB1">
            <w:pPr>
              <w:pStyle w:val="TableFigureHeading"/>
              <w:rPr>
                <w:rStyle w:val="CommentReference"/>
                <w:bCs w:val="0"/>
                <w:szCs w:val="24"/>
              </w:rPr>
            </w:pPr>
            <w:r w:rsidRPr="00247CB1">
              <w:rPr>
                <w:b w:val="0"/>
                <w:bCs w:val="0"/>
              </w:rPr>
              <w:t>Comparator</w:t>
            </w:r>
          </w:p>
        </w:tc>
        <w:tc>
          <w:tcPr>
            <w:tcW w:w="7321" w:type="dxa"/>
            <w:vAlign w:val="center"/>
          </w:tcPr>
          <w:p w14:paraId="30F3A059" w14:textId="1E59B3E8" w:rsidR="00247CB1" w:rsidRPr="00247CB1" w:rsidRDefault="00247CB1" w:rsidP="00247CB1">
            <w:pPr>
              <w:pStyle w:val="Tabletext"/>
              <w:keepNext/>
              <w:keepLines/>
              <w:spacing w:before="20" w:after="20"/>
            </w:pPr>
            <w:r w:rsidRPr="00247CB1">
              <w:t>First-line treatment: Platinum-containing chemotherapy doublet (cisplatin-gemcitabine; SoC)</w:t>
            </w:r>
            <w:r w:rsidR="00C0556C">
              <w:t>.</w:t>
            </w:r>
          </w:p>
          <w:p w14:paraId="42D13A26" w14:textId="0D5B30C8" w:rsidR="00247CB1" w:rsidRPr="00247CB1" w:rsidRDefault="00247CB1" w:rsidP="00247CB1">
            <w:pPr>
              <w:pStyle w:val="TableFigureHeading"/>
              <w:rPr>
                <w:rStyle w:val="CommentReference"/>
                <w:bCs w:val="0"/>
                <w:szCs w:val="24"/>
              </w:rPr>
            </w:pPr>
            <w:r w:rsidRPr="00247CB1">
              <w:rPr>
                <w:b w:val="0"/>
                <w:bCs w:val="0"/>
              </w:rPr>
              <w:t>Second-line treatment: Other chemotherapy regimens.</w:t>
            </w:r>
          </w:p>
        </w:tc>
      </w:tr>
      <w:tr w:rsidR="00247CB1" w14:paraId="1FD0EFEF" w14:textId="77777777" w:rsidTr="7AF51647">
        <w:tc>
          <w:tcPr>
            <w:tcW w:w="1696" w:type="dxa"/>
            <w:vAlign w:val="center"/>
          </w:tcPr>
          <w:p w14:paraId="6286182D" w14:textId="7E6B0FD7" w:rsidR="00247CB1" w:rsidRPr="00247CB1" w:rsidRDefault="00247CB1" w:rsidP="00247CB1">
            <w:pPr>
              <w:pStyle w:val="TableFigureHeading"/>
              <w:rPr>
                <w:rStyle w:val="CommentReference"/>
                <w:bCs w:val="0"/>
                <w:szCs w:val="24"/>
              </w:rPr>
            </w:pPr>
            <w:r w:rsidRPr="00247CB1">
              <w:rPr>
                <w:b w:val="0"/>
                <w:bCs w:val="0"/>
              </w:rPr>
              <w:t>Outcomes</w:t>
            </w:r>
          </w:p>
        </w:tc>
        <w:tc>
          <w:tcPr>
            <w:tcW w:w="7321" w:type="dxa"/>
            <w:vAlign w:val="center"/>
          </w:tcPr>
          <w:p w14:paraId="6C4BAB3B" w14:textId="77777777" w:rsidR="00247CB1" w:rsidRPr="00247CB1" w:rsidRDefault="00247CB1" w:rsidP="00247CB1">
            <w:pPr>
              <w:pStyle w:val="Tabletext"/>
            </w:pPr>
            <w:r w:rsidRPr="00247CB1">
              <w:t>Efficacy: Overall survival, progression-free survival, objective response rate, duration of response</w:t>
            </w:r>
          </w:p>
          <w:p w14:paraId="4D5A6491" w14:textId="2DF4E7A7" w:rsidR="00247CB1" w:rsidRPr="00247CB1" w:rsidRDefault="00247CB1" w:rsidP="00247CB1">
            <w:pPr>
              <w:pStyle w:val="TableFigureHeading"/>
              <w:rPr>
                <w:rStyle w:val="CommentReference"/>
                <w:bCs w:val="0"/>
                <w:szCs w:val="24"/>
              </w:rPr>
            </w:pPr>
            <w:r w:rsidRPr="00247CB1">
              <w:rPr>
                <w:b w:val="0"/>
                <w:bCs w:val="0"/>
              </w:rPr>
              <w:t>Safety: treatment-emergent and treatment-related adverse events.</w:t>
            </w:r>
          </w:p>
        </w:tc>
      </w:tr>
      <w:tr w:rsidR="00247CB1" w14:paraId="4637EA41" w14:textId="77777777" w:rsidTr="7AF51647">
        <w:tc>
          <w:tcPr>
            <w:tcW w:w="1696" w:type="dxa"/>
            <w:vAlign w:val="center"/>
          </w:tcPr>
          <w:p w14:paraId="2D9174D3" w14:textId="2767B6D4" w:rsidR="00247CB1" w:rsidRPr="00247CB1" w:rsidRDefault="00247CB1" w:rsidP="00247CB1">
            <w:pPr>
              <w:pStyle w:val="TableFigureHeading"/>
              <w:rPr>
                <w:rStyle w:val="CommentReference"/>
                <w:bCs w:val="0"/>
                <w:szCs w:val="24"/>
              </w:rPr>
            </w:pPr>
            <w:r w:rsidRPr="00247CB1">
              <w:rPr>
                <w:b w:val="0"/>
                <w:bCs w:val="0"/>
              </w:rPr>
              <w:t>Clinical claim</w:t>
            </w:r>
          </w:p>
        </w:tc>
        <w:tc>
          <w:tcPr>
            <w:tcW w:w="7321" w:type="dxa"/>
            <w:vAlign w:val="center"/>
          </w:tcPr>
          <w:p w14:paraId="50DDAF97" w14:textId="77777777" w:rsidR="00247CB1" w:rsidRPr="00247CB1" w:rsidRDefault="00247CB1" w:rsidP="00247CB1">
            <w:pPr>
              <w:pStyle w:val="Tabletext"/>
            </w:pPr>
            <w:r w:rsidRPr="7AF51647">
              <w:t>In patients with RM-NPC with no prior systemic therapy, toripalimab in combination with chemotherapy is superior in terms of effectiveness and non-inferior in terms of safety compared to SoC chemotherapy.</w:t>
            </w:r>
          </w:p>
          <w:p w14:paraId="63A6261F" w14:textId="77777777" w:rsidR="00247CB1" w:rsidRPr="00247CB1" w:rsidRDefault="00247CB1" w:rsidP="00247CB1">
            <w:pPr>
              <w:pStyle w:val="Tabletext"/>
            </w:pPr>
          </w:p>
          <w:p w14:paraId="403B83B1" w14:textId="78114D2C" w:rsidR="00247CB1" w:rsidRPr="00247CB1" w:rsidRDefault="00247CB1" w:rsidP="7AF51647">
            <w:pPr>
              <w:pStyle w:val="TableFigureHeading"/>
              <w:rPr>
                <w:rStyle w:val="CommentReference"/>
              </w:rPr>
            </w:pPr>
            <w:r w:rsidRPr="7AF51647">
              <w:rPr>
                <w:b w:val="0"/>
                <w:bCs w:val="0"/>
              </w:rPr>
              <w:t>In patients with RM-NPC who have previously progressed while on chemotherapy, toripalimab provides a clinically meaningful treatment response and duration of response, while demonstrating a manageable safety profile.</w:t>
            </w:r>
          </w:p>
        </w:tc>
      </w:tr>
    </w:tbl>
    <w:p w14:paraId="527CA7F0" w14:textId="6D59788C" w:rsidR="004E43B2" w:rsidRDefault="00893295" w:rsidP="00893295">
      <w:pPr>
        <w:pStyle w:val="TableFooter"/>
        <w:widowControl w:val="0"/>
      </w:pPr>
      <w:r w:rsidRPr="005D3BB2">
        <w:rPr>
          <w:snapToGrid w:val="0"/>
          <w:szCs w:val="22"/>
          <w:lang w:eastAsia="en-US"/>
        </w:rPr>
        <w:t>Source: Table 1-1, pp 25 of the submission</w:t>
      </w:r>
      <w:r w:rsidR="008B1757" w:rsidRPr="0098262F">
        <w:t>.</w:t>
      </w:r>
    </w:p>
    <w:p w14:paraId="648EC5DE" w14:textId="2A009E88" w:rsidR="00893295" w:rsidRDefault="00893295" w:rsidP="00893295">
      <w:pPr>
        <w:pStyle w:val="TableFooter"/>
        <w:widowControl w:val="0"/>
        <w:rPr>
          <w:snapToGrid w:val="0"/>
          <w:szCs w:val="22"/>
          <w:lang w:eastAsia="en-US"/>
        </w:rPr>
      </w:pPr>
      <w:r>
        <w:rPr>
          <w:snapToGrid w:val="0"/>
          <w:szCs w:val="22"/>
          <w:lang w:eastAsia="en-US"/>
        </w:rPr>
        <w:t xml:space="preserve">NPC, </w:t>
      </w:r>
      <w:r w:rsidRPr="005D3BB2">
        <w:rPr>
          <w:snapToGrid w:val="0"/>
          <w:szCs w:val="22"/>
          <w:lang w:eastAsia="en-US"/>
        </w:rPr>
        <w:t>nasopharyngeal carcinoma; SoC</w:t>
      </w:r>
      <w:r>
        <w:rPr>
          <w:snapToGrid w:val="0"/>
          <w:szCs w:val="22"/>
          <w:lang w:eastAsia="en-US"/>
        </w:rPr>
        <w:t>, s</w:t>
      </w:r>
      <w:r w:rsidRPr="005D3BB2">
        <w:rPr>
          <w:snapToGrid w:val="0"/>
          <w:szCs w:val="22"/>
          <w:lang w:eastAsia="en-US"/>
        </w:rPr>
        <w:t>tandard of care</w:t>
      </w:r>
    </w:p>
    <w:p w14:paraId="6B4AB6C2" w14:textId="7F01D731" w:rsidR="005C25FF" w:rsidRPr="0098262F" w:rsidRDefault="005C25FF" w:rsidP="004A6040">
      <w:pPr>
        <w:pStyle w:val="2-SectionHeading"/>
      </w:pPr>
      <w:bookmarkStart w:id="3" w:name="_Toc188361214"/>
      <w:r w:rsidRPr="0098262F">
        <w:lastRenderedPageBreak/>
        <w:t>Background</w:t>
      </w:r>
      <w:bookmarkEnd w:id="3"/>
    </w:p>
    <w:p w14:paraId="2C521D6D" w14:textId="78CF03EE" w:rsidR="005C25FF" w:rsidRPr="0098262F" w:rsidRDefault="005C25FF" w:rsidP="004A6040">
      <w:pPr>
        <w:pStyle w:val="4-SubsectionHeading"/>
      </w:pPr>
      <w:bookmarkStart w:id="4" w:name="_Toc22897638"/>
      <w:bookmarkStart w:id="5" w:name="_Toc188361215"/>
      <w:r w:rsidRPr="0098262F">
        <w:t>Registration status</w:t>
      </w:r>
      <w:bookmarkEnd w:id="4"/>
      <w:bookmarkEnd w:id="5"/>
    </w:p>
    <w:p w14:paraId="3E6E0539" w14:textId="4729470B" w:rsidR="00604CFF" w:rsidRDefault="00604CFF" w:rsidP="00CA0332">
      <w:pPr>
        <w:pStyle w:val="3-BodyText"/>
      </w:pPr>
      <w:bookmarkStart w:id="6" w:name="_Ref187870339"/>
      <w:r>
        <w:t>Toripalimab</w:t>
      </w:r>
      <w:r w:rsidR="009D0AF9">
        <w:t xml:space="preserve"> </w:t>
      </w:r>
      <w:r>
        <w:t xml:space="preserve">was approved </w:t>
      </w:r>
      <w:r w:rsidR="00BC70EA">
        <w:t xml:space="preserve">for registration </w:t>
      </w:r>
      <w:r>
        <w:t>by the T</w:t>
      </w:r>
      <w:r w:rsidR="00BC70EA">
        <w:t>herapeutic Goods Administration (T</w:t>
      </w:r>
      <w:r>
        <w:t>GA</w:t>
      </w:r>
      <w:r w:rsidR="00BC70EA">
        <w:t>)</w:t>
      </w:r>
      <w:r>
        <w:t xml:space="preserve"> </w:t>
      </w:r>
      <w:r w:rsidR="00BC70EA">
        <w:t xml:space="preserve">on 16 January 2025 for the </w:t>
      </w:r>
      <w:r w:rsidR="00F327D5">
        <w:t>following indications:</w:t>
      </w:r>
    </w:p>
    <w:p w14:paraId="2D951F34" w14:textId="70E6DA6D" w:rsidR="00F45C86" w:rsidRPr="00C073E0" w:rsidRDefault="00F45C86" w:rsidP="002F1F51">
      <w:pPr>
        <w:pStyle w:val="ListParagraph"/>
        <w:numPr>
          <w:ilvl w:val="0"/>
          <w:numId w:val="4"/>
        </w:numPr>
        <w:ind w:left="993" w:hanging="284"/>
        <w:jc w:val="both"/>
      </w:pPr>
      <w:r w:rsidRPr="00C073E0">
        <w:t xml:space="preserve">in combination with cisplatin and gemcitabine, for the first-line treatment of adults </w:t>
      </w:r>
      <w:r w:rsidRPr="004E3C0B">
        <w:rPr>
          <w:iCs/>
        </w:rPr>
        <w:t>with</w:t>
      </w:r>
      <w:r w:rsidRPr="00C073E0">
        <w:t xml:space="preserve"> metastatic or with recurrent, locally advanced nasopharyngeal carcinoma (NPC). </w:t>
      </w:r>
    </w:p>
    <w:p w14:paraId="5568B29D" w14:textId="0B5FAFC5" w:rsidR="00F45C86" w:rsidRPr="00C073E0" w:rsidRDefault="00F45C86" w:rsidP="002F1F51">
      <w:pPr>
        <w:pStyle w:val="ListParagraph"/>
        <w:numPr>
          <w:ilvl w:val="0"/>
          <w:numId w:val="4"/>
        </w:numPr>
        <w:ind w:left="993" w:hanging="284"/>
        <w:jc w:val="both"/>
      </w:pPr>
      <w:r w:rsidRPr="00C073E0">
        <w:t xml:space="preserve">as a </w:t>
      </w:r>
      <w:r w:rsidRPr="004E3C0B">
        <w:rPr>
          <w:iCs/>
        </w:rPr>
        <w:t>single</w:t>
      </w:r>
      <w:r w:rsidRPr="00C073E0">
        <w:t xml:space="preserve"> agent, for the treatment of adults with recurrent unresectable or metastatic NPC with disease progression on or after a platinum-containing chemotherapy.</w:t>
      </w:r>
    </w:p>
    <w:p w14:paraId="38EB8D3D" w14:textId="51C31593" w:rsidR="00247CB1" w:rsidRDefault="00B50DB8" w:rsidP="008E25DF">
      <w:pPr>
        <w:pStyle w:val="2-SectionHeading"/>
      </w:pPr>
      <w:bookmarkStart w:id="7" w:name="_Toc107902078"/>
      <w:bookmarkStart w:id="8" w:name="_Toc188361216"/>
      <w:bookmarkEnd w:id="6"/>
      <w:bookmarkEnd w:id="7"/>
      <w:r w:rsidRPr="009359AF">
        <w:t>Requested listing</w:t>
      </w:r>
      <w:bookmarkEnd w:id="8"/>
    </w:p>
    <w:tbl>
      <w:tblPr>
        <w:tblStyle w:val="TableGrid"/>
        <w:tblW w:w="0" w:type="auto"/>
        <w:tblLook w:val="04A0" w:firstRow="1" w:lastRow="0" w:firstColumn="1" w:lastColumn="0" w:noHBand="0" w:noVBand="1"/>
      </w:tblPr>
      <w:tblGrid>
        <w:gridCol w:w="2254"/>
        <w:gridCol w:w="2254"/>
        <w:gridCol w:w="2254"/>
        <w:gridCol w:w="2255"/>
      </w:tblGrid>
      <w:tr w:rsidR="00247CB1" w:rsidRPr="00247CB1" w14:paraId="554A8495" w14:textId="77777777" w:rsidTr="7AF51647">
        <w:tc>
          <w:tcPr>
            <w:tcW w:w="2254" w:type="dxa"/>
            <w:vAlign w:val="center"/>
          </w:tcPr>
          <w:p w14:paraId="11B822C4" w14:textId="77777777" w:rsidR="00247CB1" w:rsidRPr="009E51E4" w:rsidRDefault="00247CB1" w:rsidP="009E51E4">
            <w:pPr>
              <w:pStyle w:val="In-tableHeading"/>
            </w:pPr>
            <w:r w:rsidRPr="009E51E4">
              <w:t>MEDICINAL PRODUCT</w:t>
            </w:r>
          </w:p>
          <w:p w14:paraId="7EDD8DD0" w14:textId="601A85A1" w:rsidR="00247CB1" w:rsidRPr="00247CB1" w:rsidRDefault="00247CB1" w:rsidP="00247CB1">
            <w:pPr>
              <w:pStyle w:val="3-BodyText"/>
              <w:numPr>
                <w:ilvl w:val="0"/>
                <w:numId w:val="0"/>
              </w:numPr>
              <w:spacing w:before="0" w:after="0"/>
              <w:rPr>
                <w:rFonts w:ascii="Arial Narrow" w:hAnsi="Arial Narrow"/>
                <w:b/>
                <w:sz w:val="20"/>
                <w:szCs w:val="20"/>
              </w:rPr>
            </w:pPr>
            <w:r w:rsidRPr="00247CB1">
              <w:rPr>
                <w:rFonts w:ascii="Arial Narrow" w:hAnsi="Arial Narrow"/>
                <w:b/>
                <w:sz w:val="20"/>
                <w:szCs w:val="20"/>
              </w:rPr>
              <w:t>Form</w:t>
            </w:r>
          </w:p>
        </w:tc>
        <w:tc>
          <w:tcPr>
            <w:tcW w:w="2254" w:type="dxa"/>
            <w:vAlign w:val="center"/>
          </w:tcPr>
          <w:p w14:paraId="14965BA0" w14:textId="748555D0" w:rsidR="00247CB1" w:rsidRPr="00247CB1" w:rsidRDefault="00247CB1" w:rsidP="00247CB1">
            <w:pPr>
              <w:pStyle w:val="3-BodyText"/>
              <w:numPr>
                <w:ilvl w:val="0"/>
                <w:numId w:val="0"/>
              </w:numPr>
              <w:spacing w:before="0" w:after="0"/>
              <w:jc w:val="center"/>
              <w:rPr>
                <w:rFonts w:ascii="Arial Narrow" w:hAnsi="Arial Narrow"/>
                <w:b/>
                <w:sz w:val="20"/>
                <w:szCs w:val="20"/>
              </w:rPr>
            </w:pPr>
            <w:r w:rsidRPr="00247CB1">
              <w:rPr>
                <w:rFonts w:ascii="Arial Narrow" w:hAnsi="Arial Narrow"/>
                <w:b/>
                <w:sz w:val="20"/>
                <w:szCs w:val="20"/>
              </w:rPr>
              <w:t>Dispensed Price Max Amt</w:t>
            </w:r>
          </w:p>
        </w:tc>
        <w:tc>
          <w:tcPr>
            <w:tcW w:w="2254" w:type="dxa"/>
            <w:vAlign w:val="center"/>
          </w:tcPr>
          <w:p w14:paraId="6745D4BA" w14:textId="3A3A1515" w:rsidR="00247CB1" w:rsidRPr="00247CB1" w:rsidRDefault="00247CB1" w:rsidP="00247CB1">
            <w:pPr>
              <w:pStyle w:val="3-BodyText"/>
              <w:numPr>
                <w:ilvl w:val="0"/>
                <w:numId w:val="0"/>
              </w:numPr>
              <w:spacing w:before="0" w:after="0"/>
              <w:jc w:val="center"/>
              <w:rPr>
                <w:rFonts w:ascii="Arial Narrow" w:hAnsi="Arial Narrow"/>
                <w:b/>
                <w:sz w:val="20"/>
                <w:szCs w:val="20"/>
              </w:rPr>
            </w:pPr>
            <w:r w:rsidRPr="00247CB1">
              <w:rPr>
                <w:rFonts w:ascii="Arial Narrow" w:hAnsi="Arial Narrow"/>
                <w:b/>
                <w:sz w:val="20"/>
                <w:szCs w:val="20"/>
              </w:rPr>
              <w:t>Max. Amount</w:t>
            </w:r>
          </w:p>
        </w:tc>
        <w:tc>
          <w:tcPr>
            <w:tcW w:w="2255" w:type="dxa"/>
            <w:vAlign w:val="center"/>
          </w:tcPr>
          <w:p w14:paraId="7CFEC7F9" w14:textId="61479EAB" w:rsidR="00247CB1" w:rsidRPr="00247CB1" w:rsidRDefault="00247CB1" w:rsidP="00247CB1">
            <w:pPr>
              <w:pStyle w:val="3-BodyText"/>
              <w:numPr>
                <w:ilvl w:val="0"/>
                <w:numId w:val="0"/>
              </w:numPr>
              <w:spacing w:before="0" w:after="0"/>
              <w:jc w:val="center"/>
              <w:rPr>
                <w:rFonts w:ascii="Arial Narrow" w:hAnsi="Arial Narrow"/>
                <w:b/>
                <w:sz w:val="20"/>
                <w:szCs w:val="20"/>
              </w:rPr>
            </w:pPr>
            <w:r w:rsidRPr="00247CB1">
              <w:rPr>
                <w:rFonts w:ascii="Arial Narrow" w:hAnsi="Arial Narrow"/>
                <w:b/>
                <w:sz w:val="20"/>
                <w:szCs w:val="20"/>
              </w:rPr>
              <w:t>№.of Rpts</w:t>
            </w:r>
          </w:p>
        </w:tc>
      </w:tr>
      <w:tr w:rsidR="00247CB1" w:rsidRPr="00247CB1" w14:paraId="3F3484A6" w14:textId="77777777" w:rsidTr="7AF51647">
        <w:tc>
          <w:tcPr>
            <w:tcW w:w="2254" w:type="dxa"/>
            <w:vAlign w:val="center"/>
          </w:tcPr>
          <w:p w14:paraId="0A55B2E7" w14:textId="77777777" w:rsidR="00247CB1" w:rsidRDefault="00247CB1" w:rsidP="00247CB1">
            <w:pPr>
              <w:pStyle w:val="3-BodyText"/>
              <w:numPr>
                <w:ilvl w:val="0"/>
                <w:numId w:val="0"/>
              </w:numPr>
              <w:spacing w:before="0" w:after="0"/>
              <w:rPr>
                <w:rFonts w:ascii="Arial Narrow" w:hAnsi="Arial Narrow"/>
                <w:sz w:val="20"/>
                <w:szCs w:val="20"/>
              </w:rPr>
            </w:pPr>
            <w:r w:rsidRPr="00247CB1">
              <w:rPr>
                <w:rFonts w:ascii="Arial Narrow" w:hAnsi="Arial Narrow"/>
                <w:sz w:val="20"/>
                <w:szCs w:val="20"/>
              </w:rPr>
              <w:t>TORIPALIMAB</w:t>
            </w:r>
          </w:p>
          <w:p w14:paraId="26CD1BFA" w14:textId="14BCF208" w:rsidR="00247CB1" w:rsidRPr="00247CB1" w:rsidRDefault="00247CB1" w:rsidP="00247CB1">
            <w:pPr>
              <w:pStyle w:val="3-BodyText"/>
              <w:numPr>
                <w:ilvl w:val="0"/>
                <w:numId w:val="0"/>
              </w:numPr>
              <w:spacing w:before="0" w:after="0"/>
              <w:rPr>
                <w:rFonts w:ascii="Arial Narrow" w:hAnsi="Arial Narrow"/>
                <w:sz w:val="20"/>
                <w:szCs w:val="20"/>
              </w:rPr>
            </w:pPr>
            <w:r w:rsidRPr="00247CB1">
              <w:rPr>
                <w:rFonts w:ascii="Arial Narrow" w:hAnsi="Arial Narrow"/>
                <w:sz w:val="20"/>
                <w:szCs w:val="20"/>
              </w:rPr>
              <w:t>240 mg/6ml vial</w:t>
            </w:r>
          </w:p>
        </w:tc>
        <w:tc>
          <w:tcPr>
            <w:tcW w:w="2254" w:type="dxa"/>
            <w:vAlign w:val="center"/>
          </w:tcPr>
          <w:p w14:paraId="62DCE065" w14:textId="4D2229D0" w:rsidR="00247CB1" w:rsidRPr="00247CB1" w:rsidRDefault="00247CB1" w:rsidP="009E51E4">
            <w:pPr>
              <w:pStyle w:val="TableText0"/>
              <w:framePr w:wrap="around"/>
              <w:jc w:val="center"/>
            </w:pPr>
            <w:r w:rsidRPr="00247CB1">
              <w:t>$</w:t>
            </w:r>
            <w:r w:rsidR="0016738C" w:rsidRPr="0016738C">
              <w:rPr>
                <w:color w:val="000000"/>
                <w:shd w:val="solid" w:color="000000" w:fill="000000"/>
                <w14:textFill>
                  <w14:solidFill>
                    <w14:srgbClr w14:val="000000">
                      <w14:alpha w14:val="100000"/>
                    </w14:srgbClr>
                  </w14:solidFill>
                </w14:textFill>
              </w:rPr>
              <w:t>|</w:t>
            </w:r>
            <w:r w:rsidRPr="00247CB1">
              <w:t xml:space="preserve"> (public)</w:t>
            </w:r>
          </w:p>
          <w:p w14:paraId="25B7031D" w14:textId="1F0B4B5D" w:rsidR="00247CB1" w:rsidRPr="00247CB1" w:rsidRDefault="00247CB1" w:rsidP="00247CB1">
            <w:pPr>
              <w:pStyle w:val="3-BodyText"/>
              <w:numPr>
                <w:ilvl w:val="0"/>
                <w:numId w:val="0"/>
              </w:numPr>
              <w:spacing w:before="0" w:after="0"/>
              <w:jc w:val="center"/>
              <w:rPr>
                <w:rFonts w:ascii="Arial Narrow" w:hAnsi="Arial Narrow"/>
                <w:sz w:val="20"/>
                <w:szCs w:val="20"/>
              </w:rPr>
            </w:pPr>
            <w:r w:rsidRPr="00247CB1">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Pr="00247CB1">
              <w:rPr>
                <w:rFonts w:ascii="Arial Narrow" w:hAnsi="Arial Narrow"/>
                <w:sz w:val="20"/>
                <w:szCs w:val="20"/>
              </w:rPr>
              <w:t xml:space="preserve"> (private)</w:t>
            </w:r>
          </w:p>
        </w:tc>
        <w:tc>
          <w:tcPr>
            <w:tcW w:w="2254" w:type="dxa"/>
            <w:vAlign w:val="center"/>
          </w:tcPr>
          <w:p w14:paraId="78FF3956" w14:textId="6CF579C6" w:rsidR="00247CB1" w:rsidRPr="00247CB1" w:rsidRDefault="00247CB1" w:rsidP="00247CB1">
            <w:pPr>
              <w:pStyle w:val="3-BodyText"/>
              <w:numPr>
                <w:ilvl w:val="0"/>
                <w:numId w:val="0"/>
              </w:numPr>
              <w:spacing w:before="0" w:after="0"/>
              <w:jc w:val="center"/>
              <w:rPr>
                <w:rFonts w:ascii="Arial Narrow" w:hAnsi="Arial Narrow"/>
                <w:sz w:val="20"/>
                <w:szCs w:val="20"/>
              </w:rPr>
            </w:pPr>
            <w:r w:rsidRPr="00247CB1">
              <w:rPr>
                <w:rFonts w:ascii="Arial Narrow" w:hAnsi="Arial Narrow"/>
                <w:sz w:val="20"/>
                <w:szCs w:val="20"/>
              </w:rPr>
              <w:t xml:space="preserve">1 </w:t>
            </w:r>
            <w:r w:rsidRPr="00247CB1">
              <w:rPr>
                <w:rFonts w:ascii="Arial Narrow" w:hAnsi="Arial Narrow"/>
                <w:sz w:val="20"/>
                <w:szCs w:val="20"/>
                <w:vertAlign w:val="superscript"/>
              </w:rPr>
              <w:t>a</w:t>
            </w:r>
          </w:p>
        </w:tc>
        <w:tc>
          <w:tcPr>
            <w:tcW w:w="2255" w:type="dxa"/>
            <w:vAlign w:val="center"/>
          </w:tcPr>
          <w:p w14:paraId="72479538" w14:textId="204D912D" w:rsidR="00247CB1" w:rsidRPr="00247CB1" w:rsidRDefault="00247CB1" w:rsidP="00247CB1">
            <w:pPr>
              <w:pStyle w:val="3-BodyText"/>
              <w:numPr>
                <w:ilvl w:val="0"/>
                <w:numId w:val="0"/>
              </w:numPr>
              <w:spacing w:before="0" w:after="0"/>
              <w:jc w:val="center"/>
              <w:rPr>
                <w:rFonts w:ascii="Arial Narrow" w:hAnsi="Arial Narrow"/>
                <w:sz w:val="20"/>
                <w:szCs w:val="20"/>
              </w:rPr>
            </w:pPr>
            <w:r w:rsidRPr="00247CB1">
              <w:rPr>
                <w:rFonts w:ascii="Arial Narrow" w:hAnsi="Arial Narrow"/>
                <w:sz w:val="20"/>
                <w:szCs w:val="20"/>
              </w:rPr>
              <w:t>8</w:t>
            </w:r>
          </w:p>
        </w:tc>
      </w:tr>
      <w:tr w:rsidR="00247CB1" w:rsidRPr="00247CB1" w14:paraId="660EFBF9" w14:textId="77777777" w:rsidTr="7AF51647">
        <w:tc>
          <w:tcPr>
            <w:tcW w:w="9017" w:type="dxa"/>
            <w:gridSpan w:val="4"/>
          </w:tcPr>
          <w:p w14:paraId="2732E1D9" w14:textId="7A2682E1" w:rsidR="00247CB1" w:rsidRPr="00247CB1" w:rsidRDefault="00247CB1" w:rsidP="00247CB1">
            <w:pPr>
              <w:pStyle w:val="3-BodyText"/>
              <w:numPr>
                <w:ilvl w:val="0"/>
                <w:numId w:val="0"/>
              </w:numPr>
              <w:spacing w:before="0" w:after="0"/>
              <w:rPr>
                <w:rFonts w:ascii="Arial Narrow" w:hAnsi="Arial Narrow"/>
                <w:sz w:val="20"/>
                <w:szCs w:val="20"/>
              </w:rPr>
            </w:pPr>
            <w:r w:rsidRPr="00247CB1">
              <w:rPr>
                <w:rFonts w:ascii="Arial Narrow" w:eastAsiaTheme="majorEastAsia" w:hAnsi="Arial Narrow" w:cs="Times New Roman"/>
                <w:b/>
                <w:sz w:val="20"/>
                <w:szCs w:val="20"/>
              </w:rPr>
              <w:t>Available brands</w:t>
            </w:r>
          </w:p>
        </w:tc>
      </w:tr>
      <w:tr w:rsidR="00C320A4" w:rsidRPr="00247CB1" w14:paraId="0993B740" w14:textId="77777777" w:rsidTr="7AF51647">
        <w:tc>
          <w:tcPr>
            <w:tcW w:w="9017" w:type="dxa"/>
            <w:gridSpan w:val="4"/>
          </w:tcPr>
          <w:p w14:paraId="70E7D999" w14:textId="01800C2E" w:rsidR="00C320A4" w:rsidRPr="00C320A4" w:rsidRDefault="00C320A4" w:rsidP="7AF51647">
            <w:pPr>
              <w:pStyle w:val="3-BodyText"/>
              <w:numPr>
                <w:ilvl w:val="0"/>
                <w:numId w:val="0"/>
              </w:numPr>
              <w:spacing w:before="0" w:after="0"/>
              <w:rPr>
                <w:rFonts w:ascii="Arial Narrow" w:eastAsiaTheme="majorEastAsia" w:hAnsi="Arial Narrow" w:cs="Times New Roman"/>
                <w:b/>
                <w:bCs/>
                <w:sz w:val="20"/>
                <w:szCs w:val="20"/>
              </w:rPr>
            </w:pPr>
            <w:r w:rsidRPr="7AF51647">
              <w:rPr>
                <w:rFonts w:ascii="Arial Narrow" w:hAnsi="Arial Narrow"/>
                <w:sz w:val="20"/>
                <w:szCs w:val="20"/>
              </w:rPr>
              <w:t>Zytorvi®. Dr Reddy’s Laboratories Australia</w:t>
            </w:r>
          </w:p>
        </w:tc>
      </w:tr>
    </w:tbl>
    <w:p w14:paraId="5BE79D13" w14:textId="48218B3D" w:rsidR="00461262" w:rsidRDefault="00461262" w:rsidP="00461262">
      <w:pPr>
        <w:pStyle w:val="TableFooter"/>
        <w:keepNext/>
        <w:keepLines/>
      </w:pPr>
      <w:bookmarkStart w:id="9" w:name="_Hlk104809082"/>
      <w:r w:rsidRPr="0098262F">
        <w:t xml:space="preserve">Source: </w:t>
      </w:r>
      <w:r>
        <w:t xml:space="preserve">Table1-4 of the submission, </w:t>
      </w:r>
      <w:r w:rsidRPr="0098262F">
        <w:t>of the submission.</w:t>
      </w:r>
    </w:p>
    <w:p w14:paraId="5F81D1EB" w14:textId="47B981C8" w:rsidR="00461262" w:rsidRPr="003C10BE" w:rsidRDefault="00461262" w:rsidP="00461262">
      <w:pPr>
        <w:pStyle w:val="TableFooter"/>
        <w:keepNext/>
        <w:keepLines/>
      </w:pPr>
      <w:r w:rsidRPr="7AF51647">
        <w:t>a: this was presented as a maximum amount of one pack/vial, or 240</w:t>
      </w:r>
      <w:r w:rsidR="00C56610" w:rsidRPr="7AF51647">
        <w:t xml:space="preserve"> </w:t>
      </w:r>
      <w:r w:rsidRPr="7AF51647">
        <w:t>mg</w:t>
      </w:r>
    </w:p>
    <w:p w14:paraId="7F700E55" w14:textId="77777777" w:rsidR="003A4C14" w:rsidRDefault="003A4C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461262" w:rsidRPr="00A9404D" w14:paraId="732F1998"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bookmarkEnd w:id="9"/>
          <w:p w14:paraId="6734960F" w14:textId="77777777" w:rsidR="00461262" w:rsidRPr="00A9404D" w:rsidRDefault="00461262">
            <w:pPr>
              <w:pStyle w:val="Tabletext"/>
              <w:keepNext/>
              <w:keepLines/>
              <w:rPr>
                <w:b/>
                <w:bCs/>
                <w:szCs w:val="20"/>
              </w:rPr>
            </w:pPr>
            <w:r w:rsidRPr="00A9404D">
              <w:rPr>
                <w:b/>
                <w:bCs/>
                <w:szCs w:val="20"/>
              </w:rPr>
              <w:lastRenderedPageBreak/>
              <w:t>Category / program:</w:t>
            </w:r>
          </w:p>
          <w:p w14:paraId="676D9D0E" w14:textId="77777777" w:rsidR="00461262" w:rsidRPr="00A9404D" w:rsidRDefault="00461262">
            <w:pPr>
              <w:pStyle w:val="Tabletext"/>
              <w:keepNext/>
              <w:keepLines/>
              <w:rPr>
                <w:b/>
                <w:bCs/>
                <w:szCs w:val="20"/>
              </w:rPr>
            </w:pPr>
            <w:r w:rsidRPr="00A9404D">
              <w:rPr>
                <w:b/>
                <w:bCs/>
                <w:szCs w:val="20"/>
              </w:rPr>
              <w:t>Section 100—Efficient Funding of Chemotherapy Public/Private hospitals.</w:t>
            </w:r>
          </w:p>
        </w:tc>
      </w:tr>
      <w:tr w:rsidR="00461262" w:rsidRPr="00A9404D" w14:paraId="21751FCF" w14:textId="77777777" w:rsidTr="7AF51647">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F5D18E" w14:textId="77777777" w:rsidR="00461262" w:rsidRPr="00A9404D" w:rsidRDefault="00461262">
            <w:pPr>
              <w:pStyle w:val="Tabletext"/>
              <w:keepNext/>
              <w:keepLines/>
              <w:rPr>
                <w:szCs w:val="20"/>
              </w:rPr>
            </w:pPr>
            <w:r w:rsidRPr="00A9404D">
              <w:rPr>
                <w:szCs w:val="20"/>
              </w:rPr>
              <w:t xml:space="preserve">Prescriber type: </w:t>
            </w:r>
            <w:r w:rsidRPr="00A9404D">
              <w:rPr>
                <w:szCs w:val="20"/>
              </w:rPr>
              <w:fldChar w:fldCharType="begin">
                <w:ffData>
                  <w:name w:val="Check1"/>
                  <w:enabled/>
                  <w:calcOnExit w:val="0"/>
                  <w:checkBox>
                    <w:sizeAuto/>
                    <w:default w:val="0"/>
                  </w:checkBox>
                </w:ffData>
              </w:fldChar>
            </w:r>
            <w:r w:rsidRPr="00A9404D">
              <w:rPr>
                <w:szCs w:val="20"/>
              </w:rPr>
              <w:instrText xml:space="preserve"> FORMCHECKBOX </w:instrText>
            </w:r>
            <w:r w:rsidRPr="00A9404D">
              <w:rPr>
                <w:szCs w:val="20"/>
              </w:rPr>
            </w:r>
            <w:r w:rsidRPr="00A9404D">
              <w:rPr>
                <w:szCs w:val="20"/>
              </w:rPr>
              <w:fldChar w:fldCharType="separate"/>
            </w:r>
            <w:r w:rsidRPr="00A9404D">
              <w:rPr>
                <w:szCs w:val="20"/>
              </w:rPr>
              <w:fldChar w:fldCharType="end"/>
            </w:r>
            <w:r w:rsidRPr="00A9404D">
              <w:rPr>
                <w:szCs w:val="20"/>
              </w:rPr>
              <w:t xml:space="preserve">Dental </w:t>
            </w:r>
            <w:r w:rsidRPr="00A9404D">
              <w:rPr>
                <w:szCs w:val="20"/>
              </w:rPr>
              <w:fldChar w:fldCharType="begin">
                <w:ffData>
                  <w:name w:val=""/>
                  <w:enabled/>
                  <w:calcOnExit w:val="0"/>
                  <w:checkBox>
                    <w:sizeAuto/>
                    <w:default w:val="1"/>
                  </w:checkBox>
                </w:ffData>
              </w:fldChar>
            </w:r>
            <w:r w:rsidRPr="00A9404D">
              <w:rPr>
                <w:szCs w:val="20"/>
              </w:rPr>
              <w:instrText xml:space="preserve"> FORMCHECKBOX </w:instrText>
            </w:r>
            <w:r w:rsidRPr="00A9404D">
              <w:rPr>
                <w:szCs w:val="20"/>
              </w:rPr>
            </w:r>
            <w:r w:rsidRPr="00A9404D">
              <w:rPr>
                <w:szCs w:val="20"/>
              </w:rPr>
              <w:fldChar w:fldCharType="separate"/>
            </w:r>
            <w:r w:rsidRPr="00A9404D">
              <w:rPr>
                <w:szCs w:val="20"/>
              </w:rPr>
              <w:fldChar w:fldCharType="end"/>
            </w:r>
            <w:r w:rsidRPr="00A9404D">
              <w:rPr>
                <w:szCs w:val="20"/>
              </w:rPr>
              <w:t xml:space="preserve">Medical Practitioners </w:t>
            </w:r>
            <w:r w:rsidRPr="00A9404D">
              <w:rPr>
                <w:szCs w:val="20"/>
              </w:rPr>
              <w:fldChar w:fldCharType="begin">
                <w:ffData>
                  <w:name w:val="Check3"/>
                  <w:enabled/>
                  <w:calcOnExit w:val="0"/>
                  <w:checkBox>
                    <w:sizeAuto/>
                    <w:default w:val="0"/>
                  </w:checkBox>
                </w:ffData>
              </w:fldChar>
            </w:r>
            <w:r w:rsidRPr="00A9404D">
              <w:rPr>
                <w:szCs w:val="20"/>
              </w:rPr>
              <w:instrText xml:space="preserve"> FORMCHECKBOX </w:instrText>
            </w:r>
            <w:r w:rsidRPr="00A9404D">
              <w:rPr>
                <w:szCs w:val="20"/>
              </w:rPr>
            </w:r>
            <w:r w:rsidRPr="00A9404D">
              <w:rPr>
                <w:szCs w:val="20"/>
              </w:rPr>
              <w:fldChar w:fldCharType="separate"/>
            </w:r>
            <w:r w:rsidRPr="00A9404D">
              <w:rPr>
                <w:szCs w:val="20"/>
              </w:rPr>
              <w:fldChar w:fldCharType="end"/>
            </w:r>
            <w:r w:rsidRPr="00A9404D">
              <w:rPr>
                <w:szCs w:val="20"/>
              </w:rPr>
              <w:t xml:space="preserve">Nurse practitioners </w:t>
            </w:r>
            <w:r w:rsidRPr="00A9404D">
              <w:rPr>
                <w:szCs w:val="20"/>
              </w:rPr>
              <w:fldChar w:fldCharType="begin">
                <w:ffData>
                  <w:name w:val=""/>
                  <w:enabled/>
                  <w:calcOnExit w:val="0"/>
                  <w:checkBox>
                    <w:sizeAuto/>
                    <w:default w:val="0"/>
                  </w:checkBox>
                </w:ffData>
              </w:fldChar>
            </w:r>
            <w:r w:rsidRPr="00A9404D">
              <w:rPr>
                <w:szCs w:val="20"/>
              </w:rPr>
              <w:instrText xml:space="preserve"> FORMCHECKBOX </w:instrText>
            </w:r>
            <w:r w:rsidRPr="00A9404D">
              <w:rPr>
                <w:szCs w:val="20"/>
              </w:rPr>
            </w:r>
            <w:r w:rsidRPr="00A9404D">
              <w:rPr>
                <w:szCs w:val="20"/>
              </w:rPr>
              <w:fldChar w:fldCharType="separate"/>
            </w:r>
            <w:r w:rsidRPr="00A9404D">
              <w:rPr>
                <w:szCs w:val="20"/>
              </w:rPr>
              <w:fldChar w:fldCharType="end"/>
            </w:r>
            <w:r w:rsidRPr="00A9404D">
              <w:rPr>
                <w:szCs w:val="20"/>
              </w:rPr>
              <w:t xml:space="preserve">Optometrists </w:t>
            </w:r>
            <w:r w:rsidRPr="00A9404D">
              <w:rPr>
                <w:szCs w:val="20"/>
              </w:rPr>
              <w:fldChar w:fldCharType="begin">
                <w:ffData>
                  <w:name w:val="Check5"/>
                  <w:enabled/>
                  <w:calcOnExit w:val="0"/>
                  <w:checkBox>
                    <w:sizeAuto/>
                    <w:default w:val="0"/>
                  </w:checkBox>
                </w:ffData>
              </w:fldChar>
            </w:r>
            <w:r w:rsidRPr="00A9404D">
              <w:rPr>
                <w:szCs w:val="20"/>
              </w:rPr>
              <w:instrText xml:space="preserve"> FORMCHECKBOX </w:instrText>
            </w:r>
            <w:r w:rsidRPr="00A9404D">
              <w:rPr>
                <w:szCs w:val="20"/>
              </w:rPr>
            </w:r>
            <w:r w:rsidRPr="00A9404D">
              <w:rPr>
                <w:szCs w:val="20"/>
              </w:rPr>
              <w:fldChar w:fldCharType="separate"/>
            </w:r>
            <w:r w:rsidRPr="00A9404D">
              <w:rPr>
                <w:szCs w:val="20"/>
              </w:rPr>
              <w:fldChar w:fldCharType="end"/>
            </w:r>
            <w:r w:rsidRPr="00A9404D">
              <w:rPr>
                <w:szCs w:val="20"/>
              </w:rPr>
              <w:t>Midwives.</w:t>
            </w:r>
          </w:p>
        </w:tc>
      </w:tr>
      <w:tr w:rsidR="00461262" w:rsidRPr="00A9404D" w14:paraId="5C01C4A9"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521F58" w14:textId="77777777" w:rsidR="00461262" w:rsidRPr="00A9404D" w:rsidRDefault="00461262">
            <w:pPr>
              <w:pStyle w:val="Tabletext"/>
              <w:keepNext/>
              <w:keepLines/>
              <w:rPr>
                <w:szCs w:val="20"/>
              </w:rPr>
            </w:pPr>
            <w:r w:rsidRPr="00A9404D">
              <w:rPr>
                <w:szCs w:val="20"/>
              </w:rPr>
              <w:t>Restriction Type—assessment time by Services Australia—Method of obtaining authority approval (if Authority Required)</w:t>
            </w:r>
          </w:p>
          <w:p w14:paraId="5A892FF6" w14:textId="77777777" w:rsidR="00461262" w:rsidRPr="00A9404D" w:rsidRDefault="00461262">
            <w:pPr>
              <w:keepNext/>
              <w:keepLines/>
              <w:rPr>
                <w:rFonts w:ascii="Arial Narrow" w:hAnsi="Arial Narrow" w:cs="Times New Roman"/>
                <w:snapToGrid w:val="0"/>
                <w:sz w:val="20"/>
                <w:szCs w:val="20"/>
              </w:rPr>
            </w:pPr>
            <w:r w:rsidRPr="00A9404D">
              <w:rPr>
                <w:rFonts w:ascii="Arial Narrow" w:hAnsi="Arial Narrow" w:cs="Times New Roman"/>
                <w:snapToGrid w:val="0"/>
                <w:sz w:val="20"/>
                <w:szCs w:val="20"/>
              </w:rPr>
              <w:fldChar w:fldCharType="begin">
                <w:ffData>
                  <w:name w:val=""/>
                  <w:enabled/>
                  <w:calcOnExit w:val="0"/>
                  <w:checkBox>
                    <w:sizeAuto/>
                    <w:default w:val="1"/>
                  </w:checkBox>
                </w:ffData>
              </w:fldChar>
            </w:r>
            <w:r w:rsidRPr="00A9404D">
              <w:rPr>
                <w:rFonts w:ascii="Arial Narrow" w:hAnsi="Arial Narrow" w:cs="Times New Roman"/>
                <w:snapToGrid w:val="0"/>
                <w:sz w:val="20"/>
                <w:szCs w:val="20"/>
              </w:rPr>
              <w:instrText xml:space="preserve"> FORMCHECKBOX </w:instrText>
            </w:r>
            <w:r w:rsidRPr="00A9404D">
              <w:rPr>
                <w:rFonts w:ascii="Arial Narrow" w:hAnsi="Arial Narrow" w:cs="Times New Roman"/>
                <w:snapToGrid w:val="0"/>
                <w:sz w:val="20"/>
                <w:szCs w:val="20"/>
              </w:rPr>
            </w:r>
            <w:r w:rsidRPr="00A9404D">
              <w:rPr>
                <w:rFonts w:ascii="Arial Narrow" w:hAnsi="Arial Narrow" w:cs="Times New Roman"/>
                <w:snapToGrid w:val="0"/>
                <w:sz w:val="20"/>
                <w:szCs w:val="20"/>
              </w:rPr>
              <w:fldChar w:fldCharType="separate"/>
            </w:r>
            <w:r w:rsidRPr="00A9404D">
              <w:rPr>
                <w:rFonts w:ascii="Arial Narrow" w:hAnsi="Arial Narrow" w:cs="Times New Roman"/>
                <w:snapToGrid w:val="0"/>
                <w:sz w:val="20"/>
                <w:szCs w:val="20"/>
              </w:rPr>
              <w:fldChar w:fldCharType="end"/>
            </w:r>
            <w:r w:rsidRPr="00A9404D">
              <w:rPr>
                <w:rFonts w:ascii="Arial Narrow" w:hAnsi="Arial Narrow" w:cs="Times New Roman"/>
                <w:snapToGrid w:val="0"/>
                <w:sz w:val="20"/>
                <w:szCs w:val="20"/>
              </w:rPr>
              <w:t>Authority Required—Streamlined [new/existing code] (specification of 4-digit code by prescriber to certify that they have read the PBS restriction; no prior assessment by Services Australia; retrospective audit of patient records possible))</w:t>
            </w:r>
          </w:p>
        </w:tc>
      </w:tr>
      <w:tr w:rsidR="00461262" w:rsidRPr="00A9404D" w14:paraId="6BB5D593"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E26E7F" w14:textId="77777777" w:rsidR="00461262" w:rsidRPr="00A9404D" w:rsidRDefault="00461262">
            <w:pPr>
              <w:pStyle w:val="Tabletext"/>
              <w:keepNext/>
              <w:keepLines/>
              <w:rPr>
                <w:szCs w:val="20"/>
              </w:rPr>
            </w:pPr>
            <w:r w:rsidRPr="00A9404D">
              <w:rPr>
                <w:szCs w:val="20"/>
              </w:rPr>
              <w:t>Episodicity: N/A.</w:t>
            </w:r>
          </w:p>
        </w:tc>
      </w:tr>
      <w:tr w:rsidR="00461262" w:rsidRPr="00A9404D" w14:paraId="64C775CF"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CF67A2" w14:textId="77777777" w:rsidR="00461262" w:rsidRPr="00A9404D" w:rsidRDefault="00461262">
            <w:pPr>
              <w:pStyle w:val="Tabletext"/>
              <w:keepNext/>
              <w:keepLines/>
              <w:rPr>
                <w:szCs w:val="20"/>
              </w:rPr>
            </w:pPr>
            <w:r w:rsidRPr="00A9404D">
              <w:rPr>
                <w:szCs w:val="20"/>
              </w:rPr>
              <w:t xml:space="preserve">Severity: Recurrent or metastatic. </w:t>
            </w:r>
          </w:p>
        </w:tc>
      </w:tr>
      <w:tr w:rsidR="00461262" w:rsidRPr="00A9404D" w14:paraId="2E611FC6"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FF7CBC" w14:textId="77777777" w:rsidR="00461262" w:rsidRPr="00A9404D" w:rsidRDefault="00461262">
            <w:pPr>
              <w:pStyle w:val="Tabletext"/>
              <w:keepNext/>
              <w:keepLines/>
              <w:rPr>
                <w:szCs w:val="20"/>
              </w:rPr>
            </w:pPr>
            <w:r w:rsidRPr="00A9404D">
              <w:rPr>
                <w:szCs w:val="20"/>
              </w:rPr>
              <w:t>Condition: Nasopharyngeal carcinoma.</w:t>
            </w:r>
          </w:p>
        </w:tc>
      </w:tr>
      <w:tr w:rsidR="00461262" w:rsidRPr="00A9404D" w14:paraId="079BE975"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0CC2D9" w14:textId="77777777" w:rsidR="00461262" w:rsidRPr="00A9404D" w:rsidRDefault="00461262">
            <w:pPr>
              <w:pStyle w:val="Tabletext"/>
              <w:keepNext/>
              <w:keepLines/>
              <w:rPr>
                <w:szCs w:val="20"/>
              </w:rPr>
            </w:pPr>
            <w:r w:rsidRPr="00A9404D">
              <w:rPr>
                <w:szCs w:val="20"/>
              </w:rPr>
              <w:t>Indication: Recurrent or metastatic nasopharyngeal carcinoma.</w:t>
            </w:r>
          </w:p>
        </w:tc>
      </w:tr>
      <w:tr w:rsidR="00461262" w:rsidRPr="00A9404D" w14:paraId="60194F6D"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57F331" w14:textId="77777777" w:rsidR="00461262" w:rsidRPr="00A9404D" w:rsidRDefault="00461262">
            <w:pPr>
              <w:pStyle w:val="Tabletext"/>
              <w:keepNext/>
              <w:keepLines/>
              <w:rPr>
                <w:szCs w:val="20"/>
              </w:rPr>
            </w:pPr>
            <w:r w:rsidRPr="00A9404D">
              <w:rPr>
                <w:szCs w:val="20"/>
              </w:rPr>
              <w:t>Treatment Phase: Initial and continuing.</w:t>
            </w:r>
          </w:p>
        </w:tc>
      </w:tr>
      <w:tr w:rsidR="00461262" w:rsidRPr="00A9404D" w14:paraId="62F9D9C6"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090461" w14:textId="77777777" w:rsidR="00461262" w:rsidRPr="00A9404D" w:rsidRDefault="00461262">
            <w:pPr>
              <w:pStyle w:val="Tabletext"/>
              <w:keepNext/>
              <w:keepLines/>
              <w:rPr>
                <w:szCs w:val="20"/>
              </w:rPr>
            </w:pPr>
            <w:r w:rsidRPr="00A9404D">
              <w:rPr>
                <w:szCs w:val="20"/>
              </w:rPr>
              <w:t>Clinical criteria:</w:t>
            </w:r>
          </w:p>
        </w:tc>
      </w:tr>
      <w:tr w:rsidR="00461262" w:rsidRPr="00A9404D" w14:paraId="5D9B13A4"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246749" w14:textId="77777777" w:rsidR="00461262" w:rsidRPr="00A9404D" w:rsidRDefault="00461262">
            <w:pPr>
              <w:pStyle w:val="Tabletext"/>
              <w:keepNext/>
              <w:keepLines/>
              <w:rPr>
                <w:szCs w:val="20"/>
              </w:rPr>
            </w:pPr>
            <w:r w:rsidRPr="00A9404D">
              <w:rPr>
                <w:szCs w:val="20"/>
              </w:rPr>
              <w:t>Patient must not have received prior systemic therapy for this condition, with the exception of neoadjuvant/adjuvant chemotherapy,</w:t>
            </w:r>
          </w:p>
        </w:tc>
      </w:tr>
      <w:tr w:rsidR="00461262" w:rsidRPr="00A9404D" w14:paraId="2EF43B50"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4D564B" w14:textId="77777777" w:rsidR="00461262" w:rsidRPr="00A9404D" w:rsidRDefault="00461262">
            <w:pPr>
              <w:pStyle w:val="Tabletext"/>
              <w:keepNext/>
              <w:keepLines/>
              <w:rPr>
                <w:szCs w:val="20"/>
              </w:rPr>
            </w:pPr>
            <w:r w:rsidRPr="00A9404D">
              <w:rPr>
                <w:szCs w:val="20"/>
              </w:rPr>
              <w:t>AND</w:t>
            </w:r>
          </w:p>
        </w:tc>
      </w:tr>
      <w:tr w:rsidR="00461262" w:rsidRPr="00A9404D" w14:paraId="51484EC2"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942B26" w14:textId="77777777" w:rsidR="00461262" w:rsidRPr="00A9404D" w:rsidRDefault="00461262">
            <w:pPr>
              <w:pStyle w:val="Tabletext"/>
              <w:keepNext/>
              <w:keepLines/>
              <w:rPr>
                <w:szCs w:val="20"/>
              </w:rPr>
            </w:pPr>
            <w:r w:rsidRPr="00A9404D">
              <w:rPr>
                <w:szCs w:val="20"/>
              </w:rPr>
              <w:t>Patient must have/have had a WHO performance status score of no greater than 2 at treatment initiation with this drug.</w:t>
            </w:r>
          </w:p>
        </w:tc>
      </w:tr>
      <w:tr w:rsidR="00461262" w:rsidRPr="00A9404D" w14:paraId="19A838BA"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024F47" w14:textId="77777777" w:rsidR="00461262" w:rsidRPr="00A9404D" w:rsidRDefault="00461262">
            <w:pPr>
              <w:pStyle w:val="Tabletext"/>
              <w:keepNext/>
              <w:keepLines/>
              <w:rPr>
                <w:szCs w:val="20"/>
              </w:rPr>
            </w:pPr>
            <w:r w:rsidRPr="00A9404D">
              <w:rPr>
                <w:szCs w:val="20"/>
              </w:rPr>
              <w:t>Treatment criteria:</w:t>
            </w:r>
          </w:p>
        </w:tc>
      </w:tr>
      <w:tr w:rsidR="00461262" w:rsidRPr="00A9404D" w14:paraId="1F500CCF"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4FA8E" w14:textId="77777777" w:rsidR="00461262" w:rsidRPr="00A9404D" w:rsidRDefault="00461262">
            <w:pPr>
              <w:pStyle w:val="Tabletext"/>
              <w:keepNext/>
              <w:keepLines/>
              <w:rPr>
                <w:szCs w:val="20"/>
              </w:rPr>
            </w:pPr>
            <w:r w:rsidRPr="00A9404D">
              <w:rPr>
                <w:szCs w:val="20"/>
              </w:rPr>
              <w:t>Patient must be undergoing combination therapy consisting of: (i) toripalimab, (ii) chemotherapy; OR</w:t>
            </w:r>
          </w:p>
          <w:p w14:paraId="1F5D0243" w14:textId="77777777" w:rsidR="00461262" w:rsidRPr="00A9404D" w:rsidRDefault="00461262">
            <w:pPr>
              <w:pStyle w:val="Tabletext"/>
              <w:keepNext/>
              <w:keepLines/>
              <w:rPr>
                <w:szCs w:val="20"/>
              </w:rPr>
            </w:pPr>
            <w:r w:rsidRPr="00A9404D">
              <w:rPr>
                <w:szCs w:val="20"/>
              </w:rPr>
              <w:t>Patient must be undergoing monotherapy with this drug after receiving no longer than 6 cycles of chemotherapy; OR</w:t>
            </w:r>
          </w:p>
          <w:p w14:paraId="4E2C94AA" w14:textId="77777777" w:rsidR="00461262" w:rsidRPr="00A9404D" w:rsidRDefault="00461262">
            <w:pPr>
              <w:pStyle w:val="Tabletext"/>
              <w:keepNext/>
              <w:keepLines/>
              <w:rPr>
                <w:szCs w:val="20"/>
              </w:rPr>
            </w:pPr>
            <w:r w:rsidRPr="00A9404D">
              <w:rPr>
                <w:szCs w:val="20"/>
              </w:rPr>
              <w:t>Patient must be undergoing monotherapy with this drug due to a contraindication/intolerance to chemotherapy, requiring temporary/permanent discontinuation; document the details in the patient’s medical records;</w:t>
            </w:r>
          </w:p>
        </w:tc>
      </w:tr>
      <w:tr w:rsidR="00461262" w:rsidRPr="00A9404D" w14:paraId="1DAE78C0"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082CE0" w14:textId="77777777" w:rsidR="00461262" w:rsidRPr="00A9404D" w:rsidRDefault="00461262">
            <w:pPr>
              <w:pStyle w:val="Tabletext"/>
              <w:keepNext/>
              <w:keepLines/>
              <w:rPr>
                <w:szCs w:val="20"/>
              </w:rPr>
            </w:pPr>
            <w:r w:rsidRPr="00A9404D">
              <w:rPr>
                <w:szCs w:val="20"/>
              </w:rPr>
              <w:t>AND</w:t>
            </w:r>
          </w:p>
        </w:tc>
      </w:tr>
      <w:tr w:rsidR="00461262" w:rsidRPr="00A9404D" w14:paraId="475CFC79"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5B1C64" w14:textId="77777777" w:rsidR="00461262" w:rsidRPr="00A9404D" w:rsidRDefault="00461262">
            <w:pPr>
              <w:pStyle w:val="Tabletext"/>
              <w:keepNext/>
              <w:keepLines/>
              <w:rPr>
                <w:szCs w:val="20"/>
              </w:rPr>
            </w:pPr>
            <w:r w:rsidRPr="00A9404D">
              <w:rPr>
                <w:szCs w:val="20"/>
              </w:rPr>
              <w:t>Patient must not be undergoing treatment with this drug beyond 24 months from the first administered dose,</w:t>
            </w:r>
          </w:p>
        </w:tc>
      </w:tr>
      <w:tr w:rsidR="00461262" w:rsidRPr="00A9404D" w14:paraId="40A28FF2"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4E871F" w14:textId="77777777" w:rsidR="00461262" w:rsidRPr="00A9404D" w:rsidRDefault="00461262">
            <w:pPr>
              <w:pStyle w:val="Tabletext"/>
              <w:keepNext/>
              <w:keepLines/>
              <w:rPr>
                <w:szCs w:val="20"/>
              </w:rPr>
            </w:pPr>
            <w:r w:rsidRPr="00A9404D">
              <w:rPr>
                <w:szCs w:val="20"/>
              </w:rPr>
              <w:t>AND</w:t>
            </w:r>
          </w:p>
        </w:tc>
      </w:tr>
      <w:tr w:rsidR="00461262" w:rsidRPr="00A9404D" w14:paraId="21ECADED"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790F08" w14:textId="77777777" w:rsidR="00461262" w:rsidRPr="00A9404D" w:rsidRDefault="00461262">
            <w:pPr>
              <w:pStyle w:val="Tabletext"/>
              <w:keepNext/>
              <w:keepLines/>
              <w:rPr>
                <w:szCs w:val="20"/>
              </w:rPr>
            </w:pPr>
            <w:r w:rsidRPr="00A9404D">
              <w:rPr>
                <w:szCs w:val="20"/>
              </w:rPr>
              <w:t>Patient must be undergoing treatment with this drug for the first time; OR</w:t>
            </w:r>
          </w:p>
          <w:p w14:paraId="3A4270C3" w14:textId="77777777" w:rsidR="00461262" w:rsidRPr="00A9404D" w:rsidRDefault="00461262">
            <w:pPr>
              <w:pStyle w:val="Tabletext"/>
              <w:keepNext/>
              <w:keepLines/>
              <w:rPr>
                <w:szCs w:val="20"/>
              </w:rPr>
            </w:pPr>
            <w:r w:rsidRPr="00A9404D">
              <w:rPr>
                <w:szCs w:val="20"/>
              </w:rPr>
              <w:t xml:space="preserve">Patient must be undergoing continuing treatment with this drug, with each of the following being true: (i) all other PBS eligibility criteria in this restriction are met, (ii) disease progression is absent. </w:t>
            </w:r>
          </w:p>
        </w:tc>
      </w:tr>
      <w:tr w:rsidR="00461262" w:rsidRPr="00A9404D" w14:paraId="181549C8"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D922B6" w14:textId="77777777" w:rsidR="00461262" w:rsidRPr="00A9404D" w:rsidRDefault="00461262">
            <w:pPr>
              <w:pStyle w:val="Tabletext"/>
              <w:keepNext/>
              <w:keepLines/>
              <w:rPr>
                <w:szCs w:val="20"/>
              </w:rPr>
            </w:pPr>
            <w:r w:rsidRPr="00A9404D">
              <w:rPr>
                <w:szCs w:val="20"/>
              </w:rPr>
              <w:t>Administrative Advice: No increase in the maximum amount or number of units may be authorised.</w:t>
            </w:r>
          </w:p>
        </w:tc>
      </w:tr>
      <w:tr w:rsidR="00461262" w:rsidRPr="00A9404D" w14:paraId="65AA378A"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BC30D6" w14:textId="77777777" w:rsidR="00461262" w:rsidRPr="00A9404D" w:rsidRDefault="00461262">
            <w:pPr>
              <w:pStyle w:val="Tabletext"/>
              <w:keepNext/>
              <w:keepLines/>
              <w:rPr>
                <w:szCs w:val="20"/>
              </w:rPr>
            </w:pPr>
            <w:r w:rsidRPr="00A9404D">
              <w:rPr>
                <w:szCs w:val="20"/>
              </w:rPr>
              <w:t>Administrative Advice: No increase in the maximum number of repeats may be authorised.</w:t>
            </w:r>
          </w:p>
        </w:tc>
      </w:tr>
      <w:tr w:rsidR="000D23D2" w:rsidRPr="00A9404D" w14:paraId="0B3122CA"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1C8CC" w14:textId="77777777" w:rsidR="000D23D2" w:rsidRPr="00A9404D" w:rsidRDefault="000D23D2">
            <w:pPr>
              <w:pStyle w:val="Tabletext"/>
              <w:keepNext/>
              <w:keepLines/>
              <w:rPr>
                <w:szCs w:val="20"/>
              </w:rPr>
            </w:pPr>
          </w:p>
        </w:tc>
      </w:tr>
      <w:tr w:rsidR="00461262" w:rsidRPr="00A9404D" w14:paraId="1F0E4D6C"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059B0A" w14:textId="77777777" w:rsidR="00461262" w:rsidRPr="00A9404D" w:rsidRDefault="00461262">
            <w:pPr>
              <w:pStyle w:val="Tabletext"/>
              <w:keepNext/>
              <w:keepLines/>
              <w:rPr>
                <w:b/>
                <w:bCs/>
                <w:szCs w:val="20"/>
              </w:rPr>
            </w:pPr>
            <w:r w:rsidRPr="00A9404D">
              <w:rPr>
                <w:b/>
                <w:bCs/>
                <w:szCs w:val="20"/>
              </w:rPr>
              <w:t>Category / program:</w:t>
            </w:r>
          </w:p>
          <w:p w14:paraId="70198B9F" w14:textId="77777777" w:rsidR="00461262" w:rsidRPr="00A9404D" w:rsidRDefault="00461262">
            <w:pPr>
              <w:pStyle w:val="Tabletext"/>
              <w:keepNext/>
              <w:keepLines/>
              <w:rPr>
                <w:rFonts w:cstheme="minorHAnsi"/>
                <w:szCs w:val="20"/>
              </w:rPr>
            </w:pPr>
            <w:r w:rsidRPr="00A9404D">
              <w:rPr>
                <w:szCs w:val="20"/>
              </w:rPr>
              <w:t>Section 100—Efficient Funding of Chemotherapy Public/Private hospitals.</w:t>
            </w:r>
          </w:p>
        </w:tc>
      </w:tr>
      <w:tr w:rsidR="00461262" w:rsidRPr="00A9404D" w14:paraId="24454FC5" w14:textId="77777777" w:rsidTr="7AF51647">
        <w:trPr>
          <w:trHeight w:val="240"/>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BCE90D" w14:textId="77777777" w:rsidR="00461262" w:rsidRPr="00A9404D" w:rsidRDefault="00461262">
            <w:pPr>
              <w:pStyle w:val="Tabletext"/>
              <w:keepNext/>
              <w:keepLines/>
              <w:rPr>
                <w:rStyle w:val="Strong"/>
                <w:rFonts w:ascii="Arial Narrow" w:hAnsi="Arial Narrow"/>
                <w:sz w:val="20"/>
                <w:szCs w:val="20"/>
              </w:rPr>
            </w:pPr>
            <w:r w:rsidRPr="00A9404D">
              <w:rPr>
                <w:rStyle w:val="Strong"/>
                <w:rFonts w:ascii="Arial Narrow" w:hAnsi="Arial Narrow"/>
                <w:sz w:val="20"/>
                <w:szCs w:val="20"/>
              </w:rPr>
              <w:t xml:space="preserve">Prescriber type: </w:t>
            </w:r>
            <w:r w:rsidRPr="00A9404D">
              <w:rPr>
                <w:rStyle w:val="Strong"/>
                <w:rFonts w:ascii="Arial Narrow" w:hAnsi="Arial Narrow"/>
                <w:sz w:val="20"/>
                <w:szCs w:val="20"/>
              </w:rPr>
              <w:fldChar w:fldCharType="begin">
                <w:ffData>
                  <w:name w:val="Check1"/>
                  <w:enabled/>
                  <w:calcOnExit w:val="0"/>
                  <w:checkBox>
                    <w:sizeAuto/>
                    <w:default w:val="0"/>
                  </w:checkBox>
                </w:ffData>
              </w:fldChar>
            </w:r>
            <w:r w:rsidRPr="00A9404D">
              <w:rPr>
                <w:rStyle w:val="Strong"/>
                <w:rFonts w:ascii="Arial Narrow" w:hAnsi="Arial Narrow"/>
                <w:sz w:val="20"/>
                <w:szCs w:val="20"/>
              </w:rPr>
              <w:instrText xml:space="preserve"> FORMCHECKBOX </w:instrText>
            </w:r>
            <w:r w:rsidRPr="00A9404D">
              <w:rPr>
                <w:rStyle w:val="Strong"/>
                <w:rFonts w:ascii="Arial Narrow" w:hAnsi="Arial Narrow"/>
                <w:sz w:val="20"/>
                <w:szCs w:val="20"/>
              </w:rPr>
            </w:r>
            <w:r w:rsidRPr="00A9404D">
              <w:rPr>
                <w:rStyle w:val="Strong"/>
                <w:rFonts w:ascii="Arial Narrow" w:hAnsi="Arial Narrow"/>
                <w:sz w:val="20"/>
                <w:szCs w:val="20"/>
              </w:rPr>
              <w:fldChar w:fldCharType="separate"/>
            </w:r>
            <w:r w:rsidRPr="00A9404D">
              <w:rPr>
                <w:rStyle w:val="Strong"/>
                <w:rFonts w:ascii="Arial Narrow" w:hAnsi="Arial Narrow"/>
                <w:sz w:val="20"/>
                <w:szCs w:val="20"/>
              </w:rPr>
              <w:fldChar w:fldCharType="end"/>
            </w:r>
            <w:r w:rsidRPr="00A9404D">
              <w:rPr>
                <w:rStyle w:val="Strong"/>
                <w:rFonts w:ascii="Arial Narrow" w:hAnsi="Arial Narrow"/>
                <w:sz w:val="20"/>
                <w:szCs w:val="20"/>
              </w:rPr>
              <w:t xml:space="preserve">Dental </w:t>
            </w:r>
            <w:r w:rsidRPr="00A9404D">
              <w:rPr>
                <w:rStyle w:val="Strong"/>
                <w:rFonts w:ascii="Arial Narrow" w:hAnsi="Arial Narrow"/>
                <w:sz w:val="20"/>
                <w:szCs w:val="20"/>
              </w:rPr>
              <w:fldChar w:fldCharType="begin">
                <w:ffData>
                  <w:name w:val=""/>
                  <w:enabled/>
                  <w:calcOnExit w:val="0"/>
                  <w:checkBox>
                    <w:sizeAuto/>
                    <w:default w:val="1"/>
                  </w:checkBox>
                </w:ffData>
              </w:fldChar>
            </w:r>
            <w:r w:rsidRPr="00A9404D">
              <w:rPr>
                <w:rStyle w:val="Strong"/>
                <w:rFonts w:ascii="Arial Narrow" w:hAnsi="Arial Narrow"/>
                <w:sz w:val="20"/>
                <w:szCs w:val="20"/>
              </w:rPr>
              <w:instrText xml:space="preserve"> FORMCHECKBOX </w:instrText>
            </w:r>
            <w:r w:rsidRPr="00A9404D">
              <w:rPr>
                <w:rStyle w:val="Strong"/>
                <w:rFonts w:ascii="Arial Narrow" w:hAnsi="Arial Narrow"/>
                <w:sz w:val="20"/>
                <w:szCs w:val="20"/>
              </w:rPr>
            </w:r>
            <w:r w:rsidRPr="00A9404D">
              <w:rPr>
                <w:rStyle w:val="Strong"/>
                <w:rFonts w:ascii="Arial Narrow" w:hAnsi="Arial Narrow"/>
                <w:sz w:val="20"/>
                <w:szCs w:val="20"/>
              </w:rPr>
              <w:fldChar w:fldCharType="separate"/>
            </w:r>
            <w:r w:rsidRPr="00A9404D">
              <w:rPr>
                <w:rStyle w:val="Strong"/>
                <w:rFonts w:ascii="Arial Narrow" w:hAnsi="Arial Narrow"/>
                <w:sz w:val="20"/>
                <w:szCs w:val="20"/>
              </w:rPr>
              <w:fldChar w:fldCharType="end"/>
            </w:r>
            <w:r w:rsidRPr="00A9404D">
              <w:rPr>
                <w:rStyle w:val="Strong"/>
                <w:rFonts w:ascii="Arial Narrow" w:hAnsi="Arial Narrow"/>
                <w:sz w:val="20"/>
                <w:szCs w:val="20"/>
              </w:rPr>
              <w:t xml:space="preserve">Medical Practitioners </w:t>
            </w:r>
            <w:r w:rsidRPr="00A9404D">
              <w:rPr>
                <w:rStyle w:val="Strong"/>
                <w:rFonts w:ascii="Arial Narrow" w:hAnsi="Arial Narrow"/>
                <w:sz w:val="20"/>
                <w:szCs w:val="20"/>
              </w:rPr>
              <w:fldChar w:fldCharType="begin">
                <w:ffData>
                  <w:name w:val="Check3"/>
                  <w:enabled/>
                  <w:calcOnExit w:val="0"/>
                  <w:checkBox>
                    <w:sizeAuto/>
                    <w:default w:val="0"/>
                  </w:checkBox>
                </w:ffData>
              </w:fldChar>
            </w:r>
            <w:r w:rsidRPr="00A9404D">
              <w:rPr>
                <w:rStyle w:val="Strong"/>
                <w:rFonts w:ascii="Arial Narrow" w:hAnsi="Arial Narrow"/>
                <w:sz w:val="20"/>
                <w:szCs w:val="20"/>
              </w:rPr>
              <w:instrText xml:space="preserve"> FORMCHECKBOX </w:instrText>
            </w:r>
            <w:r w:rsidRPr="00A9404D">
              <w:rPr>
                <w:rStyle w:val="Strong"/>
                <w:rFonts w:ascii="Arial Narrow" w:hAnsi="Arial Narrow"/>
                <w:sz w:val="20"/>
                <w:szCs w:val="20"/>
              </w:rPr>
            </w:r>
            <w:r w:rsidRPr="00A9404D">
              <w:rPr>
                <w:rStyle w:val="Strong"/>
                <w:rFonts w:ascii="Arial Narrow" w:hAnsi="Arial Narrow"/>
                <w:sz w:val="20"/>
                <w:szCs w:val="20"/>
              </w:rPr>
              <w:fldChar w:fldCharType="separate"/>
            </w:r>
            <w:r w:rsidRPr="00A9404D">
              <w:rPr>
                <w:rStyle w:val="Strong"/>
                <w:rFonts w:ascii="Arial Narrow" w:hAnsi="Arial Narrow"/>
                <w:sz w:val="20"/>
                <w:szCs w:val="20"/>
              </w:rPr>
              <w:fldChar w:fldCharType="end"/>
            </w:r>
            <w:r w:rsidRPr="00A9404D">
              <w:rPr>
                <w:rStyle w:val="Strong"/>
                <w:rFonts w:ascii="Arial Narrow" w:hAnsi="Arial Narrow"/>
                <w:sz w:val="20"/>
                <w:szCs w:val="20"/>
              </w:rPr>
              <w:t xml:space="preserve">Nurse practitioners </w:t>
            </w:r>
            <w:r w:rsidRPr="00A9404D">
              <w:rPr>
                <w:rStyle w:val="Strong"/>
                <w:rFonts w:ascii="Arial Narrow" w:hAnsi="Arial Narrow"/>
                <w:sz w:val="20"/>
                <w:szCs w:val="20"/>
              </w:rPr>
              <w:fldChar w:fldCharType="begin">
                <w:ffData>
                  <w:name w:val=""/>
                  <w:enabled/>
                  <w:calcOnExit w:val="0"/>
                  <w:checkBox>
                    <w:sizeAuto/>
                    <w:default w:val="0"/>
                  </w:checkBox>
                </w:ffData>
              </w:fldChar>
            </w:r>
            <w:r w:rsidRPr="00A9404D">
              <w:rPr>
                <w:rStyle w:val="Strong"/>
                <w:rFonts w:ascii="Arial Narrow" w:hAnsi="Arial Narrow"/>
                <w:sz w:val="20"/>
                <w:szCs w:val="20"/>
              </w:rPr>
              <w:instrText xml:space="preserve"> FORMCHECKBOX </w:instrText>
            </w:r>
            <w:r w:rsidRPr="00A9404D">
              <w:rPr>
                <w:rStyle w:val="Strong"/>
                <w:rFonts w:ascii="Arial Narrow" w:hAnsi="Arial Narrow"/>
                <w:sz w:val="20"/>
                <w:szCs w:val="20"/>
              </w:rPr>
            </w:r>
            <w:r w:rsidRPr="00A9404D">
              <w:rPr>
                <w:rStyle w:val="Strong"/>
                <w:rFonts w:ascii="Arial Narrow" w:hAnsi="Arial Narrow"/>
                <w:sz w:val="20"/>
                <w:szCs w:val="20"/>
              </w:rPr>
              <w:fldChar w:fldCharType="separate"/>
            </w:r>
            <w:r w:rsidRPr="00A9404D">
              <w:rPr>
                <w:rStyle w:val="Strong"/>
                <w:rFonts w:ascii="Arial Narrow" w:hAnsi="Arial Narrow"/>
                <w:sz w:val="20"/>
                <w:szCs w:val="20"/>
              </w:rPr>
              <w:fldChar w:fldCharType="end"/>
            </w:r>
            <w:r w:rsidRPr="00A9404D">
              <w:rPr>
                <w:rStyle w:val="Strong"/>
                <w:rFonts w:ascii="Arial Narrow" w:hAnsi="Arial Narrow"/>
                <w:sz w:val="20"/>
                <w:szCs w:val="20"/>
              </w:rPr>
              <w:t xml:space="preserve">Optometrists </w:t>
            </w:r>
            <w:r w:rsidRPr="00A9404D">
              <w:rPr>
                <w:rStyle w:val="Strong"/>
                <w:rFonts w:ascii="Arial Narrow" w:hAnsi="Arial Narrow"/>
                <w:sz w:val="20"/>
                <w:szCs w:val="20"/>
              </w:rPr>
              <w:fldChar w:fldCharType="begin">
                <w:ffData>
                  <w:name w:val="Check5"/>
                  <w:enabled/>
                  <w:calcOnExit w:val="0"/>
                  <w:checkBox>
                    <w:sizeAuto/>
                    <w:default w:val="0"/>
                  </w:checkBox>
                </w:ffData>
              </w:fldChar>
            </w:r>
            <w:r w:rsidRPr="00A9404D">
              <w:rPr>
                <w:rStyle w:val="Strong"/>
                <w:rFonts w:ascii="Arial Narrow" w:hAnsi="Arial Narrow"/>
                <w:sz w:val="20"/>
                <w:szCs w:val="20"/>
              </w:rPr>
              <w:instrText xml:space="preserve"> FORMCHECKBOX </w:instrText>
            </w:r>
            <w:r w:rsidRPr="00A9404D">
              <w:rPr>
                <w:rStyle w:val="Strong"/>
                <w:rFonts w:ascii="Arial Narrow" w:hAnsi="Arial Narrow"/>
                <w:sz w:val="20"/>
                <w:szCs w:val="20"/>
              </w:rPr>
            </w:r>
            <w:r w:rsidRPr="00A9404D">
              <w:rPr>
                <w:rStyle w:val="Strong"/>
                <w:rFonts w:ascii="Arial Narrow" w:hAnsi="Arial Narrow"/>
                <w:sz w:val="20"/>
                <w:szCs w:val="20"/>
              </w:rPr>
              <w:fldChar w:fldCharType="separate"/>
            </w:r>
            <w:r w:rsidRPr="00A9404D">
              <w:rPr>
                <w:rStyle w:val="Strong"/>
                <w:rFonts w:ascii="Arial Narrow" w:hAnsi="Arial Narrow"/>
                <w:sz w:val="20"/>
                <w:szCs w:val="20"/>
              </w:rPr>
              <w:fldChar w:fldCharType="end"/>
            </w:r>
            <w:r w:rsidRPr="00A9404D">
              <w:rPr>
                <w:rStyle w:val="Strong"/>
                <w:rFonts w:ascii="Arial Narrow" w:hAnsi="Arial Narrow"/>
                <w:sz w:val="20"/>
                <w:szCs w:val="20"/>
              </w:rPr>
              <w:t>Midwives.</w:t>
            </w:r>
          </w:p>
        </w:tc>
      </w:tr>
      <w:tr w:rsidR="00461262" w:rsidRPr="00A9404D" w14:paraId="59F22043"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120D51"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Restriction Type—assessment time by Services Australia—Method of obtaining authority approval (if Authority Required)</w:t>
            </w:r>
          </w:p>
          <w:p w14:paraId="59959140" w14:textId="77777777" w:rsidR="00461262" w:rsidRPr="00A9404D" w:rsidRDefault="00461262">
            <w:pPr>
              <w:keepNext/>
              <w:keepLines/>
              <w:rPr>
                <w:rFonts w:ascii="Arial Narrow" w:hAnsi="Arial Narrow"/>
                <w:sz w:val="20"/>
                <w:szCs w:val="20"/>
              </w:rPr>
            </w:pPr>
            <w:r w:rsidRPr="00A9404D">
              <w:rPr>
                <w:rFonts w:ascii="Arial Narrow" w:hAnsi="Arial Narrow"/>
                <w:sz w:val="20"/>
                <w:szCs w:val="20"/>
              </w:rPr>
              <w:fldChar w:fldCharType="begin">
                <w:ffData>
                  <w:name w:val=""/>
                  <w:enabled/>
                  <w:calcOnExit w:val="0"/>
                  <w:checkBox>
                    <w:sizeAuto/>
                    <w:default w:val="1"/>
                  </w:checkBox>
                </w:ffData>
              </w:fldChar>
            </w:r>
            <w:r w:rsidRPr="00A9404D">
              <w:rPr>
                <w:rFonts w:ascii="Arial Narrow" w:hAnsi="Arial Narrow"/>
                <w:sz w:val="20"/>
                <w:szCs w:val="20"/>
              </w:rPr>
              <w:instrText xml:space="preserve"> FORMCHECKBOX </w:instrText>
            </w:r>
            <w:r w:rsidRPr="00A9404D">
              <w:rPr>
                <w:rFonts w:ascii="Arial Narrow" w:hAnsi="Arial Narrow"/>
                <w:sz w:val="20"/>
                <w:szCs w:val="20"/>
              </w:rPr>
            </w:r>
            <w:r w:rsidRPr="00A9404D">
              <w:rPr>
                <w:rFonts w:ascii="Arial Narrow" w:hAnsi="Arial Narrow"/>
                <w:sz w:val="20"/>
                <w:szCs w:val="20"/>
              </w:rPr>
              <w:fldChar w:fldCharType="separate"/>
            </w:r>
            <w:r w:rsidRPr="00A9404D">
              <w:rPr>
                <w:rFonts w:ascii="Arial Narrow" w:hAnsi="Arial Narrow"/>
                <w:sz w:val="20"/>
                <w:szCs w:val="20"/>
              </w:rPr>
              <w:fldChar w:fldCharType="end"/>
            </w:r>
            <w:r w:rsidRPr="00A9404D">
              <w:rPr>
                <w:rFonts w:ascii="Arial Narrow" w:hAnsi="Arial Narrow"/>
                <w:sz w:val="20"/>
                <w:szCs w:val="20"/>
              </w:rPr>
              <w:t>Authority Required—Streamlined [new/existing code] (specification of 4-digit code by prescriber to certify that they have read the PBS restriction; no prior assessment by Services Australia; retrospective audit of patient records possible)</w:t>
            </w:r>
          </w:p>
        </w:tc>
      </w:tr>
      <w:tr w:rsidR="00461262" w:rsidRPr="00A9404D" w14:paraId="194826C4"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CC8647"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Episodicity: N/A.</w:t>
            </w:r>
          </w:p>
        </w:tc>
      </w:tr>
      <w:tr w:rsidR="00461262" w:rsidRPr="00A9404D" w14:paraId="2FB2862D"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03DFEF"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 xml:space="preserve">Severity: Recurrent or metastatic. </w:t>
            </w:r>
          </w:p>
        </w:tc>
      </w:tr>
      <w:tr w:rsidR="00461262" w:rsidRPr="00A9404D" w14:paraId="14377ACC"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D24895"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Condition: Nasopharyngeal carcinoma.</w:t>
            </w:r>
          </w:p>
        </w:tc>
      </w:tr>
      <w:tr w:rsidR="00461262" w:rsidRPr="00A9404D" w14:paraId="43FBC1A9"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6EAD51"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Indication: Recurrent or metastatic nasopharyngeal carcinoma.</w:t>
            </w:r>
          </w:p>
        </w:tc>
      </w:tr>
      <w:tr w:rsidR="00461262" w:rsidRPr="00A9404D" w14:paraId="5ED83C55"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143F1"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Treatment Phase: Initial and continuing.</w:t>
            </w:r>
          </w:p>
        </w:tc>
      </w:tr>
      <w:tr w:rsidR="00461262" w:rsidRPr="00A9404D" w14:paraId="1FDC3DBE"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8F632B" w14:textId="77777777" w:rsidR="00461262" w:rsidRPr="00A9404D" w:rsidRDefault="00461262">
            <w:pPr>
              <w:keepNext/>
              <w:keepLines/>
              <w:rPr>
                <w:rFonts w:ascii="Arial Narrow" w:hAnsi="Arial Narrow"/>
                <w:sz w:val="20"/>
                <w:szCs w:val="20"/>
              </w:rPr>
            </w:pPr>
            <w:r w:rsidRPr="00A9404D">
              <w:rPr>
                <w:rFonts w:ascii="Arial Narrow" w:hAnsi="Arial Narrow"/>
                <w:sz w:val="20"/>
                <w:szCs w:val="20"/>
              </w:rPr>
              <w:t>Clinical criteria:</w:t>
            </w:r>
          </w:p>
        </w:tc>
      </w:tr>
      <w:tr w:rsidR="00461262" w:rsidRPr="00A9404D" w14:paraId="378BCA69"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962AF" w14:textId="77777777" w:rsidR="00461262" w:rsidRPr="00A9404D" w:rsidRDefault="00461262">
            <w:pPr>
              <w:pStyle w:val="Tabletext"/>
              <w:keepNext/>
              <w:keepLines/>
              <w:rPr>
                <w:szCs w:val="20"/>
              </w:rPr>
            </w:pPr>
            <w:r w:rsidRPr="00A9404D">
              <w:rPr>
                <w:szCs w:val="20"/>
              </w:rPr>
              <w:t>Patient must have received prior systemic therapy for this condition.</w:t>
            </w:r>
          </w:p>
        </w:tc>
      </w:tr>
      <w:tr w:rsidR="00461262" w:rsidRPr="00A9404D" w14:paraId="3A0F0ACA"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E0FB22" w14:textId="77777777" w:rsidR="00461262" w:rsidRPr="00A9404D" w:rsidRDefault="00461262">
            <w:pPr>
              <w:keepNext/>
              <w:keepLines/>
              <w:rPr>
                <w:rFonts w:ascii="Arial Narrow" w:hAnsi="Arial Narrow"/>
                <w:sz w:val="20"/>
                <w:szCs w:val="20"/>
              </w:rPr>
            </w:pPr>
            <w:r w:rsidRPr="00A9404D">
              <w:rPr>
                <w:rFonts w:ascii="Arial Narrow" w:hAnsi="Arial Narrow"/>
                <w:sz w:val="20"/>
                <w:szCs w:val="20"/>
              </w:rPr>
              <w:t>AND</w:t>
            </w:r>
          </w:p>
        </w:tc>
      </w:tr>
      <w:tr w:rsidR="00461262" w:rsidRPr="00A9404D" w14:paraId="03881C0B"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1DAD23" w14:textId="77777777" w:rsidR="00461262" w:rsidRPr="00A9404D" w:rsidRDefault="00461262">
            <w:pPr>
              <w:keepNext/>
              <w:keepLines/>
              <w:rPr>
                <w:rFonts w:ascii="Arial Narrow" w:hAnsi="Arial Narrow"/>
                <w:sz w:val="20"/>
                <w:szCs w:val="20"/>
              </w:rPr>
            </w:pPr>
            <w:r w:rsidRPr="00A9404D">
              <w:rPr>
                <w:rFonts w:ascii="Arial Narrow" w:hAnsi="Arial Narrow"/>
                <w:sz w:val="20"/>
                <w:szCs w:val="20"/>
              </w:rPr>
              <w:t>Patient must not have experienced disease progression having received a PD-(L)1 inhibitor in a prior line of treatment.</w:t>
            </w:r>
          </w:p>
        </w:tc>
      </w:tr>
      <w:tr w:rsidR="00461262" w:rsidRPr="00A9404D" w14:paraId="35D3531D"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A87D15" w14:textId="77777777" w:rsidR="00461262" w:rsidRPr="00A9404D" w:rsidRDefault="00461262">
            <w:pPr>
              <w:keepNext/>
              <w:keepLines/>
              <w:rPr>
                <w:rFonts w:ascii="Arial Narrow" w:hAnsi="Arial Narrow"/>
                <w:sz w:val="20"/>
                <w:szCs w:val="20"/>
              </w:rPr>
            </w:pPr>
            <w:r w:rsidRPr="00A9404D">
              <w:rPr>
                <w:rFonts w:ascii="Arial Narrow" w:hAnsi="Arial Narrow"/>
                <w:sz w:val="20"/>
                <w:szCs w:val="20"/>
              </w:rPr>
              <w:lastRenderedPageBreak/>
              <w:t>AND</w:t>
            </w:r>
          </w:p>
        </w:tc>
      </w:tr>
      <w:tr w:rsidR="00461262" w:rsidRPr="00A9404D" w14:paraId="32164841"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85A21" w14:textId="77777777" w:rsidR="00461262" w:rsidRPr="00A9404D" w:rsidRDefault="00461262">
            <w:pPr>
              <w:keepNext/>
              <w:keepLines/>
              <w:rPr>
                <w:rFonts w:ascii="Arial Narrow" w:hAnsi="Arial Narrow"/>
                <w:sz w:val="20"/>
                <w:szCs w:val="20"/>
              </w:rPr>
            </w:pPr>
            <w:r w:rsidRPr="00A9404D">
              <w:rPr>
                <w:rFonts w:ascii="Arial Narrow" w:hAnsi="Arial Narrow"/>
                <w:sz w:val="20"/>
                <w:szCs w:val="20"/>
              </w:rPr>
              <w:t>Patient must have/have had a WHO performance status score of no greater than 2 at treatment initiation with this drug.</w:t>
            </w:r>
          </w:p>
        </w:tc>
      </w:tr>
      <w:tr w:rsidR="00461262" w:rsidRPr="00A9404D" w14:paraId="4AE51C81"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DEBC28"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Treatment criteria:</w:t>
            </w:r>
          </w:p>
        </w:tc>
      </w:tr>
      <w:tr w:rsidR="00461262" w:rsidRPr="00A9404D" w14:paraId="1297CFF2"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834FC3" w14:textId="77777777" w:rsidR="00461262" w:rsidRPr="00A9404D" w:rsidRDefault="00461262">
            <w:pPr>
              <w:pStyle w:val="Tabletext"/>
              <w:keepNext/>
              <w:keepLines/>
              <w:rPr>
                <w:szCs w:val="20"/>
              </w:rPr>
            </w:pPr>
            <w:r w:rsidRPr="00A9404D">
              <w:rPr>
                <w:szCs w:val="20"/>
              </w:rPr>
              <w:t>Must be the only PBS subsidised treatment.</w:t>
            </w:r>
          </w:p>
        </w:tc>
      </w:tr>
      <w:tr w:rsidR="00461262" w:rsidRPr="00A9404D" w14:paraId="6270E383"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11442A" w14:textId="77777777" w:rsidR="00461262" w:rsidRPr="00A9404D" w:rsidRDefault="00461262">
            <w:pPr>
              <w:pStyle w:val="Tabletext"/>
              <w:keepNext/>
              <w:keepLines/>
              <w:rPr>
                <w:szCs w:val="20"/>
              </w:rPr>
            </w:pPr>
            <w:r w:rsidRPr="00A9404D">
              <w:rPr>
                <w:szCs w:val="20"/>
              </w:rPr>
              <w:t>AND</w:t>
            </w:r>
          </w:p>
        </w:tc>
      </w:tr>
      <w:tr w:rsidR="00461262" w:rsidRPr="00A9404D" w14:paraId="4798F54E"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D4F3C8" w14:textId="77777777" w:rsidR="00461262" w:rsidRPr="00A9404D" w:rsidRDefault="00461262">
            <w:pPr>
              <w:pStyle w:val="Tabletext"/>
              <w:keepNext/>
              <w:keepLines/>
              <w:rPr>
                <w:szCs w:val="20"/>
              </w:rPr>
            </w:pPr>
            <w:r w:rsidRPr="00A9404D">
              <w:rPr>
                <w:szCs w:val="20"/>
              </w:rPr>
              <w:t>Patient must not be undergoing treatment with this drug beyond 24 months from the first administered dose,</w:t>
            </w:r>
          </w:p>
        </w:tc>
      </w:tr>
      <w:tr w:rsidR="00461262" w:rsidRPr="00A9404D" w14:paraId="06C38B67"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078D46" w14:textId="77777777" w:rsidR="00461262" w:rsidRPr="00A9404D" w:rsidRDefault="00461262">
            <w:pPr>
              <w:pStyle w:val="Tabletext"/>
              <w:keepNext/>
              <w:keepLines/>
              <w:rPr>
                <w:szCs w:val="20"/>
              </w:rPr>
            </w:pPr>
            <w:r w:rsidRPr="00A9404D">
              <w:rPr>
                <w:szCs w:val="20"/>
              </w:rPr>
              <w:t>AND</w:t>
            </w:r>
          </w:p>
        </w:tc>
      </w:tr>
      <w:tr w:rsidR="00461262" w:rsidRPr="00A9404D" w14:paraId="0F3397C5"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C7A126" w14:textId="77777777" w:rsidR="00461262" w:rsidRPr="00A9404D" w:rsidRDefault="00461262">
            <w:pPr>
              <w:pStyle w:val="Tabletext"/>
              <w:keepNext/>
              <w:keepLines/>
              <w:rPr>
                <w:szCs w:val="20"/>
              </w:rPr>
            </w:pPr>
            <w:r w:rsidRPr="00A9404D">
              <w:rPr>
                <w:szCs w:val="20"/>
              </w:rPr>
              <w:t>Patient must be undergoing treatment with this drug for the first time; OR</w:t>
            </w:r>
          </w:p>
          <w:p w14:paraId="037DE129" w14:textId="77777777" w:rsidR="00461262" w:rsidRPr="00A9404D" w:rsidRDefault="00461262">
            <w:pPr>
              <w:pStyle w:val="Tabletext"/>
              <w:keepNext/>
              <w:keepLines/>
              <w:rPr>
                <w:szCs w:val="20"/>
              </w:rPr>
            </w:pPr>
            <w:r w:rsidRPr="00A9404D">
              <w:rPr>
                <w:szCs w:val="20"/>
              </w:rPr>
              <w:t>Patient must be undergoing continuing treatment with this drug, with each of the following being true: (i) all other PBS eligibility criteria in this restriction are met, (ii) disease progression is absent.</w:t>
            </w:r>
          </w:p>
        </w:tc>
      </w:tr>
      <w:tr w:rsidR="00461262" w:rsidRPr="00A9404D" w14:paraId="704A33F6"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22B0B" w14:textId="77777777" w:rsidR="00461262" w:rsidRPr="00A9404D" w:rsidRDefault="00461262" w:rsidP="7AF51647">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Administrative Advice: At the time of the authority application, medical practitioners should request the appropriate number of vials for a single dose based on the patient’s weight, as per the approved Product Information.</w:t>
            </w:r>
          </w:p>
        </w:tc>
      </w:tr>
      <w:tr w:rsidR="00461262" w:rsidRPr="00A9404D" w14:paraId="62056610" w14:textId="77777777" w:rsidTr="7AF51647">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B864F1" w14:textId="77777777" w:rsidR="00461262" w:rsidRPr="00A9404D" w:rsidRDefault="00461262">
            <w:pPr>
              <w:pStyle w:val="Tabletext"/>
              <w:keepNext/>
              <w:keepLines/>
              <w:rPr>
                <w:rStyle w:val="Strong"/>
                <w:rFonts w:ascii="Arial Narrow" w:hAnsi="Arial Narrow"/>
                <w:b w:val="0"/>
                <w:bCs w:val="0"/>
                <w:sz w:val="20"/>
                <w:szCs w:val="20"/>
              </w:rPr>
            </w:pPr>
            <w:r w:rsidRPr="00A9404D">
              <w:rPr>
                <w:rStyle w:val="Strong"/>
                <w:rFonts w:ascii="Arial Narrow" w:hAnsi="Arial Narrow"/>
                <w:b w:val="0"/>
                <w:bCs w:val="0"/>
                <w:sz w:val="20"/>
                <w:szCs w:val="20"/>
              </w:rPr>
              <w:t>Administrative Advice: No increase in the maximum number of repeats may be authorised.</w:t>
            </w:r>
          </w:p>
        </w:tc>
      </w:tr>
    </w:tbl>
    <w:p w14:paraId="79118073" w14:textId="77777777" w:rsidR="00461262" w:rsidRPr="0098262F" w:rsidRDefault="00461262" w:rsidP="004B1CB4"/>
    <w:p w14:paraId="7A2A763E" w14:textId="550F4F56" w:rsidR="001A0582" w:rsidRPr="00EE3108" w:rsidRDefault="001A0582" w:rsidP="7B7B42C7">
      <w:pPr>
        <w:pStyle w:val="3-BodyText"/>
        <w:rPr>
          <w:iCs/>
        </w:rPr>
      </w:pPr>
      <w:bookmarkStart w:id="10" w:name="_Ref193896049"/>
      <w:bookmarkStart w:id="11" w:name="_Ref193799757"/>
      <w:r>
        <w:t xml:space="preserve">The submission </w:t>
      </w:r>
      <w:r w:rsidR="00A56074">
        <w:t>did not propose an</w:t>
      </w:r>
      <w:r>
        <w:t xml:space="preserve"> effective price</w:t>
      </w:r>
      <w:r w:rsidR="00A56074">
        <w:t>, stating that</w:t>
      </w:r>
      <w:r>
        <w:t xml:space="preserve"> “The list price is used in the model as the effective price is to be confirmed following a positive recommendation”</w:t>
      </w:r>
      <w:r w:rsidR="009E3C78">
        <w:t>.</w:t>
      </w:r>
      <w:r>
        <w:t xml:space="preserve"> </w:t>
      </w:r>
      <w:r w:rsidRPr="00A83DE1">
        <w:rPr>
          <w:iCs/>
        </w:rPr>
        <w:t xml:space="preserve">It was therefore unclear </w:t>
      </w:r>
      <w:r w:rsidR="002259EF">
        <w:rPr>
          <w:iCs/>
        </w:rPr>
        <w:t xml:space="preserve">during the evaluation </w:t>
      </w:r>
      <w:r w:rsidRPr="00A83DE1">
        <w:rPr>
          <w:iCs/>
        </w:rPr>
        <w:t xml:space="preserve">as to what the requested price </w:t>
      </w:r>
      <w:r w:rsidR="00CC1BD8" w:rsidRPr="00A83DE1">
        <w:rPr>
          <w:iCs/>
        </w:rPr>
        <w:t>was</w:t>
      </w:r>
      <w:r w:rsidRPr="00A83DE1">
        <w:rPr>
          <w:iCs/>
        </w:rPr>
        <w:t xml:space="preserve"> and whether there was an effective price. </w:t>
      </w:r>
      <w:r w:rsidR="008079A5">
        <w:rPr>
          <w:iCs/>
        </w:rPr>
        <w:t xml:space="preserve">The </w:t>
      </w:r>
      <w:r w:rsidR="00521F94">
        <w:rPr>
          <w:iCs/>
        </w:rPr>
        <w:t xml:space="preserve">pre-PBAC response stated that the effective </w:t>
      </w:r>
      <w:r w:rsidR="0007389E">
        <w:rPr>
          <w:iCs/>
        </w:rPr>
        <w:t xml:space="preserve">ex-manufacturer </w:t>
      </w:r>
      <w:r w:rsidR="00521F94">
        <w:rPr>
          <w:iCs/>
        </w:rPr>
        <w:t xml:space="preserve">price </w:t>
      </w:r>
      <w:r w:rsidR="00027D82">
        <w:rPr>
          <w:iCs/>
        </w:rPr>
        <w:t xml:space="preserve">(EMP) </w:t>
      </w:r>
      <w:r w:rsidR="00521F94">
        <w:rPr>
          <w:iCs/>
        </w:rPr>
        <w:t xml:space="preserve">requested </w:t>
      </w:r>
      <w:r w:rsidR="00442747">
        <w:rPr>
          <w:iCs/>
        </w:rPr>
        <w:t>had been reduced from $</w:t>
      </w:r>
      <w:r w:rsidR="0016738C" w:rsidRPr="002C005D">
        <w:rPr>
          <w:iCs/>
          <w:color w:val="000000"/>
          <w:w w:val="15"/>
          <w:shd w:val="solid" w:color="000000" w:fill="000000"/>
          <w:fitText w:val="-20" w:id="-694443776"/>
          <w14:textFill>
            <w14:solidFill>
              <w14:srgbClr w14:val="000000">
                <w14:alpha w14:val="100000"/>
              </w14:srgbClr>
            </w14:solidFill>
          </w14:textFill>
        </w:rPr>
        <w:t xml:space="preserve">|  </w:t>
      </w:r>
      <w:r w:rsidR="0016738C" w:rsidRPr="002C005D">
        <w:rPr>
          <w:iCs/>
          <w:color w:val="000000"/>
          <w:spacing w:val="-69"/>
          <w:w w:val="15"/>
          <w:shd w:val="solid" w:color="000000" w:fill="000000"/>
          <w:fitText w:val="-20" w:id="-694443776"/>
          <w14:textFill>
            <w14:solidFill>
              <w14:srgbClr w14:val="000000">
                <w14:alpha w14:val="100000"/>
              </w14:srgbClr>
            </w14:solidFill>
          </w14:textFill>
        </w:rPr>
        <w:t>|</w:t>
      </w:r>
      <w:r w:rsidR="00442747">
        <w:rPr>
          <w:iCs/>
        </w:rPr>
        <w:t xml:space="preserve"> to</w:t>
      </w:r>
      <w:r w:rsidR="00521F94">
        <w:rPr>
          <w:iCs/>
        </w:rPr>
        <w:t xml:space="preserve"> $</w:t>
      </w:r>
      <w:r w:rsidR="0016738C" w:rsidRPr="002C005D">
        <w:rPr>
          <w:iCs/>
          <w:color w:val="000000"/>
          <w:w w:val="15"/>
          <w:shd w:val="solid" w:color="000000" w:fill="000000"/>
          <w:fitText w:val="-20" w:id="-694443775"/>
          <w14:textFill>
            <w14:solidFill>
              <w14:srgbClr w14:val="000000">
                <w14:alpha w14:val="100000"/>
              </w14:srgbClr>
            </w14:solidFill>
          </w14:textFill>
        </w:rPr>
        <w:t xml:space="preserve">|  </w:t>
      </w:r>
      <w:r w:rsidR="0016738C" w:rsidRPr="002C005D">
        <w:rPr>
          <w:iCs/>
          <w:color w:val="000000"/>
          <w:spacing w:val="-69"/>
          <w:w w:val="15"/>
          <w:shd w:val="solid" w:color="000000" w:fill="000000"/>
          <w:fitText w:val="-20" w:id="-694443775"/>
          <w14:textFill>
            <w14:solidFill>
              <w14:srgbClr w14:val="000000">
                <w14:alpha w14:val="100000"/>
              </w14:srgbClr>
            </w14:solidFill>
          </w14:textFill>
        </w:rPr>
        <w:t>|</w:t>
      </w:r>
      <w:r w:rsidR="0007389E">
        <w:rPr>
          <w:iCs/>
        </w:rPr>
        <w:t xml:space="preserve"> per 240 mg vial.</w:t>
      </w:r>
      <w:bookmarkEnd w:id="10"/>
      <w:r w:rsidR="00027D82" w:rsidRPr="00027D82">
        <w:t xml:space="preserve"> </w:t>
      </w:r>
      <w:bookmarkEnd w:id="11"/>
    </w:p>
    <w:p w14:paraId="4A0718EA" w14:textId="1750E1D0" w:rsidR="001A0582" w:rsidRPr="00EE3108" w:rsidRDefault="001A0582" w:rsidP="001A0582">
      <w:pPr>
        <w:pStyle w:val="3-BodyText"/>
        <w:rPr>
          <w:iCs/>
        </w:rPr>
      </w:pPr>
      <w:r w:rsidRPr="00EE3108">
        <w:rPr>
          <w:iCs/>
        </w:rPr>
        <w:t>The proposed dosage of toripalimab is 240 mg administered every 3 weeks in combination with chemotherapy in the 1L setting. The proposed maximum quantity of one vial of toripalimab (240</w:t>
      </w:r>
      <w:r w:rsidR="00E44B25" w:rsidRPr="00EE3108">
        <w:rPr>
          <w:iCs/>
        </w:rPr>
        <w:t xml:space="preserve"> </w:t>
      </w:r>
      <w:r w:rsidRPr="00EE3108">
        <w:rPr>
          <w:iCs/>
        </w:rPr>
        <w:t xml:space="preserve">mg) provides sufficient treatment for 21 days at the recommended dose in the 1L setting for both combination (with chemotherapy) or maintenance therapy. </w:t>
      </w:r>
    </w:p>
    <w:p w14:paraId="124CDBCE" w14:textId="34255BC4" w:rsidR="001A0582" w:rsidRPr="00EE3108" w:rsidRDefault="001A0582" w:rsidP="001A0582">
      <w:pPr>
        <w:pStyle w:val="3-BodyText"/>
        <w:rPr>
          <w:iCs/>
        </w:rPr>
      </w:pPr>
      <w:r w:rsidRPr="00EE3108">
        <w:rPr>
          <w:iCs/>
        </w:rPr>
        <w:t xml:space="preserve">The proposed dosage of toripalimab is 3 mg/kg every 2 weeks when administered as monotherapy in the 2L setting. For patients receiving toripalimab monotherapy in the 2L setting, </w:t>
      </w:r>
      <w:r w:rsidR="00210D68">
        <w:rPr>
          <w:iCs/>
        </w:rPr>
        <w:t xml:space="preserve">the submission stated that </w:t>
      </w:r>
      <w:r w:rsidRPr="00EE3108">
        <w:rPr>
          <w:iCs/>
        </w:rPr>
        <w:t xml:space="preserve">medical practitioners should request the appropriate number of vials for a single dose, based on the patient’s weight. </w:t>
      </w:r>
    </w:p>
    <w:p w14:paraId="78FD4C41" w14:textId="72494070" w:rsidR="0064434C" w:rsidRPr="00EE3108" w:rsidRDefault="00FB0CAF" w:rsidP="00F9393E">
      <w:pPr>
        <w:pStyle w:val="3-BodyText"/>
        <w:rPr>
          <w:iCs/>
        </w:rPr>
      </w:pPr>
      <w:r w:rsidRPr="00EE3108">
        <w:rPr>
          <w:iCs/>
        </w:rPr>
        <w:t>The</w:t>
      </w:r>
      <w:r w:rsidR="009359AF" w:rsidRPr="00EE3108">
        <w:rPr>
          <w:iCs/>
        </w:rPr>
        <w:t xml:space="preserve"> requested restriction </w:t>
      </w:r>
      <w:r w:rsidR="00667BE4">
        <w:rPr>
          <w:iCs/>
        </w:rPr>
        <w:t>included the statement</w:t>
      </w:r>
      <w:r w:rsidR="009359AF" w:rsidRPr="00EE3108">
        <w:rPr>
          <w:iCs/>
        </w:rPr>
        <w:t xml:space="preserve">: “Patient must have/have had a WHO performance status score of no greater than 2 at treatment initiation with this drug.” However, the JUPITER-02 trial and the POLARIS-02 study included only patients with </w:t>
      </w:r>
      <w:r w:rsidR="00C320A4" w:rsidRPr="00EE3108">
        <w:rPr>
          <w:iCs/>
        </w:rPr>
        <w:t>Eastern Cooperative Oncology Group (</w:t>
      </w:r>
      <w:r w:rsidR="009359AF" w:rsidRPr="00EE3108">
        <w:rPr>
          <w:iCs/>
        </w:rPr>
        <w:t>ECOG</w:t>
      </w:r>
      <w:r w:rsidR="00C320A4" w:rsidRPr="00EE3108">
        <w:rPr>
          <w:iCs/>
        </w:rPr>
        <w:t>)</w:t>
      </w:r>
      <w:r w:rsidR="009359AF" w:rsidRPr="00EE3108">
        <w:rPr>
          <w:iCs/>
        </w:rPr>
        <w:t xml:space="preserve"> performance status scores of 0 or 1.</w:t>
      </w:r>
      <w:r w:rsidR="00E510C2">
        <w:rPr>
          <w:iCs/>
        </w:rPr>
        <w:t xml:space="preserve"> </w:t>
      </w:r>
    </w:p>
    <w:p w14:paraId="7211606D" w14:textId="4AEE2806" w:rsidR="009359AF" w:rsidRDefault="009359AF" w:rsidP="7B7B42C7">
      <w:pPr>
        <w:pStyle w:val="3-BodyText"/>
        <w:rPr>
          <w:iCs/>
        </w:rPr>
      </w:pPr>
      <w:r w:rsidRPr="00EE3108">
        <w:rPr>
          <w:iCs/>
        </w:rPr>
        <w:t xml:space="preserve">The 1L requested restriction did not restrict use of toripalimab to patients who were not amenable to salvage surgery or re-irradiation. However, patients enrolled in JUPITER-02 must have had RM-NPC </w:t>
      </w:r>
      <w:r w:rsidR="00CC1293" w:rsidRPr="00EE3108">
        <w:rPr>
          <w:iCs/>
        </w:rPr>
        <w:t xml:space="preserve">that </w:t>
      </w:r>
      <w:r w:rsidRPr="00EE3108">
        <w:rPr>
          <w:iCs/>
        </w:rPr>
        <w:t xml:space="preserve">is not amenable for local regional treatment or curative treatment. </w:t>
      </w:r>
    </w:p>
    <w:p w14:paraId="0AD1D158" w14:textId="62A38977" w:rsidR="00B612AA" w:rsidRDefault="00B612AA" w:rsidP="7B7B42C7">
      <w:pPr>
        <w:pStyle w:val="3-BodyText"/>
        <w:rPr>
          <w:iCs/>
        </w:rPr>
      </w:pPr>
      <w:r>
        <w:rPr>
          <w:iCs/>
        </w:rPr>
        <w:t xml:space="preserve">The PBAC noted no grandfathering provisions were requested.  </w:t>
      </w:r>
    </w:p>
    <w:p w14:paraId="0F0B73D4" w14:textId="77777777" w:rsidR="00D62F93" w:rsidRPr="00C33D30" w:rsidRDefault="00D62F93" w:rsidP="00D62F93">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98262F" w:rsidDel="00195452" w:rsidRDefault="00203181" w:rsidP="004E18E9">
      <w:pPr>
        <w:pStyle w:val="2-SectionHeading"/>
      </w:pPr>
      <w:bookmarkStart w:id="12" w:name="_Toc188361217"/>
      <w:r w:rsidRPr="0098262F" w:rsidDel="00195452">
        <w:lastRenderedPageBreak/>
        <w:t xml:space="preserve">Population and </w:t>
      </w:r>
      <w:r w:rsidR="008E0D3C" w:rsidRPr="0098262F" w:rsidDel="00195452">
        <w:t>d</w:t>
      </w:r>
      <w:r w:rsidRPr="0098262F" w:rsidDel="00195452">
        <w:t>isease</w:t>
      </w:r>
      <w:bookmarkEnd w:id="12"/>
    </w:p>
    <w:p w14:paraId="21FDD135" w14:textId="30524CA0" w:rsidR="00894489" w:rsidRPr="00671B85" w:rsidRDefault="00671B85" w:rsidP="004E18E9">
      <w:pPr>
        <w:pStyle w:val="3-BodyText"/>
      </w:pPr>
      <w:r>
        <w:t>NPC</w:t>
      </w:r>
      <w:r w:rsidRPr="00B06951">
        <w:t xml:space="preserve"> is an epithelial carcinoma that arises from the nasopharyngeal mucosal lining, </w:t>
      </w:r>
      <w:r w:rsidR="68CF20B9">
        <w:t xml:space="preserve">and </w:t>
      </w:r>
      <w:r w:rsidR="00775B63">
        <w:t xml:space="preserve">is </w:t>
      </w:r>
      <w:r w:rsidRPr="00B06951">
        <w:t>often observed in the pharyngeal recess. Although it originates from similar tissue lineages as other head and neck epithelial tumo</w:t>
      </w:r>
      <w:r>
        <w:t>u</w:t>
      </w:r>
      <w:r w:rsidRPr="00B06951">
        <w:t xml:space="preserve">rs, NPC is distinct in terms of its epidemiology, histology, natural history, and treatment </w:t>
      </w:r>
      <w:r w:rsidRPr="00671B85">
        <w:t>response.</w:t>
      </w:r>
    </w:p>
    <w:p w14:paraId="5CC2B4ED" w14:textId="54836CF9" w:rsidR="004C660C" w:rsidRDefault="00671B85" w:rsidP="004E18E9">
      <w:pPr>
        <w:pStyle w:val="3-BodyText"/>
      </w:pPr>
      <w:r>
        <w:t xml:space="preserve">NPC is classified histologically into four main pathological subtypes. The keratinising subtype of NPC (type I), which accounts for less than 20% of cases worldwide, is primarily seen in Western </w:t>
      </w:r>
      <w:r w:rsidR="00A47F2D">
        <w:t>countries</w:t>
      </w:r>
      <w:r>
        <w:t xml:space="preserve">, including Australia. In contrast, </w:t>
      </w:r>
      <w:r w:rsidR="4EA92DDD">
        <w:t>in</w:t>
      </w:r>
      <w:r>
        <w:t xml:space="preserve"> NPC-endemic regions with high-incidence rates, such as Southern China, Southeast Asia, the Middle East, and North Africa, </w:t>
      </w:r>
      <w:r w:rsidR="5DEB5FCA">
        <w:t xml:space="preserve">patients </w:t>
      </w:r>
      <w:r>
        <w:t xml:space="preserve">predominantly present with undifferentiated non-keratinising carcinoma (type III), which constitutes around 95% of NPC cases in these </w:t>
      </w:r>
      <w:r w:rsidR="09BBEBE6">
        <w:t>jurisdictions</w:t>
      </w:r>
      <w:r>
        <w:t>. The remain</w:t>
      </w:r>
      <w:r w:rsidR="4820790E">
        <w:t>ing</w:t>
      </w:r>
      <w:r>
        <w:t xml:space="preserve"> </w:t>
      </w:r>
      <w:r w:rsidR="36892A14">
        <w:t>cases</w:t>
      </w:r>
      <w:r>
        <w:t xml:space="preserve"> </w:t>
      </w:r>
      <w:r w:rsidR="36892A14">
        <w:t>are</w:t>
      </w:r>
      <w:r>
        <w:t xml:space="preserve"> primarily differentiated non-keratinising carcinoma (type II). A further, rare subtype is basaloid squamous cell carcinoma. Both non-keratinising subtypes (types II and III) are associated with latent Epstein-Barr virus (EBV) infection</w:t>
      </w:r>
      <w:r w:rsidR="004C660C">
        <w:t xml:space="preserve"> and</w:t>
      </w:r>
      <w:r>
        <w:t xml:space="preserve"> are more responsive to radiation therapy</w:t>
      </w:r>
      <w:r w:rsidR="004C660C">
        <w:t>.</w:t>
      </w:r>
    </w:p>
    <w:p w14:paraId="7451E4EC" w14:textId="34D1C277" w:rsidR="00671B85" w:rsidRDefault="004C660C" w:rsidP="004E18E9">
      <w:pPr>
        <w:pStyle w:val="3-BodyText"/>
      </w:pPr>
      <w:bookmarkStart w:id="13" w:name="_Ref188315248"/>
      <w:r>
        <w:rPr>
          <w:color w:val="000000" w:themeColor="text1"/>
        </w:rPr>
        <w:t>Non-keratinising subtypes also</w:t>
      </w:r>
      <w:r w:rsidDel="004C660C">
        <w:t xml:space="preserve"> </w:t>
      </w:r>
      <w:r w:rsidR="00671B85">
        <w:t>tend to have better survival outcomes compared to the keratinising subtype.</w:t>
      </w:r>
      <w:r>
        <w:t xml:space="preserve"> </w:t>
      </w:r>
      <w:r w:rsidR="006B0717" w:rsidRPr="00A83DE1">
        <w:rPr>
          <w:iCs/>
        </w:rPr>
        <w:t>A number of studies have reported this relationship, some examples include:</w:t>
      </w:r>
      <w:bookmarkEnd w:id="13"/>
    </w:p>
    <w:p w14:paraId="14945E1D" w14:textId="0714F637" w:rsidR="00B90E36" w:rsidRPr="00A83DE1" w:rsidRDefault="00B90E36" w:rsidP="002F1F51">
      <w:pPr>
        <w:pStyle w:val="ListParagraph"/>
        <w:numPr>
          <w:ilvl w:val="0"/>
          <w:numId w:val="4"/>
        </w:numPr>
        <w:ind w:left="993" w:hanging="284"/>
        <w:jc w:val="both"/>
        <w:rPr>
          <w:iCs/>
        </w:rPr>
      </w:pPr>
      <w:r w:rsidRPr="00A83DE1">
        <w:rPr>
          <w:iCs/>
        </w:rPr>
        <w:t>Murakami 2020</w:t>
      </w:r>
      <w:r w:rsidRPr="00A83DE1">
        <w:rPr>
          <w:rStyle w:val="FootnoteReference"/>
          <w:iCs/>
          <w:color w:val="000000" w:themeColor="text1"/>
        </w:rPr>
        <w:footnoteReference w:id="2"/>
      </w:r>
      <w:r w:rsidRPr="00A83DE1">
        <w:rPr>
          <w:iCs/>
        </w:rPr>
        <w:t xml:space="preserve"> reported on the outcomes of 59 consecutive patients who were referred to a single department from May 2009 to September 2017 for chemoradiation therapy for locally advanced NPC. Fifty-one patients (47 non-keratinising and four keratinising) were analysed. Three-year </w:t>
      </w:r>
      <w:r w:rsidR="006834F0">
        <w:rPr>
          <w:iCs/>
        </w:rPr>
        <w:t>progression</w:t>
      </w:r>
      <w:r w:rsidR="00967D9F">
        <w:rPr>
          <w:iCs/>
        </w:rPr>
        <w:t>-</w:t>
      </w:r>
      <w:r w:rsidR="006834F0">
        <w:rPr>
          <w:iCs/>
        </w:rPr>
        <w:t>free survival (</w:t>
      </w:r>
      <w:r w:rsidRPr="00A83DE1">
        <w:rPr>
          <w:iCs/>
        </w:rPr>
        <w:t>PFS</w:t>
      </w:r>
      <w:r w:rsidR="006834F0">
        <w:rPr>
          <w:iCs/>
        </w:rPr>
        <w:t>)</w:t>
      </w:r>
      <w:r w:rsidRPr="00A83DE1">
        <w:rPr>
          <w:iCs/>
        </w:rPr>
        <w:t xml:space="preserve"> for patients with keratinising and non-keratinising squamous cell carcinoma (SCC) were 25.0% and 60.5%, respectively (p=0.033, hazard ratio [HR] 4.851 (95% CI: 1.321, 17.814)). </w:t>
      </w:r>
    </w:p>
    <w:p w14:paraId="1AEB402D" w14:textId="34A47201" w:rsidR="00B90E36" w:rsidRPr="00A83DE1" w:rsidRDefault="00B90E36" w:rsidP="002F1F51">
      <w:pPr>
        <w:pStyle w:val="ListParagraph"/>
        <w:numPr>
          <w:ilvl w:val="0"/>
          <w:numId w:val="4"/>
        </w:numPr>
        <w:ind w:left="993" w:hanging="284"/>
        <w:jc w:val="both"/>
        <w:rPr>
          <w:iCs/>
        </w:rPr>
      </w:pPr>
      <w:r w:rsidRPr="00A83DE1">
        <w:rPr>
          <w:iCs/>
        </w:rPr>
        <w:t>Reddy 1995</w:t>
      </w:r>
      <w:r w:rsidRPr="00A83DE1">
        <w:rPr>
          <w:rStyle w:val="FootnoteReference"/>
          <w:iCs/>
          <w:color w:val="000000" w:themeColor="text1"/>
        </w:rPr>
        <w:footnoteReference w:id="3"/>
      </w:r>
      <w:r w:rsidRPr="00A83DE1">
        <w:rPr>
          <w:iCs/>
        </w:rPr>
        <w:t xml:space="preserve"> reported the survival outcomes of 50 NPC patients (17 with keratinising, 33 with non-keratinising) treated over a period of 15 years (1971-1986) with high-dose megavoltage irradiation with curative intent. Most patients (62%) had advanced disease with the remaining patients having </w:t>
      </w:r>
      <w:r w:rsidR="00A84A1D" w:rsidRPr="00A83DE1">
        <w:rPr>
          <w:iCs/>
        </w:rPr>
        <w:t>early-stage</w:t>
      </w:r>
      <w:r w:rsidRPr="00A83DE1">
        <w:rPr>
          <w:iCs/>
        </w:rPr>
        <w:t xml:space="preserve"> tumours. The 5-year survival rates were 35% for all patients, 6% for those with keratinising squamous-cell cancers</w:t>
      </w:r>
      <w:r w:rsidR="00146FBB" w:rsidRPr="00A83DE1">
        <w:rPr>
          <w:iCs/>
        </w:rPr>
        <w:t xml:space="preserve"> (KSCC</w:t>
      </w:r>
      <w:r w:rsidR="00632C20" w:rsidRPr="00A83DE1">
        <w:rPr>
          <w:iCs/>
        </w:rPr>
        <w:t>s</w:t>
      </w:r>
      <w:r w:rsidR="00146FBB" w:rsidRPr="00A83DE1">
        <w:rPr>
          <w:iCs/>
        </w:rPr>
        <w:t>)</w:t>
      </w:r>
      <w:r w:rsidRPr="00A83DE1">
        <w:rPr>
          <w:iCs/>
        </w:rPr>
        <w:t>, and 51% for non-keratinising (p=0.001).</w:t>
      </w:r>
    </w:p>
    <w:p w14:paraId="64085A25" w14:textId="0DB59CB5" w:rsidR="00B90E36" w:rsidRPr="002343BC" w:rsidRDefault="00B90E36" w:rsidP="7AF51647">
      <w:pPr>
        <w:pStyle w:val="ListParagraph"/>
        <w:ind w:left="993" w:hanging="284"/>
        <w:jc w:val="both"/>
      </w:pPr>
      <w:r w:rsidRPr="7AF51647">
        <w:lastRenderedPageBreak/>
        <w:t>Numerous studies have been published analysing Surveillance, Epidemiology and End-Results (SEER) data. One of the largest was reported by Wu 2019</w:t>
      </w:r>
      <w:r w:rsidRPr="7AF51647">
        <w:rPr>
          <w:rStyle w:val="FootnoteReference"/>
          <w:color w:val="000000" w:themeColor="text1"/>
        </w:rPr>
        <w:footnoteReference w:id="4"/>
      </w:r>
      <w:r w:rsidRPr="7AF51647">
        <w:t xml:space="preserve"> that analysed data from non-metastatic NPC patients between 2004 and 2014. The study included 2,845 patients (1,218 (42.8%), 849 (29.8%), and 778 (27.3%)) with KSCC</w:t>
      </w:r>
      <w:r w:rsidR="004A2586" w:rsidRPr="7AF51647">
        <w:t>s</w:t>
      </w:r>
      <w:r w:rsidRPr="7AF51647">
        <w:t xml:space="preserve">, differentiated non-keratinising carcinoma (DNKC), and undifferentiated non-keratinising carcinoma (UNKC), respectively). The authors reported there was comparable distribution of </w:t>
      </w:r>
      <w:r w:rsidR="00A307AB" w:rsidRPr="7AF51647">
        <w:t>tumour-node-metastasis (</w:t>
      </w:r>
      <w:r w:rsidRPr="7AF51647">
        <w:t>TNM</w:t>
      </w:r>
      <w:r w:rsidR="00A307AB" w:rsidRPr="00A83DE1">
        <w:rPr>
          <w:iCs/>
        </w:rPr>
        <w:t>)</w:t>
      </w:r>
      <w:r w:rsidRPr="7AF51647">
        <w:t xml:space="preserve"> stage among the three histological subtypes (p=0.191). The median follow-up time was 45 months (range, 0–143 months). Multivariate Cox regression analysis, adjusted by age, race/ethnicity, tumour stage, nodal stage, and chemotherapy indicated that those with KSCC had poorer NPC-specific survival than those with UNKC (HR 2.323, 95% CI: 1.636–3.297, p&lt;0.001).</w:t>
      </w:r>
    </w:p>
    <w:p w14:paraId="33D7860D" w14:textId="1FF13913" w:rsidR="00106B32" w:rsidRDefault="00106B32" w:rsidP="7B7B42C7">
      <w:pPr>
        <w:pStyle w:val="3-BodyText"/>
        <w:rPr>
          <w:iCs/>
        </w:rPr>
      </w:pPr>
      <w:r>
        <w:rPr>
          <w:iCs/>
        </w:rPr>
        <w:t xml:space="preserve">The pre-PBAC response </w:t>
      </w:r>
      <w:r w:rsidR="00D54D0F">
        <w:rPr>
          <w:iCs/>
        </w:rPr>
        <w:t xml:space="preserve">acknowledged </w:t>
      </w:r>
      <w:r>
        <w:rPr>
          <w:iCs/>
        </w:rPr>
        <w:t xml:space="preserve">that </w:t>
      </w:r>
      <w:r w:rsidR="00A467E5">
        <w:rPr>
          <w:iCs/>
        </w:rPr>
        <w:t xml:space="preserve">a higher proportion of patients </w:t>
      </w:r>
      <w:r w:rsidR="0070130D">
        <w:rPr>
          <w:iCs/>
        </w:rPr>
        <w:t xml:space="preserve">in Western countries such as Australia are </w:t>
      </w:r>
      <w:r w:rsidR="00A467E5">
        <w:rPr>
          <w:iCs/>
        </w:rPr>
        <w:t xml:space="preserve">expected to be diagnosed with the </w:t>
      </w:r>
      <w:r w:rsidR="00D8489A">
        <w:rPr>
          <w:iCs/>
        </w:rPr>
        <w:t>keratinising</w:t>
      </w:r>
      <w:r w:rsidR="00A467E5">
        <w:rPr>
          <w:iCs/>
        </w:rPr>
        <w:t xml:space="preserve"> subtype of NPC</w:t>
      </w:r>
      <w:r w:rsidR="0070130D">
        <w:rPr>
          <w:iCs/>
        </w:rPr>
        <w:t>, which typically has a worse prognosis</w:t>
      </w:r>
      <w:r w:rsidR="007B415F">
        <w:rPr>
          <w:iCs/>
        </w:rPr>
        <w:t>, but stated that a substantial proportion of patients in Australia are still expected to have non-keratinising NPC</w:t>
      </w:r>
      <w:r w:rsidR="0070130D">
        <w:rPr>
          <w:iCs/>
        </w:rPr>
        <w:t>.</w:t>
      </w:r>
    </w:p>
    <w:p w14:paraId="0927C399" w14:textId="66DC7DEB" w:rsidR="002C4F9A" w:rsidRPr="00EE3108" w:rsidRDefault="002C4F9A" w:rsidP="7B7B42C7">
      <w:pPr>
        <w:pStyle w:val="3-BodyText"/>
        <w:rPr>
          <w:iCs/>
        </w:rPr>
      </w:pPr>
      <w:r w:rsidRPr="00EE3108">
        <w:rPr>
          <w:iCs/>
        </w:rPr>
        <w:t>The ESC noted that as an epithelial carcinoma</w:t>
      </w:r>
      <w:r w:rsidR="00D735E5" w:rsidRPr="00EE3108">
        <w:rPr>
          <w:iCs/>
        </w:rPr>
        <w:t>, it can take a while to progress and that patients diagnosed with NPC typically present quite late</w:t>
      </w:r>
      <w:r w:rsidR="00D10AAF" w:rsidRPr="00EE3108">
        <w:rPr>
          <w:iCs/>
        </w:rPr>
        <w:t xml:space="preserve">. </w:t>
      </w:r>
    </w:p>
    <w:p w14:paraId="4CFCB597" w14:textId="150F5AFC" w:rsidR="002343BC" w:rsidRPr="00EE3108" w:rsidDel="00195452" w:rsidRDefault="002343BC" w:rsidP="002343BC">
      <w:pPr>
        <w:pStyle w:val="3-BodyText"/>
        <w:rPr>
          <w:iCs/>
        </w:rPr>
      </w:pPr>
      <w:r w:rsidRPr="00EE3108">
        <w:rPr>
          <w:iCs/>
        </w:rPr>
        <w:t xml:space="preserve">The </w:t>
      </w:r>
      <w:r w:rsidR="00717409" w:rsidRPr="00EE3108">
        <w:rPr>
          <w:iCs/>
        </w:rPr>
        <w:t xml:space="preserve">ESC noted that </w:t>
      </w:r>
      <w:r w:rsidRPr="00EE3108">
        <w:rPr>
          <w:iCs/>
        </w:rPr>
        <w:t>use of toripalimab in 1L and 2L RM-NPC is supported by a Category 1 recommendation in the National Comprehensive Cancer Network guidelines (National Comprehensive Cancer Network (NCCN), 202</w:t>
      </w:r>
      <w:r w:rsidR="00026880" w:rsidRPr="00EE3108">
        <w:rPr>
          <w:iCs/>
        </w:rPr>
        <w:t>5</w:t>
      </w:r>
      <w:r w:rsidRPr="00EE3108">
        <w:rPr>
          <w:iCs/>
        </w:rPr>
        <w:t>).</w:t>
      </w:r>
      <w:r w:rsidR="0056084E" w:rsidRPr="00EE3108">
        <w:rPr>
          <w:iCs/>
        </w:rPr>
        <w:t xml:space="preserve"> The ESC noted that the 2L recommendation is for use as monotherapy </w:t>
      </w:r>
      <w:r w:rsidR="000530BD" w:rsidRPr="00EE3108">
        <w:rPr>
          <w:iCs/>
        </w:rPr>
        <w:t>following disease progression on or after platinum-containing therapy.</w:t>
      </w:r>
    </w:p>
    <w:p w14:paraId="11FCAAEE" w14:textId="0F804F4A" w:rsidR="007627BE" w:rsidRDefault="009D3BAA" w:rsidP="004E18E9">
      <w:pPr>
        <w:pStyle w:val="3-BodyText"/>
        <w:rPr>
          <w:iCs/>
        </w:rPr>
      </w:pPr>
      <w:r w:rsidRPr="00EE3108">
        <w:rPr>
          <w:iCs/>
        </w:rPr>
        <w:t>Toripalimab is a humanised IgG</w:t>
      </w:r>
      <w:r w:rsidRPr="00EE3108">
        <w:rPr>
          <w:iCs/>
          <w:vertAlign w:val="subscript"/>
        </w:rPr>
        <w:t xml:space="preserve">4k </w:t>
      </w:r>
      <w:r w:rsidRPr="00EE3108">
        <w:rPr>
          <w:iCs/>
        </w:rPr>
        <w:t xml:space="preserve">(gamma 4, kappa) monoclonal antibody specific for </w:t>
      </w:r>
      <w:r w:rsidR="00567892" w:rsidRPr="00EE3108">
        <w:rPr>
          <w:iCs/>
        </w:rPr>
        <w:t>programmed cell death protein 1 (</w:t>
      </w:r>
      <w:r w:rsidRPr="00EE3108">
        <w:rPr>
          <w:iCs/>
        </w:rPr>
        <w:t>PD-1</w:t>
      </w:r>
      <w:r w:rsidR="00567892" w:rsidRPr="00EE3108">
        <w:rPr>
          <w:iCs/>
        </w:rPr>
        <w:t>)</w:t>
      </w:r>
      <w:r w:rsidRPr="00EE3108">
        <w:rPr>
          <w:iCs/>
        </w:rPr>
        <w:t>, a co-inhibitory receptor expressed on T-cells. Toripalimab has a high affinity and blocks interaction between PD-1 and its ligand, programmed cell death ligand 1 (PD-L1; B7-H1 or CD274).</w:t>
      </w:r>
      <w:r w:rsidR="00472CBF" w:rsidRPr="00EE3108">
        <w:rPr>
          <w:iCs/>
        </w:rPr>
        <w:t xml:space="preserve"> </w:t>
      </w:r>
    </w:p>
    <w:p w14:paraId="77C709FC" w14:textId="77777777" w:rsidR="00D62F93" w:rsidRPr="00C33D30" w:rsidRDefault="00D62F93" w:rsidP="00D62F93">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EE3108" w:rsidRDefault="00B50DB8" w:rsidP="004E18E9">
      <w:pPr>
        <w:pStyle w:val="2-SectionHeading"/>
        <w:rPr>
          <w:iCs/>
        </w:rPr>
      </w:pPr>
      <w:bookmarkStart w:id="14" w:name="_Toc188361218"/>
      <w:r w:rsidRPr="00EE3108">
        <w:rPr>
          <w:iCs/>
        </w:rPr>
        <w:t>Comparator</w:t>
      </w:r>
      <w:bookmarkEnd w:id="14"/>
    </w:p>
    <w:p w14:paraId="4FC9D58B" w14:textId="0388E374" w:rsidR="0070333B" w:rsidRPr="00EE3108" w:rsidRDefault="00F84F6F" w:rsidP="00882E3C">
      <w:pPr>
        <w:pStyle w:val="3-BodyText"/>
        <w:rPr>
          <w:iCs/>
        </w:rPr>
      </w:pPr>
      <w:r w:rsidRPr="00EE3108">
        <w:rPr>
          <w:iCs/>
        </w:rPr>
        <w:t xml:space="preserve">The ESC noted that there are no TGA approved therapies specifically </w:t>
      </w:r>
      <w:r w:rsidR="00F83869" w:rsidRPr="00EE3108">
        <w:rPr>
          <w:iCs/>
        </w:rPr>
        <w:t xml:space="preserve">for NPC and that in clinical practice, </w:t>
      </w:r>
      <w:r w:rsidR="0008377F" w:rsidRPr="00EE3108">
        <w:rPr>
          <w:iCs/>
        </w:rPr>
        <w:t xml:space="preserve">patients are treated with </w:t>
      </w:r>
      <w:r w:rsidR="00F83869" w:rsidRPr="00EE3108">
        <w:rPr>
          <w:iCs/>
        </w:rPr>
        <w:t>chemotherapy combinations that have been in use for mo</w:t>
      </w:r>
      <w:r w:rsidR="00F93979">
        <w:rPr>
          <w:iCs/>
        </w:rPr>
        <w:t>r</w:t>
      </w:r>
      <w:r w:rsidR="00F83869" w:rsidRPr="00EE3108">
        <w:rPr>
          <w:iCs/>
        </w:rPr>
        <w:t>e than 20 years</w:t>
      </w:r>
      <w:r w:rsidR="0008377F" w:rsidRPr="00EE3108">
        <w:rPr>
          <w:iCs/>
        </w:rPr>
        <w:t xml:space="preserve">. </w:t>
      </w:r>
    </w:p>
    <w:p w14:paraId="6F6EDEAB" w14:textId="19C5AEA6" w:rsidR="00472CBF" w:rsidRPr="00EE3108" w:rsidRDefault="00472CBF" w:rsidP="00882E3C">
      <w:pPr>
        <w:pStyle w:val="3-BodyText"/>
        <w:rPr>
          <w:iCs/>
        </w:rPr>
      </w:pPr>
      <w:r w:rsidRPr="00EE3108">
        <w:rPr>
          <w:iCs/>
        </w:rPr>
        <w:t xml:space="preserve">The </w:t>
      </w:r>
      <w:r w:rsidR="0008377F" w:rsidRPr="00EE3108">
        <w:rPr>
          <w:iCs/>
        </w:rPr>
        <w:t xml:space="preserve">ESC agreed that the </w:t>
      </w:r>
      <w:r w:rsidRPr="00EE3108">
        <w:rPr>
          <w:iCs/>
        </w:rPr>
        <w:t xml:space="preserve">submission reasonably nominated standard of care chemotherapy as the main comparator in the 1L setting, specifically cisplatin-gemcitabine (Cis+Gem). </w:t>
      </w:r>
    </w:p>
    <w:p w14:paraId="4C5B748D" w14:textId="063C196F" w:rsidR="006B0717" w:rsidRDefault="5940220C" w:rsidP="00775B63">
      <w:pPr>
        <w:pStyle w:val="3-BodyText"/>
        <w:rPr>
          <w:iCs/>
        </w:rPr>
      </w:pPr>
      <w:r w:rsidRPr="00EE3108">
        <w:rPr>
          <w:iCs/>
        </w:rPr>
        <w:lastRenderedPageBreak/>
        <w:t xml:space="preserve">In the 2L setting, single-agent chemotherapy was nominated as the comparator on the basis that treatment in 2L is extremely limited and involves gemcitabine as a single-agent </w:t>
      </w:r>
      <w:r w:rsidR="2F97DBD6" w:rsidRPr="00EE3108">
        <w:rPr>
          <w:iCs/>
        </w:rPr>
        <w:t>and</w:t>
      </w:r>
      <w:r w:rsidRPr="00EE3108">
        <w:rPr>
          <w:iCs/>
        </w:rPr>
        <w:t xml:space="preserve"> the only PBS-listed therapy available.</w:t>
      </w:r>
      <w:r w:rsidR="001E1880" w:rsidRPr="00EE3108">
        <w:rPr>
          <w:iCs/>
        </w:rPr>
        <w:t xml:space="preserve"> </w:t>
      </w:r>
    </w:p>
    <w:p w14:paraId="1218FDAB" w14:textId="77777777" w:rsidR="00D62F93" w:rsidRPr="00C33D30" w:rsidRDefault="00D62F93" w:rsidP="00D62F93">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98262F" w:rsidRDefault="00223D5A" w:rsidP="688166D9">
      <w:pPr>
        <w:pStyle w:val="2-SectionHeading"/>
      </w:pPr>
      <w:bookmarkStart w:id="15" w:name="_Toc188361219"/>
      <w:bookmarkStart w:id="16" w:name="_Toc22897640"/>
      <w:r w:rsidRPr="0098262F">
        <w:t>Consideration of the evidence</w:t>
      </w:r>
      <w:bookmarkEnd w:id="15"/>
    </w:p>
    <w:p w14:paraId="6519E19C" w14:textId="77777777" w:rsidR="005E62F2" w:rsidRPr="006E1229" w:rsidRDefault="005E62F2" w:rsidP="00A17924">
      <w:pPr>
        <w:pStyle w:val="4-SubsectionHeading"/>
      </w:pPr>
      <w:bookmarkStart w:id="17" w:name="_Hlk76375935"/>
      <w:bookmarkStart w:id="18" w:name="_Toc188361220"/>
      <w:r w:rsidRPr="006E1229">
        <w:t>Sponsor hearing</w:t>
      </w:r>
    </w:p>
    <w:p w14:paraId="3C9496D8" w14:textId="537F2971" w:rsidR="00356694" w:rsidRPr="00A660CB" w:rsidRDefault="00356694" w:rsidP="00356694">
      <w:pPr>
        <w:widowControl w:val="0"/>
        <w:numPr>
          <w:ilvl w:val="1"/>
          <w:numId w:val="1"/>
        </w:numPr>
        <w:spacing w:after="120"/>
        <w:rPr>
          <w:rFonts w:asciiTheme="minorHAnsi" w:hAnsiTheme="minorHAnsi"/>
          <w:bCs/>
          <w:snapToGrid w:val="0"/>
        </w:rPr>
      </w:pPr>
      <w:bookmarkStart w:id="19" w:name="_Hlk76382586"/>
      <w:r w:rsidRPr="001D7412">
        <w:rPr>
          <w:rFonts w:asciiTheme="minorHAnsi" w:hAnsiTheme="minorHAnsi"/>
          <w:bCs/>
          <w:snapToGrid w:val="0"/>
        </w:rPr>
        <w:t>The sponsor requested a hearing for this item</w:t>
      </w:r>
      <w:r w:rsidRPr="00A660CB">
        <w:rPr>
          <w:rFonts w:asciiTheme="minorHAnsi" w:hAnsiTheme="minorHAnsi"/>
          <w:bCs/>
          <w:snapToGrid w:val="0"/>
        </w:rPr>
        <w:t xml:space="preserve">.  </w:t>
      </w:r>
      <w:r w:rsidR="00430C64">
        <w:rPr>
          <w:rFonts w:asciiTheme="minorHAnsi" w:hAnsiTheme="minorHAnsi"/>
          <w:bCs/>
          <w:snapToGrid w:val="0"/>
        </w:rPr>
        <w:t xml:space="preserve">The clinician presented an overview of </w:t>
      </w:r>
      <w:r w:rsidR="002F4D4E">
        <w:rPr>
          <w:rFonts w:asciiTheme="minorHAnsi" w:hAnsiTheme="minorHAnsi"/>
          <w:bCs/>
          <w:snapToGrid w:val="0"/>
        </w:rPr>
        <w:t xml:space="preserve">the current treatment of </w:t>
      </w:r>
      <w:r w:rsidR="00E66A30">
        <w:rPr>
          <w:rFonts w:asciiTheme="minorHAnsi" w:hAnsiTheme="minorHAnsi"/>
          <w:bCs/>
          <w:snapToGrid w:val="0"/>
        </w:rPr>
        <w:t>RM-NPC in Australia and discussed the results of the JUPITER-02 trial</w:t>
      </w:r>
      <w:r w:rsidR="00947525">
        <w:rPr>
          <w:rFonts w:asciiTheme="minorHAnsi" w:hAnsiTheme="minorHAnsi"/>
          <w:bCs/>
          <w:snapToGrid w:val="0"/>
        </w:rPr>
        <w:t xml:space="preserve">, stating that there is an unmet need for new treatment options that </w:t>
      </w:r>
      <w:r w:rsidR="00F60803">
        <w:rPr>
          <w:rFonts w:asciiTheme="minorHAnsi" w:hAnsiTheme="minorHAnsi"/>
          <w:bCs/>
          <w:snapToGrid w:val="0"/>
        </w:rPr>
        <w:t xml:space="preserve">will </w:t>
      </w:r>
      <w:r w:rsidR="00947525">
        <w:rPr>
          <w:rFonts w:asciiTheme="minorHAnsi" w:hAnsiTheme="minorHAnsi"/>
          <w:bCs/>
          <w:snapToGrid w:val="0"/>
        </w:rPr>
        <w:t>improve survival</w:t>
      </w:r>
      <w:r w:rsidR="00051435">
        <w:rPr>
          <w:rFonts w:asciiTheme="minorHAnsi" w:hAnsiTheme="minorHAnsi"/>
          <w:bCs/>
          <w:snapToGrid w:val="0"/>
        </w:rPr>
        <w:t>, where the typical patient is young and otherwise well</w:t>
      </w:r>
      <w:r w:rsidR="00E66A30">
        <w:rPr>
          <w:rFonts w:asciiTheme="minorHAnsi" w:hAnsiTheme="minorHAnsi"/>
          <w:bCs/>
          <w:snapToGrid w:val="0"/>
        </w:rPr>
        <w:t xml:space="preserve">. </w:t>
      </w:r>
    </w:p>
    <w:bookmarkEnd w:id="19"/>
    <w:p w14:paraId="6FF704CE" w14:textId="77777777" w:rsidR="005E62F2" w:rsidRPr="006E1229" w:rsidRDefault="005E62F2" w:rsidP="00A17924">
      <w:pPr>
        <w:pStyle w:val="4-SubsectionHeading"/>
      </w:pPr>
      <w:r w:rsidRPr="006E1229">
        <w:t>Consumer comments</w:t>
      </w:r>
    </w:p>
    <w:p w14:paraId="11C42881" w14:textId="630ED090" w:rsidR="00AC5559" w:rsidRPr="00D407EA" w:rsidRDefault="005E62F2">
      <w:pPr>
        <w:widowControl w:val="0"/>
        <w:numPr>
          <w:ilvl w:val="1"/>
          <w:numId w:val="1"/>
        </w:numPr>
        <w:spacing w:after="120"/>
        <w:rPr>
          <w:rFonts w:asciiTheme="minorHAnsi" w:hAnsiTheme="minorHAnsi"/>
          <w:bCs/>
          <w:snapToGrid w:val="0"/>
        </w:rPr>
      </w:pPr>
      <w:bookmarkStart w:id="20" w:name="_Hlk76382618"/>
      <w:r w:rsidRPr="00D407EA">
        <w:rPr>
          <w:rFonts w:asciiTheme="minorHAnsi" w:hAnsiTheme="minorHAnsi"/>
          <w:bCs/>
          <w:snapToGrid w:val="0"/>
        </w:rPr>
        <w:t xml:space="preserve">The PBAC noted and welcomed the input from </w:t>
      </w:r>
      <w:r w:rsidR="003C0D19" w:rsidRPr="00D407EA">
        <w:rPr>
          <w:rFonts w:asciiTheme="minorHAnsi" w:hAnsiTheme="minorHAnsi"/>
          <w:bCs/>
          <w:snapToGrid w:val="0"/>
        </w:rPr>
        <w:t xml:space="preserve">Rare Cancers Australia and the </w:t>
      </w:r>
      <w:r w:rsidR="00922B7D" w:rsidRPr="00D407EA">
        <w:rPr>
          <w:rFonts w:asciiTheme="minorHAnsi" w:hAnsiTheme="minorHAnsi"/>
          <w:bCs/>
          <w:snapToGrid w:val="0"/>
        </w:rPr>
        <w:t>Medical Oncology Group of Australia</w:t>
      </w:r>
      <w:r w:rsidRPr="00D407EA">
        <w:rPr>
          <w:rFonts w:asciiTheme="minorHAnsi" w:hAnsiTheme="minorHAnsi"/>
          <w:bCs/>
          <w:snapToGrid w:val="0"/>
        </w:rPr>
        <w:t xml:space="preserve"> via the Consumer Comments facility on the PBS website.  </w:t>
      </w:r>
      <w:r w:rsidR="006D4E59">
        <w:rPr>
          <w:rFonts w:asciiTheme="minorHAnsi" w:hAnsiTheme="minorHAnsi"/>
          <w:bCs/>
          <w:snapToGrid w:val="0"/>
        </w:rPr>
        <w:t xml:space="preserve">Rare Cancers Australia highlighted that patients with NPC have a poor prognosis, that there is significant morbidity associated with the condition and that patients face significant financial burden. </w:t>
      </w:r>
      <w:r w:rsidR="006D4E59" w:rsidRPr="00D407EA">
        <w:rPr>
          <w:rFonts w:asciiTheme="minorHAnsi" w:hAnsiTheme="minorHAnsi"/>
          <w:bCs/>
          <w:snapToGrid w:val="0"/>
        </w:rPr>
        <w:t xml:space="preserve"> </w:t>
      </w:r>
      <w:r w:rsidR="00AC5559" w:rsidRPr="00D407EA">
        <w:rPr>
          <w:rFonts w:asciiTheme="minorHAnsi" w:hAnsiTheme="minorHAnsi"/>
          <w:bCs/>
          <w:snapToGrid w:val="0"/>
        </w:rPr>
        <w:t xml:space="preserve">The Medical Oncology Group of Australia (MOGA) expressed its strong support for the </w:t>
      </w:r>
      <w:r w:rsidR="00D24AB9" w:rsidRPr="00D407EA">
        <w:rPr>
          <w:rFonts w:asciiTheme="minorHAnsi" w:hAnsiTheme="minorHAnsi"/>
          <w:bCs/>
          <w:snapToGrid w:val="0"/>
        </w:rPr>
        <w:t>toripalimab</w:t>
      </w:r>
      <w:r w:rsidR="00AC5559" w:rsidRPr="00D407EA">
        <w:rPr>
          <w:rFonts w:asciiTheme="minorHAnsi" w:hAnsiTheme="minorHAnsi"/>
          <w:bCs/>
          <w:snapToGrid w:val="0"/>
        </w:rPr>
        <w:t xml:space="preserve"> submission, categorising it as one of the therapies of “high priority for PBS listing” on the basis of the </w:t>
      </w:r>
      <w:r w:rsidR="00D24AB9" w:rsidRPr="00D407EA">
        <w:rPr>
          <w:rFonts w:asciiTheme="minorHAnsi" w:hAnsiTheme="minorHAnsi"/>
          <w:bCs/>
          <w:snapToGrid w:val="0"/>
        </w:rPr>
        <w:t>JUPITER-02</w:t>
      </w:r>
      <w:r w:rsidR="002049EB" w:rsidRPr="00D407EA">
        <w:rPr>
          <w:rFonts w:asciiTheme="minorHAnsi" w:hAnsiTheme="minorHAnsi"/>
          <w:bCs/>
          <w:snapToGrid w:val="0"/>
        </w:rPr>
        <w:t xml:space="preserve"> and POLARIS-02</w:t>
      </w:r>
      <w:r w:rsidR="00AC5559" w:rsidRPr="00D407EA">
        <w:rPr>
          <w:rFonts w:asciiTheme="minorHAnsi" w:hAnsiTheme="minorHAnsi"/>
          <w:bCs/>
          <w:snapToGrid w:val="0"/>
        </w:rPr>
        <w:t xml:space="preserve"> trial. The PBAC noted that the MOGA presented a European Society for Medical Oncology Magnitude of Clinical Benefit Scale (ESMO-MCBS) for </w:t>
      </w:r>
      <w:r w:rsidR="00705328" w:rsidRPr="00D407EA">
        <w:rPr>
          <w:rFonts w:asciiTheme="minorHAnsi" w:hAnsiTheme="minorHAnsi"/>
          <w:bCs/>
          <w:snapToGrid w:val="0"/>
        </w:rPr>
        <w:t>toripalimab</w:t>
      </w:r>
      <w:r w:rsidR="00AC5559" w:rsidRPr="00D407EA">
        <w:rPr>
          <w:rFonts w:asciiTheme="minorHAnsi" w:hAnsiTheme="minorHAnsi"/>
          <w:bCs/>
          <w:snapToGrid w:val="0"/>
        </w:rPr>
        <w:t xml:space="preserve">, which was limited to </w:t>
      </w:r>
      <w:r w:rsidR="00705328" w:rsidRPr="00D407EA">
        <w:rPr>
          <w:rFonts w:asciiTheme="minorHAnsi" w:hAnsiTheme="minorHAnsi"/>
          <w:bCs/>
          <w:snapToGrid w:val="0"/>
        </w:rPr>
        <w:t>3</w:t>
      </w:r>
      <w:r w:rsidR="00AC5559" w:rsidRPr="00D407EA">
        <w:rPr>
          <w:rFonts w:asciiTheme="minorHAnsi" w:hAnsiTheme="minorHAnsi"/>
          <w:bCs/>
          <w:snapToGrid w:val="0"/>
        </w:rPr>
        <w:t xml:space="preserve"> (out of a maximum of 5, where 5 and 4 represent the grades with substantial improvement)</w:t>
      </w:r>
      <w:r w:rsidR="008F7A62">
        <w:rPr>
          <w:rStyle w:val="FootnoteReference"/>
          <w:rFonts w:asciiTheme="minorHAnsi" w:hAnsiTheme="minorHAnsi"/>
          <w:bCs/>
          <w:snapToGrid w:val="0"/>
        </w:rPr>
        <w:footnoteReference w:id="5"/>
      </w:r>
      <w:r w:rsidR="00AC5559" w:rsidRPr="00D407EA">
        <w:rPr>
          <w:rFonts w:asciiTheme="minorHAnsi" w:hAnsiTheme="minorHAnsi"/>
          <w:bCs/>
          <w:snapToGrid w:val="0"/>
        </w:rPr>
        <w:t xml:space="preserve">, based on a comparison with </w:t>
      </w:r>
      <w:r w:rsidR="001C7EF6" w:rsidRPr="00D407EA">
        <w:rPr>
          <w:rFonts w:asciiTheme="minorHAnsi" w:hAnsiTheme="minorHAnsi"/>
          <w:bCs/>
          <w:snapToGrid w:val="0"/>
        </w:rPr>
        <w:t>placebo</w:t>
      </w:r>
      <w:r w:rsidR="00946B83" w:rsidRPr="00D407EA">
        <w:rPr>
          <w:rFonts w:asciiTheme="minorHAnsi" w:hAnsiTheme="minorHAnsi"/>
          <w:bCs/>
          <w:snapToGrid w:val="0"/>
        </w:rPr>
        <w:t xml:space="preserve"> (in combination with cisplatin and gemcitabine)</w:t>
      </w:r>
      <w:r w:rsidR="00DA7CB3">
        <w:rPr>
          <w:rFonts w:asciiTheme="minorHAnsi" w:hAnsiTheme="minorHAnsi"/>
          <w:bCs/>
          <w:snapToGrid w:val="0"/>
        </w:rPr>
        <w:t>.</w:t>
      </w:r>
      <w:r w:rsidR="00071443">
        <w:rPr>
          <w:rFonts w:asciiTheme="minorHAnsi" w:hAnsiTheme="minorHAnsi"/>
          <w:bCs/>
          <w:snapToGrid w:val="0"/>
        </w:rPr>
        <w:t xml:space="preserve"> </w:t>
      </w:r>
      <w:r w:rsidR="0075783D">
        <w:rPr>
          <w:rFonts w:asciiTheme="minorHAnsi" w:hAnsiTheme="minorHAnsi"/>
          <w:bCs/>
          <w:snapToGrid w:val="0"/>
        </w:rPr>
        <w:t xml:space="preserve"> The PBAC also noted there was input from one individual who </w:t>
      </w:r>
      <w:r w:rsidR="00001C46">
        <w:rPr>
          <w:rFonts w:asciiTheme="minorHAnsi" w:hAnsiTheme="minorHAnsi"/>
          <w:bCs/>
          <w:snapToGrid w:val="0"/>
        </w:rPr>
        <w:t>provided contact details but no comments.</w:t>
      </w:r>
    </w:p>
    <w:bookmarkEnd w:id="17"/>
    <w:bookmarkEnd w:id="20"/>
    <w:p w14:paraId="609C0765" w14:textId="5A344898" w:rsidR="00B60939" w:rsidRPr="0098262F" w:rsidRDefault="00B60939" w:rsidP="002E4F02">
      <w:pPr>
        <w:pStyle w:val="4-SubsectionHeading"/>
      </w:pPr>
      <w:r w:rsidRPr="0098262F">
        <w:t xml:space="preserve">Clinical </w:t>
      </w:r>
      <w:r w:rsidR="00D5243B" w:rsidRPr="0098262F">
        <w:t>studies/</w:t>
      </w:r>
      <w:r w:rsidRPr="0098262F">
        <w:t>trials</w:t>
      </w:r>
      <w:bookmarkEnd w:id="16"/>
      <w:bookmarkEnd w:id="18"/>
    </w:p>
    <w:p w14:paraId="130E0373" w14:textId="3552CF30" w:rsidR="00B34867" w:rsidRPr="00B34867" w:rsidRDefault="00A73134" w:rsidP="002E4F02">
      <w:pPr>
        <w:pStyle w:val="3-BodyText"/>
      </w:pPr>
      <w:r w:rsidRPr="0098262F">
        <w:t xml:space="preserve">The submission </w:t>
      </w:r>
      <w:r w:rsidR="00D5243B" w:rsidRPr="0098262F">
        <w:t>wa</w:t>
      </w:r>
      <w:r w:rsidRPr="0098262F">
        <w:t xml:space="preserve">s based on one head-to-head trial comparing </w:t>
      </w:r>
      <w:r w:rsidR="00FB6A66">
        <w:t xml:space="preserve">3-weekly (Q3W) </w:t>
      </w:r>
      <w:r w:rsidR="00EC4787">
        <w:t xml:space="preserve">toripalimab 240 mg in combination with Cis+Gem </w:t>
      </w:r>
      <w:r w:rsidR="002B095B">
        <w:t xml:space="preserve">for up to 6 cycles </w:t>
      </w:r>
      <w:r w:rsidR="001B7E0E">
        <w:t>followed by toripalimab 240 mg monotherapy</w:t>
      </w:r>
      <w:r w:rsidR="00EC4787">
        <w:t xml:space="preserve"> </w:t>
      </w:r>
      <w:r w:rsidR="00765190">
        <w:t xml:space="preserve">(n=146) </w:t>
      </w:r>
      <w:r w:rsidR="00EC4787">
        <w:t xml:space="preserve">versus </w:t>
      </w:r>
      <w:r w:rsidR="00FB6A66">
        <w:t xml:space="preserve">3-weekly </w:t>
      </w:r>
      <w:r w:rsidR="00EC4787">
        <w:t xml:space="preserve">placebo </w:t>
      </w:r>
      <w:r w:rsidR="001B7E0E">
        <w:t xml:space="preserve">in combination </w:t>
      </w:r>
      <w:r w:rsidR="00EC4787">
        <w:t xml:space="preserve">with Cis+Gem </w:t>
      </w:r>
      <w:r w:rsidR="002B095B">
        <w:t xml:space="preserve">for up to 6 cycles </w:t>
      </w:r>
      <w:r w:rsidR="00765190">
        <w:t xml:space="preserve">followed by placebo monotherapy </w:t>
      </w:r>
      <w:r w:rsidR="00EC4787">
        <w:t>(n=143) as a 1L treatment for patients with R</w:t>
      </w:r>
      <w:r w:rsidR="00B34867">
        <w:t>M</w:t>
      </w:r>
      <w:r w:rsidR="00EC4787">
        <w:t>-NPC (JUPITER-02</w:t>
      </w:r>
      <w:r w:rsidR="75BA243E">
        <w:t>)</w:t>
      </w:r>
      <w:r>
        <w:t>.</w:t>
      </w:r>
    </w:p>
    <w:p w14:paraId="17DE34DC" w14:textId="34928059" w:rsidR="007F1017" w:rsidRPr="00B34867" w:rsidRDefault="00B34867" w:rsidP="002E4F02">
      <w:pPr>
        <w:pStyle w:val="3-BodyText"/>
      </w:pPr>
      <w:r>
        <w:t xml:space="preserve">The submission also presented </w:t>
      </w:r>
      <w:r w:rsidRPr="00B34867">
        <w:t>a single-arm, multicentre phase II study</w:t>
      </w:r>
      <w:r>
        <w:t xml:space="preserve"> investigating </w:t>
      </w:r>
      <w:r w:rsidRPr="00B34867">
        <w:t>the use of toripalimab 3</w:t>
      </w:r>
      <w:r>
        <w:t xml:space="preserve"> </w:t>
      </w:r>
      <w:r w:rsidRPr="00B34867">
        <w:t xml:space="preserve">mg/kg via infusion every 2 weeks in </w:t>
      </w:r>
      <w:r>
        <w:t xml:space="preserve">190 patients with </w:t>
      </w:r>
      <w:r w:rsidRPr="00B34867">
        <w:t>previously treated RM-NPC who were refractory to at least one line of SOC chemotherapy</w:t>
      </w:r>
      <w:r>
        <w:t xml:space="preserve"> (POLARIS-</w:t>
      </w:r>
      <w:r w:rsidRPr="00B34867">
        <w:t xml:space="preserve">02). </w:t>
      </w:r>
    </w:p>
    <w:p w14:paraId="2B59ABAC" w14:textId="3FC60CAF" w:rsidR="00862502" w:rsidRPr="0098262F" w:rsidRDefault="00A73134" w:rsidP="002E4F02">
      <w:pPr>
        <w:pStyle w:val="3-BodyText"/>
      </w:pPr>
      <w:r w:rsidRPr="0098262F">
        <w:lastRenderedPageBreak/>
        <w:t xml:space="preserve">Details of the </w:t>
      </w:r>
      <w:r w:rsidR="00D5243B" w:rsidRPr="0098262F">
        <w:t>studies</w:t>
      </w:r>
      <w:r w:rsidRPr="0098262F">
        <w:t xml:space="preserve"> presented in the submission are provided in </w:t>
      </w:r>
      <w:r w:rsidR="00696EF9" w:rsidRPr="0098262F">
        <w:fldChar w:fldCharType="begin"/>
      </w:r>
      <w:r w:rsidR="00696EF9" w:rsidRPr="0098262F">
        <w:instrText xml:space="preserve"> REF _Ref104803956 \h </w:instrText>
      </w:r>
      <w:r w:rsidR="00696EF9" w:rsidRPr="0098262F">
        <w:fldChar w:fldCharType="separate"/>
      </w:r>
      <w:r w:rsidR="002C005D" w:rsidRPr="0098262F">
        <w:t xml:space="preserve">Table </w:t>
      </w:r>
      <w:r w:rsidR="002C005D">
        <w:rPr>
          <w:noProof/>
        </w:rPr>
        <w:t>2</w:t>
      </w:r>
      <w:r w:rsidR="00696EF9" w:rsidRPr="0098262F">
        <w:fldChar w:fldCharType="end"/>
      </w:r>
      <w:r w:rsidRPr="0098262F">
        <w:t>.</w:t>
      </w:r>
      <w:r w:rsidR="00BC591F" w:rsidRPr="0098262F">
        <w:t xml:space="preserve"> </w:t>
      </w:r>
    </w:p>
    <w:p w14:paraId="544C8CE7" w14:textId="14159F5C" w:rsidR="00B34867" w:rsidRDefault="00696EF9" w:rsidP="00B34867">
      <w:pPr>
        <w:pStyle w:val="TableFigureHeading"/>
        <w:rPr>
          <w:rStyle w:val="CommentReference"/>
          <w:b/>
          <w:szCs w:val="24"/>
        </w:rPr>
      </w:pPr>
      <w:bookmarkStart w:id="21" w:name="_Ref104803956"/>
      <w:r w:rsidRPr="0098262F">
        <w:t xml:space="preserve">Table </w:t>
      </w:r>
      <w:r w:rsidR="000B117D">
        <w:fldChar w:fldCharType="begin"/>
      </w:r>
      <w:r w:rsidR="000B117D">
        <w:instrText xml:space="preserve"> SEQ Table \* ARABIC </w:instrText>
      </w:r>
      <w:r w:rsidR="000B117D">
        <w:fldChar w:fldCharType="separate"/>
      </w:r>
      <w:r w:rsidR="002C005D">
        <w:rPr>
          <w:noProof/>
        </w:rPr>
        <w:t>2</w:t>
      </w:r>
      <w:r w:rsidR="000B117D">
        <w:rPr>
          <w:noProof/>
        </w:rPr>
        <w:fldChar w:fldCharType="end"/>
      </w:r>
      <w:bookmarkEnd w:id="21"/>
      <w:r w:rsidRPr="0098262F">
        <w:t>:</w:t>
      </w:r>
      <w:r w:rsidR="00BC591F" w:rsidRPr="0098262F">
        <w:rPr>
          <w:rStyle w:val="CommentReference"/>
          <w:b/>
          <w:szCs w:val="24"/>
        </w:rPr>
        <w:t xml:space="preserve"> </w:t>
      </w:r>
      <w:r w:rsidR="00B34867" w:rsidRPr="00563E06">
        <w:rPr>
          <w:rStyle w:val="CommentReference"/>
          <w:b/>
          <w:szCs w:val="24"/>
        </w:rPr>
        <w:t>Trials</w:t>
      </w:r>
      <w:r w:rsidR="00B34867" w:rsidRPr="0098262F">
        <w:rPr>
          <w:rStyle w:val="CommentReference"/>
          <w:b/>
          <w:szCs w:val="24"/>
        </w:rPr>
        <w:t xml:space="preserve"> and associated reports presented in the </w:t>
      </w:r>
      <w:r w:rsidR="00247CB1">
        <w:rPr>
          <w:rStyle w:val="CommentReference"/>
          <w:b/>
          <w:szCs w:val="24"/>
        </w:rPr>
        <w:t>submission</w:t>
      </w:r>
    </w:p>
    <w:tbl>
      <w:tblPr>
        <w:tblStyle w:val="TableGrid"/>
        <w:tblW w:w="0" w:type="auto"/>
        <w:tblLook w:val="04A0" w:firstRow="1" w:lastRow="0" w:firstColumn="1" w:lastColumn="0" w:noHBand="0" w:noVBand="1"/>
      </w:tblPr>
      <w:tblGrid>
        <w:gridCol w:w="1413"/>
        <w:gridCol w:w="4598"/>
        <w:gridCol w:w="3006"/>
      </w:tblGrid>
      <w:tr w:rsidR="00247CB1" w:rsidRPr="00247CB1" w14:paraId="2CCFC928" w14:textId="77777777" w:rsidTr="7AF51647">
        <w:tc>
          <w:tcPr>
            <w:tcW w:w="1413" w:type="dxa"/>
            <w:vAlign w:val="center"/>
          </w:tcPr>
          <w:p w14:paraId="630E844E" w14:textId="7818BCC4" w:rsidR="00247CB1" w:rsidRPr="00247CB1" w:rsidRDefault="00247CB1" w:rsidP="00247CB1">
            <w:pPr>
              <w:pStyle w:val="TableFigureHeading"/>
            </w:pPr>
            <w:r w:rsidRPr="00247CB1">
              <w:t>Trial ID</w:t>
            </w:r>
          </w:p>
        </w:tc>
        <w:tc>
          <w:tcPr>
            <w:tcW w:w="4598" w:type="dxa"/>
            <w:vAlign w:val="center"/>
          </w:tcPr>
          <w:p w14:paraId="3EF69840" w14:textId="680E9CDE" w:rsidR="00247CB1" w:rsidRPr="00247CB1" w:rsidRDefault="00247CB1" w:rsidP="00247CB1">
            <w:pPr>
              <w:pStyle w:val="TableFigureHeading"/>
            </w:pPr>
            <w:r w:rsidRPr="00247CB1">
              <w:t>Protocol title/ Publication title</w:t>
            </w:r>
          </w:p>
        </w:tc>
        <w:tc>
          <w:tcPr>
            <w:tcW w:w="3006" w:type="dxa"/>
            <w:vAlign w:val="center"/>
          </w:tcPr>
          <w:p w14:paraId="153BA904" w14:textId="13A4DF9F" w:rsidR="00247CB1" w:rsidRPr="00247CB1" w:rsidRDefault="00247CB1" w:rsidP="00247CB1">
            <w:pPr>
              <w:pStyle w:val="TableFigureHeading"/>
            </w:pPr>
            <w:r w:rsidRPr="00247CB1">
              <w:t>Publication citation</w:t>
            </w:r>
          </w:p>
        </w:tc>
      </w:tr>
      <w:tr w:rsidR="00247CB1" w:rsidRPr="00247CB1" w14:paraId="52002064" w14:textId="77777777" w:rsidTr="7AF51647">
        <w:tc>
          <w:tcPr>
            <w:tcW w:w="1413" w:type="dxa"/>
            <w:vMerge w:val="restart"/>
          </w:tcPr>
          <w:p w14:paraId="3A64E10B" w14:textId="39AA6352" w:rsidR="00247CB1" w:rsidRPr="00247CB1" w:rsidRDefault="00247CB1" w:rsidP="00247CB1">
            <w:pPr>
              <w:pStyle w:val="TableFigureHeading"/>
              <w:rPr>
                <w:b w:val="0"/>
                <w:bCs w:val="0"/>
              </w:rPr>
            </w:pPr>
            <w:r w:rsidRPr="00247CB1">
              <w:rPr>
                <w:b w:val="0"/>
                <w:bCs w:val="0"/>
              </w:rPr>
              <w:t>JUPITER-02</w:t>
            </w:r>
          </w:p>
        </w:tc>
        <w:tc>
          <w:tcPr>
            <w:tcW w:w="4598" w:type="dxa"/>
          </w:tcPr>
          <w:p w14:paraId="4B1A30D9" w14:textId="58B11F0C" w:rsidR="00247CB1" w:rsidRPr="00247CB1" w:rsidRDefault="00247CB1" w:rsidP="7AF51647">
            <w:pPr>
              <w:pStyle w:val="TableFigureHeading"/>
              <w:rPr>
                <w:b w:val="0"/>
                <w:bCs w:val="0"/>
              </w:rPr>
            </w:pPr>
            <w:r w:rsidRPr="7AF51647">
              <w:rPr>
                <w:b w:val="0"/>
                <w:bCs w:val="0"/>
              </w:rPr>
              <w:t>A Phase III, Randomized, Placebo Controlled, Multicenter, Double-Blind Study Comparing Toripalimab Injection (JS001) Combined with Chemotherapy Versus Placebo Combined with Chemotherapy for Recurrent or Metastatic Nasopharyngeal Cancer</w:t>
            </w:r>
          </w:p>
        </w:tc>
        <w:tc>
          <w:tcPr>
            <w:tcW w:w="3006" w:type="dxa"/>
          </w:tcPr>
          <w:p w14:paraId="1E00FC88" w14:textId="77777777" w:rsidR="00247CB1" w:rsidRPr="00247CB1" w:rsidRDefault="00247CB1" w:rsidP="00A90F7C">
            <w:pPr>
              <w:pStyle w:val="TableText0"/>
              <w:framePr w:wrap="around"/>
            </w:pPr>
            <w:r w:rsidRPr="00247CB1">
              <w:t>15 January 2021</w:t>
            </w:r>
          </w:p>
          <w:p w14:paraId="26E4B9D6" w14:textId="77777777" w:rsidR="00247CB1" w:rsidRPr="00247CB1" w:rsidRDefault="00247CB1" w:rsidP="00A90F7C">
            <w:pPr>
              <w:pStyle w:val="TableText0"/>
              <w:framePr w:wrap="around"/>
            </w:pPr>
            <w:r w:rsidRPr="00247CB1">
              <w:t>22 November 2021 (Addendum 1)</w:t>
            </w:r>
          </w:p>
          <w:p w14:paraId="2FBA04B6" w14:textId="77777777" w:rsidR="00247CB1" w:rsidRPr="00247CB1" w:rsidRDefault="00247CB1" w:rsidP="00A90F7C">
            <w:pPr>
              <w:pStyle w:val="TableText0"/>
              <w:framePr w:wrap="around"/>
            </w:pPr>
            <w:r w:rsidRPr="00247CB1">
              <w:t>2 September 2022 (Addendum 2; V1.0)</w:t>
            </w:r>
          </w:p>
          <w:p w14:paraId="46D0C41B" w14:textId="0E5375EA" w:rsidR="00247CB1" w:rsidRPr="00247CB1" w:rsidRDefault="00247CB1" w:rsidP="00247CB1">
            <w:pPr>
              <w:pStyle w:val="TableFigureHeading"/>
              <w:rPr>
                <w:b w:val="0"/>
                <w:bCs w:val="0"/>
              </w:rPr>
            </w:pPr>
            <w:r w:rsidRPr="00247CB1">
              <w:rPr>
                <w:b w:val="0"/>
                <w:bCs w:val="0"/>
              </w:rPr>
              <w:t>13 October 2022 (Addendum 2; V1.1)</w:t>
            </w:r>
          </w:p>
        </w:tc>
      </w:tr>
      <w:tr w:rsidR="00247CB1" w:rsidRPr="00247CB1" w14:paraId="0906C096" w14:textId="77777777" w:rsidTr="7AF51647">
        <w:tc>
          <w:tcPr>
            <w:tcW w:w="1413" w:type="dxa"/>
            <w:vMerge/>
          </w:tcPr>
          <w:p w14:paraId="69E77B56" w14:textId="77777777" w:rsidR="00247CB1" w:rsidRPr="00247CB1" w:rsidRDefault="00247CB1" w:rsidP="00247CB1">
            <w:pPr>
              <w:pStyle w:val="TableFigureHeading"/>
              <w:rPr>
                <w:b w:val="0"/>
                <w:bCs w:val="0"/>
              </w:rPr>
            </w:pPr>
          </w:p>
        </w:tc>
        <w:tc>
          <w:tcPr>
            <w:tcW w:w="4598" w:type="dxa"/>
          </w:tcPr>
          <w:p w14:paraId="7073785E" w14:textId="410F3D84" w:rsidR="00247CB1" w:rsidRPr="00247CB1" w:rsidRDefault="00247CB1" w:rsidP="7AF51647">
            <w:pPr>
              <w:pStyle w:val="TableFigureHeading"/>
              <w:rPr>
                <w:b w:val="0"/>
                <w:bCs w:val="0"/>
              </w:rPr>
            </w:pPr>
            <w:r w:rsidRPr="7AF51647">
              <w:rPr>
                <w:b w:val="0"/>
                <w:bCs w:val="0"/>
              </w:rPr>
              <w:t>Mai, H. Q., Chen, Q. Y., Chen, D., Hu, C., Yang, K., Wen, J., Li, J., Shi, Y., Jin, F., Xu, R., Pan, J., Qu, S., Li, P., Hu, C., Liu, Y. C., Jiang, Y., He, X., Wang, H. M., Lim, W. T.,. .. Xu, R. H. 2023, Toripalimab Plus Chemotherapy for Recurrent or Metastatic Nasopharyngeal Carcinoma: The JUPITER-02 Randomised Clinical Trial [Clinical Trial, Phase III Comparative Study Multicentre Study Randomised Controlled Trial Research Support, Non-U.S. Gov't]</w:t>
            </w:r>
          </w:p>
        </w:tc>
        <w:tc>
          <w:tcPr>
            <w:tcW w:w="3006" w:type="dxa"/>
          </w:tcPr>
          <w:p w14:paraId="18DD9E18" w14:textId="00B7B571" w:rsidR="00247CB1" w:rsidRPr="00247CB1" w:rsidRDefault="00247CB1" w:rsidP="00247CB1">
            <w:pPr>
              <w:pStyle w:val="TableFigureHeading"/>
              <w:rPr>
                <w:b w:val="0"/>
                <w:bCs w:val="0"/>
              </w:rPr>
            </w:pPr>
            <w:r w:rsidRPr="00A83DE1">
              <w:rPr>
                <w:b w:val="0"/>
                <w:bCs w:val="0"/>
                <w:iCs/>
              </w:rPr>
              <w:t>JAMA</w:t>
            </w:r>
            <w:r w:rsidRPr="00247CB1">
              <w:rPr>
                <w:b w:val="0"/>
                <w:bCs w:val="0"/>
              </w:rPr>
              <w:t xml:space="preserve"> 2023, 330(20), 1961-1970.</w:t>
            </w:r>
          </w:p>
        </w:tc>
      </w:tr>
      <w:tr w:rsidR="00247CB1" w:rsidRPr="00247CB1" w14:paraId="385F6E5E" w14:textId="77777777" w:rsidTr="7AF51647">
        <w:tc>
          <w:tcPr>
            <w:tcW w:w="1413" w:type="dxa"/>
            <w:vMerge/>
          </w:tcPr>
          <w:p w14:paraId="6316E101" w14:textId="77777777" w:rsidR="00247CB1" w:rsidRPr="00247CB1" w:rsidRDefault="00247CB1" w:rsidP="00247CB1">
            <w:pPr>
              <w:pStyle w:val="TableFigureHeading"/>
              <w:rPr>
                <w:b w:val="0"/>
                <w:bCs w:val="0"/>
              </w:rPr>
            </w:pPr>
          </w:p>
        </w:tc>
        <w:tc>
          <w:tcPr>
            <w:tcW w:w="4598" w:type="dxa"/>
          </w:tcPr>
          <w:p w14:paraId="7FC2CB23" w14:textId="22B86447" w:rsidR="00247CB1" w:rsidRPr="00247CB1" w:rsidRDefault="00247CB1" w:rsidP="7AF51647">
            <w:pPr>
              <w:pStyle w:val="TableFigureHeading"/>
              <w:rPr>
                <w:b w:val="0"/>
                <w:bCs w:val="0"/>
              </w:rPr>
            </w:pPr>
            <w:r w:rsidRPr="7AF51647">
              <w:rPr>
                <w:b w:val="0"/>
                <w:bCs w:val="0"/>
              </w:rPr>
              <w:t>Mai, H. Q., Chen, Q. Y., Chen, D., Hu, C., Yang, K., Wen, J., Li, J., Shi, Y. R., Jin, F., Xu, R., Pan, J., Qu, S., Li, P., Hu, C., Liu, Y. C., Jiang, Y., He, X., Wang, H. M., Lim, W. T., Xu, R. H. 2021, Toripalimab or placebo plus chemotherapy as first-line treatment in advanced nasopharyngeal carcinoma: a multicentre randomised phase 3 trial [Clinical Trial, Phase III Multicentre Study Randomised Controlled Trial Research Support, Non-U.S. Gov't].</w:t>
            </w:r>
          </w:p>
        </w:tc>
        <w:tc>
          <w:tcPr>
            <w:tcW w:w="3006" w:type="dxa"/>
          </w:tcPr>
          <w:p w14:paraId="6EF7ED81" w14:textId="16EBC26D" w:rsidR="00247CB1" w:rsidRPr="00247CB1" w:rsidRDefault="00247CB1" w:rsidP="00247CB1">
            <w:pPr>
              <w:pStyle w:val="TableFigureHeading"/>
              <w:rPr>
                <w:b w:val="0"/>
                <w:bCs w:val="0"/>
              </w:rPr>
            </w:pPr>
            <w:r w:rsidRPr="00A83DE1">
              <w:rPr>
                <w:b w:val="0"/>
                <w:bCs w:val="0"/>
                <w:iCs/>
              </w:rPr>
              <w:t>Nature Medicine</w:t>
            </w:r>
            <w:r w:rsidRPr="00247CB1">
              <w:rPr>
                <w:b w:val="0"/>
                <w:bCs w:val="0"/>
              </w:rPr>
              <w:t xml:space="preserve"> 2021, 27(9), 1536-1543.</w:t>
            </w:r>
          </w:p>
        </w:tc>
      </w:tr>
      <w:tr w:rsidR="00247CB1" w:rsidRPr="00247CB1" w14:paraId="0BF5AF42" w14:textId="77777777" w:rsidTr="7AF51647">
        <w:tc>
          <w:tcPr>
            <w:tcW w:w="1413" w:type="dxa"/>
            <w:vMerge w:val="restart"/>
          </w:tcPr>
          <w:p w14:paraId="4019D368" w14:textId="5E77CAC9" w:rsidR="00247CB1" w:rsidRPr="00247CB1" w:rsidRDefault="00247CB1" w:rsidP="00247CB1">
            <w:pPr>
              <w:pStyle w:val="TableFigureHeading"/>
              <w:rPr>
                <w:b w:val="0"/>
                <w:bCs w:val="0"/>
              </w:rPr>
            </w:pPr>
            <w:r w:rsidRPr="00247CB1">
              <w:rPr>
                <w:b w:val="0"/>
                <w:bCs w:val="0"/>
              </w:rPr>
              <w:t>POLARIS-02</w:t>
            </w:r>
          </w:p>
        </w:tc>
        <w:tc>
          <w:tcPr>
            <w:tcW w:w="4598" w:type="dxa"/>
          </w:tcPr>
          <w:p w14:paraId="39D00CA8" w14:textId="55F8B38B" w:rsidR="00247CB1" w:rsidRPr="00247CB1" w:rsidRDefault="00247CB1" w:rsidP="7AF51647">
            <w:pPr>
              <w:pStyle w:val="TableFigureHeading"/>
              <w:rPr>
                <w:b w:val="0"/>
                <w:bCs w:val="0"/>
              </w:rPr>
            </w:pPr>
            <w:r w:rsidRPr="7AF51647">
              <w:rPr>
                <w:b w:val="0"/>
                <w:bCs w:val="0"/>
              </w:rPr>
              <w:t>A Multicenter, Open-label Phase Ib/II Clinical Study of JS001 in Treatment of Advanced Gastric Adenocarcinoma, Esophageal Squamous Cell Carcinoma, Nasopharyngeal Carcinoma, and Head and Neck Squamous Cell Carcinoma - Cohort 3 Nasopharyngeal Carcinoma</w:t>
            </w:r>
          </w:p>
        </w:tc>
        <w:tc>
          <w:tcPr>
            <w:tcW w:w="3006" w:type="dxa"/>
          </w:tcPr>
          <w:p w14:paraId="7D8254A1" w14:textId="410CBAE1" w:rsidR="00247CB1" w:rsidRPr="00247CB1" w:rsidRDefault="00247CB1" w:rsidP="00247CB1">
            <w:pPr>
              <w:pStyle w:val="TableFigureHeading"/>
              <w:rPr>
                <w:b w:val="0"/>
                <w:bCs w:val="0"/>
              </w:rPr>
            </w:pPr>
            <w:r w:rsidRPr="00247CB1">
              <w:rPr>
                <w:b w:val="0"/>
                <w:bCs w:val="0"/>
              </w:rPr>
              <w:t>7 April 2020</w:t>
            </w:r>
          </w:p>
        </w:tc>
      </w:tr>
      <w:tr w:rsidR="00247CB1" w:rsidRPr="00247CB1" w14:paraId="665F58F8" w14:textId="77777777" w:rsidTr="7AF51647">
        <w:tc>
          <w:tcPr>
            <w:tcW w:w="1413" w:type="dxa"/>
            <w:vMerge/>
          </w:tcPr>
          <w:p w14:paraId="6B5139BC" w14:textId="77777777" w:rsidR="00247CB1" w:rsidRPr="00247CB1" w:rsidRDefault="00247CB1" w:rsidP="00247CB1">
            <w:pPr>
              <w:pStyle w:val="TableFigureHeading"/>
              <w:rPr>
                <w:b w:val="0"/>
                <w:bCs w:val="0"/>
              </w:rPr>
            </w:pPr>
          </w:p>
        </w:tc>
        <w:tc>
          <w:tcPr>
            <w:tcW w:w="4598" w:type="dxa"/>
          </w:tcPr>
          <w:p w14:paraId="2620DB6F" w14:textId="4202814D" w:rsidR="00247CB1" w:rsidRPr="00247CB1" w:rsidRDefault="00247CB1" w:rsidP="7AF51647">
            <w:pPr>
              <w:pStyle w:val="TableFigureHeading"/>
              <w:rPr>
                <w:b w:val="0"/>
                <w:bCs w:val="0"/>
              </w:rPr>
            </w:pPr>
            <w:r w:rsidRPr="7AF51647">
              <w:rPr>
                <w:b w:val="0"/>
                <w:bCs w:val="0"/>
              </w:rPr>
              <w:t>Wang, F.H., Wei, X.L., Feng,J.,Li, Q., Xu, N., Hu, X,C.,; Liao, W</w:t>
            </w:r>
            <w:r w:rsidR="006F7354" w:rsidRPr="7AF51647">
              <w:rPr>
                <w:b w:val="0"/>
                <w:bCs w:val="0"/>
              </w:rPr>
              <w:t>;</w:t>
            </w:r>
            <w:r w:rsidRPr="7AF51647">
              <w:rPr>
                <w:b w:val="0"/>
                <w:bCs w:val="0"/>
              </w:rPr>
              <w:t>,Jiang</w:t>
            </w:r>
            <w:r w:rsidR="00DB4E31" w:rsidRPr="7AF51647">
              <w:rPr>
                <w:b w:val="0"/>
                <w:bCs w:val="0"/>
              </w:rPr>
              <w:t xml:space="preserve">, </w:t>
            </w:r>
            <w:r w:rsidRPr="7AF51647">
              <w:rPr>
                <w:b w:val="0"/>
                <w:bCs w:val="0"/>
              </w:rPr>
              <w:t>Y.,  Lin, X,Y., Zhang,Q, Y., Yuan, X, L.,; Huang, H, X.,Chen, Y., Dai, G, H., Shi, J, H., Shen,L., Yang,S, J., Shu, Y, Q., Liu, Y, P., Wang, W.,Wu, H., Feng, H., Yao, S., and Xu, R, H. 2021,  Efficacy, Safety, and Correlative Biomarkers of Toripalimab in Previously Treated Recurrent or Metastatic Nasopharyngeal Carcinoma: A Phase II Clinical Trial (POLARIS-02).</w:t>
            </w:r>
          </w:p>
        </w:tc>
        <w:tc>
          <w:tcPr>
            <w:tcW w:w="3006" w:type="dxa"/>
          </w:tcPr>
          <w:p w14:paraId="558EE7CC" w14:textId="2434074F" w:rsidR="00247CB1" w:rsidRPr="00247CB1" w:rsidRDefault="00247CB1" w:rsidP="00247CB1">
            <w:pPr>
              <w:pStyle w:val="TableFigureHeading"/>
              <w:rPr>
                <w:b w:val="0"/>
                <w:bCs w:val="0"/>
              </w:rPr>
            </w:pPr>
            <w:r w:rsidRPr="00A83DE1">
              <w:rPr>
                <w:b w:val="0"/>
                <w:bCs w:val="0"/>
                <w:iCs/>
              </w:rPr>
              <w:t>Journal of Clinical Oncology</w:t>
            </w:r>
            <w:r w:rsidRPr="00247CB1">
              <w:rPr>
                <w:b w:val="0"/>
                <w:bCs w:val="0"/>
              </w:rPr>
              <w:t xml:space="preserve"> 2021, 39, 404-712.</w:t>
            </w:r>
          </w:p>
        </w:tc>
      </w:tr>
    </w:tbl>
    <w:p w14:paraId="6A3E8F69" w14:textId="49B1E461" w:rsidR="00B34867" w:rsidRPr="007902B2" w:rsidRDefault="00B34867" w:rsidP="00B34867">
      <w:pPr>
        <w:pStyle w:val="FooterTableFigure"/>
        <w:rPr>
          <w:sz w:val="20"/>
        </w:rPr>
      </w:pPr>
      <w:r w:rsidRPr="0098262F">
        <w:t xml:space="preserve">Source: </w:t>
      </w:r>
      <w:r>
        <w:t>Table 2-2</w:t>
      </w:r>
      <w:r w:rsidR="00B07581">
        <w:t>, p43</w:t>
      </w:r>
      <w:r>
        <w:t xml:space="preserve"> of the submission</w:t>
      </w:r>
      <w:r w:rsidR="00416A9F">
        <w:t>.</w:t>
      </w:r>
      <w:r>
        <w:t xml:space="preserve"> </w:t>
      </w:r>
    </w:p>
    <w:p w14:paraId="1DD06D7D" w14:textId="68C335B1" w:rsidR="007F1017" w:rsidRPr="006166E0" w:rsidRDefault="008F120A">
      <w:pPr>
        <w:pStyle w:val="3-BodyText"/>
      </w:pPr>
      <w:r w:rsidRPr="0098262F">
        <w:t>The key features of the direct randomised trial</w:t>
      </w:r>
      <w:r w:rsidR="00B34867">
        <w:t xml:space="preserve"> and </w:t>
      </w:r>
      <w:r w:rsidR="0F5A46A5">
        <w:t xml:space="preserve">the clinical </w:t>
      </w:r>
      <w:r w:rsidR="007170DA" w:rsidRPr="0098262F">
        <w:t>stud</w:t>
      </w:r>
      <w:r w:rsidR="00B34867">
        <w:t>y</w:t>
      </w:r>
      <w:r w:rsidRPr="0098262F">
        <w:t xml:space="preserve"> are summarised in</w:t>
      </w:r>
      <w:r w:rsidR="00521F7C">
        <w:t xml:space="preserve"> </w:t>
      </w:r>
      <w:r w:rsidR="00521F7C">
        <w:fldChar w:fldCharType="begin"/>
      </w:r>
      <w:r w:rsidR="00521F7C">
        <w:instrText xml:space="preserve"> REF _Ref187882320 \h  \* MERGEFORMAT </w:instrText>
      </w:r>
      <w:r w:rsidR="00521F7C">
        <w:fldChar w:fldCharType="separate"/>
      </w:r>
      <w:r w:rsidR="002C005D" w:rsidRPr="002C005D">
        <w:t>Table 3</w:t>
      </w:r>
      <w:r w:rsidR="00521F7C">
        <w:fldChar w:fldCharType="end"/>
      </w:r>
      <w:r w:rsidRPr="0098262F">
        <w:t>.</w:t>
      </w:r>
      <w:r w:rsidR="00BC591F" w:rsidRPr="0098262F">
        <w:t xml:space="preserve"> </w:t>
      </w:r>
    </w:p>
    <w:p w14:paraId="355E2F15" w14:textId="5F6657C9" w:rsidR="007F1017" w:rsidRDefault="00696EF9" w:rsidP="00521F7C">
      <w:pPr>
        <w:pStyle w:val="Caption"/>
        <w:rPr>
          <w:rStyle w:val="CommentReference"/>
          <w:rFonts w:eastAsiaTheme="majorEastAsia" w:cstheme="majorBidi"/>
          <w:b/>
          <w:szCs w:val="24"/>
        </w:rPr>
      </w:pPr>
      <w:bookmarkStart w:id="22" w:name="_Ref104804098"/>
      <w:bookmarkStart w:id="23" w:name="_Ref187882320"/>
      <w:r w:rsidRPr="0098262F">
        <w:rPr>
          <w:rStyle w:val="CommentReference"/>
          <w:rFonts w:eastAsiaTheme="majorEastAsia" w:cstheme="majorBidi"/>
          <w:b/>
          <w:szCs w:val="24"/>
        </w:rPr>
        <w:lastRenderedPageBreak/>
        <w:t xml:space="preserve">Table </w:t>
      </w:r>
      <w:r w:rsidRPr="0098262F">
        <w:rPr>
          <w:rStyle w:val="CommentReference"/>
          <w:rFonts w:eastAsiaTheme="majorEastAsia" w:cstheme="majorBidi"/>
          <w:b/>
          <w:szCs w:val="24"/>
        </w:rPr>
        <w:fldChar w:fldCharType="begin"/>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2C005D">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22"/>
      <w:bookmarkEnd w:id="23"/>
      <w:r w:rsidR="00D6076E" w:rsidRPr="0098262F">
        <w:rPr>
          <w:rStyle w:val="CommentReference"/>
          <w:rFonts w:eastAsiaTheme="majorEastAsia" w:cstheme="majorBidi"/>
          <w:b/>
          <w:szCs w:val="24"/>
        </w:rPr>
        <w:t xml:space="preserve">: </w:t>
      </w:r>
      <w:r w:rsidR="007F1017" w:rsidRPr="0098262F">
        <w:rPr>
          <w:rStyle w:val="CommentReference"/>
          <w:rFonts w:eastAsiaTheme="majorEastAsia" w:cstheme="majorBidi"/>
          <w:b/>
          <w:szCs w:val="24"/>
        </w:rPr>
        <w:t>Key features of the included evidence</w:t>
      </w:r>
    </w:p>
    <w:tbl>
      <w:tblPr>
        <w:tblStyle w:val="TableGrid"/>
        <w:tblW w:w="0" w:type="auto"/>
        <w:tblLook w:val="04A0" w:firstRow="1" w:lastRow="0" w:firstColumn="1" w:lastColumn="0" w:noHBand="0" w:noVBand="1"/>
      </w:tblPr>
      <w:tblGrid>
        <w:gridCol w:w="1269"/>
        <w:gridCol w:w="1262"/>
        <w:gridCol w:w="1281"/>
        <w:gridCol w:w="1269"/>
        <w:gridCol w:w="1288"/>
        <w:gridCol w:w="1360"/>
        <w:gridCol w:w="1288"/>
      </w:tblGrid>
      <w:tr w:rsidR="00521F7C" w:rsidRPr="00521F7C" w14:paraId="7BCB2DB6" w14:textId="77777777" w:rsidTr="7AF51647">
        <w:tc>
          <w:tcPr>
            <w:tcW w:w="1269" w:type="dxa"/>
            <w:vAlign w:val="center"/>
          </w:tcPr>
          <w:p w14:paraId="017511B7" w14:textId="7661102E" w:rsidR="00521F7C" w:rsidRPr="00521F7C" w:rsidRDefault="00521F7C" w:rsidP="00521F7C">
            <w:pPr>
              <w:keepNext/>
              <w:jc w:val="left"/>
              <w:rPr>
                <w:rFonts w:ascii="Arial Narrow" w:eastAsiaTheme="majorEastAsia" w:hAnsi="Arial Narrow"/>
                <w:b/>
                <w:bCs/>
                <w:sz w:val="20"/>
                <w:szCs w:val="20"/>
              </w:rPr>
            </w:pPr>
            <w:r w:rsidRPr="00521F7C">
              <w:rPr>
                <w:rFonts w:ascii="Arial Narrow" w:hAnsi="Arial Narrow"/>
                <w:b/>
                <w:bCs/>
                <w:sz w:val="20"/>
                <w:szCs w:val="20"/>
              </w:rPr>
              <w:t>Trial</w:t>
            </w:r>
          </w:p>
        </w:tc>
        <w:tc>
          <w:tcPr>
            <w:tcW w:w="1262" w:type="dxa"/>
            <w:vAlign w:val="center"/>
          </w:tcPr>
          <w:p w14:paraId="03354A56" w14:textId="04B6B8F7" w:rsidR="00521F7C" w:rsidRPr="00521F7C" w:rsidRDefault="00521F7C" w:rsidP="00521F7C">
            <w:pPr>
              <w:keepNext/>
              <w:jc w:val="center"/>
              <w:rPr>
                <w:rFonts w:ascii="Arial Narrow" w:eastAsiaTheme="majorEastAsia" w:hAnsi="Arial Narrow"/>
                <w:b/>
                <w:bCs/>
                <w:sz w:val="20"/>
                <w:szCs w:val="20"/>
              </w:rPr>
            </w:pPr>
            <w:r w:rsidRPr="00521F7C">
              <w:rPr>
                <w:rFonts w:ascii="Arial Narrow" w:hAnsi="Arial Narrow"/>
                <w:b/>
                <w:bCs/>
                <w:sz w:val="20"/>
                <w:szCs w:val="20"/>
              </w:rPr>
              <w:t>N</w:t>
            </w:r>
          </w:p>
        </w:tc>
        <w:tc>
          <w:tcPr>
            <w:tcW w:w="1281" w:type="dxa"/>
            <w:vAlign w:val="center"/>
          </w:tcPr>
          <w:p w14:paraId="2E718934" w14:textId="70E27FC5" w:rsidR="00521F7C" w:rsidRPr="00521F7C" w:rsidRDefault="00521F7C" w:rsidP="00521F7C">
            <w:pPr>
              <w:keepNext/>
              <w:jc w:val="center"/>
              <w:rPr>
                <w:rFonts w:ascii="Arial Narrow" w:eastAsiaTheme="majorEastAsia" w:hAnsi="Arial Narrow"/>
                <w:b/>
                <w:bCs/>
                <w:sz w:val="20"/>
                <w:szCs w:val="20"/>
              </w:rPr>
            </w:pPr>
            <w:r w:rsidRPr="00521F7C">
              <w:rPr>
                <w:rFonts w:ascii="Arial Narrow" w:hAnsi="Arial Narrow"/>
                <w:b/>
                <w:bCs/>
                <w:sz w:val="20"/>
                <w:szCs w:val="20"/>
              </w:rPr>
              <w:t>Design/ duration</w:t>
            </w:r>
          </w:p>
        </w:tc>
        <w:tc>
          <w:tcPr>
            <w:tcW w:w="1269" w:type="dxa"/>
            <w:vAlign w:val="center"/>
          </w:tcPr>
          <w:p w14:paraId="54A96B90" w14:textId="3C4C9091" w:rsidR="00521F7C" w:rsidRPr="00521F7C" w:rsidRDefault="00521F7C" w:rsidP="00521F7C">
            <w:pPr>
              <w:keepNext/>
              <w:jc w:val="center"/>
              <w:rPr>
                <w:rFonts w:ascii="Arial Narrow" w:eastAsiaTheme="majorEastAsia" w:hAnsi="Arial Narrow"/>
                <w:b/>
                <w:bCs/>
                <w:sz w:val="20"/>
                <w:szCs w:val="20"/>
              </w:rPr>
            </w:pPr>
            <w:r w:rsidRPr="00521F7C">
              <w:rPr>
                <w:rFonts w:ascii="Arial Narrow" w:hAnsi="Arial Narrow"/>
                <w:b/>
                <w:bCs/>
                <w:sz w:val="20"/>
                <w:szCs w:val="20"/>
              </w:rPr>
              <w:t>Risk of bias</w:t>
            </w:r>
          </w:p>
        </w:tc>
        <w:tc>
          <w:tcPr>
            <w:tcW w:w="1288" w:type="dxa"/>
            <w:vAlign w:val="center"/>
          </w:tcPr>
          <w:p w14:paraId="02905270" w14:textId="6052E902" w:rsidR="00521F7C" w:rsidRPr="00521F7C" w:rsidRDefault="00521F7C" w:rsidP="00521F7C">
            <w:pPr>
              <w:keepNext/>
              <w:jc w:val="center"/>
              <w:rPr>
                <w:rFonts w:ascii="Arial Narrow" w:eastAsiaTheme="majorEastAsia" w:hAnsi="Arial Narrow"/>
                <w:b/>
                <w:bCs/>
                <w:sz w:val="20"/>
                <w:szCs w:val="20"/>
              </w:rPr>
            </w:pPr>
            <w:r w:rsidRPr="00521F7C">
              <w:rPr>
                <w:rFonts w:ascii="Arial Narrow" w:hAnsi="Arial Narrow"/>
                <w:b/>
                <w:bCs/>
                <w:sz w:val="20"/>
                <w:szCs w:val="20"/>
              </w:rPr>
              <w:t>Patient population</w:t>
            </w:r>
          </w:p>
        </w:tc>
        <w:tc>
          <w:tcPr>
            <w:tcW w:w="1360" w:type="dxa"/>
            <w:vAlign w:val="center"/>
          </w:tcPr>
          <w:p w14:paraId="75B749AF" w14:textId="67C1E5DD" w:rsidR="00521F7C" w:rsidRPr="00521F7C" w:rsidRDefault="00521F7C" w:rsidP="00521F7C">
            <w:pPr>
              <w:keepNext/>
              <w:jc w:val="center"/>
              <w:rPr>
                <w:rFonts w:ascii="Arial Narrow" w:eastAsiaTheme="majorEastAsia" w:hAnsi="Arial Narrow"/>
                <w:b/>
                <w:bCs/>
                <w:sz w:val="20"/>
                <w:szCs w:val="20"/>
              </w:rPr>
            </w:pPr>
            <w:r w:rsidRPr="00521F7C">
              <w:rPr>
                <w:rFonts w:ascii="Arial Narrow" w:hAnsi="Arial Narrow"/>
                <w:b/>
                <w:bCs/>
                <w:sz w:val="20"/>
                <w:szCs w:val="20"/>
              </w:rPr>
              <w:t>Outcome(s)</w:t>
            </w:r>
          </w:p>
        </w:tc>
        <w:tc>
          <w:tcPr>
            <w:tcW w:w="1288" w:type="dxa"/>
            <w:vAlign w:val="center"/>
          </w:tcPr>
          <w:p w14:paraId="1392A4DB" w14:textId="149C3DF5" w:rsidR="00521F7C" w:rsidRPr="00521F7C" w:rsidRDefault="00521F7C" w:rsidP="00521F7C">
            <w:pPr>
              <w:keepNext/>
              <w:jc w:val="center"/>
              <w:rPr>
                <w:rFonts w:ascii="Arial Narrow" w:eastAsiaTheme="majorEastAsia" w:hAnsi="Arial Narrow"/>
                <w:b/>
                <w:bCs/>
                <w:sz w:val="20"/>
                <w:szCs w:val="20"/>
              </w:rPr>
            </w:pPr>
            <w:r w:rsidRPr="00521F7C">
              <w:rPr>
                <w:rFonts w:ascii="Arial Narrow" w:hAnsi="Arial Narrow"/>
                <w:b/>
                <w:bCs/>
                <w:sz w:val="20"/>
                <w:szCs w:val="20"/>
              </w:rPr>
              <w:t>Use in modelled evaluation</w:t>
            </w:r>
          </w:p>
        </w:tc>
      </w:tr>
      <w:tr w:rsidR="00521F7C" w:rsidRPr="00A83DE1" w14:paraId="6031E867" w14:textId="77777777" w:rsidTr="7AF51647">
        <w:tc>
          <w:tcPr>
            <w:tcW w:w="1269" w:type="dxa"/>
            <w:vAlign w:val="center"/>
          </w:tcPr>
          <w:p w14:paraId="531AEF47" w14:textId="66E20178" w:rsidR="00521F7C" w:rsidRPr="00A83DE1" w:rsidRDefault="00521F7C" w:rsidP="00521F7C">
            <w:pPr>
              <w:keepNext/>
              <w:jc w:val="left"/>
              <w:rPr>
                <w:rFonts w:ascii="Arial Narrow" w:eastAsiaTheme="majorEastAsia" w:hAnsi="Arial Narrow"/>
                <w:sz w:val="20"/>
                <w:szCs w:val="20"/>
              </w:rPr>
            </w:pPr>
            <w:r w:rsidRPr="00A83DE1">
              <w:rPr>
                <w:rFonts w:ascii="Arial Narrow" w:hAnsi="Arial Narrow"/>
                <w:sz w:val="20"/>
                <w:szCs w:val="20"/>
              </w:rPr>
              <w:t>JUPITER-02</w:t>
            </w:r>
          </w:p>
        </w:tc>
        <w:tc>
          <w:tcPr>
            <w:tcW w:w="1262" w:type="dxa"/>
            <w:vAlign w:val="center"/>
          </w:tcPr>
          <w:p w14:paraId="4B5A5A09" w14:textId="075F538E"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289</w:t>
            </w:r>
          </w:p>
        </w:tc>
        <w:tc>
          <w:tcPr>
            <w:tcW w:w="1281" w:type="dxa"/>
            <w:vAlign w:val="center"/>
          </w:tcPr>
          <w:p w14:paraId="6F1524D5" w14:textId="77777777" w:rsidR="00521F7C" w:rsidRPr="00A83DE1" w:rsidRDefault="00521F7C" w:rsidP="00A90F7C">
            <w:pPr>
              <w:pStyle w:val="TableText0"/>
              <w:framePr w:wrap="around"/>
            </w:pPr>
            <w:r w:rsidRPr="00A83DE1">
              <w:t>R, DB</w:t>
            </w:r>
          </w:p>
          <w:p w14:paraId="643CE854" w14:textId="51060C57" w:rsidR="00521F7C" w:rsidRPr="00A83DE1" w:rsidRDefault="00521F7C" w:rsidP="7AF51647">
            <w:pPr>
              <w:keepNext/>
              <w:jc w:val="center"/>
              <w:rPr>
                <w:rFonts w:ascii="Arial Narrow" w:eastAsiaTheme="majorEastAsia" w:hAnsi="Arial Narrow"/>
                <w:sz w:val="20"/>
                <w:szCs w:val="20"/>
              </w:rPr>
            </w:pPr>
            <w:r w:rsidRPr="7AF51647">
              <w:rPr>
                <w:rFonts w:ascii="Arial Narrow" w:hAnsi="Arial Narrow"/>
                <w:sz w:val="20"/>
                <w:szCs w:val="20"/>
              </w:rPr>
              <w:t>36.7 m</w:t>
            </w:r>
            <w:r w:rsidR="00F91D15" w:rsidRPr="7AF51647">
              <w:rPr>
                <w:rFonts w:ascii="Arial Narrow" w:hAnsi="Arial Narrow"/>
                <w:sz w:val="20"/>
                <w:szCs w:val="20"/>
              </w:rPr>
              <w:t>on</w:t>
            </w:r>
            <w:r w:rsidRPr="7AF51647">
              <w:rPr>
                <w:rFonts w:ascii="Arial Narrow" w:hAnsi="Arial Narrow"/>
                <w:sz w:val="20"/>
                <w:szCs w:val="20"/>
              </w:rPr>
              <w:t>ths</w:t>
            </w:r>
            <w:r w:rsidRPr="7AF51647">
              <w:rPr>
                <w:rFonts w:ascii="Arial Narrow" w:hAnsi="Arial Narrow"/>
                <w:sz w:val="20"/>
                <w:szCs w:val="20"/>
                <w:vertAlign w:val="superscript"/>
              </w:rPr>
              <w:t>a</w:t>
            </w:r>
          </w:p>
        </w:tc>
        <w:tc>
          <w:tcPr>
            <w:tcW w:w="1269" w:type="dxa"/>
            <w:vAlign w:val="center"/>
          </w:tcPr>
          <w:p w14:paraId="0FA9CF49" w14:textId="51AF6977" w:rsidR="00521F7C" w:rsidRPr="00A83DE1" w:rsidRDefault="00521F7C" w:rsidP="00521F7C">
            <w:pPr>
              <w:keepNext/>
              <w:jc w:val="center"/>
              <w:rPr>
                <w:rFonts w:ascii="Arial Narrow" w:eastAsiaTheme="majorEastAsia" w:hAnsi="Arial Narrow"/>
                <w:iCs/>
                <w:sz w:val="20"/>
                <w:szCs w:val="20"/>
              </w:rPr>
            </w:pPr>
            <w:r w:rsidRPr="00A83DE1">
              <w:rPr>
                <w:rFonts w:ascii="Arial Narrow" w:hAnsi="Arial Narrow"/>
                <w:iCs/>
                <w:sz w:val="20"/>
                <w:szCs w:val="20"/>
              </w:rPr>
              <w:t>Low</w:t>
            </w:r>
          </w:p>
        </w:tc>
        <w:tc>
          <w:tcPr>
            <w:tcW w:w="1288" w:type="dxa"/>
            <w:vAlign w:val="center"/>
          </w:tcPr>
          <w:p w14:paraId="0081E529" w14:textId="516DDD49"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1L RM-NPC</w:t>
            </w:r>
          </w:p>
        </w:tc>
        <w:tc>
          <w:tcPr>
            <w:tcW w:w="1360" w:type="dxa"/>
            <w:vAlign w:val="center"/>
          </w:tcPr>
          <w:p w14:paraId="12410DDE" w14:textId="7ECF184D"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PFS, OS, ORR</w:t>
            </w:r>
          </w:p>
        </w:tc>
        <w:tc>
          <w:tcPr>
            <w:tcW w:w="1288" w:type="dxa"/>
            <w:vAlign w:val="center"/>
          </w:tcPr>
          <w:p w14:paraId="64BDCB6C" w14:textId="69E4398E"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PFS, OS</w:t>
            </w:r>
          </w:p>
        </w:tc>
      </w:tr>
      <w:tr w:rsidR="00521F7C" w:rsidRPr="00A83DE1" w14:paraId="7D2719CC" w14:textId="77777777" w:rsidTr="7AF51647">
        <w:tc>
          <w:tcPr>
            <w:tcW w:w="1269" w:type="dxa"/>
            <w:vAlign w:val="center"/>
          </w:tcPr>
          <w:p w14:paraId="75ADAACE" w14:textId="7380F8E4" w:rsidR="00521F7C" w:rsidRPr="00A83DE1" w:rsidRDefault="00521F7C" w:rsidP="00521F7C">
            <w:pPr>
              <w:keepNext/>
              <w:jc w:val="left"/>
              <w:rPr>
                <w:rFonts w:ascii="Arial Narrow" w:eastAsiaTheme="majorEastAsia" w:hAnsi="Arial Narrow"/>
                <w:sz w:val="20"/>
                <w:szCs w:val="20"/>
              </w:rPr>
            </w:pPr>
            <w:r w:rsidRPr="00A83DE1">
              <w:rPr>
                <w:rFonts w:ascii="Arial Narrow" w:hAnsi="Arial Narrow"/>
                <w:sz w:val="20"/>
                <w:szCs w:val="20"/>
              </w:rPr>
              <w:t>POLARIS-02</w:t>
            </w:r>
          </w:p>
        </w:tc>
        <w:tc>
          <w:tcPr>
            <w:tcW w:w="1262" w:type="dxa"/>
            <w:vAlign w:val="center"/>
          </w:tcPr>
          <w:p w14:paraId="227E968D" w14:textId="35D929C8"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190</w:t>
            </w:r>
          </w:p>
        </w:tc>
        <w:tc>
          <w:tcPr>
            <w:tcW w:w="1281" w:type="dxa"/>
            <w:vAlign w:val="center"/>
          </w:tcPr>
          <w:p w14:paraId="6724A74F" w14:textId="77777777" w:rsidR="00521F7C" w:rsidRPr="00A83DE1" w:rsidRDefault="00521F7C" w:rsidP="00A90F7C">
            <w:pPr>
              <w:pStyle w:val="TableText0"/>
              <w:framePr w:wrap="around"/>
            </w:pPr>
            <w:r w:rsidRPr="00A83DE1">
              <w:t>SA</w:t>
            </w:r>
          </w:p>
          <w:p w14:paraId="6D62607C" w14:textId="7C031F03" w:rsidR="00521F7C" w:rsidRPr="00A83DE1" w:rsidRDefault="00521F7C" w:rsidP="7AF51647">
            <w:pPr>
              <w:keepNext/>
              <w:jc w:val="center"/>
              <w:rPr>
                <w:rFonts w:ascii="Arial Narrow" w:eastAsiaTheme="majorEastAsia" w:hAnsi="Arial Narrow"/>
                <w:sz w:val="20"/>
                <w:szCs w:val="20"/>
              </w:rPr>
            </w:pPr>
            <w:r w:rsidRPr="7AF51647">
              <w:rPr>
                <w:rFonts w:ascii="Arial Narrow" w:hAnsi="Arial Narrow"/>
                <w:sz w:val="20"/>
                <w:szCs w:val="20"/>
              </w:rPr>
              <w:t>3.7 m</w:t>
            </w:r>
            <w:r w:rsidR="00F91D15" w:rsidRPr="7AF51647">
              <w:rPr>
                <w:rFonts w:ascii="Arial Narrow" w:hAnsi="Arial Narrow"/>
                <w:sz w:val="20"/>
                <w:szCs w:val="20"/>
              </w:rPr>
              <w:t>on</w:t>
            </w:r>
            <w:r w:rsidRPr="7AF51647">
              <w:rPr>
                <w:rFonts w:ascii="Arial Narrow" w:hAnsi="Arial Narrow"/>
                <w:sz w:val="20"/>
                <w:szCs w:val="20"/>
              </w:rPr>
              <w:t>ths</w:t>
            </w:r>
            <w:r w:rsidRPr="7AF51647">
              <w:rPr>
                <w:rFonts w:ascii="Arial Narrow" w:hAnsi="Arial Narrow"/>
                <w:sz w:val="20"/>
                <w:szCs w:val="20"/>
                <w:vertAlign w:val="superscript"/>
              </w:rPr>
              <w:t>a</w:t>
            </w:r>
          </w:p>
        </w:tc>
        <w:tc>
          <w:tcPr>
            <w:tcW w:w="1269" w:type="dxa"/>
            <w:vAlign w:val="center"/>
          </w:tcPr>
          <w:p w14:paraId="721C56E7" w14:textId="635A0B06" w:rsidR="00521F7C" w:rsidRPr="00A83DE1" w:rsidRDefault="00931440" w:rsidP="7AF51647">
            <w:pPr>
              <w:keepNext/>
              <w:jc w:val="center"/>
              <w:rPr>
                <w:rFonts w:ascii="Arial Narrow" w:eastAsiaTheme="majorEastAsia" w:hAnsi="Arial Narrow"/>
                <w:sz w:val="20"/>
                <w:szCs w:val="20"/>
                <w:vertAlign w:val="superscript"/>
              </w:rPr>
            </w:pPr>
            <w:r w:rsidRPr="7AF51647">
              <w:rPr>
                <w:rFonts w:ascii="Arial Narrow" w:hAnsi="Arial Narrow"/>
                <w:sz w:val="20"/>
                <w:szCs w:val="20"/>
              </w:rPr>
              <w:t>High</w:t>
            </w:r>
            <w:r w:rsidRPr="7AF51647">
              <w:rPr>
                <w:rFonts w:ascii="Arial Narrow" w:hAnsi="Arial Narrow"/>
                <w:sz w:val="20"/>
                <w:szCs w:val="20"/>
                <w:vertAlign w:val="superscript"/>
              </w:rPr>
              <w:t>b</w:t>
            </w:r>
          </w:p>
        </w:tc>
        <w:tc>
          <w:tcPr>
            <w:tcW w:w="1288" w:type="dxa"/>
            <w:vAlign w:val="center"/>
          </w:tcPr>
          <w:p w14:paraId="443EBE73" w14:textId="72895D48"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2L+ RM-NPC</w:t>
            </w:r>
          </w:p>
        </w:tc>
        <w:tc>
          <w:tcPr>
            <w:tcW w:w="1360" w:type="dxa"/>
            <w:vAlign w:val="center"/>
          </w:tcPr>
          <w:p w14:paraId="361D1639" w14:textId="1ACC7EAE"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ORR, PFS, OS</w:t>
            </w:r>
          </w:p>
        </w:tc>
        <w:tc>
          <w:tcPr>
            <w:tcW w:w="1288" w:type="dxa"/>
            <w:vAlign w:val="center"/>
          </w:tcPr>
          <w:p w14:paraId="14EA5762" w14:textId="3224A5DD" w:rsidR="00521F7C" w:rsidRPr="00A83DE1" w:rsidRDefault="00521F7C" w:rsidP="00521F7C">
            <w:pPr>
              <w:keepNext/>
              <w:jc w:val="center"/>
              <w:rPr>
                <w:rFonts w:ascii="Arial Narrow" w:eastAsiaTheme="majorEastAsia" w:hAnsi="Arial Narrow"/>
                <w:sz w:val="20"/>
                <w:szCs w:val="20"/>
              </w:rPr>
            </w:pPr>
            <w:r w:rsidRPr="00A83DE1">
              <w:rPr>
                <w:rFonts w:ascii="Arial Narrow" w:hAnsi="Arial Narrow"/>
                <w:sz w:val="20"/>
                <w:szCs w:val="20"/>
              </w:rPr>
              <w:t>Not used</w:t>
            </w:r>
          </w:p>
        </w:tc>
      </w:tr>
    </w:tbl>
    <w:p w14:paraId="560080D2" w14:textId="18253C1C" w:rsidR="00045017" w:rsidRPr="0098262F" w:rsidRDefault="00045017" w:rsidP="00521F7C">
      <w:pPr>
        <w:pStyle w:val="FooterTableFigure"/>
        <w:keepNext/>
      </w:pPr>
      <w:r w:rsidRPr="0098262F">
        <w:t xml:space="preserve">Source: </w:t>
      </w:r>
      <w:r w:rsidR="00521F7C">
        <w:t>compiled during the evaluation</w:t>
      </w:r>
      <w:r w:rsidRPr="0098262F">
        <w:t>.</w:t>
      </w:r>
    </w:p>
    <w:p w14:paraId="1095487C" w14:textId="4BBE0CE8" w:rsidR="00620C25" w:rsidRDefault="00620C25" w:rsidP="00521F7C">
      <w:pPr>
        <w:pStyle w:val="FooterTableFigure"/>
        <w:keepNext/>
      </w:pPr>
      <w:r w:rsidRPr="0098262F">
        <w:t>DB</w:t>
      </w:r>
      <w:r w:rsidR="006166E0">
        <w:t xml:space="preserve">, </w:t>
      </w:r>
      <w:r w:rsidRPr="0098262F">
        <w:t xml:space="preserve">double blind; </w:t>
      </w:r>
      <w:r w:rsidR="006166E0">
        <w:t xml:space="preserve">N/A, not applicable; ORR, objective response rate; </w:t>
      </w:r>
      <w:r w:rsidRPr="0098262F">
        <w:t>OS</w:t>
      </w:r>
      <w:r w:rsidR="006166E0">
        <w:t xml:space="preserve">, </w:t>
      </w:r>
      <w:r w:rsidRPr="0098262F">
        <w:t>overall survival; PFS</w:t>
      </w:r>
      <w:r w:rsidR="006166E0">
        <w:t xml:space="preserve">, </w:t>
      </w:r>
      <w:r w:rsidRPr="0098262F">
        <w:t>progression-free survival; R</w:t>
      </w:r>
      <w:r w:rsidR="006166E0">
        <w:t xml:space="preserve">, </w:t>
      </w:r>
      <w:r w:rsidRPr="0098262F">
        <w:t>randomised</w:t>
      </w:r>
      <w:r w:rsidR="006166E0">
        <w:t xml:space="preserve">, </w:t>
      </w:r>
      <w:r w:rsidR="00376ADA">
        <w:t xml:space="preserve">RM-NPC = recurrent or metastatic nasopharyngeal carcinoma; </w:t>
      </w:r>
      <w:r w:rsidR="006166E0">
        <w:t>SA = single-arm</w:t>
      </w:r>
      <w:r w:rsidRPr="0098262F">
        <w:t>.</w:t>
      </w:r>
    </w:p>
    <w:p w14:paraId="4630BADD" w14:textId="34F68266" w:rsidR="006166E0" w:rsidRDefault="006166E0" w:rsidP="00521F7C">
      <w:pPr>
        <w:pStyle w:val="FooterTableFigure"/>
        <w:keepNext/>
      </w:pPr>
      <w:r>
        <w:t>a: median follow-up</w:t>
      </w:r>
    </w:p>
    <w:p w14:paraId="7A1A5541" w14:textId="421936E5" w:rsidR="00931440" w:rsidRPr="0098262F" w:rsidRDefault="00931440" w:rsidP="7AF51647">
      <w:pPr>
        <w:pStyle w:val="FooterTableFigure"/>
        <w:keepNext/>
        <w:rPr>
          <w:sz w:val="20"/>
          <w:szCs w:val="20"/>
        </w:rPr>
      </w:pPr>
      <w:r w:rsidRPr="7AF51647">
        <w:t>b: considered to be a ‘fair’ quality study by assessment with National Heart, Lung and Blood Institute (NHLBI) Quality Assessment Tool for Case Series Studies. Single arm nature</w:t>
      </w:r>
      <w:r w:rsidR="007261C7" w:rsidRPr="7AF51647">
        <w:t xml:space="preserve"> results in ‘high’ risk of bias categorisation</w:t>
      </w:r>
    </w:p>
    <w:p w14:paraId="0AF09300" w14:textId="176F606C" w:rsidR="006166E0" w:rsidRPr="006166E0" w:rsidRDefault="006166E0" w:rsidP="00EC5836">
      <w:pPr>
        <w:pStyle w:val="3-BodyText"/>
      </w:pPr>
      <w:r w:rsidRPr="006166E0">
        <w:t>The JUPITER-02 trial had two phases</w:t>
      </w:r>
      <w:r>
        <w:t>:</w:t>
      </w:r>
      <w:r w:rsidRPr="006166E0">
        <w:t xml:space="preserve"> </w:t>
      </w:r>
    </w:p>
    <w:p w14:paraId="338A370B" w14:textId="7253CB69" w:rsidR="006166E0" w:rsidRPr="006166E0" w:rsidRDefault="006166E0" w:rsidP="002F1F51">
      <w:pPr>
        <w:pStyle w:val="3-BodyText"/>
        <w:numPr>
          <w:ilvl w:val="0"/>
          <w:numId w:val="12"/>
        </w:numPr>
      </w:pPr>
      <w:r w:rsidRPr="7AF51647">
        <w:t xml:space="preserve">a chemotherapy phase where patients were treated with toripalimab or placebo (in combination with Cis+Gem) for a maximum of six cycles; and </w:t>
      </w:r>
    </w:p>
    <w:p w14:paraId="4B83BBF3" w14:textId="26683409" w:rsidR="00045017" w:rsidRPr="00285587" w:rsidRDefault="261F607D" w:rsidP="002F1F51">
      <w:pPr>
        <w:pStyle w:val="3-BodyText"/>
        <w:numPr>
          <w:ilvl w:val="0"/>
          <w:numId w:val="12"/>
        </w:numPr>
        <w:rPr>
          <w:rFonts w:cs="Arial"/>
        </w:rPr>
      </w:pPr>
      <w:r w:rsidRPr="7AF51647">
        <w:t xml:space="preserve">a post-chemotherapy phase where patients </w:t>
      </w:r>
      <w:r w:rsidRPr="7AF51647">
        <w:rPr>
          <w:rFonts w:cs="Arial"/>
        </w:rPr>
        <w:t>who did not have progressive disease or were responding/stabilised</w:t>
      </w:r>
      <w:r w:rsidR="4C2AAE43" w:rsidRPr="7AF51647">
        <w:rPr>
          <w:rFonts w:cs="Arial"/>
        </w:rPr>
        <w:t>,</w:t>
      </w:r>
      <w:r w:rsidRPr="7AF51647">
        <w:rPr>
          <w:rFonts w:cs="Arial"/>
        </w:rPr>
        <w:t xml:space="preserve"> continued </w:t>
      </w:r>
      <w:r w:rsidR="45B4C737" w:rsidRPr="7AF51647">
        <w:rPr>
          <w:rFonts w:cs="Arial"/>
        </w:rPr>
        <w:t xml:space="preserve">to receive </w:t>
      </w:r>
      <w:r w:rsidRPr="7AF51647">
        <w:rPr>
          <w:rFonts w:cs="Arial"/>
        </w:rPr>
        <w:t xml:space="preserve">randomised treatment (toripalimab or </w:t>
      </w:r>
      <w:r w:rsidRPr="7AF51647">
        <w:t>placebo</w:t>
      </w:r>
      <w:r w:rsidRPr="7AF51647">
        <w:rPr>
          <w:rFonts w:cs="Arial"/>
        </w:rPr>
        <w:t>) as maintenance therapy until any of the following occurred: excessive toxicity, disease progression, withdrawal of consent, the investigator’s judgment that the patient was no longer receiving benefit, or a maximum of two years of treatment.</w:t>
      </w:r>
    </w:p>
    <w:p w14:paraId="09E9BAF2" w14:textId="1CFC38A5" w:rsidR="00285587" w:rsidRDefault="00285587" w:rsidP="00285587">
      <w:pPr>
        <w:pStyle w:val="3-BodyText"/>
        <w:numPr>
          <w:ilvl w:val="0"/>
          <w:numId w:val="0"/>
        </w:numPr>
        <w:ind w:left="709"/>
        <w:rPr>
          <w:rFonts w:cs="Arial"/>
        </w:rPr>
      </w:pPr>
      <w:r>
        <w:rPr>
          <w:rFonts w:cs="Arial"/>
        </w:rPr>
        <w:t>Cross-over was not permitted in the trial.</w:t>
      </w:r>
    </w:p>
    <w:p w14:paraId="623BE821" w14:textId="5460D29C" w:rsidR="00A10309" w:rsidRPr="00A10309" w:rsidRDefault="00A10309" w:rsidP="001C576E">
      <w:pPr>
        <w:pStyle w:val="3-BodyText"/>
      </w:pPr>
      <w:r w:rsidRPr="00447403">
        <w:t xml:space="preserve">The </w:t>
      </w:r>
      <w:r w:rsidR="008328C7" w:rsidRPr="00447403">
        <w:t xml:space="preserve">ESC noted that </w:t>
      </w:r>
      <w:r w:rsidR="00E95B00" w:rsidRPr="00447403">
        <w:t xml:space="preserve">the </w:t>
      </w:r>
      <w:r w:rsidR="006C66D8" w:rsidRPr="00447403">
        <w:t>submission presented results of t</w:t>
      </w:r>
      <w:r w:rsidRPr="00447403">
        <w:t>he</w:t>
      </w:r>
      <w:r w:rsidR="00433AA9" w:rsidRPr="00447403">
        <w:t xml:space="preserve"> </w:t>
      </w:r>
      <w:r w:rsidRPr="00447403">
        <w:t xml:space="preserve">POLARIS-02 study </w:t>
      </w:r>
      <w:r w:rsidR="006C66D8" w:rsidRPr="00447403">
        <w:t>to support a request for use of toripalimab 2L.</w:t>
      </w:r>
      <w:r w:rsidRPr="00447403">
        <w:t xml:space="preserve"> </w:t>
      </w:r>
      <w:r w:rsidR="00ED18C0" w:rsidRPr="00447403">
        <w:t>The ESC noted that the trial</w:t>
      </w:r>
      <w:r w:rsidR="00357773">
        <w:t xml:space="preserve"> </w:t>
      </w:r>
      <w:r w:rsidR="00214831" w:rsidRPr="00447403">
        <w:t>enroll</w:t>
      </w:r>
      <w:r w:rsidR="00357773">
        <w:t>ed</w:t>
      </w:r>
      <w:r w:rsidR="00C933F3" w:rsidRPr="00447403">
        <w:t xml:space="preserve"> patients with </w:t>
      </w:r>
      <w:r w:rsidR="00214831" w:rsidRPr="00447403">
        <w:t xml:space="preserve">predominantly </w:t>
      </w:r>
      <w:r w:rsidR="005E03D4">
        <w:t xml:space="preserve">(95.8%) </w:t>
      </w:r>
      <w:r w:rsidR="00214831" w:rsidRPr="00447403">
        <w:t xml:space="preserve">non-keratinising NPC, </w:t>
      </w:r>
      <w:r w:rsidR="00C933F3" w:rsidRPr="00447403">
        <w:t xml:space="preserve">and that the </w:t>
      </w:r>
      <w:r w:rsidR="006C55CB" w:rsidRPr="00447403">
        <w:t xml:space="preserve">median duration of response </w:t>
      </w:r>
      <w:r w:rsidR="002A5A31" w:rsidRPr="00447403">
        <w:t xml:space="preserve">as assessed by the </w:t>
      </w:r>
      <w:r w:rsidR="001C078D" w:rsidRPr="00447403">
        <w:t xml:space="preserve">independent review committee (IRC) </w:t>
      </w:r>
      <w:r w:rsidR="00C933F3" w:rsidRPr="00447403">
        <w:t xml:space="preserve">was </w:t>
      </w:r>
      <w:r w:rsidR="006C55CB" w:rsidRPr="00447403">
        <w:t>14.9 months. While t</w:t>
      </w:r>
      <w:r w:rsidRPr="00447403">
        <w:t>he submission claimed that toripalimab provides a clinically meaningful treatment response and duration of response to patients, and demonstrates a manageable</w:t>
      </w:r>
      <w:r>
        <w:t xml:space="preserve"> safety profile</w:t>
      </w:r>
      <w:r w:rsidR="006C55CB">
        <w:t>, a</w:t>
      </w:r>
      <w:r w:rsidRPr="00A83DE1">
        <w:rPr>
          <w:iCs/>
        </w:rPr>
        <w:t>s the submission presented only the single-arm POLARIS-02 study to inform the assessment of toripalimab in the 2L setting, the comparative benefit/harms and magnitude of effect could not be determined.</w:t>
      </w:r>
      <w:r w:rsidR="003E622D">
        <w:rPr>
          <w:iCs/>
        </w:rPr>
        <w:t xml:space="preserve"> The PBAC noted </w:t>
      </w:r>
      <w:r w:rsidR="000652C6">
        <w:rPr>
          <w:iCs/>
        </w:rPr>
        <w:t xml:space="preserve">the ORR was 20.5% with a median PFS of 1.9 months and median OS of 17.4 months. </w:t>
      </w:r>
    </w:p>
    <w:p w14:paraId="4A4FE085" w14:textId="1C5613CC" w:rsidR="00B60939" w:rsidRPr="0098262F" w:rsidRDefault="00B60939" w:rsidP="00EC5836">
      <w:pPr>
        <w:pStyle w:val="4-SubsectionHeading"/>
      </w:pPr>
      <w:bookmarkStart w:id="24" w:name="_Toc22897641"/>
      <w:bookmarkStart w:id="25" w:name="_Toc188361221"/>
      <w:r w:rsidRPr="0098262F">
        <w:t>Comparative effectiveness</w:t>
      </w:r>
      <w:bookmarkEnd w:id="24"/>
      <w:bookmarkEnd w:id="25"/>
    </w:p>
    <w:p w14:paraId="573552E3" w14:textId="2076C818" w:rsidR="001C576E" w:rsidRDefault="001C576E" w:rsidP="00EC5836">
      <w:pPr>
        <w:pStyle w:val="3-BodyText"/>
      </w:pPr>
      <w:r>
        <w:t xml:space="preserve">The primary outcome of the JUPITER-02 trial was PFS </w:t>
      </w:r>
      <w:r w:rsidRPr="00F63D14">
        <w:t xml:space="preserve">as assessed </w:t>
      </w:r>
      <w:r w:rsidR="00FE1F78">
        <w:t xml:space="preserve">with </w:t>
      </w:r>
      <w:r w:rsidR="00FE1F78" w:rsidRPr="00F63D14">
        <w:t>RECIST version 1.1</w:t>
      </w:r>
      <w:r w:rsidR="00FE1F78">
        <w:t xml:space="preserve"> </w:t>
      </w:r>
      <w:r w:rsidRPr="00F63D14">
        <w:t>by IRC</w:t>
      </w:r>
      <w:r>
        <w:t xml:space="preserve">; see </w:t>
      </w:r>
      <w:r w:rsidR="0075118B">
        <w:fldChar w:fldCharType="begin"/>
      </w:r>
      <w:r w:rsidR="0075118B">
        <w:instrText xml:space="preserve"> REF _Ref187827622 \h </w:instrText>
      </w:r>
      <w:r w:rsidR="0075118B">
        <w:fldChar w:fldCharType="separate"/>
      </w:r>
      <w:r w:rsidR="002C005D" w:rsidRPr="002A3753">
        <w:t xml:space="preserve">Table </w:t>
      </w:r>
      <w:r w:rsidR="002C005D">
        <w:rPr>
          <w:noProof/>
        </w:rPr>
        <w:t>4</w:t>
      </w:r>
      <w:r w:rsidR="0075118B">
        <w:fldChar w:fldCharType="end"/>
      </w:r>
      <w:r w:rsidR="0075118B">
        <w:t xml:space="preserve"> </w:t>
      </w:r>
      <w:r>
        <w:t xml:space="preserve">for results at data cutoff 1 (DCO1) and </w:t>
      </w:r>
      <w:r w:rsidR="00C8483C">
        <w:t>data cutoff 2 (</w:t>
      </w:r>
      <w:r>
        <w:t>DCO2</w:t>
      </w:r>
      <w:r w:rsidR="00C8483C">
        <w:t>)</w:t>
      </w:r>
      <w:r w:rsidR="0075118B">
        <w:t>.</w:t>
      </w:r>
      <w:r w:rsidR="00FE1F78">
        <w:t xml:space="preserve"> </w:t>
      </w:r>
      <w:r w:rsidR="00FE1F78">
        <w:fldChar w:fldCharType="begin"/>
      </w:r>
      <w:r w:rsidR="00FE1F78">
        <w:instrText xml:space="preserve"> REF _Ref187828347 \h </w:instrText>
      </w:r>
      <w:r w:rsidR="00FE1F78">
        <w:fldChar w:fldCharType="separate"/>
      </w:r>
      <w:r w:rsidR="002C005D">
        <w:t xml:space="preserve">Figure </w:t>
      </w:r>
      <w:r w:rsidR="002C005D">
        <w:rPr>
          <w:noProof/>
        </w:rPr>
        <w:t>1</w:t>
      </w:r>
      <w:r w:rsidR="00FE1F78">
        <w:fldChar w:fldCharType="end"/>
      </w:r>
      <w:r w:rsidR="00FE1F78">
        <w:t xml:space="preserve"> and </w:t>
      </w:r>
      <w:r w:rsidR="00FE1F78">
        <w:fldChar w:fldCharType="begin"/>
      </w:r>
      <w:r w:rsidR="00FE1F78">
        <w:instrText xml:space="preserve"> REF _Ref187828349 \h </w:instrText>
      </w:r>
      <w:r w:rsidR="00FE1F78">
        <w:fldChar w:fldCharType="separate"/>
      </w:r>
      <w:r w:rsidR="002C005D">
        <w:t xml:space="preserve">Figure </w:t>
      </w:r>
      <w:r w:rsidR="002C005D">
        <w:rPr>
          <w:noProof/>
        </w:rPr>
        <w:t>2</w:t>
      </w:r>
      <w:r w:rsidR="00FE1F78">
        <w:fldChar w:fldCharType="end"/>
      </w:r>
      <w:r w:rsidR="00FE1F78">
        <w:t xml:space="preserve"> present the associated Kaplan-Meier (KM) curves.</w:t>
      </w:r>
    </w:p>
    <w:p w14:paraId="420F3B92" w14:textId="474BED08" w:rsidR="0075118B" w:rsidRDefault="0075118B" w:rsidP="00EC5836">
      <w:pPr>
        <w:pStyle w:val="3-BodyText"/>
      </w:pPr>
      <w:r>
        <w:t xml:space="preserve">Although DCO1 was an interim analysis, the stopping boundary for the trial was crossed and this analysis is considered the final PFS analysis. </w:t>
      </w:r>
      <w:r w:rsidR="001F5FA9">
        <w:t xml:space="preserve">Patients </w:t>
      </w:r>
      <w:r w:rsidR="00CB660E">
        <w:t xml:space="preserve">who remained </w:t>
      </w:r>
      <w:r w:rsidR="00A868A2">
        <w:t>on the study drug in the investigational arm continued to receive toripalimab and patients in the control arm discontinued placebo</w:t>
      </w:r>
      <w:r w:rsidR="008307CE">
        <w:t xml:space="preserve"> following </w:t>
      </w:r>
      <w:r w:rsidR="00172178">
        <w:t xml:space="preserve">the Independent Data </w:t>
      </w:r>
      <w:r w:rsidR="00172178">
        <w:lastRenderedPageBreak/>
        <w:t xml:space="preserve">Monitoring Committee’s review of </w:t>
      </w:r>
      <w:r w:rsidR="00944873">
        <w:t xml:space="preserve">the interim analysis. </w:t>
      </w:r>
      <w:r>
        <w:t xml:space="preserve">Results at DCO2 </w:t>
      </w:r>
      <w:r w:rsidR="1D38D877">
        <w:t xml:space="preserve">include longer follow-up and </w:t>
      </w:r>
      <w:r w:rsidR="000E35D5">
        <w:t xml:space="preserve">have been </w:t>
      </w:r>
      <w:r>
        <w:t>provided for descriptive purposes</w:t>
      </w:r>
      <w:r w:rsidR="00FE1F78">
        <w:t>.</w:t>
      </w:r>
    </w:p>
    <w:p w14:paraId="4F5F0DFA" w14:textId="64214C49" w:rsidR="00FE1F78" w:rsidRPr="00447403" w:rsidRDefault="00FE1F78" w:rsidP="00EC5836">
      <w:pPr>
        <w:pStyle w:val="3-BodyText"/>
      </w:pPr>
      <w:bookmarkStart w:id="26" w:name="_Hlk193446037"/>
      <w:r w:rsidRPr="00447403">
        <w:t xml:space="preserve">The results indicate that treatment with toripalimab in combination with Cis+Gem resulted in statistically significantly improved PFS compared with placebo in combination with Cis+Gem, reducing the risk of progression or death by 48% </w:t>
      </w:r>
      <w:r w:rsidR="00F85012" w:rsidRPr="00447403">
        <w:t xml:space="preserve">at DCO1 (HR=0.52; 95% CI: 0.359, 0.740; p=0.0003) and DCO2 (HR=0.52; 95% CI: 0.374, 0.726; </w:t>
      </w:r>
      <w:r w:rsidR="006060F7">
        <w:t xml:space="preserve">nominal </w:t>
      </w:r>
      <w:r w:rsidR="00F85012" w:rsidRPr="00447403">
        <w:t>p&lt;0.0001)</w:t>
      </w:r>
      <w:r w:rsidRPr="00447403">
        <w:t>.</w:t>
      </w:r>
      <w:r w:rsidR="00377C93" w:rsidRPr="00447403">
        <w:t xml:space="preserve"> The ESC </w:t>
      </w:r>
      <w:r w:rsidR="00AD3C7E" w:rsidRPr="00447403">
        <w:t xml:space="preserve">noted that median PFS for toripalimab treated patients was </w:t>
      </w:r>
      <w:r w:rsidR="007212B7">
        <w:t xml:space="preserve">11.7 months at DCO1 and </w:t>
      </w:r>
      <w:r w:rsidR="00AD3C7E" w:rsidRPr="00447403">
        <w:t xml:space="preserve">21.4 months at DCO2 (see Table 4) </w:t>
      </w:r>
      <w:r w:rsidR="005A3AEE" w:rsidRPr="00447403">
        <w:t xml:space="preserve">compared to </w:t>
      </w:r>
      <w:r w:rsidR="006B16A9">
        <w:t xml:space="preserve">8.0 months at DCO1 and </w:t>
      </w:r>
      <w:r w:rsidR="00EF6263" w:rsidRPr="00447403">
        <w:t xml:space="preserve">8.2 months </w:t>
      </w:r>
      <w:r w:rsidR="00816643">
        <w:t xml:space="preserve">at DCO2 </w:t>
      </w:r>
      <w:r w:rsidR="00EF6263" w:rsidRPr="00447403">
        <w:t xml:space="preserve">in the placebo arm </w:t>
      </w:r>
      <w:r w:rsidR="00AD3C7E" w:rsidRPr="00447403">
        <w:t xml:space="preserve">and </w:t>
      </w:r>
      <w:r w:rsidR="00377C93" w:rsidRPr="00447403">
        <w:t xml:space="preserve">considered the improvement in </w:t>
      </w:r>
      <w:r w:rsidR="00AD3C7E" w:rsidRPr="00447403">
        <w:t xml:space="preserve">median </w:t>
      </w:r>
      <w:r w:rsidR="00377C93" w:rsidRPr="00447403">
        <w:t>PFS</w:t>
      </w:r>
      <w:r w:rsidR="00757993" w:rsidRPr="00447403">
        <w:t xml:space="preserve"> to be clinically meaningful.</w:t>
      </w:r>
    </w:p>
    <w:p w14:paraId="7A345ED3" w14:textId="0B78A5D6" w:rsidR="0075118B" w:rsidRPr="002A3753" w:rsidRDefault="0075118B" w:rsidP="00F36B4F">
      <w:pPr>
        <w:pStyle w:val="In-tableHeading"/>
        <w:spacing w:before="240"/>
      </w:pPr>
      <w:bookmarkStart w:id="27" w:name="_Ref187827622"/>
      <w:bookmarkEnd w:id="26"/>
      <w:r w:rsidRPr="002A3753">
        <w:t xml:space="preserve">Table </w:t>
      </w:r>
      <w:r w:rsidRPr="002A3753">
        <w:fldChar w:fldCharType="begin"/>
      </w:r>
      <w:r w:rsidRPr="002A3753">
        <w:instrText xml:space="preserve"> SEQ Table \* ARABIC </w:instrText>
      </w:r>
      <w:r w:rsidRPr="002A3753">
        <w:fldChar w:fldCharType="separate"/>
      </w:r>
      <w:r w:rsidR="002C005D">
        <w:rPr>
          <w:noProof/>
        </w:rPr>
        <w:t>4</w:t>
      </w:r>
      <w:r w:rsidRPr="002A3753">
        <w:fldChar w:fldCharType="end"/>
      </w:r>
      <w:bookmarkEnd w:id="27"/>
      <w:r w:rsidRPr="002A3753">
        <w:t>: PFS results in JUPITER-02: IRC assessed per RECIST v1.1 and per irRECIST (ITT Analysis Set; stratified by (i) ECOG performance status (0 versus 1) and (ii) disease stage (recurrent versus metastatic))</w:t>
      </w:r>
    </w:p>
    <w:tbl>
      <w:tblPr>
        <w:tblStyle w:val="TableGrid"/>
        <w:tblW w:w="0" w:type="auto"/>
        <w:tblLook w:val="04A0" w:firstRow="1" w:lastRow="0" w:firstColumn="1" w:lastColumn="0" w:noHBand="0" w:noVBand="1"/>
      </w:tblPr>
      <w:tblGrid>
        <w:gridCol w:w="4106"/>
        <w:gridCol w:w="2455"/>
        <w:gridCol w:w="2456"/>
      </w:tblGrid>
      <w:tr w:rsidR="00521F7C" w:rsidRPr="00521F7C" w14:paraId="602C59F5" w14:textId="77777777" w:rsidTr="007261C7">
        <w:tc>
          <w:tcPr>
            <w:tcW w:w="4106" w:type="dxa"/>
          </w:tcPr>
          <w:p w14:paraId="1EB1903E" w14:textId="77777777" w:rsidR="00521F7C" w:rsidRDefault="00521F7C" w:rsidP="009E51E4">
            <w:pPr>
              <w:pStyle w:val="In-tableHeading"/>
            </w:pPr>
          </w:p>
        </w:tc>
        <w:tc>
          <w:tcPr>
            <w:tcW w:w="2455" w:type="dxa"/>
            <w:vAlign w:val="center"/>
          </w:tcPr>
          <w:p w14:paraId="1F620B6F" w14:textId="6E25E810" w:rsidR="00521F7C" w:rsidRPr="00F607FF" w:rsidRDefault="00521F7C" w:rsidP="00A90F7C">
            <w:pPr>
              <w:pStyle w:val="TableText0"/>
              <w:framePr w:wrap="around"/>
              <w:rPr>
                <w:b/>
                <w:bCs/>
              </w:rPr>
            </w:pPr>
            <w:r w:rsidRPr="00F607FF">
              <w:rPr>
                <w:b/>
                <w:bCs/>
              </w:rPr>
              <w:t>Toripalimab + Cis+Gem</w:t>
            </w:r>
          </w:p>
          <w:p w14:paraId="1CF75AF7" w14:textId="0F5D76F8" w:rsidR="00521F7C" w:rsidRPr="00F607FF" w:rsidRDefault="00521F7C" w:rsidP="009E51E4">
            <w:pPr>
              <w:pStyle w:val="In-tableHeading"/>
            </w:pPr>
            <w:r w:rsidRPr="00F607FF">
              <w:t>N=146</w:t>
            </w:r>
          </w:p>
        </w:tc>
        <w:tc>
          <w:tcPr>
            <w:tcW w:w="2456" w:type="dxa"/>
            <w:vAlign w:val="center"/>
          </w:tcPr>
          <w:p w14:paraId="0FA9D32D" w14:textId="3F44A553" w:rsidR="00521F7C" w:rsidRPr="00F607FF" w:rsidRDefault="00521F7C" w:rsidP="00A90F7C">
            <w:pPr>
              <w:pStyle w:val="TableText0"/>
              <w:framePr w:wrap="around"/>
              <w:rPr>
                <w:b/>
                <w:bCs/>
              </w:rPr>
            </w:pPr>
            <w:r w:rsidRPr="00F607FF">
              <w:rPr>
                <w:b/>
                <w:bCs/>
              </w:rPr>
              <w:t>Placebo + Cis+Gem</w:t>
            </w:r>
          </w:p>
          <w:p w14:paraId="5869714C" w14:textId="011718FA" w:rsidR="00521F7C" w:rsidRPr="00F607FF" w:rsidRDefault="00521F7C" w:rsidP="009E51E4">
            <w:pPr>
              <w:pStyle w:val="In-tableHeading"/>
            </w:pPr>
            <w:r w:rsidRPr="00F607FF">
              <w:t>N=143</w:t>
            </w:r>
          </w:p>
        </w:tc>
      </w:tr>
      <w:tr w:rsidR="00521F7C" w:rsidRPr="00521F7C" w14:paraId="225F80F8" w14:textId="77777777">
        <w:tc>
          <w:tcPr>
            <w:tcW w:w="9017" w:type="dxa"/>
            <w:gridSpan w:val="3"/>
            <w:vAlign w:val="center"/>
          </w:tcPr>
          <w:p w14:paraId="3CB261D2" w14:textId="46D11A49" w:rsidR="00521F7C" w:rsidRPr="002A3753" w:rsidRDefault="00521F7C" w:rsidP="009E51E4">
            <w:pPr>
              <w:pStyle w:val="In-tableHeading"/>
            </w:pPr>
            <w:r w:rsidRPr="002A3753">
              <w:t xml:space="preserve">PFS analysis (DCO1): median follow-up 10.68 months </w:t>
            </w:r>
          </w:p>
        </w:tc>
      </w:tr>
      <w:tr w:rsidR="00521F7C" w:rsidRPr="00521F7C" w14:paraId="436B5DEC" w14:textId="77777777">
        <w:tc>
          <w:tcPr>
            <w:tcW w:w="9017" w:type="dxa"/>
            <w:gridSpan w:val="3"/>
            <w:vAlign w:val="center"/>
          </w:tcPr>
          <w:p w14:paraId="26CDE232" w14:textId="26B3DDDE" w:rsidR="00521F7C" w:rsidRPr="00775B63" w:rsidRDefault="00521F7C" w:rsidP="009E51E4">
            <w:pPr>
              <w:pStyle w:val="In-tableHeading"/>
              <w:rPr>
                <w:b w:val="0"/>
                <w:bCs/>
              </w:rPr>
            </w:pPr>
            <w:r w:rsidRPr="00775B63">
              <w:rPr>
                <w:b w:val="0"/>
                <w:bCs/>
              </w:rPr>
              <w:t>Per RECIST</w:t>
            </w:r>
          </w:p>
        </w:tc>
      </w:tr>
      <w:tr w:rsidR="00521F7C" w:rsidRPr="00521F7C" w14:paraId="4E29519F" w14:textId="77777777" w:rsidTr="00521F7C">
        <w:tc>
          <w:tcPr>
            <w:tcW w:w="4106" w:type="dxa"/>
          </w:tcPr>
          <w:p w14:paraId="08FF04B3" w14:textId="2D2A3AC8" w:rsidR="00521F7C" w:rsidRPr="00775B63" w:rsidRDefault="00521F7C" w:rsidP="009E51E4">
            <w:pPr>
              <w:pStyle w:val="In-tableHeading"/>
              <w:rPr>
                <w:b w:val="0"/>
                <w:bCs/>
              </w:rPr>
            </w:pPr>
            <w:r w:rsidRPr="00775B63">
              <w:rPr>
                <w:b w:val="0"/>
                <w:bCs/>
              </w:rPr>
              <w:t>Events of progressive disease or death, n (%)</w:t>
            </w:r>
          </w:p>
        </w:tc>
        <w:tc>
          <w:tcPr>
            <w:tcW w:w="2455" w:type="dxa"/>
            <w:vAlign w:val="center"/>
          </w:tcPr>
          <w:p w14:paraId="3A63F1F6" w14:textId="481DD788" w:rsidR="00521F7C" w:rsidRPr="00775B63" w:rsidRDefault="00521F7C" w:rsidP="009E51E4">
            <w:pPr>
              <w:pStyle w:val="In-tableHeading"/>
              <w:rPr>
                <w:b w:val="0"/>
                <w:bCs/>
              </w:rPr>
            </w:pPr>
            <w:r w:rsidRPr="00775B63">
              <w:rPr>
                <w:b w:val="0"/>
                <w:bCs/>
              </w:rPr>
              <w:t>49 (33.6)</w:t>
            </w:r>
          </w:p>
        </w:tc>
        <w:tc>
          <w:tcPr>
            <w:tcW w:w="2456" w:type="dxa"/>
            <w:vAlign w:val="center"/>
          </w:tcPr>
          <w:p w14:paraId="27464748" w14:textId="3BE2642F" w:rsidR="00521F7C" w:rsidRPr="00775B63" w:rsidRDefault="00521F7C" w:rsidP="009E51E4">
            <w:pPr>
              <w:pStyle w:val="In-tableHeading"/>
              <w:rPr>
                <w:b w:val="0"/>
                <w:bCs/>
              </w:rPr>
            </w:pPr>
            <w:r w:rsidRPr="00775B63">
              <w:rPr>
                <w:b w:val="0"/>
                <w:bCs/>
              </w:rPr>
              <w:t>79 (55.2)</w:t>
            </w:r>
          </w:p>
        </w:tc>
      </w:tr>
      <w:tr w:rsidR="00521F7C" w:rsidRPr="00521F7C" w14:paraId="3CE6BD3C" w14:textId="77777777" w:rsidTr="00521F7C">
        <w:tc>
          <w:tcPr>
            <w:tcW w:w="4106" w:type="dxa"/>
          </w:tcPr>
          <w:p w14:paraId="222D3102" w14:textId="772A2880" w:rsidR="00521F7C" w:rsidRPr="00775B63" w:rsidRDefault="00521F7C" w:rsidP="009E51E4">
            <w:pPr>
              <w:pStyle w:val="In-tableHeading"/>
              <w:rPr>
                <w:b w:val="0"/>
                <w:bCs/>
              </w:rPr>
            </w:pPr>
            <w:r w:rsidRPr="00775B63">
              <w:rPr>
                <w:b w:val="0"/>
                <w:bCs/>
              </w:rPr>
              <w:t>Stratified analysis HR</w:t>
            </w:r>
            <w:r w:rsidRPr="00775B63">
              <w:rPr>
                <w:b w:val="0"/>
                <w:bCs/>
                <w:vertAlign w:val="superscript"/>
              </w:rPr>
              <w:t>a</w:t>
            </w:r>
            <w:r w:rsidRPr="00775B63">
              <w:rPr>
                <w:b w:val="0"/>
                <w:bCs/>
              </w:rPr>
              <w:t xml:space="preserve"> (95% CI); p value</w:t>
            </w:r>
            <w:r w:rsidRPr="00775B63">
              <w:rPr>
                <w:b w:val="0"/>
                <w:bCs/>
                <w:vertAlign w:val="superscript"/>
              </w:rPr>
              <w:t>b</w:t>
            </w:r>
          </w:p>
        </w:tc>
        <w:tc>
          <w:tcPr>
            <w:tcW w:w="4911" w:type="dxa"/>
            <w:gridSpan w:val="2"/>
            <w:vAlign w:val="center"/>
          </w:tcPr>
          <w:p w14:paraId="1F05CF19" w14:textId="551A437F" w:rsidR="00521F7C" w:rsidRPr="00775B63" w:rsidRDefault="00521F7C" w:rsidP="009E51E4">
            <w:pPr>
              <w:pStyle w:val="In-tableHeading"/>
              <w:rPr>
                <w:b w:val="0"/>
                <w:bCs/>
              </w:rPr>
            </w:pPr>
            <w:r w:rsidRPr="00775B63">
              <w:rPr>
                <w:b w:val="0"/>
                <w:bCs/>
              </w:rPr>
              <w:t>0.52 (0.359, 0.740); p=0.0003</w:t>
            </w:r>
          </w:p>
        </w:tc>
      </w:tr>
      <w:tr w:rsidR="00521F7C" w:rsidRPr="00521F7C" w14:paraId="352AB9EB" w14:textId="77777777" w:rsidTr="00521F7C">
        <w:tc>
          <w:tcPr>
            <w:tcW w:w="4106" w:type="dxa"/>
          </w:tcPr>
          <w:p w14:paraId="7AF687C0" w14:textId="4459689F" w:rsidR="00521F7C" w:rsidRPr="00775B63" w:rsidRDefault="00521F7C" w:rsidP="009E51E4">
            <w:pPr>
              <w:pStyle w:val="In-tableHeading"/>
              <w:rPr>
                <w:b w:val="0"/>
                <w:bCs/>
              </w:rPr>
            </w:pPr>
            <w:r w:rsidRPr="00775B63">
              <w:rPr>
                <w:b w:val="0"/>
                <w:bCs/>
              </w:rPr>
              <w:t xml:space="preserve">Median PFS, months (95% CI) </w:t>
            </w:r>
          </w:p>
        </w:tc>
        <w:tc>
          <w:tcPr>
            <w:tcW w:w="2455" w:type="dxa"/>
            <w:vAlign w:val="center"/>
          </w:tcPr>
          <w:p w14:paraId="5EC2D299" w14:textId="350F6BA3" w:rsidR="00521F7C" w:rsidRPr="00775B63" w:rsidRDefault="00521F7C" w:rsidP="009E51E4">
            <w:pPr>
              <w:pStyle w:val="In-tableHeading"/>
              <w:rPr>
                <w:b w:val="0"/>
                <w:bCs/>
              </w:rPr>
            </w:pPr>
            <w:r w:rsidRPr="00775B63">
              <w:rPr>
                <w:b w:val="0"/>
                <w:bCs/>
              </w:rPr>
              <w:t>11.7 (11.04, NE)</w:t>
            </w:r>
          </w:p>
        </w:tc>
        <w:tc>
          <w:tcPr>
            <w:tcW w:w="2456" w:type="dxa"/>
            <w:vAlign w:val="center"/>
          </w:tcPr>
          <w:p w14:paraId="73162F8A" w14:textId="2BA117D2" w:rsidR="00521F7C" w:rsidRPr="00775B63" w:rsidRDefault="00521F7C" w:rsidP="009E51E4">
            <w:pPr>
              <w:pStyle w:val="In-tableHeading"/>
              <w:rPr>
                <w:b w:val="0"/>
                <w:bCs/>
              </w:rPr>
            </w:pPr>
            <w:r w:rsidRPr="00775B63">
              <w:rPr>
                <w:b w:val="0"/>
                <w:bCs/>
              </w:rPr>
              <w:t>8.0 (6.97, 9.53)</w:t>
            </w:r>
          </w:p>
        </w:tc>
      </w:tr>
      <w:tr w:rsidR="00521F7C" w:rsidRPr="00521F7C" w14:paraId="11927675" w14:textId="77777777" w:rsidTr="00521F7C">
        <w:tc>
          <w:tcPr>
            <w:tcW w:w="4106" w:type="dxa"/>
          </w:tcPr>
          <w:p w14:paraId="432B3EB8" w14:textId="5E1B9154" w:rsidR="00521F7C" w:rsidRPr="00775B63" w:rsidRDefault="00521F7C" w:rsidP="009E51E4">
            <w:pPr>
              <w:pStyle w:val="In-tableHeading"/>
              <w:rPr>
                <w:b w:val="0"/>
                <w:bCs/>
              </w:rPr>
            </w:pPr>
            <w:r w:rsidRPr="00775B63">
              <w:rPr>
                <w:b w:val="0"/>
                <w:bCs/>
              </w:rPr>
              <w:t>PFS rate (%) at 1 year (95% CI)</w:t>
            </w:r>
          </w:p>
        </w:tc>
        <w:tc>
          <w:tcPr>
            <w:tcW w:w="2455" w:type="dxa"/>
            <w:vAlign w:val="center"/>
          </w:tcPr>
          <w:p w14:paraId="6D11E438" w14:textId="62A32CA3" w:rsidR="00521F7C" w:rsidRPr="00775B63" w:rsidRDefault="00521F7C" w:rsidP="009E51E4">
            <w:pPr>
              <w:pStyle w:val="In-tableHeading"/>
              <w:rPr>
                <w:b w:val="0"/>
                <w:bCs/>
              </w:rPr>
            </w:pPr>
            <w:r w:rsidRPr="00775B63">
              <w:rPr>
                <w:b w:val="0"/>
                <w:bCs/>
              </w:rPr>
              <w:t>49.4 (36.41, 61.09)</w:t>
            </w:r>
          </w:p>
        </w:tc>
        <w:tc>
          <w:tcPr>
            <w:tcW w:w="2456" w:type="dxa"/>
            <w:vAlign w:val="center"/>
          </w:tcPr>
          <w:p w14:paraId="626D2E34" w14:textId="28F4635A" w:rsidR="00521F7C" w:rsidRPr="00775B63" w:rsidRDefault="00521F7C" w:rsidP="009E51E4">
            <w:pPr>
              <w:pStyle w:val="In-tableHeading"/>
              <w:rPr>
                <w:b w:val="0"/>
                <w:bCs/>
              </w:rPr>
            </w:pPr>
            <w:r w:rsidRPr="00775B63">
              <w:rPr>
                <w:b w:val="0"/>
                <w:bCs/>
              </w:rPr>
              <w:t>27.9 (18.00, 38.75)</w:t>
            </w:r>
          </w:p>
        </w:tc>
      </w:tr>
      <w:tr w:rsidR="00521F7C" w:rsidRPr="00521F7C" w14:paraId="2CA8E4E5" w14:textId="77777777" w:rsidTr="00521F7C">
        <w:tc>
          <w:tcPr>
            <w:tcW w:w="4106" w:type="dxa"/>
          </w:tcPr>
          <w:p w14:paraId="3AD719C1" w14:textId="42942A05" w:rsidR="00521F7C" w:rsidRPr="00775B63" w:rsidRDefault="00521F7C" w:rsidP="009E51E4">
            <w:pPr>
              <w:pStyle w:val="In-tableHeading"/>
              <w:rPr>
                <w:b w:val="0"/>
                <w:bCs/>
              </w:rPr>
            </w:pPr>
            <w:r w:rsidRPr="00775B63">
              <w:rPr>
                <w:b w:val="0"/>
                <w:bCs/>
              </w:rPr>
              <w:t>Difference of 1-year PFS rate (95% CI)</w:t>
            </w:r>
          </w:p>
        </w:tc>
        <w:tc>
          <w:tcPr>
            <w:tcW w:w="4911" w:type="dxa"/>
            <w:gridSpan w:val="2"/>
            <w:vAlign w:val="center"/>
          </w:tcPr>
          <w:p w14:paraId="55580446" w14:textId="4004E770" w:rsidR="00521F7C" w:rsidRPr="00775B63" w:rsidRDefault="00521F7C" w:rsidP="009E51E4">
            <w:pPr>
              <w:pStyle w:val="In-tableHeading"/>
              <w:rPr>
                <w:b w:val="0"/>
                <w:bCs/>
              </w:rPr>
            </w:pPr>
            <w:r w:rsidRPr="00775B63">
              <w:rPr>
                <w:b w:val="0"/>
                <w:bCs/>
              </w:rPr>
              <w:t>21.4 (5.1, 37.8)</w:t>
            </w:r>
          </w:p>
        </w:tc>
      </w:tr>
      <w:tr w:rsidR="00521F7C" w:rsidRPr="00521F7C" w14:paraId="0B0647B3" w14:textId="77777777">
        <w:tc>
          <w:tcPr>
            <w:tcW w:w="9017" w:type="dxa"/>
            <w:gridSpan w:val="3"/>
          </w:tcPr>
          <w:p w14:paraId="7F30B7C0" w14:textId="23722CDD" w:rsidR="00521F7C" w:rsidRPr="00775B63" w:rsidRDefault="00521F7C" w:rsidP="009E51E4">
            <w:pPr>
              <w:pStyle w:val="In-tableHeading"/>
              <w:rPr>
                <w:b w:val="0"/>
                <w:bCs/>
              </w:rPr>
            </w:pPr>
            <w:r w:rsidRPr="00775B63">
              <w:rPr>
                <w:b w:val="0"/>
                <w:bCs/>
              </w:rPr>
              <w:t>Per irRECIST</w:t>
            </w:r>
          </w:p>
        </w:tc>
      </w:tr>
      <w:tr w:rsidR="00521F7C" w:rsidRPr="00521F7C" w14:paraId="74E9894F" w14:textId="77777777" w:rsidTr="00521F7C">
        <w:tc>
          <w:tcPr>
            <w:tcW w:w="4106" w:type="dxa"/>
          </w:tcPr>
          <w:p w14:paraId="0AF956C0" w14:textId="6D17AF11" w:rsidR="00521F7C" w:rsidRPr="00775B63" w:rsidRDefault="00521F7C" w:rsidP="009E51E4">
            <w:pPr>
              <w:pStyle w:val="In-tableHeading"/>
              <w:rPr>
                <w:b w:val="0"/>
                <w:bCs/>
              </w:rPr>
            </w:pPr>
            <w:r w:rsidRPr="00775B63">
              <w:rPr>
                <w:b w:val="0"/>
                <w:bCs/>
              </w:rPr>
              <w:t>Stratified analysis HR</w:t>
            </w:r>
            <w:r w:rsidRPr="00775B63">
              <w:rPr>
                <w:b w:val="0"/>
                <w:bCs/>
                <w:vertAlign w:val="superscript"/>
              </w:rPr>
              <w:t>a</w:t>
            </w:r>
            <w:r w:rsidRPr="00775B63">
              <w:rPr>
                <w:b w:val="0"/>
                <w:bCs/>
              </w:rPr>
              <w:t xml:space="preserve"> (95% CI); p value</w:t>
            </w:r>
            <w:r w:rsidRPr="00775B63">
              <w:rPr>
                <w:b w:val="0"/>
                <w:bCs/>
                <w:vertAlign w:val="superscript"/>
              </w:rPr>
              <w:t>b</w:t>
            </w:r>
          </w:p>
        </w:tc>
        <w:tc>
          <w:tcPr>
            <w:tcW w:w="4911" w:type="dxa"/>
            <w:gridSpan w:val="2"/>
            <w:vAlign w:val="center"/>
          </w:tcPr>
          <w:p w14:paraId="0041BC82" w14:textId="7C0F59E9" w:rsidR="00521F7C" w:rsidRPr="00775B63" w:rsidRDefault="00521F7C" w:rsidP="009E51E4">
            <w:pPr>
              <w:pStyle w:val="In-tableHeading"/>
              <w:rPr>
                <w:b w:val="0"/>
                <w:bCs/>
              </w:rPr>
            </w:pPr>
            <w:r w:rsidRPr="00775B63">
              <w:rPr>
                <w:b w:val="0"/>
                <w:bCs/>
              </w:rPr>
              <w:t>0.48 (0.334, 0.705); p&lt;0.0001</w:t>
            </w:r>
          </w:p>
        </w:tc>
      </w:tr>
      <w:tr w:rsidR="00521F7C" w:rsidRPr="00521F7C" w14:paraId="4369C981" w14:textId="77777777">
        <w:tc>
          <w:tcPr>
            <w:tcW w:w="9017" w:type="dxa"/>
            <w:gridSpan w:val="3"/>
            <w:vAlign w:val="center"/>
          </w:tcPr>
          <w:p w14:paraId="1E411FB3" w14:textId="5EEA2CD9" w:rsidR="00521F7C" w:rsidRPr="002A3753" w:rsidRDefault="00521F7C" w:rsidP="009E51E4">
            <w:pPr>
              <w:pStyle w:val="In-tableHeading"/>
            </w:pPr>
            <w:r w:rsidRPr="002A3753">
              <w:t xml:space="preserve">PFS analysis (DCO2): median follow-up 21.82 months </w:t>
            </w:r>
          </w:p>
        </w:tc>
      </w:tr>
      <w:tr w:rsidR="00521F7C" w:rsidRPr="00521F7C" w14:paraId="4264B804" w14:textId="77777777">
        <w:tc>
          <w:tcPr>
            <w:tcW w:w="9017" w:type="dxa"/>
            <w:gridSpan w:val="3"/>
            <w:vAlign w:val="center"/>
          </w:tcPr>
          <w:p w14:paraId="6DFDF31E" w14:textId="51B5AFAD" w:rsidR="00521F7C" w:rsidRPr="00775B63" w:rsidRDefault="00521F7C" w:rsidP="009E51E4">
            <w:pPr>
              <w:pStyle w:val="In-tableHeading"/>
              <w:rPr>
                <w:b w:val="0"/>
                <w:bCs/>
              </w:rPr>
            </w:pPr>
            <w:r w:rsidRPr="00775B63">
              <w:rPr>
                <w:b w:val="0"/>
                <w:bCs/>
              </w:rPr>
              <w:t>Per RECIST</w:t>
            </w:r>
          </w:p>
        </w:tc>
      </w:tr>
      <w:tr w:rsidR="00521F7C" w:rsidRPr="00521F7C" w14:paraId="77E8364C" w14:textId="77777777" w:rsidTr="00521F7C">
        <w:tc>
          <w:tcPr>
            <w:tcW w:w="4106" w:type="dxa"/>
            <w:vAlign w:val="center"/>
          </w:tcPr>
          <w:p w14:paraId="45BCA6C2" w14:textId="6163CF3E" w:rsidR="00521F7C" w:rsidRPr="00775B63" w:rsidRDefault="00521F7C" w:rsidP="009E51E4">
            <w:pPr>
              <w:pStyle w:val="In-tableHeading"/>
              <w:rPr>
                <w:b w:val="0"/>
                <w:bCs/>
              </w:rPr>
            </w:pPr>
            <w:r w:rsidRPr="00775B63">
              <w:rPr>
                <w:b w:val="0"/>
                <w:bCs/>
              </w:rPr>
              <w:t>Events of progressive disease or death, n (%)</w:t>
            </w:r>
          </w:p>
        </w:tc>
        <w:tc>
          <w:tcPr>
            <w:tcW w:w="2455" w:type="dxa"/>
            <w:vAlign w:val="center"/>
          </w:tcPr>
          <w:p w14:paraId="71562808" w14:textId="4D1274E2" w:rsidR="00521F7C" w:rsidRPr="00775B63" w:rsidRDefault="00521F7C" w:rsidP="009E51E4">
            <w:pPr>
              <w:pStyle w:val="In-tableHeading"/>
              <w:rPr>
                <w:b w:val="0"/>
                <w:bCs/>
              </w:rPr>
            </w:pPr>
            <w:r w:rsidRPr="00775B63">
              <w:rPr>
                <w:b w:val="0"/>
                <w:bCs/>
              </w:rPr>
              <w:t>63 (43.2)</w:t>
            </w:r>
          </w:p>
        </w:tc>
        <w:tc>
          <w:tcPr>
            <w:tcW w:w="2456" w:type="dxa"/>
            <w:vAlign w:val="center"/>
          </w:tcPr>
          <w:p w14:paraId="114AA6A8" w14:textId="581AE980" w:rsidR="00521F7C" w:rsidRPr="00775B63" w:rsidRDefault="00521F7C" w:rsidP="009E51E4">
            <w:pPr>
              <w:pStyle w:val="In-tableHeading"/>
              <w:rPr>
                <w:b w:val="0"/>
                <w:bCs/>
              </w:rPr>
            </w:pPr>
            <w:r w:rsidRPr="00775B63">
              <w:rPr>
                <w:b w:val="0"/>
                <w:bCs/>
              </w:rPr>
              <w:t>87 (60.8)</w:t>
            </w:r>
          </w:p>
        </w:tc>
      </w:tr>
      <w:tr w:rsidR="00521F7C" w:rsidRPr="00521F7C" w14:paraId="3EBCE723" w14:textId="77777777" w:rsidTr="00521F7C">
        <w:tc>
          <w:tcPr>
            <w:tcW w:w="4106" w:type="dxa"/>
            <w:vAlign w:val="center"/>
          </w:tcPr>
          <w:p w14:paraId="2277F573" w14:textId="1B7CC6D1" w:rsidR="00521F7C" w:rsidRPr="00775B63" w:rsidRDefault="00521F7C" w:rsidP="009E51E4">
            <w:pPr>
              <w:pStyle w:val="In-tableHeading"/>
              <w:rPr>
                <w:b w:val="0"/>
                <w:bCs/>
              </w:rPr>
            </w:pPr>
            <w:r w:rsidRPr="00775B63">
              <w:rPr>
                <w:b w:val="0"/>
                <w:bCs/>
              </w:rPr>
              <w:t>Censored, n (%)</w:t>
            </w:r>
          </w:p>
        </w:tc>
        <w:tc>
          <w:tcPr>
            <w:tcW w:w="2455" w:type="dxa"/>
            <w:vAlign w:val="center"/>
          </w:tcPr>
          <w:p w14:paraId="6F100FB8" w14:textId="1CE4084F" w:rsidR="00521F7C" w:rsidRPr="00775B63" w:rsidRDefault="00521F7C" w:rsidP="009E51E4">
            <w:pPr>
              <w:pStyle w:val="In-tableHeading"/>
              <w:rPr>
                <w:b w:val="0"/>
                <w:bCs/>
              </w:rPr>
            </w:pPr>
            <w:r w:rsidRPr="00775B63">
              <w:rPr>
                <w:b w:val="0"/>
                <w:bCs/>
              </w:rPr>
              <w:t>83 (56.8)</w:t>
            </w:r>
          </w:p>
        </w:tc>
        <w:tc>
          <w:tcPr>
            <w:tcW w:w="2456" w:type="dxa"/>
            <w:vAlign w:val="center"/>
          </w:tcPr>
          <w:p w14:paraId="563808F8" w14:textId="731F8401" w:rsidR="00521F7C" w:rsidRPr="00775B63" w:rsidRDefault="00521F7C" w:rsidP="009E51E4">
            <w:pPr>
              <w:pStyle w:val="In-tableHeading"/>
              <w:rPr>
                <w:b w:val="0"/>
                <w:bCs/>
              </w:rPr>
            </w:pPr>
            <w:r w:rsidRPr="00775B63">
              <w:rPr>
                <w:b w:val="0"/>
                <w:bCs/>
              </w:rPr>
              <w:t>56 (39.2)</w:t>
            </w:r>
          </w:p>
        </w:tc>
      </w:tr>
      <w:tr w:rsidR="00521F7C" w:rsidRPr="00521F7C" w14:paraId="10AB1E14" w14:textId="77777777" w:rsidTr="00521F7C">
        <w:tc>
          <w:tcPr>
            <w:tcW w:w="4106" w:type="dxa"/>
            <w:vAlign w:val="center"/>
          </w:tcPr>
          <w:p w14:paraId="6FFC09C5" w14:textId="1B181B3E" w:rsidR="00521F7C" w:rsidRPr="00775B63" w:rsidRDefault="00521F7C" w:rsidP="009E51E4">
            <w:pPr>
              <w:pStyle w:val="In-tableHeading"/>
              <w:rPr>
                <w:b w:val="0"/>
                <w:bCs/>
              </w:rPr>
            </w:pPr>
            <w:r w:rsidRPr="00775B63">
              <w:rPr>
                <w:b w:val="0"/>
                <w:bCs/>
              </w:rPr>
              <w:t>No post-baseline tumour assessment, n (%)</w:t>
            </w:r>
          </w:p>
        </w:tc>
        <w:tc>
          <w:tcPr>
            <w:tcW w:w="2455" w:type="dxa"/>
            <w:vAlign w:val="center"/>
          </w:tcPr>
          <w:p w14:paraId="330FC586" w14:textId="06D9DD30" w:rsidR="00521F7C" w:rsidRPr="00775B63" w:rsidRDefault="00521F7C" w:rsidP="009E51E4">
            <w:pPr>
              <w:pStyle w:val="In-tableHeading"/>
              <w:rPr>
                <w:b w:val="0"/>
                <w:bCs/>
              </w:rPr>
            </w:pPr>
            <w:r w:rsidRPr="00775B63">
              <w:rPr>
                <w:b w:val="0"/>
                <w:bCs/>
              </w:rPr>
              <w:t>2 (1.4)</w:t>
            </w:r>
          </w:p>
        </w:tc>
        <w:tc>
          <w:tcPr>
            <w:tcW w:w="2456" w:type="dxa"/>
            <w:vAlign w:val="center"/>
          </w:tcPr>
          <w:p w14:paraId="7F19825D" w14:textId="6F072EBC" w:rsidR="00521F7C" w:rsidRPr="00775B63" w:rsidRDefault="00521F7C" w:rsidP="009E51E4">
            <w:pPr>
              <w:pStyle w:val="In-tableHeading"/>
              <w:rPr>
                <w:b w:val="0"/>
                <w:bCs/>
              </w:rPr>
            </w:pPr>
            <w:r w:rsidRPr="00775B63">
              <w:rPr>
                <w:b w:val="0"/>
                <w:bCs/>
              </w:rPr>
              <w:t>5 (3.5)</w:t>
            </w:r>
          </w:p>
        </w:tc>
      </w:tr>
      <w:tr w:rsidR="00521F7C" w:rsidRPr="00521F7C" w14:paraId="72309D93" w14:textId="77777777" w:rsidTr="00521F7C">
        <w:tc>
          <w:tcPr>
            <w:tcW w:w="4106" w:type="dxa"/>
            <w:vAlign w:val="center"/>
          </w:tcPr>
          <w:p w14:paraId="0FAD9526" w14:textId="0198DA43" w:rsidR="00521F7C" w:rsidRPr="00775B63" w:rsidRDefault="00521F7C" w:rsidP="009E51E4">
            <w:pPr>
              <w:pStyle w:val="In-tableHeading"/>
              <w:rPr>
                <w:b w:val="0"/>
                <w:bCs/>
              </w:rPr>
            </w:pPr>
            <w:r w:rsidRPr="00775B63">
              <w:rPr>
                <w:b w:val="0"/>
                <w:bCs/>
              </w:rPr>
              <w:t>No disease progression or death, n (%)</w:t>
            </w:r>
          </w:p>
        </w:tc>
        <w:tc>
          <w:tcPr>
            <w:tcW w:w="2455" w:type="dxa"/>
            <w:vAlign w:val="center"/>
          </w:tcPr>
          <w:p w14:paraId="113F88E8" w14:textId="5FF9E879" w:rsidR="00521F7C" w:rsidRPr="00775B63" w:rsidRDefault="00521F7C" w:rsidP="009E51E4">
            <w:pPr>
              <w:pStyle w:val="In-tableHeading"/>
              <w:rPr>
                <w:b w:val="0"/>
                <w:bCs/>
              </w:rPr>
            </w:pPr>
            <w:r w:rsidRPr="00775B63">
              <w:rPr>
                <w:b w:val="0"/>
                <w:bCs/>
              </w:rPr>
              <w:t>47 (32.2)</w:t>
            </w:r>
          </w:p>
        </w:tc>
        <w:tc>
          <w:tcPr>
            <w:tcW w:w="2456" w:type="dxa"/>
            <w:vAlign w:val="center"/>
          </w:tcPr>
          <w:p w14:paraId="4D73E54D" w14:textId="11584347" w:rsidR="00521F7C" w:rsidRPr="00775B63" w:rsidRDefault="00521F7C" w:rsidP="009E51E4">
            <w:pPr>
              <w:pStyle w:val="In-tableHeading"/>
              <w:rPr>
                <w:b w:val="0"/>
                <w:bCs/>
              </w:rPr>
            </w:pPr>
            <w:r w:rsidRPr="00775B63">
              <w:rPr>
                <w:b w:val="0"/>
                <w:bCs/>
              </w:rPr>
              <w:t>14 (9.8)</w:t>
            </w:r>
          </w:p>
        </w:tc>
      </w:tr>
      <w:tr w:rsidR="00521F7C" w:rsidRPr="00521F7C" w14:paraId="2A141B86" w14:textId="77777777" w:rsidTr="00521F7C">
        <w:tc>
          <w:tcPr>
            <w:tcW w:w="4106" w:type="dxa"/>
            <w:vAlign w:val="center"/>
          </w:tcPr>
          <w:p w14:paraId="2309D08E" w14:textId="0219A728" w:rsidR="00521F7C" w:rsidRPr="00775B63" w:rsidRDefault="00521F7C" w:rsidP="009E51E4">
            <w:pPr>
              <w:pStyle w:val="In-tableHeading"/>
              <w:rPr>
                <w:b w:val="0"/>
                <w:bCs/>
              </w:rPr>
            </w:pPr>
            <w:r w:rsidRPr="00775B63">
              <w:rPr>
                <w:b w:val="0"/>
                <w:bCs/>
              </w:rPr>
              <w:t>Missing ≥2 tumour assessments, n (%)</w:t>
            </w:r>
          </w:p>
        </w:tc>
        <w:tc>
          <w:tcPr>
            <w:tcW w:w="2455" w:type="dxa"/>
            <w:vAlign w:val="center"/>
          </w:tcPr>
          <w:p w14:paraId="4A929806" w14:textId="2D2E4B07" w:rsidR="00521F7C" w:rsidRPr="00775B63" w:rsidRDefault="00521F7C" w:rsidP="009E51E4">
            <w:pPr>
              <w:pStyle w:val="In-tableHeading"/>
              <w:rPr>
                <w:b w:val="0"/>
                <w:bCs/>
              </w:rPr>
            </w:pPr>
            <w:r w:rsidRPr="00775B63">
              <w:rPr>
                <w:b w:val="0"/>
                <w:bCs/>
              </w:rPr>
              <w:t>14 (9.6)</w:t>
            </w:r>
          </w:p>
        </w:tc>
        <w:tc>
          <w:tcPr>
            <w:tcW w:w="2456" w:type="dxa"/>
            <w:vAlign w:val="center"/>
          </w:tcPr>
          <w:p w14:paraId="74DF001C" w14:textId="64010670" w:rsidR="00521F7C" w:rsidRPr="00775B63" w:rsidRDefault="00521F7C" w:rsidP="009E51E4">
            <w:pPr>
              <w:pStyle w:val="In-tableHeading"/>
              <w:rPr>
                <w:b w:val="0"/>
                <w:bCs/>
              </w:rPr>
            </w:pPr>
            <w:r w:rsidRPr="00775B63">
              <w:rPr>
                <w:b w:val="0"/>
                <w:bCs/>
              </w:rPr>
              <w:t>7 (4.9)</w:t>
            </w:r>
          </w:p>
        </w:tc>
      </w:tr>
      <w:tr w:rsidR="00521F7C" w:rsidRPr="00521F7C" w14:paraId="380E17EF" w14:textId="77777777" w:rsidTr="00521F7C">
        <w:tc>
          <w:tcPr>
            <w:tcW w:w="4106" w:type="dxa"/>
            <w:vAlign w:val="center"/>
          </w:tcPr>
          <w:p w14:paraId="6070A624" w14:textId="1660DEB1" w:rsidR="00521F7C" w:rsidRPr="00775B63" w:rsidRDefault="00521F7C" w:rsidP="009E51E4">
            <w:pPr>
              <w:pStyle w:val="In-tableHeading"/>
              <w:rPr>
                <w:b w:val="0"/>
                <w:bCs/>
              </w:rPr>
            </w:pPr>
            <w:r w:rsidRPr="00775B63">
              <w:rPr>
                <w:b w:val="0"/>
                <w:bCs/>
              </w:rPr>
              <w:t>Started new anti-cancer therapy, n (%)</w:t>
            </w:r>
          </w:p>
        </w:tc>
        <w:tc>
          <w:tcPr>
            <w:tcW w:w="2455" w:type="dxa"/>
            <w:vAlign w:val="center"/>
          </w:tcPr>
          <w:p w14:paraId="5CA29156" w14:textId="1D4BE446" w:rsidR="00521F7C" w:rsidRPr="00775B63" w:rsidRDefault="00521F7C" w:rsidP="009E51E4">
            <w:pPr>
              <w:pStyle w:val="In-tableHeading"/>
              <w:rPr>
                <w:b w:val="0"/>
                <w:bCs/>
              </w:rPr>
            </w:pPr>
            <w:r w:rsidRPr="00775B63">
              <w:rPr>
                <w:b w:val="0"/>
                <w:bCs/>
              </w:rPr>
              <w:t>20 (13.7)</w:t>
            </w:r>
          </w:p>
        </w:tc>
        <w:tc>
          <w:tcPr>
            <w:tcW w:w="2456" w:type="dxa"/>
            <w:vAlign w:val="center"/>
          </w:tcPr>
          <w:p w14:paraId="63AE7D69" w14:textId="03811F36" w:rsidR="00521F7C" w:rsidRPr="00775B63" w:rsidRDefault="00521F7C" w:rsidP="009E51E4">
            <w:pPr>
              <w:pStyle w:val="In-tableHeading"/>
              <w:rPr>
                <w:b w:val="0"/>
                <w:bCs/>
              </w:rPr>
            </w:pPr>
            <w:r w:rsidRPr="00775B63">
              <w:rPr>
                <w:b w:val="0"/>
                <w:bCs/>
              </w:rPr>
              <w:t>30 (31.0)</w:t>
            </w:r>
          </w:p>
        </w:tc>
      </w:tr>
      <w:tr w:rsidR="00521F7C" w:rsidRPr="00521F7C" w14:paraId="2211044F" w14:textId="77777777">
        <w:tc>
          <w:tcPr>
            <w:tcW w:w="4106" w:type="dxa"/>
            <w:vAlign w:val="center"/>
          </w:tcPr>
          <w:p w14:paraId="0FB91028" w14:textId="53821EB7" w:rsidR="00521F7C" w:rsidRPr="00775B63" w:rsidRDefault="00521F7C" w:rsidP="009E51E4">
            <w:pPr>
              <w:pStyle w:val="In-tableHeading"/>
              <w:rPr>
                <w:b w:val="0"/>
                <w:bCs/>
              </w:rPr>
            </w:pPr>
            <w:r w:rsidRPr="00775B63">
              <w:rPr>
                <w:b w:val="0"/>
                <w:bCs/>
              </w:rPr>
              <w:t>Stratified analysis HR</w:t>
            </w:r>
            <w:r w:rsidRPr="00775B63">
              <w:rPr>
                <w:b w:val="0"/>
                <w:bCs/>
                <w:vertAlign w:val="superscript"/>
              </w:rPr>
              <w:t>a</w:t>
            </w:r>
            <w:r w:rsidRPr="00775B63">
              <w:rPr>
                <w:b w:val="0"/>
                <w:bCs/>
              </w:rPr>
              <w:t xml:space="preserve"> (95% CI); </w:t>
            </w:r>
            <w:r w:rsidR="006D73EE">
              <w:rPr>
                <w:b w:val="0"/>
                <w:bCs/>
              </w:rPr>
              <w:t xml:space="preserve">nominal </w:t>
            </w:r>
            <w:r w:rsidRPr="00775B63">
              <w:rPr>
                <w:b w:val="0"/>
                <w:bCs/>
              </w:rPr>
              <w:t>p value</w:t>
            </w:r>
            <w:r w:rsidRPr="00775B63">
              <w:rPr>
                <w:b w:val="0"/>
                <w:bCs/>
                <w:vertAlign w:val="superscript"/>
              </w:rPr>
              <w:t>b</w:t>
            </w:r>
          </w:p>
        </w:tc>
        <w:tc>
          <w:tcPr>
            <w:tcW w:w="4911" w:type="dxa"/>
            <w:gridSpan w:val="2"/>
            <w:vAlign w:val="center"/>
          </w:tcPr>
          <w:p w14:paraId="21A06A0C" w14:textId="496E59FC" w:rsidR="00521F7C" w:rsidRPr="00775B63" w:rsidRDefault="00521F7C" w:rsidP="009E51E4">
            <w:pPr>
              <w:pStyle w:val="In-tableHeading"/>
              <w:rPr>
                <w:b w:val="0"/>
                <w:bCs/>
              </w:rPr>
            </w:pPr>
            <w:r w:rsidRPr="00775B63">
              <w:rPr>
                <w:b w:val="0"/>
                <w:bCs/>
              </w:rPr>
              <w:t>0.52 (0.374, 0.726); p&lt;0.0001</w:t>
            </w:r>
          </w:p>
        </w:tc>
      </w:tr>
      <w:tr w:rsidR="00521F7C" w:rsidRPr="00521F7C" w14:paraId="586FC296" w14:textId="77777777" w:rsidTr="00521F7C">
        <w:tc>
          <w:tcPr>
            <w:tcW w:w="4106" w:type="dxa"/>
            <w:vAlign w:val="center"/>
          </w:tcPr>
          <w:p w14:paraId="01DF1C27" w14:textId="24618B4E" w:rsidR="00521F7C" w:rsidRPr="00775B63" w:rsidRDefault="00521F7C" w:rsidP="009E51E4">
            <w:pPr>
              <w:pStyle w:val="In-tableHeading"/>
              <w:rPr>
                <w:b w:val="0"/>
                <w:bCs/>
              </w:rPr>
            </w:pPr>
            <w:r w:rsidRPr="00775B63">
              <w:rPr>
                <w:b w:val="0"/>
                <w:bCs/>
              </w:rPr>
              <w:t xml:space="preserve">Median PFS, months (95% CI) </w:t>
            </w:r>
          </w:p>
        </w:tc>
        <w:tc>
          <w:tcPr>
            <w:tcW w:w="2455" w:type="dxa"/>
            <w:vAlign w:val="center"/>
          </w:tcPr>
          <w:p w14:paraId="6747A249" w14:textId="4C692447" w:rsidR="00521F7C" w:rsidRPr="00775B63" w:rsidRDefault="00521F7C" w:rsidP="009E51E4">
            <w:pPr>
              <w:pStyle w:val="In-tableHeading"/>
              <w:rPr>
                <w:b w:val="0"/>
                <w:bCs/>
              </w:rPr>
            </w:pPr>
            <w:r w:rsidRPr="00775B63">
              <w:rPr>
                <w:b w:val="0"/>
                <w:bCs/>
              </w:rPr>
              <w:t>21.4 (11.73, N</w:t>
            </w:r>
            <w:r w:rsidR="00F607FF" w:rsidRPr="00775B63">
              <w:rPr>
                <w:b w:val="0"/>
                <w:bCs/>
              </w:rPr>
              <w:t>E</w:t>
            </w:r>
            <w:r w:rsidRPr="00775B63">
              <w:rPr>
                <w:b w:val="0"/>
                <w:bCs/>
              </w:rPr>
              <w:t>)</w:t>
            </w:r>
          </w:p>
        </w:tc>
        <w:tc>
          <w:tcPr>
            <w:tcW w:w="2456" w:type="dxa"/>
            <w:vAlign w:val="center"/>
          </w:tcPr>
          <w:p w14:paraId="4229CB79" w14:textId="5D4D9BF2" w:rsidR="00521F7C" w:rsidRPr="00775B63" w:rsidRDefault="00521F7C" w:rsidP="009E51E4">
            <w:pPr>
              <w:pStyle w:val="In-tableHeading"/>
              <w:rPr>
                <w:b w:val="0"/>
                <w:bCs/>
              </w:rPr>
            </w:pPr>
            <w:r w:rsidRPr="00775B63">
              <w:rPr>
                <w:b w:val="0"/>
                <w:bCs/>
              </w:rPr>
              <w:t>8.2 (7.03, 9.79)</w:t>
            </w:r>
          </w:p>
        </w:tc>
      </w:tr>
      <w:tr w:rsidR="00521F7C" w:rsidRPr="00521F7C" w14:paraId="261DB438" w14:textId="77777777" w:rsidTr="00521F7C">
        <w:tc>
          <w:tcPr>
            <w:tcW w:w="4106" w:type="dxa"/>
            <w:vAlign w:val="center"/>
          </w:tcPr>
          <w:p w14:paraId="588B619E" w14:textId="0564791F" w:rsidR="00521F7C" w:rsidRPr="00775B63" w:rsidRDefault="00521F7C" w:rsidP="009E51E4">
            <w:pPr>
              <w:pStyle w:val="In-tableHeading"/>
              <w:rPr>
                <w:b w:val="0"/>
                <w:bCs/>
              </w:rPr>
            </w:pPr>
            <w:r w:rsidRPr="00775B63">
              <w:rPr>
                <w:b w:val="0"/>
                <w:bCs/>
              </w:rPr>
              <w:t>1-year PFS rate (%) (95% CI)</w:t>
            </w:r>
          </w:p>
        </w:tc>
        <w:tc>
          <w:tcPr>
            <w:tcW w:w="2455" w:type="dxa"/>
            <w:vAlign w:val="center"/>
          </w:tcPr>
          <w:p w14:paraId="762CE222" w14:textId="7A874471" w:rsidR="00521F7C" w:rsidRPr="00775B63" w:rsidRDefault="00521F7C" w:rsidP="009E51E4">
            <w:pPr>
              <w:pStyle w:val="In-tableHeading"/>
              <w:rPr>
                <w:b w:val="0"/>
                <w:bCs/>
              </w:rPr>
            </w:pPr>
            <w:r w:rsidRPr="00775B63">
              <w:rPr>
                <w:b w:val="0"/>
                <w:bCs/>
              </w:rPr>
              <w:t>59.0 (49.72, 67.16)</w:t>
            </w:r>
          </w:p>
        </w:tc>
        <w:tc>
          <w:tcPr>
            <w:tcW w:w="2456" w:type="dxa"/>
            <w:vAlign w:val="center"/>
          </w:tcPr>
          <w:p w14:paraId="32EC163B" w14:textId="3259AD5F" w:rsidR="00521F7C" w:rsidRPr="00775B63" w:rsidRDefault="00521F7C" w:rsidP="009E51E4">
            <w:pPr>
              <w:pStyle w:val="In-tableHeading"/>
              <w:rPr>
                <w:b w:val="0"/>
                <w:bCs/>
              </w:rPr>
            </w:pPr>
            <w:r w:rsidRPr="00775B63">
              <w:rPr>
                <w:b w:val="0"/>
                <w:bCs/>
              </w:rPr>
              <w:t>32.9 (24.55, 41.53)</w:t>
            </w:r>
          </w:p>
        </w:tc>
      </w:tr>
      <w:tr w:rsidR="001243CA" w:rsidRPr="00521F7C" w14:paraId="014D1734" w14:textId="77777777">
        <w:tc>
          <w:tcPr>
            <w:tcW w:w="4106" w:type="dxa"/>
            <w:vAlign w:val="center"/>
          </w:tcPr>
          <w:p w14:paraId="5C979991" w14:textId="355CD4FA" w:rsidR="001243CA" w:rsidRPr="00775B63" w:rsidRDefault="001243CA" w:rsidP="009E51E4">
            <w:pPr>
              <w:pStyle w:val="In-tableHeading"/>
              <w:rPr>
                <w:b w:val="0"/>
                <w:bCs/>
              </w:rPr>
            </w:pPr>
            <w:r w:rsidRPr="00775B63">
              <w:rPr>
                <w:b w:val="0"/>
                <w:bCs/>
              </w:rPr>
              <w:t>Difference of 1-year PFS rate (95% CI)</w:t>
            </w:r>
          </w:p>
        </w:tc>
        <w:tc>
          <w:tcPr>
            <w:tcW w:w="4911" w:type="dxa"/>
            <w:gridSpan w:val="2"/>
            <w:vAlign w:val="center"/>
          </w:tcPr>
          <w:p w14:paraId="5E0F0559" w14:textId="5C72BE02" w:rsidR="001243CA" w:rsidRPr="00775B63" w:rsidRDefault="001243CA" w:rsidP="009E51E4">
            <w:pPr>
              <w:pStyle w:val="In-tableHeading"/>
              <w:rPr>
                <w:b w:val="0"/>
                <w:bCs/>
              </w:rPr>
            </w:pPr>
            <w:r w:rsidRPr="00775B63">
              <w:rPr>
                <w:b w:val="0"/>
                <w:bCs/>
              </w:rPr>
              <w:t>26.1 (13.8, 38.3)</w:t>
            </w:r>
          </w:p>
        </w:tc>
      </w:tr>
      <w:tr w:rsidR="00521F7C" w:rsidRPr="00521F7C" w14:paraId="259B5C45" w14:textId="77777777" w:rsidTr="00521F7C">
        <w:tc>
          <w:tcPr>
            <w:tcW w:w="4106" w:type="dxa"/>
            <w:vAlign w:val="center"/>
          </w:tcPr>
          <w:p w14:paraId="057FE0A3" w14:textId="0DD65307" w:rsidR="00521F7C" w:rsidRPr="00775B63" w:rsidRDefault="00521F7C" w:rsidP="009E51E4">
            <w:pPr>
              <w:pStyle w:val="In-tableHeading"/>
              <w:rPr>
                <w:b w:val="0"/>
                <w:bCs/>
              </w:rPr>
            </w:pPr>
            <w:r w:rsidRPr="00775B63">
              <w:rPr>
                <w:b w:val="0"/>
                <w:bCs/>
              </w:rPr>
              <w:t>2-year PFS rate (%) (95% CI)</w:t>
            </w:r>
          </w:p>
        </w:tc>
        <w:tc>
          <w:tcPr>
            <w:tcW w:w="2455" w:type="dxa"/>
            <w:vAlign w:val="center"/>
          </w:tcPr>
          <w:p w14:paraId="15D99048" w14:textId="723BF0FB" w:rsidR="00521F7C" w:rsidRPr="00775B63" w:rsidRDefault="00521F7C" w:rsidP="009E51E4">
            <w:pPr>
              <w:pStyle w:val="In-tableHeading"/>
              <w:rPr>
                <w:b w:val="0"/>
                <w:bCs/>
              </w:rPr>
            </w:pPr>
            <w:r w:rsidRPr="00775B63">
              <w:rPr>
                <w:b w:val="0"/>
                <w:bCs/>
              </w:rPr>
              <w:t>44.8 (34.39, 54.71)</w:t>
            </w:r>
          </w:p>
        </w:tc>
        <w:tc>
          <w:tcPr>
            <w:tcW w:w="2456" w:type="dxa"/>
            <w:vAlign w:val="center"/>
          </w:tcPr>
          <w:p w14:paraId="5680C892" w14:textId="0098CB4B" w:rsidR="00521F7C" w:rsidRPr="00775B63" w:rsidRDefault="00521F7C" w:rsidP="009E51E4">
            <w:pPr>
              <w:pStyle w:val="In-tableHeading"/>
              <w:rPr>
                <w:b w:val="0"/>
                <w:bCs/>
              </w:rPr>
            </w:pPr>
            <w:r w:rsidRPr="00775B63">
              <w:rPr>
                <w:b w:val="0"/>
                <w:bCs/>
              </w:rPr>
              <w:t>25.4 (16.95, 34.81)</w:t>
            </w:r>
          </w:p>
        </w:tc>
      </w:tr>
      <w:tr w:rsidR="001243CA" w:rsidRPr="00521F7C" w14:paraId="55796520" w14:textId="77777777">
        <w:tc>
          <w:tcPr>
            <w:tcW w:w="4106" w:type="dxa"/>
            <w:vAlign w:val="center"/>
          </w:tcPr>
          <w:p w14:paraId="542F76D7" w14:textId="00BBA456" w:rsidR="001243CA" w:rsidRPr="00775B63" w:rsidRDefault="001243CA" w:rsidP="009E51E4">
            <w:pPr>
              <w:pStyle w:val="In-tableHeading"/>
              <w:rPr>
                <w:b w:val="0"/>
                <w:bCs/>
              </w:rPr>
            </w:pPr>
            <w:r w:rsidRPr="00775B63">
              <w:rPr>
                <w:b w:val="0"/>
                <w:bCs/>
              </w:rPr>
              <w:t>Difference of 2-year PFS rate (95% CI)</w:t>
            </w:r>
          </w:p>
        </w:tc>
        <w:tc>
          <w:tcPr>
            <w:tcW w:w="4911" w:type="dxa"/>
            <w:gridSpan w:val="2"/>
            <w:vAlign w:val="center"/>
          </w:tcPr>
          <w:p w14:paraId="5B6BE692" w14:textId="61B35D77" w:rsidR="001243CA" w:rsidRPr="00775B63" w:rsidRDefault="001243CA" w:rsidP="009E51E4">
            <w:pPr>
              <w:pStyle w:val="In-tableHeading"/>
              <w:rPr>
                <w:b w:val="0"/>
                <w:bCs/>
              </w:rPr>
            </w:pPr>
            <w:r w:rsidRPr="00775B63">
              <w:rPr>
                <w:b w:val="0"/>
                <w:bCs/>
              </w:rPr>
              <w:t>19.4 (5.7, 33.1)</w:t>
            </w:r>
          </w:p>
        </w:tc>
      </w:tr>
      <w:tr w:rsidR="00521F7C" w:rsidRPr="00521F7C" w14:paraId="4DF63EDF" w14:textId="77777777" w:rsidTr="00521F7C">
        <w:tc>
          <w:tcPr>
            <w:tcW w:w="9017" w:type="dxa"/>
            <w:gridSpan w:val="3"/>
            <w:vAlign w:val="center"/>
          </w:tcPr>
          <w:p w14:paraId="7A55F072" w14:textId="1A96C8FB" w:rsidR="00521F7C" w:rsidRPr="00775B63" w:rsidRDefault="00521F7C" w:rsidP="009E51E4">
            <w:pPr>
              <w:pStyle w:val="In-tableHeading"/>
              <w:rPr>
                <w:b w:val="0"/>
                <w:bCs/>
              </w:rPr>
            </w:pPr>
            <w:r w:rsidRPr="00775B63">
              <w:rPr>
                <w:b w:val="0"/>
                <w:bCs/>
              </w:rPr>
              <w:t>Per irRECIST</w:t>
            </w:r>
          </w:p>
        </w:tc>
      </w:tr>
      <w:tr w:rsidR="00521F7C" w:rsidRPr="00521F7C" w14:paraId="5DE64FAF" w14:textId="77777777">
        <w:tc>
          <w:tcPr>
            <w:tcW w:w="4106" w:type="dxa"/>
          </w:tcPr>
          <w:p w14:paraId="7AD6DBC8" w14:textId="73C73621" w:rsidR="00521F7C" w:rsidRPr="00775B63" w:rsidRDefault="00521F7C" w:rsidP="009E51E4">
            <w:pPr>
              <w:pStyle w:val="In-tableHeading"/>
              <w:rPr>
                <w:b w:val="0"/>
                <w:bCs/>
              </w:rPr>
            </w:pPr>
            <w:r w:rsidRPr="00775B63">
              <w:rPr>
                <w:b w:val="0"/>
                <w:bCs/>
              </w:rPr>
              <w:t>Stratified analysis HR</w:t>
            </w:r>
            <w:r w:rsidRPr="00775B63">
              <w:rPr>
                <w:b w:val="0"/>
                <w:bCs/>
                <w:vertAlign w:val="superscript"/>
              </w:rPr>
              <w:t>a</w:t>
            </w:r>
            <w:r w:rsidRPr="00775B63">
              <w:rPr>
                <w:b w:val="0"/>
                <w:bCs/>
              </w:rPr>
              <w:t xml:space="preserve"> (95% CI); </w:t>
            </w:r>
            <w:r w:rsidR="006D73EE">
              <w:rPr>
                <w:b w:val="0"/>
                <w:bCs/>
              </w:rPr>
              <w:t xml:space="preserve">nominal </w:t>
            </w:r>
            <w:r w:rsidRPr="00775B63">
              <w:rPr>
                <w:b w:val="0"/>
                <w:bCs/>
              </w:rPr>
              <w:t>p value</w:t>
            </w:r>
            <w:r w:rsidRPr="00775B63">
              <w:rPr>
                <w:b w:val="0"/>
                <w:bCs/>
                <w:vertAlign w:val="superscript"/>
              </w:rPr>
              <w:t>b</w:t>
            </w:r>
          </w:p>
        </w:tc>
        <w:tc>
          <w:tcPr>
            <w:tcW w:w="4911" w:type="dxa"/>
            <w:gridSpan w:val="2"/>
            <w:vAlign w:val="center"/>
          </w:tcPr>
          <w:p w14:paraId="510C3F54" w14:textId="3CD02533" w:rsidR="00521F7C" w:rsidRPr="00775B63" w:rsidRDefault="00521F7C" w:rsidP="009E51E4">
            <w:pPr>
              <w:pStyle w:val="In-tableHeading"/>
              <w:rPr>
                <w:b w:val="0"/>
                <w:bCs/>
              </w:rPr>
            </w:pPr>
            <w:r w:rsidRPr="00775B63">
              <w:rPr>
                <w:b w:val="0"/>
                <w:bCs/>
              </w:rPr>
              <w:t>0.49 (0.346, 0.686); p&lt;0.0001</w:t>
            </w:r>
          </w:p>
        </w:tc>
      </w:tr>
    </w:tbl>
    <w:p w14:paraId="7C357248" w14:textId="77777777" w:rsidR="0075118B" w:rsidRDefault="0075118B" w:rsidP="0075118B">
      <w:pPr>
        <w:pStyle w:val="FooterTableFigure"/>
        <w:keepNext/>
      </w:pPr>
      <w:r>
        <w:t xml:space="preserve">Source: Table 2-12, p59 and Table 2-13, p61 of the submission; </w:t>
      </w:r>
      <w:r w:rsidRPr="00A83DE1">
        <w:rPr>
          <w:iCs/>
        </w:rPr>
        <w:t>Table 4, pp12-13 JUPITER-02 CSR Addendum 1 Final PFS (Attachment 2.3 to the submission.</w:t>
      </w:r>
      <w:r>
        <w:t xml:space="preserve"> </w:t>
      </w:r>
    </w:p>
    <w:p w14:paraId="296E2A18" w14:textId="77777777" w:rsidR="0075118B" w:rsidRDefault="0075118B" w:rsidP="0075118B">
      <w:pPr>
        <w:pStyle w:val="FooterTableFigure"/>
        <w:keepNext/>
      </w:pPr>
      <w:r w:rsidRPr="7AF51647">
        <w:t xml:space="preserve">CI, confidence interval; Cis+Gem, cisplatin and gemcitabine; DCO, data cutoff; HR, hazard ratio; IRC, independent review committee; irRECIST, Immune-Related Response Evaluation Criteria in Solid Tumours; ITT, intent-to-treat; NE, not estimable; PFS, progression-free survival; RECIST, Response Evaluation Criteria in Solid Tumours;  </w:t>
      </w:r>
    </w:p>
    <w:p w14:paraId="0251B0F7" w14:textId="77777777" w:rsidR="0075118B" w:rsidRDefault="0075118B" w:rsidP="0075118B">
      <w:pPr>
        <w:pStyle w:val="FooterTableFigure"/>
        <w:keepNext/>
      </w:pPr>
      <w:r>
        <w:t>a: the hazard ratio was estimated with the use of the Cox proportional hazards model. Efron’s method was used to handle ties</w:t>
      </w:r>
    </w:p>
    <w:p w14:paraId="12FEA9D5" w14:textId="77777777" w:rsidR="0075118B" w:rsidRDefault="0075118B" w:rsidP="0075118B">
      <w:pPr>
        <w:pStyle w:val="FooterTableFigure"/>
        <w:keepNext/>
        <w:spacing w:after="0"/>
      </w:pPr>
      <w:r w:rsidRPr="00E06C49">
        <w:t>b: calculated using two-sided log-rank test. The p value threshold for statistical significance is 0.05</w:t>
      </w:r>
    </w:p>
    <w:p w14:paraId="28593FB8" w14:textId="4EC60967" w:rsidR="002C2775" w:rsidRDefault="002C2775" w:rsidP="00FE1F78">
      <w:pPr>
        <w:pStyle w:val="Caption"/>
        <w:keepNext w:val="0"/>
        <w:rPr>
          <w:color w:val="0066FF"/>
        </w:rPr>
      </w:pPr>
    </w:p>
    <w:p w14:paraId="7E7EB09E" w14:textId="006003A7" w:rsidR="00FE1F78" w:rsidRPr="00322E1F" w:rsidRDefault="00FE1F78" w:rsidP="00FE1F78">
      <w:pPr>
        <w:pStyle w:val="Caption"/>
        <w:jc w:val="left"/>
        <w:rPr>
          <w:rStyle w:val="CommentReference"/>
        </w:rPr>
      </w:pPr>
      <w:bookmarkStart w:id="28" w:name="_Ref187828347"/>
      <w:r>
        <w:lastRenderedPageBreak/>
        <w:t xml:space="preserve">Figure </w:t>
      </w:r>
      <w:r w:rsidR="000B117D">
        <w:fldChar w:fldCharType="begin"/>
      </w:r>
      <w:r w:rsidR="000B117D">
        <w:instrText xml:space="preserve"> SEQ Figure \* ARABIC </w:instrText>
      </w:r>
      <w:r w:rsidR="000B117D">
        <w:fldChar w:fldCharType="separate"/>
      </w:r>
      <w:r w:rsidR="002C005D">
        <w:rPr>
          <w:noProof/>
        </w:rPr>
        <w:t>1</w:t>
      </w:r>
      <w:r w:rsidR="000B117D">
        <w:rPr>
          <w:noProof/>
        </w:rPr>
        <w:fldChar w:fldCharType="end"/>
      </w:r>
      <w:bookmarkEnd w:id="28"/>
      <w:r>
        <w:rPr>
          <w:rStyle w:val="CommentReference"/>
        </w:rPr>
        <w:t xml:space="preserve">: </w:t>
      </w:r>
      <w:r w:rsidRPr="00FE1F78">
        <w:rPr>
          <w:rStyle w:val="CommentReference"/>
          <w:b/>
          <w:bCs w:val="0"/>
        </w:rPr>
        <w:t xml:space="preserve">Kaplan-Meier </w:t>
      </w:r>
      <w:r>
        <w:rPr>
          <w:rStyle w:val="CommentReference"/>
          <w:b/>
          <w:bCs w:val="0"/>
        </w:rPr>
        <w:t>e</w:t>
      </w:r>
      <w:r w:rsidRPr="00FE1F78">
        <w:rPr>
          <w:rStyle w:val="CommentReference"/>
          <w:b/>
          <w:bCs w:val="0"/>
        </w:rPr>
        <w:t>stimates of IRC-assessed PFS (DCO1) (ITT Population)</w:t>
      </w:r>
    </w:p>
    <w:p w14:paraId="5D4AAA56" w14:textId="77777777" w:rsidR="00FE1F78" w:rsidRDefault="00FE1F78" w:rsidP="00FE1F78">
      <w:pPr>
        <w:pStyle w:val="Figurename"/>
        <w:jc w:val="center"/>
        <w:rPr>
          <w:rFonts w:ascii="Arial Narrow" w:hAnsi="Arial Narrow"/>
          <w:noProof/>
          <w:szCs w:val="18"/>
        </w:rPr>
      </w:pPr>
      <w:r w:rsidRPr="00D01C38">
        <w:rPr>
          <w:noProof/>
        </w:rPr>
        <w:drawing>
          <wp:inline distT="0" distB="0" distL="0" distR="0" wp14:anchorId="7EDCF032" wp14:editId="7CF7AA64">
            <wp:extent cx="5807919" cy="2619375"/>
            <wp:effectExtent l="0" t="0" r="2540" b="0"/>
            <wp:docPr id="48153963" name="Picture 1" descr="A graph showing a number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64440" name="Picture 1" descr="A graph showing a number of different colored lines&#10;&#10;Description automatically generated with medium confidence"/>
                    <pic:cNvPicPr/>
                  </pic:nvPicPr>
                  <pic:blipFill>
                    <a:blip r:embed="rId11"/>
                    <a:stretch>
                      <a:fillRect/>
                    </a:stretch>
                  </pic:blipFill>
                  <pic:spPr>
                    <a:xfrm>
                      <a:off x="0" y="0"/>
                      <a:ext cx="5909619" cy="2665242"/>
                    </a:xfrm>
                    <a:prstGeom prst="rect">
                      <a:avLst/>
                    </a:prstGeom>
                  </pic:spPr>
                </pic:pic>
              </a:graphicData>
            </a:graphic>
          </wp:inline>
        </w:drawing>
      </w:r>
    </w:p>
    <w:p w14:paraId="147598B6" w14:textId="77777777" w:rsidR="00FE1F78" w:rsidRDefault="00FE1F78" w:rsidP="00FE1F78">
      <w:pPr>
        <w:pStyle w:val="Figurename"/>
        <w:spacing w:after="0"/>
        <w:rPr>
          <w:rFonts w:ascii="Arial Narrow" w:hAnsi="Arial Narrow"/>
          <w:b w:val="0"/>
          <w:bCs w:val="0"/>
          <w:noProof/>
          <w:szCs w:val="18"/>
        </w:rPr>
      </w:pPr>
      <w:r w:rsidRPr="005F2102">
        <w:rPr>
          <w:rFonts w:ascii="Arial Narrow" w:hAnsi="Arial Narrow"/>
          <w:b w:val="0"/>
          <w:bCs w:val="0"/>
          <w:noProof/>
          <w:szCs w:val="18"/>
        </w:rPr>
        <w:t>Source: Figure 2-4, p 60 of the submission</w:t>
      </w:r>
      <w:r>
        <w:rPr>
          <w:rFonts w:ascii="Arial Narrow" w:hAnsi="Arial Narrow"/>
          <w:b w:val="0"/>
          <w:bCs w:val="0"/>
          <w:noProof/>
          <w:szCs w:val="18"/>
        </w:rPr>
        <w:t>.</w:t>
      </w:r>
    </w:p>
    <w:p w14:paraId="7E702E11" w14:textId="77777777" w:rsidR="00FE1F78" w:rsidRPr="005F2102" w:rsidRDefault="00FE1F78" w:rsidP="00FE1F78">
      <w:pPr>
        <w:pStyle w:val="Figurename"/>
        <w:spacing w:after="0"/>
        <w:rPr>
          <w:rFonts w:ascii="Arial Narrow" w:hAnsi="Arial Narrow"/>
          <w:b w:val="0"/>
          <w:bCs w:val="0"/>
          <w:szCs w:val="18"/>
        </w:rPr>
      </w:pPr>
      <w:r w:rsidRPr="005F2102">
        <w:rPr>
          <w:rFonts w:ascii="Arial Narrow" w:hAnsi="Arial Narrow"/>
          <w:b w:val="0"/>
          <w:bCs w:val="0"/>
          <w:noProof/>
          <w:szCs w:val="18"/>
        </w:rPr>
        <w:t>IRC, independent review committee; ITT, intent-to-treat</w:t>
      </w:r>
      <w:r>
        <w:rPr>
          <w:rFonts w:ascii="Arial Narrow" w:hAnsi="Arial Narrow"/>
          <w:b w:val="0"/>
          <w:bCs w:val="0"/>
          <w:noProof/>
          <w:szCs w:val="18"/>
        </w:rPr>
        <w:t xml:space="preserve">; </w:t>
      </w:r>
      <w:r w:rsidRPr="005F2102">
        <w:rPr>
          <w:rFonts w:ascii="Arial Narrow" w:hAnsi="Arial Narrow"/>
          <w:b w:val="0"/>
          <w:bCs w:val="0"/>
          <w:noProof/>
          <w:szCs w:val="18"/>
        </w:rPr>
        <w:t>JS001, toripalimab</w:t>
      </w:r>
    </w:p>
    <w:p w14:paraId="30A44BF8" w14:textId="77777777" w:rsidR="00FE1F78" w:rsidRDefault="00FE1F78" w:rsidP="00FE1F78">
      <w:pPr>
        <w:pStyle w:val="BodyText"/>
        <w:rPr>
          <w:rStyle w:val="CommentReference"/>
        </w:rPr>
      </w:pPr>
    </w:p>
    <w:p w14:paraId="2A03446F" w14:textId="40B20616" w:rsidR="00FE1F78" w:rsidRPr="00322E1F" w:rsidRDefault="00FE1F78" w:rsidP="00FE1F78">
      <w:pPr>
        <w:pStyle w:val="Caption"/>
        <w:jc w:val="left"/>
        <w:rPr>
          <w:rStyle w:val="CommentReference"/>
        </w:rPr>
      </w:pPr>
      <w:bookmarkStart w:id="29" w:name="_Ref187828349"/>
      <w:r>
        <w:t xml:space="preserve">Figure </w:t>
      </w:r>
      <w:r w:rsidR="000B117D">
        <w:fldChar w:fldCharType="begin"/>
      </w:r>
      <w:r w:rsidR="000B117D">
        <w:instrText xml:space="preserve"> SEQ Figure \* ARABIC </w:instrText>
      </w:r>
      <w:r w:rsidR="000B117D">
        <w:fldChar w:fldCharType="separate"/>
      </w:r>
      <w:r w:rsidR="002C005D">
        <w:rPr>
          <w:noProof/>
        </w:rPr>
        <w:t>2</w:t>
      </w:r>
      <w:r w:rsidR="000B117D">
        <w:rPr>
          <w:noProof/>
        </w:rPr>
        <w:fldChar w:fldCharType="end"/>
      </w:r>
      <w:bookmarkEnd w:id="29"/>
      <w:r>
        <w:rPr>
          <w:rStyle w:val="CommentReference"/>
        </w:rPr>
        <w:t xml:space="preserve">: </w:t>
      </w:r>
      <w:r w:rsidRPr="00FE1F78">
        <w:rPr>
          <w:rStyle w:val="CommentReference"/>
          <w:b/>
          <w:bCs w:val="0"/>
        </w:rPr>
        <w:t xml:space="preserve">Kaplan-Meier </w:t>
      </w:r>
      <w:r>
        <w:rPr>
          <w:rStyle w:val="CommentReference"/>
          <w:b/>
          <w:bCs w:val="0"/>
        </w:rPr>
        <w:t>e</w:t>
      </w:r>
      <w:r w:rsidRPr="00FE1F78">
        <w:rPr>
          <w:rStyle w:val="CommentReference"/>
          <w:b/>
          <w:bCs w:val="0"/>
        </w:rPr>
        <w:t>stimates of IRC-assessed PFS (DCO2) (ITT Population)</w:t>
      </w:r>
    </w:p>
    <w:p w14:paraId="5A6519E9" w14:textId="77777777" w:rsidR="00FE1F78" w:rsidRDefault="00FE1F78" w:rsidP="00FE1F78">
      <w:pPr>
        <w:pStyle w:val="BodyText"/>
        <w:jc w:val="center"/>
      </w:pPr>
      <w:r w:rsidRPr="003B3A4E">
        <w:rPr>
          <w:noProof/>
        </w:rPr>
        <w:drawing>
          <wp:inline distT="0" distB="0" distL="0" distR="0" wp14:anchorId="4450C4D3" wp14:editId="699BAE4A">
            <wp:extent cx="5748603" cy="2466975"/>
            <wp:effectExtent l="0" t="0" r="5080" b="0"/>
            <wp:docPr id="100491543" name="Picture 1" descr="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36414" name="Picture 1" descr="A graph showing the growth of a number of people&#10;&#10;Description automatically generated with medium confidence"/>
                    <pic:cNvPicPr/>
                  </pic:nvPicPr>
                  <pic:blipFill>
                    <a:blip r:embed="rId12"/>
                    <a:stretch>
                      <a:fillRect/>
                    </a:stretch>
                  </pic:blipFill>
                  <pic:spPr>
                    <a:xfrm>
                      <a:off x="0" y="0"/>
                      <a:ext cx="5770733" cy="2476472"/>
                    </a:xfrm>
                    <a:prstGeom prst="rect">
                      <a:avLst/>
                    </a:prstGeom>
                  </pic:spPr>
                </pic:pic>
              </a:graphicData>
            </a:graphic>
          </wp:inline>
        </w:drawing>
      </w:r>
    </w:p>
    <w:p w14:paraId="739FD356" w14:textId="77777777" w:rsidR="00FE1F78" w:rsidRDefault="00FE1F78" w:rsidP="00FE1F78">
      <w:pPr>
        <w:pStyle w:val="TableFigNotes18"/>
        <w:spacing w:before="0" w:after="0" w:line="240" w:lineRule="auto"/>
        <w:rPr>
          <w:rFonts w:ascii="Arial Narrow" w:hAnsi="Arial Narrow"/>
          <w:noProof/>
          <w:sz w:val="18"/>
          <w:szCs w:val="18"/>
        </w:rPr>
      </w:pPr>
      <w:r w:rsidRPr="00870EE7">
        <w:rPr>
          <w:rFonts w:ascii="Arial Narrow" w:hAnsi="Arial Narrow"/>
          <w:noProof/>
          <w:sz w:val="18"/>
          <w:szCs w:val="18"/>
        </w:rPr>
        <w:t>Source: Figure 2</w:t>
      </w:r>
      <w:r>
        <w:rPr>
          <w:rFonts w:ascii="Arial Narrow" w:hAnsi="Arial Narrow"/>
          <w:noProof/>
          <w:sz w:val="18"/>
          <w:szCs w:val="18"/>
        </w:rPr>
        <w:t xml:space="preserve">-5, p61 </w:t>
      </w:r>
      <w:r w:rsidRPr="00870EE7">
        <w:rPr>
          <w:rFonts w:ascii="Arial Narrow" w:hAnsi="Arial Narrow"/>
          <w:noProof/>
          <w:sz w:val="18"/>
          <w:szCs w:val="18"/>
        </w:rPr>
        <w:t>of the submission</w:t>
      </w:r>
      <w:r>
        <w:rPr>
          <w:rFonts w:ascii="Arial Narrow" w:hAnsi="Arial Narrow"/>
          <w:noProof/>
          <w:sz w:val="18"/>
          <w:szCs w:val="18"/>
        </w:rPr>
        <w:t>.</w:t>
      </w:r>
    </w:p>
    <w:p w14:paraId="557B8653" w14:textId="77777777" w:rsidR="00FE1F78" w:rsidRPr="00870EE7" w:rsidRDefault="00FE1F78" w:rsidP="00FE1F78">
      <w:pPr>
        <w:pStyle w:val="TableFigNotes18"/>
        <w:spacing w:before="0" w:after="0" w:line="240" w:lineRule="auto"/>
        <w:rPr>
          <w:rFonts w:ascii="Arial Narrow" w:hAnsi="Arial Narrow"/>
          <w:sz w:val="18"/>
          <w:szCs w:val="18"/>
        </w:rPr>
      </w:pPr>
      <w:r w:rsidRPr="008873DB">
        <w:rPr>
          <w:rFonts w:ascii="Arial Narrow" w:hAnsi="Arial Narrow"/>
          <w:noProof/>
          <w:sz w:val="18"/>
          <w:szCs w:val="18"/>
        </w:rPr>
        <w:t>IRC, independent review committee; ITT, intent-to-treat</w:t>
      </w:r>
      <w:r>
        <w:rPr>
          <w:rFonts w:ascii="Arial Narrow" w:hAnsi="Arial Narrow"/>
          <w:noProof/>
          <w:sz w:val="18"/>
          <w:szCs w:val="18"/>
        </w:rPr>
        <w:t xml:space="preserve">; </w:t>
      </w:r>
      <w:r w:rsidRPr="008873DB">
        <w:rPr>
          <w:rFonts w:ascii="Arial Narrow" w:hAnsi="Arial Narrow"/>
          <w:noProof/>
          <w:sz w:val="18"/>
          <w:szCs w:val="18"/>
        </w:rPr>
        <w:t>JS001, toripalimab</w:t>
      </w:r>
    </w:p>
    <w:p w14:paraId="62DAC9DB" w14:textId="77777777" w:rsidR="00FE1F78" w:rsidRPr="00FE1F78" w:rsidRDefault="00FE1F78" w:rsidP="00FE1F78"/>
    <w:p w14:paraId="667A340A" w14:textId="7382457C" w:rsidR="00CA4C1B" w:rsidRPr="00266383" w:rsidRDefault="00CA4C1B" w:rsidP="00CA4C1B">
      <w:pPr>
        <w:pStyle w:val="3-BodyText"/>
        <w:rPr>
          <w:iCs/>
        </w:rPr>
      </w:pPr>
      <w:r w:rsidRPr="00266383">
        <w:rPr>
          <w:iCs/>
        </w:rPr>
        <w:t xml:space="preserve">The ESC noted that the submission presented the results of subgroup analyses of IRC-assessed PFS from DCO1, showing that the treatment effect of toripalimab with chemotherapy was favourable </w:t>
      </w:r>
      <w:r w:rsidR="008D0E31" w:rsidRPr="00266383">
        <w:rPr>
          <w:iCs/>
        </w:rPr>
        <w:t xml:space="preserve">(although not necessarily statistically significant) </w:t>
      </w:r>
      <w:r w:rsidRPr="00266383">
        <w:rPr>
          <w:iCs/>
        </w:rPr>
        <w:t>across all pre-specified subgroups including baseline disease stage, EBV copy number, and PD-L1 expression status.</w:t>
      </w:r>
    </w:p>
    <w:p w14:paraId="78246AB2" w14:textId="6665FEB5" w:rsidR="00F85012" w:rsidRPr="00934279" w:rsidRDefault="00F85012" w:rsidP="00F85012">
      <w:pPr>
        <w:pStyle w:val="3-BodyText"/>
      </w:pPr>
      <w:r w:rsidRPr="00934279">
        <w:t>O</w:t>
      </w:r>
      <w:r w:rsidR="00AB746C">
        <w:t xml:space="preserve">verall survival </w:t>
      </w:r>
      <w:r w:rsidRPr="00934279">
        <w:t>was a</w:t>
      </w:r>
      <w:r w:rsidR="00D66210" w:rsidRPr="00934279">
        <w:t xml:space="preserve"> key secondary outcome in the JUPITER-02 trial, however no multiplicity adjustments were made </w:t>
      </w:r>
      <w:r w:rsidR="677CFB8E">
        <w:t>in</w:t>
      </w:r>
      <w:r w:rsidR="00D66210" w:rsidRPr="00934279">
        <w:t xml:space="preserve"> the statistical analysis to account for multiple looks at the data, thus </w:t>
      </w:r>
      <w:r w:rsidR="32400FF5">
        <w:t xml:space="preserve">the </w:t>
      </w:r>
      <w:r w:rsidR="183F0514">
        <w:t xml:space="preserve">estimate </w:t>
      </w:r>
      <w:r w:rsidR="32400FF5">
        <w:t xml:space="preserve">of </w:t>
      </w:r>
      <w:r w:rsidR="00D66210" w:rsidRPr="00934279">
        <w:t xml:space="preserve">statistical significance </w:t>
      </w:r>
      <w:r w:rsidR="4745D5DA">
        <w:t>of the hazard ratio</w:t>
      </w:r>
      <w:r w:rsidR="00D66210">
        <w:t xml:space="preserve"> </w:t>
      </w:r>
      <w:r w:rsidR="00D66210" w:rsidRPr="00934279">
        <w:t>is un</w:t>
      </w:r>
      <w:r w:rsidR="04B1605E">
        <w:t>certain</w:t>
      </w:r>
      <w:r w:rsidR="00D66210">
        <w:t>.</w:t>
      </w:r>
      <w:r w:rsidR="00D66210" w:rsidRPr="00934279">
        <w:t xml:space="preserve"> The results for the final analysis of OS in the ITT population at DCO4 </w:t>
      </w:r>
      <w:r w:rsidR="00934279">
        <w:t xml:space="preserve">(median </w:t>
      </w:r>
      <w:r w:rsidR="00934279">
        <w:lastRenderedPageBreak/>
        <w:t xml:space="preserve">follow-up of 36.7 and 31.0 months in the toripalimab and placebo arms, respectively) </w:t>
      </w:r>
      <w:r w:rsidR="00D66210" w:rsidRPr="00934279">
        <w:t xml:space="preserve">are presented in </w:t>
      </w:r>
      <w:r w:rsidR="00934279">
        <w:fldChar w:fldCharType="begin"/>
      </w:r>
      <w:r w:rsidR="00934279">
        <w:instrText xml:space="preserve"> REF _Ref187829237 \h </w:instrText>
      </w:r>
      <w:r w:rsidR="00934279">
        <w:fldChar w:fldCharType="separate"/>
      </w:r>
      <w:r w:rsidR="002C005D">
        <w:t xml:space="preserve">Table </w:t>
      </w:r>
      <w:r w:rsidR="002C005D">
        <w:rPr>
          <w:noProof/>
        </w:rPr>
        <w:t>5</w:t>
      </w:r>
      <w:r w:rsidR="00934279">
        <w:fldChar w:fldCharType="end"/>
      </w:r>
      <w:r w:rsidR="00934279">
        <w:t xml:space="preserve"> and </w:t>
      </w:r>
      <w:r w:rsidR="00934279">
        <w:fldChar w:fldCharType="begin"/>
      </w:r>
      <w:r w:rsidR="00934279">
        <w:instrText xml:space="preserve"> REF _Ref187829225 \h </w:instrText>
      </w:r>
      <w:r w:rsidR="00934279">
        <w:fldChar w:fldCharType="separate"/>
      </w:r>
      <w:r w:rsidR="002C005D">
        <w:t xml:space="preserve">Figure </w:t>
      </w:r>
      <w:r w:rsidR="002C005D">
        <w:rPr>
          <w:noProof/>
        </w:rPr>
        <w:t>3</w:t>
      </w:r>
      <w:r w:rsidR="00934279">
        <w:fldChar w:fldCharType="end"/>
      </w:r>
      <w:r w:rsidR="00934279">
        <w:t>.</w:t>
      </w:r>
    </w:p>
    <w:p w14:paraId="45190D79" w14:textId="707F1493" w:rsidR="00D66210" w:rsidRDefault="00D66210" w:rsidP="00F36B4F">
      <w:pPr>
        <w:pStyle w:val="Caption"/>
        <w:spacing w:before="120"/>
        <w:rPr>
          <w:rStyle w:val="CommentReference"/>
          <w:b/>
          <w:bCs w:val="0"/>
          <w:szCs w:val="20"/>
        </w:rPr>
      </w:pPr>
      <w:bookmarkStart w:id="30" w:name="_Ref187829237"/>
      <w:r>
        <w:t xml:space="preserve">Table </w:t>
      </w:r>
      <w:r w:rsidR="000B117D">
        <w:fldChar w:fldCharType="begin"/>
      </w:r>
      <w:r w:rsidR="000B117D">
        <w:instrText xml:space="preserve"> SEQ Table \* ARABIC </w:instrText>
      </w:r>
      <w:r w:rsidR="000B117D">
        <w:fldChar w:fldCharType="separate"/>
      </w:r>
      <w:r w:rsidR="002C005D">
        <w:rPr>
          <w:noProof/>
        </w:rPr>
        <w:t>5</w:t>
      </w:r>
      <w:r w:rsidR="000B117D">
        <w:rPr>
          <w:noProof/>
        </w:rPr>
        <w:fldChar w:fldCharType="end"/>
      </w:r>
      <w:bookmarkEnd w:id="30"/>
      <w:r>
        <w:t xml:space="preserve">: </w:t>
      </w:r>
      <w:r w:rsidRPr="00D66210">
        <w:rPr>
          <w:rStyle w:val="CommentReference"/>
          <w:b/>
          <w:bCs w:val="0"/>
          <w:szCs w:val="20"/>
        </w:rPr>
        <w:t>Summary of OS in JUPITER-02</w:t>
      </w:r>
    </w:p>
    <w:tbl>
      <w:tblPr>
        <w:tblStyle w:val="TableGrid"/>
        <w:tblW w:w="9209" w:type="dxa"/>
        <w:tblLayout w:type="fixed"/>
        <w:tblLook w:val="04A0" w:firstRow="1" w:lastRow="0" w:firstColumn="1" w:lastColumn="0" w:noHBand="0" w:noVBand="1"/>
      </w:tblPr>
      <w:tblGrid>
        <w:gridCol w:w="2405"/>
        <w:gridCol w:w="2055"/>
        <w:gridCol w:w="2056"/>
        <w:gridCol w:w="1276"/>
        <w:gridCol w:w="1417"/>
      </w:tblGrid>
      <w:tr w:rsidR="00521F7C" w:rsidRPr="00521F7C" w14:paraId="06EED1D0" w14:textId="77777777" w:rsidTr="00C10942">
        <w:tc>
          <w:tcPr>
            <w:tcW w:w="2405" w:type="dxa"/>
          </w:tcPr>
          <w:p w14:paraId="2D68EAAF" w14:textId="77777777" w:rsidR="00521F7C" w:rsidRPr="00521F7C" w:rsidRDefault="00521F7C" w:rsidP="00C10942">
            <w:pPr>
              <w:keepNext/>
              <w:rPr>
                <w:rFonts w:ascii="Arial Narrow" w:hAnsi="Arial Narrow"/>
                <w:sz w:val="20"/>
                <w:szCs w:val="20"/>
              </w:rPr>
            </w:pPr>
          </w:p>
        </w:tc>
        <w:tc>
          <w:tcPr>
            <w:tcW w:w="2055" w:type="dxa"/>
            <w:vAlign w:val="center"/>
          </w:tcPr>
          <w:p w14:paraId="58D6595D" w14:textId="66EDDD98" w:rsidR="00521F7C" w:rsidRPr="00521F7C" w:rsidRDefault="00521F7C" w:rsidP="00C10942">
            <w:pPr>
              <w:pStyle w:val="Tabletext8pt"/>
              <w:jc w:val="center"/>
              <w:rPr>
                <w:rFonts w:ascii="Arial Narrow" w:hAnsi="Arial Narrow"/>
                <w:b/>
                <w:bCs/>
                <w:sz w:val="20"/>
                <w:szCs w:val="20"/>
                <w:lang w:val="pt-BR"/>
              </w:rPr>
            </w:pPr>
            <w:r w:rsidRPr="00521F7C">
              <w:rPr>
                <w:rFonts w:ascii="Arial Narrow" w:hAnsi="Arial Narrow"/>
                <w:b/>
                <w:bCs/>
                <w:sz w:val="20"/>
                <w:szCs w:val="20"/>
                <w:lang w:val="pt-BR"/>
              </w:rPr>
              <w:t>Toripalimab + Cis+Gem</w:t>
            </w:r>
          </w:p>
          <w:p w14:paraId="2D000D9F" w14:textId="322F3494" w:rsidR="00521F7C" w:rsidRPr="00521F7C" w:rsidRDefault="00521F7C" w:rsidP="00C10942">
            <w:pPr>
              <w:keepNext/>
              <w:jc w:val="center"/>
              <w:rPr>
                <w:rFonts w:ascii="Arial Narrow" w:hAnsi="Arial Narrow"/>
                <w:sz w:val="20"/>
                <w:szCs w:val="20"/>
              </w:rPr>
            </w:pPr>
            <w:r w:rsidRPr="00521F7C">
              <w:rPr>
                <w:rFonts w:ascii="Arial Narrow" w:hAnsi="Arial Narrow"/>
                <w:b/>
                <w:bCs/>
                <w:sz w:val="20"/>
                <w:szCs w:val="20"/>
                <w:lang w:val="pt-BR"/>
              </w:rPr>
              <w:t>N=146</w:t>
            </w:r>
          </w:p>
        </w:tc>
        <w:tc>
          <w:tcPr>
            <w:tcW w:w="2056" w:type="dxa"/>
            <w:vAlign w:val="center"/>
          </w:tcPr>
          <w:p w14:paraId="5800EBE7" w14:textId="4E5AF273" w:rsidR="00521F7C" w:rsidRPr="00521F7C" w:rsidRDefault="00521F7C" w:rsidP="00C10942">
            <w:pPr>
              <w:pStyle w:val="Tabletext8pt"/>
              <w:jc w:val="center"/>
              <w:rPr>
                <w:rFonts w:ascii="Arial Narrow" w:hAnsi="Arial Narrow"/>
                <w:b/>
                <w:bCs/>
                <w:sz w:val="20"/>
                <w:szCs w:val="20"/>
                <w:lang w:val="pt-BR"/>
              </w:rPr>
            </w:pPr>
            <w:r w:rsidRPr="00521F7C">
              <w:rPr>
                <w:rFonts w:ascii="Arial Narrow" w:hAnsi="Arial Narrow"/>
                <w:b/>
                <w:bCs/>
                <w:sz w:val="20"/>
                <w:szCs w:val="20"/>
                <w:lang w:val="pt-BR"/>
              </w:rPr>
              <w:t>Placebo + Cis+Gem</w:t>
            </w:r>
          </w:p>
          <w:p w14:paraId="761762A0" w14:textId="3666EA77" w:rsidR="00521F7C" w:rsidRPr="00521F7C" w:rsidRDefault="00521F7C" w:rsidP="00C10942">
            <w:pPr>
              <w:keepNext/>
              <w:jc w:val="center"/>
              <w:rPr>
                <w:rFonts w:ascii="Arial Narrow" w:hAnsi="Arial Narrow"/>
                <w:sz w:val="20"/>
                <w:szCs w:val="20"/>
              </w:rPr>
            </w:pPr>
            <w:r w:rsidRPr="00521F7C">
              <w:rPr>
                <w:rFonts w:ascii="Arial Narrow" w:hAnsi="Arial Narrow"/>
                <w:b/>
                <w:bCs/>
                <w:sz w:val="20"/>
                <w:szCs w:val="20"/>
                <w:lang w:val="pt-BR"/>
              </w:rPr>
              <w:t>N =143</w:t>
            </w:r>
          </w:p>
        </w:tc>
        <w:tc>
          <w:tcPr>
            <w:tcW w:w="1276" w:type="dxa"/>
            <w:vAlign w:val="center"/>
          </w:tcPr>
          <w:p w14:paraId="7A2F9A78" w14:textId="253DA023" w:rsidR="00521F7C" w:rsidRPr="00521F7C" w:rsidRDefault="00521F7C" w:rsidP="00C10942">
            <w:pPr>
              <w:keepNext/>
              <w:jc w:val="center"/>
              <w:rPr>
                <w:rFonts w:ascii="Arial Narrow" w:hAnsi="Arial Narrow"/>
                <w:sz w:val="20"/>
                <w:szCs w:val="20"/>
              </w:rPr>
            </w:pPr>
            <w:r w:rsidRPr="00521F7C">
              <w:rPr>
                <w:rFonts w:ascii="Arial Narrow" w:hAnsi="Arial Narrow"/>
                <w:b/>
                <w:sz w:val="20"/>
                <w:szCs w:val="20"/>
              </w:rPr>
              <w:t>Absolute difference</w:t>
            </w:r>
          </w:p>
        </w:tc>
        <w:tc>
          <w:tcPr>
            <w:tcW w:w="1417" w:type="dxa"/>
            <w:vAlign w:val="center"/>
          </w:tcPr>
          <w:p w14:paraId="48352E70" w14:textId="46DC796B" w:rsidR="00521F7C" w:rsidRPr="00521F7C" w:rsidRDefault="00521F7C" w:rsidP="00C10942">
            <w:pPr>
              <w:pStyle w:val="Tabletext"/>
              <w:keepNext/>
              <w:jc w:val="center"/>
              <w:rPr>
                <w:b/>
                <w:szCs w:val="20"/>
              </w:rPr>
            </w:pPr>
            <w:r w:rsidRPr="00521F7C">
              <w:rPr>
                <w:b/>
                <w:szCs w:val="20"/>
              </w:rPr>
              <w:t>HR</w:t>
            </w:r>
            <w:r w:rsidRPr="00521F7C">
              <w:rPr>
                <w:b/>
                <w:szCs w:val="20"/>
                <w:vertAlign w:val="superscript"/>
              </w:rPr>
              <w:t>b</w:t>
            </w:r>
          </w:p>
          <w:p w14:paraId="0F45E1A9" w14:textId="3B4362B8" w:rsidR="00521F7C" w:rsidRPr="00521F7C" w:rsidRDefault="00521F7C" w:rsidP="00C10942">
            <w:pPr>
              <w:keepNext/>
              <w:jc w:val="center"/>
              <w:rPr>
                <w:rFonts w:ascii="Arial Narrow" w:hAnsi="Arial Narrow"/>
                <w:sz w:val="20"/>
                <w:szCs w:val="20"/>
              </w:rPr>
            </w:pPr>
            <w:r w:rsidRPr="00521F7C">
              <w:rPr>
                <w:rFonts w:ascii="Arial Narrow" w:hAnsi="Arial Narrow"/>
                <w:b/>
                <w:sz w:val="20"/>
                <w:szCs w:val="20"/>
              </w:rPr>
              <w:t>(95% CI)</w:t>
            </w:r>
          </w:p>
        </w:tc>
      </w:tr>
      <w:tr w:rsidR="00521F7C" w:rsidRPr="00521F7C" w14:paraId="3C37F5C1" w14:textId="77777777" w:rsidTr="00C10942">
        <w:tc>
          <w:tcPr>
            <w:tcW w:w="2405" w:type="dxa"/>
            <w:vAlign w:val="center"/>
          </w:tcPr>
          <w:p w14:paraId="12F3BBA2" w14:textId="5F96C5B6" w:rsidR="00521F7C" w:rsidRPr="00521F7C" w:rsidRDefault="00521F7C" w:rsidP="00C10942">
            <w:pPr>
              <w:keepNext/>
              <w:rPr>
                <w:rFonts w:ascii="Arial Narrow" w:hAnsi="Arial Narrow"/>
                <w:sz w:val="20"/>
                <w:szCs w:val="20"/>
              </w:rPr>
            </w:pPr>
            <w:r w:rsidRPr="00521F7C">
              <w:rPr>
                <w:rFonts w:ascii="Arial Narrow" w:hAnsi="Arial Narrow"/>
                <w:sz w:val="20"/>
                <w:szCs w:val="20"/>
              </w:rPr>
              <w:t>Number of deaths, n (%)</w:t>
            </w:r>
          </w:p>
        </w:tc>
        <w:tc>
          <w:tcPr>
            <w:tcW w:w="2055" w:type="dxa"/>
            <w:vAlign w:val="center"/>
          </w:tcPr>
          <w:p w14:paraId="2B71E9A1" w14:textId="362BCA48"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57 (39.0)</w:t>
            </w:r>
          </w:p>
        </w:tc>
        <w:tc>
          <w:tcPr>
            <w:tcW w:w="2056" w:type="dxa"/>
            <w:vAlign w:val="center"/>
          </w:tcPr>
          <w:p w14:paraId="4C1C8CAB" w14:textId="48FC0CF7"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76 (53.1)</w:t>
            </w:r>
          </w:p>
        </w:tc>
        <w:tc>
          <w:tcPr>
            <w:tcW w:w="1276" w:type="dxa"/>
            <w:vAlign w:val="center"/>
          </w:tcPr>
          <w:p w14:paraId="7E4D6B63" w14:textId="088A2D49" w:rsidR="00521F7C" w:rsidRPr="00521F7C" w:rsidRDefault="00521F7C" w:rsidP="00C10942">
            <w:pPr>
              <w:keepNext/>
              <w:jc w:val="center"/>
              <w:rPr>
                <w:rFonts w:ascii="Arial Narrow" w:hAnsi="Arial Narrow"/>
                <w:sz w:val="20"/>
                <w:szCs w:val="20"/>
              </w:rPr>
            </w:pPr>
            <w:r w:rsidRPr="00A83DE1">
              <w:rPr>
                <w:rFonts w:ascii="Arial Narrow" w:hAnsi="Arial Narrow"/>
                <w:iCs/>
                <w:sz w:val="20"/>
                <w:szCs w:val="20"/>
              </w:rPr>
              <w:t>NR</w:t>
            </w:r>
          </w:p>
        </w:tc>
        <w:tc>
          <w:tcPr>
            <w:tcW w:w="1417" w:type="dxa"/>
            <w:vAlign w:val="center"/>
          </w:tcPr>
          <w:p w14:paraId="7B1DAB0C" w14:textId="37F7FCEC" w:rsidR="00521F7C" w:rsidRPr="00521F7C" w:rsidRDefault="00521F7C" w:rsidP="00C10942">
            <w:pPr>
              <w:keepNext/>
              <w:jc w:val="center"/>
              <w:rPr>
                <w:rFonts w:ascii="Arial Narrow" w:hAnsi="Arial Narrow"/>
                <w:sz w:val="20"/>
                <w:szCs w:val="20"/>
              </w:rPr>
            </w:pPr>
            <w:r w:rsidRPr="00A83DE1">
              <w:rPr>
                <w:rFonts w:ascii="Arial Narrow" w:hAnsi="Arial Narrow"/>
                <w:iCs/>
                <w:sz w:val="20"/>
                <w:szCs w:val="20"/>
              </w:rPr>
              <w:t>NR</w:t>
            </w:r>
          </w:p>
        </w:tc>
      </w:tr>
      <w:tr w:rsidR="00521F7C" w:rsidRPr="00521F7C" w14:paraId="49EA6138" w14:textId="77777777" w:rsidTr="00C10942">
        <w:tc>
          <w:tcPr>
            <w:tcW w:w="2405" w:type="dxa"/>
            <w:vAlign w:val="center"/>
          </w:tcPr>
          <w:p w14:paraId="49DBB378" w14:textId="3FAEB470" w:rsidR="00521F7C" w:rsidRPr="00521F7C" w:rsidRDefault="00521F7C" w:rsidP="00C10942">
            <w:pPr>
              <w:keepNext/>
              <w:rPr>
                <w:rFonts w:ascii="Arial Narrow" w:hAnsi="Arial Narrow"/>
                <w:sz w:val="20"/>
                <w:szCs w:val="20"/>
              </w:rPr>
            </w:pPr>
            <w:r w:rsidRPr="00521F7C">
              <w:rPr>
                <w:rFonts w:ascii="Arial Narrow" w:hAnsi="Arial Narrow"/>
                <w:sz w:val="20"/>
                <w:szCs w:val="20"/>
              </w:rPr>
              <w:t>Median</w:t>
            </w:r>
            <w:r w:rsidRPr="00521F7C">
              <w:rPr>
                <w:rFonts w:ascii="Arial Narrow" w:hAnsi="Arial Narrow"/>
                <w:sz w:val="20"/>
                <w:szCs w:val="20"/>
                <w:vertAlign w:val="superscript"/>
              </w:rPr>
              <w:t>a</w:t>
            </w:r>
            <w:r w:rsidRPr="00521F7C">
              <w:rPr>
                <w:rFonts w:ascii="Arial Narrow" w:hAnsi="Arial Narrow"/>
                <w:sz w:val="20"/>
                <w:szCs w:val="20"/>
              </w:rPr>
              <w:t xml:space="preserve"> OS months (95% CI)</w:t>
            </w:r>
          </w:p>
        </w:tc>
        <w:tc>
          <w:tcPr>
            <w:tcW w:w="2055" w:type="dxa"/>
            <w:vAlign w:val="center"/>
          </w:tcPr>
          <w:p w14:paraId="0C80F1F1" w14:textId="2C4D0A33"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NE (38.7, NE)</w:t>
            </w:r>
          </w:p>
        </w:tc>
        <w:tc>
          <w:tcPr>
            <w:tcW w:w="2056" w:type="dxa"/>
            <w:vAlign w:val="center"/>
          </w:tcPr>
          <w:p w14:paraId="49CE5AE1" w14:textId="228D1461"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33.7 (27.01, 44.19)</w:t>
            </w:r>
          </w:p>
        </w:tc>
        <w:tc>
          <w:tcPr>
            <w:tcW w:w="1276" w:type="dxa"/>
            <w:vAlign w:val="center"/>
          </w:tcPr>
          <w:p w14:paraId="0C8149A6" w14:textId="19539C84" w:rsidR="00521F7C" w:rsidRPr="00521F7C" w:rsidRDefault="00521F7C" w:rsidP="00C10942">
            <w:pPr>
              <w:keepNext/>
              <w:jc w:val="center"/>
              <w:rPr>
                <w:rFonts w:ascii="Arial Narrow" w:hAnsi="Arial Narrow"/>
                <w:sz w:val="20"/>
                <w:szCs w:val="20"/>
              </w:rPr>
            </w:pPr>
            <w:r w:rsidRPr="00A83DE1">
              <w:rPr>
                <w:rFonts w:ascii="Arial Narrow" w:hAnsi="Arial Narrow"/>
                <w:iCs/>
                <w:sz w:val="20"/>
                <w:szCs w:val="20"/>
              </w:rPr>
              <w:t>NR</w:t>
            </w:r>
          </w:p>
        </w:tc>
        <w:tc>
          <w:tcPr>
            <w:tcW w:w="1417" w:type="dxa"/>
            <w:vAlign w:val="center"/>
          </w:tcPr>
          <w:p w14:paraId="37A82E2C" w14:textId="77777777" w:rsidR="00521F7C" w:rsidRPr="008E2963" w:rsidRDefault="00521F7C" w:rsidP="00C10942">
            <w:pPr>
              <w:pStyle w:val="Tabletext8pt"/>
              <w:jc w:val="center"/>
              <w:rPr>
                <w:rFonts w:ascii="Arial Narrow" w:hAnsi="Arial Narrow"/>
                <w:sz w:val="20"/>
                <w:szCs w:val="20"/>
              </w:rPr>
            </w:pPr>
            <w:r w:rsidRPr="008E2963">
              <w:rPr>
                <w:rFonts w:ascii="Arial Narrow" w:hAnsi="Arial Narrow"/>
                <w:sz w:val="20"/>
                <w:szCs w:val="20"/>
              </w:rPr>
              <w:t>0.63</w:t>
            </w:r>
          </w:p>
          <w:p w14:paraId="4A002CFE" w14:textId="77777777" w:rsidR="00521F7C" w:rsidRPr="008E2963" w:rsidRDefault="00521F7C" w:rsidP="00C10942">
            <w:pPr>
              <w:pStyle w:val="Tabletext8pt"/>
              <w:jc w:val="center"/>
              <w:rPr>
                <w:rFonts w:ascii="Arial Narrow" w:hAnsi="Arial Narrow"/>
                <w:sz w:val="20"/>
                <w:szCs w:val="20"/>
              </w:rPr>
            </w:pPr>
            <w:r w:rsidRPr="008E2963">
              <w:rPr>
                <w:rFonts w:ascii="Arial Narrow" w:hAnsi="Arial Narrow"/>
                <w:sz w:val="20"/>
                <w:szCs w:val="20"/>
              </w:rPr>
              <w:t>(0.446, 0.891)</w:t>
            </w:r>
          </w:p>
          <w:p w14:paraId="56F32BF6" w14:textId="49B9B76E" w:rsidR="00521F7C" w:rsidRPr="00521F7C" w:rsidRDefault="002007DE" w:rsidP="00C10942">
            <w:pPr>
              <w:keepNext/>
              <w:jc w:val="center"/>
              <w:rPr>
                <w:rFonts w:ascii="Arial Narrow" w:hAnsi="Arial Narrow"/>
                <w:sz w:val="20"/>
                <w:szCs w:val="20"/>
              </w:rPr>
            </w:pPr>
            <w:r w:rsidRPr="008E2963">
              <w:rPr>
                <w:rFonts w:ascii="Arial Narrow" w:hAnsi="Arial Narrow"/>
                <w:sz w:val="20"/>
                <w:szCs w:val="20"/>
              </w:rPr>
              <w:t>p =</w:t>
            </w:r>
            <w:r w:rsidR="00B353BF" w:rsidRPr="008E2963">
              <w:rPr>
                <w:rFonts w:ascii="Arial Narrow" w:hAnsi="Arial Narrow"/>
                <w:sz w:val="20"/>
                <w:szCs w:val="20"/>
              </w:rPr>
              <w:t xml:space="preserve"> </w:t>
            </w:r>
            <w:r w:rsidR="00521F7C" w:rsidRPr="008E2963">
              <w:rPr>
                <w:rFonts w:ascii="Arial Narrow" w:hAnsi="Arial Narrow"/>
                <w:sz w:val="20"/>
                <w:szCs w:val="20"/>
              </w:rPr>
              <w:t>0.0083</w:t>
            </w:r>
          </w:p>
        </w:tc>
      </w:tr>
      <w:tr w:rsidR="00521F7C" w:rsidRPr="00521F7C" w14:paraId="7C33DA20" w14:textId="77777777" w:rsidTr="00C10942">
        <w:tc>
          <w:tcPr>
            <w:tcW w:w="2405" w:type="dxa"/>
            <w:vAlign w:val="center"/>
          </w:tcPr>
          <w:p w14:paraId="3FA08DEA" w14:textId="66AE451C" w:rsidR="00521F7C" w:rsidRPr="00521F7C" w:rsidRDefault="00521F7C" w:rsidP="00C10942">
            <w:pPr>
              <w:keepNext/>
              <w:rPr>
                <w:rFonts w:ascii="Arial Narrow" w:hAnsi="Arial Narrow"/>
                <w:sz w:val="20"/>
                <w:szCs w:val="20"/>
              </w:rPr>
            </w:pPr>
            <w:r w:rsidRPr="00521F7C">
              <w:rPr>
                <w:rFonts w:ascii="Arial Narrow" w:hAnsi="Arial Narrow"/>
                <w:sz w:val="20"/>
                <w:szCs w:val="20"/>
              </w:rPr>
              <w:t>1-year OS rate (%) (95% CI)</w:t>
            </w:r>
          </w:p>
        </w:tc>
        <w:tc>
          <w:tcPr>
            <w:tcW w:w="2055" w:type="dxa"/>
            <w:vAlign w:val="center"/>
          </w:tcPr>
          <w:p w14:paraId="0D712B6B" w14:textId="469E2A59"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90.9 (84.87, 94.62)</w:t>
            </w:r>
          </w:p>
        </w:tc>
        <w:tc>
          <w:tcPr>
            <w:tcW w:w="2056" w:type="dxa"/>
            <w:vAlign w:val="center"/>
          </w:tcPr>
          <w:p w14:paraId="499B6071" w14:textId="3CCB76BE"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87.1 (80.36, 91.69)</w:t>
            </w:r>
          </w:p>
        </w:tc>
        <w:tc>
          <w:tcPr>
            <w:tcW w:w="1276" w:type="dxa"/>
            <w:vAlign w:val="center"/>
          </w:tcPr>
          <w:p w14:paraId="09F9122A" w14:textId="77777777" w:rsidR="00C10942" w:rsidRDefault="00521F7C" w:rsidP="00C10942">
            <w:pPr>
              <w:keepNext/>
              <w:jc w:val="center"/>
              <w:rPr>
                <w:rFonts w:ascii="Arial Narrow" w:hAnsi="Arial Narrow"/>
                <w:sz w:val="20"/>
                <w:szCs w:val="20"/>
              </w:rPr>
            </w:pPr>
            <w:r w:rsidRPr="00521F7C">
              <w:rPr>
                <w:rFonts w:ascii="Arial Narrow" w:hAnsi="Arial Narrow"/>
                <w:sz w:val="20"/>
                <w:szCs w:val="20"/>
              </w:rPr>
              <w:t xml:space="preserve">3.8 </w:t>
            </w:r>
          </w:p>
          <w:p w14:paraId="68CFAE35" w14:textId="5E8E08EB"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(-3.5. 11.1)</w:t>
            </w:r>
          </w:p>
        </w:tc>
        <w:tc>
          <w:tcPr>
            <w:tcW w:w="1417" w:type="dxa"/>
            <w:vAlign w:val="center"/>
          </w:tcPr>
          <w:p w14:paraId="025B1B52" w14:textId="1676E8C1"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NR</w:t>
            </w:r>
          </w:p>
        </w:tc>
      </w:tr>
      <w:tr w:rsidR="00521F7C" w:rsidRPr="00521F7C" w14:paraId="1A5AAE06" w14:textId="77777777" w:rsidTr="00C10942">
        <w:tc>
          <w:tcPr>
            <w:tcW w:w="2405" w:type="dxa"/>
            <w:vAlign w:val="center"/>
          </w:tcPr>
          <w:p w14:paraId="6C43E673" w14:textId="6ACBF2D3" w:rsidR="00521F7C" w:rsidRPr="00521F7C" w:rsidRDefault="00521F7C" w:rsidP="00C10942">
            <w:pPr>
              <w:keepNext/>
              <w:rPr>
                <w:rFonts w:ascii="Arial Narrow" w:hAnsi="Arial Narrow"/>
                <w:sz w:val="20"/>
                <w:szCs w:val="20"/>
              </w:rPr>
            </w:pPr>
            <w:r w:rsidRPr="00521F7C">
              <w:rPr>
                <w:rFonts w:ascii="Arial Narrow" w:hAnsi="Arial Narrow"/>
                <w:sz w:val="20"/>
                <w:szCs w:val="20"/>
              </w:rPr>
              <w:t>2-year OS rate (%) (95% CI)</w:t>
            </w:r>
          </w:p>
        </w:tc>
        <w:tc>
          <w:tcPr>
            <w:tcW w:w="2055" w:type="dxa"/>
            <w:vAlign w:val="center"/>
          </w:tcPr>
          <w:p w14:paraId="03ECBF0B" w14:textId="2D2F8A21"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78.0 (70.18, 83.97)</w:t>
            </w:r>
          </w:p>
        </w:tc>
        <w:tc>
          <w:tcPr>
            <w:tcW w:w="2056" w:type="dxa"/>
            <w:vAlign w:val="center"/>
          </w:tcPr>
          <w:p w14:paraId="2C69C6D0" w14:textId="13D2E909"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65.1 (56.50, 72.44)</w:t>
            </w:r>
          </w:p>
        </w:tc>
        <w:tc>
          <w:tcPr>
            <w:tcW w:w="1276" w:type="dxa"/>
            <w:vAlign w:val="center"/>
          </w:tcPr>
          <w:p w14:paraId="692ED3DC" w14:textId="77777777" w:rsidR="00C10942" w:rsidRDefault="00521F7C" w:rsidP="00C10942">
            <w:pPr>
              <w:keepNext/>
              <w:jc w:val="center"/>
              <w:rPr>
                <w:rFonts w:ascii="Arial Narrow" w:hAnsi="Arial Narrow"/>
                <w:sz w:val="20"/>
                <w:szCs w:val="20"/>
              </w:rPr>
            </w:pPr>
            <w:r w:rsidRPr="00521F7C">
              <w:rPr>
                <w:rFonts w:ascii="Arial Narrow" w:hAnsi="Arial Narrow"/>
                <w:sz w:val="20"/>
                <w:szCs w:val="20"/>
              </w:rPr>
              <w:t xml:space="preserve">12.9 </w:t>
            </w:r>
          </w:p>
          <w:p w14:paraId="70FCEDC7" w14:textId="333A933A"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(2.3, 23.4)</w:t>
            </w:r>
          </w:p>
        </w:tc>
        <w:tc>
          <w:tcPr>
            <w:tcW w:w="1417" w:type="dxa"/>
            <w:vAlign w:val="center"/>
          </w:tcPr>
          <w:p w14:paraId="323AF1CA" w14:textId="23985354"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NR</w:t>
            </w:r>
          </w:p>
        </w:tc>
      </w:tr>
      <w:tr w:rsidR="00521F7C" w:rsidRPr="00521F7C" w14:paraId="5A2B2D85" w14:textId="77777777" w:rsidTr="00C10942">
        <w:tc>
          <w:tcPr>
            <w:tcW w:w="2405" w:type="dxa"/>
            <w:vAlign w:val="center"/>
          </w:tcPr>
          <w:p w14:paraId="23D2D547" w14:textId="25C173C4" w:rsidR="00521F7C" w:rsidRPr="00521F7C" w:rsidRDefault="00521F7C" w:rsidP="00C10942">
            <w:pPr>
              <w:keepNext/>
              <w:rPr>
                <w:rFonts w:ascii="Arial Narrow" w:hAnsi="Arial Narrow"/>
                <w:sz w:val="20"/>
                <w:szCs w:val="20"/>
              </w:rPr>
            </w:pPr>
            <w:r w:rsidRPr="00521F7C">
              <w:rPr>
                <w:rFonts w:ascii="Arial Narrow" w:hAnsi="Arial Narrow"/>
                <w:sz w:val="20"/>
                <w:szCs w:val="20"/>
              </w:rPr>
              <w:t>3-year OS rate (%) (95% CI)</w:t>
            </w:r>
          </w:p>
        </w:tc>
        <w:tc>
          <w:tcPr>
            <w:tcW w:w="2055" w:type="dxa"/>
            <w:vAlign w:val="center"/>
          </w:tcPr>
          <w:p w14:paraId="6A4CC800" w14:textId="0982ED2A"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64.5 (55.86, 71.87)</w:t>
            </w:r>
          </w:p>
        </w:tc>
        <w:tc>
          <w:tcPr>
            <w:tcW w:w="2056" w:type="dxa"/>
            <w:vAlign w:val="center"/>
          </w:tcPr>
          <w:p w14:paraId="1EA1A595" w14:textId="7ED11841"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49.2 (40.53, 57.32)</w:t>
            </w:r>
          </w:p>
        </w:tc>
        <w:tc>
          <w:tcPr>
            <w:tcW w:w="1276" w:type="dxa"/>
            <w:vAlign w:val="center"/>
          </w:tcPr>
          <w:p w14:paraId="61D4A3A8" w14:textId="77777777" w:rsidR="00C10942" w:rsidRDefault="00521F7C" w:rsidP="00C10942">
            <w:pPr>
              <w:keepNext/>
              <w:jc w:val="center"/>
              <w:rPr>
                <w:rFonts w:ascii="Arial Narrow" w:hAnsi="Arial Narrow"/>
                <w:sz w:val="20"/>
                <w:szCs w:val="20"/>
              </w:rPr>
            </w:pPr>
            <w:r w:rsidRPr="00521F7C">
              <w:rPr>
                <w:rFonts w:ascii="Arial Narrow" w:hAnsi="Arial Narrow"/>
                <w:sz w:val="20"/>
                <w:szCs w:val="20"/>
              </w:rPr>
              <w:t xml:space="preserve">15.3 </w:t>
            </w:r>
          </w:p>
          <w:p w14:paraId="3A5A0917" w14:textId="44829D2D"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(3.6, 26.9)</w:t>
            </w:r>
          </w:p>
        </w:tc>
        <w:tc>
          <w:tcPr>
            <w:tcW w:w="1417" w:type="dxa"/>
            <w:vAlign w:val="center"/>
          </w:tcPr>
          <w:p w14:paraId="2B1B8788" w14:textId="2BB6E0CB" w:rsidR="00521F7C" w:rsidRPr="00521F7C" w:rsidRDefault="00521F7C" w:rsidP="00C10942">
            <w:pPr>
              <w:keepNext/>
              <w:jc w:val="center"/>
              <w:rPr>
                <w:rFonts w:ascii="Arial Narrow" w:hAnsi="Arial Narrow"/>
                <w:sz w:val="20"/>
                <w:szCs w:val="20"/>
              </w:rPr>
            </w:pPr>
            <w:r w:rsidRPr="00521F7C">
              <w:rPr>
                <w:rFonts w:ascii="Arial Narrow" w:hAnsi="Arial Narrow"/>
                <w:sz w:val="20"/>
                <w:szCs w:val="20"/>
              </w:rPr>
              <w:t>NR</w:t>
            </w:r>
          </w:p>
        </w:tc>
      </w:tr>
    </w:tbl>
    <w:p w14:paraId="47BD9596" w14:textId="32380AD7" w:rsidR="00D66210" w:rsidRPr="00D66210" w:rsidRDefault="00D66210" w:rsidP="00C10942">
      <w:pPr>
        <w:keepNext/>
        <w:rPr>
          <w:rFonts w:ascii="Arial Narrow" w:hAnsi="Arial Narrow"/>
          <w:sz w:val="18"/>
          <w:szCs w:val="18"/>
        </w:rPr>
      </w:pPr>
      <w:r w:rsidRPr="00D66210">
        <w:rPr>
          <w:rFonts w:ascii="Arial Narrow" w:hAnsi="Arial Narrow"/>
          <w:sz w:val="18"/>
          <w:szCs w:val="18"/>
        </w:rPr>
        <w:t>Source: Table</w:t>
      </w:r>
      <w:r w:rsidR="006160FB">
        <w:rPr>
          <w:rFonts w:ascii="Arial Narrow" w:hAnsi="Arial Narrow"/>
          <w:sz w:val="18"/>
          <w:szCs w:val="18"/>
        </w:rPr>
        <w:t xml:space="preserve"> </w:t>
      </w:r>
      <w:r w:rsidRPr="00D66210">
        <w:rPr>
          <w:rFonts w:ascii="Arial Narrow" w:hAnsi="Arial Narrow"/>
          <w:sz w:val="18"/>
          <w:szCs w:val="18"/>
        </w:rPr>
        <w:t xml:space="preserve">2-14, p64 of </w:t>
      </w:r>
      <w:r w:rsidR="001F6609">
        <w:rPr>
          <w:rFonts w:ascii="Arial Narrow" w:hAnsi="Arial Narrow"/>
          <w:sz w:val="18"/>
          <w:szCs w:val="18"/>
        </w:rPr>
        <w:t xml:space="preserve">the </w:t>
      </w:r>
      <w:r w:rsidRPr="00D66210">
        <w:rPr>
          <w:rFonts w:ascii="Arial Narrow" w:hAnsi="Arial Narrow"/>
          <w:sz w:val="18"/>
          <w:szCs w:val="18"/>
        </w:rPr>
        <w:t>submission</w:t>
      </w:r>
      <w:r w:rsidR="00416A9F">
        <w:rPr>
          <w:rFonts w:ascii="Arial Narrow" w:hAnsi="Arial Narrow"/>
          <w:sz w:val="18"/>
          <w:szCs w:val="18"/>
        </w:rPr>
        <w:t>.</w:t>
      </w:r>
    </w:p>
    <w:p w14:paraId="4F2068F8" w14:textId="77777777" w:rsidR="00D66210" w:rsidRPr="00D66210" w:rsidRDefault="00D66210" w:rsidP="00C10942">
      <w:pPr>
        <w:keepNext/>
        <w:rPr>
          <w:rFonts w:ascii="Arial Narrow" w:hAnsi="Arial Narrow"/>
          <w:sz w:val="18"/>
          <w:szCs w:val="18"/>
        </w:rPr>
      </w:pPr>
      <w:r w:rsidRPr="00D66210">
        <w:rPr>
          <w:rFonts w:ascii="Arial Narrow" w:hAnsi="Arial Narrow"/>
          <w:sz w:val="18"/>
          <w:szCs w:val="18"/>
        </w:rPr>
        <w:t>CI, confidence interval; Cis+Gem, cisplatin and gemcitabine; HR, hazard ratio; NE, not estimable; NR, not reported; OS, overall survival</w:t>
      </w:r>
    </w:p>
    <w:p w14:paraId="2967C4E4" w14:textId="77777777" w:rsidR="00D66210" w:rsidRPr="00D66210" w:rsidRDefault="00D66210" w:rsidP="00C10942">
      <w:pPr>
        <w:keepNext/>
        <w:rPr>
          <w:rFonts w:ascii="Arial Narrow" w:hAnsi="Arial Narrow"/>
          <w:sz w:val="18"/>
          <w:szCs w:val="18"/>
        </w:rPr>
      </w:pPr>
      <w:r w:rsidRPr="00D66210">
        <w:rPr>
          <w:rFonts w:ascii="Arial Narrow" w:hAnsi="Arial Narrow"/>
          <w:sz w:val="18"/>
          <w:szCs w:val="18"/>
        </w:rPr>
        <w:t xml:space="preserve">a: the stratified analyses used ECOG performance status (0 vs 1), and disease stage (recurrent vs metastatic) as recorded in the IWRS; </w:t>
      </w:r>
    </w:p>
    <w:p w14:paraId="0CF92DA8" w14:textId="77777777" w:rsidR="00D66210" w:rsidRPr="00D66210" w:rsidRDefault="00D66210" w:rsidP="00C10942">
      <w:pPr>
        <w:keepNext/>
        <w:rPr>
          <w:rFonts w:ascii="Arial Narrow" w:hAnsi="Arial Narrow"/>
          <w:sz w:val="18"/>
          <w:szCs w:val="18"/>
        </w:rPr>
      </w:pPr>
      <w:r w:rsidRPr="00D66210">
        <w:rPr>
          <w:rFonts w:ascii="Arial Narrow" w:hAnsi="Arial Narrow"/>
          <w:sz w:val="18"/>
          <w:szCs w:val="18"/>
        </w:rPr>
        <w:t>b: the hazard ratio was estimated with the use of the Cox proportional hazards model. Efron’s method was used to handle ties.</w:t>
      </w:r>
    </w:p>
    <w:p w14:paraId="42B5FEE8" w14:textId="77777777" w:rsidR="00934279" w:rsidRDefault="00934279" w:rsidP="00C10942">
      <w:pPr>
        <w:pStyle w:val="BodyText"/>
        <w:keepNext/>
        <w:rPr>
          <w:rStyle w:val="CommentReference"/>
        </w:rPr>
      </w:pPr>
    </w:p>
    <w:p w14:paraId="744F5C69" w14:textId="717385FB" w:rsidR="00934279" w:rsidRDefault="00934279" w:rsidP="00934279">
      <w:pPr>
        <w:pStyle w:val="Caption"/>
        <w:rPr>
          <w:rStyle w:val="CommentReference"/>
        </w:rPr>
      </w:pPr>
      <w:bookmarkStart w:id="31" w:name="_Ref187829225"/>
      <w:r>
        <w:t xml:space="preserve">Figure </w:t>
      </w:r>
      <w:r w:rsidR="000B117D">
        <w:fldChar w:fldCharType="begin"/>
      </w:r>
      <w:r w:rsidR="000B117D">
        <w:instrText xml:space="preserve"> SEQ Figure \* ARABIC </w:instrText>
      </w:r>
      <w:r w:rsidR="000B117D">
        <w:fldChar w:fldCharType="separate"/>
      </w:r>
      <w:r w:rsidR="002C005D">
        <w:rPr>
          <w:noProof/>
        </w:rPr>
        <w:t>3</w:t>
      </w:r>
      <w:r w:rsidR="000B117D">
        <w:rPr>
          <w:noProof/>
        </w:rPr>
        <w:fldChar w:fldCharType="end"/>
      </w:r>
      <w:bookmarkEnd w:id="31"/>
      <w:r>
        <w:t xml:space="preserve">: </w:t>
      </w:r>
      <w:r w:rsidRPr="00FE1F78">
        <w:rPr>
          <w:rStyle w:val="CommentReference"/>
          <w:b/>
          <w:bCs w:val="0"/>
        </w:rPr>
        <w:t xml:space="preserve">Kaplan-Meier </w:t>
      </w:r>
      <w:r>
        <w:rPr>
          <w:rStyle w:val="CommentReference"/>
          <w:b/>
          <w:bCs w:val="0"/>
        </w:rPr>
        <w:t>e</w:t>
      </w:r>
      <w:r w:rsidRPr="00FE1F78">
        <w:rPr>
          <w:rStyle w:val="CommentReference"/>
          <w:b/>
          <w:bCs w:val="0"/>
        </w:rPr>
        <w:t xml:space="preserve">stimates </w:t>
      </w:r>
      <w:r w:rsidRPr="00934279">
        <w:rPr>
          <w:rStyle w:val="CommentReference"/>
          <w:b/>
          <w:bCs w:val="0"/>
        </w:rPr>
        <w:t xml:space="preserve">of OS in JUPITER-02 </w:t>
      </w:r>
      <w:r>
        <w:rPr>
          <w:rStyle w:val="CommentReference"/>
          <w:b/>
          <w:bCs w:val="0"/>
        </w:rPr>
        <w:t xml:space="preserve">(DCO4) </w:t>
      </w:r>
      <w:r w:rsidRPr="00934279">
        <w:rPr>
          <w:rStyle w:val="CommentReference"/>
          <w:b/>
          <w:bCs w:val="0"/>
        </w:rPr>
        <w:t>(ITT Analysis set)</w:t>
      </w:r>
    </w:p>
    <w:p w14:paraId="23991CA9" w14:textId="77777777" w:rsidR="00934279" w:rsidRDefault="00934279" w:rsidP="00934279">
      <w:pPr>
        <w:pStyle w:val="BodyText"/>
        <w:keepNext/>
        <w:jc w:val="center"/>
        <w:rPr>
          <w:rStyle w:val="CommentReference"/>
        </w:rPr>
      </w:pPr>
      <w:r w:rsidRPr="00600BD8">
        <w:rPr>
          <w:noProof/>
        </w:rPr>
        <w:drawing>
          <wp:inline distT="0" distB="0" distL="0" distR="0" wp14:anchorId="08D1179A" wp14:editId="588320FF">
            <wp:extent cx="5862868" cy="2438400"/>
            <wp:effectExtent l="0" t="0" r="5080" b="0"/>
            <wp:docPr id="813244976" name="Picture 1" descr="A graph showing the growth of the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19748" name="Picture 1" descr="A graph showing the growth of the number of individuals&#10;&#10;Description automatically generated with medium confidence"/>
                    <pic:cNvPicPr/>
                  </pic:nvPicPr>
                  <pic:blipFill>
                    <a:blip r:embed="rId13"/>
                    <a:stretch>
                      <a:fillRect/>
                    </a:stretch>
                  </pic:blipFill>
                  <pic:spPr>
                    <a:xfrm>
                      <a:off x="0" y="0"/>
                      <a:ext cx="5881006" cy="2445944"/>
                    </a:xfrm>
                    <a:prstGeom prst="rect">
                      <a:avLst/>
                    </a:prstGeom>
                  </pic:spPr>
                </pic:pic>
              </a:graphicData>
            </a:graphic>
          </wp:inline>
        </w:drawing>
      </w:r>
    </w:p>
    <w:p w14:paraId="43ED4441" w14:textId="77777777" w:rsidR="00934279" w:rsidRPr="005A236B" w:rsidRDefault="00934279" w:rsidP="00934279">
      <w:pPr>
        <w:pStyle w:val="BodyText"/>
        <w:keepNext/>
        <w:rPr>
          <w:rStyle w:val="CommentReference"/>
          <w:b w:val="0"/>
          <w:bCs/>
          <w:sz w:val="18"/>
          <w:szCs w:val="18"/>
        </w:rPr>
      </w:pPr>
      <w:r w:rsidRPr="005A236B">
        <w:rPr>
          <w:rStyle w:val="CommentReference"/>
          <w:b w:val="0"/>
          <w:bCs/>
          <w:sz w:val="18"/>
          <w:szCs w:val="18"/>
        </w:rPr>
        <w:t>Source: Fig 2-8, p64 of the submission</w:t>
      </w:r>
    </w:p>
    <w:p w14:paraId="006048AF" w14:textId="77777777" w:rsidR="00934279" w:rsidRPr="005A236B" w:rsidRDefault="00934279" w:rsidP="00934279">
      <w:pPr>
        <w:pStyle w:val="BodyText"/>
        <w:keepNext/>
        <w:rPr>
          <w:rStyle w:val="CommentReference"/>
          <w:b w:val="0"/>
          <w:bCs/>
          <w:sz w:val="18"/>
          <w:szCs w:val="18"/>
        </w:rPr>
      </w:pPr>
      <w:r w:rsidRPr="005A236B">
        <w:rPr>
          <w:rFonts w:ascii="Arial Narrow" w:hAnsi="Arial Narrow"/>
          <w:sz w:val="18"/>
          <w:szCs w:val="18"/>
        </w:rPr>
        <w:t>ITT, intent-to-treat</w:t>
      </w:r>
      <w:r>
        <w:rPr>
          <w:rFonts w:ascii="Arial Narrow" w:hAnsi="Arial Narrow"/>
          <w:sz w:val="18"/>
          <w:szCs w:val="18"/>
        </w:rPr>
        <w:t xml:space="preserve">; </w:t>
      </w:r>
      <w:r w:rsidRPr="005A236B">
        <w:rPr>
          <w:rFonts w:ascii="Arial Narrow" w:hAnsi="Arial Narrow"/>
          <w:sz w:val="18"/>
          <w:szCs w:val="18"/>
        </w:rPr>
        <w:t>JS001, toripalimab</w:t>
      </w:r>
    </w:p>
    <w:p w14:paraId="47353BAE" w14:textId="3286484E" w:rsidR="00F36AA6" w:rsidRPr="00D64EF7" w:rsidRDefault="00F36AA6" w:rsidP="00F36AA6">
      <w:pPr>
        <w:pStyle w:val="3-BodyText"/>
      </w:pPr>
      <w:r w:rsidRPr="00D64EF7">
        <w:t xml:space="preserve">The results </w:t>
      </w:r>
      <w:r w:rsidR="00985065">
        <w:t>suggest</w:t>
      </w:r>
      <w:r w:rsidR="00985065" w:rsidRPr="00D64EF7">
        <w:t xml:space="preserve"> </w:t>
      </w:r>
      <w:r w:rsidRPr="00D64EF7">
        <w:t>a benefit for toripalimab compared to placebo in terms of OS. Toripalimab resulted in a 37% reduction in the risk of death (HR=0.63; 95% CI: 0.446, 0.891; p=0.0083). Median OS was not reached in the toripalimab group, while the median OS in the placebo group was 33.7 months.</w:t>
      </w:r>
    </w:p>
    <w:p w14:paraId="1452C351" w14:textId="2B7E4521" w:rsidR="00B60939" w:rsidRPr="0098262F" w:rsidRDefault="00B60939" w:rsidP="00D86231">
      <w:pPr>
        <w:pStyle w:val="4-SubsectionHeading"/>
      </w:pPr>
      <w:bookmarkStart w:id="32" w:name="_Toc22897642"/>
      <w:bookmarkStart w:id="33" w:name="_Toc188361222"/>
      <w:r w:rsidRPr="0098262F">
        <w:t>Comparative harms</w:t>
      </w:r>
      <w:bookmarkEnd w:id="32"/>
      <w:bookmarkEnd w:id="33"/>
    </w:p>
    <w:p w14:paraId="2DAF16D1" w14:textId="4F6F61E6" w:rsidR="00B60939" w:rsidRPr="0098262F" w:rsidRDefault="00082100" w:rsidP="00D86231">
      <w:pPr>
        <w:pStyle w:val="3-BodyText"/>
        <w:rPr>
          <w:color w:val="0066FF"/>
        </w:rPr>
      </w:pPr>
      <w:bookmarkStart w:id="34" w:name="_Hlk104801403"/>
      <w:r w:rsidRPr="00082100">
        <w:t xml:space="preserve">Select adverse events reported in the JUPTER-02 trial are presented in </w:t>
      </w:r>
      <w:r w:rsidRPr="00082100">
        <w:fldChar w:fldCharType="begin"/>
      </w:r>
      <w:r w:rsidRPr="00082100">
        <w:instrText xml:space="preserve"> REF _Ref187830976 \h </w:instrText>
      </w:r>
      <w:r w:rsidRPr="00082100">
        <w:fldChar w:fldCharType="separate"/>
      </w:r>
      <w:r w:rsidR="002C005D" w:rsidRPr="0098262F">
        <w:t xml:space="preserve">Table </w:t>
      </w:r>
      <w:r w:rsidR="002C005D">
        <w:rPr>
          <w:noProof/>
        </w:rPr>
        <w:t>6</w:t>
      </w:r>
      <w:r w:rsidRPr="00082100">
        <w:fldChar w:fldCharType="end"/>
      </w:r>
      <w:r>
        <w:t>.</w:t>
      </w:r>
      <w:bookmarkEnd w:id="34"/>
    </w:p>
    <w:p w14:paraId="310B2246" w14:textId="4C972699" w:rsidR="00B60939" w:rsidRDefault="00D6076E" w:rsidP="00D6076E">
      <w:pPr>
        <w:pStyle w:val="TableFigureHeading"/>
        <w:rPr>
          <w:rStyle w:val="CommentReference"/>
          <w:b/>
          <w:szCs w:val="24"/>
        </w:rPr>
      </w:pPr>
      <w:bookmarkStart w:id="35" w:name="_Ref187830976"/>
      <w:r w:rsidRPr="0098262F">
        <w:lastRenderedPageBreak/>
        <w:t xml:space="preserve">Table </w:t>
      </w:r>
      <w:r w:rsidR="000B117D">
        <w:fldChar w:fldCharType="begin"/>
      </w:r>
      <w:r w:rsidR="000B117D">
        <w:instrText xml:space="preserve"> SEQ Table \* ARABIC </w:instrText>
      </w:r>
      <w:r w:rsidR="000B117D">
        <w:fldChar w:fldCharType="separate"/>
      </w:r>
      <w:r w:rsidR="002C005D">
        <w:rPr>
          <w:noProof/>
        </w:rPr>
        <w:t>6</w:t>
      </w:r>
      <w:r w:rsidR="000B117D">
        <w:rPr>
          <w:noProof/>
        </w:rPr>
        <w:fldChar w:fldCharType="end"/>
      </w:r>
      <w:bookmarkEnd w:id="35"/>
      <w:r w:rsidRPr="0098262F">
        <w:t xml:space="preserve">: </w:t>
      </w:r>
      <w:r w:rsidR="005D26B4" w:rsidRPr="0098262F">
        <w:rPr>
          <w:rStyle w:val="CommentReference"/>
          <w:b/>
          <w:szCs w:val="24"/>
        </w:rPr>
        <w:t xml:space="preserve">Summary of key adverse events in the </w:t>
      </w:r>
      <w:r w:rsidR="00F36AA6">
        <w:rPr>
          <w:rStyle w:val="CommentReference"/>
          <w:b/>
          <w:szCs w:val="24"/>
        </w:rPr>
        <w:t>JUPITER-02 trial</w:t>
      </w:r>
    </w:p>
    <w:tbl>
      <w:tblPr>
        <w:tblStyle w:val="TableGrid"/>
        <w:tblW w:w="0" w:type="auto"/>
        <w:tblLook w:val="04A0" w:firstRow="1" w:lastRow="0" w:firstColumn="1" w:lastColumn="0" w:noHBand="0" w:noVBand="1"/>
      </w:tblPr>
      <w:tblGrid>
        <w:gridCol w:w="3539"/>
        <w:gridCol w:w="2126"/>
        <w:gridCol w:w="1843"/>
        <w:gridCol w:w="1509"/>
      </w:tblGrid>
      <w:tr w:rsidR="006B42B0" w:rsidRPr="00A83DE1" w14:paraId="2ED1826B" w14:textId="77777777" w:rsidTr="003B1447">
        <w:tc>
          <w:tcPr>
            <w:tcW w:w="3539" w:type="dxa"/>
            <w:vAlign w:val="center"/>
          </w:tcPr>
          <w:p w14:paraId="20A98FDF" w14:textId="56CCEEDA" w:rsidR="006B42B0" w:rsidRPr="00A83DE1" w:rsidRDefault="006B42B0" w:rsidP="006B42B0">
            <w:pPr>
              <w:pStyle w:val="TableFigureHeading"/>
              <w:rPr>
                <w:rStyle w:val="CommentReference"/>
                <w:bCs w:val="0"/>
                <w:szCs w:val="24"/>
              </w:rPr>
            </w:pPr>
            <w:r w:rsidRPr="00A83DE1">
              <w:t>Adverse event</w:t>
            </w:r>
          </w:p>
        </w:tc>
        <w:tc>
          <w:tcPr>
            <w:tcW w:w="2126" w:type="dxa"/>
            <w:vAlign w:val="center"/>
          </w:tcPr>
          <w:p w14:paraId="0EF3FEA2" w14:textId="77777777" w:rsidR="006B42B0" w:rsidRPr="00A83DE1" w:rsidRDefault="006B42B0" w:rsidP="006B42B0">
            <w:pPr>
              <w:pStyle w:val="Tabletext8pt"/>
              <w:jc w:val="center"/>
              <w:rPr>
                <w:rFonts w:ascii="Arial Narrow" w:hAnsi="Arial Narrow"/>
                <w:b/>
                <w:bCs/>
                <w:sz w:val="20"/>
                <w:szCs w:val="20"/>
                <w:lang w:val="pt-BR"/>
              </w:rPr>
            </w:pPr>
            <w:r w:rsidRPr="00A83DE1">
              <w:rPr>
                <w:rFonts w:ascii="Arial Narrow" w:hAnsi="Arial Narrow"/>
                <w:b/>
                <w:bCs/>
                <w:sz w:val="20"/>
                <w:szCs w:val="20"/>
                <w:lang w:val="pt-BR"/>
              </w:rPr>
              <w:t>Toripalimab + Cis+Gem</w:t>
            </w:r>
          </w:p>
          <w:p w14:paraId="24012BDD" w14:textId="417C53BC" w:rsidR="006B42B0" w:rsidRPr="00A83DE1" w:rsidRDefault="006B42B0" w:rsidP="006B42B0">
            <w:pPr>
              <w:pStyle w:val="TableFigureHeading"/>
              <w:jc w:val="center"/>
              <w:rPr>
                <w:rStyle w:val="CommentReference"/>
                <w:bCs w:val="0"/>
                <w:szCs w:val="24"/>
              </w:rPr>
            </w:pPr>
            <w:r w:rsidRPr="00A83DE1">
              <w:rPr>
                <w:szCs w:val="20"/>
                <w:lang w:val="pt-BR"/>
              </w:rPr>
              <w:t>N=146</w:t>
            </w:r>
            <w:r w:rsidRPr="00A83DE1">
              <w:rPr>
                <w:b w:val="0"/>
                <w:bCs w:val="0"/>
                <w:szCs w:val="20"/>
                <w:lang w:val="pt-BR"/>
              </w:rPr>
              <w:t xml:space="preserve">; </w:t>
            </w:r>
            <w:r w:rsidRPr="00A83DE1">
              <w:rPr>
                <w:szCs w:val="20"/>
              </w:rPr>
              <w:t>n (%)</w:t>
            </w:r>
          </w:p>
        </w:tc>
        <w:tc>
          <w:tcPr>
            <w:tcW w:w="1843" w:type="dxa"/>
            <w:vAlign w:val="center"/>
          </w:tcPr>
          <w:p w14:paraId="59A526B1" w14:textId="77777777" w:rsidR="006B42B0" w:rsidRPr="00A83DE1" w:rsidRDefault="006B42B0" w:rsidP="006B42B0">
            <w:pPr>
              <w:pStyle w:val="Tabletext8pt"/>
              <w:jc w:val="center"/>
              <w:rPr>
                <w:rFonts w:ascii="Arial Narrow" w:hAnsi="Arial Narrow"/>
                <w:b/>
                <w:bCs/>
                <w:sz w:val="20"/>
                <w:szCs w:val="20"/>
                <w:lang w:val="pt-BR"/>
              </w:rPr>
            </w:pPr>
            <w:r w:rsidRPr="00A83DE1">
              <w:rPr>
                <w:rFonts w:ascii="Arial Narrow" w:hAnsi="Arial Narrow"/>
                <w:b/>
                <w:bCs/>
                <w:sz w:val="20"/>
                <w:szCs w:val="20"/>
                <w:lang w:val="pt-BR"/>
              </w:rPr>
              <w:t>Placebo + Cis+Gem</w:t>
            </w:r>
          </w:p>
          <w:p w14:paraId="5BFC8C8F" w14:textId="2FCA3483" w:rsidR="006B42B0" w:rsidRPr="00A83DE1" w:rsidRDefault="006B42B0" w:rsidP="006B42B0">
            <w:pPr>
              <w:pStyle w:val="TableFigureHeading"/>
              <w:jc w:val="center"/>
              <w:rPr>
                <w:rStyle w:val="CommentReference"/>
                <w:bCs w:val="0"/>
                <w:szCs w:val="24"/>
              </w:rPr>
            </w:pPr>
            <w:r w:rsidRPr="00A83DE1">
              <w:rPr>
                <w:szCs w:val="20"/>
                <w:lang w:val="pt-BR"/>
              </w:rPr>
              <w:t>N=143</w:t>
            </w:r>
            <w:r w:rsidRPr="00A83DE1">
              <w:rPr>
                <w:b w:val="0"/>
                <w:bCs w:val="0"/>
                <w:szCs w:val="20"/>
                <w:lang w:val="pt-BR"/>
              </w:rPr>
              <w:t xml:space="preserve">; </w:t>
            </w:r>
            <w:r w:rsidRPr="00A83DE1">
              <w:rPr>
                <w:szCs w:val="20"/>
              </w:rPr>
              <w:t>n (%)</w:t>
            </w:r>
          </w:p>
        </w:tc>
        <w:tc>
          <w:tcPr>
            <w:tcW w:w="1509" w:type="dxa"/>
            <w:vAlign w:val="center"/>
          </w:tcPr>
          <w:p w14:paraId="02A92A89" w14:textId="7B4D41C1" w:rsidR="006B42B0" w:rsidRPr="00A83DE1" w:rsidRDefault="006B42B0" w:rsidP="006B42B0">
            <w:pPr>
              <w:pStyle w:val="TableFigureHeading"/>
              <w:jc w:val="center"/>
              <w:rPr>
                <w:rStyle w:val="CommentReference"/>
                <w:bCs w:val="0"/>
                <w:iCs/>
                <w:szCs w:val="24"/>
              </w:rPr>
            </w:pPr>
            <w:r w:rsidRPr="00A83DE1">
              <w:rPr>
                <w:iCs/>
              </w:rPr>
              <w:t>RD (95% CI)</w:t>
            </w:r>
          </w:p>
        </w:tc>
      </w:tr>
      <w:tr w:rsidR="006B42B0" w:rsidRPr="00A83DE1" w14:paraId="252D6320" w14:textId="77777777" w:rsidTr="003B1447">
        <w:tc>
          <w:tcPr>
            <w:tcW w:w="3539" w:type="dxa"/>
            <w:vAlign w:val="bottom"/>
          </w:tcPr>
          <w:p w14:paraId="368502A3" w14:textId="57934DF0" w:rsidR="006B42B0" w:rsidRPr="00A83DE1" w:rsidRDefault="006B42B0" w:rsidP="006B42B0">
            <w:pPr>
              <w:pStyle w:val="TableFigureHeading"/>
              <w:rPr>
                <w:rStyle w:val="CommentReference"/>
                <w:b/>
                <w:bCs w:val="0"/>
                <w:szCs w:val="24"/>
              </w:rPr>
            </w:pPr>
            <w:r w:rsidRPr="00A83DE1">
              <w:rPr>
                <w:b w:val="0"/>
                <w:bCs w:val="0"/>
              </w:rPr>
              <w:t>Any TEAE</w:t>
            </w:r>
          </w:p>
        </w:tc>
        <w:tc>
          <w:tcPr>
            <w:tcW w:w="2126" w:type="dxa"/>
            <w:vAlign w:val="center"/>
          </w:tcPr>
          <w:p w14:paraId="27C307CD" w14:textId="4921CF92" w:rsidR="006B42B0" w:rsidRPr="00A83DE1" w:rsidRDefault="006B42B0" w:rsidP="006B42B0">
            <w:pPr>
              <w:pStyle w:val="TableFigureHeading"/>
              <w:jc w:val="center"/>
              <w:rPr>
                <w:rStyle w:val="CommentReference"/>
                <w:b/>
                <w:bCs w:val="0"/>
                <w:szCs w:val="24"/>
              </w:rPr>
            </w:pPr>
            <w:r w:rsidRPr="00A83DE1">
              <w:rPr>
                <w:b w:val="0"/>
                <w:bCs w:val="0"/>
              </w:rPr>
              <w:t>146 (100.0)</w:t>
            </w:r>
          </w:p>
        </w:tc>
        <w:tc>
          <w:tcPr>
            <w:tcW w:w="1843" w:type="dxa"/>
            <w:vAlign w:val="center"/>
          </w:tcPr>
          <w:p w14:paraId="000EFC1F" w14:textId="3124F6A5" w:rsidR="006B42B0" w:rsidRPr="00A83DE1" w:rsidRDefault="006B42B0" w:rsidP="006B42B0">
            <w:pPr>
              <w:pStyle w:val="TableFigureHeading"/>
              <w:jc w:val="center"/>
              <w:rPr>
                <w:rStyle w:val="CommentReference"/>
                <w:b/>
                <w:bCs w:val="0"/>
                <w:szCs w:val="24"/>
              </w:rPr>
            </w:pPr>
            <w:r w:rsidRPr="00A83DE1">
              <w:rPr>
                <w:b w:val="0"/>
                <w:bCs w:val="0"/>
              </w:rPr>
              <w:t>143 (100.0)</w:t>
            </w:r>
          </w:p>
        </w:tc>
        <w:tc>
          <w:tcPr>
            <w:tcW w:w="1509" w:type="dxa"/>
            <w:vAlign w:val="center"/>
          </w:tcPr>
          <w:p w14:paraId="59EAF106" w14:textId="7216F347" w:rsidR="006B42B0" w:rsidRPr="00A83DE1" w:rsidRDefault="006B42B0" w:rsidP="006B42B0">
            <w:pPr>
              <w:pStyle w:val="TableFigureHeading"/>
              <w:jc w:val="center"/>
              <w:rPr>
                <w:rStyle w:val="CommentReference"/>
                <w:b/>
                <w:bCs w:val="0"/>
                <w:iCs/>
                <w:szCs w:val="24"/>
              </w:rPr>
            </w:pPr>
            <w:r w:rsidRPr="00A83DE1">
              <w:rPr>
                <w:b w:val="0"/>
                <w:bCs w:val="0"/>
                <w:iCs/>
              </w:rPr>
              <w:t>0.0 (0.0, 0.0)</w:t>
            </w:r>
          </w:p>
        </w:tc>
      </w:tr>
      <w:tr w:rsidR="00491114" w:rsidRPr="00A83DE1" w14:paraId="6A0606A2" w14:textId="77777777" w:rsidTr="003B1447">
        <w:tc>
          <w:tcPr>
            <w:tcW w:w="3539" w:type="dxa"/>
          </w:tcPr>
          <w:p w14:paraId="6ACB6139" w14:textId="5A0E72CC" w:rsidR="00491114" w:rsidRPr="00A83DE1" w:rsidRDefault="00491114" w:rsidP="00491114">
            <w:pPr>
              <w:pStyle w:val="TableFigureHeading"/>
              <w:rPr>
                <w:b w:val="0"/>
                <w:bCs w:val="0"/>
              </w:rPr>
            </w:pPr>
            <w:r w:rsidRPr="00A83DE1">
              <w:rPr>
                <w:b w:val="0"/>
                <w:bCs w:val="0"/>
              </w:rPr>
              <w:t>Any TEAE leading to withdrawal of study drug</w:t>
            </w:r>
          </w:p>
        </w:tc>
        <w:tc>
          <w:tcPr>
            <w:tcW w:w="2126" w:type="dxa"/>
            <w:vAlign w:val="center"/>
          </w:tcPr>
          <w:p w14:paraId="175DB481" w14:textId="7756D5B8" w:rsidR="00491114" w:rsidRPr="00A83DE1" w:rsidRDefault="00491114" w:rsidP="00491114">
            <w:pPr>
              <w:pStyle w:val="TableFigureHeading"/>
              <w:jc w:val="center"/>
              <w:rPr>
                <w:b w:val="0"/>
                <w:bCs w:val="0"/>
              </w:rPr>
            </w:pPr>
            <w:r w:rsidRPr="00A83DE1">
              <w:rPr>
                <w:b w:val="0"/>
                <w:bCs w:val="0"/>
              </w:rPr>
              <w:t>17 (11.6)</w:t>
            </w:r>
          </w:p>
        </w:tc>
        <w:tc>
          <w:tcPr>
            <w:tcW w:w="1843" w:type="dxa"/>
            <w:vAlign w:val="center"/>
          </w:tcPr>
          <w:p w14:paraId="00E288D1" w14:textId="5951FD56" w:rsidR="00491114" w:rsidRPr="00A83DE1" w:rsidRDefault="00491114" w:rsidP="00491114">
            <w:pPr>
              <w:pStyle w:val="TableFigureHeading"/>
              <w:jc w:val="center"/>
              <w:rPr>
                <w:b w:val="0"/>
                <w:bCs w:val="0"/>
              </w:rPr>
            </w:pPr>
            <w:r w:rsidRPr="00A83DE1">
              <w:rPr>
                <w:b w:val="0"/>
                <w:bCs w:val="0"/>
              </w:rPr>
              <w:t>7 (4.9)</w:t>
            </w:r>
          </w:p>
        </w:tc>
        <w:tc>
          <w:tcPr>
            <w:tcW w:w="1509" w:type="dxa"/>
            <w:vAlign w:val="center"/>
          </w:tcPr>
          <w:p w14:paraId="0DA76623" w14:textId="3970B212" w:rsidR="00491114" w:rsidRPr="00A83DE1" w:rsidRDefault="00491114" w:rsidP="00491114">
            <w:pPr>
              <w:pStyle w:val="TableFigureHeading"/>
              <w:jc w:val="center"/>
              <w:rPr>
                <w:b w:val="0"/>
                <w:bCs w:val="0"/>
                <w:iCs/>
              </w:rPr>
            </w:pPr>
            <w:r w:rsidRPr="00A83DE1">
              <w:rPr>
                <w:b w:val="0"/>
                <w:bCs w:val="0"/>
                <w:iCs/>
              </w:rPr>
              <w:t>6.7 (0.5, 13.0)</w:t>
            </w:r>
          </w:p>
        </w:tc>
      </w:tr>
      <w:tr w:rsidR="00491114" w:rsidRPr="00A83DE1" w14:paraId="550728FE" w14:textId="77777777" w:rsidTr="003B1447">
        <w:tc>
          <w:tcPr>
            <w:tcW w:w="3539" w:type="dxa"/>
          </w:tcPr>
          <w:p w14:paraId="0981935D" w14:textId="336C309C" w:rsidR="00491114" w:rsidRPr="00A83DE1" w:rsidRDefault="00491114" w:rsidP="00491114">
            <w:pPr>
              <w:pStyle w:val="TableFigureHeading"/>
              <w:rPr>
                <w:b w:val="0"/>
                <w:bCs w:val="0"/>
              </w:rPr>
            </w:pPr>
            <w:r w:rsidRPr="00A83DE1">
              <w:rPr>
                <w:b w:val="0"/>
                <w:bCs w:val="0"/>
              </w:rPr>
              <w:t>Any TEAE leading to withdrawal of study drug, SAE</w:t>
            </w:r>
          </w:p>
        </w:tc>
        <w:tc>
          <w:tcPr>
            <w:tcW w:w="2126" w:type="dxa"/>
            <w:vAlign w:val="center"/>
          </w:tcPr>
          <w:p w14:paraId="4AFF1CC5" w14:textId="5891A2DE" w:rsidR="00491114" w:rsidRPr="00A83DE1" w:rsidRDefault="00491114" w:rsidP="00491114">
            <w:pPr>
              <w:pStyle w:val="TableFigureHeading"/>
              <w:jc w:val="center"/>
              <w:rPr>
                <w:b w:val="0"/>
                <w:bCs w:val="0"/>
              </w:rPr>
            </w:pPr>
            <w:r w:rsidRPr="00A83DE1">
              <w:rPr>
                <w:b w:val="0"/>
                <w:bCs w:val="0"/>
              </w:rPr>
              <w:t>14 (9.6)</w:t>
            </w:r>
          </w:p>
        </w:tc>
        <w:tc>
          <w:tcPr>
            <w:tcW w:w="1843" w:type="dxa"/>
            <w:vAlign w:val="center"/>
          </w:tcPr>
          <w:p w14:paraId="37FF7E12" w14:textId="66220273" w:rsidR="00491114" w:rsidRPr="00A83DE1" w:rsidRDefault="00491114" w:rsidP="00491114">
            <w:pPr>
              <w:pStyle w:val="TableFigureHeading"/>
              <w:jc w:val="center"/>
              <w:rPr>
                <w:b w:val="0"/>
                <w:bCs w:val="0"/>
              </w:rPr>
            </w:pPr>
            <w:r w:rsidRPr="00A83DE1">
              <w:rPr>
                <w:b w:val="0"/>
                <w:bCs w:val="0"/>
              </w:rPr>
              <w:t>5 (3.5)</w:t>
            </w:r>
          </w:p>
        </w:tc>
        <w:tc>
          <w:tcPr>
            <w:tcW w:w="1509" w:type="dxa"/>
            <w:vAlign w:val="center"/>
          </w:tcPr>
          <w:p w14:paraId="5F943D79" w14:textId="41C4F3E2" w:rsidR="00491114" w:rsidRPr="00A83DE1" w:rsidRDefault="00491114" w:rsidP="00491114">
            <w:pPr>
              <w:pStyle w:val="TableFigureHeading"/>
              <w:jc w:val="center"/>
              <w:rPr>
                <w:b w:val="0"/>
                <w:bCs w:val="0"/>
                <w:iCs/>
              </w:rPr>
            </w:pPr>
            <w:r w:rsidRPr="00A83DE1">
              <w:rPr>
                <w:b w:val="0"/>
                <w:bCs w:val="0"/>
                <w:iCs/>
              </w:rPr>
              <w:t>6.1 (0.4, 11.7)</w:t>
            </w:r>
          </w:p>
        </w:tc>
      </w:tr>
      <w:tr w:rsidR="00491114" w:rsidRPr="00A83DE1" w14:paraId="4F722531" w14:textId="77777777" w:rsidTr="003B1447">
        <w:tc>
          <w:tcPr>
            <w:tcW w:w="3539" w:type="dxa"/>
          </w:tcPr>
          <w:p w14:paraId="594091F9" w14:textId="757FD4BD" w:rsidR="00491114" w:rsidRPr="00A83DE1" w:rsidRDefault="00491114" w:rsidP="00491114">
            <w:pPr>
              <w:pStyle w:val="TableFigureHeading"/>
              <w:rPr>
                <w:rStyle w:val="CommentReference"/>
                <w:b/>
                <w:bCs w:val="0"/>
                <w:szCs w:val="24"/>
              </w:rPr>
            </w:pPr>
            <w:r w:rsidRPr="00A83DE1">
              <w:rPr>
                <w:b w:val="0"/>
                <w:bCs w:val="0"/>
              </w:rPr>
              <w:t xml:space="preserve">TEAE, Grade ≥3 </w:t>
            </w:r>
          </w:p>
        </w:tc>
        <w:tc>
          <w:tcPr>
            <w:tcW w:w="2126" w:type="dxa"/>
            <w:vAlign w:val="center"/>
          </w:tcPr>
          <w:p w14:paraId="1D2CE503" w14:textId="441150DE" w:rsidR="00491114" w:rsidRPr="00A83DE1" w:rsidRDefault="00491114" w:rsidP="00491114">
            <w:pPr>
              <w:pStyle w:val="TableFigureHeading"/>
              <w:jc w:val="center"/>
              <w:rPr>
                <w:rStyle w:val="CommentReference"/>
                <w:b/>
                <w:bCs w:val="0"/>
                <w:szCs w:val="24"/>
              </w:rPr>
            </w:pPr>
            <w:r w:rsidRPr="00A83DE1">
              <w:rPr>
                <w:b w:val="0"/>
                <w:bCs w:val="0"/>
              </w:rPr>
              <w:t>131 (89.7)</w:t>
            </w:r>
          </w:p>
        </w:tc>
        <w:tc>
          <w:tcPr>
            <w:tcW w:w="1843" w:type="dxa"/>
            <w:vAlign w:val="center"/>
          </w:tcPr>
          <w:p w14:paraId="5E5A589D" w14:textId="67583860" w:rsidR="00491114" w:rsidRPr="00A83DE1" w:rsidRDefault="00491114" w:rsidP="00491114">
            <w:pPr>
              <w:pStyle w:val="TableFigureHeading"/>
              <w:jc w:val="center"/>
              <w:rPr>
                <w:rStyle w:val="CommentReference"/>
                <w:b/>
                <w:bCs w:val="0"/>
                <w:szCs w:val="24"/>
              </w:rPr>
            </w:pPr>
            <w:r w:rsidRPr="00A83DE1">
              <w:rPr>
                <w:b w:val="0"/>
                <w:bCs w:val="0"/>
              </w:rPr>
              <w:t>129 (90.2)</w:t>
            </w:r>
          </w:p>
        </w:tc>
        <w:tc>
          <w:tcPr>
            <w:tcW w:w="1509" w:type="dxa"/>
            <w:vAlign w:val="center"/>
          </w:tcPr>
          <w:p w14:paraId="4B066589" w14:textId="3E77B203" w:rsidR="00491114" w:rsidRPr="00A83DE1" w:rsidRDefault="00491114" w:rsidP="00491114">
            <w:pPr>
              <w:pStyle w:val="TableFigureHeading"/>
              <w:jc w:val="center"/>
              <w:rPr>
                <w:rStyle w:val="CommentReference"/>
                <w:b/>
                <w:bCs w:val="0"/>
                <w:iCs/>
                <w:szCs w:val="24"/>
              </w:rPr>
            </w:pPr>
            <w:r w:rsidRPr="00A83DE1">
              <w:rPr>
                <w:b w:val="0"/>
                <w:bCs w:val="0"/>
                <w:iCs/>
              </w:rPr>
              <w:t>-0.5 (-7.4, 6.4)</w:t>
            </w:r>
          </w:p>
        </w:tc>
      </w:tr>
      <w:tr w:rsidR="00491114" w:rsidRPr="00A83DE1" w14:paraId="14BA903A" w14:textId="77777777" w:rsidTr="003B1447">
        <w:tc>
          <w:tcPr>
            <w:tcW w:w="3539" w:type="dxa"/>
          </w:tcPr>
          <w:p w14:paraId="69099C45" w14:textId="10F4EF97" w:rsidR="00491114" w:rsidRPr="00A83DE1" w:rsidRDefault="00491114" w:rsidP="00491114">
            <w:pPr>
              <w:pStyle w:val="TableFigureHeading"/>
              <w:rPr>
                <w:rStyle w:val="CommentReference"/>
                <w:b/>
                <w:bCs w:val="0"/>
                <w:szCs w:val="24"/>
              </w:rPr>
            </w:pPr>
            <w:r w:rsidRPr="00A83DE1">
              <w:rPr>
                <w:b w:val="0"/>
                <w:bCs w:val="0"/>
              </w:rPr>
              <w:t xml:space="preserve">TEAE, Any irAE </w:t>
            </w:r>
          </w:p>
        </w:tc>
        <w:tc>
          <w:tcPr>
            <w:tcW w:w="2126" w:type="dxa"/>
            <w:vAlign w:val="center"/>
          </w:tcPr>
          <w:p w14:paraId="30BCEA3E" w14:textId="1F9826CF" w:rsidR="00491114" w:rsidRPr="00A83DE1" w:rsidRDefault="00491114" w:rsidP="00491114">
            <w:pPr>
              <w:pStyle w:val="TableFigureHeading"/>
              <w:jc w:val="center"/>
              <w:rPr>
                <w:rStyle w:val="CommentReference"/>
                <w:b/>
                <w:bCs w:val="0"/>
                <w:szCs w:val="24"/>
              </w:rPr>
            </w:pPr>
            <w:r w:rsidRPr="00A83DE1">
              <w:rPr>
                <w:b w:val="0"/>
                <w:bCs w:val="0"/>
              </w:rPr>
              <w:t>79 (54.1)</w:t>
            </w:r>
          </w:p>
        </w:tc>
        <w:tc>
          <w:tcPr>
            <w:tcW w:w="1843" w:type="dxa"/>
            <w:vAlign w:val="center"/>
          </w:tcPr>
          <w:p w14:paraId="5A732AEF" w14:textId="2B159A75" w:rsidR="00491114" w:rsidRPr="00A83DE1" w:rsidRDefault="00491114" w:rsidP="00491114">
            <w:pPr>
              <w:pStyle w:val="TableFigureHeading"/>
              <w:jc w:val="center"/>
              <w:rPr>
                <w:rStyle w:val="CommentReference"/>
                <w:b/>
                <w:bCs w:val="0"/>
                <w:szCs w:val="24"/>
              </w:rPr>
            </w:pPr>
            <w:r w:rsidRPr="00A83DE1">
              <w:rPr>
                <w:b w:val="0"/>
                <w:bCs w:val="0"/>
              </w:rPr>
              <w:t>31 (21.7)</w:t>
            </w:r>
          </w:p>
        </w:tc>
        <w:tc>
          <w:tcPr>
            <w:tcW w:w="1509" w:type="dxa"/>
            <w:vAlign w:val="center"/>
          </w:tcPr>
          <w:p w14:paraId="0F42E792" w14:textId="76D34A60" w:rsidR="00491114" w:rsidRPr="00A83DE1" w:rsidRDefault="00491114" w:rsidP="00491114">
            <w:pPr>
              <w:pStyle w:val="TableFigureHeading"/>
              <w:jc w:val="center"/>
              <w:rPr>
                <w:rStyle w:val="CommentReference"/>
                <w:b/>
                <w:bCs w:val="0"/>
                <w:iCs/>
                <w:szCs w:val="24"/>
              </w:rPr>
            </w:pPr>
            <w:r w:rsidRPr="00A83DE1">
              <w:rPr>
                <w:b w:val="0"/>
                <w:bCs w:val="0"/>
                <w:iCs/>
              </w:rPr>
              <w:t>32.4 (21.9, 43.0)</w:t>
            </w:r>
          </w:p>
        </w:tc>
      </w:tr>
      <w:tr w:rsidR="00491114" w:rsidRPr="00A83DE1" w14:paraId="44753A58" w14:textId="77777777" w:rsidTr="003B1447">
        <w:tc>
          <w:tcPr>
            <w:tcW w:w="3539" w:type="dxa"/>
          </w:tcPr>
          <w:p w14:paraId="543BBFC9" w14:textId="22D936D8" w:rsidR="00491114" w:rsidRPr="00A83DE1" w:rsidRDefault="00491114" w:rsidP="00491114">
            <w:pPr>
              <w:pStyle w:val="TableFigureHeading"/>
              <w:rPr>
                <w:rStyle w:val="CommentReference"/>
                <w:b/>
                <w:bCs w:val="0"/>
                <w:szCs w:val="24"/>
              </w:rPr>
            </w:pPr>
            <w:r w:rsidRPr="00A83DE1">
              <w:rPr>
                <w:b w:val="0"/>
                <w:bCs w:val="0"/>
              </w:rPr>
              <w:t>TEAE, Any irAE with Grade ≥3</w:t>
            </w:r>
          </w:p>
        </w:tc>
        <w:tc>
          <w:tcPr>
            <w:tcW w:w="2126" w:type="dxa"/>
            <w:vAlign w:val="center"/>
          </w:tcPr>
          <w:p w14:paraId="13395D23" w14:textId="0219BA97" w:rsidR="00491114" w:rsidRPr="00A83DE1" w:rsidRDefault="00491114" w:rsidP="00491114">
            <w:pPr>
              <w:pStyle w:val="TableFigureHeading"/>
              <w:jc w:val="center"/>
              <w:rPr>
                <w:rStyle w:val="CommentReference"/>
                <w:b/>
                <w:bCs w:val="0"/>
                <w:szCs w:val="24"/>
              </w:rPr>
            </w:pPr>
            <w:r w:rsidRPr="00A83DE1">
              <w:rPr>
                <w:b w:val="0"/>
                <w:bCs w:val="0"/>
              </w:rPr>
              <w:t>14 (9.6)</w:t>
            </w:r>
          </w:p>
        </w:tc>
        <w:tc>
          <w:tcPr>
            <w:tcW w:w="1843" w:type="dxa"/>
            <w:vAlign w:val="center"/>
          </w:tcPr>
          <w:p w14:paraId="1AB6B666" w14:textId="3017D639" w:rsidR="00491114" w:rsidRPr="00A83DE1" w:rsidRDefault="00491114" w:rsidP="00491114">
            <w:pPr>
              <w:pStyle w:val="TableFigureHeading"/>
              <w:jc w:val="center"/>
              <w:rPr>
                <w:rStyle w:val="CommentReference"/>
                <w:b/>
                <w:bCs w:val="0"/>
                <w:szCs w:val="24"/>
              </w:rPr>
            </w:pPr>
            <w:r w:rsidRPr="00A83DE1">
              <w:rPr>
                <w:b w:val="0"/>
                <w:bCs w:val="0"/>
              </w:rPr>
              <w:t>2 (1.4)</w:t>
            </w:r>
          </w:p>
        </w:tc>
        <w:tc>
          <w:tcPr>
            <w:tcW w:w="1509" w:type="dxa"/>
            <w:vAlign w:val="center"/>
          </w:tcPr>
          <w:p w14:paraId="6E8020BF" w14:textId="1D82185C" w:rsidR="00491114" w:rsidRPr="00A83DE1" w:rsidRDefault="00491114" w:rsidP="00491114">
            <w:pPr>
              <w:pStyle w:val="TableFigureHeading"/>
              <w:jc w:val="center"/>
              <w:rPr>
                <w:rStyle w:val="CommentReference"/>
                <w:b/>
                <w:bCs w:val="0"/>
                <w:iCs/>
                <w:szCs w:val="24"/>
              </w:rPr>
            </w:pPr>
            <w:r w:rsidRPr="00A83DE1">
              <w:rPr>
                <w:b w:val="0"/>
                <w:bCs w:val="0"/>
                <w:iCs/>
              </w:rPr>
              <w:t>8.2 (3.0, 13.3)</w:t>
            </w:r>
          </w:p>
        </w:tc>
      </w:tr>
      <w:tr w:rsidR="00491114" w:rsidRPr="00A83DE1" w14:paraId="22E743B8" w14:textId="77777777" w:rsidTr="003B1447">
        <w:tc>
          <w:tcPr>
            <w:tcW w:w="3539" w:type="dxa"/>
          </w:tcPr>
          <w:p w14:paraId="604C1EA7" w14:textId="22ED4F20" w:rsidR="00491114" w:rsidRPr="00A83DE1" w:rsidRDefault="00491114" w:rsidP="00491114">
            <w:pPr>
              <w:pStyle w:val="TableFigureHeading"/>
              <w:rPr>
                <w:rStyle w:val="CommentReference"/>
                <w:b/>
                <w:bCs w:val="0"/>
                <w:szCs w:val="24"/>
              </w:rPr>
            </w:pPr>
            <w:r w:rsidRPr="00A83DE1">
              <w:rPr>
                <w:b w:val="0"/>
                <w:bCs w:val="0"/>
              </w:rPr>
              <w:t>Any SAE</w:t>
            </w:r>
          </w:p>
        </w:tc>
        <w:tc>
          <w:tcPr>
            <w:tcW w:w="2126" w:type="dxa"/>
            <w:vAlign w:val="center"/>
          </w:tcPr>
          <w:p w14:paraId="6340E0F4" w14:textId="05013FF7" w:rsidR="00491114" w:rsidRPr="00A83DE1" w:rsidRDefault="00491114" w:rsidP="00491114">
            <w:pPr>
              <w:pStyle w:val="TableFigureHeading"/>
              <w:jc w:val="center"/>
              <w:rPr>
                <w:rStyle w:val="CommentReference"/>
                <w:b/>
                <w:bCs w:val="0"/>
                <w:szCs w:val="24"/>
              </w:rPr>
            </w:pPr>
            <w:r w:rsidRPr="00A83DE1">
              <w:rPr>
                <w:b w:val="0"/>
                <w:bCs w:val="0"/>
              </w:rPr>
              <w:t>64 (43.8)</w:t>
            </w:r>
          </w:p>
        </w:tc>
        <w:tc>
          <w:tcPr>
            <w:tcW w:w="1843" w:type="dxa"/>
            <w:vAlign w:val="center"/>
          </w:tcPr>
          <w:p w14:paraId="4B02ED3F" w14:textId="1BFFA932" w:rsidR="00491114" w:rsidRPr="00A83DE1" w:rsidRDefault="00491114" w:rsidP="00491114">
            <w:pPr>
              <w:pStyle w:val="TableFigureHeading"/>
              <w:jc w:val="center"/>
              <w:rPr>
                <w:rStyle w:val="CommentReference"/>
                <w:b/>
                <w:bCs w:val="0"/>
                <w:szCs w:val="24"/>
              </w:rPr>
            </w:pPr>
            <w:r w:rsidRPr="00A83DE1">
              <w:rPr>
                <w:b w:val="0"/>
                <w:bCs w:val="0"/>
              </w:rPr>
              <w:t>62 (43.4)</w:t>
            </w:r>
          </w:p>
        </w:tc>
        <w:tc>
          <w:tcPr>
            <w:tcW w:w="1509" w:type="dxa"/>
            <w:vAlign w:val="center"/>
          </w:tcPr>
          <w:p w14:paraId="4A546659" w14:textId="3A0A9B10" w:rsidR="00491114" w:rsidRPr="00A83DE1" w:rsidRDefault="00491114" w:rsidP="00491114">
            <w:pPr>
              <w:pStyle w:val="TableFigureHeading"/>
              <w:jc w:val="center"/>
              <w:rPr>
                <w:rStyle w:val="CommentReference"/>
                <w:b/>
                <w:bCs w:val="0"/>
                <w:iCs/>
                <w:szCs w:val="24"/>
              </w:rPr>
            </w:pPr>
            <w:r w:rsidRPr="00A83DE1">
              <w:rPr>
                <w:b w:val="0"/>
                <w:bCs w:val="0"/>
                <w:iCs/>
              </w:rPr>
              <w:t>0.5 (-11.0, 11.9)</w:t>
            </w:r>
          </w:p>
        </w:tc>
      </w:tr>
      <w:tr w:rsidR="00491114" w:rsidRPr="00A83DE1" w14:paraId="5A902AE4" w14:textId="77777777" w:rsidTr="003B1447">
        <w:tc>
          <w:tcPr>
            <w:tcW w:w="3539" w:type="dxa"/>
          </w:tcPr>
          <w:p w14:paraId="1D1DA617" w14:textId="43EB7B9F" w:rsidR="00491114" w:rsidRPr="00A83DE1" w:rsidRDefault="00491114" w:rsidP="00491114">
            <w:pPr>
              <w:pStyle w:val="TableFigureHeading"/>
              <w:rPr>
                <w:rStyle w:val="CommentReference"/>
                <w:b/>
                <w:bCs w:val="0"/>
                <w:szCs w:val="24"/>
              </w:rPr>
            </w:pPr>
            <w:r w:rsidRPr="00A83DE1">
              <w:rPr>
                <w:b w:val="0"/>
                <w:bCs w:val="0"/>
              </w:rPr>
              <w:t xml:space="preserve">Any SAE which is life-threatening </w:t>
            </w:r>
          </w:p>
        </w:tc>
        <w:tc>
          <w:tcPr>
            <w:tcW w:w="2126" w:type="dxa"/>
            <w:vAlign w:val="center"/>
          </w:tcPr>
          <w:p w14:paraId="15797555" w14:textId="3BF24F30" w:rsidR="00491114" w:rsidRPr="00A83DE1" w:rsidRDefault="00491114" w:rsidP="00491114">
            <w:pPr>
              <w:pStyle w:val="TableFigureHeading"/>
              <w:jc w:val="center"/>
              <w:rPr>
                <w:rStyle w:val="CommentReference"/>
                <w:b/>
                <w:bCs w:val="0"/>
                <w:szCs w:val="24"/>
              </w:rPr>
            </w:pPr>
            <w:r w:rsidRPr="00A83DE1">
              <w:rPr>
                <w:b w:val="0"/>
                <w:bCs w:val="0"/>
              </w:rPr>
              <w:t>5 (3.4)</w:t>
            </w:r>
          </w:p>
        </w:tc>
        <w:tc>
          <w:tcPr>
            <w:tcW w:w="1843" w:type="dxa"/>
            <w:vAlign w:val="center"/>
          </w:tcPr>
          <w:p w14:paraId="6F970176" w14:textId="59D4C8C4" w:rsidR="00491114" w:rsidRPr="00A83DE1" w:rsidRDefault="00491114" w:rsidP="00491114">
            <w:pPr>
              <w:pStyle w:val="TableFigureHeading"/>
              <w:jc w:val="center"/>
              <w:rPr>
                <w:rStyle w:val="CommentReference"/>
                <w:b/>
                <w:bCs w:val="0"/>
                <w:szCs w:val="24"/>
              </w:rPr>
            </w:pPr>
            <w:r w:rsidRPr="00A83DE1">
              <w:rPr>
                <w:b w:val="0"/>
                <w:bCs w:val="0"/>
              </w:rPr>
              <w:t>6 (4.2)</w:t>
            </w:r>
          </w:p>
        </w:tc>
        <w:tc>
          <w:tcPr>
            <w:tcW w:w="1509" w:type="dxa"/>
            <w:vAlign w:val="center"/>
          </w:tcPr>
          <w:p w14:paraId="0F2005EE" w14:textId="5326E95C" w:rsidR="00491114" w:rsidRPr="00A83DE1" w:rsidRDefault="00491114" w:rsidP="00491114">
            <w:pPr>
              <w:pStyle w:val="TableFigureHeading"/>
              <w:jc w:val="center"/>
              <w:rPr>
                <w:rStyle w:val="CommentReference"/>
                <w:b/>
                <w:bCs w:val="0"/>
                <w:iCs/>
                <w:szCs w:val="24"/>
              </w:rPr>
            </w:pPr>
            <w:r w:rsidRPr="00A83DE1">
              <w:rPr>
                <w:b w:val="0"/>
                <w:bCs w:val="0"/>
                <w:iCs/>
              </w:rPr>
              <w:t>-0.8 (-5.2, 3.6)</w:t>
            </w:r>
          </w:p>
        </w:tc>
      </w:tr>
      <w:tr w:rsidR="00491114" w:rsidRPr="00A83DE1" w14:paraId="28DD8C52" w14:textId="77777777" w:rsidTr="003B1447">
        <w:tc>
          <w:tcPr>
            <w:tcW w:w="3539" w:type="dxa"/>
          </w:tcPr>
          <w:p w14:paraId="67CA45D7" w14:textId="16D34651" w:rsidR="00491114" w:rsidRPr="00A83DE1" w:rsidRDefault="00491114" w:rsidP="00491114">
            <w:pPr>
              <w:pStyle w:val="TableFigureHeading"/>
              <w:rPr>
                <w:rStyle w:val="CommentReference"/>
                <w:b/>
                <w:bCs w:val="0"/>
                <w:szCs w:val="24"/>
              </w:rPr>
            </w:pPr>
            <w:r w:rsidRPr="00A83DE1">
              <w:rPr>
                <w:b w:val="0"/>
                <w:bCs w:val="0"/>
              </w:rPr>
              <w:t>Any study drug related SAE</w:t>
            </w:r>
          </w:p>
        </w:tc>
        <w:tc>
          <w:tcPr>
            <w:tcW w:w="2126" w:type="dxa"/>
            <w:vAlign w:val="center"/>
          </w:tcPr>
          <w:p w14:paraId="55E64137" w14:textId="423D4760" w:rsidR="00491114" w:rsidRPr="00A83DE1" w:rsidRDefault="00491114" w:rsidP="00491114">
            <w:pPr>
              <w:pStyle w:val="TableFigureHeading"/>
              <w:jc w:val="center"/>
              <w:rPr>
                <w:rStyle w:val="CommentReference"/>
                <w:b/>
                <w:bCs w:val="0"/>
                <w:szCs w:val="24"/>
              </w:rPr>
            </w:pPr>
            <w:r w:rsidRPr="00A83DE1">
              <w:rPr>
                <w:b w:val="0"/>
                <w:bCs w:val="0"/>
              </w:rPr>
              <w:t>56 (38.4)</w:t>
            </w:r>
          </w:p>
        </w:tc>
        <w:tc>
          <w:tcPr>
            <w:tcW w:w="1843" w:type="dxa"/>
            <w:vAlign w:val="center"/>
          </w:tcPr>
          <w:p w14:paraId="7D60BB56" w14:textId="43E7FF52" w:rsidR="00491114" w:rsidRPr="00A83DE1" w:rsidRDefault="00491114" w:rsidP="00491114">
            <w:pPr>
              <w:pStyle w:val="TableFigureHeading"/>
              <w:jc w:val="center"/>
              <w:rPr>
                <w:rStyle w:val="CommentReference"/>
                <w:b/>
                <w:bCs w:val="0"/>
                <w:szCs w:val="24"/>
              </w:rPr>
            </w:pPr>
            <w:r w:rsidRPr="00A83DE1">
              <w:rPr>
                <w:b w:val="0"/>
                <w:bCs w:val="0"/>
              </w:rPr>
              <w:t>52 (36.4)</w:t>
            </w:r>
          </w:p>
        </w:tc>
        <w:tc>
          <w:tcPr>
            <w:tcW w:w="1509" w:type="dxa"/>
            <w:vAlign w:val="center"/>
          </w:tcPr>
          <w:p w14:paraId="02FFC2B7" w14:textId="363AD7A3" w:rsidR="00491114" w:rsidRPr="00A83DE1" w:rsidRDefault="00491114" w:rsidP="00491114">
            <w:pPr>
              <w:pStyle w:val="TableFigureHeading"/>
              <w:jc w:val="center"/>
              <w:rPr>
                <w:rStyle w:val="CommentReference"/>
                <w:b/>
                <w:bCs w:val="0"/>
                <w:iCs/>
                <w:szCs w:val="24"/>
              </w:rPr>
            </w:pPr>
            <w:r w:rsidRPr="00A83DE1">
              <w:rPr>
                <w:b w:val="0"/>
                <w:bCs w:val="0"/>
                <w:iCs/>
              </w:rPr>
              <w:t>2.0 (-9.2, 13.1)</w:t>
            </w:r>
          </w:p>
        </w:tc>
      </w:tr>
      <w:tr w:rsidR="00491114" w14:paraId="60FA70BC" w14:textId="77777777" w:rsidTr="00491114">
        <w:tc>
          <w:tcPr>
            <w:tcW w:w="9017" w:type="dxa"/>
            <w:gridSpan w:val="4"/>
          </w:tcPr>
          <w:p w14:paraId="76457084" w14:textId="790CF96E" w:rsidR="00491114" w:rsidRPr="006B42B0" w:rsidRDefault="00491114" w:rsidP="00491114">
            <w:pPr>
              <w:pStyle w:val="TableFigureHeading"/>
              <w:rPr>
                <w:rStyle w:val="CommentReference"/>
                <w:bCs w:val="0"/>
                <w:i/>
                <w:iCs/>
                <w:szCs w:val="24"/>
              </w:rPr>
            </w:pPr>
            <w:r w:rsidRPr="006B42B0">
              <w:rPr>
                <w:b w:val="0"/>
                <w:bCs w:val="0"/>
              </w:rPr>
              <w:t>Specific SAEs</w:t>
            </w:r>
          </w:p>
        </w:tc>
      </w:tr>
      <w:tr w:rsidR="00491114" w:rsidRPr="00A83DE1" w14:paraId="6C912A98" w14:textId="77777777" w:rsidTr="003B1447">
        <w:tc>
          <w:tcPr>
            <w:tcW w:w="3539" w:type="dxa"/>
          </w:tcPr>
          <w:p w14:paraId="02C3D503" w14:textId="71E48553" w:rsidR="00491114" w:rsidRPr="00A83DE1" w:rsidRDefault="00491114" w:rsidP="00491114">
            <w:pPr>
              <w:pStyle w:val="TableFigureHeading"/>
              <w:rPr>
                <w:rStyle w:val="CommentReference"/>
                <w:b/>
                <w:bCs w:val="0"/>
                <w:szCs w:val="24"/>
              </w:rPr>
            </w:pPr>
            <w:r w:rsidRPr="00A83DE1">
              <w:rPr>
                <w:b w:val="0"/>
                <w:bCs w:val="0"/>
              </w:rPr>
              <w:t>Neutropenia</w:t>
            </w:r>
          </w:p>
        </w:tc>
        <w:tc>
          <w:tcPr>
            <w:tcW w:w="2126" w:type="dxa"/>
            <w:vAlign w:val="center"/>
          </w:tcPr>
          <w:p w14:paraId="2DCF791B" w14:textId="66DBB3B7" w:rsidR="00491114" w:rsidRPr="00A83DE1" w:rsidRDefault="00491114" w:rsidP="00491114">
            <w:pPr>
              <w:pStyle w:val="TableFigureHeading"/>
              <w:jc w:val="center"/>
              <w:rPr>
                <w:rStyle w:val="CommentReference"/>
                <w:b/>
                <w:bCs w:val="0"/>
                <w:szCs w:val="24"/>
              </w:rPr>
            </w:pPr>
            <w:r w:rsidRPr="00A83DE1">
              <w:rPr>
                <w:b w:val="0"/>
                <w:bCs w:val="0"/>
              </w:rPr>
              <w:t>15 (10.3)</w:t>
            </w:r>
          </w:p>
        </w:tc>
        <w:tc>
          <w:tcPr>
            <w:tcW w:w="1843" w:type="dxa"/>
            <w:vAlign w:val="center"/>
          </w:tcPr>
          <w:p w14:paraId="0B65D050" w14:textId="158A6958" w:rsidR="00491114" w:rsidRPr="00A83DE1" w:rsidRDefault="00491114" w:rsidP="00491114">
            <w:pPr>
              <w:pStyle w:val="TableFigureHeading"/>
              <w:jc w:val="center"/>
              <w:rPr>
                <w:rStyle w:val="CommentReference"/>
                <w:b/>
                <w:bCs w:val="0"/>
                <w:szCs w:val="24"/>
              </w:rPr>
            </w:pPr>
            <w:r w:rsidRPr="00A83DE1">
              <w:rPr>
                <w:b w:val="0"/>
                <w:bCs w:val="0"/>
              </w:rPr>
              <w:t>9 (6.3)</w:t>
            </w:r>
          </w:p>
        </w:tc>
        <w:tc>
          <w:tcPr>
            <w:tcW w:w="1509" w:type="dxa"/>
            <w:vAlign w:val="center"/>
          </w:tcPr>
          <w:p w14:paraId="5BF54CD3" w14:textId="79F82417" w:rsidR="00491114" w:rsidRPr="00A83DE1" w:rsidRDefault="00491114" w:rsidP="00491114">
            <w:pPr>
              <w:pStyle w:val="TableFigureHeading"/>
              <w:jc w:val="center"/>
              <w:rPr>
                <w:rStyle w:val="CommentReference"/>
                <w:b/>
                <w:bCs w:val="0"/>
                <w:iCs/>
                <w:szCs w:val="24"/>
              </w:rPr>
            </w:pPr>
            <w:r w:rsidRPr="00A83DE1">
              <w:rPr>
                <w:b w:val="0"/>
                <w:bCs w:val="0"/>
                <w:iCs/>
              </w:rPr>
              <w:t>4.0 (-2.4, 10.3)</w:t>
            </w:r>
          </w:p>
        </w:tc>
      </w:tr>
      <w:tr w:rsidR="00491114" w:rsidRPr="00A83DE1" w14:paraId="477FF642" w14:textId="77777777" w:rsidTr="003B1447">
        <w:tc>
          <w:tcPr>
            <w:tcW w:w="3539" w:type="dxa"/>
          </w:tcPr>
          <w:p w14:paraId="181BF14C" w14:textId="3F8D7F5D" w:rsidR="00491114" w:rsidRPr="00A83DE1" w:rsidRDefault="00491114" w:rsidP="00491114">
            <w:pPr>
              <w:pStyle w:val="TableFigureHeading"/>
              <w:rPr>
                <w:rStyle w:val="CommentReference"/>
                <w:b/>
                <w:bCs w:val="0"/>
                <w:szCs w:val="24"/>
              </w:rPr>
            </w:pPr>
            <w:r w:rsidRPr="00A83DE1">
              <w:rPr>
                <w:b w:val="0"/>
                <w:bCs w:val="0"/>
              </w:rPr>
              <w:t xml:space="preserve">Bone marrow failure </w:t>
            </w:r>
          </w:p>
        </w:tc>
        <w:tc>
          <w:tcPr>
            <w:tcW w:w="2126" w:type="dxa"/>
            <w:vAlign w:val="center"/>
          </w:tcPr>
          <w:p w14:paraId="0304AFA1" w14:textId="325BFA1D" w:rsidR="00491114" w:rsidRPr="00A83DE1" w:rsidRDefault="00491114" w:rsidP="00491114">
            <w:pPr>
              <w:pStyle w:val="TableFigureHeading"/>
              <w:jc w:val="center"/>
              <w:rPr>
                <w:rStyle w:val="CommentReference"/>
                <w:b/>
                <w:bCs w:val="0"/>
                <w:szCs w:val="24"/>
              </w:rPr>
            </w:pPr>
            <w:r w:rsidRPr="00A83DE1">
              <w:rPr>
                <w:b w:val="0"/>
                <w:bCs w:val="0"/>
              </w:rPr>
              <w:t>2 (1.4)</w:t>
            </w:r>
          </w:p>
        </w:tc>
        <w:tc>
          <w:tcPr>
            <w:tcW w:w="1843" w:type="dxa"/>
            <w:vAlign w:val="center"/>
          </w:tcPr>
          <w:p w14:paraId="65D25DBF" w14:textId="0D96F086" w:rsidR="00491114" w:rsidRPr="00A83DE1" w:rsidRDefault="00491114" w:rsidP="00491114">
            <w:pPr>
              <w:pStyle w:val="TableFigureHeading"/>
              <w:jc w:val="center"/>
              <w:rPr>
                <w:rStyle w:val="CommentReference"/>
                <w:b/>
                <w:bCs w:val="0"/>
                <w:szCs w:val="24"/>
              </w:rPr>
            </w:pPr>
            <w:r w:rsidRPr="00A83DE1">
              <w:rPr>
                <w:b w:val="0"/>
                <w:bCs w:val="0"/>
              </w:rPr>
              <w:t>5 (3.5)</w:t>
            </w:r>
          </w:p>
        </w:tc>
        <w:tc>
          <w:tcPr>
            <w:tcW w:w="1509" w:type="dxa"/>
            <w:vAlign w:val="center"/>
          </w:tcPr>
          <w:p w14:paraId="52635350" w14:textId="7295EAD1" w:rsidR="00491114" w:rsidRPr="00A83DE1" w:rsidRDefault="00491114" w:rsidP="00491114">
            <w:pPr>
              <w:pStyle w:val="TableFigureHeading"/>
              <w:jc w:val="center"/>
              <w:rPr>
                <w:rStyle w:val="CommentReference"/>
                <w:b/>
                <w:bCs w:val="0"/>
                <w:iCs/>
                <w:szCs w:val="24"/>
              </w:rPr>
            </w:pPr>
            <w:r w:rsidRPr="00A83DE1">
              <w:rPr>
                <w:b w:val="0"/>
                <w:bCs w:val="0"/>
                <w:iCs/>
              </w:rPr>
              <w:t>-2.1 (-5.7, 1.4)</w:t>
            </w:r>
          </w:p>
        </w:tc>
      </w:tr>
      <w:tr w:rsidR="00491114" w:rsidRPr="00A83DE1" w14:paraId="6E98BF25" w14:textId="77777777" w:rsidTr="003B1447">
        <w:tc>
          <w:tcPr>
            <w:tcW w:w="3539" w:type="dxa"/>
          </w:tcPr>
          <w:p w14:paraId="131725C9" w14:textId="7C5E3F38" w:rsidR="00491114" w:rsidRPr="00A83DE1" w:rsidRDefault="00491114" w:rsidP="00491114">
            <w:pPr>
              <w:pStyle w:val="TableFigureHeading"/>
              <w:rPr>
                <w:rStyle w:val="CommentReference"/>
                <w:b/>
                <w:bCs w:val="0"/>
                <w:szCs w:val="24"/>
              </w:rPr>
            </w:pPr>
            <w:r w:rsidRPr="00A83DE1">
              <w:rPr>
                <w:b w:val="0"/>
                <w:bCs w:val="0"/>
              </w:rPr>
              <w:t>Pneumonia</w:t>
            </w:r>
          </w:p>
        </w:tc>
        <w:tc>
          <w:tcPr>
            <w:tcW w:w="2126" w:type="dxa"/>
            <w:vAlign w:val="center"/>
          </w:tcPr>
          <w:p w14:paraId="7A114165" w14:textId="46AC4BBE" w:rsidR="00491114" w:rsidRPr="00A83DE1" w:rsidRDefault="00491114" w:rsidP="00491114">
            <w:pPr>
              <w:pStyle w:val="TableFigureHeading"/>
              <w:jc w:val="center"/>
              <w:rPr>
                <w:rStyle w:val="CommentReference"/>
                <w:b/>
                <w:bCs w:val="0"/>
                <w:szCs w:val="24"/>
              </w:rPr>
            </w:pPr>
            <w:r w:rsidRPr="00A83DE1">
              <w:rPr>
                <w:b w:val="0"/>
                <w:bCs w:val="0"/>
              </w:rPr>
              <w:t>14 (9.6)</w:t>
            </w:r>
          </w:p>
        </w:tc>
        <w:tc>
          <w:tcPr>
            <w:tcW w:w="1843" w:type="dxa"/>
            <w:vAlign w:val="center"/>
          </w:tcPr>
          <w:p w14:paraId="0306B46F" w14:textId="5AE2905D" w:rsidR="00491114" w:rsidRPr="00A83DE1" w:rsidRDefault="00491114" w:rsidP="00491114">
            <w:pPr>
              <w:pStyle w:val="TableFigureHeading"/>
              <w:jc w:val="center"/>
              <w:rPr>
                <w:rStyle w:val="CommentReference"/>
                <w:b/>
                <w:bCs w:val="0"/>
                <w:szCs w:val="24"/>
              </w:rPr>
            </w:pPr>
            <w:r w:rsidRPr="00A83DE1">
              <w:rPr>
                <w:b w:val="0"/>
                <w:bCs w:val="0"/>
              </w:rPr>
              <w:t>5 (3.5)</w:t>
            </w:r>
          </w:p>
        </w:tc>
        <w:tc>
          <w:tcPr>
            <w:tcW w:w="1509" w:type="dxa"/>
            <w:vAlign w:val="center"/>
          </w:tcPr>
          <w:p w14:paraId="3344B9CD" w14:textId="40C91F8B" w:rsidR="00491114" w:rsidRPr="00A83DE1" w:rsidRDefault="00491114" w:rsidP="00491114">
            <w:pPr>
              <w:pStyle w:val="TableFigureHeading"/>
              <w:jc w:val="center"/>
              <w:rPr>
                <w:rStyle w:val="CommentReference"/>
                <w:b/>
                <w:bCs w:val="0"/>
                <w:iCs/>
                <w:szCs w:val="24"/>
              </w:rPr>
            </w:pPr>
            <w:r w:rsidRPr="00A83DE1">
              <w:rPr>
                <w:b w:val="0"/>
                <w:bCs w:val="0"/>
                <w:iCs/>
              </w:rPr>
              <w:t>6.1 (0.4, 11.7)</w:t>
            </w:r>
          </w:p>
        </w:tc>
      </w:tr>
      <w:tr w:rsidR="00491114" w:rsidRPr="00A83DE1" w14:paraId="49296D70" w14:textId="77777777" w:rsidTr="003B1447">
        <w:tc>
          <w:tcPr>
            <w:tcW w:w="3539" w:type="dxa"/>
          </w:tcPr>
          <w:p w14:paraId="74E9DED5" w14:textId="7ECBF694" w:rsidR="00491114" w:rsidRPr="00A83DE1" w:rsidRDefault="00491114" w:rsidP="00491114">
            <w:pPr>
              <w:pStyle w:val="TableFigureHeading"/>
              <w:rPr>
                <w:rStyle w:val="CommentReference"/>
                <w:b/>
                <w:bCs w:val="0"/>
                <w:szCs w:val="24"/>
              </w:rPr>
            </w:pPr>
            <w:r w:rsidRPr="00A83DE1">
              <w:rPr>
                <w:b w:val="0"/>
                <w:bCs w:val="0"/>
              </w:rPr>
              <w:t>Pulmonary tuberculosis</w:t>
            </w:r>
          </w:p>
        </w:tc>
        <w:tc>
          <w:tcPr>
            <w:tcW w:w="2126" w:type="dxa"/>
            <w:vAlign w:val="center"/>
          </w:tcPr>
          <w:p w14:paraId="4B167CE7" w14:textId="71BF78DC" w:rsidR="00491114" w:rsidRPr="00A83DE1" w:rsidRDefault="00491114" w:rsidP="00491114">
            <w:pPr>
              <w:pStyle w:val="TableFigureHeading"/>
              <w:jc w:val="center"/>
              <w:rPr>
                <w:rStyle w:val="CommentReference"/>
                <w:b/>
                <w:bCs w:val="0"/>
                <w:szCs w:val="24"/>
              </w:rPr>
            </w:pPr>
            <w:r w:rsidRPr="00A83DE1">
              <w:rPr>
                <w:b w:val="0"/>
                <w:bCs w:val="0"/>
              </w:rPr>
              <w:t>2 (1.4)</w:t>
            </w:r>
          </w:p>
        </w:tc>
        <w:tc>
          <w:tcPr>
            <w:tcW w:w="1843" w:type="dxa"/>
            <w:vAlign w:val="center"/>
          </w:tcPr>
          <w:p w14:paraId="38C27692" w14:textId="598C7BBE" w:rsidR="00491114" w:rsidRPr="00A83DE1" w:rsidRDefault="00491114" w:rsidP="00491114">
            <w:pPr>
              <w:pStyle w:val="TableFigureHeading"/>
              <w:jc w:val="center"/>
              <w:rPr>
                <w:rStyle w:val="CommentReference"/>
                <w:b/>
                <w:bCs w:val="0"/>
                <w:szCs w:val="24"/>
              </w:rPr>
            </w:pPr>
            <w:r w:rsidRPr="00A83DE1">
              <w:rPr>
                <w:b w:val="0"/>
                <w:bCs w:val="0"/>
              </w:rPr>
              <w:t>0</w:t>
            </w:r>
          </w:p>
        </w:tc>
        <w:tc>
          <w:tcPr>
            <w:tcW w:w="1509" w:type="dxa"/>
            <w:vAlign w:val="center"/>
          </w:tcPr>
          <w:p w14:paraId="174B91EA" w14:textId="7D74108C" w:rsidR="00491114" w:rsidRPr="00A83DE1" w:rsidRDefault="00491114" w:rsidP="00491114">
            <w:pPr>
              <w:pStyle w:val="TableFigureHeading"/>
              <w:jc w:val="center"/>
              <w:rPr>
                <w:rStyle w:val="CommentReference"/>
                <w:b/>
                <w:bCs w:val="0"/>
                <w:iCs/>
                <w:szCs w:val="24"/>
              </w:rPr>
            </w:pPr>
            <w:r w:rsidRPr="00A83DE1">
              <w:rPr>
                <w:b w:val="0"/>
                <w:bCs w:val="0"/>
                <w:iCs/>
              </w:rPr>
              <w:t>1.4 (-0.5, 3.3)</w:t>
            </w:r>
          </w:p>
        </w:tc>
      </w:tr>
      <w:tr w:rsidR="00491114" w:rsidRPr="00A83DE1" w14:paraId="60C6F7DA" w14:textId="77777777" w:rsidTr="003B1447">
        <w:tc>
          <w:tcPr>
            <w:tcW w:w="3539" w:type="dxa"/>
          </w:tcPr>
          <w:p w14:paraId="55583AB4" w14:textId="68ABB39B" w:rsidR="00491114" w:rsidRPr="00A83DE1" w:rsidRDefault="00491114" w:rsidP="00491114">
            <w:pPr>
              <w:pStyle w:val="TableFigureHeading"/>
              <w:rPr>
                <w:rStyle w:val="CommentReference"/>
                <w:b/>
                <w:bCs w:val="0"/>
                <w:szCs w:val="24"/>
              </w:rPr>
            </w:pPr>
            <w:r w:rsidRPr="00A83DE1">
              <w:rPr>
                <w:b w:val="0"/>
                <w:bCs w:val="0"/>
              </w:rPr>
              <w:t xml:space="preserve">Hypokalaemia </w:t>
            </w:r>
          </w:p>
        </w:tc>
        <w:tc>
          <w:tcPr>
            <w:tcW w:w="2126" w:type="dxa"/>
            <w:vAlign w:val="center"/>
          </w:tcPr>
          <w:p w14:paraId="34D0DD23" w14:textId="1E163F1E" w:rsidR="00491114" w:rsidRPr="00A83DE1" w:rsidRDefault="00491114" w:rsidP="00491114">
            <w:pPr>
              <w:pStyle w:val="TableFigureHeading"/>
              <w:jc w:val="center"/>
              <w:rPr>
                <w:rStyle w:val="CommentReference"/>
                <w:b/>
                <w:bCs w:val="0"/>
                <w:szCs w:val="24"/>
              </w:rPr>
            </w:pPr>
            <w:r w:rsidRPr="00A83DE1">
              <w:rPr>
                <w:b w:val="0"/>
                <w:bCs w:val="0"/>
              </w:rPr>
              <w:t>1 (0.7)</w:t>
            </w:r>
          </w:p>
        </w:tc>
        <w:tc>
          <w:tcPr>
            <w:tcW w:w="1843" w:type="dxa"/>
            <w:vAlign w:val="center"/>
          </w:tcPr>
          <w:p w14:paraId="4BC06812" w14:textId="56801466" w:rsidR="00491114" w:rsidRPr="00A83DE1" w:rsidRDefault="00491114" w:rsidP="00491114">
            <w:pPr>
              <w:pStyle w:val="TableFigureHeading"/>
              <w:jc w:val="center"/>
              <w:rPr>
                <w:rStyle w:val="CommentReference"/>
                <w:b/>
                <w:bCs w:val="0"/>
                <w:szCs w:val="24"/>
              </w:rPr>
            </w:pPr>
            <w:r w:rsidRPr="00A83DE1">
              <w:rPr>
                <w:b w:val="0"/>
                <w:bCs w:val="0"/>
              </w:rPr>
              <w:t>3 (2.1)</w:t>
            </w:r>
          </w:p>
        </w:tc>
        <w:tc>
          <w:tcPr>
            <w:tcW w:w="1509" w:type="dxa"/>
            <w:vAlign w:val="center"/>
          </w:tcPr>
          <w:p w14:paraId="2F656B02" w14:textId="0A9B773B" w:rsidR="00491114" w:rsidRPr="00A83DE1" w:rsidRDefault="00491114" w:rsidP="00491114">
            <w:pPr>
              <w:pStyle w:val="TableFigureHeading"/>
              <w:jc w:val="center"/>
              <w:rPr>
                <w:rStyle w:val="CommentReference"/>
                <w:b/>
                <w:bCs w:val="0"/>
                <w:iCs/>
                <w:szCs w:val="24"/>
              </w:rPr>
            </w:pPr>
            <w:r w:rsidRPr="00A83DE1">
              <w:rPr>
                <w:b w:val="0"/>
                <w:bCs w:val="0"/>
                <w:iCs/>
              </w:rPr>
              <w:t>-1.4 (-4.1, 1.3)</w:t>
            </w:r>
          </w:p>
        </w:tc>
      </w:tr>
    </w:tbl>
    <w:p w14:paraId="77412402" w14:textId="26F54A13" w:rsidR="005D26B4" w:rsidRPr="0098262F" w:rsidRDefault="00082100" w:rsidP="00D86231">
      <w:pPr>
        <w:pStyle w:val="FooterTableFigure"/>
        <w:rPr>
          <w:sz w:val="20"/>
        </w:rPr>
      </w:pPr>
      <w:r w:rsidRPr="00DD0935">
        <w:rPr>
          <w:szCs w:val="18"/>
        </w:rPr>
        <w:t xml:space="preserve">Source: </w:t>
      </w:r>
      <w:r>
        <w:rPr>
          <w:szCs w:val="18"/>
        </w:rPr>
        <w:t xml:space="preserve">Table 2-17, p69 and </w:t>
      </w:r>
      <w:r w:rsidRPr="00D92845">
        <w:rPr>
          <w:szCs w:val="18"/>
        </w:rPr>
        <w:t>Table 2-18, p71</w:t>
      </w:r>
      <w:r>
        <w:rPr>
          <w:szCs w:val="18"/>
        </w:rPr>
        <w:t xml:space="preserve"> of the submission</w:t>
      </w:r>
      <w:r w:rsidR="00210F7B">
        <w:rPr>
          <w:szCs w:val="18"/>
        </w:rPr>
        <w:t>.</w:t>
      </w:r>
    </w:p>
    <w:p w14:paraId="7E43A741" w14:textId="688DBFBA" w:rsidR="005D26B4" w:rsidRDefault="005D26B4" w:rsidP="00D86231">
      <w:pPr>
        <w:pStyle w:val="FooterTableFigure"/>
        <w:rPr>
          <w:szCs w:val="18"/>
        </w:rPr>
      </w:pPr>
      <w:r w:rsidRPr="0098262F">
        <w:rPr>
          <w:rFonts w:eastAsia="Calibri"/>
        </w:rPr>
        <w:t>CI</w:t>
      </w:r>
      <w:r w:rsidR="00D85E75">
        <w:rPr>
          <w:rFonts w:eastAsia="Calibri"/>
        </w:rPr>
        <w:t xml:space="preserve">, </w:t>
      </w:r>
      <w:r w:rsidRPr="0098262F">
        <w:rPr>
          <w:rFonts w:eastAsia="Calibri"/>
        </w:rPr>
        <w:t xml:space="preserve">confidence interval; </w:t>
      </w:r>
      <w:r w:rsidR="00082100" w:rsidRPr="00DD0935">
        <w:rPr>
          <w:szCs w:val="18"/>
        </w:rPr>
        <w:t>irAE, immune-related adverse event</w:t>
      </w:r>
      <w:r w:rsidR="00082100">
        <w:rPr>
          <w:szCs w:val="18"/>
        </w:rPr>
        <w:t xml:space="preserve">; </w:t>
      </w:r>
      <w:r w:rsidRPr="0098262F">
        <w:rPr>
          <w:rFonts w:eastAsia="Calibri"/>
        </w:rPr>
        <w:t>n</w:t>
      </w:r>
      <w:r w:rsidR="00D85E75">
        <w:rPr>
          <w:rFonts w:eastAsia="Calibri"/>
        </w:rPr>
        <w:t xml:space="preserve">, </w:t>
      </w:r>
      <w:r w:rsidRPr="0098262F">
        <w:rPr>
          <w:rFonts w:eastAsia="Calibri"/>
        </w:rPr>
        <w:t>number of participants reporting data; N</w:t>
      </w:r>
      <w:r w:rsidR="00D85E75">
        <w:rPr>
          <w:rFonts w:eastAsia="Calibri"/>
        </w:rPr>
        <w:t xml:space="preserve">, </w:t>
      </w:r>
      <w:r w:rsidRPr="0098262F">
        <w:rPr>
          <w:rFonts w:eastAsia="Calibri"/>
        </w:rPr>
        <w:t>total participants in group; RD</w:t>
      </w:r>
      <w:r w:rsidR="00D85E75">
        <w:rPr>
          <w:rFonts w:eastAsia="Calibri"/>
        </w:rPr>
        <w:t xml:space="preserve">, </w:t>
      </w:r>
      <w:r w:rsidRPr="0098262F">
        <w:rPr>
          <w:rFonts w:eastAsia="Calibri"/>
        </w:rPr>
        <w:t>risk differenc</w:t>
      </w:r>
      <w:r w:rsidR="00082100">
        <w:rPr>
          <w:rFonts w:eastAsia="Calibri"/>
        </w:rPr>
        <w:t>e;</w:t>
      </w:r>
      <w:r w:rsidR="00082100">
        <w:rPr>
          <w:szCs w:val="18"/>
        </w:rPr>
        <w:t xml:space="preserve"> </w:t>
      </w:r>
      <w:r w:rsidR="00082100" w:rsidRPr="00DD0935">
        <w:rPr>
          <w:szCs w:val="18"/>
        </w:rPr>
        <w:t>SAE, serious adverse event; TEAE, treatment emergent adverse event</w:t>
      </w:r>
    </w:p>
    <w:p w14:paraId="1386042C" w14:textId="43A4B521" w:rsidR="00FF45E2" w:rsidRDefault="00FF45E2" w:rsidP="00FF45E2">
      <w:pPr>
        <w:pStyle w:val="3-BodyText"/>
      </w:pPr>
      <w:r>
        <w:t>The</w:t>
      </w:r>
      <w:r w:rsidR="007A09A7">
        <w:t xml:space="preserve"> evaluation noted the</w:t>
      </w:r>
      <w:r>
        <w:t xml:space="preserve">re was a higher incidence of any and serious treatment-emergent adverse event (TEAE) leading to withdrawal of study drug, any and </w:t>
      </w:r>
      <w:r w:rsidRPr="017D5E58">
        <w:t>≥</w:t>
      </w:r>
      <w:r>
        <w:t xml:space="preserve">Grade 3 immune-related adverse events, and cases of pneumonia in those treated with toripalimab </w:t>
      </w:r>
      <w:r w:rsidR="37B33B41">
        <w:t>(</w:t>
      </w:r>
      <w:r w:rsidR="37B33B41" w:rsidRPr="00376ADA">
        <w:t>Cis+Gem</w:t>
      </w:r>
      <w:r w:rsidR="37B33B41" w:rsidRPr="00A4081B">
        <w:t>)</w:t>
      </w:r>
      <w:r>
        <w:t xml:space="preserve"> </w:t>
      </w:r>
      <w:r w:rsidR="308CAF9F">
        <w:t>comp</w:t>
      </w:r>
      <w:r w:rsidR="14D850D2">
        <w:t>a</w:t>
      </w:r>
      <w:r w:rsidR="308CAF9F">
        <w:t>red to placebo</w:t>
      </w:r>
      <w:r w:rsidR="1C253E15">
        <w:t xml:space="preserve"> (</w:t>
      </w:r>
      <w:r w:rsidR="1C253E15" w:rsidRPr="00A4081B">
        <w:t>Cis+Gem)</w:t>
      </w:r>
      <w:r w:rsidR="308CAF9F">
        <w:t xml:space="preserve"> </w:t>
      </w:r>
      <w:r>
        <w:t>in the</w:t>
      </w:r>
      <w:r w:rsidR="001B5E42">
        <w:t xml:space="preserve"> </w:t>
      </w:r>
      <w:r>
        <w:t>JUPITER-02 trial.</w:t>
      </w:r>
      <w:r w:rsidR="009A2EBD">
        <w:t xml:space="preserve"> </w:t>
      </w:r>
    </w:p>
    <w:p w14:paraId="534D5971" w14:textId="4207936A" w:rsidR="007A09A7" w:rsidRPr="00BB4DAB" w:rsidRDefault="007A09A7" w:rsidP="007A09A7">
      <w:pPr>
        <w:pStyle w:val="3-BodyText"/>
      </w:pPr>
      <w:r w:rsidRPr="00BB4DAB">
        <w:t>The ESC noted that investigator-assessed immune-related adverse events (irAEs), were significantly higher in the toripalimab group than the placebo group with common immune-related AEs including hypothyroidism (23.3% vs. 8.4%), rash (14.4% vs. 6.3%), and pruritus (8.2% vs. 4.2%)</w:t>
      </w:r>
      <w:r w:rsidR="00AB32A2" w:rsidRPr="00BB4DAB">
        <w:t>, that</w:t>
      </w:r>
      <w:r w:rsidRPr="00BB4DAB">
        <w:t xml:space="preserve"> the incidence of Grade 3 or higher immune-related AEs were also higher in the toripalimab group (9.6%) compared to the placebo group (1.4%)</w:t>
      </w:r>
      <w:r w:rsidR="008F33FB" w:rsidRPr="00BB4DAB">
        <w:t xml:space="preserve">, </w:t>
      </w:r>
      <w:r w:rsidR="00B875D0" w:rsidRPr="00BB4DAB">
        <w:t xml:space="preserve">and </w:t>
      </w:r>
      <w:r w:rsidR="008F33FB" w:rsidRPr="00BB4DAB">
        <w:t xml:space="preserve">that while nausea and vomiting </w:t>
      </w:r>
      <w:r w:rsidR="00B875D0" w:rsidRPr="00BB4DAB">
        <w:t>occurred</w:t>
      </w:r>
      <w:r w:rsidR="00AD06A0" w:rsidRPr="00BB4DAB">
        <w:t xml:space="preserve"> in more than 67% of patients</w:t>
      </w:r>
      <w:r w:rsidR="00B875D0" w:rsidRPr="00BB4DAB">
        <w:t>, the events</w:t>
      </w:r>
      <w:r w:rsidR="00AD06A0" w:rsidRPr="00BB4DAB">
        <w:t xml:space="preserve"> </w:t>
      </w:r>
      <w:r w:rsidR="00BD2844" w:rsidRPr="00BB4DAB">
        <w:t>were fairly well controlled</w:t>
      </w:r>
      <w:r w:rsidR="00AD06A0" w:rsidRPr="00BB4DAB">
        <w:t>. The ESC con</w:t>
      </w:r>
      <w:r w:rsidR="00FA5EB0" w:rsidRPr="00BB4DAB">
        <w:t>sidered</w:t>
      </w:r>
      <w:r w:rsidRPr="00BB4DAB">
        <w:t xml:space="preserve"> the</w:t>
      </w:r>
      <w:r w:rsidR="00023700" w:rsidRPr="00BB4DAB">
        <w:t xml:space="preserve">re were no new safety </w:t>
      </w:r>
      <w:r w:rsidR="007E62C7" w:rsidRPr="00BB4DAB">
        <w:t xml:space="preserve">signals raised </w:t>
      </w:r>
      <w:r w:rsidR="00C75303" w:rsidRPr="00BB4DAB">
        <w:t xml:space="preserve">and that the adverse events reported </w:t>
      </w:r>
      <w:r w:rsidRPr="00BB4DAB">
        <w:t xml:space="preserve">were in </w:t>
      </w:r>
      <w:r w:rsidR="001A16D1" w:rsidRPr="00BB4DAB">
        <w:t>line</w:t>
      </w:r>
      <w:r w:rsidRPr="00BB4DAB">
        <w:t xml:space="preserve"> with what </w:t>
      </w:r>
      <w:r w:rsidR="00D02BBC" w:rsidRPr="00BB4DAB">
        <w:t>would be</w:t>
      </w:r>
      <w:r w:rsidRPr="00BB4DAB">
        <w:t xml:space="preserve"> expected for </w:t>
      </w:r>
      <w:r w:rsidR="00023700" w:rsidRPr="00BB4DAB">
        <w:t>PD-L1 inhibitors</w:t>
      </w:r>
      <w:r w:rsidRPr="00BB4DAB">
        <w:t>.</w:t>
      </w:r>
    </w:p>
    <w:p w14:paraId="04908C7F" w14:textId="415B9B7D" w:rsidR="007F1017" w:rsidRPr="0098262F" w:rsidRDefault="007F1017" w:rsidP="00D86231">
      <w:pPr>
        <w:pStyle w:val="4-SubsectionHeading"/>
      </w:pPr>
      <w:bookmarkStart w:id="36" w:name="_Toc22897643"/>
      <w:bookmarkStart w:id="37" w:name="_Toc188361223"/>
      <w:r w:rsidRPr="0098262F">
        <w:t>Benefits/harms</w:t>
      </w:r>
      <w:bookmarkEnd w:id="36"/>
      <w:bookmarkEnd w:id="37"/>
    </w:p>
    <w:p w14:paraId="22B03AAE" w14:textId="38A5E38F" w:rsidR="00863A9F" w:rsidRPr="00CD5BA7" w:rsidRDefault="00863A9F" w:rsidP="00863A9F">
      <w:pPr>
        <w:pStyle w:val="3-BodyText"/>
        <w:rPr>
          <w:rStyle w:val="CommentReference"/>
          <w:color w:val="0066FF"/>
          <w:sz w:val="24"/>
          <w:szCs w:val="24"/>
        </w:rPr>
      </w:pPr>
      <w:r w:rsidRPr="00CD5BA7">
        <w:rPr>
          <w:szCs w:val="24"/>
        </w:rPr>
        <w:t xml:space="preserve">A summary of the comparative benefits and harms for toripalimab versus placebo is presented in </w:t>
      </w:r>
      <w:r w:rsidRPr="00CD5BA7">
        <w:rPr>
          <w:szCs w:val="24"/>
        </w:rPr>
        <w:fldChar w:fldCharType="begin"/>
      </w:r>
      <w:r w:rsidRPr="00CD5BA7">
        <w:rPr>
          <w:szCs w:val="24"/>
        </w:rPr>
        <w:instrText xml:space="preserve"> REF _Ref104805037 \h </w:instrText>
      </w:r>
      <w:r w:rsidR="00CD5BA7" w:rsidRPr="00CD5BA7">
        <w:rPr>
          <w:szCs w:val="24"/>
        </w:rPr>
        <w:instrText xml:space="preserve"> \* MERGEFORMAT </w:instrText>
      </w:r>
      <w:r w:rsidRPr="00CD5BA7">
        <w:rPr>
          <w:szCs w:val="24"/>
        </w:rPr>
      </w:r>
      <w:r w:rsidRPr="00CD5BA7">
        <w:rPr>
          <w:szCs w:val="24"/>
        </w:rPr>
        <w:fldChar w:fldCharType="separate"/>
      </w:r>
      <w:r w:rsidR="002C005D" w:rsidRPr="002C005D">
        <w:rPr>
          <w:szCs w:val="24"/>
        </w:rPr>
        <w:t xml:space="preserve">Table </w:t>
      </w:r>
      <w:r w:rsidR="002C005D" w:rsidRPr="002C005D">
        <w:rPr>
          <w:noProof/>
          <w:szCs w:val="24"/>
        </w:rPr>
        <w:t>7</w:t>
      </w:r>
      <w:r w:rsidRPr="00CD5BA7">
        <w:rPr>
          <w:szCs w:val="24"/>
        </w:rPr>
        <w:fldChar w:fldCharType="end"/>
      </w:r>
      <w:r w:rsidRPr="00CD5BA7">
        <w:rPr>
          <w:szCs w:val="24"/>
        </w:rPr>
        <w:t>.</w:t>
      </w:r>
    </w:p>
    <w:p w14:paraId="5DC7E9EB" w14:textId="6301894C" w:rsidR="00863A9F" w:rsidRPr="0098262F" w:rsidRDefault="00863A9F" w:rsidP="00863A9F">
      <w:pPr>
        <w:pStyle w:val="Caption"/>
        <w:rPr>
          <w:rStyle w:val="CommentReference"/>
          <w:b/>
          <w:szCs w:val="24"/>
        </w:rPr>
      </w:pPr>
      <w:bookmarkStart w:id="38" w:name="_Ref104805037"/>
      <w:r w:rsidRPr="0098262F">
        <w:lastRenderedPageBreak/>
        <w:t xml:space="preserve">Table </w:t>
      </w:r>
      <w:r w:rsidR="000B117D">
        <w:fldChar w:fldCharType="begin"/>
      </w:r>
      <w:r w:rsidR="000B117D">
        <w:instrText xml:space="preserve"> SEQ Table \* ARABIC </w:instrText>
      </w:r>
      <w:r w:rsidR="000B117D">
        <w:fldChar w:fldCharType="separate"/>
      </w:r>
      <w:r w:rsidR="002C005D">
        <w:rPr>
          <w:noProof/>
        </w:rPr>
        <w:t>7</w:t>
      </w:r>
      <w:r w:rsidR="000B117D">
        <w:rPr>
          <w:noProof/>
        </w:rPr>
        <w:fldChar w:fldCharType="end"/>
      </w:r>
      <w:bookmarkEnd w:id="38"/>
      <w:r w:rsidRPr="0098262F">
        <w:t xml:space="preserve">: </w:t>
      </w:r>
      <w:r w:rsidRPr="0098262F">
        <w:rPr>
          <w:rStyle w:val="CommentReference"/>
          <w:b/>
          <w:szCs w:val="24"/>
        </w:rPr>
        <w:t xml:space="preserve">Summary of comparative benefits and harms for </w:t>
      </w:r>
      <w:r w:rsidR="00F607FF">
        <w:rPr>
          <w:rStyle w:val="CommentReference"/>
          <w:b/>
          <w:szCs w:val="24"/>
        </w:rPr>
        <w:t>toripalimab</w:t>
      </w:r>
      <w:r w:rsidRPr="0098262F">
        <w:rPr>
          <w:rStyle w:val="CommentReference"/>
          <w:b/>
          <w:szCs w:val="24"/>
        </w:rPr>
        <w:t xml:space="preserve"> and </w:t>
      </w:r>
      <w:r w:rsidR="00F607FF">
        <w:rPr>
          <w:rStyle w:val="CommentReference"/>
          <w:b/>
          <w:szCs w:val="24"/>
        </w:rPr>
        <w:t>placebo</w:t>
      </w:r>
    </w:p>
    <w:tbl>
      <w:tblPr>
        <w:tblStyle w:val="TableGrid"/>
        <w:tblW w:w="5000" w:type="pct"/>
        <w:tblLayout w:type="fixed"/>
        <w:tblCellMar>
          <w:left w:w="28" w:type="dxa"/>
          <w:right w:w="28" w:type="dxa"/>
        </w:tblCellMar>
        <w:tblLook w:val="04A0" w:firstRow="1" w:lastRow="0" w:firstColumn="1" w:lastColumn="0" w:noHBand="0" w:noVBand="1"/>
      </w:tblPr>
      <w:tblGrid>
        <w:gridCol w:w="2464"/>
        <w:gridCol w:w="1446"/>
        <w:gridCol w:w="1515"/>
        <w:gridCol w:w="2007"/>
        <w:gridCol w:w="1585"/>
      </w:tblGrid>
      <w:tr w:rsidR="00863A9F" w:rsidRPr="0098262F" w14:paraId="68E9D88A" w14:textId="77777777" w:rsidTr="00F607FF">
        <w:trPr>
          <w:trHeight w:val="20"/>
        </w:trPr>
        <w:tc>
          <w:tcPr>
            <w:tcW w:w="1366" w:type="pct"/>
            <w:tcBorders>
              <w:bottom w:val="single" w:sz="4" w:space="0" w:color="auto"/>
            </w:tcBorders>
            <w:shd w:val="clear" w:color="auto" w:fill="auto"/>
            <w:vAlign w:val="center"/>
          </w:tcPr>
          <w:p w14:paraId="7DFE8AFC" w14:textId="77777777" w:rsidR="00863A9F" w:rsidRPr="002A3753" w:rsidRDefault="00863A9F" w:rsidP="009E51E4">
            <w:pPr>
              <w:pStyle w:val="In-tableHeading"/>
            </w:pPr>
            <w:r w:rsidRPr="002A3753">
              <w:t>Event</w:t>
            </w:r>
          </w:p>
        </w:tc>
        <w:tc>
          <w:tcPr>
            <w:tcW w:w="802" w:type="pct"/>
            <w:tcBorders>
              <w:bottom w:val="single" w:sz="4" w:space="0" w:color="auto"/>
            </w:tcBorders>
            <w:shd w:val="clear" w:color="auto" w:fill="auto"/>
            <w:vAlign w:val="center"/>
          </w:tcPr>
          <w:p w14:paraId="2926D87D" w14:textId="2D214094" w:rsidR="00863A9F" w:rsidRPr="002A3753" w:rsidRDefault="00F607FF" w:rsidP="009E51E4">
            <w:pPr>
              <w:pStyle w:val="In-tableHeading"/>
            </w:pPr>
            <w:r w:rsidRPr="002A3753">
              <w:t>Toripalimab</w:t>
            </w:r>
            <w:r w:rsidR="007C1538" w:rsidRPr="002A3753">
              <w:t xml:space="preserve"> + Cis+Gem</w:t>
            </w:r>
          </w:p>
        </w:tc>
        <w:tc>
          <w:tcPr>
            <w:tcW w:w="840" w:type="pct"/>
            <w:tcBorders>
              <w:bottom w:val="single" w:sz="4" w:space="0" w:color="auto"/>
            </w:tcBorders>
            <w:shd w:val="clear" w:color="auto" w:fill="auto"/>
            <w:vAlign w:val="center"/>
          </w:tcPr>
          <w:p w14:paraId="524BFF76" w14:textId="160BD29F" w:rsidR="00863A9F" w:rsidRPr="002A3753" w:rsidRDefault="00F607FF" w:rsidP="009E51E4">
            <w:pPr>
              <w:pStyle w:val="In-tableHeading"/>
            </w:pPr>
            <w:r w:rsidRPr="002A3753">
              <w:t>Placebo</w:t>
            </w:r>
            <w:r w:rsidR="007C1538" w:rsidRPr="002A3753">
              <w:t xml:space="preserve"> + Cis+Gem</w:t>
            </w:r>
          </w:p>
        </w:tc>
        <w:tc>
          <w:tcPr>
            <w:tcW w:w="1113" w:type="pct"/>
            <w:tcBorders>
              <w:bottom w:val="single" w:sz="4" w:space="0" w:color="auto"/>
            </w:tcBorders>
            <w:shd w:val="clear" w:color="auto" w:fill="auto"/>
            <w:vAlign w:val="center"/>
          </w:tcPr>
          <w:p w14:paraId="489439B8" w14:textId="77777777" w:rsidR="00863A9F" w:rsidRPr="002A3753" w:rsidRDefault="00863A9F" w:rsidP="009E51E4">
            <w:pPr>
              <w:pStyle w:val="In-tableHeading"/>
              <w:rPr>
                <w:rFonts w:asciiTheme="minorHAnsi" w:hAnsiTheme="minorHAnsi"/>
              </w:rPr>
            </w:pPr>
            <w:r w:rsidRPr="002A3753">
              <w:t>Absolute Difference</w:t>
            </w:r>
          </w:p>
        </w:tc>
        <w:tc>
          <w:tcPr>
            <w:tcW w:w="879" w:type="pct"/>
            <w:tcBorders>
              <w:bottom w:val="single" w:sz="4" w:space="0" w:color="auto"/>
            </w:tcBorders>
            <w:shd w:val="clear" w:color="auto" w:fill="auto"/>
            <w:vAlign w:val="center"/>
          </w:tcPr>
          <w:p w14:paraId="7977183D" w14:textId="77777777" w:rsidR="00863A9F" w:rsidRPr="002A3753" w:rsidRDefault="00863A9F" w:rsidP="009E51E4">
            <w:pPr>
              <w:pStyle w:val="In-tableHeading"/>
            </w:pPr>
            <w:r w:rsidRPr="002A3753">
              <w:t>HR (95% CI)</w:t>
            </w:r>
          </w:p>
        </w:tc>
      </w:tr>
      <w:tr w:rsidR="00F607FF" w:rsidRPr="0098262F" w14:paraId="12DF278C" w14:textId="77777777" w:rsidTr="00F607FF">
        <w:trPr>
          <w:trHeight w:val="20"/>
        </w:trPr>
        <w:tc>
          <w:tcPr>
            <w:tcW w:w="5000" w:type="pct"/>
            <w:gridSpan w:val="5"/>
            <w:tcBorders>
              <w:bottom w:val="single" w:sz="4" w:space="0" w:color="auto"/>
            </w:tcBorders>
            <w:shd w:val="clear" w:color="auto" w:fill="auto"/>
            <w:vAlign w:val="center"/>
          </w:tcPr>
          <w:p w14:paraId="172573FB" w14:textId="5A1BB2F6" w:rsidR="00F607FF" w:rsidRPr="00F607FF" w:rsidRDefault="00F607FF" w:rsidP="009E51E4">
            <w:pPr>
              <w:pStyle w:val="In-tableHeading"/>
            </w:pPr>
            <w:r w:rsidRPr="00F607FF">
              <w:t xml:space="preserve">Progression free survival (median duration of follow up </w:t>
            </w:r>
            <w:r w:rsidR="007C1538">
              <w:t>21.82</w:t>
            </w:r>
            <w:r w:rsidRPr="00F607FF">
              <w:t xml:space="preserve"> months)</w:t>
            </w:r>
          </w:p>
        </w:tc>
      </w:tr>
      <w:tr w:rsidR="00863A9F" w:rsidRPr="0098262F" w14:paraId="1669290A" w14:textId="77777777" w:rsidTr="00F607FF">
        <w:trPr>
          <w:trHeight w:val="20"/>
        </w:trPr>
        <w:tc>
          <w:tcPr>
            <w:tcW w:w="1366" w:type="pct"/>
            <w:tcBorders>
              <w:bottom w:val="single" w:sz="4" w:space="0" w:color="auto"/>
            </w:tcBorders>
            <w:shd w:val="clear" w:color="auto" w:fill="auto"/>
            <w:vAlign w:val="center"/>
          </w:tcPr>
          <w:p w14:paraId="418EA7DA" w14:textId="53978DAA" w:rsidR="00863A9F" w:rsidRPr="002A3753" w:rsidRDefault="00863A9F" w:rsidP="009E51E4">
            <w:pPr>
              <w:pStyle w:val="In-tableHeading"/>
            </w:pPr>
            <w:r w:rsidRPr="002A3753">
              <w:t>Progressed, n (%)</w:t>
            </w:r>
          </w:p>
        </w:tc>
        <w:tc>
          <w:tcPr>
            <w:tcW w:w="802" w:type="pct"/>
            <w:tcBorders>
              <w:bottom w:val="single" w:sz="4" w:space="0" w:color="auto"/>
            </w:tcBorders>
            <w:shd w:val="clear" w:color="auto" w:fill="auto"/>
            <w:vAlign w:val="center"/>
          </w:tcPr>
          <w:p w14:paraId="18CA2E9D" w14:textId="78229D27" w:rsidR="00863A9F" w:rsidRPr="00691EFE" w:rsidRDefault="00863A9F" w:rsidP="009E51E4">
            <w:pPr>
              <w:pStyle w:val="In-tableHeading"/>
              <w:rPr>
                <w:b w:val="0"/>
              </w:rPr>
            </w:pPr>
            <w:r w:rsidRPr="00691EFE">
              <w:rPr>
                <w:b w:val="0"/>
              </w:rPr>
              <w:t>63/146 (43.2%)</w:t>
            </w:r>
          </w:p>
        </w:tc>
        <w:tc>
          <w:tcPr>
            <w:tcW w:w="840" w:type="pct"/>
            <w:tcBorders>
              <w:bottom w:val="single" w:sz="4" w:space="0" w:color="auto"/>
            </w:tcBorders>
            <w:shd w:val="clear" w:color="auto" w:fill="auto"/>
            <w:vAlign w:val="center"/>
          </w:tcPr>
          <w:p w14:paraId="1F6AFD67" w14:textId="0DB550A8" w:rsidR="00863A9F" w:rsidRPr="00691EFE" w:rsidRDefault="00F607FF" w:rsidP="009E51E4">
            <w:pPr>
              <w:pStyle w:val="In-tableHeading"/>
              <w:rPr>
                <w:b w:val="0"/>
              </w:rPr>
            </w:pPr>
            <w:r w:rsidRPr="00691EFE">
              <w:rPr>
                <w:b w:val="0"/>
              </w:rPr>
              <w:t>87/143</w:t>
            </w:r>
            <w:r w:rsidR="00863A9F" w:rsidRPr="00691EFE">
              <w:rPr>
                <w:b w:val="0"/>
              </w:rPr>
              <w:t xml:space="preserve"> (</w:t>
            </w:r>
            <w:r w:rsidRPr="00691EFE">
              <w:rPr>
                <w:b w:val="0"/>
              </w:rPr>
              <w:t>60.8</w:t>
            </w:r>
            <w:r w:rsidR="00863A9F" w:rsidRPr="00691EFE">
              <w:rPr>
                <w:b w:val="0"/>
              </w:rPr>
              <w:t>%)</w:t>
            </w:r>
          </w:p>
        </w:tc>
        <w:tc>
          <w:tcPr>
            <w:tcW w:w="1113" w:type="pct"/>
            <w:tcBorders>
              <w:bottom w:val="single" w:sz="4" w:space="0" w:color="auto"/>
            </w:tcBorders>
            <w:shd w:val="clear" w:color="auto" w:fill="auto"/>
            <w:vAlign w:val="center"/>
          </w:tcPr>
          <w:p w14:paraId="66880D04" w14:textId="40B24FEA" w:rsidR="00863A9F" w:rsidRPr="00691EFE" w:rsidRDefault="00863A9F" w:rsidP="009E51E4">
            <w:pPr>
              <w:pStyle w:val="In-tableHeading"/>
              <w:rPr>
                <w:b w:val="0"/>
              </w:rPr>
            </w:pPr>
            <w:r w:rsidRPr="00691EFE">
              <w:rPr>
                <w:b w:val="0"/>
              </w:rPr>
              <w:t>-</w:t>
            </w:r>
          </w:p>
        </w:tc>
        <w:tc>
          <w:tcPr>
            <w:tcW w:w="879" w:type="pct"/>
            <w:tcBorders>
              <w:bottom w:val="nil"/>
            </w:tcBorders>
            <w:shd w:val="clear" w:color="auto" w:fill="auto"/>
            <w:vAlign w:val="center"/>
          </w:tcPr>
          <w:p w14:paraId="07CEBAD8" w14:textId="77777777" w:rsidR="00F607FF" w:rsidRPr="00691EFE" w:rsidRDefault="00F607FF" w:rsidP="009E51E4">
            <w:pPr>
              <w:pStyle w:val="In-tableHeading"/>
              <w:rPr>
                <w:b w:val="0"/>
              </w:rPr>
            </w:pPr>
            <w:r w:rsidRPr="00691EFE">
              <w:rPr>
                <w:b w:val="0"/>
              </w:rPr>
              <w:t>0.52 (0.374, 0.726)</w:t>
            </w:r>
          </w:p>
          <w:p w14:paraId="0C683FED" w14:textId="20E29A6E" w:rsidR="00863A9F" w:rsidRPr="00691EFE" w:rsidRDefault="00F607FF" w:rsidP="009E51E4">
            <w:pPr>
              <w:pStyle w:val="In-tableHeading"/>
              <w:rPr>
                <w:b w:val="0"/>
              </w:rPr>
            </w:pPr>
            <w:r w:rsidRPr="00691EFE">
              <w:rPr>
                <w:b w:val="0"/>
              </w:rPr>
              <w:t>p&lt;0.0001</w:t>
            </w:r>
          </w:p>
        </w:tc>
      </w:tr>
      <w:tr w:rsidR="00F607FF" w:rsidRPr="0098262F" w14:paraId="0727D98F" w14:textId="77777777" w:rsidTr="00071228">
        <w:trPr>
          <w:trHeight w:val="20"/>
        </w:trPr>
        <w:tc>
          <w:tcPr>
            <w:tcW w:w="1366" w:type="pct"/>
            <w:tcBorders>
              <w:bottom w:val="single" w:sz="4" w:space="0" w:color="auto"/>
            </w:tcBorders>
            <w:shd w:val="clear" w:color="auto" w:fill="auto"/>
            <w:vAlign w:val="center"/>
          </w:tcPr>
          <w:p w14:paraId="2F18B74D" w14:textId="612A8D2C" w:rsidR="00F607FF" w:rsidRPr="002A3753" w:rsidRDefault="00F607FF" w:rsidP="009E51E4">
            <w:pPr>
              <w:pStyle w:val="In-tableHeading"/>
            </w:pPr>
            <w:r w:rsidRPr="002A3753">
              <w:t>Median PFS, months (95% CI)</w:t>
            </w:r>
          </w:p>
        </w:tc>
        <w:tc>
          <w:tcPr>
            <w:tcW w:w="802" w:type="pct"/>
            <w:tcBorders>
              <w:bottom w:val="single" w:sz="4" w:space="0" w:color="auto"/>
            </w:tcBorders>
            <w:shd w:val="clear" w:color="auto" w:fill="auto"/>
            <w:vAlign w:val="center"/>
          </w:tcPr>
          <w:p w14:paraId="623CD033" w14:textId="5A6F9A48" w:rsidR="00F607FF" w:rsidRPr="00691EFE" w:rsidRDefault="00F607FF" w:rsidP="009E51E4">
            <w:pPr>
              <w:pStyle w:val="In-tableHeading"/>
              <w:rPr>
                <w:b w:val="0"/>
              </w:rPr>
            </w:pPr>
            <w:r w:rsidRPr="00691EFE">
              <w:rPr>
                <w:b w:val="0"/>
              </w:rPr>
              <w:t>21.4 (11.73, NE)</w:t>
            </w:r>
          </w:p>
        </w:tc>
        <w:tc>
          <w:tcPr>
            <w:tcW w:w="840" w:type="pct"/>
            <w:tcBorders>
              <w:bottom w:val="single" w:sz="4" w:space="0" w:color="auto"/>
            </w:tcBorders>
            <w:shd w:val="clear" w:color="auto" w:fill="auto"/>
            <w:vAlign w:val="center"/>
          </w:tcPr>
          <w:p w14:paraId="520C1C74" w14:textId="4CCDB1EB" w:rsidR="00F607FF" w:rsidRPr="00691EFE" w:rsidRDefault="00F607FF" w:rsidP="009E51E4">
            <w:pPr>
              <w:pStyle w:val="In-tableHeading"/>
              <w:rPr>
                <w:b w:val="0"/>
              </w:rPr>
            </w:pPr>
            <w:r w:rsidRPr="00691EFE">
              <w:rPr>
                <w:b w:val="0"/>
              </w:rPr>
              <w:t>8.2 (7.03, 9.79)</w:t>
            </w:r>
          </w:p>
        </w:tc>
        <w:tc>
          <w:tcPr>
            <w:tcW w:w="1113" w:type="pct"/>
            <w:tcBorders>
              <w:bottom w:val="single" w:sz="4" w:space="0" w:color="auto"/>
            </w:tcBorders>
            <w:shd w:val="clear" w:color="auto" w:fill="auto"/>
            <w:vAlign w:val="center"/>
          </w:tcPr>
          <w:p w14:paraId="35AC6582" w14:textId="7E809917" w:rsidR="00F607FF" w:rsidRPr="00691EFE" w:rsidRDefault="00F607FF" w:rsidP="009E51E4">
            <w:pPr>
              <w:pStyle w:val="In-tableHeading"/>
              <w:rPr>
                <w:b w:val="0"/>
              </w:rPr>
            </w:pPr>
            <w:r w:rsidRPr="00691EFE">
              <w:rPr>
                <w:b w:val="0"/>
              </w:rPr>
              <w:t>13.2 months</w:t>
            </w:r>
          </w:p>
        </w:tc>
        <w:tc>
          <w:tcPr>
            <w:tcW w:w="879" w:type="pct"/>
            <w:tcBorders>
              <w:top w:val="nil"/>
              <w:bottom w:val="nil"/>
            </w:tcBorders>
            <w:shd w:val="clear" w:color="auto" w:fill="auto"/>
            <w:vAlign w:val="center"/>
          </w:tcPr>
          <w:p w14:paraId="31BEFE20" w14:textId="50743FF1" w:rsidR="00F607FF" w:rsidRPr="002A3753" w:rsidRDefault="00F607FF" w:rsidP="009E51E4">
            <w:pPr>
              <w:pStyle w:val="In-tableHeading"/>
            </w:pPr>
          </w:p>
        </w:tc>
      </w:tr>
      <w:tr w:rsidR="00F607FF" w:rsidRPr="0098262F" w14:paraId="7343577C" w14:textId="77777777" w:rsidTr="00071228">
        <w:trPr>
          <w:trHeight w:val="20"/>
        </w:trPr>
        <w:tc>
          <w:tcPr>
            <w:tcW w:w="1366" w:type="pct"/>
            <w:tcBorders>
              <w:bottom w:val="single" w:sz="4" w:space="0" w:color="auto"/>
            </w:tcBorders>
            <w:shd w:val="clear" w:color="auto" w:fill="auto"/>
            <w:vAlign w:val="center"/>
          </w:tcPr>
          <w:p w14:paraId="1D87AE33" w14:textId="16B16770" w:rsidR="00F607FF" w:rsidRPr="002A3753" w:rsidRDefault="00F607FF" w:rsidP="009E51E4">
            <w:pPr>
              <w:pStyle w:val="In-tableHeading"/>
            </w:pPr>
            <w:r w:rsidRPr="002A3753">
              <w:t>% not progressed at 24 months (95% CI)</w:t>
            </w:r>
          </w:p>
        </w:tc>
        <w:tc>
          <w:tcPr>
            <w:tcW w:w="802" w:type="pct"/>
            <w:tcBorders>
              <w:bottom w:val="single" w:sz="4" w:space="0" w:color="auto"/>
            </w:tcBorders>
            <w:shd w:val="clear" w:color="auto" w:fill="auto"/>
            <w:vAlign w:val="center"/>
          </w:tcPr>
          <w:p w14:paraId="79329172" w14:textId="06840F92" w:rsidR="00F607FF" w:rsidRPr="00691EFE" w:rsidRDefault="00F607FF" w:rsidP="009E51E4">
            <w:pPr>
              <w:pStyle w:val="In-tableHeading"/>
              <w:rPr>
                <w:b w:val="0"/>
              </w:rPr>
            </w:pPr>
            <w:r w:rsidRPr="00691EFE">
              <w:rPr>
                <w:b w:val="0"/>
              </w:rPr>
              <w:t>44.8 (34.39, 54.71)</w:t>
            </w:r>
          </w:p>
        </w:tc>
        <w:tc>
          <w:tcPr>
            <w:tcW w:w="840" w:type="pct"/>
            <w:tcBorders>
              <w:bottom w:val="single" w:sz="4" w:space="0" w:color="auto"/>
            </w:tcBorders>
            <w:shd w:val="clear" w:color="auto" w:fill="auto"/>
            <w:vAlign w:val="center"/>
          </w:tcPr>
          <w:p w14:paraId="2402C817" w14:textId="662BE778" w:rsidR="00F607FF" w:rsidRPr="00691EFE" w:rsidRDefault="00F607FF" w:rsidP="009E51E4">
            <w:pPr>
              <w:pStyle w:val="In-tableHeading"/>
              <w:rPr>
                <w:b w:val="0"/>
              </w:rPr>
            </w:pPr>
            <w:r w:rsidRPr="00691EFE">
              <w:rPr>
                <w:b w:val="0"/>
              </w:rPr>
              <w:t>25.4 (16.95, 34.81)</w:t>
            </w:r>
          </w:p>
        </w:tc>
        <w:tc>
          <w:tcPr>
            <w:tcW w:w="1113" w:type="pct"/>
            <w:tcBorders>
              <w:bottom w:val="single" w:sz="4" w:space="0" w:color="auto"/>
            </w:tcBorders>
            <w:shd w:val="clear" w:color="auto" w:fill="auto"/>
            <w:vAlign w:val="center"/>
          </w:tcPr>
          <w:p w14:paraId="19C2CFA2" w14:textId="76EC42D6" w:rsidR="00F607FF" w:rsidRPr="00691EFE" w:rsidRDefault="00F607FF" w:rsidP="009E51E4">
            <w:pPr>
              <w:pStyle w:val="In-tableHeading"/>
              <w:rPr>
                <w:b w:val="0"/>
              </w:rPr>
            </w:pPr>
            <w:r w:rsidRPr="00691EFE">
              <w:rPr>
                <w:b w:val="0"/>
              </w:rPr>
              <w:t>19.4 (5.7, 33.1)</w:t>
            </w:r>
          </w:p>
        </w:tc>
        <w:tc>
          <w:tcPr>
            <w:tcW w:w="879" w:type="pct"/>
            <w:tcBorders>
              <w:top w:val="nil"/>
              <w:bottom w:val="single" w:sz="4" w:space="0" w:color="auto"/>
            </w:tcBorders>
            <w:shd w:val="clear" w:color="auto" w:fill="auto"/>
            <w:vAlign w:val="center"/>
          </w:tcPr>
          <w:p w14:paraId="61A432F2" w14:textId="77777777" w:rsidR="00F607FF" w:rsidRPr="002A3753" w:rsidRDefault="00F607FF" w:rsidP="009E51E4">
            <w:pPr>
              <w:pStyle w:val="In-tableHeading"/>
            </w:pPr>
          </w:p>
        </w:tc>
      </w:tr>
      <w:tr w:rsidR="00F607FF" w:rsidRPr="0098262F" w14:paraId="37F99CB6" w14:textId="77777777" w:rsidTr="00F607FF">
        <w:trPr>
          <w:trHeight w:val="20"/>
        </w:trPr>
        <w:tc>
          <w:tcPr>
            <w:tcW w:w="5000" w:type="pct"/>
            <w:gridSpan w:val="5"/>
            <w:tcBorders>
              <w:bottom w:val="single" w:sz="4" w:space="0" w:color="auto"/>
            </w:tcBorders>
            <w:shd w:val="clear" w:color="auto" w:fill="auto"/>
            <w:vAlign w:val="center"/>
          </w:tcPr>
          <w:p w14:paraId="24A3B8EA" w14:textId="309D0489" w:rsidR="00F607FF" w:rsidRPr="002A3753" w:rsidRDefault="00F607FF" w:rsidP="009E51E4">
            <w:pPr>
              <w:pStyle w:val="In-tableHeading"/>
              <w:rPr>
                <w:bCs/>
              </w:rPr>
            </w:pPr>
            <w:r w:rsidRPr="002A3753">
              <w:t>Overall survival (median duration of follow up 36.04 months)</w:t>
            </w:r>
          </w:p>
        </w:tc>
      </w:tr>
      <w:tr w:rsidR="00F607FF" w:rsidRPr="0098262F" w14:paraId="63D37846" w14:textId="77777777" w:rsidTr="00C5589E">
        <w:trPr>
          <w:trHeight w:val="20"/>
        </w:trPr>
        <w:tc>
          <w:tcPr>
            <w:tcW w:w="1366" w:type="pct"/>
            <w:tcBorders>
              <w:bottom w:val="single" w:sz="4" w:space="0" w:color="auto"/>
            </w:tcBorders>
            <w:shd w:val="clear" w:color="auto" w:fill="auto"/>
            <w:vAlign w:val="center"/>
          </w:tcPr>
          <w:p w14:paraId="728284B1" w14:textId="72776386" w:rsidR="00F607FF" w:rsidRPr="002A3753" w:rsidRDefault="00F607FF" w:rsidP="009E51E4">
            <w:pPr>
              <w:pStyle w:val="In-tableHeading"/>
            </w:pPr>
            <w:r w:rsidRPr="002A3753">
              <w:t xml:space="preserve">Deaths, n/N (%) </w:t>
            </w:r>
          </w:p>
        </w:tc>
        <w:tc>
          <w:tcPr>
            <w:tcW w:w="802" w:type="pct"/>
            <w:tcBorders>
              <w:bottom w:val="single" w:sz="4" w:space="0" w:color="auto"/>
            </w:tcBorders>
            <w:shd w:val="clear" w:color="auto" w:fill="auto"/>
            <w:vAlign w:val="center"/>
          </w:tcPr>
          <w:p w14:paraId="14296D52" w14:textId="1153E17A" w:rsidR="00F607FF" w:rsidRPr="00691EFE" w:rsidRDefault="00F607FF" w:rsidP="009E51E4">
            <w:pPr>
              <w:pStyle w:val="In-tableHeading"/>
              <w:rPr>
                <w:b w:val="0"/>
              </w:rPr>
            </w:pPr>
            <w:r w:rsidRPr="00691EFE">
              <w:rPr>
                <w:b w:val="0"/>
              </w:rPr>
              <w:t>57/146 (39.0%)</w:t>
            </w:r>
          </w:p>
        </w:tc>
        <w:tc>
          <w:tcPr>
            <w:tcW w:w="840" w:type="pct"/>
            <w:tcBorders>
              <w:bottom w:val="single" w:sz="4" w:space="0" w:color="auto"/>
            </w:tcBorders>
            <w:shd w:val="clear" w:color="auto" w:fill="auto"/>
            <w:vAlign w:val="center"/>
          </w:tcPr>
          <w:p w14:paraId="14538F60" w14:textId="5D27E471" w:rsidR="00F607FF" w:rsidRPr="00691EFE" w:rsidRDefault="00F607FF" w:rsidP="009E51E4">
            <w:pPr>
              <w:pStyle w:val="In-tableHeading"/>
              <w:rPr>
                <w:b w:val="0"/>
              </w:rPr>
            </w:pPr>
            <w:r w:rsidRPr="00691EFE">
              <w:rPr>
                <w:b w:val="0"/>
              </w:rPr>
              <w:t>76/143 (53.1%)</w:t>
            </w:r>
          </w:p>
        </w:tc>
        <w:tc>
          <w:tcPr>
            <w:tcW w:w="1113" w:type="pct"/>
            <w:tcBorders>
              <w:bottom w:val="single" w:sz="4" w:space="0" w:color="auto"/>
            </w:tcBorders>
            <w:shd w:val="clear" w:color="auto" w:fill="auto"/>
            <w:vAlign w:val="center"/>
          </w:tcPr>
          <w:p w14:paraId="64B00C45" w14:textId="52456E66" w:rsidR="00F607FF" w:rsidRPr="002A3753" w:rsidRDefault="00F607FF" w:rsidP="009E51E4">
            <w:pPr>
              <w:pStyle w:val="In-tableHeading"/>
            </w:pPr>
            <w:r w:rsidRPr="002A3753">
              <w:t>-</w:t>
            </w:r>
          </w:p>
        </w:tc>
        <w:tc>
          <w:tcPr>
            <w:tcW w:w="879" w:type="pct"/>
            <w:tcBorders>
              <w:bottom w:val="nil"/>
            </w:tcBorders>
            <w:shd w:val="clear" w:color="auto" w:fill="auto"/>
            <w:vAlign w:val="center"/>
          </w:tcPr>
          <w:p w14:paraId="70CF8A50" w14:textId="26A22AE7" w:rsidR="00F607FF" w:rsidRPr="00691EFE" w:rsidRDefault="00F607FF" w:rsidP="00071228">
            <w:pPr>
              <w:pStyle w:val="Tabletext8pt"/>
              <w:rPr>
                <w:rFonts w:ascii="Arial Narrow" w:hAnsi="Arial Narrow"/>
                <w:sz w:val="20"/>
                <w:szCs w:val="20"/>
              </w:rPr>
            </w:pPr>
            <w:r w:rsidRPr="00691EFE">
              <w:rPr>
                <w:rFonts w:ascii="Arial Narrow" w:hAnsi="Arial Narrow"/>
                <w:sz w:val="20"/>
                <w:szCs w:val="20"/>
              </w:rPr>
              <w:t>0.63 (0.446, 0.891)</w:t>
            </w:r>
          </w:p>
          <w:p w14:paraId="50D3AE53" w14:textId="7C726F45" w:rsidR="00F607FF" w:rsidRPr="002A3753" w:rsidRDefault="000256F9" w:rsidP="009E51E4">
            <w:pPr>
              <w:pStyle w:val="In-tableHeading"/>
            </w:pPr>
            <w:r w:rsidRPr="00691EFE">
              <w:rPr>
                <w:b w:val="0"/>
              </w:rPr>
              <w:t>p</w:t>
            </w:r>
            <w:r w:rsidR="00AE1266" w:rsidRPr="00691EFE">
              <w:rPr>
                <w:b w:val="0"/>
              </w:rPr>
              <w:t xml:space="preserve"> </w:t>
            </w:r>
            <w:r w:rsidRPr="00691EFE">
              <w:rPr>
                <w:b w:val="0"/>
              </w:rPr>
              <w:t xml:space="preserve">= </w:t>
            </w:r>
            <w:r w:rsidR="00F607FF" w:rsidRPr="00691EFE">
              <w:rPr>
                <w:b w:val="0"/>
              </w:rPr>
              <w:t>0.0083</w:t>
            </w:r>
          </w:p>
        </w:tc>
      </w:tr>
      <w:tr w:rsidR="00F607FF" w:rsidRPr="0098262F" w14:paraId="59AC1E76" w14:textId="77777777" w:rsidTr="00C5589E">
        <w:trPr>
          <w:trHeight w:val="20"/>
        </w:trPr>
        <w:tc>
          <w:tcPr>
            <w:tcW w:w="1366" w:type="pct"/>
            <w:tcBorders>
              <w:bottom w:val="single" w:sz="4" w:space="0" w:color="auto"/>
            </w:tcBorders>
            <w:shd w:val="clear" w:color="auto" w:fill="auto"/>
            <w:vAlign w:val="center"/>
          </w:tcPr>
          <w:p w14:paraId="6F784333" w14:textId="7116DEFD" w:rsidR="00F607FF" w:rsidRPr="002A3753" w:rsidRDefault="00F607FF" w:rsidP="009E51E4">
            <w:pPr>
              <w:pStyle w:val="In-tableHeading"/>
            </w:pPr>
            <w:r w:rsidRPr="002A3753">
              <w:t>Median OS, months (95% CI)</w:t>
            </w:r>
          </w:p>
        </w:tc>
        <w:tc>
          <w:tcPr>
            <w:tcW w:w="802" w:type="pct"/>
            <w:tcBorders>
              <w:bottom w:val="single" w:sz="4" w:space="0" w:color="auto"/>
            </w:tcBorders>
            <w:shd w:val="clear" w:color="auto" w:fill="auto"/>
            <w:vAlign w:val="center"/>
          </w:tcPr>
          <w:p w14:paraId="73B6F56F" w14:textId="37B4E6CF" w:rsidR="00F607FF" w:rsidRPr="00691EFE" w:rsidRDefault="00F607FF" w:rsidP="009E51E4">
            <w:pPr>
              <w:pStyle w:val="In-tableHeading"/>
              <w:rPr>
                <w:b w:val="0"/>
              </w:rPr>
            </w:pPr>
            <w:r w:rsidRPr="00691EFE">
              <w:rPr>
                <w:b w:val="0"/>
              </w:rPr>
              <w:t>NE (38.7, NE)</w:t>
            </w:r>
          </w:p>
        </w:tc>
        <w:tc>
          <w:tcPr>
            <w:tcW w:w="840" w:type="pct"/>
            <w:tcBorders>
              <w:bottom w:val="single" w:sz="4" w:space="0" w:color="auto"/>
            </w:tcBorders>
            <w:shd w:val="clear" w:color="auto" w:fill="auto"/>
            <w:vAlign w:val="center"/>
          </w:tcPr>
          <w:p w14:paraId="4CF2918B" w14:textId="601A5F62" w:rsidR="00F607FF" w:rsidRPr="00691EFE" w:rsidRDefault="00F607FF" w:rsidP="009E51E4">
            <w:pPr>
              <w:pStyle w:val="In-tableHeading"/>
              <w:rPr>
                <w:b w:val="0"/>
              </w:rPr>
            </w:pPr>
            <w:r w:rsidRPr="00691EFE">
              <w:rPr>
                <w:b w:val="0"/>
              </w:rPr>
              <w:t>33.7 (27.01, 44.19)</w:t>
            </w:r>
          </w:p>
        </w:tc>
        <w:tc>
          <w:tcPr>
            <w:tcW w:w="1113" w:type="pct"/>
            <w:tcBorders>
              <w:bottom w:val="single" w:sz="4" w:space="0" w:color="auto"/>
            </w:tcBorders>
            <w:shd w:val="clear" w:color="auto" w:fill="auto"/>
            <w:vAlign w:val="center"/>
          </w:tcPr>
          <w:p w14:paraId="10C662D5" w14:textId="5B291BBE" w:rsidR="00F607FF" w:rsidRPr="002A3753" w:rsidRDefault="00F607FF" w:rsidP="009E51E4">
            <w:pPr>
              <w:pStyle w:val="In-tableHeading"/>
            </w:pPr>
            <w:r w:rsidRPr="00691EFE">
              <w:rPr>
                <w:b w:val="0"/>
              </w:rPr>
              <w:t>NR</w:t>
            </w:r>
          </w:p>
        </w:tc>
        <w:tc>
          <w:tcPr>
            <w:tcW w:w="879" w:type="pct"/>
            <w:tcBorders>
              <w:top w:val="nil"/>
              <w:bottom w:val="nil"/>
            </w:tcBorders>
            <w:shd w:val="clear" w:color="auto" w:fill="auto"/>
          </w:tcPr>
          <w:p w14:paraId="25CA36FC" w14:textId="77777777" w:rsidR="00F607FF" w:rsidRPr="002A3753" w:rsidRDefault="00F607FF" w:rsidP="009E51E4">
            <w:pPr>
              <w:pStyle w:val="In-tableHeading"/>
            </w:pPr>
          </w:p>
        </w:tc>
      </w:tr>
      <w:tr w:rsidR="00F607FF" w:rsidRPr="0098262F" w14:paraId="21474BD9" w14:textId="77777777" w:rsidTr="00C5589E">
        <w:trPr>
          <w:trHeight w:val="20"/>
        </w:trPr>
        <w:tc>
          <w:tcPr>
            <w:tcW w:w="1366" w:type="pct"/>
            <w:tcBorders>
              <w:bottom w:val="single" w:sz="4" w:space="0" w:color="auto"/>
            </w:tcBorders>
            <w:shd w:val="clear" w:color="auto" w:fill="auto"/>
            <w:vAlign w:val="center"/>
          </w:tcPr>
          <w:p w14:paraId="670B6C8D" w14:textId="22D2EA99" w:rsidR="00F607FF" w:rsidRPr="002A3753" w:rsidRDefault="00F607FF" w:rsidP="009E51E4">
            <w:pPr>
              <w:pStyle w:val="In-tableHeading"/>
            </w:pPr>
            <w:r w:rsidRPr="002A3753">
              <w:t xml:space="preserve">% Alive at 12 months (95% CI) </w:t>
            </w:r>
          </w:p>
        </w:tc>
        <w:tc>
          <w:tcPr>
            <w:tcW w:w="802" w:type="pct"/>
            <w:tcBorders>
              <w:bottom w:val="single" w:sz="4" w:space="0" w:color="auto"/>
            </w:tcBorders>
            <w:shd w:val="clear" w:color="auto" w:fill="auto"/>
            <w:vAlign w:val="center"/>
          </w:tcPr>
          <w:p w14:paraId="3C505CE7" w14:textId="5F712CA2" w:rsidR="00F607FF" w:rsidRPr="00691EFE" w:rsidRDefault="00F607FF" w:rsidP="009E51E4">
            <w:pPr>
              <w:pStyle w:val="In-tableHeading"/>
              <w:rPr>
                <w:b w:val="0"/>
              </w:rPr>
            </w:pPr>
            <w:r w:rsidRPr="00691EFE">
              <w:rPr>
                <w:b w:val="0"/>
              </w:rPr>
              <w:t>90.9 (84.87, 94.62)</w:t>
            </w:r>
          </w:p>
        </w:tc>
        <w:tc>
          <w:tcPr>
            <w:tcW w:w="840" w:type="pct"/>
            <w:tcBorders>
              <w:bottom w:val="single" w:sz="4" w:space="0" w:color="auto"/>
            </w:tcBorders>
            <w:shd w:val="clear" w:color="auto" w:fill="auto"/>
            <w:vAlign w:val="center"/>
          </w:tcPr>
          <w:p w14:paraId="7208D12C" w14:textId="508F8C5D" w:rsidR="00F607FF" w:rsidRPr="00691EFE" w:rsidRDefault="00F607FF" w:rsidP="009E51E4">
            <w:pPr>
              <w:pStyle w:val="In-tableHeading"/>
              <w:rPr>
                <w:b w:val="0"/>
              </w:rPr>
            </w:pPr>
            <w:r w:rsidRPr="00691EFE">
              <w:rPr>
                <w:b w:val="0"/>
              </w:rPr>
              <w:t>87.1 (80.36, 91.69)</w:t>
            </w:r>
          </w:p>
        </w:tc>
        <w:tc>
          <w:tcPr>
            <w:tcW w:w="1113" w:type="pct"/>
            <w:tcBorders>
              <w:bottom w:val="single" w:sz="4" w:space="0" w:color="auto"/>
            </w:tcBorders>
            <w:shd w:val="clear" w:color="auto" w:fill="auto"/>
            <w:vAlign w:val="center"/>
          </w:tcPr>
          <w:p w14:paraId="574D7B38" w14:textId="1E58F287" w:rsidR="00F607FF" w:rsidRPr="002A3753" w:rsidRDefault="00F607FF" w:rsidP="007C1538">
            <w:pPr>
              <w:keepNext/>
              <w:jc w:val="left"/>
              <w:rPr>
                <w:bCs/>
              </w:rPr>
            </w:pPr>
            <w:r w:rsidRPr="002A3753">
              <w:rPr>
                <w:rFonts w:ascii="Arial Narrow" w:hAnsi="Arial Narrow"/>
                <w:bCs/>
                <w:sz w:val="20"/>
                <w:szCs w:val="20"/>
              </w:rPr>
              <w:t>3.8 (-3.5. 11.1)</w:t>
            </w:r>
          </w:p>
        </w:tc>
        <w:tc>
          <w:tcPr>
            <w:tcW w:w="879" w:type="pct"/>
            <w:tcBorders>
              <w:top w:val="nil"/>
              <w:bottom w:val="nil"/>
            </w:tcBorders>
            <w:shd w:val="clear" w:color="auto" w:fill="auto"/>
          </w:tcPr>
          <w:p w14:paraId="527D0575" w14:textId="77777777" w:rsidR="00F607FF" w:rsidRPr="002A3753" w:rsidRDefault="00F607FF" w:rsidP="009E51E4">
            <w:pPr>
              <w:pStyle w:val="In-tableHeading"/>
            </w:pPr>
          </w:p>
        </w:tc>
      </w:tr>
      <w:tr w:rsidR="00F607FF" w:rsidRPr="0098262F" w14:paraId="4DB137F2" w14:textId="77777777" w:rsidTr="00C5589E">
        <w:trPr>
          <w:trHeight w:val="20"/>
        </w:trPr>
        <w:tc>
          <w:tcPr>
            <w:tcW w:w="1366" w:type="pct"/>
            <w:tcBorders>
              <w:bottom w:val="single" w:sz="4" w:space="0" w:color="auto"/>
            </w:tcBorders>
            <w:shd w:val="clear" w:color="auto" w:fill="auto"/>
            <w:vAlign w:val="center"/>
          </w:tcPr>
          <w:p w14:paraId="416F4E49" w14:textId="43A58B20" w:rsidR="00F607FF" w:rsidRPr="002A3753" w:rsidRDefault="00F607FF" w:rsidP="009E51E4">
            <w:pPr>
              <w:pStyle w:val="In-tableHeading"/>
            </w:pPr>
            <w:r w:rsidRPr="002A3753">
              <w:t>% Alive at 24 months (95% CI)</w:t>
            </w:r>
          </w:p>
        </w:tc>
        <w:tc>
          <w:tcPr>
            <w:tcW w:w="802" w:type="pct"/>
            <w:tcBorders>
              <w:bottom w:val="single" w:sz="4" w:space="0" w:color="auto"/>
            </w:tcBorders>
            <w:shd w:val="clear" w:color="auto" w:fill="auto"/>
            <w:vAlign w:val="center"/>
          </w:tcPr>
          <w:p w14:paraId="661B24DA" w14:textId="02AF67F4" w:rsidR="00F607FF" w:rsidRPr="00691EFE" w:rsidRDefault="00F607FF" w:rsidP="009E51E4">
            <w:pPr>
              <w:pStyle w:val="In-tableHeading"/>
              <w:rPr>
                <w:b w:val="0"/>
              </w:rPr>
            </w:pPr>
            <w:r w:rsidRPr="00691EFE">
              <w:rPr>
                <w:b w:val="0"/>
              </w:rPr>
              <w:t>78.0 (70.18, 83.97)</w:t>
            </w:r>
          </w:p>
        </w:tc>
        <w:tc>
          <w:tcPr>
            <w:tcW w:w="840" w:type="pct"/>
            <w:tcBorders>
              <w:bottom w:val="single" w:sz="4" w:space="0" w:color="auto"/>
            </w:tcBorders>
            <w:shd w:val="clear" w:color="auto" w:fill="auto"/>
            <w:vAlign w:val="center"/>
          </w:tcPr>
          <w:p w14:paraId="3A61B356" w14:textId="3CEF24CF" w:rsidR="00F607FF" w:rsidRPr="00691EFE" w:rsidRDefault="00F607FF" w:rsidP="009E51E4">
            <w:pPr>
              <w:pStyle w:val="In-tableHeading"/>
              <w:rPr>
                <w:b w:val="0"/>
              </w:rPr>
            </w:pPr>
            <w:r w:rsidRPr="00691EFE">
              <w:rPr>
                <w:b w:val="0"/>
              </w:rPr>
              <w:t>65.1 (56.50, 72.44)</w:t>
            </w:r>
          </w:p>
        </w:tc>
        <w:tc>
          <w:tcPr>
            <w:tcW w:w="1113" w:type="pct"/>
            <w:tcBorders>
              <w:bottom w:val="single" w:sz="4" w:space="0" w:color="auto"/>
            </w:tcBorders>
            <w:shd w:val="clear" w:color="auto" w:fill="auto"/>
            <w:vAlign w:val="center"/>
          </w:tcPr>
          <w:p w14:paraId="5129B28C" w14:textId="108C8E78" w:rsidR="00F607FF" w:rsidRPr="002A3753" w:rsidRDefault="00F607FF" w:rsidP="007C1538">
            <w:pPr>
              <w:keepNext/>
              <w:jc w:val="left"/>
              <w:rPr>
                <w:bCs/>
              </w:rPr>
            </w:pPr>
            <w:r w:rsidRPr="002A3753">
              <w:rPr>
                <w:rFonts w:ascii="Arial Narrow" w:hAnsi="Arial Narrow"/>
                <w:bCs/>
                <w:sz w:val="20"/>
                <w:szCs w:val="20"/>
              </w:rPr>
              <w:t>12.9 (2.3, 23.4)</w:t>
            </w:r>
          </w:p>
        </w:tc>
        <w:tc>
          <w:tcPr>
            <w:tcW w:w="879" w:type="pct"/>
            <w:tcBorders>
              <w:top w:val="nil"/>
              <w:bottom w:val="nil"/>
            </w:tcBorders>
            <w:shd w:val="clear" w:color="auto" w:fill="auto"/>
          </w:tcPr>
          <w:p w14:paraId="47B38990" w14:textId="77777777" w:rsidR="00F607FF" w:rsidRPr="002A3753" w:rsidRDefault="00F607FF" w:rsidP="009E51E4">
            <w:pPr>
              <w:pStyle w:val="In-tableHeading"/>
            </w:pPr>
          </w:p>
        </w:tc>
      </w:tr>
      <w:tr w:rsidR="00F607FF" w:rsidRPr="0098262F" w14:paraId="3D8A1B94" w14:textId="77777777" w:rsidTr="007C1538">
        <w:trPr>
          <w:trHeight w:val="20"/>
        </w:trPr>
        <w:tc>
          <w:tcPr>
            <w:tcW w:w="1366" w:type="pct"/>
            <w:tcBorders>
              <w:bottom w:val="single" w:sz="4" w:space="0" w:color="auto"/>
            </w:tcBorders>
            <w:shd w:val="clear" w:color="auto" w:fill="auto"/>
            <w:vAlign w:val="center"/>
          </w:tcPr>
          <w:p w14:paraId="17A4E94D" w14:textId="774FA240" w:rsidR="00F607FF" w:rsidRPr="002A3753" w:rsidRDefault="00F607FF" w:rsidP="009E51E4">
            <w:pPr>
              <w:pStyle w:val="In-tableHeading"/>
            </w:pPr>
            <w:r w:rsidRPr="002A3753">
              <w:t>% Alive at 36 months (95% CI)</w:t>
            </w:r>
          </w:p>
        </w:tc>
        <w:tc>
          <w:tcPr>
            <w:tcW w:w="802" w:type="pct"/>
            <w:tcBorders>
              <w:bottom w:val="single" w:sz="4" w:space="0" w:color="auto"/>
            </w:tcBorders>
            <w:shd w:val="clear" w:color="auto" w:fill="auto"/>
            <w:vAlign w:val="center"/>
          </w:tcPr>
          <w:p w14:paraId="2C96FD0D" w14:textId="320E1F13" w:rsidR="00F607FF" w:rsidRPr="00691EFE" w:rsidRDefault="00F607FF" w:rsidP="009E51E4">
            <w:pPr>
              <w:pStyle w:val="In-tableHeading"/>
              <w:rPr>
                <w:b w:val="0"/>
              </w:rPr>
            </w:pPr>
            <w:r w:rsidRPr="00691EFE">
              <w:rPr>
                <w:b w:val="0"/>
              </w:rPr>
              <w:t>64.5 (55.86, 71.87)</w:t>
            </w:r>
          </w:p>
        </w:tc>
        <w:tc>
          <w:tcPr>
            <w:tcW w:w="840" w:type="pct"/>
            <w:tcBorders>
              <w:bottom w:val="single" w:sz="4" w:space="0" w:color="auto"/>
            </w:tcBorders>
            <w:shd w:val="clear" w:color="auto" w:fill="auto"/>
            <w:vAlign w:val="center"/>
          </w:tcPr>
          <w:p w14:paraId="3776998A" w14:textId="62CAE0C2" w:rsidR="00F607FF" w:rsidRPr="00691EFE" w:rsidRDefault="00F607FF" w:rsidP="009E51E4">
            <w:pPr>
              <w:pStyle w:val="In-tableHeading"/>
              <w:rPr>
                <w:b w:val="0"/>
              </w:rPr>
            </w:pPr>
            <w:r w:rsidRPr="00691EFE">
              <w:rPr>
                <w:b w:val="0"/>
              </w:rPr>
              <w:t>49.2 (40.53, 57.32)</w:t>
            </w:r>
          </w:p>
        </w:tc>
        <w:tc>
          <w:tcPr>
            <w:tcW w:w="1113" w:type="pct"/>
            <w:tcBorders>
              <w:bottom w:val="single" w:sz="4" w:space="0" w:color="auto"/>
            </w:tcBorders>
            <w:shd w:val="clear" w:color="auto" w:fill="auto"/>
            <w:vAlign w:val="center"/>
          </w:tcPr>
          <w:p w14:paraId="5BED175A" w14:textId="12EF117C" w:rsidR="00F607FF" w:rsidRPr="002A3753" w:rsidRDefault="00F607FF" w:rsidP="007C1538">
            <w:pPr>
              <w:keepNext/>
              <w:jc w:val="left"/>
              <w:rPr>
                <w:bCs/>
              </w:rPr>
            </w:pPr>
            <w:r w:rsidRPr="002A3753">
              <w:rPr>
                <w:rFonts w:ascii="Arial Narrow" w:hAnsi="Arial Narrow"/>
                <w:bCs/>
                <w:sz w:val="20"/>
                <w:szCs w:val="20"/>
              </w:rPr>
              <w:t>15.3 (3.6, 26.9)</w:t>
            </w:r>
          </w:p>
        </w:tc>
        <w:tc>
          <w:tcPr>
            <w:tcW w:w="879" w:type="pct"/>
            <w:tcBorders>
              <w:top w:val="nil"/>
              <w:bottom w:val="single" w:sz="4" w:space="0" w:color="auto"/>
            </w:tcBorders>
            <w:shd w:val="clear" w:color="auto" w:fill="auto"/>
            <w:vAlign w:val="center"/>
          </w:tcPr>
          <w:p w14:paraId="31A5B7D4" w14:textId="77777777" w:rsidR="00F607FF" w:rsidRPr="002A3753" w:rsidRDefault="00F607FF" w:rsidP="009E51E4">
            <w:pPr>
              <w:pStyle w:val="In-tableHeading"/>
            </w:pPr>
          </w:p>
        </w:tc>
      </w:tr>
      <w:tr w:rsidR="002A3753" w:rsidRPr="0098262F" w14:paraId="69C22809" w14:textId="77777777" w:rsidTr="002A3753">
        <w:trPr>
          <w:trHeight w:val="20"/>
        </w:trPr>
        <w:tc>
          <w:tcPr>
            <w:tcW w:w="5000" w:type="pct"/>
            <w:gridSpan w:val="5"/>
            <w:tcBorders>
              <w:bottom w:val="single" w:sz="4" w:space="0" w:color="auto"/>
            </w:tcBorders>
            <w:shd w:val="clear" w:color="auto" w:fill="auto"/>
            <w:vAlign w:val="center"/>
          </w:tcPr>
          <w:p w14:paraId="179928E2" w14:textId="3E96537F" w:rsidR="002A3753" w:rsidRPr="0098262F" w:rsidRDefault="002A3753" w:rsidP="009E51E4">
            <w:pPr>
              <w:pStyle w:val="In-tableHeading"/>
            </w:pPr>
            <w:r>
              <w:t>Adverse events</w:t>
            </w:r>
          </w:p>
        </w:tc>
      </w:tr>
      <w:tr w:rsidR="007C1538" w:rsidRPr="0098262F" w14:paraId="27E3C42C" w14:textId="77777777" w:rsidTr="00C5589E">
        <w:trPr>
          <w:trHeight w:val="20"/>
        </w:trPr>
        <w:tc>
          <w:tcPr>
            <w:tcW w:w="1366" w:type="pct"/>
            <w:tcBorders>
              <w:bottom w:val="single" w:sz="4" w:space="0" w:color="auto"/>
            </w:tcBorders>
            <w:shd w:val="clear" w:color="auto" w:fill="auto"/>
          </w:tcPr>
          <w:p w14:paraId="35E9F489" w14:textId="36E8F6C8" w:rsidR="007C1538" w:rsidRPr="002A3753" w:rsidRDefault="007C1538" w:rsidP="009E51E4">
            <w:pPr>
              <w:pStyle w:val="In-tableHeading"/>
            </w:pPr>
            <w:r w:rsidRPr="002A3753">
              <w:t xml:space="preserve">TEAE, Any irAE </w:t>
            </w:r>
          </w:p>
        </w:tc>
        <w:tc>
          <w:tcPr>
            <w:tcW w:w="802" w:type="pct"/>
            <w:tcBorders>
              <w:bottom w:val="single" w:sz="4" w:space="0" w:color="auto"/>
            </w:tcBorders>
            <w:shd w:val="clear" w:color="auto" w:fill="auto"/>
            <w:vAlign w:val="center"/>
          </w:tcPr>
          <w:p w14:paraId="6B570DC6" w14:textId="225014B3" w:rsidR="007C1538" w:rsidRPr="00691EFE" w:rsidRDefault="007C1538" w:rsidP="009E51E4">
            <w:pPr>
              <w:pStyle w:val="In-tableHeading"/>
              <w:rPr>
                <w:b w:val="0"/>
              </w:rPr>
            </w:pPr>
            <w:r w:rsidRPr="00691EFE">
              <w:rPr>
                <w:b w:val="0"/>
              </w:rPr>
              <w:t>79 (54.1)</w:t>
            </w:r>
          </w:p>
        </w:tc>
        <w:tc>
          <w:tcPr>
            <w:tcW w:w="840" w:type="pct"/>
            <w:tcBorders>
              <w:bottom w:val="single" w:sz="4" w:space="0" w:color="auto"/>
            </w:tcBorders>
            <w:shd w:val="clear" w:color="auto" w:fill="auto"/>
            <w:vAlign w:val="center"/>
          </w:tcPr>
          <w:p w14:paraId="05B85540" w14:textId="7536D9C9" w:rsidR="007C1538" w:rsidRPr="00691EFE" w:rsidRDefault="007C1538" w:rsidP="009E51E4">
            <w:pPr>
              <w:pStyle w:val="In-tableHeading"/>
              <w:rPr>
                <w:b w:val="0"/>
              </w:rPr>
            </w:pPr>
            <w:r w:rsidRPr="00691EFE">
              <w:rPr>
                <w:b w:val="0"/>
              </w:rPr>
              <w:t>31 (21.7)</w:t>
            </w:r>
          </w:p>
        </w:tc>
        <w:tc>
          <w:tcPr>
            <w:tcW w:w="1113" w:type="pct"/>
            <w:tcBorders>
              <w:bottom w:val="single" w:sz="4" w:space="0" w:color="auto"/>
            </w:tcBorders>
            <w:shd w:val="clear" w:color="auto" w:fill="auto"/>
            <w:vAlign w:val="center"/>
          </w:tcPr>
          <w:p w14:paraId="0BAB3685" w14:textId="544DEE27" w:rsidR="007C1538" w:rsidRPr="00691EFE" w:rsidRDefault="007C1538" w:rsidP="009E51E4">
            <w:pPr>
              <w:pStyle w:val="In-tableHeading"/>
              <w:rPr>
                <w:b w:val="0"/>
              </w:rPr>
            </w:pPr>
            <w:r w:rsidRPr="00691EFE">
              <w:rPr>
                <w:b w:val="0"/>
              </w:rPr>
              <w:t>32.4 (21.9, 43.0)</w:t>
            </w:r>
          </w:p>
        </w:tc>
        <w:tc>
          <w:tcPr>
            <w:tcW w:w="879" w:type="pct"/>
            <w:tcBorders>
              <w:bottom w:val="single" w:sz="4" w:space="0" w:color="auto"/>
            </w:tcBorders>
            <w:shd w:val="clear" w:color="auto" w:fill="auto"/>
            <w:vAlign w:val="center"/>
          </w:tcPr>
          <w:p w14:paraId="42573D9F" w14:textId="2247C12C" w:rsidR="007C1538" w:rsidRPr="002A3753" w:rsidRDefault="007C1538" w:rsidP="009E51E4">
            <w:pPr>
              <w:pStyle w:val="In-tableHeading"/>
            </w:pPr>
            <w:r w:rsidRPr="002A3753">
              <w:t>-</w:t>
            </w:r>
          </w:p>
        </w:tc>
      </w:tr>
      <w:tr w:rsidR="007C1538" w:rsidRPr="0098262F" w14:paraId="5F86AE51" w14:textId="77777777" w:rsidTr="00C5589E">
        <w:trPr>
          <w:trHeight w:val="20"/>
        </w:trPr>
        <w:tc>
          <w:tcPr>
            <w:tcW w:w="1366" w:type="pct"/>
            <w:tcBorders>
              <w:bottom w:val="single" w:sz="4" w:space="0" w:color="auto"/>
            </w:tcBorders>
            <w:shd w:val="clear" w:color="auto" w:fill="auto"/>
          </w:tcPr>
          <w:p w14:paraId="48635892" w14:textId="4CB62B01" w:rsidR="007C1538" w:rsidRPr="002A3753" w:rsidRDefault="007C1538" w:rsidP="009E51E4">
            <w:pPr>
              <w:pStyle w:val="In-tableHeading"/>
            </w:pPr>
            <w:r w:rsidRPr="002A3753">
              <w:t>TEAE, Any irAE with Grade ≥3</w:t>
            </w:r>
          </w:p>
        </w:tc>
        <w:tc>
          <w:tcPr>
            <w:tcW w:w="802" w:type="pct"/>
            <w:tcBorders>
              <w:bottom w:val="single" w:sz="4" w:space="0" w:color="auto"/>
            </w:tcBorders>
            <w:shd w:val="clear" w:color="auto" w:fill="auto"/>
            <w:vAlign w:val="center"/>
          </w:tcPr>
          <w:p w14:paraId="2649A5B1" w14:textId="039CA13B" w:rsidR="007C1538" w:rsidRPr="00691EFE" w:rsidRDefault="007C1538" w:rsidP="009E51E4">
            <w:pPr>
              <w:pStyle w:val="In-tableHeading"/>
              <w:rPr>
                <w:b w:val="0"/>
              </w:rPr>
            </w:pPr>
            <w:r w:rsidRPr="00691EFE">
              <w:rPr>
                <w:b w:val="0"/>
              </w:rPr>
              <w:t>14 (9.6)</w:t>
            </w:r>
          </w:p>
        </w:tc>
        <w:tc>
          <w:tcPr>
            <w:tcW w:w="840" w:type="pct"/>
            <w:tcBorders>
              <w:bottom w:val="single" w:sz="4" w:space="0" w:color="auto"/>
            </w:tcBorders>
            <w:shd w:val="clear" w:color="auto" w:fill="auto"/>
            <w:vAlign w:val="center"/>
          </w:tcPr>
          <w:p w14:paraId="72664A2B" w14:textId="2AE1FC13" w:rsidR="007C1538" w:rsidRPr="00691EFE" w:rsidRDefault="007C1538" w:rsidP="009E51E4">
            <w:pPr>
              <w:pStyle w:val="In-tableHeading"/>
              <w:rPr>
                <w:b w:val="0"/>
              </w:rPr>
            </w:pPr>
            <w:r w:rsidRPr="00691EFE">
              <w:rPr>
                <w:b w:val="0"/>
              </w:rPr>
              <w:t>2 (1.4)</w:t>
            </w:r>
          </w:p>
        </w:tc>
        <w:tc>
          <w:tcPr>
            <w:tcW w:w="1113" w:type="pct"/>
            <w:tcBorders>
              <w:bottom w:val="single" w:sz="4" w:space="0" w:color="auto"/>
            </w:tcBorders>
            <w:shd w:val="clear" w:color="auto" w:fill="auto"/>
            <w:vAlign w:val="center"/>
          </w:tcPr>
          <w:p w14:paraId="59384FC7" w14:textId="3A901BC0" w:rsidR="007C1538" w:rsidRPr="00691EFE" w:rsidRDefault="007C1538" w:rsidP="009E51E4">
            <w:pPr>
              <w:pStyle w:val="In-tableHeading"/>
              <w:rPr>
                <w:b w:val="0"/>
              </w:rPr>
            </w:pPr>
            <w:r w:rsidRPr="00691EFE">
              <w:rPr>
                <w:b w:val="0"/>
              </w:rPr>
              <w:t>8.2 (3.0, 13.3)</w:t>
            </w:r>
          </w:p>
        </w:tc>
        <w:tc>
          <w:tcPr>
            <w:tcW w:w="879" w:type="pct"/>
            <w:tcBorders>
              <w:bottom w:val="single" w:sz="4" w:space="0" w:color="auto"/>
            </w:tcBorders>
            <w:shd w:val="clear" w:color="auto" w:fill="auto"/>
            <w:vAlign w:val="center"/>
          </w:tcPr>
          <w:p w14:paraId="60595E62" w14:textId="6C61B086" w:rsidR="007C1538" w:rsidRPr="002A3753" w:rsidRDefault="007C1538" w:rsidP="009E51E4">
            <w:pPr>
              <w:pStyle w:val="In-tableHeading"/>
            </w:pPr>
            <w:r w:rsidRPr="002A3753">
              <w:t>-</w:t>
            </w:r>
          </w:p>
        </w:tc>
      </w:tr>
      <w:tr w:rsidR="007C1538" w:rsidRPr="0098262F" w14:paraId="5EA3D603" w14:textId="77777777" w:rsidTr="00C5589E">
        <w:trPr>
          <w:trHeight w:val="20"/>
        </w:trPr>
        <w:tc>
          <w:tcPr>
            <w:tcW w:w="1366" w:type="pct"/>
            <w:tcBorders>
              <w:bottom w:val="single" w:sz="4" w:space="0" w:color="auto"/>
            </w:tcBorders>
            <w:shd w:val="clear" w:color="auto" w:fill="auto"/>
          </w:tcPr>
          <w:p w14:paraId="3824048A" w14:textId="09F1BF23" w:rsidR="007C1538" w:rsidRPr="002A3753" w:rsidRDefault="007C1538" w:rsidP="009E51E4">
            <w:pPr>
              <w:pStyle w:val="In-tableHeading"/>
            </w:pPr>
            <w:r w:rsidRPr="002A3753">
              <w:t>Any TEAE leading to withdrawal of study drug</w:t>
            </w:r>
          </w:p>
        </w:tc>
        <w:tc>
          <w:tcPr>
            <w:tcW w:w="802" w:type="pct"/>
            <w:tcBorders>
              <w:bottom w:val="single" w:sz="4" w:space="0" w:color="auto"/>
            </w:tcBorders>
            <w:shd w:val="clear" w:color="auto" w:fill="auto"/>
            <w:vAlign w:val="center"/>
          </w:tcPr>
          <w:p w14:paraId="58CEF23B" w14:textId="1A3E647B" w:rsidR="007C1538" w:rsidRPr="00691EFE" w:rsidRDefault="007C1538" w:rsidP="009E51E4">
            <w:pPr>
              <w:pStyle w:val="In-tableHeading"/>
              <w:rPr>
                <w:b w:val="0"/>
              </w:rPr>
            </w:pPr>
            <w:r w:rsidRPr="00691EFE">
              <w:rPr>
                <w:b w:val="0"/>
              </w:rPr>
              <w:t>17 (11.6)</w:t>
            </w:r>
          </w:p>
        </w:tc>
        <w:tc>
          <w:tcPr>
            <w:tcW w:w="840" w:type="pct"/>
            <w:tcBorders>
              <w:bottom w:val="single" w:sz="4" w:space="0" w:color="auto"/>
            </w:tcBorders>
            <w:shd w:val="clear" w:color="auto" w:fill="auto"/>
            <w:vAlign w:val="center"/>
          </w:tcPr>
          <w:p w14:paraId="162FA1F2" w14:textId="66A17017" w:rsidR="007C1538" w:rsidRPr="00691EFE" w:rsidRDefault="007C1538" w:rsidP="009E51E4">
            <w:pPr>
              <w:pStyle w:val="In-tableHeading"/>
              <w:rPr>
                <w:b w:val="0"/>
              </w:rPr>
            </w:pPr>
            <w:r w:rsidRPr="00691EFE">
              <w:rPr>
                <w:b w:val="0"/>
              </w:rPr>
              <w:t>7 (4.9)</w:t>
            </w:r>
          </w:p>
        </w:tc>
        <w:tc>
          <w:tcPr>
            <w:tcW w:w="1113" w:type="pct"/>
            <w:tcBorders>
              <w:bottom w:val="single" w:sz="4" w:space="0" w:color="auto"/>
            </w:tcBorders>
            <w:shd w:val="clear" w:color="auto" w:fill="auto"/>
            <w:vAlign w:val="center"/>
          </w:tcPr>
          <w:p w14:paraId="3C647298" w14:textId="5A55FF0A" w:rsidR="007C1538" w:rsidRPr="00691EFE" w:rsidRDefault="007C1538" w:rsidP="009E51E4">
            <w:pPr>
              <w:pStyle w:val="In-tableHeading"/>
              <w:rPr>
                <w:b w:val="0"/>
              </w:rPr>
            </w:pPr>
            <w:r w:rsidRPr="00691EFE">
              <w:rPr>
                <w:b w:val="0"/>
              </w:rPr>
              <w:t>6.7 (0.5, 13.0)</w:t>
            </w:r>
          </w:p>
        </w:tc>
        <w:tc>
          <w:tcPr>
            <w:tcW w:w="879" w:type="pct"/>
            <w:tcBorders>
              <w:bottom w:val="single" w:sz="4" w:space="0" w:color="auto"/>
            </w:tcBorders>
            <w:shd w:val="clear" w:color="auto" w:fill="auto"/>
            <w:vAlign w:val="center"/>
          </w:tcPr>
          <w:p w14:paraId="748CF51A" w14:textId="67BB5550" w:rsidR="007C1538" w:rsidRPr="002A3753" w:rsidRDefault="007C1538" w:rsidP="009E51E4">
            <w:pPr>
              <w:pStyle w:val="In-tableHeading"/>
            </w:pPr>
            <w:r w:rsidRPr="002A3753">
              <w:t>-</w:t>
            </w:r>
          </w:p>
        </w:tc>
      </w:tr>
      <w:tr w:rsidR="007C1538" w:rsidRPr="0098262F" w14:paraId="00D45D48" w14:textId="77777777" w:rsidTr="00C5589E">
        <w:trPr>
          <w:trHeight w:val="20"/>
        </w:trPr>
        <w:tc>
          <w:tcPr>
            <w:tcW w:w="1366" w:type="pct"/>
            <w:tcBorders>
              <w:bottom w:val="single" w:sz="4" w:space="0" w:color="auto"/>
            </w:tcBorders>
            <w:shd w:val="clear" w:color="auto" w:fill="auto"/>
          </w:tcPr>
          <w:p w14:paraId="65A01C29" w14:textId="71DC450E" w:rsidR="007C1538" w:rsidRPr="002A3753" w:rsidRDefault="007C1538" w:rsidP="009E51E4">
            <w:pPr>
              <w:pStyle w:val="In-tableHeading"/>
            </w:pPr>
            <w:r w:rsidRPr="002A3753">
              <w:t>Pneumonia</w:t>
            </w:r>
          </w:p>
        </w:tc>
        <w:tc>
          <w:tcPr>
            <w:tcW w:w="802" w:type="pct"/>
            <w:tcBorders>
              <w:bottom w:val="single" w:sz="4" w:space="0" w:color="auto"/>
            </w:tcBorders>
            <w:shd w:val="clear" w:color="auto" w:fill="auto"/>
            <w:vAlign w:val="center"/>
          </w:tcPr>
          <w:p w14:paraId="4A653DD7" w14:textId="2A522DBD" w:rsidR="007C1538" w:rsidRPr="00691EFE" w:rsidRDefault="007C1538" w:rsidP="009E51E4">
            <w:pPr>
              <w:pStyle w:val="In-tableHeading"/>
              <w:rPr>
                <w:b w:val="0"/>
              </w:rPr>
            </w:pPr>
            <w:r w:rsidRPr="00691EFE">
              <w:rPr>
                <w:b w:val="0"/>
              </w:rPr>
              <w:t>14 (9.6)</w:t>
            </w:r>
          </w:p>
        </w:tc>
        <w:tc>
          <w:tcPr>
            <w:tcW w:w="840" w:type="pct"/>
            <w:tcBorders>
              <w:bottom w:val="single" w:sz="4" w:space="0" w:color="auto"/>
            </w:tcBorders>
            <w:shd w:val="clear" w:color="auto" w:fill="auto"/>
            <w:vAlign w:val="center"/>
          </w:tcPr>
          <w:p w14:paraId="29023EFE" w14:textId="2DB164AF" w:rsidR="007C1538" w:rsidRPr="00691EFE" w:rsidRDefault="007C1538" w:rsidP="009E51E4">
            <w:pPr>
              <w:pStyle w:val="In-tableHeading"/>
              <w:rPr>
                <w:b w:val="0"/>
              </w:rPr>
            </w:pPr>
            <w:r w:rsidRPr="00691EFE">
              <w:rPr>
                <w:b w:val="0"/>
              </w:rPr>
              <w:t>5 (3.5)</w:t>
            </w:r>
          </w:p>
        </w:tc>
        <w:tc>
          <w:tcPr>
            <w:tcW w:w="1113" w:type="pct"/>
            <w:tcBorders>
              <w:bottom w:val="single" w:sz="4" w:space="0" w:color="auto"/>
            </w:tcBorders>
            <w:shd w:val="clear" w:color="auto" w:fill="auto"/>
            <w:vAlign w:val="center"/>
          </w:tcPr>
          <w:p w14:paraId="5637609A" w14:textId="097049D2" w:rsidR="007C1538" w:rsidRPr="00691EFE" w:rsidRDefault="007C1538" w:rsidP="009E51E4">
            <w:pPr>
              <w:pStyle w:val="In-tableHeading"/>
              <w:rPr>
                <w:b w:val="0"/>
              </w:rPr>
            </w:pPr>
            <w:r w:rsidRPr="00691EFE">
              <w:rPr>
                <w:b w:val="0"/>
              </w:rPr>
              <w:t>6.1 (0.4, 11.7)</w:t>
            </w:r>
          </w:p>
        </w:tc>
        <w:tc>
          <w:tcPr>
            <w:tcW w:w="879" w:type="pct"/>
            <w:tcBorders>
              <w:bottom w:val="single" w:sz="4" w:space="0" w:color="auto"/>
            </w:tcBorders>
            <w:shd w:val="clear" w:color="auto" w:fill="auto"/>
            <w:vAlign w:val="center"/>
          </w:tcPr>
          <w:p w14:paraId="2581D4FB" w14:textId="41229AA8" w:rsidR="007C1538" w:rsidRPr="002A3753" w:rsidRDefault="007C1538" w:rsidP="009E51E4">
            <w:pPr>
              <w:pStyle w:val="In-tableHeading"/>
            </w:pPr>
            <w:r w:rsidRPr="002A3753">
              <w:t>-</w:t>
            </w:r>
          </w:p>
        </w:tc>
      </w:tr>
    </w:tbl>
    <w:p w14:paraId="70479CF6" w14:textId="71685AE7" w:rsidR="00863A9F" w:rsidRPr="0098262F" w:rsidRDefault="00863A9F" w:rsidP="00DD729B">
      <w:pPr>
        <w:pStyle w:val="FooterTableFigure"/>
        <w:keepLines/>
        <w:jc w:val="left"/>
      </w:pPr>
      <w:r w:rsidRPr="0098262F">
        <w:t xml:space="preserve">Source: </w:t>
      </w:r>
      <w:r w:rsidR="007C1538">
        <w:t>complied during the evaluation</w:t>
      </w:r>
      <w:r w:rsidRPr="0098262F">
        <w:t>.</w:t>
      </w:r>
      <w:r>
        <w:br/>
      </w:r>
      <w:r w:rsidR="007C1538">
        <w:t xml:space="preserve">CI, confidence interval; Cis+Gem, cisplatin and gemcitabine; </w:t>
      </w:r>
      <w:r w:rsidRPr="0098262F">
        <w:t>HR</w:t>
      </w:r>
      <w:r w:rsidR="007C1538">
        <w:t xml:space="preserve">, </w:t>
      </w:r>
      <w:r w:rsidRPr="0098262F">
        <w:t xml:space="preserve">hazard ratio; </w:t>
      </w:r>
      <w:r w:rsidR="007C1538" w:rsidRPr="00DD0935">
        <w:rPr>
          <w:szCs w:val="18"/>
        </w:rPr>
        <w:t>irAE, immune-related adverse event</w:t>
      </w:r>
      <w:r w:rsidR="007C1538">
        <w:rPr>
          <w:szCs w:val="18"/>
        </w:rPr>
        <w:t xml:space="preserve">; </w:t>
      </w:r>
      <w:r w:rsidR="007C1538" w:rsidRPr="0098262F">
        <w:rPr>
          <w:rFonts w:eastAsia="Calibri"/>
        </w:rPr>
        <w:t>n</w:t>
      </w:r>
      <w:r w:rsidR="007C1538">
        <w:rPr>
          <w:rFonts w:eastAsia="Calibri"/>
        </w:rPr>
        <w:t xml:space="preserve">, </w:t>
      </w:r>
      <w:r w:rsidR="007C1538" w:rsidRPr="0098262F">
        <w:rPr>
          <w:rFonts w:eastAsia="Calibri"/>
        </w:rPr>
        <w:t>number of participants reporting data; N</w:t>
      </w:r>
      <w:r w:rsidR="007C1538">
        <w:rPr>
          <w:rFonts w:eastAsia="Calibri"/>
        </w:rPr>
        <w:t xml:space="preserve">, </w:t>
      </w:r>
      <w:r w:rsidR="007C1538" w:rsidRPr="0098262F">
        <w:rPr>
          <w:rFonts w:eastAsia="Calibri"/>
        </w:rPr>
        <w:t xml:space="preserve">total participants in group; </w:t>
      </w:r>
      <w:r w:rsidR="007C1538">
        <w:t xml:space="preserve">OS, overall survival; PFS, progression-free survival; </w:t>
      </w:r>
      <w:r w:rsidRPr="0098262F">
        <w:t>RD</w:t>
      </w:r>
      <w:r w:rsidR="007C1538">
        <w:t xml:space="preserve">, </w:t>
      </w:r>
      <w:r w:rsidRPr="0098262F">
        <w:t xml:space="preserve">risk difference; </w:t>
      </w:r>
      <w:r w:rsidR="007C1538" w:rsidRPr="00DD0935">
        <w:rPr>
          <w:szCs w:val="18"/>
        </w:rPr>
        <w:t>TEAE, treatment emergent adverse event</w:t>
      </w:r>
    </w:p>
    <w:p w14:paraId="56A22B9E" w14:textId="65D00856" w:rsidR="002441D2" w:rsidRPr="0098262F" w:rsidRDefault="002441D2" w:rsidP="00E9094A">
      <w:pPr>
        <w:pStyle w:val="3-BodyText"/>
      </w:pPr>
      <w:r w:rsidRPr="0098262F">
        <w:t xml:space="preserve">On the basis of direct evidence presented by the submission, for every 100 patients treated with </w:t>
      </w:r>
      <w:r w:rsidR="009B0E3C">
        <w:t>toripalimab in combination with Cis+Gem followed by toripalimab maintenance therapy</w:t>
      </w:r>
      <w:r w:rsidRPr="0098262F">
        <w:t xml:space="preserve"> in comparison </w:t>
      </w:r>
      <w:r w:rsidR="006D68FB" w:rsidRPr="0098262F">
        <w:t>with</w:t>
      </w:r>
      <w:r w:rsidRPr="0098262F">
        <w:t xml:space="preserve"> </w:t>
      </w:r>
      <w:r w:rsidR="009B0E3C">
        <w:t>placebo in combination with Cis+Gem followed by placebo maintenance therapy</w:t>
      </w:r>
      <w:r w:rsidRPr="0098262F">
        <w:t>:</w:t>
      </w:r>
    </w:p>
    <w:p w14:paraId="674DD6AA" w14:textId="2A41025B" w:rsidR="00184B0E" w:rsidRPr="0098262F" w:rsidRDefault="002441D2" w:rsidP="009B0E3C">
      <w:pPr>
        <w:pStyle w:val="ListParagraph"/>
        <w:ind w:left="1134"/>
        <w:jc w:val="both"/>
      </w:pPr>
      <w:r w:rsidRPr="0098262F">
        <w:t xml:space="preserve">Approximately </w:t>
      </w:r>
      <w:r w:rsidR="009B0E3C">
        <w:t>19</w:t>
      </w:r>
      <w:r w:rsidRPr="0098262F">
        <w:t xml:space="preserve"> </w:t>
      </w:r>
      <w:r w:rsidR="00C41768" w:rsidRPr="0098262F">
        <w:t>additional</w:t>
      </w:r>
      <w:r w:rsidRPr="0098262F">
        <w:t xml:space="preserve"> patients </w:t>
      </w:r>
      <w:r w:rsidR="00C41768" w:rsidRPr="0098262F">
        <w:t xml:space="preserve">will </w:t>
      </w:r>
      <w:r w:rsidRPr="0098262F">
        <w:t>remain progression-free</w:t>
      </w:r>
      <w:r w:rsidR="000435EE" w:rsidRPr="0098262F">
        <w:t xml:space="preserve"> </w:t>
      </w:r>
      <w:r w:rsidRPr="0098262F">
        <w:t xml:space="preserve">after </w:t>
      </w:r>
      <w:r w:rsidR="009B0E3C">
        <w:t>two</w:t>
      </w:r>
      <w:r w:rsidRPr="0098262F">
        <w:t xml:space="preserve"> years</w:t>
      </w:r>
      <w:r w:rsidR="00DE7D92">
        <w:t xml:space="preserve"> </w:t>
      </w:r>
      <w:r w:rsidR="003406DB">
        <w:t>(median follow-up of 21.82 months)</w:t>
      </w:r>
      <w:r w:rsidR="00867DA9">
        <w:t>,</w:t>
      </w:r>
    </w:p>
    <w:p w14:paraId="3DC754A2" w14:textId="6B6ADCC2" w:rsidR="00184B0E" w:rsidRPr="0098262F" w:rsidRDefault="72083588" w:rsidP="009B0E3C">
      <w:pPr>
        <w:pStyle w:val="ListParagraph"/>
        <w:ind w:left="1134"/>
        <w:jc w:val="both"/>
      </w:pPr>
      <w:r>
        <w:t>A</w:t>
      </w:r>
      <w:r w:rsidR="009B0E3C">
        <w:t xml:space="preserve">pproximately 15 additional patients will be alive </w:t>
      </w:r>
      <w:r w:rsidR="00C41768" w:rsidRPr="0098262F">
        <w:t xml:space="preserve">after </w:t>
      </w:r>
      <w:r w:rsidR="009B0E3C">
        <w:t xml:space="preserve">three </w:t>
      </w:r>
      <w:r w:rsidR="00C41768" w:rsidRPr="0098262F">
        <w:t>years</w:t>
      </w:r>
      <w:r w:rsidR="003406DB">
        <w:t xml:space="preserve"> (median follow-up of 36.04 months)</w:t>
      </w:r>
      <w:r w:rsidR="00867DA9">
        <w:t>,</w:t>
      </w:r>
    </w:p>
    <w:p w14:paraId="0CD2C9E3" w14:textId="0F9F46D9" w:rsidR="00FC1884" w:rsidRPr="0098262F" w:rsidRDefault="00C45452" w:rsidP="00C45452">
      <w:pPr>
        <w:pStyle w:val="ListParagraph"/>
        <w:ind w:left="1134"/>
        <w:jc w:val="both"/>
      </w:pPr>
      <w:r>
        <w:t>Approximately 32 additional patients will experience any immune-related adverse event</w:t>
      </w:r>
      <w:r w:rsidR="00867DA9">
        <w:t>,</w:t>
      </w:r>
      <w:r>
        <w:t xml:space="preserve"> </w:t>
      </w:r>
    </w:p>
    <w:p w14:paraId="1DB81012" w14:textId="5AC5F6CC" w:rsidR="00FC1884" w:rsidRPr="0098262F" w:rsidRDefault="00B94AD7" w:rsidP="00376ADA">
      <w:pPr>
        <w:pStyle w:val="ListParagraph"/>
        <w:ind w:left="1134"/>
        <w:jc w:val="both"/>
      </w:pPr>
      <w:r>
        <w:t xml:space="preserve">Approximately </w:t>
      </w:r>
      <w:r w:rsidR="4C72EC11">
        <w:t>8 additional patients will experience</w:t>
      </w:r>
      <w:r w:rsidR="53490A14">
        <w:t xml:space="preserve"> a</w:t>
      </w:r>
      <w:r w:rsidR="00C45452">
        <w:t xml:space="preserve"> Grade </w:t>
      </w:r>
      <w:r w:rsidR="00C45452" w:rsidRPr="017D5E58">
        <w:rPr>
          <w:rFonts w:cstheme="minorBidi"/>
        </w:rPr>
        <w:t>≥</w:t>
      </w:r>
      <w:r w:rsidR="00C45452">
        <w:t xml:space="preserve">3 immune-related adverse event, </w:t>
      </w:r>
    </w:p>
    <w:p w14:paraId="59D43398" w14:textId="7799C500" w:rsidR="00FC1884" w:rsidRPr="0098262F" w:rsidRDefault="00B94AD7" w:rsidP="00376ADA">
      <w:pPr>
        <w:pStyle w:val="ListParagraph"/>
        <w:ind w:left="1134"/>
        <w:jc w:val="both"/>
      </w:pPr>
      <w:r>
        <w:t xml:space="preserve">Approximately </w:t>
      </w:r>
      <w:r w:rsidR="3A573DDF">
        <w:t xml:space="preserve">7 additional patients will experience </w:t>
      </w:r>
      <w:r w:rsidR="00C45452">
        <w:t xml:space="preserve">a treatment-emergent adverse event leading to withdrawal of </w:t>
      </w:r>
      <w:r w:rsidR="71254970">
        <w:t>the</w:t>
      </w:r>
      <w:r w:rsidR="00C45452">
        <w:t xml:space="preserve"> d</w:t>
      </w:r>
      <w:r w:rsidR="00567892">
        <w:t>r</w:t>
      </w:r>
      <w:r w:rsidR="00C45452">
        <w:t>ug</w:t>
      </w:r>
      <w:r w:rsidR="00ED7B1D">
        <w:t>,</w:t>
      </w:r>
    </w:p>
    <w:p w14:paraId="3B653B96" w14:textId="0AF77006" w:rsidR="00FC1884" w:rsidRPr="0098262F" w:rsidRDefault="00B94AD7" w:rsidP="00376ADA">
      <w:pPr>
        <w:pStyle w:val="ListParagraph"/>
        <w:ind w:left="1134"/>
        <w:jc w:val="both"/>
      </w:pPr>
      <w:r>
        <w:t xml:space="preserve">Approximately </w:t>
      </w:r>
      <w:r w:rsidR="2DC1AEF8">
        <w:t>6 additional patients will experience</w:t>
      </w:r>
      <w:r w:rsidR="00C45452">
        <w:t xml:space="preserve"> pneumonia</w:t>
      </w:r>
      <w:r w:rsidR="00A46D19">
        <w:t>.</w:t>
      </w:r>
      <w:r w:rsidR="00C45452">
        <w:t xml:space="preserve"> </w:t>
      </w:r>
    </w:p>
    <w:p w14:paraId="7A1772B6" w14:textId="23BB3145" w:rsidR="00B60939" w:rsidRPr="00286049" w:rsidRDefault="00B60939" w:rsidP="00E9094A">
      <w:pPr>
        <w:pStyle w:val="4-SubsectionHeading"/>
      </w:pPr>
      <w:bookmarkStart w:id="39" w:name="_Toc22897644"/>
      <w:bookmarkStart w:id="40" w:name="_Toc188361224"/>
      <w:r w:rsidRPr="00286049">
        <w:t>Clinical claim</w:t>
      </w:r>
      <w:bookmarkEnd w:id="39"/>
      <w:bookmarkEnd w:id="40"/>
    </w:p>
    <w:p w14:paraId="54D3A82D" w14:textId="7D4A160B" w:rsidR="005F7588" w:rsidRPr="00BB4DAB" w:rsidRDefault="005F7588" w:rsidP="00E9094A">
      <w:pPr>
        <w:pStyle w:val="3-BodyText"/>
        <w:rPr>
          <w:rFonts w:eastAsia="Calibri"/>
        </w:rPr>
      </w:pPr>
      <w:r w:rsidRPr="00BB4DAB">
        <w:rPr>
          <w:rFonts w:eastAsia="Calibri"/>
        </w:rPr>
        <w:t xml:space="preserve">The submission described </w:t>
      </w:r>
      <w:r w:rsidR="00E45164" w:rsidRPr="00BB4DAB">
        <w:rPr>
          <w:rFonts w:eastAsia="Calibri"/>
        </w:rPr>
        <w:t>toripalimab</w:t>
      </w:r>
      <w:r w:rsidRPr="00BB4DAB">
        <w:rPr>
          <w:rFonts w:eastAsia="Calibri"/>
        </w:rPr>
        <w:t xml:space="preserve"> </w:t>
      </w:r>
      <w:r w:rsidR="00E45164" w:rsidRPr="00BB4DAB">
        <w:t xml:space="preserve">in combination with Cis+Gem followed by toripalimab maintenance therapy </w:t>
      </w:r>
      <w:r w:rsidRPr="00BB4DAB">
        <w:rPr>
          <w:rFonts w:eastAsia="Calibri"/>
        </w:rPr>
        <w:t xml:space="preserve">as superior in terms of effectiveness compared to </w:t>
      </w:r>
      <w:r w:rsidR="00E45164" w:rsidRPr="00BB4DAB">
        <w:lastRenderedPageBreak/>
        <w:t>placebo in combination with Cis+Gem followed by placebo maintenance therapy</w:t>
      </w:r>
      <w:r w:rsidRPr="00BB4DAB">
        <w:rPr>
          <w:rFonts w:eastAsia="Calibri"/>
        </w:rPr>
        <w:t>. Th</w:t>
      </w:r>
      <w:r w:rsidR="00286049" w:rsidRPr="00BB4DAB">
        <w:rPr>
          <w:rFonts w:eastAsia="Calibri"/>
        </w:rPr>
        <w:t>e</w:t>
      </w:r>
      <w:r w:rsidRPr="00BB4DAB">
        <w:rPr>
          <w:rFonts w:eastAsia="Calibri"/>
        </w:rPr>
        <w:t xml:space="preserve"> claim was adequately supported</w:t>
      </w:r>
      <w:r w:rsidR="007C70FF" w:rsidRPr="00BB4DAB">
        <w:rPr>
          <w:rFonts w:eastAsia="Calibri"/>
        </w:rPr>
        <w:t xml:space="preserve"> </w:t>
      </w:r>
      <w:r w:rsidR="00286049" w:rsidRPr="00BB4DAB">
        <w:rPr>
          <w:rFonts w:eastAsia="Calibri"/>
        </w:rPr>
        <w:t xml:space="preserve">by the trial data </w:t>
      </w:r>
      <w:r w:rsidR="007C70FF" w:rsidRPr="00BB4DAB">
        <w:rPr>
          <w:rFonts w:eastAsia="Calibri"/>
        </w:rPr>
        <w:t xml:space="preserve">but the magnitude of the effect </w:t>
      </w:r>
      <w:r w:rsidR="005904DD" w:rsidRPr="00BB4DAB">
        <w:rPr>
          <w:rFonts w:eastAsia="Calibri"/>
        </w:rPr>
        <w:t xml:space="preserve">in the Australian population </w:t>
      </w:r>
      <w:r w:rsidR="007C70FF" w:rsidRPr="00BB4DAB">
        <w:rPr>
          <w:rFonts w:eastAsia="Calibri"/>
        </w:rPr>
        <w:t xml:space="preserve">was </w:t>
      </w:r>
      <w:r w:rsidR="00286049" w:rsidRPr="00BB4DAB">
        <w:rPr>
          <w:rFonts w:eastAsia="Calibri"/>
        </w:rPr>
        <w:t>uncertain</w:t>
      </w:r>
      <w:r w:rsidRPr="00BB4DAB">
        <w:rPr>
          <w:rFonts w:eastAsia="Calibri"/>
        </w:rPr>
        <w:t>.</w:t>
      </w:r>
      <w:r w:rsidR="007C70FF" w:rsidRPr="00BB4DAB">
        <w:rPr>
          <w:rFonts w:eastAsia="Calibri"/>
        </w:rPr>
        <w:t xml:space="preserve"> The </w:t>
      </w:r>
      <w:r w:rsidR="00F75AAA" w:rsidRPr="00BB4DAB">
        <w:rPr>
          <w:rFonts w:eastAsia="Calibri"/>
        </w:rPr>
        <w:t xml:space="preserve">evaluation considered the </w:t>
      </w:r>
      <w:r w:rsidR="007C70FF" w:rsidRPr="00BB4DAB">
        <w:rPr>
          <w:rFonts w:eastAsia="Calibri"/>
        </w:rPr>
        <w:t>key issue w</w:t>
      </w:r>
      <w:r w:rsidR="00F819A6" w:rsidRPr="00BB4DAB">
        <w:rPr>
          <w:rFonts w:eastAsia="Calibri"/>
        </w:rPr>
        <w:t>as</w:t>
      </w:r>
      <w:r w:rsidR="00286049" w:rsidRPr="00BB4DAB">
        <w:rPr>
          <w:rFonts w:eastAsia="Calibri"/>
        </w:rPr>
        <w:t xml:space="preserve"> </w:t>
      </w:r>
      <w:r w:rsidR="0A08A602" w:rsidRPr="00BB4DAB">
        <w:rPr>
          <w:rFonts w:eastAsia="Calibri"/>
        </w:rPr>
        <w:t xml:space="preserve">uncertainty about the </w:t>
      </w:r>
      <w:r w:rsidR="00286049" w:rsidRPr="00BB4DAB">
        <w:rPr>
          <w:rFonts w:eastAsia="Calibri"/>
        </w:rPr>
        <w:t xml:space="preserve"> </w:t>
      </w:r>
      <w:r w:rsidR="005C6992" w:rsidRPr="00BB4DAB">
        <w:rPr>
          <w:rFonts w:eastAsia="Calibri"/>
        </w:rPr>
        <w:t xml:space="preserve"> generalisability</w:t>
      </w:r>
      <w:r w:rsidR="00286049" w:rsidRPr="00BB4DAB">
        <w:rPr>
          <w:rFonts w:eastAsia="Calibri"/>
        </w:rPr>
        <w:t xml:space="preserve"> of the JUPITER-02 </w:t>
      </w:r>
      <w:r w:rsidR="09D01BAE" w:rsidRPr="00BB4DAB">
        <w:rPr>
          <w:rFonts w:eastAsia="Calibri"/>
        </w:rPr>
        <w:t>results</w:t>
      </w:r>
      <w:r w:rsidR="00F819A6" w:rsidRPr="00BB4DAB">
        <w:rPr>
          <w:rFonts w:eastAsia="Calibri"/>
        </w:rPr>
        <w:t xml:space="preserve"> to the proposed PBS population </w:t>
      </w:r>
      <w:r w:rsidR="2910AB8C" w:rsidRPr="00BB4DAB">
        <w:rPr>
          <w:rFonts w:eastAsia="Calibri"/>
        </w:rPr>
        <w:t>and Australian care setting</w:t>
      </w:r>
      <w:r w:rsidR="00F819A6" w:rsidRPr="00BB4DAB">
        <w:rPr>
          <w:rFonts w:eastAsia="Calibri"/>
        </w:rPr>
        <w:t xml:space="preserve"> based on </w:t>
      </w:r>
      <w:r w:rsidR="00F819A6" w:rsidRPr="00BB4DAB">
        <w:t>differences in (i) ethnicity; (ii) histologic subtype of NPC</w:t>
      </w:r>
      <w:r w:rsidR="31F0938F" w:rsidRPr="00BB4DAB">
        <w:t xml:space="preserve"> </w:t>
      </w:r>
      <w:r w:rsidR="61802DEF" w:rsidRPr="00BB4DAB">
        <w:t xml:space="preserve">with </w:t>
      </w:r>
      <w:r w:rsidR="31F0938F" w:rsidRPr="00BB4DAB">
        <w:t>varying</w:t>
      </w:r>
      <w:r w:rsidR="4138DAAF" w:rsidRPr="00BB4DAB">
        <w:t xml:space="preserve"> survival outcomes</w:t>
      </w:r>
      <w:r w:rsidR="00F819A6" w:rsidRPr="00BB4DAB">
        <w:t xml:space="preserve">; </w:t>
      </w:r>
      <w:r w:rsidR="00326F38" w:rsidRPr="00BB4DAB">
        <w:t xml:space="preserve">and </w:t>
      </w:r>
      <w:r w:rsidR="00F819A6" w:rsidRPr="00BB4DAB">
        <w:t>(iii) overall performance status</w:t>
      </w:r>
      <w:r w:rsidR="00326F38" w:rsidRPr="00BB4DAB">
        <w:t>.</w:t>
      </w:r>
      <w:r w:rsidR="00F819A6" w:rsidRPr="00BB4DAB">
        <w:t xml:space="preserve"> </w:t>
      </w:r>
      <w:r w:rsidR="00F7616E" w:rsidRPr="00BB4DAB">
        <w:t xml:space="preserve">The </w:t>
      </w:r>
      <w:r w:rsidR="00F75AAA" w:rsidRPr="00BB4DAB">
        <w:t xml:space="preserve">ESC noted that the </w:t>
      </w:r>
      <w:r w:rsidR="00F01AF6" w:rsidRPr="00F01AF6">
        <w:t xml:space="preserve">Pre-Sub-Committee Response </w:t>
      </w:r>
      <w:r w:rsidR="00F01AF6">
        <w:t>(</w:t>
      </w:r>
      <w:r w:rsidR="007807EA" w:rsidRPr="00BB4DAB">
        <w:t>PSCR</w:t>
      </w:r>
      <w:r w:rsidR="00F01AF6">
        <w:t>)</w:t>
      </w:r>
      <w:r w:rsidR="007807EA" w:rsidRPr="00BB4DAB">
        <w:t xml:space="preserve"> (p1) </w:t>
      </w:r>
      <w:r w:rsidR="00A03C9F" w:rsidRPr="00BB4DAB">
        <w:t>highlighted that differences in ethnicity are not expected to substantially impact the comparative efficacy results from JUPITER-02</w:t>
      </w:r>
      <w:r w:rsidR="007A42E0" w:rsidRPr="00BB4DAB">
        <w:t xml:space="preserve"> given that m</w:t>
      </w:r>
      <w:r w:rsidR="00A03C9F" w:rsidRPr="00BB4DAB">
        <w:t xml:space="preserve">onoclonal antibodies </w:t>
      </w:r>
      <w:r w:rsidR="00257F32" w:rsidRPr="00BB4DAB">
        <w:t xml:space="preserve">do not undergo traditional drug related metabolism like liver and gut metabolism, </w:t>
      </w:r>
      <w:r w:rsidR="00A03C9F" w:rsidRPr="00BB4DAB">
        <w:t>properties that make them less likely to be affected by ethnic differences</w:t>
      </w:r>
      <w:r w:rsidR="007A42E0" w:rsidRPr="00BB4DAB">
        <w:t>.</w:t>
      </w:r>
      <w:r w:rsidR="00257F32" w:rsidRPr="00BB4DAB">
        <w:t xml:space="preserve"> The ESC </w:t>
      </w:r>
      <w:r w:rsidR="001A79DE" w:rsidRPr="00BB4DAB">
        <w:t>noted</w:t>
      </w:r>
      <w:r w:rsidR="00257F32" w:rsidRPr="00BB4DAB">
        <w:t xml:space="preserve"> that </w:t>
      </w:r>
      <w:r w:rsidR="007522C0" w:rsidRPr="00BB4DAB">
        <w:t>toripalimab has predominantly been studied in Asian cohorts with endemic NPC</w:t>
      </w:r>
      <w:r w:rsidR="006C3BAC" w:rsidRPr="00BB4DAB">
        <w:t xml:space="preserve"> of the non-keratini</w:t>
      </w:r>
      <w:r w:rsidR="00FF007E" w:rsidRPr="00BB4DAB">
        <w:t>s</w:t>
      </w:r>
      <w:r w:rsidR="006C3BAC" w:rsidRPr="00BB4DAB">
        <w:t>ing squamous cell variant</w:t>
      </w:r>
      <w:r w:rsidR="008E1FC9" w:rsidRPr="00BB4DAB">
        <w:t xml:space="preserve">. </w:t>
      </w:r>
      <w:r w:rsidR="00890F02" w:rsidRPr="00BB4DAB">
        <w:t>While t</w:t>
      </w:r>
      <w:r w:rsidR="008E1FC9" w:rsidRPr="00BB4DAB">
        <w:t xml:space="preserve">he ESC noted that </w:t>
      </w:r>
      <w:r w:rsidR="0031058A" w:rsidRPr="00BB4DAB">
        <w:t xml:space="preserve">the </w:t>
      </w:r>
      <w:r w:rsidR="00257F32" w:rsidRPr="00BB4DAB">
        <w:t>keratini</w:t>
      </w:r>
      <w:r w:rsidR="00F75AAA" w:rsidRPr="00BB4DAB">
        <w:t>s</w:t>
      </w:r>
      <w:r w:rsidR="00257F32" w:rsidRPr="00BB4DAB">
        <w:t>ing</w:t>
      </w:r>
      <w:r w:rsidR="0031058A" w:rsidRPr="00BB4DAB">
        <w:t xml:space="preserve"> squamous cell variant</w:t>
      </w:r>
      <w:r w:rsidR="00257F32" w:rsidRPr="00BB4DAB">
        <w:t xml:space="preserve"> is more common in Australia </w:t>
      </w:r>
      <w:r w:rsidR="008B44EF" w:rsidRPr="00BB4DAB">
        <w:t>(</w:t>
      </w:r>
      <w:r w:rsidR="007E2391" w:rsidRPr="00BB4DAB">
        <w:t xml:space="preserve">~25%) </w:t>
      </w:r>
      <w:r w:rsidR="00257F32" w:rsidRPr="00BB4DAB">
        <w:t>than in JUPITER-0</w:t>
      </w:r>
      <w:r w:rsidR="0034313C" w:rsidRPr="00BB4DAB">
        <w:t>2</w:t>
      </w:r>
      <w:r w:rsidR="00890F02" w:rsidRPr="00BB4DAB">
        <w:t xml:space="preserve"> </w:t>
      </w:r>
      <w:r w:rsidR="008B44EF" w:rsidRPr="00BB4DAB">
        <w:t>(</w:t>
      </w:r>
      <w:r w:rsidR="002B0791" w:rsidRPr="00BB4DAB">
        <w:t>&lt;</w:t>
      </w:r>
      <w:r w:rsidR="008B44EF" w:rsidRPr="00BB4DAB">
        <w:t>3%)</w:t>
      </w:r>
      <w:r w:rsidR="007E2391" w:rsidRPr="00BB4DAB">
        <w:t xml:space="preserve"> </w:t>
      </w:r>
      <w:r w:rsidR="00890F02" w:rsidRPr="00BB4DAB">
        <w:t xml:space="preserve">and that this </w:t>
      </w:r>
      <w:r w:rsidR="00FA3223" w:rsidRPr="00BB4DAB">
        <w:t xml:space="preserve">variant </w:t>
      </w:r>
      <w:r w:rsidR="00257F32" w:rsidRPr="00BB4DAB">
        <w:t>is associated with poorer survival outcomes</w:t>
      </w:r>
      <w:r w:rsidR="00E50FBF" w:rsidRPr="00BB4DAB">
        <w:t xml:space="preserve">, the ESC considered </w:t>
      </w:r>
      <w:r w:rsidR="002B0791" w:rsidRPr="00BB4DAB">
        <w:t>specific data on the efficacy of toripalimab in patients with this subtype is unlikely to be forthcoming given the difficultly of enrolling</w:t>
      </w:r>
      <w:r w:rsidR="00D27DF6" w:rsidRPr="00BB4DAB">
        <w:t xml:space="preserve"> a sufficient number of patients </w:t>
      </w:r>
      <w:r w:rsidR="00C1103A" w:rsidRPr="00BB4DAB">
        <w:t xml:space="preserve">in a trial </w:t>
      </w:r>
      <w:r w:rsidR="00D27DF6" w:rsidRPr="00BB4DAB">
        <w:t>over a reasonably defined period of time</w:t>
      </w:r>
      <w:r w:rsidR="00257F32" w:rsidRPr="00BB4DAB">
        <w:t>.</w:t>
      </w:r>
    </w:p>
    <w:p w14:paraId="7F613CD1" w14:textId="4421F156" w:rsidR="005F7588" w:rsidRPr="00BB4DAB" w:rsidRDefault="005F7588" w:rsidP="00E9094A">
      <w:pPr>
        <w:pStyle w:val="3-BodyText"/>
        <w:rPr>
          <w:rFonts w:eastAsia="Calibri"/>
        </w:rPr>
      </w:pPr>
      <w:r w:rsidRPr="00BB4DAB">
        <w:rPr>
          <w:rFonts w:eastAsia="Calibri"/>
        </w:rPr>
        <w:t xml:space="preserve">The submission described </w:t>
      </w:r>
      <w:r w:rsidR="00E45164" w:rsidRPr="00BB4DAB">
        <w:rPr>
          <w:rFonts w:eastAsia="Calibri"/>
        </w:rPr>
        <w:t>toripalimab</w:t>
      </w:r>
      <w:r w:rsidR="00E45164" w:rsidRPr="00BB4DAB">
        <w:t xml:space="preserve"> in combination with Cis+Gem followed by toripalimab maintenance therapy</w:t>
      </w:r>
      <w:r w:rsidRPr="00BB4DAB">
        <w:rPr>
          <w:rFonts w:eastAsia="Calibri"/>
        </w:rPr>
        <w:t xml:space="preserve"> as non-inferior in term</w:t>
      </w:r>
      <w:r w:rsidR="00156F8F" w:rsidRPr="00BB4DAB">
        <w:rPr>
          <w:rFonts w:eastAsia="Calibri"/>
        </w:rPr>
        <w:t>s</w:t>
      </w:r>
      <w:r w:rsidRPr="00BB4DAB">
        <w:rPr>
          <w:rFonts w:eastAsia="Calibri"/>
        </w:rPr>
        <w:t xml:space="preserve"> of safety compared to </w:t>
      </w:r>
      <w:r w:rsidR="00E45164" w:rsidRPr="00BB4DAB">
        <w:t>placebo in combination with Cis+Gem followed by placebo maintenance therapy</w:t>
      </w:r>
      <w:r w:rsidRPr="00BB4DAB">
        <w:rPr>
          <w:rFonts w:eastAsia="Calibri"/>
        </w:rPr>
        <w:t xml:space="preserve">. This claim was </w:t>
      </w:r>
      <w:r w:rsidR="007C70FF" w:rsidRPr="00BB4DAB">
        <w:rPr>
          <w:rFonts w:eastAsia="Calibri"/>
        </w:rPr>
        <w:t xml:space="preserve">not </w:t>
      </w:r>
      <w:r w:rsidRPr="00BB4DAB">
        <w:rPr>
          <w:rFonts w:eastAsia="Calibri"/>
        </w:rPr>
        <w:t>adequately supported</w:t>
      </w:r>
      <w:r w:rsidR="002F1B92" w:rsidRPr="00BB4DAB">
        <w:rPr>
          <w:rFonts w:eastAsia="Calibri"/>
        </w:rPr>
        <w:t xml:space="preserve"> as a greater number of patients in the </w:t>
      </w:r>
      <w:r w:rsidR="2F98E68C" w:rsidRPr="00BB4DAB">
        <w:rPr>
          <w:rFonts w:eastAsia="Calibri"/>
        </w:rPr>
        <w:t xml:space="preserve">toripalimab arm of the </w:t>
      </w:r>
      <w:r w:rsidR="002F1B92" w:rsidRPr="00BB4DAB">
        <w:rPr>
          <w:rFonts w:eastAsia="Calibri"/>
        </w:rPr>
        <w:t xml:space="preserve">JUPITER-02 trial </w:t>
      </w:r>
      <w:r w:rsidR="56A62110" w:rsidRPr="00BB4DAB">
        <w:rPr>
          <w:rFonts w:eastAsia="Calibri"/>
        </w:rPr>
        <w:t>experienc</w:t>
      </w:r>
      <w:r w:rsidR="002F1B92" w:rsidRPr="00BB4DAB">
        <w:rPr>
          <w:rFonts w:eastAsia="Calibri"/>
        </w:rPr>
        <w:t xml:space="preserve">ed </w:t>
      </w:r>
      <w:r w:rsidR="002F1B92" w:rsidRPr="00BB4DAB">
        <w:t xml:space="preserve">any immune-related adverse event, </w:t>
      </w:r>
      <w:r w:rsidR="225222E0" w:rsidRPr="00BB4DAB">
        <w:t xml:space="preserve">a </w:t>
      </w:r>
      <w:r w:rsidR="002F1B92" w:rsidRPr="00BB4DAB">
        <w:t>Grade ≥3 immune-related adverse event, any treatment-emergent adverse event leading to withdrawal of study d</w:t>
      </w:r>
      <w:r w:rsidR="00567892" w:rsidRPr="00BB4DAB">
        <w:t>r</w:t>
      </w:r>
      <w:r w:rsidR="002F1B92" w:rsidRPr="00BB4DAB">
        <w:t xml:space="preserve">ug and pneumonia. </w:t>
      </w:r>
      <w:r w:rsidR="00B6255A" w:rsidRPr="00BB4DAB">
        <w:t xml:space="preserve">The ESC </w:t>
      </w:r>
      <w:r w:rsidR="00BA0913" w:rsidRPr="00BB4DAB">
        <w:t>considered that the safety profile of toripalimab was similar to that of other PDL</w:t>
      </w:r>
      <w:r w:rsidR="006028C9" w:rsidRPr="00BB4DAB">
        <w:t>1-inhibitors.</w:t>
      </w:r>
    </w:p>
    <w:p w14:paraId="67AB12CE" w14:textId="451FC0DB" w:rsidR="00C47DBF" w:rsidRPr="00001EF5" w:rsidRDefault="00C47DBF" w:rsidP="00E9094A">
      <w:pPr>
        <w:pStyle w:val="3-BodyText"/>
        <w:rPr>
          <w:rFonts w:eastAsia="Calibri"/>
        </w:rPr>
      </w:pPr>
      <w:r w:rsidRPr="00BB4DAB">
        <w:t xml:space="preserve">The ESC considered that the </w:t>
      </w:r>
      <w:r w:rsidR="006028C9" w:rsidRPr="00BB4DAB">
        <w:t xml:space="preserve">clinical </w:t>
      </w:r>
      <w:r w:rsidRPr="00BB4DAB">
        <w:t>data su</w:t>
      </w:r>
      <w:r w:rsidR="006028C9" w:rsidRPr="00BB4DAB">
        <w:t>bmitted su</w:t>
      </w:r>
      <w:r w:rsidRPr="00BB4DAB">
        <w:t>pport</w:t>
      </w:r>
      <w:r w:rsidR="003B14D7" w:rsidRPr="00BB4DAB">
        <w:t>ed</w:t>
      </w:r>
      <w:r w:rsidRPr="00BB4DAB">
        <w:t xml:space="preserve"> the clinical </w:t>
      </w:r>
      <w:r w:rsidR="00C93783">
        <w:t xml:space="preserve">effectiveness </w:t>
      </w:r>
      <w:r w:rsidRPr="00BB4DAB">
        <w:t>claim.</w:t>
      </w:r>
    </w:p>
    <w:p w14:paraId="258B5233" w14:textId="05AE2CBE" w:rsidR="00A372E4" w:rsidRDefault="000178EB" w:rsidP="00001EF5">
      <w:pPr>
        <w:widowControl w:val="0"/>
        <w:numPr>
          <w:ilvl w:val="1"/>
          <w:numId w:val="1"/>
        </w:numPr>
        <w:spacing w:after="120"/>
        <w:rPr>
          <w:rFonts w:asciiTheme="minorHAnsi" w:hAnsiTheme="minorHAnsi"/>
          <w:snapToGrid w:val="0"/>
          <w:szCs w:val="20"/>
        </w:rPr>
      </w:pPr>
      <w:bookmarkStart w:id="41" w:name="_Hlk76376200"/>
      <w:r w:rsidRPr="008B63DB">
        <w:rPr>
          <w:rFonts w:asciiTheme="minorHAnsi" w:hAnsiTheme="minorHAnsi"/>
          <w:iCs/>
          <w:snapToGrid w:val="0"/>
        </w:rPr>
        <w:t>For patients with RM-NPC with no prior systemic therapy, the</w:t>
      </w:r>
      <w:r w:rsidR="00001EF5" w:rsidRPr="008B63DB">
        <w:rPr>
          <w:rFonts w:asciiTheme="minorHAnsi" w:hAnsiTheme="minorHAnsi"/>
          <w:snapToGrid w:val="0"/>
          <w:szCs w:val="20"/>
        </w:rPr>
        <w:t xml:space="preserve"> PBAC considered that the claim </w:t>
      </w:r>
      <w:r w:rsidR="002756C7" w:rsidRPr="008B63DB">
        <w:rPr>
          <w:rFonts w:asciiTheme="minorHAnsi" w:hAnsiTheme="minorHAnsi"/>
          <w:snapToGrid w:val="0"/>
          <w:szCs w:val="20"/>
        </w:rPr>
        <w:t xml:space="preserve">that toripalimab in combination with chemotherapy </w:t>
      </w:r>
      <w:r w:rsidR="00AB3127" w:rsidRPr="008B63DB">
        <w:rPr>
          <w:rFonts w:asciiTheme="minorHAnsi" w:hAnsiTheme="minorHAnsi"/>
          <w:snapToGrid w:val="0"/>
          <w:szCs w:val="20"/>
        </w:rPr>
        <w:t>has superior</w:t>
      </w:r>
      <w:r w:rsidR="00001EF5" w:rsidRPr="008B63DB">
        <w:rPr>
          <w:rFonts w:asciiTheme="minorHAnsi" w:hAnsiTheme="minorHAnsi"/>
          <w:snapToGrid w:val="0"/>
          <w:szCs w:val="20"/>
        </w:rPr>
        <w:t xml:space="preserve"> comparative effectiveness </w:t>
      </w:r>
      <w:r w:rsidR="00AB3127" w:rsidRPr="008B63DB">
        <w:rPr>
          <w:rFonts w:asciiTheme="minorHAnsi" w:hAnsiTheme="minorHAnsi"/>
          <w:snapToGrid w:val="0"/>
          <w:szCs w:val="20"/>
        </w:rPr>
        <w:t xml:space="preserve">compared to standard of care chemotherapy </w:t>
      </w:r>
      <w:r w:rsidR="008B63DB">
        <w:rPr>
          <w:rFonts w:asciiTheme="minorHAnsi" w:hAnsiTheme="minorHAnsi"/>
          <w:snapToGrid w:val="0"/>
          <w:szCs w:val="20"/>
        </w:rPr>
        <w:t xml:space="preserve">to be </w:t>
      </w:r>
      <w:r w:rsidR="00AB3127" w:rsidRPr="008B63DB">
        <w:rPr>
          <w:rFonts w:asciiTheme="minorHAnsi" w:hAnsiTheme="minorHAnsi"/>
          <w:snapToGrid w:val="0"/>
          <w:szCs w:val="20"/>
        </w:rPr>
        <w:t xml:space="preserve">supported in </w:t>
      </w:r>
      <w:r w:rsidR="001315B9">
        <w:rPr>
          <w:rFonts w:asciiTheme="minorHAnsi" w:hAnsiTheme="minorHAnsi"/>
          <w:snapToGrid w:val="0"/>
          <w:szCs w:val="20"/>
        </w:rPr>
        <w:t>a</w:t>
      </w:r>
      <w:r w:rsidR="00356BE4" w:rsidRPr="008B63DB">
        <w:rPr>
          <w:rFonts w:asciiTheme="minorHAnsi" w:hAnsiTheme="minorHAnsi"/>
          <w:snapToGrid w:val="0"/>
          <w:szCs w:val="20"/>
        </w:rPr>
        <w:t xml:space="preserve"> population</w:t>
      </w:r>
      <w:r w:rsidR="001315B9">
        <w:rPr>
          <w:rFonts w:asciiTheme="minorHAnsi" w:hAnsiTheme="minorHAnsi"/>
          <w:snapToGrid w:val="0"/>
          <w:szCs w:val="20"/>
        </w:rPr>
        <w:t xml:space="preserve"> with predominantly non-keratinising NPC</w:t>
      </w:r>
      <w:r w:rsidR="00356BE4" w:rsidRPr="008B63DB">
        <w:rPr>
          <w:rFonts w:asciiTheme="minorHAnsi" w:hAnsiTheme="minorHAnsi"/>
          <w:snapToGrid w:val="0"/>
          <w:szCs w:val="20"/>
        </w:rPr>
        <w:t xml:space="preserve">. </w:t>
      </w:r>
      <w:r w:rsidR="008B5DED">
        <w:rPr>
          <w:rFonts w:asciiTheme="minorHAnsi" w:hAnsiTheme="minorHAnsi"/>
          <w:snapToGrid w:val="0"/>
          <w:szCs w:val="20"/>
        </w:rPr>
        <w:t>However, t</w:t>
      </w:r>
      <w:r w:rsidR="00356BE4" w:rsidRPr="008B63DB">
        <w:rPr>
          <w:rFonts w:asciiTheme="minorHAnsi" w:hAnsiTheme="minorHAnsi"/>
          <w:snapToGrid w:val="0"/>
          <w:szCs w:val="20"/>
        </w:rPr>
        <w:t xml:space="preserve">he PBAC considered the magnitude of clinical benefit in </w:t>
      </w:r>
      <w:r w:rsidR="001315B9">
        <w:rPr>
          <w:rFonts w:asciiTheme="minorHAnsi" w:hAnsiTheme="minorHAnsi"/>
          <w:snapToGrid w:val="0"/>
          <w:szCs w:val="20"/>
        </w:rPr>
        <w:t>a</w:t>
      </w:r>
      <w:r w:rsidR="00356BE4" w:rsidRPr="008B63DB">
        <w:rPr>
          <w:rFonts w:asciiTheme="minorHAnsi" w:hAnsiTheme="minorHAnsi"/>
          <w:snapToGrid w:val="0"/>
          <w:szCs w:val="20"/>
        </w:rPr>
        <w:t xml:space="preserve"> population </w:t>
      </w:r>
      <w:r w:rsidR="006E643F">
        <w:rPr>
          <w:rFonts w:asciiTheme="minorHAnsi" w:hAnsiTheme="minorHAnsi"/>
          <w:snapToGrid w:val="0"/>
          <w:szCs w:val="20"/>
        </w:rPr>
        <w:t>where a higher</w:t>
      </w:r>
      <w:r w:rsidR="00356BE4" w:rsidRPr="008B63DB">
        <w:rPr>
          <w:rFonts w:asciiTheme="minorHAnsi" w:hAnsiTheme="minorHAnsi"/>
          <w:snapToGrid w:val="0"/>
          <w:szCs w:val="20"/>
        </w:rPr>
        <w:t xml:space="preserve"> proportion of </w:t>
      </w:r>
      <w:r w:rsidR="006E643F">
        <w:rPr>
          <w:rFonts w:asciiTheme="minorHAnsi" w:hAnsiTheme="minorHAnsi"/>
          <w:snapToGrid w:val="0"/>
          <w:szCs w:val="20"/>
        </w:rPr>
        <w:t xml:space="preserve">patients </w:t>
      </w:r>
      <w:r w:rsidR="00A975C9">
        <w:rPr>
          <w:rFonts w:asciiTheme="minorHAnsi" w:hAnsiTheme="minorHAnsi"/>
          <w:snapToGrid w:val="0"/>
          <w:szCs w:val="20"/>
        </w:rPr>
        <w:t>have</w:t>
      </w:r>
      <w:r w:rsidR="006E643F">
        <w:rPr>
          <w:rFonts w:asciiTheme="minorHAnsi" w:hAnsiTheme="minorHAnsi"/>
          <w:snapToGrid w:val="0"/>
          <w:szCs w:val="20"/>
        </w:rPr>
        <w:t xml:space="preserve"> </w:t>
      </w:r>
      <w:r w:rsidR="00356BE4" w:rsidRPr="008B63DB">
        <w:rPr>
          <w:rFonts w:asciiTheme="minorHAnsi" w:hAnsiTheme="minorHAnsi"/>
          <w:snapToGrid w:val="0"/>
          <w:szCs w:val="20"/>
        </w:rPr>
        <w:t>keratinised NPC</w:t>
      </w:r>
      <w:r w:rsidR="006E643F">
        <w:rPr>
          <w:rFonts w:asciiTheme="minorHAnsi" w:hAnsiTheme="minorHAnsi"/>
          <w:snapToGrid w:val="0"/>
          <w:szCs w:val="20"/>
        </w:rPr>
        <w:t>,</w:t>
      </w:r>
      <w:r w:rsidR="00356BE4" w:rsidRPr="008B63DB">
        <w:rPr>
          <w:rFonts w:asciiTheme="minorHAnsi" w:hAnsiTheme="minorHAnsi"/>
          <w:snapToGrid w:val="0"/>
          <w:szCs w:val="20"/>
        </w:rPr>
        <w:t xml:space="preserve"> to be unclear. </w:t>
      </w:r>
    </w:p>
    <w:p w14:paraId="6070B8CE" w14:textId="4163D3B1" w:rsidR="00001EF5" w:rsidRDefault="00642A02" w:rsidP="00001EF5">
      <w:pPr>
        <w:widowControl w:val="0"/>
        <w:numPr>
          <w:ilvl w:val="1"/>
          <w:numId w:val="1"/>
        </w:numPr>
        <w:spacing w:after="120"/>
        <w:rPr>
          <w:rFonts w:asciiTheme="minorHAnsi" w:hAnsiTheme="minorHAnsi"/>
          <w:snapToGrid w:val="0"/>
          <w:szCs w:val="20"/>
        </w:rPr>
      </w:pPr>
      <w:r w:rsidRPr="008B63DB">
        <w:rPr>
          <w:rFonts w:asciiTheme="minorHAnsi" w:hAnsiTheme="minorHAnsi"/>
          <w:snapToGrid w:val="0"/>
          <w:szCs w:val="20"/>
        </w:rPr>
        <w:t>For patients with RM-NPC who have previously progressed while on chemotherapy, the PBAC considered</w:t>
      </w:r>
      <w:r w:rsidR="005C5133" w:rsidRPr="008B63DB">
        <w:rPr>
          <w:rFonts w:asciiTheme="minorHAnsi" w:hAnsiTheme="minorHAnsi"/>
          <w:snapToGrid w:val="0"/>
          <w:szCs w:val="20"/>
        </w:rPr>
        <w:t xml:space="preserve"> that the clinical claim that toripalimab provides a clinically </w:t>
      </w:r>
      <w:r w:rsidR="008B63DB" w:rsidRPr="008B63DB">
        <w:rPr>
          <w:rFonts w:asciiTheme="minorHAnsi" w:hAnsiTheme="minorHAnsi"/>
          <w:snapToGrid w:val="0"/>
          <w:szCs w:val="20"/>
        </w:rPr>
        <w:t>meaningful treatment response and duration of response to be reasonable</w:t>
      </w:r>
      <w:r w:rsidR="00001EF5" w:rsidRPr="008B63DB">
        <w:rPr>
          <w:rFonts w:asciiTheme="minorHAnsi" w:hAnsiTheme="minorHAnsi"/>
          <w:snapToGrid w:val="0"/>
          <w:szCs w:val="20"/>
        </w:rPr>
        <w:t>.</w:t>
      </w:r>
    </w:p>
    <w:p w14:paraId="4CFFED6D" w14:textId="54EE011A" w:rsidR="006142B0" w:rsidRPr="008B63DB" w:rsidRDefault="006142B0" w:rsidP="00001EF5">
      <w:pPr>
        <w:widowControl w:val="0"/>
        <w:numPr>
          <w:ilvl w:val="1"/>
          <w:numId w:val="1"/>
        </w:numPr>
        <w:spacing w:after="120"/>
        <w:rPr>
          <w:rFonts w:asciiTheme="minorHAnsi" w:hAnsiTheme="minorHAnsi"/>
          <w:snapToGrid w:val="0"/>
          <w:szCs w:val="20"/>
        </w:rPr>
      </w:pPr>
      <w:r w:rsidRPr="006142B0">
        <w:rPr>
          <w:rFonts w:asciiTheme="minorHAnsi" w:hAnsiTheme="minorHAnsi"/>
          <w:snapToGrid w:val="0"/>
          <w:szCs w:val="20"/>
        </w:rPr>
        <w:t xml:space="preserve">The PBAC considered the claim of non-inferior safety of toripalimab versus standard of care chemotherapy in the first-line RM-NPC setting </w:t>
      </w:r>
      <w:r w:rsidR="00595CA0">
        <w:rPr>
          <w:rFonts w:asciiTheme="minorHAnsi" w:hAnsiTheme="minorHAnsi"/>
          <w:snapToGrid w:val="0"/>
          <w:szCs w:val="20"/>
        </w:rPr>
        <w:t>was not adequately supported by the data presented</w:t>
      </w:r>
      <w:r w:rsidRPr="006142B0">
        <w:rPr>
          <w:rFonts w:asciiTheme="minorHAnsi" w:hAnsiTheme="minorHAnsi"/>
          <w:snapToGrid w:val="0"/>
          <w:szCs w:val="20"/>
        </w:rPr>
        <w:t>.</w:t>
      </w:r>
    </w:p>
    <w:p w14:paraId="37DF1F20" w14:textId="6EDA9D93" w:rsidR="00A44A76" w:rsidRPr="0098262F" w:rsidRDefault="00A44A76" w:rsidP="00A44A76">
      <w:pPr>
        <w:pStyle w:val="4-SubsectionHeading"/>
      </w:pPr>
      <w:bookmarkStart w:id="42" w:name="_Toc22897645"/>
      <w:bookmarkStart w:id="43" w:name="_Toc188361225"/>
      <w:bookmarkEnd w:id="41"/>
      <w:r w:rsidRPr="00056584">
        <w:lastRenderedPageBreak/>
        <w:t>Economic analysis</w:t>
      </w:r>
      <w:bookmarkEnd w:id="42"/>
      <w:bookmarkEnd w:id="43"/>
      <w:r w:rsidRPr="0098262F">
        <w:t xml:space="preserve"> </w:t>
      </w:r>
    </w:p>
    <w:p w14:paraId="44A22CAB" w14:textId="77777777" w:rsidR="00A44A76" w:rsidRDefault="00A44A76" w:rsidP="00A44A76">
      <w:pPr>
        <w:pStyle w:val="3-BodyText"/>
        <w:rPr>
          <w:rFonts w:eastAsia="Calibri"/>
        </w:rPr>
      </w:pPr>
      <w:r w:rsidRPr="00A44A76">
        <w:rPr>
          <w:rFonts w:eastAsia="Calibri"/>
        </w:rPr>
        <w:t>The submission presented a cost-utility analysis comparing toripalimab in combination with Cis+Gem followed by toripalimab maintenance therapy and placebo in combination with Cis+Gem followed by placebo maintenance therapy for 1L treatment of RM-NPC. This was consistent with a claim of superior effectiveness.</w:t>
      </w:r>
    </w:p>
    <w:p w14:paraId="7858BDAA" w14:textId="09E24CBF" w:rsidR="00A44A76" w:rsidRPr="00BB4DAB" w:rsidRDefault="00A44A76" w:rsidP="00A44A76">
      <w:pPr>
        <w:pStyle w:val="3-BodyText"/>
        <w:rPr>
          <w:rFonts w:eastAsia="Calibri"/>
        </w:rPr>
      </w:pPr>
      <w:r w:rsidRPr="00BB4DAB">
        <w:rPr>
          <w:rFonts w:eastAsia="Calibri"/>
        </w:rPr>
        <w:t xml:space="preserve">The submission did not present an economic evaluation for second-line use of toripalimab. The PSCR stated that second-line use is likely to be low and that there was precedent for a line-agnostic listing (para 7.15, selpercatinib </w:t>
      </w:r>
      <w:r w:rsidR="00105AB3" w:rsidRPr="00105AB3">
        <w:rPr>
          <w:rFonts w:eastAsia="Calibri"/>
        </w:rPr>
        <w:t xml:space="preserve">Public Summary Document </w:t>
      </w:r>
      <w:r w:rsidR="00105AB3">
        <w:rPr>
          <w:rFonts w:eastAsia="Calibri"/>
        </w:rPr>
        <w:t>(</w:t>
      </w:r>
      <w:r w:rsidRPr="00BB4DAB">
        <w:rPr>
          <w:rFonts w:eastAsia="Calibri"/>
        </w:rPr>
        <w:t>PSD</w:t>
      </w:r>
      <w:r w:rsidR="009F063F">
        <w:rPr>
          <w:rFonts w:eastAsia="Calibri"/>
        </w:rPr>
        <w:t>)</w:t>
      </w:r>
      <w:r w:rsidRPr="00BB4DAB">
        <w:rPr>
          <w:rFonts w:eastAsia="Calibri"/>
        </w:rPr>
        <w:t xml:space="preserve">, July 2024 PBAC meeting), particularly since the 2025 version of the National Comprehensive Cancer Network Guidelines for head and neck cancer lists toripalimab used in combination with cisplatin and gemcitabine as the preferred </w:t>
      </w:r>
      <w:r w:rsidR="00902352">
        <w:rPr>
          <w:rFonts w:eastAsia="Calibri"/>
        </w:rPr>
        <w:t>first</w:t>
      </w:r>
      <w:r w:rsidR="007E7C96">
        <w:rPr>
          <w:rFonts w:eastAsia="Calibri"/>
        </w:rPr>
        <w:t>-</w:t>
      </w:r>
      <w:r w:rsidR="00902352">
        <w:rPr>
          <w:rFonts w:eastAsia="Calibri"/>
        </w:rPr>
        <w:t xml:space="preserve">line </w:t>
      </w:r>
      <w:r w:rsidRPr="00BB4DAB">
        <w:rPr>
          <w:rFonts w:eastAsia="Calibri"/>
        </w:rPr>
        <w:t xml:space="preserve">treatment. </w:t>
      </w:r>
    </w:p>
    <w:p w14:paraId="15A9AFA4" w14:textId="55C4E724" w:rsidR="00275C5A" w:rsidRDefault="00E16AD8" w:rsidP="00147AA6">
      <w:pPr>
        <w:pStyle w:val="Caption"/>
        <w:spacing w:before="120"/>
        <w:jc w:val="left"/>
        <w:rPr>
          <w:rStyle w:val="CommentReference"/>
          <w:b/>
          <w:szCs w:val="24"/>
        </w:rPr>
      </w:pPr>
      <w:r w:rsidRPr="0098262F">
        <w:t xml:space="preserve">Table </w:t>
      </w:r>
      <w:r w:rsidR="000B117D">
        <w:fldChar w:fldCharType="begin"/>
      </w:r>
      <w:r w:rsidR="000B117D">
        <w:instrText xml:space="preserve"> SEQ Table \* ARABIC </w:instrText>
      </w:r>
      <w:r w:rsidR="000B117D">
        <w:fldChar w:fldCharType="separate"/>
      </w:r>
      <w:r w:rsidR="002C005D">
        <w:rPr>
          <w:noProof/>
        </w:rPr>
        <w:t>8</w:t>
      </w:r>
      <w:r w:rsidR="000B117D">
        <w:rPr>
          <w:noProof/>
        </w:rPr>
        <w:fldChar w:fldCharType="end"/>
      </w:r>
      <w:r w:rsidRPr="0098262F">
        <w:t>:</w:t>
      </w:r>
      <w:r w:rsidR="00275C5A" w:rsidRPr="0098262F">
        <w:rPr>
          <w:rStyle w:val="CommentReference"/>
          <w:b/>
          <w:szCs w:val="24"/>
        </w:rPr>
        <w:t xml:space="preserve"> Summary of model structure</w:t>
      </w:r>
      <w:r w:rsidR="00184B0E" w:rsidRPr="0098262F">
        <w:rPr>
          <w:rStyle w:val="CommentReference"/>
          <w:b/>
          <w:szCs w:val="24"/>
        </w:rPr>
        <w:t>, key inputs</w:t>
      </w:r>
      <w:r w:rsidR="00275C5A" w:rsidRPr="0098262F">
        <w:rPr>
          <w:rStyle w:val="CommentReference"/>
          <w:b/>
          <w:szCs w:val="24"/>
        </w:rPr>
        <w:t xml:space="preserve"> and rationale</w:t>
      </w:r>
    </w:p>
    <w:tbl>
      <w:tblPr>
        <w:tblStyle w:val="TableGrid"/>
        <w:tblW w:w="0" w:type="auto"/>
        <w:tblLook w:val="04A0" w:firstRow="1" w:lastRow="0" w:firstColumn="1" w:lastColumn="0" w:noHBand="0" w:noVBand="1"/>
      </w:tblPr>
      <w:tblGrid>
        <w:gridCol w:w="2547"/>
        <w:gridCol w:w="6470"/>
      </w:tblGrid>
      <w:tr w:rsidR="00344C51" w:rsidRPr="00344C51" w14:paraId="35ECE518" w14:textId="77777777" w:rsidTr="000A34CF">
        <w:tc>
          <w:tcPr>
            <w:tcW w:w="2547" w:type="dxa"/>
            <w:vAlign w:val="center"/>
          </w:tcPr>
          <w:p w14:paraId="3D92F89C" w14:textId="12A4CD19" w:rsidR="00344C51" w:rsidRPr="00344C51" w:rsidRDefault="00344C51" w:rsidP="00147AA6">
            <w:pPr>
              <w:keepNext/>
              <w:keepLines/>
              <w:jc w:val="left"/>
              <w:rPr>
                <w:rFonts w:ascii="Arial Narrow" w:hAnsi="Arial Narrow"/>
                <w:b/>
                <w:bCs/>
                <w:sz w:val="20"/>
                <w:szCs w:val="20"/>
              </w:rPr>
            </w:pPr>
            <w:r w:rsidRPr="00344C51">
              <w:rPr>
                <w:rFonts w:ascii="Arial Narrow" w:hAnsi="Arial Narrow"/>
                <w:b/>
                <w:bCs/>
                <w:sz w:val="20"/>
                <w:szCs w:val="20"/>
              </w:rPr>
              <w:t>Component</w:t>
            </w:r>
          </w:p>
        </w:tc>
        <w:tc>
          <w:tcPr>
            <w:tcW w:w="6470" w:type="dxa"/>
            <w:vAlign w:val="center"/>
          </w:tcPr>
          <w:p w14:paraId="4A583B6F" w14:textId="575D0089" w:rsidR="00344C51" w:rsidRPr="00344C51" w:rsidRDefault="00344C51" w:rsidP="00147AA6">
            <w:pPr>
              <w:keepNext/>
              <w:keepLines/>
              <w:jc w:val="center"/>
              <w:rPr>
                <w:rFonts w:ascii="Arial Narrow" w:hAnsi="Arial Narrow"/>
                <w:b/>
                <w:bCs/>
                <w:sz w:val="20"/>
                <w:szCs w:val="20"/>
              </w:rPr>
            </w:pPr>
            <w:r w:rsidRPr="00344C51">
              <w:rPr>
                <w:rFonts w:ascii="Arial Narrow" w:hAnsi="Arial Narrow"/>
                <w:b/>
                <w:bCs/>
                <w:sz w:val="20"/>
                <w:szCs w:val="20"/>
              </w:rPr>
              <w:t>Summary</w:t>
            </w:r>
          </w:p>
        </w:tc>
      </w:tr>
      <w:tr w:rsidR="00344C51" w:rsidRPr="00344C51" w14:paraId="3BFF42FF" w14:textId="77777777" w:rsidTr="000A34CF">
        <w:tc>
          <w:tcPr>
            <w:tcW w:w="2547" w:type="dxa"/>
            <w:vAlign w:val="center"/>
          </w:tcPr>
          <w:p w14:paraId="5C1DA667" w14:textId="4E901485"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Treatments</w:t>
            </w:r>
          </w:p>
        </w:tc>
        <w:tc>
          <w:tcPr>
            <w:tcW w:w="6470" w:type="dxa"/>
            <w:vAlign w:val="center"/>
          </w:tcPr>
          <w:p w14:paraId="7885B1B4" w14:textId="087019A5"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Toripalimab in combination with chemotherapy for up to six cycles followed by toripalimab monotherapy for up to two years versus placebo in combination with chemotherapy for up to six cycles followed by placebo monotherapy for up to two years</w:t>
            </w:r>
          </w:p>
        </w:tc>
      </w:tr>
      <w:tr w:rsidR="00344C51" w:rsidRPr="00344C51" w14:paraId="108FBCBB" w14:textId="77777777" w:rsidTr="000A34CF">
        <w:tc>
          <w:tcPr>
            <w:tcW w:w="2547" w:type="dxa"/>
            <w:vAlign w:val="center"/>
          </w:tcPr>
          <w:p w14:paraId="4ABA0D2C" w14:textId="4F9494EC"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Time horizon</w:t>
            </w:r>
          </w:p>
        </w:tc>
        <w:tc>
          <w:tcPr>
            <w:tcW w:w="6470" w:type="dxa"/>
            <w:vAlign w:val="center"/>
          </w:tcPr>
          <w:p w14:paraId="5E983756" w14:textId="17965523"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 xml:space="preserve">35 years in the model base case versus median follow-up of </w:t>
            </w:r>
            <w:r w:rsidR="00B91B93">
              <w:rPr>
                <w:rFonts w:ascii="Arial Narrow" w:hAnsi="Arial Narrow"/>
                <w:sz w:val="20"/>
                <w:szCs w:val="20"/>
              </w:rPr>
              <w:t>21.82 months (DCO2) for PFS and 36.7 months (DCO4) for OS</w:t>
            </w:r>
            <w:r w:rsidRPr="00344C51">
              <w:rPr>
                <w:rFonts w:ascii="Arial Narrow" w:hAnsi="Arial Narrow"/>
                <w:sz w:val="20"/>
                <w:szCs w:val="20"/>
              </w:rPr>
              <w:t xml:space="preserve"> in </w:t>
            </w:r>
            <w:r w:rsidR="00FE4DC6">
              <w:rPr>
                <w:rFonts w:ascii="Arial Narrow" w:hAnsi="Arial Narrow"/>
                <w:sz w:val="20"/>
                <w:szCs w:val="20"/>
              </w:rPr>
              <w:t xml:space="preserve">the </w:t>
            </w:r>
            <w:r w:rsidRPr="00344C51">
              <w:rPr>
                <w:rFonts w:ascii="Arial Narrow" w:hAnsi="Arial Narrow"/>
                <w:sz w:val="20"/>
                <w:szCs w:val="20"/>
              </w:rPr>
              <w:t>toripalimab arm of the trial</w:t>
            </w:r>
          </w:p>
        </w:tc>
      </w:tr>
      <w:tr w:rsidR="00344C51" w:rsidRPr="00344C51" w14:paraId="7296A8A7" w14:textId="77777777" w:rsidTr="000A34CF">
        <w:tc>
          <w:tcPr>
            <w:tcW w:w="2547" w:type="dxa"/>
            <w:vAlign w:val="center"/>
          </w:tcPr>
          <w:p w14:paraId="75480748" w14:textId="407D1CE1"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Outcomes</w:t>
            </w:r>
          </w:p>
        </w:tc>
        <w:tc>
          <w:tcPr>
            <w:tcW w:w="6470" w:type="dxa"/>
            <w:vAlign w:val="center"/>
          </w:tcPr>
          <w:p w14:paraId="674C3B95" w14:textId="1AC9C1C7"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LYG and QALYs</w:t>
            </w:r>
          </w:p>
        </w:tc>
      </w:tr>
      <w:tr w:rsidR="00344C51" w:rsidRPr="00344C51" w14:paraId="40AEABD1" w14:textId="77777777" w:rsidTr="000A34CF">
        <w:tc>
          <w:tcPr>
            <w:tcW w:w="2547" w:type="dxa"/>
            <w:vAlign w:val="center"/>
          </w:tcPr>
          <w:p w14:paraId="18D11398" w14:textId="491BA132"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Methods used to generate results</w:t>
            </w:r>
          </w:p>
        </w:tc>
        <w:tc>
          <w:tcPr>
            <w:tcW w:w="6470" w:type="dxa"/>
            <w:vAlign w:val="center"/>
          </w:tcPr>
          <w:p w14:paraId="27E96AB0" w14:textId="4403D3F4"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 xml:space="preserve">Partitioned survival model </w:t>
            </w:r>
          </w:p>
        </w:tc>
      </w:tr>
      <w:tr w:rsidR="00344C51" w:rsidRPr="00344C51" w14:paraId="76D0A34B" w14:textId="77777777" w:rsidTr="000A34CF">
        <w:tc>
          <w:tcPr>
            <w:tcW w:w="2547" w:type="dxa"/>
            <w:vAlign w:val="center"/>
          </w:tcPr>
          <w:p w14:paraId="08024E84" w14:textId="61E71AD8"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Health states</w:t>
            </w:r>
          </w:p>
        </w:tc>
        <w:tc>
          <w:tcPr>
            <w:tcW w:w="6470" w:type="dxa"/>
            <w:vAlign w:val="center"/>
          </w:tcPr>
          <w:p w14:paraId="5B8ACC68" w14:textId="79FDBD30"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PFS, PD, death</w:t>
            </w:r>
          </w:p>
        </w:tc>
      </w:tr>
      <w:tr w:rsidR="00344C51" w:rsidRPr="00344C51" w14:paraId="2F99ED86" w14:textId="77777777" w:rsidTr="000A34CF">
        <w:tc>
          <w:tcPr>
            <w:tcW w:w="2547" w:type="dxa"/>
            <w:vAlign w:val="center"/>
          </w:tcPr>
          <w:p w14:paraId="3D157B91" w14:textId="164FC9C9"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Cycle length</w:t>
            </w:r>
          </w:p>
        </w:tc>
        <w:tc>
          <w:tcPr>
            <w:tcW w:w="6470" w:type="dxa"/>
            <w:vAlign w:val="center"/>
          </w:tcPr>
          <w:p w14:paraId="7C32454F" w14:textId="0DFCD480"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1 month</w:t>
            </w:r>
          </w:p>
        </w:tc>
      </w:tr>
      <w:tr w:rsidR="00344C51" w:rsidRPr="00344C51" w14:paraId="4CA88E1A" w14:textId="77777777" w:rsidTr="000A34CF">
        <w:tc>
          <w:tcPr>
            <w:tcW w:w="2547" w:type="dxa"/>
            <w:vAlign w:val="center"/>
          </w:tcPr>
          <w:p w14:paraId="3F39F10A" w14:textId="3770F9FC"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Extrapolation method</w:t>
            </w:r>
          </w:p>
        </w:tc>
        <w:tc>
          <w:tcPr>
            <w:tcW w:w="6470" w:type="dxa"/>
            <w:vAlign w:val="center"/>
          </w:tcPr>
          <w:p w14:paraId="0432F6F7" w14:textId="77777777" w:rsidR="00344C51" w:rsidRPr="00B91B93" w:rsidRDefault="00344C51" w:rsidP="00147AA6">
            <w:pPr>
              <w:pStyle w:val="TableText0"/>
              <w:framePr w:wrap="around"/>
            </w:pPr>
            <w:r w:rsidRPr="00B91B93">
              <w:t xml:space="preserve">Parametric model fitted to each treatment arm with log-normal selected in base case for toripalimab and placebo OS (and log-normal and log-logistic for toripalimab and placebo PFS, respectively) based on goodness of fit/ based on statistical fit, visual fit and clinical plausibility. </w:t>
            </w:r>
          </w:p>
          <w:p w14:paraId="323920F9" w14:textId="7304BE19" w:rsidR="00344C51" w:rsidRPr="00344C51" w:rsidRDefault="00344C51" w:rsidP="00147AA6">
            <w:pPr>
              <w:pStyle w:val="TableText0"/>
              <w:framePr w:wrap="around"/>
            </w:pPr>
            <w:r w:rsidRPr="00B91B93">
              <w:t xml:space="preserve">Switch from KM to extrapolation </w:t>
            </w:r>
            <w:r w:rsidR="008A756C" w:rsidRPr="00B91B93">
              <w:t>occurred</w:t>
            </w:r>
            <w:r w:rsidRPr="00B91B93">
              <w:t xml:space="preserve"> at 20 months for OS and PFS in both arms</w:t>
            </w:r>
            <w:r w:rsidRPr="00344C51">
              <w:t>.</w:t>
            </w:r>
          </w:p>
          <w:p w14:paraId="2CE0F1CA" w14:textId="54B2AF9F"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No convergence was assumed to occur within the modelled time horizon.</w:t>
            </w:r>
          </w:p>
        </w:tc>
      </w:tr>
      <w:tr w:rsidR="00344C51" w:rsidRPr="00344C51" w14:paraId="1CC45396" w14:textId="77777777" w:rsidTr="000A34CF">
        <w:tc>
          <w:tcPr>
            <w:tcW w:w="2547" w:type="dxa"/>
            <w:vAlign w:val="center"/>
          </w:tcPr>
          <w:p w14:paraId="042B5C6A" w14:textId="66084552"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Health related quality of life</w:t>
            </w:r>
          </w:p>
        </w:tc>
        <w:tc>
          <w:tcPr>
            <w:tcW w:w="6470" w:type="dxa"/>
            <w:vAlign w:val="center"/>
          </w:tcPr>
          <w:p w14:paraId="0E84EEA8" w14:textId="66583D78" w:rsidR="00344C51" w:rsidRPr="00344C51" w:rsidRDefault="00344C51" w:rsidP="00147AA6">
            <w:pPr>
              <w:keepNext/>
              <w:keepLines/>
              <w:jc w:val="left"/>
              <w:rPr>
                <w:rFonts w:ascii="Arial Narrow" w:hAnsi="Arial Narrow"/>
                <w:sz w:val="20"/>
                <w:szCs w:val="20"/>
              </w:rPr>
            </w:pPr>
            <w:r w:rsidRPr="00344C51">
              <w:rPr>
                <w:rFonts w:ascii="Arial Narrow" w:hAnsi="Arial Narrow"/>
                <w:sz w:val="20"/>
                <w:szCs w:val="20"/>
              </w:rPr>
              <w:t>Progression-free = 0.79; Progressed = 0.71</w:t>
            </w:r>
          </w:p>
        </w:tc>
      </w:tr>
    </w:tbl>
    <w:p w14:paraId="213DED56" w14:textId="0A91F853" w:rsidR="003270E4" w:rsidRDefault="003270E4" w:rsidP="00147AA6">
      <w:pPr>
        <w:pStyle w:val="FooterTableFigure"/>
        <w:keepNext/>
        <w:keepLines/>
      </w:pPr>
      <w:r w:rsidRPr="0098262F">
        <w:t xml:space="preserve">Source: </w:t>
      </w:r>
      <w:r w:rsidR="00056584">
        <w:t>compiled during the evaluation</w:t>
      </w:r>
      <w:r w:rsidRPr="0098262F">
        <w:t>.</w:t>
      </w:r>
    </w:p>
    <w:p w14:paraId="30E0303E" w14:textId="32134E88" w:rsidR="00344C51" w:rsidRDefault="00B91B93" w:rsidP="00147AA6">
      <w:pPr>
        <w:pStyle w:val="FooterTableFigure"/>
        <w:keepNext/>
        <w:keepLines/>
      </w:pPr>
      <w:r>
        <w:t xml:space="preserve">DCO, data cutoff; </w:t>
      </w:r>
      <w:r w:rsidR="00344C51">
        <w:t xml:space="preserve">KM, Kaplan-Meier; LYG, life year gained; OS, overall survival; PFS, progression-free survival; QALYs, quality adjusted life </w:t>
      </w:r>
      <w:r w:rsidR="003B1447">
        <w:t>years.</w:t>
      </w:r>
      <w:r w:rsidR="00344C51">
        <w:t xml:space="preserve"> </w:t>
      </w:r>
    </w:p>
    <w:p w14:paraId="5B5F7B98" w14:textId="28FDAEBE" w:rsidR="00490B17" w:rsidRPr="0098262F" w:rsidRDefault="00031262" w:rsidP="002E1071">
      <w:pPr>
        <w:pStyle w:val="3-BodyText"/>
        <w:rPr>
          <w:color w:val="0066FF"/>
        </w:rPr>
      </w:pPr>
      <w:bookmarkStart w:id="44" w:name="_Ref185845215"/>
      <w:r w:rsidRPr="00A83DE1">
        <w:rPr>
          <w:iCs/>
        </w:rPr>
        <w:t xml:space="preserve">The </w:t>
      </w:r>
      <w:r w:rsidR="000F6A51" w:rsidRPr="00054CA9">
        <w:rPr>
          <w:iCs/>
        </w:rPr>
        <w:t xml:space="preserve">evaluation and the ESC noted that </w:t>
      </w:r>
      <w:r w:rsidR="000F6A51">
        <w:rPr>
          <w:iCs/>
        </w:rPr>
        <w:t xml:space="preserve">the </w:t>
      </w:r>
      <w:r w:rsidRPr="00A83DE1">
        <w:rPr>
          <w:iCs/>
        </w:rPr>
        <w:t>submission inappropriately applied a half cycle correction to drug acquisition costs. As these costs will be accrued at the beginning of the cycle regardless of when a patient stops taking them (</w:t>
      </w:r>
      <w:r w:rsidR="00056584" w:rsidRPr="00A83DE1">
        <w:rPr>
          <w:iCs/>
        </w:rPr>
        <w:t>tor</w:t>
      </w:r>
      <w:r w:rsidR="00FF45E2" w:rsidRPr="00A83DE1">
        <w:rPr>
          <w:iCs/>
        </w:rPr>
        <w:t>i</w:t>
      </w:r>
      <w:r w:rsidR="00056584" w:rsidRPr="00A83DE1">
        <w:rPr>
          <w:iCs/>
        </w:rPr>
        <w:t>palimab</w:t>
      </w:r>
      <w:r w:rsidRPr="00A83DE1">
        <w:rPr>
          <w:iCs/>
        </w:rPr>
        <w:t xml:space="preserve"> is expected to be dispensed on </w:t>
      </w:r>
      <w:r w:rsidR="00056584" w:rsidRPr="00A83DE1">
        <w:rPr>
          <w:iCs/>
        </w:rPr>
        <w:t>21</w:t>
      </w:r>
      <w:r w:rsidRPr="00A83DE1">
        <w:rPr>
          <w:iCs/>
        </w:rPr>
        <w:t xml:space="preserve">-day intervals), this was inappropriate. During the evaluation, the half cycle correction was removed for drug acquisition costs. This </w:t>
      </w:r>
      <w:r w:rsidR="00056584" w:rsidRPr="00A83DE1">
        <w:rPr>
          <w:iCs/>
        </w:rPr>
        <w:t>increased</w:t>
      </w:r>
      <w:r w:rsidRPr="00A83DE1">
        <w:rPr>
          <w:iCs/>
        </w:rPr>
        <w:t xml:space="preserve"> the base case </w:t>
      </w:r>
      <w:r w:rsidR="0092544E">
        <w:rPr>
          <w:iCs/>
        </w:rPr>
        <w:t>incremental cost-effectiveness ratio (</w:t>
      </w:r>
      <w:r w:rsidRPr="00A83DE1">
        <w:rPr>
          <w:iCs/>
        </w:rPr>
        <w:t>ICER</w:t>
      </w:r>
      <w:r w:rsidR="0092544E">
        <w:rPr>
          <w:iCs/>
        </w:rPr>
        <w:t>)</w:t>
      </w:r>
      <w:r w:rsidRPr="00A83DE1">
        <w:rPr>
          <w:iCs/>
        </w:rPr>
        <w:t xml:space="preserve"> from $</w:t>
      </w:r>
      <w:r w:rsidR="00F80FB9" w:rsidRPr="00F80FB9">
        <w:rPr>
          <w:iCs/>
        </w:rPr>
        <w:t>155,000 to &lt; $255,000</w:t>
      </w:r>
      <w:r w:rsidRPr="00A83DE1">
        <w:rPr>
          <w:iCs/>
        </w:rPr>
        <w:t>/</w:t>
      </w:r>
      <w:r w:rsidR="009F1489">
        <w:rPr>
          <w:iCs/>
        </w:rPr>
        <w:t>quality adjusted life year (</w:t>
      </w:r>
      <w:r w:rsidRPr="00A83DE1">
        <w:rPr>
          <w:iCs/>
        </w:rPr>
        <w:t>QALY</w:t>
      </w:r>
      <w:r w:rsidR="009F1489">
        <w:rPr>
          <w:iCs/>
        </w:rPr>
        <w:t>)</w:t>
      </w:r>
      <w:r w:rsidRPr="00A83DE1">
        <w:rPr>
          <w:iCs/>
        </w:rPr>
        <w:t xml:space="preserve"> </w:t>
      </w:r>
      <w:r w:rsidR="006F5E8B">
        <w:rPr>
          <w:iCs/>
        </w:rPr>
        <w:t xml:space="preserve">gained </w:t>
      </w:r>
      <w:r w:rsidRPr="00A83DE1">
        <w:rPr>
          <w:iCs/>
        </w:rPr>
        <w:t>to $</w:t>
      </w:r>
      <w:r w:rsidR="00F80FB9" w:rsidRPr="00F80FB9">
        <w:rPr>
          <w:iCs/>
        </w:rPr>
        <w:t>155,000 to &lt; $255,000</w:t>
      </w:r>
      <w:r w:rsidRPr="00A83DE1">
        <w:rPr>
          <w:iCs/>
        </w:rPr>
        <w:t>/QALY</w:t>
      </w:r>
      <w:r w:rsidR="006F5E8B">
        <w:rPr>
          <w:iCs/>
        </w:rPr>
        <w:t xml:space="preserve"> gained</w:t>
      </w:r>
      <w:r w:rsidRPr="00A83DE1">
        <w:rPr>
          <w:iCs/>
        </w:rPr>
        <w:t>. All presented results below are reflective of these corrections.</w:t>
      </w:r>
      <w:bookmarkEnd w:id="44"/>
    </w:p>
    <w:p w14:paraId="3B90C43B" w14:textId="4816AF5D" w:rsidR="003170F8" w:rsidRPr="00BB4DAB" w:rsidRDefault="007C7830" w:rsidP="00BB00B3">
      <w:pPr>
        <w:pStyle w:val="3-BodyText"/>
        <w:rPr>
          <w:color w:val="0066FF"/>
        </w:rPr>
      </w:pPr>
      <w:r w:rsidRPr="00BB4DAB">
        <w:t xml:space="preserve">The submission assumed a time horizon of 35 years, noting that median survival among subjects in JUPITER-02 who were treated with toripalimab was not reached </w:t>
      </w:r>
      <w:r w:rsidRPr="00BB4DAB">
        <w:lastRenderedPageBreak/>
        <w:t xml:space="preserve">(median follow up </w:t>
      </w:r>
      <w:r w:rsidR="003170F8" w:rsidRPr="00BB4DAB">
        <w:t>36</w:t>
      </w:r>
      <w:r w:rsidRPr="00BB4DAB">
        <w:t xml:space="preserve">.7 </w:t>
      </w:r>
      <w:r w:rsidR="003170F8" w:rsidRPr="00BB4DAB">
        <w:t>months</w:t>
      </w:r>
      <w:r w:rsidRPr="00BB4DAB">
        <w:t>)</w:t>
      </w:r>
      <w:r w:rsidR="003170F8" w:rsidRPr="00BB4DAB">
        <w:t xml:space="preserve">. </w:t>
      </w:r>
      <w:r w:rsidR="0021095E" w:rsidRPr="00BB4DAB">
        <w:t>The evaluation considered that a</w:t>
      </w:r>
      <w:r w:rsidR="003170F8" w:rsidRPr="00BB4DAB">
        <w:t xml:space="preserve"> 35-year time horizon </w:t>
      </w:r>
      <w:r w:rsidR="0021095E" w:rsidRPr="00BB4DAB">
        <w:t>was</w:t>
      </w:r>
      <w:r w:rsidR="003170F8" w:rsidRPr="00BB4DAB">
        <w:t xml:space="preserve"> optimistic and uncertain.</w:t>
      </w:r>
      <w:r w:rsidR="0096437E" w:rsidRPr="00BB4DAB">
        <w:t xml:space="preserve"> The ESC </w:t>
      </w:r>
      <w:r w:rsidR="00CF4757" w:rsidRPr="00BB4DAB">
        <w:t xml:space="preserve">noted that the baseline age for patients entering the model was 47 years and </w:t>
      </w:r>
      <w:r w:rsidR="0096437E" w:rsidRPr="00BB4DAB">
        <w:t>considered that a time horizon of 35 years was too long in the context of a non-curative treatment.</w:t>
      </w:r>
      <w:r w:rsidR="006D7AB8" w:rsidRPr="00BB4DAB">
        <w:t xml:space="preserve"> The ESC noted th</w:t>
      </w:r>
      <w:r w:rsidR="00162288" w:rsidRPr="00BB4DAB">
        <w:t>e ICER was sensitive to the time horizon and th</w:t>
      </w:r>
      <w:r w:rsidR="006D7AB8" w:rsidRPr="00BB4DAB">
        <w:t>at with a time horizon of 10 years, the base case ICER increased to $</w:t>
      </w:r>
      <w:r w:rsidR="00147017" w:rsidRPr="00147017">
        <w:t>255,000 to &lt; $355,000</w:t>
      </w:r>
      <w:r w:rsidR="00147017" w:rsidRPr="00147017" w:rsidDel="00147017">
        <w:t xml:space="preserve"> </w:t>
      </w:r>
      <w:r w:rsidR="00E67082" w:rsidRPr="00BB4DAB">
        <w:t>(Table 11)</w:t>
      </w:r>
      <w:r w:rsidR="006D7AB8" w:rsidRPr="00BB4DAB">
        <w:t>.</w:t>
      </w:r>
    </w:p>
    <w:p w14:paraId="5D2B4478" w14:textId="03D47C4B" w:rsidR="003170F8" w:rsidRPr="00BB4DAB" w:rsidRDefault="003A7850" w:rsidP="00BB00B3">
      <w:pPr>
        <w:pStyle w:val="3-BodyText"/>
        <w:rPr>
          <w:color w:val="0066FF"/>
        </w:rPr>
      </w:pPr>
      <w:r w:rsidRPr="00BB4DAB">
        <w:t>The evaluation and the ESC noted that</w:t>
      </w:r>
      <w:r w:rsidR="000D4B09" w:rsidRPr="00BB4DAB">
        <w:t xml:space="preserve"> the PBAC recommended cetuximab and pembrolizumab on the basis of time horizons of 5 years for recurrent or metastatic (R/M) head and neck squamous cell carcinoma (SC</w:t>
      </w:r>
      <w:r w:rsidR="002D538C">
        <w:t>CHN</w:t>
      </w:r>
      <w:r w:rsidR="000D4B09" w:rsidRPr="00BB4DAB">
        <w:t>)</w:t>
      </w:r>
      <w:r w:rsidRPr="00BB4DAB">
        <w:t xml:space="preserve"> </w:t>
      </w:r>
      <w:r w:rsidR="00730A37" w:rsidRPr="00BB4DAB">
        <w:t xml:space="preserve">(para 7.8, cetuximab PSD, March 2018 PBAC Meeting and </w:t>
      </w:r>
      <w:r w:rsidR="00015112" w:rsidRPr="00BB4DAB">
        <w:t>para 7.13</w:t>
      </w:r>
      <w:r w:rsidR="00730A37" w:rsidRPr="00BB4DAB">
        <w:t>, pembrolizumab PSD, November 202</w:t>
      </w:r>
      <w:r w:rsidR="00015112" w:rsidRPr="00BB4DAB">
        <w:t>1</w:t>
      </w:r>
      <w:r w:rsidR="00730A37" w:rsidRPr="00BB4DAB">
        <w:t xml:space="preserve"> PBAC meeting). </w:t>
      </w:r>
      <w:r w:rsidR="00BF7C9B" w:rsidRPr="00BF7C9B">
        <w:t xml:space="preserve">The </w:t>
      </w:r>
      <w:r w:rsidR="00BF7C9B">
        <w:t xml:space="preserve">pre-PBAC response </w:t>
      </w:r>
      <w:r w:rsidR="00BF7C9B" w:rsidRPr="00BF7C9B">
        <w:t>acknowledge</w:t>
      </w:r>
      <w:r w:rsidR="00BF7C9B">
        <w:t xml:space="preserve">d </w:t>
      </w:r>
      <w:r w:rsidR="00BF7C9B" w:rsidRPr="00BF7C9B">
        <w:t xml:space="preserve">that the time horizon presented in the base case economic model </w:t>
      </w:r>
      <w:r w:rsidR="00BF7C9B">
        <w:t xml:space="preserve">(35 years) </w:t>
      </w:r>
      <w:r w:rsidR="00BF7C9B" w:rsidRPr="00BF7C9B">
        <w:t>may be optimistic</w:t>
      </w:r>
      <w:r w:rsidR="00BF7C9B">
        <w:t>;</w:t>
      </w:r>
      <w:r w:rsidR="00BF7C9B" w:rsidRPr="00BF7C9B">
        <w:t xml:space="preserve"> however, assert</w:t>
      </w:r>
      <w:r w:rsidR="00BF7C9B">
        <w:t>ed</w:t>
      </w:r>
      <w:r w:rsidR="00BF7C9B" w:rsidRPr="00BF7C9B">
        <w:t xml:space="preserve"> that a comparison to the time horizon considered in SCCHN is inappropriate given the vastly different prognosis of the two diseases</w:t>
      </w:r>
      <w:r w:rsidR="00BF7C9B">
        <w:t xml:space="preserve">. </w:t>
      </w:r>
      <w:r w:rsidR="00C61818">
        <w:t xml:space="preserve">The pre-PBAC </w:t>
      </w:r>
      <w:r w:rsidR="00540E77">
        <w:t xml:space="preserve">response </w:t>
      </w:r>
      <w:r w:rsidR="00C61818">
        <w:t>noted that b</w:t>
      </w:r>
      <w:r w:rsidR="00BF7C9B" w:rsidRPr="00BF7C9B">
        <w:t xml:space="preserve">ased on results from the JUPITER-02 </w:t>
      </w:r>
      <w:r w:rsidR="007444D0">
        <w:t>trial</w:t>
      </w:r>
      <w:r w:rsidR="00BF7C9B" w:rsidRPr="00BF7C9B">
        <w:t>, median OS in toripalimab treated patients was not yet reached after median follow up of over 36 months</w:t>
      </w:r>
      <w:r w:rsidR="009C33E9">
        <w:t xml:space="preserve"> compared to the </w:t>
      </w:r>
      <w:r w:rsidR="00BF7C9B" w:rsidRPr="00BF7C9B">
        <w:t xml:space="preserve">median OS </w:t>
      </w:r>
      <w:r w:rsidR="009C33E9">
        <w:t xml:space="preserve">of </w:t>
      </w:r>
      <w:r w:rsidR="009C33E9" w:rsidRPr="00BF7C9B">
        <w:t xml:space="preserve">13 months </w:t>
      </w:r>
      <w:r w:rsidR="00BF7C9B" w:rsidRPr="00BF7C9B">
        <w:t>in pembrolizumab treated patient</w:t>
      </w:r>
      <w:r w:rsidR="008F1246">
        <w:t>s</w:t>
      </w:r>
      <w:r w:rsidR="00BF7C9B" w:rsidRPr="00BF7C9B">
        <w:t xml:space="preserve"> with SCCHN in the Keynote 048 trial (</w:t>
      </w:r>
      <w:r w:rsidR="00C12C98">
        <w:t>Table 8, p</w:t>
      </w:r>
      <w:r w:rsidR="00BF7C9B" w:rsidRPr="00BF7C9B">
        <w:t>embrolizumab PSD</w:t>
      </w:r>
      <w:r w:rsidR="00C12C98">
        <w:t xml:space="preserve">, </w:t>
      </w:r>
      <w:r w:rsidR="00BF7C9B" w:rsidRPr="00BF7C9B">
        <w:t xml:space="preserve">November 2021 PBAC Meeting). </w:t>
      </w:r>
      <w:r w:rsidR="00FE31BC">
        <w:t xml:space="preserve">The PBAC noted the pre-PBAC </w:t>
      </w:r>
      <w:r w:rsidR="0027633B">
        <w:t xml:space="preserve">response presented </w:t>
      </w:r>
      <w:r w:rsidR="0063596D">
        <w:t>a comparison of outcomes for</w:t>
      </w:r>
      <w:r w:rsidR="00FE31BC">
        <w:t xml:space="preserve"> </w:t>
      </w:r>
      <w:r w:rsidR="0027633B">
        <w:t xml:space="preserve">a population with largely </w:t>
      </w:r>
      <w:r w:rsidR="00FE31BC">
        <w:t>non-keratinising NPC and SCCHN</w:t>
      </w:r>
      <w:r w:rsidR="0027633B">
        <w:t xml:space="preserve">. </w:t>
      </w:r>
      <w:r w:rsidR="00FE31BC">
        <w:t xml:space="preserve"> </w:t>
      </w:r>
      <w:r w:rsidR="007A7461">
        <w:t xml:space="preserve">The PBAC noted more patients in </w:t>
      </w:r>
      <w:r w:rsidR="002646FD">
        <w:t xml:space="preserve">an </w:t>
      </w:r>
      <w:r w:rsidR="007A7461">
        <w:t>Australia</w:t>
      </w:r>
      <w:r w:rsidR="00E457CF">
        <w:t>n population</w:t>
      </w:r>
      <w:r w:rsidR="007A7461">
        <w:t xml:space="preserve"> would have </w:t>
      </w:r>
      <w:r w:rsidR="0063596D">
        <w:t>keratinising NPC</w:t>
      </w:r>
      <w:r w:rsidR="007A7461">
        <w:t xml:space="preserve"> which has a similar prognosis to SCCHN</w:t>
      </w:r>
      <w:r w:rsidR="0063596D">
        <w:t xml:space="preserve">.  </w:t>
      </w:r>
    </w:p>
    <w:p w14:paraId="675E67CB" w14:textId="039067B3" w:rsidR="0095626F" w:rsidRPr="00BB4DAB" w:rsidRDefault="00162744" w:rsidP="0095626F">
      <w:pPr>
        <w:pStyle w:val="3-BodyText"/>
        <w:rPr>
          <w:color w:val="0066FF"/>
        </w:rPr>
      </w:pPr>
      <w:r w:rsidRPr="00BB4DAB">
        <w:t xml:space="preserve">The timepoint of the switch from </w:t>
      </w:r>
      <w:r w:rsidR="00A44A76" w:rsidRPr="00BB4DAB">
        <w:t>Kaplan-Meier (</w:t>
      </w:r>
      <w:r w:rsidRPr="00BB4DAB">
        <w:t>KM</w:t>
      </w:r>
      <w:r w:rsidR="00A44A76" w:rsidRPr="00BB4DAB">
        <w:t>)</w:t>
      </w:r>
      <w:r w:rsidRPr="00BB4DAB">
        <w:t xml:space="preserve"> to extrapolation was 20 months for PFS and OS in both arms. </w:t>
      </w:r>
      <w:r w:rsidR="003170F8" w:rsidRPr="00BB4DAB">
        <w:t xml:space="preserve">The submission fitted the extrapolation in each treatment arm with log-normal extrapolation selected in </w:t>
      </w:r>
      <w:r w:rsidR="00DB6494" w:rsidRPr="00BB4DAB">
        <w:t xml:space="preserve">the </w:t>
      </w:r>
      <w:r w:rsidR="003170F8" w:rsidRPr="00BB4DAB">
        <w:t>base case for OS in both arms, and log-normal and log-logistic for toripalimab and placebo PFS</w:t>
      </w:r>
      <w:r w:rsidR="00B450ED" w:rsidRPr="00BB4DAB">
        <w:t>, respectively</w:t>
      </w:r>
      <w:r w:rsidR="003170F8" w:rsidRPr="00BB4DAB">
        <w:t xml:space="preserve">. </w:t>
      </w:r>
      <w:r w:rsidR="0095626F" w:rsidRPr="00BB4DAB">
        <w:t xml:space="preserve">The submission fitted the distributions separately for each treatment arm. The appropriateness of fitting separate curves was unclear as the submission did not provide an analysis assessing whether the proportional hazard assumption was violated. </w:t>
      </w:r>
      <w:r w:rsidR="000F02B8" w:rsidRPr="00BB4DAB">
        <w:t xml:space="preserve"> The ESC noted more KM data could have been used for OS </w:t>
      </w:r>
      <w:r w:rsidR="00CF598A" w:rsidRPr="00BB4DAB">
        <w:t xml:space="preserve">before switching to extrapolation </w:t>
      </w:r>
      <w:r w:rsidR="000F02B8" w:rsidRPr="00BB4DAB">
        <w:t xml:space="preserve">with </w:t>
      </w:r>
      <w:r w:rsidR="00CF598A" w:rsidRPr="00BB4DAB">
        <w:t>36/</w:t>
      </w:r>
      <w:r w:rsidR="0012710C" w:rsidRPr="00BB4DAB">
        <w:t xml:space="preserve">143 and 39/146 patients at risk at 40 months in the placebo and </w:t>
      </w:r>
      <w:r w:rsidR="000B253F" w:rsidRPr="00BB4DAB">
        <w:t>toripalimab</w:t>
      </w:r>
      <w:r w:rsidR="0012710C" w:rsidRPr="00BB4DAB">
        <w:t xml:space="preserve"> arms, respectively (see </w:t>
      </w:r>
      <w:r w:rsidR="0012710C" w:rsidRPr="00BB4DAB">
        <w:fldChar w:fldCharType="begin"/>
      </w:r>
      <w:r w:rsidR="0012710C" w:rsidRPr="00BB4DAB">
        <w:instrText xml:space="preserve"> REF _Ref187829225 \h  \* MERGEFORMAT </w:instrText>
      </w:r>
      <w:r w:rsidR="0012710C" w:rsidRPr="00BB4DAB">
        <w:fldChar w:fldCharType="separate"/>
      </w:r>
      <w:r w:rsidR="002C005D">
        <w:t xml:space="preserve">Figure </w:t>
      </w:r>
      <w:r w:rsidR="002C005D">
        <w:rPr>
          <w:noProof/>
        </w:rPr>
        <w:t>3</w:t>
      </w:r>
      <w:r w:rsidR="0012710C" w:rsidRPr="00BB4DAB">
        <w:fldChar w:fldCharType="end"/>
      </w:r>
      <w:r w:rsidR="0012710C" w:rsidRPr="00BB4DAB">
        <w:t xml:space="preserve">). </w:t>
      </w:r>
      <w:r w:rsidR="00FA00BF" w:rsidRPr="00BB4DAB">
        <w:t xml:space="preserve">The ESC noted the ICER increased by </w:t>
      </w:r>
      <w:r w:rsidR="0016738C" w:rsidRPr="002C005D">
        <w:rPr>
          <w:color w:val="000000"/>
          <w:w w:val="15"/>
          <w:shd w:val="solid" w:color="000000" w:fill="000000"/>
          <w:fitText w:val="-20" w:id="-694443774"/>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74"/>
          <w14:textFill>
            <w14:solidFill>
              <w14:srgbClr w14:val="000000">
                <w14:alpha w14:val="100000"/>
              </w14:srgbClr>
            </w14:solidFill>
          </w14:textFill>
        </w:rPr>
        <w:t>|</w:t>
      </w:r>
      <w:r w:rsidR="00FA00BF" w:rsidRPr="00BB4DAB">
        <w:t>% if</w:t>
      </w:r>
      <w:r w:rsidR="00A220B8" w:rsidRPr="00BB4DAB">
        <w:t xml:space="preserve"> KM data to 40 months was used</w:t>
      </w:r>
      <w:r w:rsidR="00FA00BF" w:rsidRPr="00BB4DAB">
        <w:t xml:space="preserve">.   </w:t>
      </w:r>
    </w:p>
    <w:p w14:paraId="4BE8A229" w14:textId="003FA154" w:rsidR="003F1EF9" w:rsidRPr="00BB4DAB" w:rsidRDefault="003F1EF9" w:rsidP="003F1EF9">
      <w:pPr>
        <w:pStyle w:val="3-BodyText"/>
        <w:rPr>
          <w:color w:val="0066FF"/>
        </w:rPr>
      </w:pPr>
      <w:r w:rsidRPr="00BB4DAB">
        <w:t>The ESC considered the submission’s choice of log-normal extrapolation of PFS for the toripalimab arm and log-logistic extrapolation for the placebo arm to be reasonable, noting that</w:t>
      </w:r>
      <w:r w:rsidR="00BC0968" w:rsidRPr="00BB4DAB">
        <w:t xml:space="preserve"> these were the best fitting curves based on</w:t>
      </w:r>
      <w:r w:rsidRPr="00BB4DAB">
        <w:t xml:space="preserve"> </w:t>
      </w:r>
      <w:r w:rsidR="008F1815" w:rsidRPr="00BB4DAB">
        <w:t>average AIC and BIC</w:t>
      </w:r>
      <w:r w:rsidR="002E1B26" w:rsidRPr="00BB4DAB">
        <w:t xml:space="preserve"> and the model was not sensitive to choice of extrapolation function</w:t>
      </w:r>
      <w:r w:rsidR="00BC0968" w:rsidRPr="00BB4DAB">
        <w:t>.</w:t>
      </w:r>
    </w:p>
    <w:p w14:paraId="13F050BC" w14:textId="77777777" w:rsidR="00572F78" w:rsidRPr="00BB4DAB" w:rsidRDefault="003170F8">
      <w:pPr>
        <w:pStyle w:val="3-BodyText"/>
        <w:rPr>
          <w:color w:val="0066FF"/>
        </w:rPr>
      </w:pPr>
      <w:r w:rsidRPr="00BB4DAB">
        <w:t xml:space="preserve">The </w:t>
      </w:r>
      <w:r w:rsidR="0021454F" w:rsidRPr="00BB4DAB">
        <w:t xml:space="preserve">ESC considered the submission’s choice of the </w:t>
      </w:r>
      <w:r w:rsidR="0066733E" w:rsidRPr="00BB4DAB">
        <w:t xml:space="preserve">log-normal distribution for placebo </w:t>
      </w:r>
      <w:r w:rsidR="00363347" w:rsidRPr="00BB4DAB">
        <w:t xml:space="preserve">for OS </w:t>
      </w:r>
      <w:r w:rsidR="004B5D1C" w:rsidRPr="00BB4DAB">
        <w:t xml:space="preserve">(Figure 4) </w:t>
      </w:r>
      <w:r w:rsidR="0066733E" w:rsidRPr="00BB4DAB">
        <w:t xml:space="preserve">to be reasonable and consistent with the </w:t>
      </w:r>
      <w:r w:rsidR="003D06F2" w:rsidRPr="00BB4DAB">
        <w:t xml:space="preserve">AIC and BIC criteria. </w:t>
      </w:r>
    </w:p>
    <w:p w14:paraId="1A93D338" w14:textId="7684A9D7" w:rsidR="004C2CDA" w:rsidRPr="00BB4DAB" w:rsidRDefault="004C2CDA" w:rsidP="008E2A57">
      <w:pPr>
        <w:pStyle w:val="BodyText"/>
        <w:keepNext/>
        <w:spacing w:before="120"/>
        <w:rPr>
          <w:rFonts w:ascii="Arial Narrow" w:hAnsi="Arial Narrow"/>
          <w:b/>
          <w:bCs/>
          <w:sz w:val="20"/>
          <w:szCs w:val="20"/>
        </w:rPr>
      </w:pPr>
      <w:r w:rsidRPr="00BB4DAB">
        <w:rPr>
          <w:rFonts w:ascii="Arial Narrow" w:hAnsi="Arial Narrow"/>
          <w:b/>
          <w:bCs/>
          <w:sz w:val="20"/>
          <w:szCs w:val="20"/>
        </w:rPr>
        <w:lastRenderedPageBreak/>
        <w:t>Figure 4: Overall survival parametric curves for placebo (Cis+Gem alone)</w:t>
      </w:r>
    </w:p>
    <w:p w14:paraId="341ABDD9" w14:textId="77777777" w:rsidR="004C2CDA" w:rsidRPr="00BB4DAB" w:rsidRDefault="004C2CDA" w:rsidP="009652E4">
      <w:pPr>
        <w:pStyle w:val="BodyText"/>
        <w:keepNext/>
      </w:pPr>
      <w:r w:rsidRPr="00BB4DAB">
        <w:rPr>
          <w:noProof/>
        </w:rPr>
        <w:drawing>
          <wp:inline distT="0" distB="0" distL="0" distR="0" wp14:anchorId="5CD0092D" wp14:editId="7C9EA0EC">
            <wp:extent cx="5732145" cy="3309217"/>
            <wp:effectExtent l="0" t="0" r="1905" b="5715"/>
            <wp:docPr id="537541272" name="Picture 4"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41272" name="Picture 4" descr="A graph with different colored lin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3309217"/>
                    </a:xfrm>
                    <a:prstGeom prst="rect">
                      <a:avLst/>
                    </a:prstGeom>
                    <a:noFill/>
                  </pic:spPr>
                </pic:pic>
              </a:graphicData>
            </a:graphic>
          </wp:inline>
        </w:drawing>
      </w:r>
    </w:p>
    <w:p w14:paraId="00F1F1A5" w14:textId="77777777" w:rsidR="004C2CDA" w:rsidRPr="00BB4DAB" w:rsidRDefault="004C2CDA" w:rsidP="009652E4">
      <w:pPr>
        <w:pStyle w:val="BodyText"/>
        <w:keepNext/>
        <w:rPr>
          <w:rFonts w:ascii="Arial Narrow" w:hAnsi="Arial Narrow"/>
          <w:sz w:val="18"/>
          <w:szCs w:val="18"/>
        </w:rPr>
      </w:pPr>
      <w:r w:rsidRPr="00BB4DAB">
        <w:rPr>
          <w:rFonts w:ascii="Arial Narrow" w:hAnsi="Arial Narrow"/>
          <w:sz w:val="18"/>
          <w:szCs w:val="18"/>
        </w:rPr>
        <w:t>Source: Figure 3-3, p 87 of the submission</w:t>
      </w:r>
    </w:p>
    <w:p w14:paraId="19301156" w14:textId="77777777" w:rsidR="004C2CDA" w:rsidRPr="00BB4DAB" w:rsidRDefault="004C2CDA" w:rsidP="0075236A">
      <w:pPr>
        <w:pStyle w:val="BodyText"/>
        <w:keepNext/>
        <w:rPr>
          <w:rFonts w:ascii="Arial Narrow" w:hAnsi="Arial Narrow"/>
          <w:b/>
          <w:bCs/>
          <w:sz w:val="20"/>
          <w:szCs w:val="20"/>
        </w:rPr>
      </w:pPr>
    </w:p>
    <w:p w14:paraId="1E6616F2" w14:textId="1C21C885" w:rsidR="00572F78" w:rsidRPr="00BB4DAB" w:rsidRDefault="008E2A57" w:rsidP="7AF51647">
      <w:pPr>
        <w:pStyle w:val="3-BodyText"/>
        <w:rPr>
          <w:color w:val="0066FF"/>
        </w:rPr>
      </w:pPr>
      <w:r w:rsidRPr="00BB4DAB">
        <w:rPr>
          <w:rFonts w:ascii="Arial Narrow" w:hAnsi="Arial Narrow"/>
          <w:b/>
          <w:bCs/>
          <w:sz w:val="20"/>
          <w:szCs w:val="20"/>
        </w:rPr>
        <w:br w:type="page"/>
      </w:r>
      <w:r w:rsidR="00572F78" w:rsidRPr="00BB4DAB">
        <w:lastRenderedPageBreak/>
        <w:t xml:space="preserve">In relation to the choice of extrapolation function for OS for toripalimab, the ESC noted that this was not based on statistical fit, but a mix of statistical fit, visual fit and clinical plausibility. The ESC noted that the submission acknowledged that the best statistical fit for OS in the toripalimab arm was the Gompertz model but stated that it was not used due to concerns about clinical plausibility, as it predicted lower survival in the toripalimab compared to the placebo arm, which did not align with the observed data from JUPITER-02 (Figure 5). </w:t>
      </w:r>
    </w:p>
    <w:p w14:paraId="3BFC1D87" w14:textId="4D8B0041" w:rsidR="008E2A57" w:rsidRPr="00BB4DAB" w:rsidRDefault="008E2A57">
      <w:pPr>
        <w:jc w:val="left"/>
        <w:rPr>
          <w:rFonts w:ascii="Arial Narrow" w:hAnsi="Arial Narrow"/>
          <w:b/>
          <w:bCs/>
          <w:sz w:val="20"/>
          <w:szCs w:val="20"/>
        </w:rPr>
      </w:pPr>
    </w:p>
    <w:p w14:paraId="094513E4" w14:textId="2586B5E0" w:rsidR="0075236A" w:rsidRPr="00BB4DAB" w:rsidRDefault="0075236A" w:rsidP="0075236A">
      <w:pPr>
        <w:pStyle w:val="BodyText"/>
        <w:keepNext/>
        <w:rPr>
          <w:rFonts w:ascii="Arial Narrow" w:hAnsi="Arial Narrow"/>
          <w:b/>
          <w:bCs/>
          <w:sz w:val="20"/>
          <w:szCs w:val="20"/>
        </w:rPr>
      </w:pPr>
      <w:r w:rsidRPr="00BB4DAB">
        <w:rPr>
          <w:rFonts w:ascii="Arial Narrow" w:hAnsi="Arial Narrow"/>
          <w:b/>
          <w:bCs/>
          <w:sz w:val="20"/>
          <w:szCs w:val="20"/>
        </w:rPr>
        <w:t xml:space="preserve">Figure </w:t>
      </w:r>
      <w:r w:rsidR="004C2CDA" w:rsidRPr="00BB4DAB">
        <w:rPr>
          <w:rFonts w:ascii="Arial Narrow" w:hAnsi="Arial Narrow"/>
          <w:b/>
          <w:bCs/>
          <w:sz w:val="20"/>
          <w:szCs w:val="20"/>
        </w:rPr>
        <w:t>5</w:t>
      </w:r>
      <w:r w:rsidRPr="00BB4DAB">
        <w:rPr>
          <w:rFonts w:ascii="Arial Narrow" w:hAnsi="Arial Narrow"/>
          <w:b/>
          <w:bCs/>
          <w:sz w:val="20"/>
          <w:szCs w:val="20"/>
        </w:rPr>
        <w:t>: Overall survival parametric curves for toripalimab</w:t>
      </w:r>
      <w:r w:rsidRPr="00BB4DAB">
        <w:rPr>
          <w:rFonts w:ascii="Arial Narrow" w:hAnsi="Arial Narrow"/>
          <w:sz w:val="20"/>
          <w:szCs w:val="20"/>
        </w:rPr>
        <w:t xml:space="preserve"> </w:t>
      </w:r>
      <w:r w:rsidRPr="00BB4DAB">
        <w:rPr>
          <w:rFonts w:ascii="Arial Narrow" w:hAnsi="Arial Narrow"/>
          <w:b/>
          <w:bCs/>
          <w:sz w:val="20"/>
          <w:szCs w:val="20"/>
        </w:rPr>
        <w:t>(in combination with Cis+Gem)</w:t>
      </w:r>
    </w:p>
    <w:p w14:paraId="3A18D9FC" w14:textId="77777777" w:rsidR="0075236A" w:rsidRPr="00BB4DAB" w:rsidRDefault="0075236A" w:rsidP="0075236A">
      <w:pPr>
        <w:pStyle w:val="BodyText"/>
        <w:keepNext/>
        <w:rPr>
          <w:rFonts w:ascii="Arial Narrow" w:hAnsi="Arial Narrow"/>
          <w:sz w:val="20"/>
          <w:szCs w:val="20"/>
        </w:rPr>
      </w:pPr>
      <w:r w:rsidRPr="00BB4DAB">
        <w:rPr>
          <w:rFonts w:ascii="Arial Narrow" w:hAnsi="Arial Narrow"/>
          <w:noProof/>
          <w:sz w:val="20"/>
          <w:szCs w:val="20"/>
        </w:rPr>
        <w:drawing>
          <wp:inline distT="0" distB="0" distL="0" distR="0" wp14:anchorId="5472D77E" wp14:editId="54C1DD94">
            <wp:extent cx="5732145" cy="3398966"/>
            <wp:effectExtent l="0" t="0" r="1905" b="0"/>
            <wp:docPr id="1135792611" name="Picture 2"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92611" name="Picture 2" descr="A graph with different colored lin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145" cy="3398966"/>
                    </a:xfrm>
                    <a:prstGeom prst="rect">
                      <a:avLst/>
                    </a:prstGeom>
                    <a:noFill/>
                  </pic:spPr>
                </pic:pic>
              </a:graphicData>
            </a:graphic>
          </wp:inline>
        </w:drawing>
      </w:r>
    </w:p>
    <w:p w14:paraId="666F6F50" w14:textId="77777777" w:rsidR="0075236A" w:rsidRPr="00BB4DAB" w:rsidRDefault="0075236A" w:rsidP="0075236A">
      <w:pPr>
        <w:pStyle w:val="TableFooter"/>
        <w:keepNext/>
        <w:widowControl w:val="0"/>
        <w:rPr>
          <w:snapToGrid w:val="0"/>
          <w:szCs w:val="22"/>
          <w:lang w:eastAsia="en-US"/>
        </w:rPr>
      </w:pPr>
      <w:r w:rsidRPr="00BB4DAB">
        <w:rPr>
          <w:snapToGrid w:val="0"/>
          <w:szCs w:val="22"/>
          <w:lang w:eastAsia="en-US"/>
        </w:rPr>
        <w:t>Source: Figure 3-2, p 86 of the submission.</w:t>
      </w:r>
    </w:p>
    <w:p w14:paraId="5C0E36F0" w14:textId="77777777" w:rsidR="0075236A" w:rsidRPr="00BB4DAB" w:rsidRDefault="0075236A" w:rsidP="0075236A">
      <w:pPr>
        <w:pStyle w:val="BodyText"/>
      </w:pPr>
    </w:p>
    <w:p w14:paraId="0EEE4D57" w14:textId="131E65C8" w:rsidR="00A44A76" w:rsidRPr="00BB4DAB" w:rsidRDefault="00A44A76">
      <w:pPr>
        <w:pStyle w:val="3-BodyText"/>
        <w:rPr>
          <w:color w:val="0066FF"/>
        </w:rPr>
      </w:pPr>
      <w:r w:rsidRPr="00BB4DAB">
        <w:t xml:space="preserve">The ESC noted using a log-logistic function in both arms, which had a better AIC/BIC than the log-normal function for toripalimab and appeared to fit the data reasonably well, increased the ICER by </w:t>
      </w:r>
      <w:r w:rsidR="0016738C" w:rsidRPr="002C005D">
        <w:rPr>
          <w:color w:val="000000"/>
          <w:w w:val="15"/>
          <w:shd w:val="solid" w:color="000000" w:fill="000000"/>
          <w:fitText w:val="-20" w:id="-694443773"/>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73"/>
          <w14:textFill>
            <w14:solidFill>
              <w14:srgbClr w14:val="000000">
                <w14:alpha w14:val="100000"/>
              </w14:srgbClr>
            </w14:solidFill>
          </w14:textFill>
        </w:rPr>
        <w:t>|</w:t>
      </w:r>
      <w:r w:rsidRPr="00BB4DAB">
        <w:t>%. The ESC noted that the model was highly sensitive to using different extrapolation functions for OS, with the ICER increasing by +</w:t>
      </w:r>
      <w:r w:rsidR="0016738C" w:rsidRPr="002C005D">
        <w:rPr>
          <w:color w:val="000000"/>
          <w:w w:val="15"/>
          <w:shd w:val="solid" w:color="000000" w:fill="000000"/>
          <w:fitText w:val="-20" w:id="-694443772"/>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72"/>
          <w14:textFill>
            <w14:solidFill>
              <w14:srgbClr w14:val="000000">
                <w14:alpha w14:val="100000"/>
              </w14:srgbClr>
            </w14:solidFill>
          </w14:textFill>
        </w:rPr>
        <w:t>|</w:t>
      </w:r>
      <w:r w:rsidRPr="00BB4DAB">
        <w:t>% with Gompertz and by +</w:t>
      </w:r>
      <w:r w:rsidR="0016738C" w:rsidRPr="002C005D">
        <w:rPr>
          <w:color w:val="000000"/>
          <w:w w:val="15"/>
          <w:shd w:val="solid" w:color="000000" w:fill="000000"/>
          <w:fitText w:val="-20" w:id="-694443771"/>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71"/>
          <w14:textFill>
            <w14:solidFill>
              <w14:srgbClr w14:val="000000">
                <w14:alpha w14:val="100000"/>
              </w14:srgbClr>
            </w14:solidFill>
          </w14:textFill>
        </w:rPr>
        <w:t>|</w:t>
      </w:r>
      <w:r w:rsidRPr="00BB4DAB">
        <w:t xml:space="preserve">% with Weibull.  </w:t>
      </w:r>
    </w:p>
    <w:p w14:paraId="5E8DC547" w14:textId="57165601" w:rsidR="00162744" w:rsidRPr="00BB4DAB" w:rsidRDefault="00506F31">
      <w:pPr>
        <w:pStyle w:val="3-BodyText"/>
        <w:rPr>
          <w:color w:val="0066FF"/>
        </w:rPr>
      </w:pPr>
      <w:r w:rsidRPr="00BB4DAB">
        <w:t>Despite the long time horizon, n</w:t>
      </w:r>
      <w:r w:rsidR="003170F8" w:rsidRPr="00BB4DAB">
        <w:t xml:space="preserve">o convergence of OS was assumed by the submission. </w:t>
      </w:r>
    </w:p>
    <w:p w14:paraId="37B4237B" w14:textId="11424A92" w:rsidR="00275C5A" w:rsidRPr="00BB4DAB" w:rsidRDefault="00162744" w:rsidP="00BB00B3">
      <w:pPr>
        <w:pStyle w:val="3-BodyText"/>
      </w:pPr>
      <w:r w:rsidRPr="00BB4DAB">
        <w:t>Time on Treatment (ToT) was sourced from the JUPITER-02 trial, and observed data was used until the point where they could potentially become unreliable. Given that the treatments (toripalimab and Cis+Gem) have a time-limited duration</w:t>
      </w:r>
      <w:r w:rsidR="00FF45E2" w:rsidRPr="00BB4DAB">
        <w:t xml:space="preserve"> - </w:t>
      </w:r>
      <w:r w:rsidRPr="00BB4DAB">
        <w:t>a maximum of two years for toripalimab and six cycles for Cis+Gem</w:t>
      </w:r>
      <w:r w:rsidR="00FF45E2" w:rsidRPr="00BB4DAB">
        <w:t xml:space="preserve"> - </w:t>
      </w:r>
      <w:r w:rsidRPr="00BB4DAB">
        <w:t>the submission assert</w:t>
      </w:r>
      <w:r w:rsidR="00F53FF1" w:rsidRPr="00BB4DAB">
        <w:t>ed</w:t>
      </w:r>
      <w:r w:rsidRPr="00BB4DAB">
        <w:t xml:space="preserve"> that the observed KM data </w:t>
      </w:r>
      <w:r w:rsidR="00BF7A61" w:rsidRPr="00BB4DAB">
        <w:t>wa</w:t>
      </w:r>
      <w:r w:rsidRPr="00BB4DAB">
        <w:t xml:space="preserve">s sufficient for modelling ToT. The mean </w:t>
      </w:r>
      <w:r w:rsidR="00B55F65" w:rsidRPr="00BB4DAB">
        <w:t xml:space="preserve">(and median) </w:t>
      </w:r>
      <w:r w:rsidRPr="00BB4DAB">
        <w:t xml:space="preserve">duration of treatment for the JUPITER-02 trial was taken from exposure at DCO3 (reported in JUPITER-02 CSR Addendum 2 Updated Safety; Attachment 2.4 to the submission). It is likely that treatment durations for cisplatin and gemcitabine are </w:t>
      </w:r>
      <w:r w:rsidRPr="00BB4DAB">
        <w:lastRenderedPageBreak/>
        <w:t xml:space="preserve">representative of full treatment exposure (given they were used for a maximum of six cycles at the beginning of the trial), however, exposure to toripalimab in particular, may be underestimated given there was a further median six months of follow-up to DCO4 from these reported durations and 52 patients completed two years of treatment. No extent of exposure was reported in the final addendum CSR for JUPITER-02 (JUPITER-02 CSR Addendum 3 Final OS; Attachment 2.5 to the submission). The model presented shows that the </w:t>
      </w:r>
      <w:r w:rsidR="00010976" w:rsidRPr="00BB4DAB">
        <w:t xml:space="preserve">median </w:t>
      </w:r>
      <w:r w:rsidRPr="00BB4DAB">
        <w:t>treatment duration falls between 15 to 16 months (mean of 15.53 months) for toripalimab and 8 to 9 (mean of 10.2 months) months for the comparator arm. Th</w:t>
      </w:r>
      <w:r w:rsidR="00251C68" w:rsidRPr="00BB4DAB">
        <w:t>e evaluation and the ESC considered th</w:t>
      </w:r>
      <w:r w:rsidRPr="00BB4DAB">
        <w:t>is</w:t>
      </w:r>
      <w:r w:rsidR="00251C68" w:rsidRPr="00BB4DAB">
        <w:t xml:space="preserve"> to be</w:t>
      </w:r>
      <w:r w:rsidRPr="00BB4DAB">
        <w:t xml:space="preserve"> reasonable based on available data from JUPITER-02.</w:t>
      </w:r>
    </w:p>
    <w:p w14:paraId="599ABD30" w14:textId="5CF38E1B" w:rsidR="00162744" w:rsidRPr="00BB4DAB" w:rsidRDefault="00162744" w:rsidP="00BB00B3">
      <w:pPr>
        <w:pStyle w:val="3-BodyText"/>
      </w:pPr>
      <w:r w:rsidRPr="00BB4DAB">
        <w:t xml:space="preserve">Utility values for the PF and PD health states </w:t>
      </w:r>
      <w:r w:rsidR="00537C00" w:rsidRPr="00BB4DAB">
        <w:t xml:space="preserve">in the base case </w:t>
      </w:r>
      <w:r w:rsidRPr="00BB4DAB">
        <w:t xml:space="preserve">were 0.79 and 0.71, respectively. These were sourced from the recent Pembrolizumab SCCHN PSD (pembrolizumab </w:t>
      </w:r>
      <w:r w:rsidR="00B450ED" w:rsidRPr="00BB4DAB">
        <w:t xml:space="preserve">SCCHN </w:t>
      </w:r>
      <w:r w:rsidRPr="00BB4DAB">
        <w:t xml:space="preserve">PSD, November 2021 PBAC meeting) as although EQ-5D, QLQ-C30, and QLQ-H&amp;N35 questionnaires were </w:t>
      </w:r>
      <w:r w:rsidR="00537C00" w:rsidRPr="00BB4DAB">
        <w:t>used in the JUPITER-02 trial, the submission state</w:t>
      </w:r>
      <w:r w:rsidR="002A6E0D" w:rsidRPr="00BB4DAB">
        <w:t>d</w:t>
      </w:r>
      <w:r w:rsidR="00537C00" w:rsidRPr="00BB4DAB">
        <w:t xml:space="preserve"> that these questionnaires could not be aligned with Australian-specific utility values. </w:t>
      </w:r>
      <w:r w:rsidR="00F11B65" w:rsidRPr="00BB4DAB">
        <w:t xml:space="preserve">The ESC noted that the utilities </w:t>
      </w:r>
      <w:r w:rsidR="00537652" w:rsidRPr="00BB4DAB">
        <w:t>were higher</w:t>
      </w:r>
      <w:r w:rsidR="00F11B65" w:rsidRPr="00BB4DAB">
        <w:t xml:space="preserve"> than in previously published data</w:t>
      </w:r>
      <w:r w:rsidR="00160AD6" w:rsidRPr="00BB4DAB">
        <w:t xml:space="preserve"> and that s</w:t>
      </w:r>
      <w:r w:rsidR="00537C00" w:rsidRPr="00BB4DAB">
        <w:t>ensitivity analyses using alternative utilities from Nie (2024; PF = 0.76; PD = 0.35) and Zhu (2022; PF = 0.65 and PD = 0.52) resulted in increases to the ICER of +</w:t>
      </w:r>
      <w:r w:rsidR="0016738C" w:rsidRPr="002C005D">
        <w:rPr>
          <w:color w:val="000000"/>
          <w:w w:val="15"/>
          <w:shd w:val="solid" w:color="000000" w:fill="000000"/>
          <w:fitText w:val="-20" w:id="-694443770"/>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70"/>
          <w14:textFill>
            <w14:solidFill>
              <w14:srgbClr w14:val="000000">
                <w14:alpha w14:val="100000"/>
              </w14:srgbClr>
            </w14:solidFill>
          </w14:textFill>
        </w:rPr>
        <w:t>|</w:t>
      </w:r>
      <w:r w:rsidR="00537C00" w:rsidRPr="00BB4DAB">
        <w:t>% and +</w:t>
      </w:r>
      <w:r w:rsidR="0016738C" w:rsidRPr="002C005D">
        <w:rPr>
          <w:color w:val="000000"/>
          <w:w w:val="15"/>
          <w:shd w:val="solid" w:color="000000" w:fill="000000"/>
          <w:fitText w:val="-20" w:id="-694443769"/>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69"/>
          <w14:textFill>
            <w14:solidFill>
              <w14:srgbClr w14:val="000000">
                <w14:alpha w14:val="100000"/>
              </w14:srgbClr>
            </w14:solidFill>
          </w14:textFill>
        </w:rPr>
        <w:t>|</w:t>
      </w:r>
      <w:r w:rsidR="00537C00" w:rsidRPr="00BB4DAB">
        <w:t>%.</w:t>
      </w:r>
      <w:r w:rsidR="006439D4">
        <w:t xml:space="preserve"> </w:t>
      </w:r>
      <w:r w:rsidR="00C36D1B">
        <w:t>T</w:t>
      </w:r>
      <w:r w:rsidR="006439D4">
        <w:t xml:space="preserve">he PBAC noted it would have been informative to present utilities from the </w:t>
      </w:r>
      <w:r w:rsidR="00C36D1B">
        <w:t xml:space="preserve">JUPITER-02 trial. </w:t>
      </w:r>
    </w:p>
    <w:p w14:paraId="774A46F7" w14:textId="5DF5E9DD" w:rsidR="00367C13" w:rsidRPr="00BB4DAB" w:rsidRDefault="00367C13" w:rsidP="00BB00B3">
      <w:pPr>
        <w:pStyle w:val="3-BodyText"/>
      </w:pPr>
      <w:r w:rsidRPr="00BB4DAB">
        <w:t>Disutilities for adverse events were also accounted for, but assuming no disutil</w:t>
      </w:r>
      <w:r w:rsidR="00CB1CD2" w:rsidRPr="00BB4DAB">
        <w:t>i</w:t>
      </w:r>
      <w:r w:rsidRPr="00BB4DAB">
        <w:t>ty applied had negligible effects on the ICER.</w:t>
      </w:r>
    </w:p>
    <w:p w14:paraId="3F6D7747" w14:textId="67B9B6E4" w:rsidR="00FA6E20" w:rsidRPr="00BB4DAB" w:rsidRDefault="00367C13" w:rsidP="00BB00B3">
      <w:pPr>
        <w:pStyle w:val="3-BodyText"/>
      </w:pPr>
      <w:r w:rsidRPr="00BB4DAB">
        <w:t>Post-discontinuation of study treatment, patients were assumed to have subsequent therapy</w:t>
      </w:r>
      <w:r w:rsidR="00153D33" w:rsidRPr="00BB4DAB">
        <w:t xml:space="preserve"> (representing second- and subsequent-line</w:t>
      </w:r>
      <w:r w:rsidR="00B55F65" w:rsidRPr="00BB4DAB">
        <w:t>s</w:t>
      </w:r>
      <w:r w:rsidR="00153D33" w:rsidRPr="00BB4DAB">
        <w:t>)</w:t>
      </w:r>
      <w:r w:rsidRPr="00BB4DAB">
        <w:t>.</w:t>
      </w:r>
      <w:r w:rsidR="00415218" w:rsidRPr="00BB4DAB">
        <w:t xml:space="preserve"> Subsequent therapy was assumed to be a weighted average </w:t>
      </w:r>
      <w:r w:rsidR="00896D6E" w:rsidRPr="00BB4DAB">
        <w:t xml:space="preserve">(based on reported use in the JUPITER-02 trial) </w:t>
      </w:r>
      <w:r w:rsidR="00415218" w:rsidRPr="00BB4DAB">
        <w:t>of capecitabine, paclitaxel and cisplatin + fluorouracil</w:t>
      </w:r>
      <w:r w:rsidR="00896D6E" w:rsidRPr="00BB4DAB">
        <w:t xml:space="preserve">. The proportion of patients assumed to undergo subsequent treatment with cisplatin + fluorouracil relates to the proportion of those undergoing treatment with cisplatin in JUPITER-02. </w:t>
      </w:r>
      <w:r w:rsidR="00153D33" w:rsidRPr="00BB4DAB">
        <w:t>The proportions were also based on a total of 32 (29.1%) and 64 (44.8%) patients randomised to toripalimab and placebo, respectively having had subsequent therapy at DCO1. At DCO4, 82 (56.2%) and 106 (74.1%) patients randomised to toripalimab and placebo, respectively had subsequent therapy</w:t>
      </w:r>
      <w:r w:rsidR="00B938E3" w:rsidRPr="00BB4DAB">
        <w:t xml:space="preserve"> where c</w:t>
      </w:r>
      <w:r w:rsidR="00153D33" w:rsidRPr="00BB4DAB">
        <w:t xml:space="preserve">ytotoxic systemic therapy </w:t>
      </w:r>
      <w:r w:rsidR="00B55F65" w:rsidRPr="00BB4DAB">
        <w:t xml:space="preserve">continued to be </w:t>
      </w:r>
      <w:r w:rsidR="00153D33" w:rsidRPr="00BB4DAB">
        <w:t>most widely used in both groups, followed by PD-L1 inhibitors.</w:t>
      </w:r>
      <w:r w:rsidRPr="00BB4DAB">
        <w:t xml:space="preserve"> </w:t>
      </w:r>
    </w:p>
    <w:p w14:paraId="463A1896" w14:textId="4D4C7B95" w:rsidR="00367C13" w:rsidRPr="00BB4DAB" w:rsidRDefault="00415218" w:rsidP="00BB00B3">
      <w:pPr>
        <w:pStyle w:val="3-BodyText"/>
      </w:pPr>
      <w:r w:rsidRPr="00BB4DAB">
        <w:t xml:space="preserve">In the base case, 10% of the time spent in the </w:t>
      </w:r>
      <w:r w:rsidR="00367C13" w:rsidRPr="00BB4DAB">
        <w:t>progressive disease (PD) health state</w:t>
      </w:r>
      <w:r w:rsidRPr="00BB4DAB">
        <w:t xml:space="preserve"> was assumed to be the duration of treatment with subsequent </w:t>
      </w:r>
      <w:r w:rsidR="003B1447" w:rsidRPr="00BB4DAB">
        <w:t>therapies.</w:t>
      </w:r>
      <w:r w:rsidR="00367C13" w:rsidRPr="00BB4DAB">
        <w:t xml:space="preserve"> This correspond</w:t>
      </w:r>
      <w:r w:rsidRPr="00BB4DAB">
        <w:t>ed</w:t>
      </w:r>
      <w:r w:rsidR="00367C13" w:rsidRPr="00BB4DAB">
        <w:t xml:space="preserve"> to 5.71 months on subsequent treatment for toripalimab and 4.70 months for placebo. Assuming 20% of the time in </w:t>
      </w:r>
      <w:r w:rsidR="00786259" w:rsidRPr="00BB4DAB">
        <w:t>PD or</w:t>
      </w:r>
      <w:r w:rsidR="00367C13" w:rsidRPr="00BB4DAB">
        <w:t xml:space="preserve"> excluding these costs assumption had little impact on the ICER, with changes of </w:t>
      </w:r>
      <w:r w:rsidR="0016738C" w:rsidRPr="002C005D">
        <w:rPr>
          <w:color w:val="000000"/>
          <w:w w:val="15"/>
          <w:shd w:val="solid" w:color="000000" w:fill="000000"/>
          <w:fitText w:val="-20" w:id="-694443768"/>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68"/>
          <w14:textFill>
            <w14:solidFill>
              <w14:srgbClr w14:val="000000">
                <w14:alpha w14:val="100000"/>
              </w14:srgbClr>
            </w14:solidFill>
          </w14:textFill>
        </w:rPr>
        <w:t>|</w:t>
      </w:r>
      <w:r w:rsidR="00367C13" w:rsidRPr="00BB4DAB">
        <w:t>% and +</w:t>
      </w:r>
      <w:r w:rsidR="0016738C" w:rsidRPr="002C005D">
        <w:rPr>
          <w:color w:val="000000"/>
          <w:w w:val="15"/>
          <w:shd w:val="solid" w:color="000000" w:fill="000000"/>
          <w:fitText w:val="-20" w:id="-694443767"/>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67"/>
          <w14:textFill>
            <w14:solidFill>
              <w14:srgbClr w14:val="000000">
                <w14:alpha w14:val="100000"/>
              </w14:srgbClr>
            </w14:solidFill>
          </w14:textFill>
        </w:rPr>
        <w:t>|</w:t>
      </w:r>
      <w:r w:rsidR="00367C13" w:rsidRPr="00BB4DAB">
        <w:t>%, respectively.</w:t>
      </w:r>
    </w:p>
    <w:p w14:paraId="2A053AB9" w14:textId="00FA8069" w:rsidR="00367C13" w:rsidRPr="00BB4DAB" w:rsidRDefault="00367C13" w:rsidP="00BB00B3">
      <w:pPr>
        <w:pStyle w:val="3-BodyText"/>
      </w:pPr>
      <w:r w:rsidRPr="00BB4DAB">
        <w:t>Adverse event costs were applied as a one-off cost in the first cycle of the economic model</w:t>
      </w:r>
      <w:r w:rsidR="000C4D6C" w:rsidRPr="00BB4DAB">
        <w:t>, exclusion of these costs in a sensitivity analysis decreased the ICER by -</w:t>
      </w:r>
      <w:r w:rsidR="0016738C" w:rsidRPr="002C005D">
        <w:rPr>
          <w:color w:val="000000"/>
          <w:w w:val="15"/>
          <w:shd w:val="solid" w:color="000000" w:fill="000000"/>
          <w:fitText w:val="-20" w:id="-694443766"/>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66"/>
          <w14:textFill>
            <w14:solidFill>
              <w14:srgbClr w14:val="000000">
                <w14:alpha w14:val="100000"/>
              </w14:srgbClr>
            </w14:solidFill>
          </w14:textFill>
        </w:rPr>
        <w:t>|</w:t>
      </w:r>
      <w:r w:rsidR="000C4D6C" w:rsidRPr="00BB4DAB">
        <w:t>%.</w:t>
      </w:r>
    </w:p>
    <w:p w14:paraId="68563CBB" w14:textId="6DE9A0D4" w:rsidR="0094597A" w:rsidRPr="00BB4DAB" w:rsidRDefault="0094597A" w:rsidP="00BB00B3">
      <w:pPr>
        <w:pStyle w:val="3-BodyText"/>
      </w:pPr>
      <w:r w:rsidRPr="00BB4DAB">
        <w:t>Terminal care cost derived from Goldsbury 2018, estimated at $</w:t>
      </w:r>
      <w:r w:rsidR="0016738C" w:rsidRPr="0016738C">
        <w:rPr>
          <w:color w:val="000000"/>
          <w:w w:val="60"/>
          <w:shd w:val="solid" w:color="000000" w:fill="000000"/>
          <w:fitText w:val="470" w:id="-694443765"/>
          <w14:textFill>
            <w14:solidFill>
              <w14:srgbClr w14:val="000000">
                <w14:alpha w14:val="100000"/>
              </w14:srgbClr>
            </w14:solidFill>
          </w14:textFill>
        </w:rPr>
        <w:t>|||  ||</w:t>
      </w:r>
      <w:r w:rsidR="0016738C" w:rsidRPr="0016738C">
        <w:rPr>
          <w:color w:val="000000"/>
          <w:spacing w:val="6"/>
          <w:w w:val="60"/>
          <w:shd w:val="solid" w:color="000000" w:fill="000000"/>
          <w:fitText w:val="470" w:id="-694443765"/>
          <w14:textFill>
            <w14:solidFill>
              <w14:srgbClr w14:val="000000">
                <w14:alpha w14:val="100000"/>
              </w14:srgbClr>
            </w14:solidFill>
          </w14:textFill>
        </w:rPr>
        <w:t>|</w:t>
      </w:r>
      <w:r w:rsidRPr="00BB4DAB">
        <w:t xml:space="preserve"> was assigned when patients transition to the ‘death’ health state. Sensitivity analysis halving this </w:t>
      </w:r>
      <w:r w:rsidRPr="00BB4DAB">
        <w:lastRenderedPageBreak/>
        <w:t xml:space="preserve">cost </w:t>
      </w:r>
      <w:r w:rsidR="00B938E3" w:rsidRPr="00BB4DAB">
        <w:t xml:space="preserve">increased </w:t>
      </w:r>
      <w:r w:rsidRPr="00BB4DAB">
        <w:t xml:space="preserve">the ICER by </w:t>
      </w:r>
      <w:r w:rsidR="00B938E3" w:rsidRPr="00BB4DAB">
        <w:t>+</w:t>
      </w:r>
      <w:r w:rsidR="0016738C" w:rsidRPr="002C005D">
        <w:rPr>
          <w:color w:val="000000"/>
          <w:w w:val="15"/>
          <w:shd w:val="solid" w:color="000000" w:fill="000000"/>
          <w:fitText w:val="-20" w:id="-694443764"/>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64"/>
          <w14:textFill>
            <w14:solidFill>
              <w14:srgbClr w14:val="000000">
                <w14:alpha w14:val="100000"/>
              </w14:srgbClr>
            </w14:solidFill>
          </w14:textFill>
        </w:rPr>
        <w:t>|</w:t>
      </w:r>
      <w:r w:rsidRPr="00BB4DAB">
        <w:t>%</w:t>
      </w:r>
      <w:r w:rsidR="00B938E3" w:rsidRPr="00BB4DAB">
        <w:t>, removing it completely increased the ICER by +</w:t>
      </w:r>
      <w:r w:rsidR="0016738C" w:rsidRPr="002C005D">
        <w:rPr>
          <w:color w:val="000000"/>
          <w:w w:val="15"/>
          <w:shd w:val="solid" w:color="000000" w:fill="000000"/>
          <w:fitText w:val="-20" w:id="-694443763"/>
          <w14:textFill>
            <w14:solidFill>
              <w14:srgbClr w14:val="000000">
                <w14:alpha w14:val="100000"/>
              </w14:srgbClr>
            </w14:solidFill>
          </w14:textFill>
        </w:rPr>
        <w:t xml:space="preserve">|  </w:t>
      </w:r>
      <w:r w:rsidR="0016738C" w:rsidRPr="002C005D">
        <w:rPr>
          <w:color w:val="000000"/>
          <w:spacing w:val="-69"/>
          <w:w w:val="15"/>
          <w:shd w:val="solid" w:color="000000" w:fill="000000"/>
          <w:fitText w:val="-20" w:id="-694443763"/>
          <w14:textFill>
            <w14:solidFill>
              <w14:srgbClr w14:val="000000">
                <w14:alpha w14:val="100000"/>
              </w14:srgbClr>
            </w14:solidFill>
          </w14:textFill>
        </w:rPr>
        <w:t>|</w:t>
      </w:r>
      <w:r w:rsidR="00B938E3" w:rsidRPr="00BB4DAB">
        <w:t>%</w:t>
      </w:r>
      <w:r w:rsidRPr="00BB4DAB">
        <w:t>.</w:t>
      </w:r>
      <w:r w:rsidR="00552D33" w:rsidRPr="00BB4DAB">
        <w:t xml:space="preserve"> The ESC noted the model would be more sensitive to </w:t>
      </w:r>
      <w:r w:rsidR="000B3648" w:rsidRPr="00BB4DAB">
        <w:t xml:space="preserve">removing </w:t>
      </w:r>
      <w:r w:rsidR="00552D33" w:rsidRPr="00BB4DAB">
        <w:t>terminal ca</w:t>
      </w:r>
      <w:r w:rsidR="000B3648" w:rsidRPr="00BB4DAB">
        <w:t>r</w:t>
      </w:r>
      <w:r w:rsidR="00552D33" w:rsidRPr="00BB4DAB">
        <w:t>e costs with a shorter time horizon</w:t>
      </w:r>
      <w:r w:rsidR="002F4357" w:rsidRPr="00BB4DAB">
        <w:t xml:space="preserve"> as </w:t>
      </w:r>
      <w:r w:rsidR="00AA5415" w:rsidRPr="00BB4DAB">
        <w:t>the impact</w:t>
      </w:r>
      <w:r w:rsidR="002F4357" w:rsidRPr="00BB4DAB">
        <w:t xml:space="preserve"> depends on the </w:t>
      </w:r>
      <w:r w:rsidR="00B87EC8" w:rsidRPr="00BB4DAB">
        <w:t xml:space="preserve">difference in the </w:t>
      </w:r>
      <w:r w:rsidR="002F4357" w:rsidRPr="00BB4DAB">
        <w:t>proportion of patients alive at the end of the time horizon</w:t>
      </w:r>
      <w:r w:rsidR="00552D33" w:rsidRPr="00BB4DAB">
        <w:t xml:space="preserve">. </w:t>
      </w:r>
    </w:p>
    <w:p w14:paraId="76E49C71" w14:textId="0D2FC189" w:rsidR="00CB1CD2" w:rsidRPr="00BB4DAB" w:rsidRDefault="00CB1CD2" w:rsidP="00BB00B3">
      <w:pPr>
        <w:pStyle w:val="3-BodyText"/>
      </w:pPr>
      <w:r w:rsidRPr="00BB4DAB">
        <w:t xml:space="preserve">The key drivers of the model are presented in </w:t>
      </w:r>
      <w:r w:rsidRPr="00BB4DAB">
        <w:fldChar w:fldCharType="begin"/>
      </w:r>
      <w:r w:rsidRPr="00BB4DAB">
        <w:instrText xml:space="preserve"> REF _Ref104805122 \h </w:instrText>
      </w:r>
      <w:r w:rsidR="00BB4DAB" w:rsidRPr="00BB4DAB">
        <w:instrText xml:space="preserve"> \* MERGEFORMAT </w:instrText>
      </w:r>
      <w:r w:rsidRPr="00BB4DAB">
        <w:fldChar w:fldCharType="separate"/>
      </w:r>
      <w:r w:rsidR="002C005D" w:rsidRPr="00BB4DAB">
        <w:t xml:space="preserve">Table </w:t>
      </w:r>
      <w:r w:rsidR="002C005D">
        <w:rPr>
          <w:noProof/>
        </w:rPr>
        <w:t>9</w:t>
      </w:r>
      <w:r w:rsidRPr="00BB4DAB">
        <w:fldChar w:fldCharType="end"/>
      </w:r>
      <w:r w:rsidRPr="00BB4DAB">
        <w:t>.</w:t>
      </w:r>
    </w:p>
    <w:p w14:paraId="774D46B7" w14:textId="7CF3798D" w:rsidR="00D110BD" w:rsidRPr="00BB4DAB" w:rsidRDefault="00E16AD8" w:rsidP="00CB1CD2">
      <w:pPr>
        <w:pStyle w:val="Caption"/>
        <w:jc w:val="left"/>
        <w:rPr>
          <w:rStyle w:val="CommentReference"/>
          <w:b/>
          <w:szCs w:val="24"/>
        </w:rPr>
      </w:pPr>
      <w:bookmarkStart w:id="45" w:name="_Ref104805122"/>
      <w:r w:rsidRPr="00BB4DAB">
        <w:t xml:space="preserve">Table </w:t>
      </w:r>
      <w:r w:rsidR="000B117D">
        <w:fldChar w:fldCharType="begin"/>
      </w:r>
      <w:r w:rsidR="000B117D">
        <w:instrText xml:space="preserve"> SEQ Table \* ARABIC </w:instrText>
      </w:r>
      <w:r w:rsidR="000B117D">
        <w:fldChar w:fldCharType="separate"/>
      </w:r>
      <w:r w:rsidR="002C005D">
        <w:rPr>
          <w:noProof/>
        </w:rPr>
        <w:t>9</w:t>
      </w:r>
      <w:r w:rsidR="000B117D">
        <w:rPr>
          <w:noProof/>
        </w:rPr>
        <w:fldChar w:fldCharType="end"/>
      </w:r>
      <w:bookmarkEnd w:id="45"/>
      <w:r w:rsidRPr="00BB4DAB">
        <w:t>:</w:t>
      </w:r>
      <w:r w:rsidR="00D110BD" w:rsidRPr="00BB4DAB">
        <w:rPr>
          <w:rStyle w:val="CommentReference"/>
          <w:b/>
          <w:szCs w:val="24"/>
        </w:rPr>
        <w:t xml:space="preserve"> Key drivers of the model</w:t>
      </w:r>
    </w:p>
    <w:tbl>
      <w:tblPr>
        <w:tblStyle w:val="TableGrid"/>
        <w:tblW w:w="0" w:type="auto"/>
        <w:tblLook w:val="04A0" w:firstRow="1" w:lastRow="0" w:firstColumn="1" w:lastColumn="0" w:noHBand="0" w:noVBand="1"/>
      </w:tblPr>
      <w:tblGrid>
        <w:gridCol w:w="1271"/>
        <w:gridCol w:w="5528"/>
        <w:gridCol w:w="2218"/>
      </w:tblGrid>
      <w:tr w:rsidR="00344C51" w:rsidRPr="00BB4DAB" w14:paraId="3B516676" w14:textId="77777777" w:rsidTr="00344C51">
        <w:tc>
          <w:tcPr>
            <w:tcW w:w="1271" w:type="dxa"/>
            <w:vAlign w:val="center"/>
          </w:tcPr>
          <w:p w14:paraId="185B45B6" w14:textId="2FC09E19" w:rsidR="00344C51" w:rsidRPr="00BB4DAB" w:rsidRDefault="00344C51" w:rsidP="00CB1CD2">
            <w:pPr>
              <w:keepNext/>
              <w:rPr>
                <w:rFonts w:ascii="Arial Narrow" w:hAnsi="Arial Narrow"/>
                <w:b/>
                <w:bCs/>
                <w:sz w:val="20"/>
                <w:szCs w:val="20"/>
              </w:rPr>
            </w:pPr>
            <w:r w:rsidRPr="00BB4DAB">
              <w:rPr>
                <w:rFonts w:ascii="Arial Narrow" w:hAnsi="Arial Narrow"/>
                <w:b/>
                <w:bCs/>
                <w:sz w:val="20"/>
                <w:szCs w:val="20"/>
              </w:rPr>
              <w:t>Description</w:t>
            </w:r>
          </w:p>
        </w:tc>
        <w:tc>
          <w:tcPr>
            <w:tcW w:w="5528" w:type="dxa"/>
            <w:vAlign w:val="center"/>
          </w:tcPr>
          <w:p w14:paraId="008E1982" w14:textId="0B7DE78D" w:rsidR="00344C51" w:rsidRPr="00BB4DAB" w:rsidRDefault="00344C51" w:rsidP="00CB1CD2">
            <w:pPr>
              <w:keepNext/>
              <w:jc w:val="center"/>
              <w:rPr>
                <w:rFonts w:ascii="Arial Narrow" w:hAnsi="Arial Narrow"/>
                <w:b/>
                <w:bCs/>
                <w:sz w:val="20"/>
                <w:szCs w:val="20"/>
              </w:rPr>
            </w:pPr>
            <w:r w:rsidRPr="00BB4DAB">
              <w:rPr>
                <w:rFonts w:ascii="Arial Narrow" w:hAnsi="Arial Narrow"/>
                <w:b/>
                <w:bCs/>
                <w:sz w:val="20"/>
                <w:szCs w:val="20"/>
              </w:rPr>
              <w:t>Method/Value</w:t>
            </w:r>
          </w:p>
        </w:tc>
        <w:tc>
          <w:tcPr>
            <w:tcW w:w="2218" w:type="dxa"/>
            <w:vAlign w:val="center"/>
          </w:tcPr>
          <w:p w14:paraId="66754127" w14:textId="7828B4C1" w:rsidR="00344C51" w:rsidRPr="00BB4DAB" w:rsidRDefault="00344C51" w:rsidP="00CB1CD2">
            <w:pPr>
              <w:keepNext/>
              <w:jc w:val="center"/>
              <w:rPr>
                <w:rFonts w:ascii="Arial Narrow" w:hAnsi="Arial Narrow"/>
                <w:b/>
                <w:bCs/>
                <w:sz w:val="20"/>
                <w:szCs w:val="20"/>
              </w:rPr>
            </w:pPr>
            <w:r w:rsidRPr="00BB4DAB">
              <w:rPr>
                <w:rFonts w:ascii="Arial Narrow" w:hAnsi="Arial Narrow"/>
                <w:b/>
                <w:bCs/>
                <w:sz w:val="20"/>
                <w:szCs w:val="20"/>
              </w:rPr>
              <w:t>Impact</w:t>
            </w:r>
          </w:p>
        </w:tc>
      </w:tr>
      <w:tr w:rsidR="00344C51" w:rsidRPr="00BB4DAB" w14:paraId="6902DED9" w14:textId="77777777" w:rsidTr="00344C51">
        <w:tc>
          <w:tcPr>
            <w:tcW w:w="1271" w:type="dxa"/>
            <w:vAlign w:val="center"/>
          </w:tcPr>
          <w:p w14:paraId="3CD49462" w14:textId="70785403" w:rsidR="00344C51" w:rsidRPr="00BB4DAB" w:rsidRDefault="00344C51" w:rsidP="00CB1CD2">
            <w:pPr>
              <w:keepNext/>
              <w:rPr>
                <w:rFonts w:ascii="Arial Narrow" w:hAnsi="Arial Narrow"/>
                <w:sz w:val="20"/>
                <w:szCs w:val="20"/>
              </w:rPr>
            </w:pPr>
            <w:r w:rsidRPr="00BB4DAB">
              <w:rPr>
                <w:rFonts w:ascii="Arial Narrow" w:hAnsi="Arial Narrow"/>
                <w:sz w:val="20"/>
                <w:szCs w:val="20"/>
              </w:rPr>
              <w:t xml:space="preserve">Time horizon </w:t>
            </w:r>
          </w:p>
        </w:tc>
        <w:tc>
          <w:tcPr>
            <w:tcW w:w="5528" w:type="dxa"/>
            <w:vAlign w:val="center"/>
          </w:tcPr>
          <w:p w14:paraId="424D536F" w14:textId="533BEE4D" w:rsidR="00344C51" w:rsidRPr="00BB4DAB" w:rsidRDefault="00344C51" w:rsidP="00CB1CD2">
            <w:pPr>
              <w:keepNext/>
              <w:rPr>
                <w:rFonts w:ascii="Arial Narrow" w:hAnsi="Arial Narrow"/>
                <w:sz w:val="20"/>
                <w:szCs w:val="20"/>
              </w:rPr>
            </w:pPr>
            <w:r w:rsidRPr="00BB4DAB">
              <w:rPr>
                <w:rFonts w:ascii="Arial Narrow" w:hAnsi="Arial Narrow"/>
                <w:sz w:val="20"/>
                <w:szCs w:val="20"/>
              </w:rPr>
              <w:t>35 years in the base case</w:t>
            </w:r>
          </w:p>
        </w:tc>
        <w:tc>
          <w:tcPr>
            <w:tcW w:w="2218" w:type="dxa"/>
            <w:vAlign w:val="center"/>
          </w:tcPr>
          <w:p w14:paraId="2B86AF61" w14:textId="3D31D983" w:rsidR="00344C51" w:rsidRPr="00BB4DAB" w:rsidRDefault="00344C51" w:rsidP="00CB1CD2">
            <w:pPr>
              <w:keepNext/>
              <w:rPr>
                <w:rFonts w:ascii="Arial Narrow" w:hAnsi="Arial Narrow"/>
                <w:sz w:val="20"/>
                <w:szCs w:val="20"/>
              </w:rPr>
            </w:pPr>
            <w:r w:rsidRPr="00BB4DAB">
              <w:rPr>
                <w:rFonts w:ascii="Arial Narrow" w:hAnsi="Arial Narrow"/>
                <w:sz w:val="20"/>
                <w:szCs w:val="20"/>
              </w:rPr>
              <w:t>High, favours toripalimab</w:t>
            </w:r>
          </w:p>
        </w:tc>
      </w:tr>
      <w:tr w:rsidR="00344C51" w:rsidRPr="00BB4DAB" w14:paraId="327C74CA" w14:textId="77777777" w:rsidTr="00344C51">
        <w:tc>
          <w:tcPr>
            <w:tcW w:w="1271" w:type="dxa"/>
            <w:vAlign w:val="center"/>
          </w:tcPr>
          <w:p w14:paraId="2E2C1708" w14:textId="3C7252C1" w:rsidR="00344C51" w:rsidRPr="00BB4DAB" w:rsidRDefault="00344C51" w:rsidP="00CB1CD2">
            <w:pPr>
              <w:keepNext/>
              <w:rPr>
                <w:rFonts w:ascii="Arial Narrow" w:hAnsi="Arial Narrow"/>
                <w:sz w:val="20"/>
                <w:szCs w:val="20"/>
              </w:rPr>
            </w:pPr>
            <w:r w:rsidRPr="00BB4DAB">
              <w:rPr>
                <w:rFonts w:ascii="Arial Narrow" w:hAnsi="Arial Narrow"/>
                <w:sz w:val="20"/>
                <w:szCs w:val="20"/>
              </w:rPr>
              <w:t>Extrapolation</w:t>
            </w:r>
          </w:p>
        </w:tc>
        <w:tc>
          <w:tcPr>
            <w:tcW w:w="5528" w:type="dxa"/>
            <w:vAlign w:val="center"/>
          </w:tcPr>
          <w:p w14:paraId="6C7C4C78" w14:textId="08DD79A1" w:rsidR="00344C51" w:rsidRPr="00BB4DAB" w:rsidRDefault="00344C51" w:rsidP="00CB1CD2">
            <w:pPr>
              <w:keepNext/>
              <w:rPr>
                <w:rFonts w:ascii="Arial Narrow" w:hAnsi="Arial Narrow"/>
                <w:sz w:val="20"/>
                <w:szCs w:val="20"/>
              </w:rPr>
            </w:pPr>
            <w:r w:rsidRPr="00BB4DAB">
              <w:rPr>
                <w:rFonts w:ascii="Arial Narrow" w:hAnsi="Arial Narrow"/>
                <w:sz w:val="20"/>
                <w:szCs w:val="20"/>
              </w:rPr>
              <w:t>Treatment effect continued beyond median of 36.7 months follow-up in trial period for up to 35 years.</w:t>
            </w:r>
          </w:p>
        </w:tc>
        <w:tc>
          <w:tcPr>
            <w:tcW w:w="2218" w:type="dxa"/>
            <w:vAlign w:val="center"/>
          </w:tcPr>
          <w:p w14:paraId="778E8B21" w14:textId="338FBBDA" w:rsidR="00344C51" w:rsidRPr="00BB4DAB" w:rsidRDefault="00344C51" w:rsidP="00CB1CD2">
            <w:pPr>
              <w:keepNext/>
              <w:rPr>
                <w:rFonts w:ascii="Arial Narrow" w:hAnsi="Arial Narrow"/>
                <w:sz w:val="20"/>
                <w:szCs w:val="20"/>
              </w:rPr>
            </w:pPr>
            <w:r w:rsidRPr="00BB4DAB">
              <w:rPr>
                <w:rFonts w:ascii="Arial Narrow" w:hAnsi="Arial Narrow"/>
                <w:sz w:val="20"/>
                <w:szCs w:val="20"/>
              </w:rPr>
              <w:t>High, favours toripalimab</w:t>
            </w:r>
          </w:p>
        </w:tc>
      </w:tr>
      <w:tr w:rsidR="00344C51" w:rsidRPr="00BB4DAB" w14:paraId="0191E070" w14:textId="77777777" w:rsidTr="00344C51">
        <w:tc>
          <w:tcPr>
            <w:tcW w:w="1271" w:type="dxa"/>
            <w:vAlign w:val="center"/>
          </w:tcPr>
          <w:p w14:paraId="6B993056" w14:textId="2C267409" w:rsidR="00344C51" w:rsidRPr="00BB4DAB" w:rsidRDefault="00344C51" w:rsidP="00CB1CD2">
            <w:pPr>
              <w:keepNext/>
              <w:rPr>
                <w:rFonts w:ascii="Arial Narrow" w:hAnsi="Arial Narrow"/>
                <w:sz w:val="20"/>
                <w:szCs w:val="20"/>
              </w:rPr>
            </w:pPr>
            <w:r w:rsidRPr="00BB4DAB">
              <w:rPr>
                <w:rFonts w:ascii="Arial Narrow" w:hAnsi="Arial Narrow"/>
                <w:sz w:val="20"/>
                <w:szCs w:val="20"/>
              </w:rPr>
              <w:t>Utilities</w:t>
            </w:r>
          </w:p>
        </w:tc>
        <w:tc>
          <w:tcPr>
            <w:tcW w:w="5528" w:type="dxa"/>
            <w:vAlign w:val="center"/>
          </w:tcPr>
          <w:p w14:paraId="6EE053F7" w14:textId="347060A3" w:rsidR="00344C51" w:rsidRPr="00BB4DAB" w:rsidRDefault="00544087" w:rsidP="00CB1CD2">
            <w:pPr>
              <w:keepNext/>
              <w:rPr>
                <w:rFonts w:ascii="Arial Narrow" w:hAnsi="Arial Narrow"/>
                <w:sz w:val="20"/>
                <w:szCs w:val="20"/>
              </w:rPr>
            </w:pPr>
            <w:r w:rsidRPr="00BB4DAB">
              <w:rPr>
                <w:rFonts w:ascii="Arial Narrow" w:hAnsi="Arial Narrow"/>
                <w:sz w:val="20"/>
                <w:szCs w:val="20"/>
              </w:rPr>
              <w:t>H</w:t>
            </w:r>
            <w:r w:rsidR="00344C51" w:rsidRPr="00BB4DAB">
              <w:rPr>
                <w:rFonts w:ascii="Arial Narrow" w:hAnsi="Arial Narrow"/>
                <w:sz w:val="20"/>
                <w:szCs w:val="20"/>
              </w:rPr>
              <w:t>ealth state</w:t>
            </w:r>
            <w:r w:rsidRPr="00BB4DAB">
              <w:rPr>
                <w:rFonts w:ascii="Arial Narrow" w:hAnsi="Arial Narrow"/>
                <w:sz w:val="20"/>
                <w:szCs w:val="20"/>
              </w:rPr>
              <w:t xml:space="preserve"> utility values sourced </w:t>
            </w:r>
            <w:r w:rsidR="001B2D54" w:rsidRPr="00BB4DAB">
              <w:rPr>
                <w:rFonts w:ascii="Arial Narrow" w:hAnsi="Arial Narrow"/>
                <w:sz w:val="20"/>
                <w:szCs w:val="20"/>
              </w:rPr>
              <w:t>from a</w:t>
            </w:r>
            <w:r w:rsidRPr="00BB4DAB">
              <w:rPr>
                <w:rFonts w:ascii="Arial Narrow" w:hAnsi="Arial Narrow"/>
                <w:sz w:val="20"/>
                <w:szCs w:val="20"/>
              </w:rPr>
              <w:t xml:space="preserve"> </w:t>
            </w:r>
            <w:r w:rsidR="00344C51" w:rsidRPr="00BB4DAB">
              <w:rPr>
                <w:rFonts w:ascii="Arial Narrow" w:hAnsi="Arial Narrow"/>
                <w:sz w:val="20"/>
                <w:szCs w:val="20"/>
              </w:rPr>
              <w:t>previous PBAC consideration</w:t>
            </w:r>
            <w:r w:rsidRPr="00BB4DAB">
              <w:rPr>
                <w:rFonts w:ascii="Arial Narrow" w:hAnsi="Arial Narrow"/>
                <w:sz w:val="20"/>
                <w:szCs w:val="20"/>
              </w:rPr>
              <w:t xml:space="preserve"> (pembrolizumab SCCHN PSD, November 2021 PBAC meeting) were higher than others reported in the literature.</w:t>
            </w:r>
          </w:p>
        </w:tc>
        <w:tc>
          <w:tcPr>
            <w:tcW w:w="2218" w:type="dxa"/>
            <w:vAlign w:val="center"/>
          </w:tcPr>
          <w:p w14:paraId="2F022D55" w14:textId="4DBBF121" w:rsidR="00344C51" w:rsidRPr="00BB4DAB" w:rsidRDefault="009C318A" w:rsidP="00C20A8A">
            <w:pPr>
              <w:keepNext/>
              <w:jc w:val="left"/>
              <w:rPr>
                <w:rFonts w:ascii="Arial Narrow" w:hAnsi="Arial Narrow"/>
                <w:sz w:val="20"/>
                <w:szCs w:val="20"/>
              </w:rPr>
            </w:pPr>
            <w:r w:rsidRPr="00BB4DAB">
              <w:rPr>
                <w:rFonts w:ascii="Arial Narrow" w:hAnsi="Arial Narrow"/>
                <w:sz w:val="20"/>
                <w:szCs w:val="20"/>
              </w:rPr>
              <w:t>Moderate</w:t>
            </w:r>
            <w:r w:rsidR="00344C51" w:rsidRPr="00BB4DAB">
              <w:rPr>
                <w:rFonts w:ascii="Arial Narrow" w:hAnsi="Arial Narrow"/>
                <w:sz w:val="20"/>
                <w:szCs w:val="20"/>
              </w:rPr>
              <w:t xml:space="preserve">, favours toripalimab </w:t>
            </w:r>
          </w:p>
        </w:tc>
      </w:tr>
    </w:tbl>
    <w:p w14:paraId="30E97087" w14:textId="69F7BC54" w:rsidR="00D110BD" w:rsidRPr="00BB4DAB" w:rsidRDefault="009D792E" w:rsidP="00CB1CD2">
      <w:pPr>
        <w:pStyle w:val="FooterTableFigure"/>
        <w:keepNext/>
      </w:pPr>
      <w:r w:rsidRPr="00BB4DAB">
        <w:t xml:space="preserve">Source: </w:t>
      </w:r>
      <w:r w:rsidR="00537C00" w:rsidRPr="00BB4DAB">
        <w:t>compiled during the evaluation</w:t>
      </w:r>
      <w:r w:rsidR="00EE6726">
        <w:t>.</w:t>
      </w:r>
    </w:p>
    <w:p w14:paraId="40DABD13" w14:textId="77777777" w:rsidR="002C005D" w:rsidRPr="00BB4DAB" w:rsidRDefault="0094597A" w:rsidP="002C005D">
      <w:pPr>
        <w:pStyle w:val="3-BodyText"/>
        <w:rPr>
          <w:rStyle w:val="CommentReference"/>
          <w:b w:val="0"/>
          <w:szCs w:val="24"/>
        </w:rPr>
      </w:pPr>
      <w:r w:rsidRPr="00BB4DAB">
        <w:t xml:space="preserve">The results of the stepped economic evaluation are presented in </w:t>
      </w:r>
      <w:r w:rsidRPr="00BB4DAB">
        <w:fldChar w:fldCharType="begin"/>
      </w:r>
      <w:r w:rsidRPr="00BB4DAB">
        <w:instrText xml:space="preserve"> REF _Ref187877551 \h </w:instrText>
      </w:r>
      <w:r w:rsidR="00BB4DAB" w:rsidRPr="00BB4DAB">
        <w:instrText xml:space="preserve"> \* MERGEFORMAT </w:instrText>
      </w:r>
      <w:r w:rsidRPr="00BB4DAB">
        <w:fldChar w:fldCharType="separate"/>
      </w:r>
      <w:r w:rsidR="002C005D" w:rsidRPr="00BB4DAB">
        <w:t xml:space="preserve">Table </w:t>
      </w:r>
      <w:r w:rsidR="002C005D">
        <w:rPr>
          <w:noProof/>
        </w:rPr>
        <w:t>10</w:t>
      </w:r>
      <w:r w:rsidR="002C005D" w:rsidRPr="00BB4DAB">
        <w:rPr>
          <w:rStyle w:val="CommentReference"/>
          <w:szCs w:val="24"/>
        </w:rPr>
        <w:t>: Results of the stepped economic evaluation</w:t>
      </w:r>
      <w:r w:rsidR="002C005D" w:rsidRPr="002C005D">
        <w:rPr>
          <w:rStyle w:val="CommentReference"/>
          <w:szCs w:val="24"/>
        </w:rPr>
        <w:t>1</w:t>
      </w:r>
      <w:r w:rsidR="002C005D" w:rsidRPr="00BB4DAB">
        <w:rPr>
          <w:rStyle w:val="CommentReference"/>
          <w:szCs w:val="24"/>
        </w:rPr>
        <w:t xml:space="preserve"> </w:t>
      </w:r>
    </w:p>
    <w:tbl>
      <w:tblPr>
        <w:tblStyle w:val="TableGrid"/>
        <w:tblW w:w="0" w:type="auto"/>
        <w:tblLook w:val="04A0" w:firstRow="1" w:lastRow="0" w:firstColumn="1" w:lastColumn="0" w:noHBand="0" w:noVBand="1"/>
      </w:tblPr>
      <w:tblGrid>
        <w:gridCol w:w="2254"/>
        <w:gridCol w:w="2254"/>
        <w:gridCol w:w="2254"/>
        <w:gridCol w:w="2255"/>
      </w:tblGrid>
      <w:tr w:rsidR="002C005D" w:rsidRPr="00BB4DAB" w14:paraId="62B0F795" w14:textId="77777777">
        <w:tc>
          <w:tcPr>
            <w:tcW w:w="2254" w:type="dxa"/>
            <w:vAlign w:val="center"/>
          </w:tcPr>
          <w:p w14:paraId="22945227" w14:textId="77777777" w:rsidR="002C005D" w:rsidRPr="00BB4DAB" w:rsidRDefault="002C005D">
            <w:pPr>
              <w:rPr>
                <w:rFonts w:ascii="Arial Narrow" w:hAnsi="Arial Narrow"/>
                <w:b/>
                <w:bCs/>
                <w:sz w:val="20"/>
                <w:szCs w:val="20"/>
              </w:rPr>
            </w:pPr>
            <w:r w:rsidRPr="00BB4DAB">
              <w:rPr>
                <w:rFonts w:ascii="Arial Narrow" w:hAnsi="Arial Narrow"/>
                <w:b/>
                <w:bCs/>
                <w:sz w:val="20"/>
                <w:szCs w:val="20"/>
              </w:rPr>
              <w:t>Step and component</w:t>
            </w:r>
          </w:p>
        </w:tc>
        <w:tc>
          <w:tcPr>
            <w:tcW w:w="2254" w:type="dxa"/>
            <w:vAlign w:val="center"/>
          </w:tcPr>
          <w:p w14:paraId="2F206A40" w14:textId="77777777" w:rsidR="002C005D" w:rsidRPr="00BB4DAB" w:rsidRDefault="002C005D">
            <w:pPr>
              <w:jc w:val="center"/>
              <w:rPr>
                <w:rFonts w:ascii="Arial Narrow" w:hAnsi="Arial Narrow"/>
                <w:b/>
                <w:bCs/>
                <w:sz w:val="20"/>
                <w:szCs w:val="20"/>
              </w:rPr>
            </w:pPr>
            <w:r w:rsidRPr="00BB4DAB">
              <w:rPr>
                <w:rFonts w:ascii="Arial Narrow" w:hAnsi="Arial Narrow"/>
                <w:b/>
                <w:bCs/>
                <w:sz w:val="20"/>
                <w:szCs w:val="20"/>
              </w:rPr>
              <w:t>Toripalimab + Cis+Gem</w:t>
            </w:r>
          </w:p>
        </w:tc>
        <w:tc>
          <w:tcPr>
            <w:tcW w:w="2254" w:type="dxa"/>
            <w:vAlign w:val="center"/>
          </w:tcPr>
          <w:p w14:paraId="0998E90D" w14:textId="77777777" w:rsidR="002C005D" w:rsidRPr="00BB4DAB" w:rsidRDefault="002C005D">
            <w:pPr>
              <w:jc w:val="center"/>
              <w:rPr>
                <w:rFonts w:ascii="Arial Narrow" w:hAnsi="Arial Narrow"/>
                <w:b/>
                <w:bCs/>
                <w:sz w:val="20"/>
                <w:szCs w:val="20"/>
              </w:rPr>
            </w:pPr>
            <w:r w:rsidRPr="00BB4DAB">
              <w:rPr>
                <w:rFonts w:ascii="Arial Narrow" w:hAnsi="Arial Narrow"/>
                <w:b/>
                <w:bCs/>
                <w:sz w:val="20"/>
                <w:szCs w:val="20"/>
              </w:rPr>
              <w:t>Placebo + Cis+Gem</w:t>
            </w:r>
          </w:p>
        </w:tc>
        <w:tc>
          <w:tcPr>
            <w:tcW w:w="2255" w:type="dxa"/>
            <w:vAlign w:val="center"/>
          </w:tcPr>
          <w:p w14:paraId="4A315C5B" w14:textId="77777777" w:rsidR="002C005D" w:rsidRPr="00BB4DAB" w:rsidRDefault="002C005D">
            <w:pPr>
              <w:jc w:val="center"/>
              <w:rPr>
                <w:rFonts w:ascii="Arial Narrow" w:hAnsi="Arial Narrow"/>
                <w:b/>
                <w:bCs/>
                <w:sz w:val="20"/>
                <w:szCs w:val="20"/>
              </w:rPr>
            </w:pPr>
            <w:r w:rsidRPr="00BB4DAB">
              <w:rPr>
                <w:rFonts w:ascii="Arial Narrow" w:hAnsi="Arial Narrow"/>
                <w:b/>
                <w:bCs/>
                <w:sz w:val="20"/>
                <w:szCs w:val="20"/>
              </w:rPr>
              <w:t>Increment</w:t>
            </w:r>
          </w:p>
        </w:tc>
      </w:tr>
      <w:tr w:rsidR="002C005D" w:rsidRPr="00BB4DAB" w14:paraId="1E304A08" w14:textId="77777777">
        <w:tc>
          <w:tcPr>
            <w:tcW w:w="9017" w:type="dxa"/>
            <w:gridSpan w:val="4"/>
            <w:vAlign w:val="center"/>
          </w:tcPr>
          <w:p w14:paraId="3A16F7E1" w14:textId="77777777" w:rsidR="002C005D" w:rsidRPr="00BB4DAB" w:rsidRDefault="002C005D">
            <w:pPr>
              <w:rPr>
                <w:rFonts w:ascii="Arial Narrow" w:hAnsi="Arial Narrow"/>
                <w:sz w:val="20"/>
                <w:szCs w:val="20"/>
              </w:rPr>
            </w:pPr>
            <w:r w:rsidRPr="00BB4DAB">
              <w:rPr>
                <w:rFonts w:ascii="Arial Narrow" w:hAnsi="Arial Narrow"/>
                <w:sz w:val="20"/>
                <w:szCs w:val="20"/>
              </w:rPr>
              <w:t>Step 1: Cost per LY over 5-year trial horizon</w:t>
            </w:r>
          </w:p>
        </w:tc>
      </w:tr>
      <w:tr w:rsidR="002C005D" w:rsidRPr="00BB4DAB" w14:paraId="4B52A733" w14:textId="77777777">
        <w:tc>
          <w:tcPr>
            <w:tcW w:w="2254" w:type="dxa"/>
            <w:vAlign w:val="center"/>
          </w:tcPr>
          <w:p w14:paraId="3D94DFD6" w14:textId="77777777" w:rsidR="002C005D" w:rsidRPr="00BB4DAB" w:rsidRDefault="002C005D">
            <w:pPr>
              <w:rPr>
                <w:rFonts w:ascii="Arial Narrow" w:hAnsi="Arial Narrow"/>
                <w:sz w:val="20"/>
                <w:szCs w:val="20"/>
              </w:rPr>
            </w:pPr>
            <w:r w:rsidRPr="00BB4DAB">
              <w:rPr>
                <w:rFonts w:ascii="Arial Narrow" w:hAnsi="Arial Narrow"/>
                <w:sz w:val="20"/>
                <w:szCs w:val="20"/>
              </w:rPr>
              <w:t>Costs</w:t>
            </w:r>
          </w:p>
        </w:tc>
        <w:tc>
          <w:tcPr>
            <w:tcW w:w="2254" w:type="dxa"/>
            <w:vAlign w:val="center"/>
          </w:tcPr>
          <w:p w14:paraId="135BE0CC"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w:t>
            </w:r>
            <w:r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vAlign w:val="center"/>
          </w:tcPr>
          <w:p w14:paraId="46CBB399"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$53,048</w:t>
            </w:r>
          </w:p>
        </w:tc>
        <w:tc>
          <w:tcPr>
            <w:tcW w:w="2255" w:type="dxa"/>
            <w:vAlign w:val="center"/>
          </w:tcPr>
          <w:p w14:paraId="0FB5C4FC"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w:t>
            </w:r>
            <w:r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r>
      <w:tr w:rsidR="002C005D" w:rsidRPr="00BB4DAB" w14:paraId="26315D55" w14:textId="77777777">
        <w:tc>
          <w:tcPr>
            <w:tcW w:w="2254" w:type="dxa"/>
            <w:vAlign w:val="center"/>
          </w:tcPr>
          <w:p w14:paraId="3CE53D73" w14:textId="77777777" w:rsidR="002C005D" w:rsidRPr="00BB4DAB" w:rsidRDefault="002C005D">
            <w:pPr>
              <w:rPr>
                <w:rFonts w:ascii="Arial Narrow" w:hAnsi="Arial Narrow"/>
                <w:sz w:val="20"/>
                <w:szCs w:val="20"/>
              </w:rPr>
            </w:pPr>
            <w:r w:rsidRPr="00BB4DAB">
              <w:rPr>
                <w:rFonts w:ascii="Arial Narrow" w:hAnsi="Arial Narrow"/>
                <w:sz w:val="20"/>
                <w:szCs w:val="20"/>
              </w:rPr>
              <w:t xml:space="preserve">LY </w:t>
            </w:r>
          </w:p>
        </w:tc>
        <w:tc>
          <w:tcPr>
            <w:tcW w:w="2254" w:type="dxa"/>
            <w:vAlign w:val="center"/>
          </w:tcPr>
          <w:p w14:paraId="41732A29"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3.233</w:t>
            </w:r>
          </w:p>
        </w:tc>
        <w:tc>
          <w:tcPr>
            <w:tcW w:w="2254" w:type="dxa"/>
            <w:vAlign w:val="center"/>
          </w:tcPr>
          <w:p w14:paraId="7A25485F"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2.819</w:t>
            </w:r>
          </w:p>
        </w:tc>
        <w:tc>
          <w:tcPr>
            <w:tcW w:w="2255" w:type="dxa"/>
            <w:vAlign w:val="center"/>
          </w:tcPr>
          <w:p w14:paraId="035670C8"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0.415</w:t>
            </w:r>
          </w:p>
        </w:tc>
      </w:tr>
      <w:tr w:rsidR="002C005D" w:rsidRPr="00BB4DAB" w14:paraId="61E99B82" w14:textId="77777777">
        <w:tc>
          <w:tcPr>
            <w:tcW w:w="6762" w:type="dxa"/>
            <w:gridSpan w:val="3"/>
            <w:vAlign w:val="center"/>
          </w:tcPr>
          <w:p w14:paraId="4ED653F4" w14:textId="77777777" w:rsidR="002C005D" w:rsidRPr="00BB4DAB" w:rsidRDefault="002C005D">
            <w:pPr>
              <w:rPr>
                <w:rFonts w:ascii="Arial Narrow" w:hAnsi="Arial Narrow"/>
                <w:sz w:val="20"/>
                <w:szCs w:val="20"/>
              </w:rPr>
            </w:pPr>
            <w:r w:rsidRPr="00BB4DAB">
              <w:rPr>
                <w:rFonts w:ascii="Arial Narrow" w:hAnsi="Arial Narrow"/>
                <w:sz w:val="20"/>
                <w:szCs w:val="20"/>
              </w:rPr>
              <w:t>Incremental cost/extra LY gained</w:t>
            </w:r>
          </w:p>
        </w:tc>
        <w:tc>
          <w:tcPr>
            <w:tcW w:w="2255" w:type="dxa"/>
            <w:vAlign w:val="center"/>
          </w:tcPr>
          <w:p w14:paraId="0F5F9BD3" w14:textId="77777777" w:rsidR="002C005D" w:rsidRPr="00BB4DAB" w:rsidRDefault="002C005D">
            <w:pPr>
              <w:jc w:val="center"/>
              <w:rPr>
                <w:rFonts w:ascii="Arial Narrow" w:hAnsi="Arial Narrow"/>
                <w:sz w:val="20"/>
                <w:szCs w:val="20"/>
              </w:rPr>
            </w:pPr>
            <w:r w:rsidRPr="00BB4DAB">
              <w:rPr>
                <w:rFonts w:ascii="Arial Narrow" w:eastAsiaTheme="majorEastAsia" w:hAnsi="Arial Narrow" w:cstheme="majorBidi"/>
                <w:bCs/>
                <w:sz w:val="20"/>
                <w:szCs w:val="20"/>
              </w:rPr>
              <w:t>$</w:t>
            </w:r>
            <w:r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Pr="006C5ED4">
              <w:rPr>
                <w:rFonts w:ascii="Arial Narrow" w:eastAsiaTheme="majorEastAsia" w:hAnsi="Arial Narrow" w:cstheme="majorBidi"/>
                <w:bCs/>
                <w:sz w:val="20"/>
                <w:szCs w:val="20"/>
                <w:vertAlign w:val="superscript"/>
              </w:rPr>
              <w:t>1</w:t>
            </w:r>
          </w:p>
        </w:tc>
      </w:tr>
      <w:tr w:rsidR="002C005D" w:rsidRPr="00BB4DAB" w14:paraId="403766FC" w14:textId="77777777">
        <w:tc>
          <w:tcPr>
            <w:tcW w:w="9017" w:type="dxa"/>
            <w:gridSpan w:val="4"/>
          </w:tcPr>
          <w:p w14:paraId="59FFAA5C" w14:textId="77777777" w:rsidR="002C005D" w:rsidRPr="00BB4DAB" w:rsidRDefault="002C005D">
            <w:pPr>
              <w:rPr>
                <w:rFonts w:ascii="Arial Narrow" w:hAnsi="Arial Narrow"/>
                <w:sz w:val="20"/>
                <w:szCs w:val="20"/>
              </w:rPr>
            </w:pPr>
            <w:r w:rsidRPr="00BB4DAB">
              <w:rPr>
                <w:rFonts w:ascii="Arial Narrow" w:hAnsi="Arial Narrow"/>
                <w:sz w:val="20"/>
                <w:szCs w:val="20"/>
              </w:rPr>
              <w:t>Step 2: Cost per LY over a 35-year time horizon</w:t>
            </w:r>
          </w:p>
        </w:tc>
      </w:tr>
      <w:tr w:rsidR="002C005D" w:rsidRPr="00BB4DAB" w14:paraId="56BECAC0" w14:textId="77777777">
        <w:tc>
          <w:tcPr>
            <w:tcW w:w="2254" w:type="dxa"/>
            <w:vAlign w:val="center"/>
          </w:tcPr>
          <w:p w14:paraId="2876AA0A" w14:textId="77777777" w:rsidR="002C005D" w:rsidRPr="00BB4DAB" w:rsidRDefault="002C005D">
            <w:pPr>
              <w:rPr>
                <w:rFonts w:ascii="Arial Narrow" w:hAnsi="Arial Narrow"/>
                <w:sz w:val="20"/>
                <w:szCs w:val="20"/>
              </w:rPr>
            </w:pPr>
            <w:r w:rsidRPr="00BB4DAB">
              <w:rPr>
                <w:rFonts w:ascii="Arial Narrow" w:hAnsi="Arial Narrow"/>
                <w:sz w:val="20"/>
                <w:szCs w:val="20"/>
              </w:rPr>
              <w:t>Costs</w:t>
            </w:r>
          </w:p>
        </w:tc>
        <w:tc>
          <w:tcPr>
            <w:tcW w:w="2254" w:type="dxa"/>
            <w:vAlign w:val="center"/>
          </w:tcPr>
          <w:p w14:paraId="6B6608F6" w14:textId="77777777" w:rsidR="002C005D" w:rsidRPr="00BB4DAB" w:rsidRDefault="002C005D">
            <w:pPr>
              <w:jc w:val="center"/>
              <w:rPr>
                <w:rFonts w:ascii="Arial Narrow" w:hAnsi="Arial Narrow"/>
                <w:sz w:val="20"/>
                <w:szCs w:val="20"/>
              </w:rPr>
            </w:pPr>
            <w:r w:rsidRPr="00BB4DAB">
              <w:rPr>
                <w:rFonts w:ascii="Arial Narrow" w:eastAsiaTheme="majorEastAsia" w:hAnsi="Arial Narrow" w:cstheme="majorBidi"/>
                <w:bCs/>
                <w:sz w:val="20"/>
                <w:szCs w:val="20"/>
              </w:rPr>
              <w:t>$</w:t>
            </w:r>
            <w:r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2254" w:type="dxa"/>
            <w:vAlign w:val="center"/>
          </w:tcPr>
          <w:p w14:paraId="4472C293" w14:textId="77777777" w:rsidR="002C005D" w:rsidRPr="00BB4DAB" w:rsidRDefault="002C005D">
            <w:pPr>
              <w:jc w:val="center"/>
              <w:rPr>
                <w:rFonts w:ascii="Arial Narrow" w:hAnsi="Arial Narrow"/>
                <w:sz w:val="20"/>
                <w:szCs w:val="20"/>
              </w:rPr>
            </w:pPr>
            <w:r w:rsidRPr="00BB4DAB">
              <w:rPr>
                <w:rFonts w:ascii="Arial Narrow" w:eastAsiaTheme="majorEastAsia" w:hAnsi="Arial Narrow" w:cstheme="majorBidi"/>
                <w:bCs/>
                <w:sz w:val="20"/>
                <w:szCs w:val="20"/>
              </w:rPr>
              <w:t>$66,857</w:t>
            </w:r>
          </w:p>
        </w:tc>
        <w:tc>
          <w:tcPr>
            <w:tcW w:w="2255" w:type="dxa"/>
            <w:vAlign w:val="center"/>
          </w:tcPr>
          <w:p w14:paraId="019F48F7" w14:textId="77777777" w:rsidR="002C005D" w:rsidRPr="00BB4DAB" w:rsidRDefault="002C005D">
            <w:pPr>
              <w:jc w:val="center"/>
              <w:rPr>
                <w:rFonts w:ascii="Arial Narrow" w:hAnsi="Arial Narrow"/>
                <w:sz w:val="20"/>
                <w:szCs w:val="20"/>
              </w:rPr>
            </w:pPr>
            <w:r w:rsidRPr="00BB4DAB">
              <w:rPr>
                <w:rFonts w:ascii="Arial Narrow" w:eastAsiaTheme="majorEastAsia" w:hAnsi="Arial Narrow" w:cstheme="majorBidi"/>
                <w:bCs/>
                <w:sz w:val="20"/>
                <w:szCs w:val="20"/>
              </w:rPr>
              <w:t>$</w:t>
            </w:r>
            <w:r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2C005D" w:rsidRPr="00BB4DAB" w14:paraId="34D68487" w14:textId="77777777">
        <w:tc>
          <w:tcPr>
            <w:tcW w:w="2254" w:type="dxa"/>
            <w:vAlign w:val="center"/>
          </w:tcPr>
          <w:p w14:paraId="7075093B" w14:textId="77777777" w:rsidR="002C005D" w:rsidRPr="00BB4DAB" w:rsidRDefault="002C005D">
            <w:pPr>
              <w:rPr>
                <w:rFonts w:ascii="Arial Narrow" w:hAnsi="Arial Narrow"/>
                <w:sz w:val="20"/>
                <w:szCs w:val="20"/>
              </w:rPr>
            </w:pPr>
            <w:r w:rsidRPr="00BB4DAB">
              <w:rPr>
                <w:rFonts w:ascii="Arial Narrow" w:hAnsi="Arial Narrow"/>
                <w:sz w:val="20"/>
                <w:szCs w:val="20"/>
              </w:rPr>
              <w:t xml:space="preserve">LY </w:t>
            </w:r>
          </w:p>
        </w:tc>
        <w:tc>
          <w:tcPr>
            <w:tcW w:w="2254" w:type="dxa"/>
            <w:vAlign w:val="center"/>
          </w:tcPr>
          <w:p w14:paraId="54F00DCD"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5.563</w:t>
            </w:r>
          </w:p>
        </w:tc>
        <w:tc>
          <w:tcPr>
            <w:tcW w:w="2254" w:type="dxa"/>
            <w:vAlign w:val="center"/>
          </w:tcPr>
          <w:p w14:paraId="184E4492"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4.006</w:t>
            </w:r>
          </w:p>
        </w:tc>
        <w:tc>
          <w:tcPr>
            <w:tcW w:w="2255" w:type="dxa"/>
            <w:vAlign w:val="center"/>
          </w:tcPr>
          <w:p w14:paraId="0DA95961"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1.556</w:t>
            </w:r>
          </w:p>
        </w:tc>
      </w:tr>
      <w:tr w:rsidR="002C005D" w:rsidRPr="00BB4DAB" w14:paraId="6992E87C" w14:textId="77777777">
        <w:tc>
          <w:tcPr>
            <w:tcW w:w="6762" w:type="dxa"/>
            <w:gridSpan w:val="3"/>
          </w:tcPr>
          <w:p w14:paraId="24A701EA" w14:textId="77777777" w:rsidR="002C005D" w:rsidRPr="00BB4DAB" w:rsidRDefault="002C005D">
            <w:pPr>
              <w:rPr>
                <w:rFonts w:ascii="Arial Narrow" w:hAnsi="Arial Narrow"/>
                <w:sz w:val="20"/>
                <w:szCs w:val="20"/>
              </w:rPr>
            </w:pPr>
            <w:r w:rsidRPr="00BB4DAB">
              <w:rPr>
                <w:rFonts w:ascii="Arial Narrow" w:hAnsi="Arial Narrow"/>
                <w:sz w:val="20"/>
                <w:szCs w:val="20"/>
              </w:rPr>
              <w:t>Incremental cost/extra LY gained</w:t>
            </w:r>
          </w:p>
        </w:tc>
        <w:tc>
          <w:tcPr>
            <w:tcW w:w="2255" w:type="dxa"/>
            <w:vAlign w:val="center"/>
          </w:tcPr>
          <w:p w14:paraId="360143CD" w14:textId="77777777" w:rsidR="002C005D" w:rsidRPr="00BB4DAB" w:rsidRDefault="002C005D">
            <w:pPr>
              <w:jc w:val="center"/>
              <w:rPr>
                <w:rFonts w:ascii="Arial Narrow" w:hAnsi="Arial Narrow"/>
                <w:sz w:val="20"/>
                <w:szCs w:val="20"/>
              </w:rPr>
            </w:pPr>
            <w:r w:rsidRPr="00BB4DAB">
              <w:rPr>
                <w:rFonts w:ascii="Arial Narrow" w:eastAsiaTheme="majorEastAsia" w:hAnsi="Arial Narrow" w:cstheme="majorBidi"/>
                <w:bCs/>
                <w:sz w:val="20"/>
                <w:szCs w:val="20"/>
              </w:rPr>
              <w:t>$</w:t>
            </w:r>
            <w:r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Pr="00226F52">
              <w:rPr>
                <w:rFonts w:ascii="Arial Narrow" w:eastAsiaTheme="majorEastAsia" w:hAnsi="Arial Narrow" w:cstheme="majorBidi"/>
                <w:bCs/>
                <w:sz w:val="20"/>
                <w:szCs w:val="20"/>
                <w:vertAlign w:val="superscript"/>
              </w:rPr>
              <w:t>2</w:t>
            </w:r>
          </w:p>
        </w:tc>
      </w:tr>
      <w:tr w:rsidR="002C005D" w:rsidRPr="00BB4DAB" w14:paraId="16173FE4" w14:textId="77777777">
        <w:tc>
          <w:tcPr>
            <w:tcW w:w="9017" w:type="dxa"/>
            <w:gridSpan w:val="4"/>
            <w:vAlign w:val="center"/>
          </w:tcPr>
          <w:p w14:paraId="43EDD528" w14:textId="77777777" w:rsidR="002C005D" w:rsidRPr="00BB4DAB" w:rsidRDefault="002C005D">
            <w:pPr>
              <w:rPr>
                <w:rFonts w:ascii="Arial Narrow" w:hAnsi="Arial Narrow"/>
                <w:sz w:val="20"/>
                <w:szCs w:val="20"/>
              </w:rPr>
            </w:pPr>
            <w:r w:rsidRPr="00BB4DAB">
              <w:rPr>
                <w:rFonts w:ascii="Arial Narrow" w:hAnsi="Arial Narrow"/>
                <w:sz w:val="20"/>
                <w:szCs w:val="20"/>
              </w:rPr>
              <w:t>Step 3: Cost per QALY over a 35-year time horizon (base case)</w:t>
            </w:r>
          </w:p>
        </w:tc>
      </w:tr>
      <w:tr w:rsidR="002C005D" w:rsidRPr="00BB4DAB" w14:paraId="175372B0" w14:textId="77777777">
        <w:tc>
          <w:tcPr>
            <w:tcW w:w="2254" w:type="dxa"/>
            <w:vAlign w:val="center"/>
          </w:tcPr>
          <w:p w14:paraId="14FAD7EF" w14:textId="77777777" w:rsidR="002C005D" w:rsidRPr="00BB4DAB" w:rsidRDefault="002C005D">
            <w:pPr>
              <w:rPr>
                <w:rFonts w:ascii="Arial Narrow" w:hAnsi="Arial Narrow"/>
                <w:sz w:val="20"/>
                <w:szCs w:val="20"/>
              </w:rPr>
            </w:pPr>
            <w:r w:rsidRPr="00BB4DAB">
              <w:rPr>
                <w:rFonts w:ascii="Arial Narrow" w:hAnsi="Arial Narrow"/>
                <w:sz w:val="20"/>
                <w:szCs w:val="20"/>
              </w:rPr>
              <w:t>Costs</w:t>
            </w:r>
          </w:p>
        </w:tc>
        <w:tc>
          <w:tcPr>
            <w:tcW w:w="2254" w:type="dxa"/>
            <w:vAlign w:val="center"/>
          </w:tcPr>
          <w:p w14:paraId="763AB7F3" w14:textId="77777777" w:rsidR="002C005D" w:rsidRPr="00BB4DAB" w:rsidRDefault="002C005D">
            <w:pPr>
              <w:jc w:val="center"/>
              <w:rPr>
                <w:rFonts w:ascii="Arial Narrow" w:hAnsi="Arial Narrow"/>
                <w:sz w:val="20"/>
                <w:szCs w:val="20"/>
              </w:rPr>
            </w:pPr>
            <w:r w:rsidRPr="00BB4DAB">
              <w:rPr>
                <w:rFonts w:ascii="Arial Narrow" w:eastAsiaTheme="majorEastAsia" w:hAnsi="Arial Narrow"/>
                <w:sz w:val="20"/>
                <w:szCs w:val="20"/>
              </w:rPr>
              <w:t>$</w:t>
            </w:r>
            <w:r w:rsidRPr="0016738C">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p>
        </w:tc>
        <w:tc>
          <w:tcPr>
            <w:tcW w:w="2254" w:type="dxa"/>
            <w:vAlign w:val="center"/>
          </w:tcPr>
          <w:p w14:paraId="45AFD419" w14:textId="77777777" w:rsidR="002C005D" w:rsidRPr="00BB4DAB" w:rsidRDefault="002C005D">
            <w:pPr>
              <w:jc w:val="center"/>
              <w:rPr>
                <w:rFonts w:ascii="Arial Narrow" w:hAnsi="Arial Narrow"/>
                <w:sz w:val="20"/>
                <w:szCs w:val="20"/>
              </w:rPr>
            </w:pPr>
            <w:r w:rsidRPr="00BB4DAB">
              <w:rPr>
                <w:rFonts w:ascii="Arial Narrow" w:eastAsiaTheme="majorEastAsia" w:hAnsi="Arial Narrow"/>
                <w:sz w:val="20"/>
                <w:szCs w:val="20"/>
              </w:rPr>
              <w:t>$66,857</w:t>
            </w:r>
          </w:p>
        </w:tc>
        <w:tc>
          <w:tcPr>
            <w:tcW w:w="2255" w:type="dxa"/>
            <w:vAlign w:val="center"/>
          </w:tcPr>
          <w:p w14:paraId="05688F70" w14:textId="77777777" w:rsidR="002C005D" w:rsidRPr="00BB4DAB" w:rsidRDefault="002C005D">
            <w:pPr>
              <w:jc w:val="center"/>
              <w:rPr>
                <w:rFonts w:ascii="Arial Narrow" w:hAnsi="Arial Narrow"/>
                <w:sz w:val="20"/>
                <w:szCs w:val="20"/>
              </w:rPr>
            </w:pPr>
            <w:r w:rsidRPr="00BB4DAB">
              <w:rPr>
                <w:rFonts w:ascii="Arial Narrow" w:eastAsiaTheme="majorEastAsia" w:hAnsi="Arial Narrow"/>
                <w:sz w:val="20"/>
                <w:szCs w:val="20"/>
              </w:rPr>
              <w:t>$</w:t>
            </w:r>
            <w:r w:rsidRPr="0016738C">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p>
        </w:tc>
      </w:tr>
      <w:tr w:rsidR="002C005D" w:rsidRPr="00BB4DAB" w14:paraId="3E8EFF7E" w14:textId="77777777">
        <w:tc>
          <w:tcPr>
            <w:tcW w:w="2254" w:type="dxa"/>
            <w:vAlign w:val="center"/>
          </w:tcPr>
          <w:p w14:paraId="776389D9" w14:textId="77777777" w:rsidR="002C005D" w:rsidRPr="00BB4DAB" w:rsidRDefault="002C005D">
            <w:pPr>
              <w:rPr>
                <w:rFonts w:ascii="Arial Narrow" w:hAnsi="Arial Narrow"/>
                <w:sz w:val="20"/>
                <w:szCs w:val="20"/>
              </w:rPr>
            </w:pPr>
            <w:r w:rsidRPr="00BB4DAB">
              <w:rPr>
                <w:rFonts w:ascii="Arial Narrow" w:hAnsi="Arial Narrow"/>
                <w:sz w:val="20"/>
                <w:szCs w:val="20"/>
              </w:rPr>
              <w:t>QALYs</w:t>
            </w:r>
          </w:p>
        </w:tc>
        <w:tc>
          <w:tcPr>
            <w:tcW w:w="2254" w:type="dxa"/>
            <w:vAlign w:val="center"/>
          </w:tcPr>
          <w:p w14:paraId="40AC47B6"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4.147</w:t>
            </w:r>
          </w:p>
        </w:tc>
        <w:tc>
          <w:tcPr>
            <w:tcW w:w="2254" w:type="dxa"/>
            <w:vAlign w:val="center"/>
          </w:tcPr>
          <w:p w14:paraId="2C47F0F4"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2.927</w:t>
            </w:r>
          </w:p>
        </w:tc>
        <w:tc>
          <w:tcPr>
            <w:tcW w:w="2255" w:type="dxa"/>
            <w:vAlign w:val="center"/>
          </w:tcPr>
          <w:p w14:paraId="5EF38054"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1.220</w:t>
            </w:r>
          </w:p>
        </w:tc>
      </w:tr>
      <w:tr w:rsidR="002C005D" w:rsidRPr="00BB4DAB" w14:paraId="33F74E56" w14:textId="77777777">
        <w:tc>
          <w:tcPr>
            <w:tcW w:w="6762" w:type="dxa"/>
            <w:gridSpan w:val="3"/>
          </w:tcPr>
          <w:p w14:paraId="0EEC4A9C" w14:textId="77777777" w:rsidR="002C005D" w:rsidRPr="00BB4DAB" w:rsidRDefault="002C005D">
            <w:pPr>
              <w:rPr>
                <w:rFonts w:ascii="Arial Narrow" w:hAnsi="Arial Narrow"/>
                <w:sz w:val="20"/>
                <w:szCs w:val="20"/>
              </w:rPr>
            </w:pPr>
            <w:r w:rsidRPr="00BB4DAB">
              <w:rPr>
                <w:rFonts w:ascii="Arial Narrow" w:hAnsi="Arial Narrow"/>
                <w:sz w:val="20"/>
                <w:szCs w:val="20"/>
              </w:rPr>
              <w:t>Incremental cost/extra QALY gained</w:t>
            </w:r>
          </w:p>
        </w:tc>
        <w:tc>
          <w:tcPr>
            <w:tcW w:w="2255" w:type="dxa"/>
            <w:vAlign w:val="center"/>
          </w:tcPr>
          <w:p w14:paraId="19F7013D" w14:textId="77777777" w:rsidR="002C005D" w:rsidRPr="00BB4DAB" w:rsidRDefault="002C005D">
            <w:pPr>
              <w:jc w:val="center"/>
              <w:rPr>
                <w:rFonts w:ascii="Arial Narrow" w:hAnsi="Arial Narrow"/>
                <w:sz w:val="20"/>
                <w:szCs w:val="20"/>
              </w:rPr>
            </w:pPr>
            <w:r w:rsidRPr="00BB4DAB">
              <w:rPr>
                <w:rFonts w:ascii="Arial Narrow" w:hAnsi="Arial Narrow"/>
                <w:sz w:val="20"/>
                <w:szCs w:val="20"/>
              </w:rPr>
              <w:t>$</w:t>
            </w:r>
            <w:r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Pr="00C64B2A">
              <w:rPr>
                <w:rFonts w:ascii="Arial Narrow" w:hAnsi="Arial Narrow"/>
                <w:sz w:val="20"/>
                <w:szCs w:val="20"/>
                <w:vertAlign w:val="superscript"/>
              </w:rPr>
              <w:t>3</w:t>
            </w:r>
          </w:p>
        </w:tc>
      </w:tr>
    </w:tbl>
    <w:p w14:paraId="31851687" w14:textId="77777777" w:rsidR="002C005D" w:rsidRDefault="002C005D" w:rsidP="008E2A57">
      <w:pPr>
        <w:pStyle w:val="FooterTableFigure"/>
      </w:pPr>
      <w:r w:rsidRPr="00BB4DAB">
        <w:t>Source: Table 3-21, p97 of the submission</w:t>
      </w:r>
      <w:r>
        <w:t>.</w:t>
      </w:r>
      <w:r w:rsidRPr="00BB4DAB">
        <w:t xml:space="preserve"> Cis+Gem, cisplatin and gemcitabine; ICER, incremental cost-effectiveness ratio; LY, life year; QALY, quality-adjusted life year</w:t>
      </w:r>
    </w:p>
    <w:p w14:paraId="59BE185A" w14:textId="77777777" w:rsidR="002C005D" w:rsidRDefault="002C005D" w:rsidP="00D6151C">
      <w:pPr>
        <w:pStyle w:val="FooterTableFigure"/>
        <w:rPr>
          <w:rStyle w:val="CommentReference"/>
          <w:b w:val="0"/>
          <w:bCs/>
          <w:szCs w:val="24"/>
        </w:rPr>
      </w:pPr>
      <w:r>
        <w:rPr>
          <w:rStyle w:val="CommentReference"/>
          <w:b w:val="0"/>
          <w:bCs/>
          <w:szCs w:val="24"/>
        </w:rPr>
        <w:t>1, A</w:t>
      </w:r>
      <w:r w:rsidRPr="002E07DB">
        <w:rPr>
          <w:rStyle w:val="CommentReference"/>
          <w:b w:val="0"/>
          <w:bCs/>
          <w:szCs w:val="24"/>
        </w:rPr>
        <w:t>djust</w:t>
      </w:r>
      <w:r>
        <w:rPr>
          <w:rStyle w:val="CommentReference"/>
          <w:b w:val="0"/>
          <w:bCs/>
          <w:szCs w:val="24"/>
        </w:rPr>
        <w:t xml:space="preserve">ed </w:t>
      </w:r>
      <w:r w:rsidRPr="002E07DB">
        <w:rPr>
          <w:rStyle w:val="CommentReference"/>
          <w:b w:val="0"/>
          <w:bCs/>
          <w:szCs w:val="24"/>
        </w:rPr>
        <w:t>for inappropriate half cycle correction of ‘time on treatment’</w:t>
      </w:r>
      <w:r>
        <w:rPr>
          <w:rStyle w:val="CommentReference"/>
          <w:b w:val="0"/>
          <w:bCs/>
          <w:szCs w:val="24"/>
        </w:rPr>
        <w:t xml:space="preserve"> </w:t>
      </w:r>
    </w:p>
    <w:p w14:paraId="6CB91055" w14:textId="77777777" w:rsidR="002C005D" w:rsidRPr="007A1885" w:rsidRDefault="002C005D" w:rsidP="007A1885">
      <w:pPr>
        <w:pStyle w:val="TableFigureFooter"/>
        <w:widowControl w:val="0"/>
      </w:pPr>
      <w:r w:rsidRPr="007A1885">
        <w:t>The redacted values correspond to the following ranges</w:t>
      </w:r>
    </w:p>
    <w:p w14:paraId="12B46C57" w14:textId="77777777" w:rsidR="002C005D" w:rsidRDefault="002C005D" w:rsidP="007A1885">
      <w:pPr>
        <w:keepLines/>
        <w:widowControl w:val="0"/>
        <w:spacing w:after="120"/>
        <w:contextualSpacing/>
        <w:rPr>
          <w:rFonts w:ascii="Arial Narrow" w:hAnsi="Arial Narrow"/>
          <w:snapToGrid w:val="0"/>
          <w:sz w:val="18"/>
          <w:szCs w:val="22"/>
        </w:rPr>
      </w:pPr>
      <w:r w:rsidRPr="007A1885">
        <w:rPr>
          <w:rFonts w:ascii="Arial Narrow" w:hAnsi="Arial Narrow"/>
          <w:snapToGrid w:val="0"/>
          <w:sz w:val="18"/>
          <w:szCs w:val="22"/>
          <w:vertAlign w:val="superscript"/>
        </w:rPr>
        <w:t>1</w:t>
      </w:r>
      <w:r w:rsidRPr="007A1885">
        <w:rPr>
          <w:rFonts w:ascii="Arial Narrow" w:hAnsi="Arial Narrow"/>
          <w:snapToGrid w:val="0"/>
          <w:sz w:val="18"/>
          <w:szCs w:val="22"/>
        </w:rPr>
        <w:t xml:space="preserve"> </w:t>
      </w:r>
      <w:r w:rsidRPr="005D3DC5">
        <w:rPr>
          <w:rFonts w:ascii="Arial Narrow" w:hAnsi="Arial Narrow"/>
          <w:snapToGrid w:val="0"/>
          <w:sz w:val="18"/>
          <w:szCs w:val="22"/>
        </w:rPr>
        <w:t>$555,000 to &lt; $655,000</w:t>
      </w:r>
    </w:p>
    <w:p w14:paraId="2EAD08F8" w14:textId="77777777" w:rsidR="002C005D" w:rsidRDefault="002C005D" w:rsidP="00552D5A">
      <w:pPr>
        <w:keepLines/>
        <w:widowControl w:val="0"/>
        <w:spacing w:after="120"/>
        <w:contextualSpacing/>
        <w:rPr>
          <w:rFonts w:ascii="Arial Narrow" w:hAnsi="Arial Narrow"/>
          <w:snapToGrid w:val="0"/>
          <w:sz w:val="18"/>
          <w:szCs w:val="22"/>
        </w:rPr>
      </w:pPr>
      <w:r w:rsidRPr="00961DFD">
        <w:rPr>
          <w:rFonts w:ascii="Arial Narrow" w:hAnsi="Arial Narrow"/>
          <w:snapToGrid w:val="0"/>
          <w:sz w:val="18"/>
          <w:szCs w:val="22"/>
          <w:vertAlign w:val="superscript"/>
        </w:rPr>
        <w:t>2</w:t>
      </w:r>
      <w:r>
        <w:rPr>
          <w:rFonts w:ascii="Arial Narrow" w:hAnsi="Arial Narrow"/>
          <w:snapToGrid w:val="0"/>
          <w:sz w:val="18"/>
          <w:szCs w:val="22"/>
        </w:rPr>
        <w:t xml:space="preserve"> </w:t>
      </w:r>
      <w:r w:rsidRPr="00C64B2A">
        <w:rPr>
          <w:rFonts w:ascii="Arial Narrow" w:hAnsi="Arial Narrow"/>
          <w:snapToGrid w:val="0"/>
          <w:sz w:val="18"/>
          <w:szCs w:val="22"/>
        </w:rPr>
        <w:t>$135,000 to &lt; $155,000</w:t>
      </w:r>
      <w:r>
        <w:rPr>
          <w:rFonts w:ascii="Arial Narrow" w:hAnsi="Arial Narrow"/>
          <w:snapToGrid w:val="0"/>
          <w:sz w:val="18"/>
          <w:szCs w:val="22"/>
        </w:rPr>
        <w:t xml:space="preserve"> </w:t>
      </w:r>
    </w:p>
    <w:p w14:paraId="3F3DD0E2" w14:textId="77777777" w:rsidR="002C005D" w:rsidRPr="00552D5A" w:rsidRDefault="002C005D" w:rsidP="00552D5A">
      <w:pPr>
        <w:keepLines/>
        <w:widowControl w:val="0"/>
        <w:spacing w:after="120"/>
        <w:contextualSpacing/>
        <w:rPr>
          <w:rFonts w:ascii="Arial Narrow" w:hAnsi="Arial Narrow"/>
          <w:snapToGrid w:val="0"/>
          <w:sz w:val="18"/>
          <w:szCs w:val="22"/>
        </w:rPr>
      </w:pPr>
      <w:r w:rsidRPr="00961DFD">
        <w:rPr>
          <w:rFonts w:ascii="Arial Narrow" w:hAnsi="Arial Narrow"/>
          <w:snapToGrid w:val="0"/>
          <w:sz w:val="18"/>
          <w:szCs w:val="22"/>
          <w:vertAlign w:val="superscript"/>
        </w:rPr>
        <w:t>3</w:t>
      </w:r>
      <w:r>
        <w:rPr>
          <w:rFonts w:ascii="Arial Narrow" w:hAnsi="Arial Narrow"/>
          <w:snapToGrid w:val="0"/>
          <w:sz w:val="18"/>
          <w:szCs w:val="22"/>
        </w:rPr>
        <w:t xml:space="preserve"> </w:t>
      </w:r>
      <w:r w:rsidRPr="00552D5A">
        <w:rPr>
          <w:rFonts w:ascii="Arial Narrow" w:hAnsi="Arial Narrow"/>
          <w:snapToGrid w:val="0"/>
          <w:sz w:val="18"/>
          <w:szCs w:val="22"/>
        </w:rPr>
        <w:t>$155,000 to &lt; $255,000</w:t>
      </w:r>
    </w:p>
    <w:p w14:paraId="4183502F" w14:textId="77777777" w:rsidR="002C005D" w:rsidRPr="00BB4DAB" w:rsidRDefault="002C005D" w:rsidP="00AA49D6">
      <w:pPr>
        <w:pStyle w:val="3-BodyText"/>
      </w:pPr>
      <w:r w:rsidRPr="00BB4DAB">
        <w:t>Over the 35-year time horizon, the model estimates 8.0 (3.2 PF and 4.8 PD) and 5.2 (1.2 PF and 3.9 PD) undiscounted life years gained for toripalimab and placebo, respectively, resulting in an incremental 2.8 (2.0 PF and 0.8 PD) undiscounted life years gained.</w:t>
      </w:r>
    </w:p>
    <w:p w14:paraId="65A7EBFF" w14:textId="77777777" w:rsidR="002C005D" w:rsidRPr="00BB4DAB" w:rsidRDefault="002C005D" w:rsidP="00AA49D6">
      <w:pPr>
        <w:pStyle w:val="3-BodyText"/>
      </w:pPr>
      <w:r w:rsidRPr="00BB4DAB">
        <w:t>Traces of the base case model are presented in Figure 6.</w:t>
      </w:r>
    </w:p>
    <w:p w14:paraId="76157611" w14:textId="77777777" w:rsidR="002C005D" w:rsidRPr="00A44A76" w:rsidRDefault="002C005D" w:rsidP="00A44A76">
      <w:pPr>
        <w:pStyle w:val="3-BodyText"/>
        <w:numPr>
          <w:ilvl w:val="0"/>
          <w:numId w:val="0"/>
        </w:numPr>
        <w:ind w:left="720"/>
        <w:jc w:val="left"/>
        <w:rPr>
          <w:rFonts w:ascii="Arial Narrow" w:hAnsi="Arial Narrow"/>
          <w:b/>
          <w:bCs/>
          <w:sz w:val="20"/>
          <w:szCs w:val="18"/>
        </w:rPr>
      </w:pPr>
    </w:p>
    <w:p w14:paraId="7ED10BDB" w14:textId="53178511" w:rsidR="0094597A" w:rsidRPr="00BB4DAB" w:rsidRDefault="0094597A" w:rsidP="0094597A">
      <w:pPr>
        <w:pStyle w:val="3-BodyText"/>
      </w:pPr>
      <w:r w:rsidRPr="00BB4DAB">
        <w:fldChar w:fldCharType="end"/>
      </w:r>
      <w:r w:rsidRPr="00BB4DAB">
        <w:t xml:space="preserve">. </w:t>
      </w:r>
    </w:p>
    <w:p w14:paraId="4659D8F9" w14:textId="70C4F7AA" w:rsidR="008E2A57" w:rsidRPr="00BB4DAB" w:rsidRDefault="008E2A57" w:rsidP="008E2A57">
      <w:pPr>
        <w:pStyle w:val="Caption"/>
        <w:jc w:val="left"/>
        <w:rPr>
          <w:rStyle w:val="CommentReference"/>
          <w:b/>
          <w:szCs w:val="24"/>
        </w:rPr>
      </w:pPr>
      <w:bookmarkStart w:id="46" w:name="_Ref187877551"/>
      <w:r w:rsidRPr="00BB4DAB">
        <w:t xml:space="preserve">Table </w:t>
      </w:r>
      <w:r>
        <w:fldChar w:fldCharType="begin"/>
      </w:r>
      <w:r>
        <w:instrText xml:space="preserve"> SEQ Table \* ARABIC </w:instrText>
      </w:r>
      <w:r>
        <w:fldChar w:fldCharType="separate"/>
      </w:r>
      <w:r w:rsidR="002C005D">
        <w:rPr>
          <w:noProof/>
        </w:rPr>
        <w:t>10</w:t>
      </w:r>
      <w:r>
        <w:rPr>
          <w:noProof/>
        </w:rPr>
        <w:fldChar w:fldCharType="end"/>
      </w:r>
      <w:r w:rsidRPr="00BB4DAB">
        <w:rPr>
          <w:rStyle w:val="CommentReference"/>
          <w:b/>
          <w:szCs w:val="24"/>
        </w:rPr>
        <w:t>: Results of the stepped economic evaluation</w:t>
      </w:r>
      <w:r w:rsidR="002E07DB" w:rsidRPr="002E07DB">
        <w:rPr>
          <w:rStyle w:val="CommentReference"/>
          <w:b/>
          <w:szCs w:val="24"/>
          <w:vertAlign w:val="superscript"/>
        </w:rPr>
        <w:t>1</w:t>
      </w:r>
      <w:r w:rsidRPr="00BB4DAB">
        <w:rPr>
          <w:rStyle w:val="CommentReference"/>
          <w:b/>
          <w:szCs w:val="24"/>
        </w:rPr>
        <w:t xml:space="preserve"> </w:t>
      </w:r>
    </w:p>
    <w:tbl>
      <w:tblPr>
        <w:tblStyle w:val="TableGrid"/>
        <w:tblW w:w="0" w:type="auto"/>
        <w:tblLook w:val="04A0" w:firstRow="1" w:lastRow="0" w:firstColumn="1" w:lastColumn="0" w:noHBand="0" w:noVBand="1"/>
      </w:tblPr>
      <w:tblGrid>
        <w:gridCol w:w="2254"/>
        <w:gridCol w:w="2254"/>
        <w:gridCol w:w="2254"/>
        <w:gridCol w:w="2255"/>
      </w:tblGrid>
      <w:tr w:rsidR="008E2A57" w:rsidRPr="00BB4DAB" w14:paraId="7158B401" w14:textId="77777777">
        <w:tc>
          <w:tcPr>
            <w:tcW w:w="2254" w:type="dxa"/>
            <w:vAlign w:val="center"/>
          </w:tcPr>
          <w:p w14:paraId="7FE5A225" w14:textId="77777777" w:rsidR="008E2A57" w:rsidRPr="00BB4DAB" w:rsidRDefault="008E2A57">
            <w:pPr>
              <w:rPr>
                <w:rFonts w:ascii="Arial Narrow" w:hAnsi="Arial Narrow"/>
                <w:b/>
                <w:bCs/>
                <w:sz w:val="20"/>
                <w:szCs w:val="20"/>
              </w:rPr>
            </w:pPr>
            <w:r w:rsidRPr="00BB4DAB">
              <w:rPr>
                <w:rFonts w:ascii="Arial Narrow" w:hAnsi="Arial Narrow"/>
                <w:b/>
                <w:bCs/>
                <w:sz w:val="20"/>
                <w:szCs w:val="20"/>
              </w:rPr>
              <w:t>Step and component</w:t>
            </w:r>
          </w:p>
        </w:tc>
        <w:tc>
          <w:tcPr>
            <w:tcW w:w="2254" w:type="dxa"/>
            <w:vAlign w:val="center"/>
          </w:tcPr>
          <w:p w14:paraId="278A4F8B" w14:textId="77777777" w:rsidR="008E2A57" w:rsidRPr="00BB4DAB" w:rsidRDefault="008E2A57">
            <w:pPr>
              <w:jc w:val="center"/>
              <w:rPr>
                <w:rFonts w:ascii="Arial Narrow" w:hAnsi="Arial Narrow"/>
                <w:b/>
                <w:bCs/>
                <w:sz w:val="20"/>
                <w:szCs w:val="20"/>
              </w:rPr>
            </w:pPr>
            <w:r w:rsidRPr="00BB4DAB">
              <w:rPr>
                <w:rFonts w:ascii="Arial Narrow" w:hAnsi="Arial Narrow"/>
                <w:b/>
                <w:bCs/>
                <w:sz w:val="20"/>
                <w:szCs w:val="20"/>
              </w:rPr>
              <w:t>Toripalimab + Cis+Gem</w:t>
            </w:r>
          </w:p>
        </w:tc>
        <w:tc>
          <w:tcPr>
            <w:tcW w:w="2254" w:type="dxa"/>
            <w:vAlign w:val="center"/>
          </w:tcPr>
          <w:p w14:paraId="001A42C5" w14:textId="77777777" w:rsidR="008E2A57" w:rsidRPr="00BB4DAB" w:rsidRDefault="008E2A57">
            <w:pPr>
              <w:jc w:val="center"/>
              <w:rPr>
                <w:rFonts w:ascii="Arial Narrow" w:hAnsi="Arial Narrow"/>
                <w:b/>
                <w:bCs/>
                <w:sz w:val="20"/>
                <w:szCs w:val="20"/>
              </w:rPr>
            </w:pPr>
            <w:r w:rsidRPr="00BB4DAB">
              <w:rPr>
                <w:rFonts w:ascii="Arial Narrow" w:hAnsi="Arial Narrow"/>
                <w:b/>
                <w:bCs/>
                <w:sz w:val="20"/>
                <w:szCs w:val="20"/>
              </w:rPr>
              <w:t>Placebo + Cis+Gem</w:t>
            </w:r>
          </w:p>
        </w:tc>
        <w:tc>
          <w:tcPr>
            <w:tcW w:w="2255" w:type="dxa"/>
            <w:vAlign w:val="center"/>
          </w:tcPr>
          <w:p w14:paraId="0A8026AF" w14:textId="77777777" w:rsidR="008E2A57" w:rsidRPr="00BB4DAB" w:rsidRDefault="008E2A57">
            <w:pPr>
              <w:jc w:val="center"/>
              <w:rPr>
                <w:rFonts w:ascii="Arial Narrow" w:hAnsi="Arial Narrow"/>
                <w:b/>
                <w:bCs/>
                <w:sz w:val="20"/>
                <w:szCs w:val="20"/>
              </w:rPr>
            </w:pPr>
            <w:r w:rsidRPr="00BB4DAB">
              <w:rPr>
                <w:rFonts w:ascii="Arial Narrow" w:hAnsi="Arial Narrow"/>
                <w:b/>
                <w:bCs/>
                <w:sz w:val="20"/>
                <w:szCs w:val="20"/>
              </w:rPr>
              <w:t>Increment</w:t>
            </w:r>
          </w:p>
        </w:tc>
      </w:tr>
      <w:tr w:rsidR="008E2A57" w:rsidRPr="00BB4DAB" w14:paraId="2A97ACAB" w14:textId="77777777">
        <w:tc>
          <w:tcPr>
            <w:tcW w:w="9017" w:type="dxa"/>
            <w:gridSpan w:val="4"/>
            <w:vAlign w:val="center"/>
          </w:tcPr>
          <w:p w14:paraId="72FE8DED" w14:textId="77777777" w:rsidR="008E2A57" w:rsidRPr="00BB4DAB" w:rsidRDefault="008E2A57">
            <w:pPr>
              <w:rPr>
                <w:rFonts w:ascii="Arial Narrow" w:hAnsi="Arial Narrow"/>
                <w:sz w:val="20"/>
                <w:szCs w:val="20"/>
              </w:rPr>
            </w:pPr>
            <w:r w:rsidRPr="00BB4DAB">
              <w:rPr>
                <w:rFonts w:ascii="Arial Narrow" w:hAnsi="Arial Narrow"/>
                <w:sz w:val="20"/>
                <w:szCs w:val="20"/>
              </w:rPr>
              <w:t>Step 1: Cost per LY over 5-year trial horizon</w:t>
            </w:r>
          </w:p>
        </w:tc>
      </w:tr>
      <w:tr w:rsidR="008E2A57" w:rsidRPr="00BB4DAB" w14:paraId="30239395" w14:textId="77777777">
        <w:tc>
          <w:tcPr>
            <w:tcW w:w="2254" w:type="dxa"/>
            <w:vAlign w:val="center"/>
          </w:tcPr>
          <w:p w14:paraId="17C7E16F" w14:textId="77777777" w:rsidR="008E2A57" w:rsidRPr="00BB4DAB" w:rsidRDefault="008E2A57">
            <w:pPr>
              <w:rPr>
                <w:rFonts w:ascii="Arial Narrow" w:hAnsi="Arial Narrow"/>
                <w:sz w:val="20"/>
                <w:szCs w:val="20"/>
              </w:rPr>
            </w:pPr>
            <w:r w:rsidRPr="00BB4DAB">
              <w:rPr>
                <w:rFonts w:ascii="Arial Narrow" w:hAnsi="Arial Narrow"/>
                <w:sz w:val="20"/>
                <w:szCs w:val="20"/>
              </w:rPr>
              <w:t>Costs</w:t>
            </w:r>
          </w:p>
        </w:tc>
        <w:tc>
          <w:tcPr>
            <w:tcW w:w="2254" w:type="dxa"/>
            <w:vAlign w:val="center"/>
          </w:tcPr>
          <w:p w14:paraId="6A201379" w14:textId="18CC083B" w:rsidR="008E2A57" w:rsidRPr="00BB4DAB" w:rsidRDefault="008E2A57">
            <w:pPr>
              <w:jc w:val="center"/>
              <w:rPr>
                <w:rFonts w:ascii="Arial Narrow" w:hAnsi="Arial Narrow"/>
                <w:sz w:val="20"/>
                <w:szCs w:val="20"/>
              </w:rPr>
            </w:pPr>
            <w:r w:rsidRPr="00BB4DAB">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vAlign w:val="center"/>
          </w:tcPr>
          <w:p w14:paraId="6B97F2FA"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$53,048</w:t>
            </w:r>
          </w:p>
        </w:tc>
        <w:tc>
          <w:tcPr>
            <w:tcW w:w="2255" w:type="dxa"/>
            <w:vAlign w:val="center"/>
          </w:tcPr>
          <w:p w14:paraId="3F5161D9" w14:textId="7C85DE6C" w:rsidR="008E2A57" w:rsidRPr="00BB4DAB" w:rsidRDefault="008E2A57">
            <w:pPr>
              <w:jc w:val="center"/>
              <w:rPr>
                <w:rFonts w:ascii="Arial Narrow" w:hAnsi="Arial Narrow"/>
                <w:sz w:val="20"/>
                <w:szCs w:val="20"/>
              </w:rPr>
            </w:pPr>
            <w:r w:rsidRPr="00BB4DAB">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r>
      <w:tr w:rsidR="008E2A57" w:rsidRPr="00BB4DAB" w14:paraId="04692959" w14:textId="77777777">
        <w:tc>
          <w:tcPr>
            <w:tcW w:w="2254" w:type="dxa"/>
            <w:vAlign w:val="center"/>
          </w:tcPr>
          <w:p w14:paraId="5FE1751F" w14:textId="77777777" w:rsidR="008E2A57" w:rsidRPr="00BB4DAB" w:rsidRDefault="008E2A57">
            <w:pPr>
              <w:rPr>
                <w:rFonts w:ascii="Arial Narrow" w:hAnsi="Arial Narrow"/>
                <w:sz w:val="20"/>
                <w:szCs w:val="20"/>
              </w:rPr>
            </w:pPr>
            <w:r w:rsidRPr="00BB4DAB">
              <w:rPr>
                <w:rFonts w:ascii="Arial Narrow" w:hAnsi="Arial Narrow"/>
                <w:sz w:val="20"/>
                <w:szCs w:val="20"/>
              </w:rPr>
              <w:t xml:space="preserve">LY </w:t>
            </w:r>
          </w:p>
        </w:tc>
        <w:tc>
          <w:tcPr>
            <w:tcW w:w="2254" w:type="dxa"/>
            <w:vAlign w:val="center"/>
          </w:tcPr>
          <w:p w14:paraId="675716BA"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3.233</w:t>
            </w:r>
          </w:p>
        </w:tc>
        <w:tc>
          <w:tcPr>
            <w:tcW w:w="2254" w:type="dxa"/>
            <w:vAlign w:val="center"/>
          </w:tcPr>
          <w:p w14:paraId="130FD010"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2.819</w:t>
            </w:r>
          </w:p>
        </w:tc>
        <w:tc>
          <w:tcPr>
            <w:tcW w:w="2255" w:type="dxa"/>
            <w:vAlign w:val="center"/>
          </w:tcPr>
          <w:p w14:paraId="60ADBE44"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0.415</w:t>
            </w:r>
          </w:p>
        </w:tc>
      </w:tr>
      <w:tr w:rsidR="008E2A57" w:rsidRPr="00BB4DAB" w14:paraId="6B63D96E" w14:textId="77777777">
        <w:tc>
          <w:tcPr>
            <w:tcW w:w="6762" w:type="dxa"/>
            <w:gridSpan w:val="3"/>
            <w:vAlign w:val="center"/>
          </w:tcPr>
          <w:p w14:paraId="5163EB5C" w14:textId="77777777" w:rsidR="008E2A57" w:rsidRPr="00BB4DAB" w:rsidRDefault="008E2A57">
            <w:pPr>
              <w:rPr>
                <w:rFonts w:ascii="Arial Narrow" w:hAnsi="Arial Narrow"/>
                <w:sz w:val="20"/>
                <w:szCs w:val="20"/>
              </w:rPr>
            </w:pPr>
            <w:r w:rsidRPr="00BB4DAB">
              <w:rPr>
                <w:rFonts w:ascii="Arial Narrow" w:hAnsi="Arial Narrow"/>
                <w:sz w:val="20"/>
                <w:szCs w:val="20"/>
              </w:rPr>
              <w:t>Incremental cost/extra LY gained</w:t>
            </w:r>
          </w:p>
        </w:tc>
        <w:tc>
          <w:tcPr>
            <w:tcW w:w="2255" w:type="dxa"/>
            <w:vAlign w:val="center"/>
          </w:tcPr>
          <w:p w14:paraId="014912D3" w14:textId="304393B3" w:rsidR="008E2A57" w:rsidRPr="00BB4DAB" w:rsidRDefault="008E2A57">
            <w:pPr>
              <w:jc w:val="center"/>
              <w:rPr>
                <w:rFonts w:ascii="Arial Narrow" w:hAnsi="Arial Narrow"/>
                <w:sz w:val="20"/>
                <w:szCs w:val="20"/>
              </w:rPr>
            </w:pPr>
            <w:r w:rsidRPr="00BB4DAB">
              <w:rPr>
                <w:rFonts w:ascii="Arial Narrow" w:eastAsiaTheme="majorEastAsia" w:hAnsi="Arial Narrow" w:cstheme="majorBidi"/>
                <w:bCs/>
                <w:sz w:val="20"/>
                <w:szCs w:val="20"/>
              </w:rPr>
              <w:t>$</w:t>
            </w:r>
            <w:r w:rsidR="0016738C"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6C5ED4" w:rsidRPr="006C5ED4">
              <w:rPr>
                <w:rFonts w:ascii="Arial Narrow" w:eastAsiaTheme="majorEastAsia" w:hAnsi="Arial Narrow" w:cstheme="majorBidi"/>
                <w:bCs/>
                <w:sz w:val="20"/>
                <w:szCs w:val="20"/>
                <w:vertAlign w:val="superscript"/>
              </w:rPr>
              <w:t>1</w:t>
            </w:r>
          </w:p>
        </w:tc>
      </w:tr>
      <w:tr w:rsidR="008E2A57" w:rsidRPr="00BB4DAB" w14:paraId="4078E742" w14:textId="77777777">
        <w:tc>
          <w:tcPr>
            <w:tcW w:w="9017" w:type="dxa"/>
            <w:gridSpan w:val="4"/>
          </w:tcPr>
          <w:p w14:paraId="70993450" w14:textId="77777777" w:rsidR="008E2A57" w:rsidRPr="00BB4DAB" w:rsidRDefault="008E2A57">
            <w:pPr>
              <w:rPr>
                <w:rFonts w:ascii="Arial Narrow" w:hAnsi="Arial Narrow"/>
                <w:sz w:val="20"/>
                <w:szCs w:val="20"/>
              </w:rPr>
            </w:pPr>
            <w:r w:rsidRPr="00BB4DAB">
              <w:rPr>
                <w:rFonts w:ascii="Arial Narrow" w:hAnsi="Arial Narrow"/>
                <w:sz w:val="20"/>
                <w:szCs w:val="20"/>
              </w:rPr>
              <w:t>Step 2: Cost per LY over a 35-year time horizon</w:t>
            </w:r>
          </w:p>
        </w:tc>
      </w:tr>
      <w:tr w:rsidR="008E2A57" w:rsidRPr="00BB4DAB" w14:paraId="360D04A0" w14:textId="77777777">
        <w:tc>
          <w:tcPr>
            <w:tcW w:w="2254" w:type="dxa"/>
            <w:vAlign w:val="center"/>
          </w:tcPr>
          <w:p w14:paraId="794CB51A" w14:textId="77777777" w:rsidR="008E2A57" w:rsidRPr="00BB4DAB" w:rsidRDefault="008E2A57">
            <w:pPr>
              <w:rPr>
                <w:rFonts w:ascii="Arial Narrow" w:hAnsi="Arial Narrow"/>
                <w:sz w:val="20"/>
                <w:szCs w:val="20"/>
              </w:rPr>
            </w:pPr>
            <w:r w:rsidRPr="00BB4DAB">
              <w:rPr>
                <w:rFonts w:ascii="Arial Narrow" w:hAnsi="Arial Narrow"/>
                <w:sz w:val="20"/>
                <w:szCs w:val="20"/>
              </w:rPr>
              <w:t>Costs</w:t>
            </w:r>
          </w:p>
        </w:tc>
        <w:tc>
          <w:tcPr>
            <w:tcW w:w="2254" w:type="dxa"/>
            <w:vAlign w:val="center"/>
          </w:tcPr>
          <w:p w14:paraId="0ECC9664" w14:textId="27C51CB5" w:rsidR="008E2A57" w:rsidRPr="00BB4DAB" w:rsidRDefault="008E2A57">
            <w:pPr>
              <w:jc w:val="center"/>
              <w:rPr>
                <w:rFonts w:ascii="Arial Narrow" w:hAnsi="Arial Narrow"/>
                <w:sz w:val="20"/>
                <w:szCs w:val="20"/>
              </w:rPr>
            </w:pPr>
            <w:r w:rsidRPr="00BB4DAB">
              <w:rPr>
                <w:rFonts w:ascii="Arial Narrow" w:eastAsiaTheme="majorEastAsia" w:hAnsi="Arial Narrow" w:cstheme="majorBidi"/>
                <w:bCs/>
                <w:sz w:val="20"/>
                <w:szCs w:val="20"/>
              </w:rPr>
              <w:t>$</w:t>
            </w:r>
            <w:r w:rsidR="0016738C"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2254" w:type="dxa"/>
            <w:vAlign w:val="center"/>
          </w:tcPr>
          <w:p w14:paraId="59B23C30" w14:textId="77777777" w:rsidR="008E2A57" w:rsidRPr="00BB4DAB" w:rsidRDefault="008E2A57">
            <w:pPr>
              <w:jc w:val="center"/>
              <w:rPr>
                <w:rFonts w:ascii="Arial Narrow" w:hAnsi="Arial Narrow"/>
                <w:sz w:val="20"/>
                <w:szCs w:val="20"/>
              </w:rPr>
            </w:pPr>
            <w:r w:rsidRPr="00BB4DAB">
              <w:rPr>
                <w:rFonts w:ascii="Arial Narrow" w:eastAsiaTheme="majorEastAsia" w:hAnsi="Arial Narrow" w:cstheme="majorBidi"/>
                <w:bCs/>
                <w:sz w:val="20"/>
                <w:szCs w:val="20"/>
              </w:rPr>
              <w:t>$66,857</w:t>
            </w:r>
          </w:p>
        </w:tc>
        <w:tc>
          <w:tcPr>
            <w:tcW w:w="2255" w:type="dxa"/>
            <w:vAlign w:val="center"/>
          </w:tcPr>
          <w:p w14:paraId="25BBF0AE" w14:textId="3B0B9CE3" w:rsidR="008E2A57" w:rsidRPr="00BB4DAB" w:rsidRDefault="008E2A57">
            <w:pPr>
              <w:jc w:val="center"/>
              <w:rPr>
                <w:rFonts w:ascii="Arial Narrow" w:hAnsi="Arial Narrow"/>
                <w:sz w:val="20"/>
                <w:szCs w:val="20"/>
              </w:rPr>
            </w:pPr>
            <w:r w:rsidRPr="00BB4DAB">
              <w:rPr>
                <w:rFonts w:ascii="Arial Narrow" w:eastAsiaTheme="majorEastAsia" w:hAnsi="Arial Narrow" w:cstheme="majorBidi"/>
                <w:bCs/>
                <w:sz w:val="20"/>
                <w:szCs w:val="20"/>
              </w:rPr>
              <w:t>$</w:t>
            </w:r>
            <w:r w:rsidR="0016738C"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8E2A57" w:rsidRPr="00BB4DAB" w14:paraId="6277F25B" w14:textId="77777777">
        <w:tc>
          <w:tcPr>
            <w:tcW w:w="2254" w:type="dxa"/>
            <w:vAlign w:val="center"/>
          </w:tcPr>
          <w:p w14:paraId="2C77378E" w14:textId="77777777" w:rsidR="008E2A57" w:rsidRPr="00BB4DAB" w:rsidRDefault="008E2A57">
            <w:pPr>
              <w:rPr>
                <w:rFonts w:ascii="Arial Narrow" w:hAnsi="Arial Narrow"/>
                <w:sz w:val="20"/>
                <w:szCs w:val="20"/>
              </w:rPr>
            </w:pPr>
            <w:r w:rsidRPr="00BB4DAB">
              <w:rPr>
                <w:rFonts w:ascii="Arial Narrow" w:hAnsi="Arial Narrow"/>
                <w:sz w:val="20"/>
                <w:szCs w:val="20"/>
              </w:rPr>
              <w:t xml:space="preserve">LY </w:t>
            </w:r>
          </w:p>
        </w:tc>
        <w:tc>
          <w:tcPr>
            <w:tcW w:w="2254" w:type="dxa"/>
            <w:vAlign w:val="center"/>
          </w:tcPr>
          <w:p w14:paraId="749B1CB9"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5.563</w:t>
            </w:r>
          </w:p>
        </w:tc>
        <w:tc>
          <w:tcPr>
            <w:tcW w:w="2254" w:type="dxa"/>
            <w:vAlign w:val="center"/>
          </w:tcPr>
          <w:p w14:paraId="7DA9D2C0"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4.006</w:t>
            </w:r>
          </w:p>
        </w:tc>
        <w:tc>
          <w:tcPr>
            <w:tcW w:w="2255" w:type="dxa"/>
            <w:vAlign w:val="center"/>
          </w:tcPr>
          <w:p w14:paraId="7706FF2A"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1.556</w:t>
            </w:r>
          </w:p>
        </w:tc>
      </w:tr>
      <w:tr w:rsidR="008E2A57" w:rsidRPr="00BB4DAB" w14:paraId="21D9C857" w14:textId="77777777">
        <w:tc>
          <w:tcPr>
            <w:tcW w:w="6762" w:type="dxa"/>
            <w:gridSpan w:val="3"/>
          </w:tcPr>
          <w:p w14:paraId="2E996FE4" w14:textId="77777777" w:rsidR="008E2A57" w:rsidRPr="00BB4DAB" w:rsidRDefault="008E2A57">
            <w:pPr>
              <w:rPr>
                <w:rFonts w:ascii="Arial Narrow" w:hAnsi="Arial Narrow"/>
                <w:sz w:val="20"/>
                <w:szCs w:val="20"/>
              </w:rPr>
            </w:pPr>
            <w:r w:rsidRPr="00BB4DAB">
              <w:rPr>
                <w:rFonts w:ascii="Arial Narrow" w:hAnsi="Arial Narrow"/>
                <w:sz w:val="20"/>
                <w:szCs w:val="20"/>
              </w:rPr>
              <w:t>Incremental cost/extra LY gained</w:t>
            </w:r>
          </w:p>
        </w:tc>
        <w:tc>
          <w:tcPr>
            <w:tcW w:w="2255" w:type="dxa"/>
            <w:vAlign w:val="center"/>
          </w:tcPr>
          <w:p w14:paraId="4F6647B5" w14:textId="71D24DAF" w:rsidR="008E2A57" w:rsidRPr="00BB4DAB" w:rsidRDefault="008E2A57">
            <w:pPr>
              <w:jc w:val="center"/>
              <w:rPr>
                <w:rFonts w:ascii="Arial Narrow" w:hAnsi="Arial Narrow"/>
                <w:sz w:val="20"/>
                <w:szCs w:val="20"/>
              </w:rPr>
            </w:pPr>
            <w:r w:rsidRPr="00BB4DAB">
              <w:rPr>
                <w:rFonts w:ascii="Arial Narrow" w:eastAsiaTheme="majorEastAsia" w:hAnsi="Arial Narrow" w:cstheme="majorBidi"/>
                <w:bCs/>
                <w:sz w:val="20"/>
                <w:szCs w:val="20"/>
              </w:rPr>
              <w:t>$</w:t>
            </w:r>
            <w:r w:rsidR="0016738C" w:rsidRPr="0016738C">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226F52" w:rsidRPr="00226F52">
              <w:rPr>
                <w:rFonts w:ascii="Arial Narrow" w:eastAsiaTheme="majorEastAsia" w:hAnsi="Arial Narrow" w:cstheme="majorBidi"/>
                <w:bCs/>
                <w:sz w:val="20"/>
                <w:szCs w:val="20"/>
                <w:vertAlign w:val="superscript"/>
              </w:rPr>
              <w:t>2</w:t>
            </w:r>
          </w:p>
        </w:tc>
      </w:tr>
      <w:tr w:rsidR="008E2A57" w:rsidRPr="00BB4DAB" w14:paraId="5F1CCEC0" w14:textId="77777777">
        <w:tc>
          <w:tcPr>
            <w:tcW w:w="9017" w:type="dxa"/>
            <w:gridSpan w:val="4"/>
            <w:vAlign w:val="center"/>
          </w:tcPr>
          <w:p w14:paraId="3AE7866D" w14:textId="77777777" w:rsidR="008E2A57" w:rsidRPr="00BB4DAB" w:rsidRDefault="008E2A57">
            <w:pPr>
              <w:rPr>
                <w:rFonts w:ascii="Arial Narrow" w:hAnsi="Arial Narrow"/>
                <w:sz w:val="20"/>
                <w:szCs w:val="20"/>
              </w:rPr>
            </w:pPr>
            <w:r w:rsidRPr="00BB4DAB">
              <w:rPr>
                <w:rFonts w:ascii="Arial Narrow" w:hAnsi="Arial Narrow"/>
                <w:sz w:val="20"/>
                <w:szCs w:val="20"/>
              </w:rPr>
              <w:t>Step 3: Cost per QALY over a 35-year time horizon (base case)</w:t>
            </w:r>
          </w:p>
        </w:tc>
      </w:tr>
      <w:tr w:rsidR="008E2A57" w:rsidRPr="00BB4DAB" w14:paraId="0FCE65EC" w14:textId="77777777">
        <w:tc>
          <w:tcPr>
            <w:tcW w:w="2254" w:type="dxa"/>
            <w:vAlign w:val="center"/>
          </w:tcPr>
          <w:p w14:paraId="6F347CB4" w14:textId="77777777" w:rsidR="008E2A57" w:rsidRPr="00BB4DAB" w:rsidRDefault="008E2A57">
            <w:pPr>
              <w:rPr>
                <w:rFonts w:ascii="Arial Narrow" w:hAnsi="Arial Narrow"/>
                <w:sz w:val="20"/>
                <w:szCs w:val="20"/>
              </w:rPr>
            </w:pPr>
            <w:r w:rsidRPr="00BB4DAB">
              <w:rPr>
                <w:rFonts w:ascii="Arial Narrow" w:hAnsi="Arial Narrow"/>
                <w:sz w:val="20"/>
                <w:szCs w:val="20"/>
              </w:rPr>
              <w:t>Costs</w:t>
            </w:r>
          </w:p>
        </w:tc>
        <w:tc>
          <w:tcPr>
            <w:tcW w:w="2254" w:type="dxa"/>
            <w:vAlign w:val="center"/>
          </w:tcPr>
          <w:p w14:paraId="4BA1073E" w14:textId="241855F1" w:rsidR="008E2A57" w:rsidRPr="00BB4DAB" w:rsidRDefault="008E2A57">
            <w:pPr>
              <w:jc w:val="center"/>
              <w:rPr>
                <w:rFonts w:ascii="Arial Narrow" w:hAnsi="Arial Narrow"/>
                <w:sz w:val="20"/>
                <w:szCs w:val="20"/>
              </w:rPr>
            </w:pPr>
            <w:r w:rsidRPr="00BB4DAB">
              <w:rPr>
                <w:rFonts w:ascii="Arial Narrow" w:eastAsiaTheme="majorEastAsia" w:hAnsi="Arial Narrow"/>
                <w:sz w:val="20"/>
                <w:szCs w:val="20"/>
              </w:rPr>
              <w:t>$</w:t>
            </w:r>
            <w:r w:rsidR="0016738C" w:rsidRPr="0016738C">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p>
        </w:tc>
        <w:tc>
          <w:tcPr>
            <w:tcW w:w="2254" w:type="dxa"/>
            <w:vAlign w:val="center"/>
          </w:tcPr>
          <w:p w14:paraId="7B9FA71E" w14:textId="77777777" w:rsidR="008E2A57" w:rsidRPr="00BB4DAB" w:rsidRDefault="008E2A57">
            <w:pPr>
              <w:jc w:val="center"/>
              <w:rPr>
                <w:rFonts w:ascii="Arial Narrow" w:hAnsi="Arial Narrow"/>
                <w:sz w:val="20"/>
                <w:szCs w:val="20"/>
              </w:rPr>
            </w:pPr>
            <w:r w:rsidRPr="00BB4DAB">
              <w:rPr>
                <w:rFonts w:ascii="Arial Narrow" w:eastAsiaTheme="majorEastAsia" w:hAnsi="Arial Narrow"/>
                <w:sz w:val="20"/>
                <w:szCs w:val="20"/>
              </w:rPr>
              <w:t>$66,857</w:t>
            </w:r>
          </w:p>
        </w:tc>
        <w:tc>
          <w:tcPr>
            <w:tcW w:w="2255" w:type="dxa"/>
            <w:vAlign w:val="center"/>
          </w:tcPr>
          <w:p w14:paraId="36DB22AF" w14:textId="67900AA1" w:rsidR="008E2A57" w:rsidRPr="00BB4DAB" w:rsidRDefault="008E2A57">
            <w:pPr>
              <w:jc w:val="center"/>
              <w:rPr>
                <w:rFonts w:ascii="Arial Narrow" w:hAnsi="Arial Narrow"/>
                <w:sz w:val="20"/>
                <w:szCs w:val="20"/>
              </w:rPr>
            </w:pPr>
            <w:r w:rsidRPr="00BB4DAB">
              <w:rPr>
                <w:rFonts w:ascii="Arial Narrow" w:eastAsiaTheme="majorEastAsia" w:hAnsi="Arial Narrow"/>
                <w:sz w:val="20"/>
                <w:szCs w:val="20"/>
              </w:rPr>
              <w:t>$</w:t>
            </w:r>
            <w:r w:rsidR="0016738C" w:rsidRPr="0016738C">
              <w:rPr>
                <w:rFonts w:ascii="Arial Narrow" w:eastAsiaTheme="majorEastAsia" w:hAnsi="Arial Narrow"/>
                <w:color w:val="000000"/>
                <w:sz w:val="20"/>
                <w:szCs w:val="20"/>
                <w:shd w:val="solid" w:color="000000" w:fill="000000"/>
                <w14:textFill>
                  <w14:solidFill>
                    <w14:srgbClr w14:val="000000">
                      <w14:alpha w14:val="100000"/>
                    </w14:srgbClr>
                  </w14:solidFill>
                </w14:textFill>
              </w:rPr>
              <w:t>|</w:t>
            </w:r>
          </w:p>
        </w:tc>
      </w:tr>
      <w:tr w:rsidR="008E2A57" w:rsidRPr="00BB4DAB" w14:paraId="06315F63" w14:textId="77777777">
        <w:tc>
          <w:tcPr>
            <w:tcW w:w="2254" w:type="dxa"/>
            <w:vAlign w:val="center"/>
          </w:tcPr>
          <w:p w14:paraId="7C28DA1C" w14:textId="77777777" w:rsidR="008E2A57" w:rsidRPr="00BB4DAB" w:rsidRDefault="008E2A57">
            <w:pPr>
              <w:rPr>
                <w:rFonts w:ascii="Arial Narrow" w:hAnsi="Arial Narrow"/>
                <w:sz w:val="20"/>
                <w:szCs w:val="20"/>
              </w:rPr>
            </w:pPr>
            <w:r w:rsidRPr="00BB4DAB">
              <w:rPr>
                <w:rFonts w:ascii="Arial Narrow" w:hAnsi="Arial Narrow"/>
                <w:sz w:val="20"/>
                <w:szCs w:val="20"/>
              </w:rPr>
              <w:t>QALYs</w:t>
            </w:r>
          </w:p>
        </w:tc>
        <w:tc>
          <w:tcPr>
            <w:tcW w:w="2254" w:type="dxa"/>
            <w:vAlign w:val="center"/>
          </w:tcPr>
          <w:p w14:paraId="46445A09"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4.147</w:t>
            </w:r>
          </w:p>
        </w:tc>
        <w:tc>
          <w:tcPr>
            <w:tcW w:w="2254" w:type="dxa"/>
            <w:vAlign w:val="center"/>
          </w:tcPr>
          <w:p w14:paraId="473EDA78"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2.927</w:t>
            </w:r>
          </w:p>
        </w:tc>
        <w:tc>
          <w:tcPr>
            <w:tcW w:w="2255" w:type="dxa"/>
            <w:vAlign w:val="center"/>
          </w:tcPr>
          <w:p w14:paraId="51500735" w14:textId="77777777" w:rsidR="008E2A57" w:rsidRPr="00BB4DAB" w:rsidRDefault="008E2A57">
            <w:pPr>
              <w:jc w:val="center"/>
              <w:rPr>
                <w:rFonts w:ascii="Arial Narrow" w:hAnsi="Arial Narrow"/>
                <w:sz w:val="20"/>
                <w:szCs w:val="20"/>
              </w:rPr>
            </w:pPr>
            <w:r w:rsidRPr="00BB4DAB">
              <w:rPr>
                <w:rFonts w:ascii="Arial Narrow" w:hAnsi="Arial Narrow"/>
                <w:sz w:val="20"/>
                <w:szCs w:val="20"/>
              </w:rPr>
              <w:t>1.220</w:t>
            </w:r>
          </w:p>
        </w:tc>
      </w:tr>
      <w:tr w:rsidR="008E2A57" w:rsidRPr="00BB4DAB" w14:paraId="2F258337" w14:textId="77777777">
        <w:tc>
          <w:tcPr>
            <w:tcW w:w="6762" w:type="dxa"/>
            <w:gridSpan w:val="3"/>
          </w:tcPr>
          <w:p w14:paraId="2F25185B" w14:textId="77777777" w:rsidR="008E2A57" w:rsidRPr="00BB4DAB" w:rsidRDefault="008E2A57">
            <w:pPr>
              <w:rPr>
                <w:rFonts w:ascii="Arial Narrow" w:hAnsi="Arial Narrow"/>
                <w:sz w:val="20"/>
                <w:szCs w:val="20"/>
              </w:rPr>
            </w:pPr>
            <w:r w:rsidRPr="00BB4DAB">
              <w:rPr>
                <w:rFonts w:ascii="Arial Narrow" w:hAnsi="Arial Narrow"/>
                <w:sz w:val="20"/>
                <w:szCs w:val="20"/>
              </w:rPr>
              <w:t>Incremental cost/extra QALY gained</w:t>
            </w:r>
          </w:p>
        </w:tc>
        <w:tc>
          <w:tcPr>
            <w:tcW w:w="2255" w:type="dxa"/>
            <w:vAlign w:val="center"/>
          </w:tcPr>
          <w:p w14:paraId="3D242829" w14:textId="5D410924" w:rsidR="008E2A57" w:rsidRPr="00BB4DAB" w:rsidRDefault="008E2A57">
            <w:pPr>
              <w:jc w:val="center"/>
              <w:rPr>
                <w:rFonts w:ascii="Arial Narrow" w:hAnsi="Arial Narrow"/>
                <w:sz w:val="20"/>
                <w:szCs w:val="20"/>
              </w:rPr>
            </w:pPr>
            <w:r w:rsidRPr="00BB4DAB">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00C64B2A" w:rsidRPr="00C64B2A">
              <w:rPr>
                <w:rFonts w:ascii="Arial Narrow" w:hAnsi="Arial Narrow"/>
                <w:sz w:val="20"/>
                <w:szCs w:val="20"/>
                <w:vertAlign w:val="superscript"/>
              </w:rPr>
              <w:t>3</w:t>
            </w:r>
          </w:p>
        </w:tc>
      </w:tr>
    </w:tbl>
    <w:p w14:paraId="021AB1A0" w14:textId="74381E49" w:rsidR="008E2A57" w:rsidRDefault="008E2A57" w:rsidP="008E2A57">
      <w:pPr>
        <w:pStyle w:val="FooterTableFigure"/>
      </w:pPr>
      <w:r w:rsidRPr="00BB4DAB">
        <w:t>Source: Table 3-21, p97 of the submission</w:t>
      </w:r>
      <w:r w:rsidR="00EE6726">
        <w:t>.</w:t>
      </w:r>
      <w:r w:rsidRPr="00BB4DAB">
        <w:t xml:space="preserve"> Cis+Gem, cisplatin and gemcitabine; ICER, incremental cost-effectiveness ratio; LY, life year; QALY, quality-adjusted life year</w:t>
      </w:r>
    </w:p>
    <w:p w14:paraId="00BC6B5F" w14:textId="0E6F91C3" w:rsidR="006C5ED4" w:rsidRDefault="00961DFD" w:rsidP="00D6151C">
      <w:pPr>
        <w:pStyle w:val="FooterTableFigure"/>
        <w:rPr>
          <w:rStyle w:val="CommentReference"/>
          <w:b w:val="0"/>
          <w:bCs/>
          <w:szCs w:val="24"/>
        </w:rPr>
      </w:pPr>
      <w:r>
        <w:rPr>
          <w:rStyle w:val="CommentReference"/>
          <w:b w:val="0"/>
          <w:bCs/>
          <w:szCs w:val="24"/>
        </w:rPr>
        <w:t xml:space="preserve">1, </w:t>
      </w:r>
      <w:r w:rsidR="002E07DB">
        <w:rPr>
          <w:rStyle w:val="CommentReference"/>
          <w:b w:val="0"/>
          <w:bCs/>
          <w:szCs w:val="24"/>
        </w:rPr>
        <w:t>A</w:t>
      </w:r>
      <w:r w:rsidR="002E07DB" w:rsidRPr="002E07DB">
        <w:rPr>
          <w:rStyle w:val="CommentReference"/>
          <w:b w:val="0"/>
          <w:bCs/>
          <w:szCs w:val="24"/>
        </w:rPr>
        <w:t>djust</w:t>
      </w:r>
      <w:r w:rsidR="002E07DB">
        <w:rPr>
          <w:rStyle w:val="CommentReference"/>
          <w:b w:val="0"/>
          <w:bCs/>
          <w:szCs w:val="24"/>
        </w:rPr>
        <w:t xml:space="preserve">ed </w:t>
      </w:r>
      <w:r w:rsidR="002E07DB" w:rsidRPr="002E07DB">
        <w:rPr>
          <w:rStyle w:val="CommentReference"/>
          <w:b w:val="0"/>
          <w:bCs/>
          <w:szCs w:val="24"/>
        </w:rPr>
        <w:t>for inappropriate half cycle correction of ‘time on treatment’</w:t>
      </w:r>
      <w:r w:rsidR="007A1885">
        <w:rPr>
          <w:rStyle w:val="CommentReference"/>
          <w:b w:val="0"/>
          <w:bCs/>
          <w:szCs w:val="24"/>
        </w:rPr>
        <w:t xml:space="preserve"> </w:t>
      </w:r>
    </w:p>
    <w:p w14:paraId="7AA31F85" w14:textId="25FD47E9" w:rsidR="007A1885" w:rsidRPr="007A1885" w:rsidRDefault="007A1885" w:rsidP="007A1885">
      <w:pPr>
        <w:pStyle w:val="TableFigureFooter"/>
        <w:widowControl w:val="0"/>
      </w:pPr>
      <w:r w:rsidRPr="007A1885">
        <w:t>The redacted values correspond to the following ranges</w:t>
      </w:r>
    </w:p>
    <w:p w14:paraId="6431EB22" w14:textId="77777777" w:rsidR="005D3DC5" w:rsidRDefault="007A1885" w:rsidP="007A1885">
      <w:pPr>
        <w:keepLines/>
        <w:widowControl w:val="0"/>
        <w:spacing w:after="120"/>
        <w:contextualSpacing/>
        <w:rPr>
          <w:rFonts w:ascii="Arial Narrow" w:hAnsi="Arial Narrow"/>
          <w:snapToGrid w:val="0"/>
          <w:sz w:val="18"/>
          <w:szCs w:val="22"/>
        </w:rPr>
      </w:pPr>
      <w:r w:rsidRPr="007A1885">
        <w:rPr>
          <w:rFonts w:ascii="Arial Narrow" w:hAnsi="Arial Narrow"/>
          <w:snapToGrid w:val="0"/>
          <w:sz w:val="18"/>
          <w:szCs w:val="22"/>
          <w:vertAlign w:val="superscript"/>
        </w:rPr>
        <w:t>1</w:t>
      </w:r>
      <w:r w:rsidRPr="007A1885">
        <w:rPr>
          <w:rFonts w:ascii="Arial Narrow" w:hAnsi="Arial Narrow"/>
          <w:snapToGrid w:val="0"/>
          <w:sz w:val="18"/>
          <w:szCs w:val="22"/>
        </w:rPr>
        <w:t xml:space="preserve"> </w:t>
      </w:r>
      <w:r w:rsidR="005D3DC5" w:rsidRPr="005D3DC5">
        <w:rPr>
          <w:rFonts w:ascii="Arial Narrow" w:hAnsi="Arial Narrow"/>
          <w:snapToGrid w:val="0"/>
          <w:sz w:val="18"/>
          <w:szCs w:val="22"/>
        </w:rPr>
        <w:t>$555,000 to &lt; $655,000</w:t>
      </w:r>
    </w:p>
    <w:p w14:paraId="34904401" w14:textId="77777777" w:rsidR="00552D5A" w:rsidRDefault="00C64B2A" w:rsidP="00552D5A">
      <w:pPr>
        <w:keepLines/>
        <w:widowControl w:val="0"/>
        <w:spacing w:after="120"/>
        <w:contextualSpacing/>
        <w:rPr>
          <w:rFonts w:ascii="Arial Narrow" w:hAnsi="Arial Narrow"/>
          <w:snapToGrid w:val="0"/>
          <w:sz w:val="18"/>
          <w:szCs w:val="22"/>
        </w:rPr>
      </w:pPr>
      <w:r w:rsidRPr="00961DFD">
        <w:rPr>
          <w:rFonts w:ascii="Arial Narrow" w:hAnsi="Arial Narrow"/>
          <w:snapToGrid w:val="0"/>
          <w:sz w:val="18"/>
          <w:szCs w:val="22"/>
          <w:vertAlign w:val="superscript"/>
        </w:rPr>
        <w:t>2</w:t>
      </w:r>
      <w:r>
        <w:rPr>
          <w:rFonts w:ascii="Arial Narrow" w:hAnsi="Arial Narrow"/>
          <w:snapToGrid w:val="0"/>
          <w:sz w:val="18"/>
          <w:szCs w:val="22"/>
        </w:rPr>
        <w:t xml:space="preserve"> </w:t>
      </w:r>
      <w:r w:rsidRPr="00C64B2A">
        <w:rPr>
          <w:rFonts w:ascii="Arial Narrow" w:hAnsi="Arial Narrow"/>
          <w:snapToGrid w:val="0"/>
          <w:sz w:val="18"/>
          <w:szCs w:val="22"/>
        </w:rPr>
        <w:t>$135,000 to &lt; $155,000</w:t>
      </w:r>
      <w:r>
        <w:rPr>
          <w:rFonts w:ascii="Arial Narrow" w:hAnsi="Arial Narrow"/>
          <w:snapToGrid w:val="0"/>
          <w:sz w:val="18"/>
          <w:szCs w:val="22"/>
        </w:rPr>
        <w:t xml:space="preserve"> </w:t>
      </w:r>
    </w:p>
    <w:p w14:paraId="62B04FEA" w14:textId="311CAFC7" w:rsidR="00552D5A" w:rsidRPr="00552D5A" w:rsidRDefault="00552D5A" w:rsidP="00552D5A">
      <w:pPr>
        <w:keepLines/>
        <w:widowControl w:val="0"/>
        <w:spacing w:after="120"/>
        <w:contextualSpacing/>
        <w:rPr>
          <w:rFonts w:ascii="Arial Narrow" w:hAnsi="Arial Narrow"/>
          <w:snapToGrid w:val="0"/>
          <w:sz w:val="18"/>
          <w:szCs w:val="22"/>
        </w:rPr>
      </w:pPr>
      <w:r w:rsidRPr="00961DFD">
        <w:rPr>
          <w:rFonts w:ascii="Arial Narrow" w:hAnsi="Arial Narrow"/>
          <w:snapToGrid w:val="0"/>
          <w:sz w:val="18"/>
          <w:szCs w:val="22"/>
          <w:vertAlign w:val="superscript"/>
        </w:rPr>
        <w:t>3</w:t>
      </w:r>
      <w:r>
        <w:rPr>
          <w:rFonts w:ascii="Arial Narrow" w:hAnsi="Arial Narrow"/>
          <w:snapToGrid w:val="0"/>
          <w:sz w:val="18"/>
          <w:szCs w:val="22"/>
        </w:rPr>
        <w:t xml:space="preserve"> </w:t>
      </w:r>
      <w:r w:rsidRPr="00552D5A">
        <w:rPr>
          <w:rFonts w:ascii="Arial Narrow" w:hAnsi="Arial Narrow"/>
          <w:snapToGrid w:val="0"/>
          <w:sz w:val="18"/>
          <w:szCs w:val="22"/>
        </w:rPr>
        <w:t>$155,000 to &lt; $255,000</w:t>
      </w:r>
    </w:p>
    <w:p w14:paraId="7960336B" w14:textId="77777777" w:rsidR="00AA49D6" w:rsidRPr="00BB4DAB" w:rsidRDefault="00AA49D6" w:rsidP="00AA49D6">
      <w:pPr>
        <w:pStyle w:val="3-BodyText"/>
      </w:pPr>
      <w:r w:rsidRPr="00BB4DAB">
        <w:t>Over the 35-year time horizon, the model estimates 8.0 (3.2 PF and 4.8 PD) and 5.2 (1.2 PF and 3.9 PD) undiscounted life years gained for toripalimab and placebo, respectively, resulting in an incremental 2.8 (2.0 PF and 0.8 PD) undiscounted life years gained.</w:t>
      </w:r>
    </w:p>
    <w:p w14:paraId="5886A6C1" w14:textId="612CFF7F" w:rsidR="00A44A76" w:rsidRPr="00BB4DAB" w:rsidRDefault="00A44A76" w:rsidP="00AA49D6">
      <w:pPr>
        <w:pStyle w:val="3-BodyText"/>
      </w:pPr>
      <w:r w:rsidRPr="00BB4DAB">
        <w:t>Traces of the base case model are presented in Figure 6.</w:t>
      </w:r>
    </w:p>
    <w:p w14:paraId="20431072" w14:textId="7A703233" w:rsidR="002056AF" w:rsidRPr="00A44A76" w:rsidRDefault="002056AF" w:rsidP="00A44A76">
      <w:pPr>
        <w:pStyle w:val="3-BodyText"/>
        <w:numPr>
          <w:ilvl w:val="0"/>
          <w:numId w:val="0"/>
        </w:numPr>
        <w:ind w:left="720"/>
        <w:jc w:val="left"/>
        <w:rPr>
          <w:rFonts w:ascii="Arial Narrow" w:hAnsi="Arial Narrow"/>
          <w:b/>
          <w:bCs/>
          <w:sz w:val="20"/>
          <w:szCs w:val="18"/>
        </w:rPr>
      </w:pPr>
    </w:p>
    <w:p w14:paraId="6FF26C02" w14:textId="14718934" w:rsidR="00C12EDD" w:rsidRDefault="00C12EDD" w:rsidP="002056AF">
      <w:pPr>
        <w:pStyle w:val="Caption"/>
        <w:spacing w:before="120"/>
      </w:pPr>
      <w:bookmarkStart w:id="47" w:name="_Ref188307024"/>
      <w:bookmarkEnd w:id="46"/>
      <w:r>
        <w:lastRenderedPageBreak/>
        <w:t xml:space="preserve">Figure </w:t>
      </w:r>
      <w:bookmarkEnd w:id="47"/>
      <w:r w:rsidR="001F0613">
        <w:t>6</w:t>
      </w:r>
      <w:r>
        <w:t xml:space="preserve">: </w:t>
      </w:r>
      <w:r w:rsidR="00863A9F">
        <w:t>Model t</w:t>
      </w:r>
      <w:r>
        <w:t>races of the base case over a 35-year (420 months) time horizon</w:t>
      </w:r>
    </w:p>
    <w:p w14:paraId="68034309" w14:textId="412B1782" w:rsidR="00C12EDD" w:rsidRDefault="00C12EDD" w:rsidP="00C12EDD">
      <w:r>
        <w:rPr>
          <w:noProof/>
        </w:rPr>
        <w:drawing>
          <wp:inline distT="0" distB="0" distL="0" distR="0" wp14:anchorId="2D31B191" wp14:editId="5AD68FF3">
            <wp:extent cx="5705475" cy="2590800"/>
            <wp:effectExtent l="0" t="0" r="9525" b="0"/>
            <wp:docPr id="1105352478" name="Chart 1">
              <a:extLst xmlns:a="http://schemas.openxmlformats.org/drawingml/2006/main">
                <a:ext uri="{FF2B5EF4-FFF2-40B4-BE49-F238E27FC236}">
                  <a16:creationId xmlns:a16="http://schemas.microsoft.com/office/drawing/2014/main" id="{8BD1E5F9-15DF-52DA-40F4-6CDD5ABE3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959FF4" w14:textId="032396CB" w:rsidR="00863A9F" w:rsidRPr="00863A9F" w:rsidRDefault="00863A9F" w:rsidP="00863A9F">
      <w:pPr>
        <w:rPr>
          <w:rFonts w:ascii="Arial Narrow" w:hAnsi="Arial Narrow"/>
          <w:sz w:val="18"/>
          <w:szCs w:val="18"/>
        </w:rPr>
      </w:pPr>
      <w:r w:rsidRPr="00863A9F">
        <w:rPr>
          <w:rFonts w:ascii="Arial Narrow" w:hAnsi="Arial Narrow"/>
          <w:sz w:val="18"/>
          <w:szCs w:val="18"/>
        </w:rPr>
        <w:t>Source: Attachment 3.1 of the submission</w:t>
      </w:r>
      <w:r w:rsidR="00EE6726">
        <w:rPr>
          <w:rFonts w:ascii="Arial Narrow" w:hAnsi="Arial Narrow"/>
          <w:sz w:val="18"/>
          <w:szCs w:val="18"/>
        </w:rPr>
        <w:t>.</w:t>
      </w:r>
    </w:p>
    <w:p w14:paraId="462CE149" w14:textId="77777777" w:rsidR="00863A9F" w:rsidRPr="00C12EDD" w:rsidRDefault="00863A9F" w:rsidP="00C12EDD"/>
    <w:p w14:paraId="1BAC1159" w14:textId="757930B6" w:rsidR="00A86E8B" w:rsidRPr="0098262F" w:rsidRDefault="00D23D11" w:rsidP="00BB732D">
      <w:pPr>
        <w:pStyle w:val="3-BodyText"/>
      </w:pPr>
      <w:r w:rsidRPr="0098262F">
        <w:t xml:space="preserve">The results of </w:t>
      </w:r>
      <w:r w:rsidR="00A56865">
        <w:t xml:space="preserve">key </w:t>
      </w:r>
      <w:r w:rsidRPr="0098262F">
        <w:t xml:space="preserve">sensitivity analyses are summarised </w:t>
      </w:r>
      <w:r w:rsidR="00E16AD8" w:rsidRPr="0098262F">
        <w:t xml:space="preserve">in </w:t>
      </w:r>
      <w:r w:rsidR="00E16AD8" w:rsidRPr="0098262F">
        <w:fldChar w:fldCharType="begin"/>
      </w:r>
      <w:r w:rsidR="00E16AD8" w:rsidRPr="0098262F">
        <w:instrText xml:space="preserve"> REF _Ref104804865 \h </w:instrText>
      </w:r>
      <w:r w:rsidR="00E16AD8" w:rsidRPr="0098262F">
        <w:fldChar w:fldCharType="separate"/>
      </w:r>
      <w:r w:rsidR="002C005D" w:rsidRPr="00BB4DAB">
        <w:t xml:space="preserve">Table </w:t>
      </w:r>
      <w:r w:rsidR="002C005D">
        <w:rPr>
          <w:noProof/>
        </w:rPr>
        <w:t>11</w:t>
      </w:r>
      <w:r w:rsidR="00E16AD8" w:rsidRPr="0098262F">
        <w:fldChar w:fldCharType="end"/>
      </w:r>
      <w:r w:rsidRPr="0098262F">
        <w:t xml:space="preserve">. </w:t>
      </w:r>
    </w:p>
    <w:p w14:paraId="3A64F4E7" w14:textId="0613F737" w:rsidR="00D23D11" w:rsidRPr="00BB4DAB" w:rsidRDefault="00E16AD8" w:rsidP="00DB0228">
      <w:pPr>
        <w:pStyle w:val="Caption"/>
        <w:rPr>
          <w:rStyle w:val="CommentReference"/>
          <w:b/>
          <w:szCs w:val="24"/>
        </w:rPr>
      </w:pPr>
      <w:bookmarkStart w:id="48" w:name="_Ref104804865"/>
      <w:r w:rsidRPr="00BB4DAB">
        <w:lastRenderedPageBreak/>
        <w:t xml:space="preserve">Table </w:t>
      </w:r>
      <w:r w:rsidR="000B117D">
        <w:fldChar w:fldCharType="begin"/>
      </w:r>
      <w:r w:rsidR="000B117D">
        <w:instrText xml:space="preserve"> SEQ Table \* ARABIC </w:instrText>
      </w:r>
      <w:r w:rsidR="000B117D">
        <w:fldChar w:fldCharType="separate"/>
      </w:r>
      <w:r w:rsidR="002C005D">
        <w:rPr>
          <w:noProof/>
        </w:rPr>
        <w:t>11</w:t>
      </w:r>
      <w:r w:rsidR="000B117D">
        <w:rPr>
          <w:noProof/>
        </w:rPr>
        <w:fldChar w:fldCharType="end"/>
      </w:r>
      <w:bookmarkEnd w:id="48"/>
      <w:r w:rsidRPr="00BB4DAB">
        <w:t>:</w:t>
      </w:r>
      <w:r w:rsidR="00354F64" w:rsidRPr="00BB4DAB">
        <w:rPr>
          <w:rStyle w:val="CommentReference"/>
          <w:b/>
          <w:szCs w:val="24"/>
        </w:rPr>
        <w:t xml:space="preserve"> </w:t>
      </w:r>
      <w:r w:rsidR="00D15314" w:rsidRPr="00BB4DAB">
        <w:rPr>
          <w:rStyle w:val="CommentReference"/>
          <w:b/>
          <w:szCs w:val="24"/>
        </w:rPr>
        <w:t>Sensitivity analyses</w:t>
      </w:r>
      <w:r w:rsidR="00A56865" w:rsidRPr="00BB4DAB">
        <w:rPr>
          <w:rStyle w:val="CommentReference"/>
          <w:b/>
          <w:szCs w:val="24"/>
        </w:rPr>
        <w:t xml:space="preserve"> </w:t>
      </w:r>
    </w:p>
    <w:tbl>
      <w:tblPr>
        <w:tblStyle w:val="TableGrid"/>
        <w:tblW w:w="0" w:type="auto"/>
        <w:tblLook w:val="04A0" w:firstRow="1" w:lastRow="0" w:firstColumn="1" w:lastColumn="0" w:noHBand="0" w:noVBand="1"/>
      </w:tblPr>
      <w:tblGrid>
        <w:gridCol w:w="2235"/>
        <w:gridCol w:w="1275"/>
        <w:gridCol w:w="1275"/>
        <w:gridCol w:w="1337"/>
        <w:gridCol w:w="2895"/>
      </w:tblGrid>
      <w:tr w:rsidR="007260DC" w:rsidRPr="00BB4DAB" w14:paraId="27C982F0" w14:textId="77777777" w:rsidTr="0016738C">
        <w:tc>
          <w:tcPr>
            <w:tcW w:w="2235" w:type="dxa"/>
            <w:vAlign w:val="bottom"/>
          </w:tcPr>
          <w:p w14:paraId="5F970A95" w14:textId="52C6B814" w:rsidR="00742110" w:rsidRPr="00BB4DAB" w:rsidRDefault="00742110" w:rsidP="00DB0228">
            <w:pPr>
              <w:keepNext/>
              <w:keepLines/>
              <w:jc w:val="left"/>
              <w:rPr>
                <w:rFonts w:ascii="Arial Narrow" w:hAnsi="Arial Narrow"/>
                <w:b/>
                <w:bCs/>
                <w:sz w:val="20"/>
                <w:szCs w:val="20"/>
              </w:rPr>
            </w:pPr>
            <w:r w:rsidRPr="00BB4DAB">
              <w:rPr>
                <w:rFonts w:ascii="Arial Narrow" w:hAnsi="Arial Narrow"/>
                <w:b/>
                <w:bCs/>
                <w:sz w:val="20"/>
                <w:szCs w:val="20"/>
              </w:rPr>
              <w:t xml:space="preserve">Analyses </w:t>
            </w:r>
          </w:p>
        </w:tc>
        <w:tc>
          <w:tcPr>
            <w:tcW w:w="1275" w:type="dxa"/>
            <w:tcBorders>
              <w:bottom w:val="single" w:sz="4" w:space="0" w:color="auto"/>
            </w:tcBorders>
            <w:vAlign w:val="center"/>
          </w:tcPr>
          <w:p w14:paraId="407DD464" w14:textId="6FFCE8BB" w:rsidR="00742110" w:rsidRPr="00BB4DAB" w:rsidRDefault="00742110" w:rsidP="00DB0228">
            <w:pPr>
              <w:keepNext/>
              <w:keepLines/>
              <w:jc w:val="center"/>
              <w:rPr>
                <w:rFonts w:ascii="Arial Narrow" w:hAnsi="Arial Narrow"/>
                <w:b/>
                <w:bCs/>
                <w:sz w:val="20"/>
                <w:szCs w:val="20"/>
              </w:rPr>
            </w:pPr>
            <w:r w:rsidRPr="00BB4DAB">
              <w:rPr>
                <w:rFonts w:ascii="Arial Narrow" w:hAnsi="Arial Narrow"/>
                <w:b/>
                <w:bCs/>
                <w:sz w:val="20"/>
                <w:szCs w:val="20"/>
              </w:rPr>
              <w:t>Incremental cost</w:t>
            </w:r>
            <w:r w:rsidR="00B92B0E">
              <w:rPr>
                <w:rFonts w:ascii="Arial Narrow" w:hAnsi="Arial Narrow"/>
                <w:b/>
                <w:bCs/>
                <w:sz w:val="20"/>
                <w:szCs w:val="20"/>
              </w:rPr>
              <w:t xml:space="preserve"> ($)</w:t>
            </w:r>
          </w:p>
        </w:tc>
        <w:tc>
          <w:tcPr>
            <w:tcW w:w="1275" w:type="dxa"/>
            <w:vAlign w:val="center"/>
          </w:tcPr>
          <w:p w14:paraId="3649C723" w14:textId="1E407E14" w:rsidR="00742110" w:rsidRPr="00BB4DAB" w:rsidRDefault="00742110" w:rsidP="00DB0228">
            <w:pPr>
              <w:keepNext/>
              <w:keepLines/>
              <w:jc w:val="center"/>
              <w:rPr>
                <w:rFonts w:ascii="Arial Narrow" w:hAnsi="Arial Narrow"/>
                <w:b/>
                <w:bCs/>
                <w:sz w:val="20"/>
                <w:szCs w:val="20"/>
              </w:rPr>
            </w:pPr>
            <w:r w:rsidRPr="00BB4DAB">
              <w:rPr>
                <w:rFonts w:ascii="Arial Narrow" w:hAnsi="Arial Narrow"/>
                <w:b/>
                <w:bCs/>
                <w:sz w:val="20"/>
                <w:szCs w:val="20"/>
              </w:rPr>
              <w:t>Incremental QALY</w:t>
            </w:r>
          </w:p>
        </w:tc>
        <w:tc>
          <w:tcPr>
            <w:tcW w:w="1337" w:type="dxa"/>
            <w:vAlign w:val="center"/>
          </w:tcPr>
          <w:p w14:paraId="47695624" w14:textId="2B319118" w:rsidR="00742110" w:rsidRPr="00BB4DAB" w:rsidRDefault="00742110" w:rsidP="00DB0228">
            <w:pPr>
              <w:keepNext/>
              <w:keepLines/>
              <w:jc w:val="center"/>
              <w:rPr>
                <w:rFonts w:ascii="Arial Narrow" w:hAnsi="Arial Narrow"/>
                <w:b/>
                <w:bCs/>
                <w:sz w:val="20"/>
                <w:szCs w:val="20"/>
              </w:rPr>
            </w:pPr>
            <w:r w:rsidRPr="00BB4DAB">
              <w:rPr>
                <w:rFonts w:ascii="Arial Narrow" w:hAnsi="Arial Narrow"/>
                <w:b/>
                <w:bCs/>
                <w:sz w:val="20"/>
                <w:szCs w:val="20"/>
              </w:rPr>
              <w:t>ICER</w:t>
            </w:r>
          </w:p>
        </w:tc>
        <w:tc>
          <w:tcPr>
            <w:tcW w:w="2895" w:type="dxa"/>
            <w:vAlign w:val="center"/>
          </w:tcPr>
          <w:p w14:paraId="2F1A8769" w14:textId="279818AB" w:rsidR="00742110" w:rsidRPr="00BB4DAB" w:rsidRDefault="00742110" w:rsidP="00DB0228">
            <w:pPr>
              <w:keepNext/>
              <w:keepLines/>
              <w:jc w:val="center"/>
              <w:rPr>
                <w:rFonts w:ascii="Arial Narrow" w:hAnsi="Arial Narrow"/>
                <w:b/>
                <w:bCs/>
                <w:sz w:val="20"/>
                <w:szCs w:val="20"/>
              </w:rPr>
            </w:pPr>
            <w:r w:rsidRPr="00BB4DAB">
              <w:rPr>
                <w:rFonts w:ascii="Arial Narrow" w:hAnsi="Arial Narrow"/>
                <w:b/>
                <w:bCs/>
                <w:sz w:val="20"/>
                <w:szCs w:val="20"/>
              </w:rPr>
              <w:t>% change to ICER</w:t>
            </w:r>
          </w:p>
        </w:tc>
      </w:tr>
      <w:tr w:rsidR="007260DC" w:rsidRPr="00BB4DAB" w14:paraId="08C142AA" w14:textId="77777777" w:rsidTr="0016738C">
        <w:tc>
          <w:tcPr>
            <w:tcW w:w="2235" w:type="dxa"/>
          </w:tcPr>
          <w:p w14:paraId="78B10913" w14:textId="36B0564D" w:rsidR="00742110" w:rsidRPr="00BB4DAB" w:rsidRDefault="00742110" w:rsidP="00DB0228">
            <w:pPr>
              <w:keepNext/>
              <w:keepLines/>
              <w:rPr>
                <w:rFonts w:ascii="Arial Narrow" w:hAnsi="Arial Narrow"/>
                <w:b/>
                <w:bCs/>
                <w:sz w:val="20"/>
                <w:szCs w:val="20"/>
              </w:rPr>
            </w:pPr>
            <w:r w:rsidRPr="00BB4DAB">
              <w:rPr>
                <w:rFonts w:ascii="Arial Narrow" w:hAnsi="Arial Narrow"/>
                <w:b/>
                <w:bCs/>
                <w:sz w:val="20"/>
                <w:szCs w:val="20"/>
              </w:rPr>
              <w:t>Base case</w:t>
            </w:r>
          </w:p>
        </w:tc>
        <w:tc>
          <w:tcPr>
            <w:tcW w:w="1275" w:type="dxa"/>
            <w:shd w:val="solid" w:color="000000" w:fill="000000"/>
            <w:vAlign w:val="center"/>
          </w:tcPr>
          <w:p w14:paraId="3AB62094" w14:textId="32BC88DE" w:rsidR="00742110" w:rsidRPr="00BB4DAB" w:rsidRDefault="0016738C" w:rsidP="00DB0228">
            <w:pPr>
              <w:keepNext/>
              <w:keepLines/>
              <w:jc w:val="center"/>
              <w:rPr>
                <w:rFonts w:ascii="Arial Narrow" w:hAnsi="Arial Narrow"/>
                <w:sz w:val="20"/>
                <w:szCs w:val="20"/>
              </w:rPr>
            </w:pPr>
            <w:r w:rsidRPr="0016738C">
              <w:rPr>
                <w:rStyle w:val="CommentReference"/>
                <w:rFonts w:hint="eastAsia"/>
                <w:color w:val="000000"/>
                <w:w w:val="15"/>
                <w:szCs w:val="20"/>
                <w:fitText w:val="70" w:id="-694443762"/>
                <w14:textFill>
                  <w14:solidFill>
                    <w14:srgbClr w14:val="000000">
                      <w14:alpha w14:val="100000"/>
                    </w14:srgbClr>
                  </w14:solidFill>
                </w14:textFill>
              </w:rPr>
              <w:t xml:space="preserve">　</w:t>
            </w:r>
            <w:r w:rsidRPr="0016738C">
              <w:rPr>
                <w:rStyle w:val="CommentReference"/>
                <w:color w:val="000000"/>
                <w:w w:val="15"/>
                <w:szCs w:val="20"/>
                <w:fitText w:val="70" w:id="-694443762"/>
                <w14:textFill>
                  <w14:solidFill>
                    <w14:srgbClr w14:val="000000">
                      <w14:alpha w14:val="100000"/>
                    </w14:srgbClr>
                  </w14:solidFill>
                </w14:textFill>
              </w:rPr>
              <w:t>|</w:t>
            </w:r>
            <w:r w:rsidRPr="0016738C">
              <w:rPr>
                <w:rStyle w:val="CommentReference"/>
                <w:rFonts w:hint="eastAsia"/>
                <w:color w:val="000000"/>
                <w:w w:val="15"/>
                <w:szCs w:val="20"/>
                <w:fitText w:val="70" w:id="-694443762"/>
                <w14:textFill>
                  <w14:solidFill>
                    <w14:srgbClr w14:val="000000">
                      <w14:alpha w14:val="100000"/>
                    </w14:srgbClr>
                  </w14:solidFill>
                </w14:textFill>
              </w:rPr>
              <w:t xml:space="preserve">　</w:t>
            </w:r>
          </w:p>
        </w:tc>
        <w:tc>
          <w:tcPr>
            <w:tcW w:w="1275" w:type="dxa"/>
            <w:vAlign w:val="center"/>
          </w:tcPr>
          <w:p w14:paraId="780C9F36" w14:textId="58FC7924" w:rsidR="00742110" w:rsidRPr="00BB4DAB" w:rsidRDefault="00742110" w:rsidP="00DB0228">
            <w:pPr>
              <w:keepNext/>
              <w:keepLines/>
              <w:jc w:val="center"/>
              <w:rPr>
                <w:rFonts w:ascii="Arial Narrow" w:hAnsi="Arial Narrow"/>
                <w:sz w:val="20"/>
                <w:szCs w:val="20"/>
              </w:rPr>
            </w:pPr>
            <w:r w:rsidRPr="00BB4DAB">
              <w:rPr>
                <w:rStyle w:val="CommentReference"/>
                <w:bCs/>
                <w:szCs w:val="20"/>
              </w:rPr>
              <w:t>1</w:t>
            </w:r>
            <w:r w:rsidRPr="00BB4DAB">
              <w:rPr>
                <w:rStyle w:val="CommentReference"/>
                <w:szCs w:val="20"/>
              </w:rPr>
              <w:t>.220</w:t>
            </w:r>
          </w:p>
        </w:tc>
        <w:tc>
          <w:tcPr>
            <w:tcW w:w="1337" w:type="dxa"/>
            <w:vAlign w:val="center"/>
          </w:tcPr>
          <w:p w14:paraId="1744C578" w14:textId="1758BF03" w:rsidR="00742110" w:rsidRPr="00BB4DAB" w:rsidRDefault="0016738C" w:rsidP="00DB0228">
            <w:pPr>
              <w:keepNext/>
              <w:keepLines/>
              <w:jc w:val="center"/>
              <w:rPr>
                <w:rFonts w:ascii="Arial Narrow" w:hAnsi="Arial Narrow"/>
                <w:sz w:val="20"/>
                <w:szCs w:val="20"/>
              </w:rPr>
            </w:pPr>
            <w:r w:rsidRPr="0016738C">
              <w:rPr>
                <w:rStyle w:val="CommentReference"/>
                <w:rFonts w:hint="eastAsia"/>
                <w:color w:val="000000"/>
                <w:w w:val="15"/>
                <w:szCs w:val="20"/>
                <w:shd w:val="solid" w:color="000000" w:fill="000000"/>
                <w:fitText w:val="70" w:id="-694443761"/>
                <w14:textFill>
                  <w14:solidFill>
                    <w14:srgbClr w14:val="000000">
                      <w14:alpha w14:val="100000"/>
                    </w14:srgbClr>
                  </w14:solidFill>
                </w14:textFill>
              </w:rPr>
              <w:t xml:space="preserve">　</w:t>
            </w:r>
            <w:r w:rsidRPr="0016738C">
              <w:rPr>
                <w:rStyle w:val="CommentReference"/>
                <w:color w:val="000000"/>
                <w:w w:val="15"/>
                <w:szCs w:val="20"/>
                <w:shd w:val="solid" w:color="000000" w:fill="000000"/>
                <w:fitText w:val="70" w:id="-694443761"/>
                <w14:textFill>
                  <w14:solidFill>
                    <w14:srgbClr w14:val="000000">
                      <w14:alpha w14:val="100000"/>
                    </w14:srgbClr>
                  </w14:solidFill>
                </w14:textFill>
              </w:rPr>
              <w:t>|</w:t>
            </w:r>
            <w:r w:rsidRPr="0016738C">
              <w:rPr>
                <w:rStyle w:val="CommentReference"/>
                <w:rFonts w:hint="eastAsia"/>
                <w:color w:val="000000"/>
                <w:spacing w:val="3"/>
                <w:w w:val="15"/>
                <w:szCs w:val="20"/>
                <w:shd w:val="solid" w:color="000000" w:fill="000000"/>
                <w:fitText w:val="70" w:id="-694443761"/>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vAlign w:val="center"/>
          </w:tcPr>
          <w:p w14:paraId="445840F8" w14:textId="34630434" w:rsidR="00742110" w:rsidRPr="00BB4DAB" w:rsidRDefault="00742110" w:rsidP="00DB0228">
            <w:pPr>
              <w:keepNext/>
              <w:keepLines/>
              <w:jc w:val="center"/>
              <w:rPr>
                <w:rFonts w:ascii="Arial Narrow" w:hAnsi="Arial Narrow"/>
                <w:sz w:val="20"/>
                <w:szCs w:val="20"/>
              </w:rPr>
            </w:pPr>
            <w:r w:rsidRPr="00BB4DAB">
              <w:rPr>
                <w:rStyle w:val="CommentReference"/>
                <w:bCs/>
                <w:szCs w:val="20"/>
              </w:rPr>
              <w:t>-</w:t>
            </w:r>
          </w:p>
        </w:tc>
      </w:tr>
      <w:tr w:rsidR="00CB1CD2" w:rsidRPr="00BB4DAB" w14:paraId="0EF861CD" w14:textId="77777777" w:rsidTr="00CB1CD2">
        <w:tc>
          <w:tcPr>
            <w:tcW w:w="9017" w:type="dxa"/>
            <w:gridSpan w:val="5"/>
            <w:vAlign w:val="center"/>
          </w:tcPr>
          <w:p w14:paraId="72D5CBCD" w14:textId="4B26F000" w:rsidR="00CB1CD2" w:rsidRPr="00BB4DAB" w:rsidRDefault="00CB1CD2" w:rsidP="00DB0228">
            <w:pPr>
              <w:keepNext/>
              <w:keepLines/>
              <w:jc w:val="left"/>
              <w:rPr>
                <w:rFonts w:ascii="Arial Narrow" w:hAnsi="Arial Narrow"/>
                <w:bCs/>
                <w:sz w:val="20"/>
                <w:szCs w:val="20"/>
              </w:rPr>
            </w:pPr>
            <w:r w:rsidRPr="00BB4DAB">
              <w:rPr>
                <w:rStyle w:val="CommentReference"/>
                <w:bCs/>
                <w:szCs w:val="20"/>
              </w:rPr>
              <w:t>Time horizon (35 years in base case)</w:t>
            </w:r>
          </w:p>
        </w:tc>
      </w:tr>
      <w:tr w:rsidR="007260DC" w:rsidRPr="00BB4DAB" w14:paraId="53F73FAE" w14:textId="4FBB2209" w:rsidTr="0016738C">
        <w:tc>
          <w:tcPr>
            <w:tcW w:w="2235" w:type="dxa"/>
          </w:tcPr>
          <w:p w14:paraId="0E10DE91" w14:textId="05D81873" w:rsidR="00742110" w:rsidRPr="00BB4DAB" w:rsidRDefault="00742110" w:rsidP="00DB0228">
            <w:pPr>
              <w:keepNext/>
              <w:keepLines/>
              <w:rPr>
                <w:rFonts w:ascii="Arial Narrow" w:hAnsi="Arial Narrow"/>
                <w:sz w:val="20"/>
                <w:szCs w:val="20"/>
              </w:rPr>
            </w:pPr>
            <w:r w:rsidRPr="00BB4DAB">
              <w:rPr>
                <w:rStyle w:val="CommentReference"/>
                <w:b w:val="0"/>
                <w:szCs w:val="20"/>
              </w:rPr>
              <w:t>7.5 years</w:t>
            </w:r>
            <w:r w:rsidR="00D348B9" w:rsidRPr="00BB4DAB">
              <w:rPr>
                <w:rStyle w:val="CommentReference"/>
                <w:b w:val="0"/>
                <w:szCs w:val="20"/>
              </w:rPr>
              <w:t xml:space="preserve"> </w:t>
            </w:r>
            <w:r w:rsidR="00742193" w:rsidRPr="00BB4DAB">
              <w:rPr>
                <w:rStyle w:val="CommentReference"/>
                <w:bCs/>
                <w:szCs w:val="20"/>
              </w:rPr>
              <w:t>#</w:t>
            </w:r>
            <w:r w:rsidR="00A84367" w:rsidRPr="00BB4DAB">
              <w:rPr>
                <w:rStyle w:val="CommentReference"/>
                <w:bCs/>
                <w:szCs w:val="20"/>
              </w:rPr>
              <w:t>3</w:t>
            </w:r>
          </w:p>
        </w:tc>
        <w:tc>
          <w:tcPr>
            <w:tcW w:w="1275" w:type="dxa"/>
            <w:tcBorders>
              <w:bottom w:val="single" w:sz="4" w:space="0" w:color="auto"/>
            </w:tcBorders>
            <w:shd w:val="solid" w:color="000000" w:fill="000000"/>
            <w:vAlign w:val="center"/>
          </w:tcPr>
          <w:p w14:paraId="383726A9" w14:textId="0BE9B898" w:rsidR="00742110" w:rsidRPr="00B92B0E" w:rsidRDefault="0016738C" w:rsidP="00DB0228">
            <w:pPr>
              <w:keepNext/>
              <w:keepLines/>
              <w:jc w:val="center"/>
              <w:rPr>
                <w:rFonts w:ascii="Arial Narrow" w:hAnsi="Arial Narrow"/>
                <w:sz w:val="20"/>
                <w:szCs w:val="20"/>
                <w:highlight w:val="darkGray"/>
              </w:rPr>
            </w:pPr>
            <w:r>
              <w:rPr>
                <w:rStyle w:val="CommentReference"/>
                <w:rFonts w:hint="eastAsia"/>
                <w:b w:val="0"/>
                <w:color w:val="000000"/>
                <w:w w:val="15"/>
                <w:szCs w:val="20"/>
                <w:fitText w:val="20" w:id="-694443760"/>
                <w14:textFill>
                  <w14:solidFill>
                    <w14:srgbClr w14:val="000000">
                      <w14:alpha w14:val="100000"/>
                    </w14:srgbClr>
                  </w14:solidFill>
                </w14:textFill>
              </w:rPr>
              <w:t xml:space="preserve">　</w:t>
            </w:r>
            <w:r>
              <w:rPr>
                <w:rStyle w:val="CommentReference"/>
                <w:b w:val="0"/>
                <w:color w:val="000000"/>
                <w:w w:val="15"/>
                <w:szCs w:val="20"/>
                <w:fitText w:val="20" w:id="-694443760"/>
                <w14:textFill>
                  <w14:solidFill>
                    <w14:srgbClr w14:val="000000">
                      <w14:alpha w14:val="100000"/>
                    </w14:srgbClr>
                  </w14:solidFill>
                </w14:textFill>
              </w:rPr>
              <w:t>|</w:t>
            </w:r>
            <w:r>
              <w:rPr>
                <w:rStyle w:val="CommentReference"/>
                <w:rFonts w:hint="eastAsia"/>
                <w:b w:val="0"/>
                <w:color w:val="000000"/>
                <w:spacing w:val="-46"/>
                <w:w w:val="15"/>
                <w:szCs w:val="20"/>
                <w:fitText w:val="20" w:id="-694443760"/>
                <w14:textFill>
                  <w14:solidFill>
                    <w14:srgbClr w14:val="000000">
                      <w14:alpha w14:val="100000"/>
                    </w14:srgbClr>
                  </w14:solidFill>
                </w14:textFill>
              </w:rPr>
              <w:t xml:space="preserve">　</w:t>
            </w:r>
          </w:p>
        </w:tc>
        <w:tc>
          <w:tcPr>
            <w:tcW w:w="1275" w:type="dxa"/>
            <w:vAlign w:val="center"/>
          </w:tcPr>
          <w:p w14:paraId="36D2EDE6" w14:textId="783D0600" w:rsidR="00742110" w:rsidRPr="00BB4DAB" w:rsidRDefault="00742110" w:rsidP="00DB0228">
            <w:pPr>
              <w:keepNext/>
              <w:keepLines/>
              <w:jc w:val="center"/>
              <w:rPr>
                <w:rFonts w:ascii="Arial Narrow" w:hAnsi="Arial Narrow"/>
                <w:sz w:val="20"/>
                <w:szCs w:val="20"/>
              </w:rPr>
            </w:pPr>
            <w:r w:rsidRPr="00BB4DAB">
              <w:rPr>
                <w:rStyle w:val="CommentReference"/>
                <w:b w:val="0"/>
                <w:szCs w:val="20"/>
              </w:rPr>
              <w:t>0.575</w:t>
            </w:r>
          </w:p>
        </w:tc>
        <w:tc>
          <w:tcPr>
            <w:tcW w:w="1337" w:type="dxa"/>
            <w:vAlign w:val="center"/>
          </w:tcPr>
          <w:p w14:paraId="54FD557D" w14:textId="438543EC" w:rsidR="00742110" w:rsidRPr="00F043C4" w:rsidRDefault="0016738C" w:rsidP="00DB0228">
            <w:pPr>
              <w:keepNext/>
              <w:keepLines/>
              <w:jc w:val="center"/>
              <w:rPr>
                <w:rFonts w:ascii="Arial Narrow" w:hAnsi="Arial Narrow"/>
                <w:sz w:val="20"/>
                <w:szCs w:val="20"/>
                <w:highlight w:val="darkGray"/>
              </w:rPr>
            </w:pPr>
            <w:r>
              <w:rPr>
                <w:rStyle w:val="CommentReference"/>
                <w:rFonts w:hint="eastAsia"/>
                <w:b w:val="0"/>
                <w:color w:val="000000"/>
                <w:w w:val="15"/>
                <w:szCs w:val="20"/>
                <w:shd w:val="solid" w:color="000000" w:fill="000000"/>
                <w:fitText w:val="20" w:id="-694443776"/>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76"/>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76"/>
                <w14:textFill>
                  <w14:solidFill>
                    <w14:srgbClr w14:val="000000">
                      <w14:alpha w14:val="100000"/>
                    </w14:srgbClr>
                  </w14:solidFill>
                </w14:textFill>
              </w:rPr>
              <w:t xml:space="preserve">　</w:t>
            </w:r>
            <w:r w:rsidR="005901D5" w:rsidRPr="005901D5">
              <w:rPr>
                <w:rStyle w:val="CommentReference"/>
                <w:b w:val="0"/>
                <w:szCs w:val="20"/>
                <w:vertAlign w:val="superscript"/>
              </w:rPr>
              <w:t>2</w:t>
            </w:r>
          </w:p>
        </w:tc>
        <w:tc>
          <w:tcPr>
            <w:tcW w:w="2895" w:type="dxa"/>
            <w:vAlign w:val="center"/>
          </w:tcPr>
          <w:p w14:paraId="15C57A73" w14:textId="05C755A9" w:rsidR="00742110" w:rsidRPr="00BB4DAB" w:rsidRDefault="00742110" w:rsidP="00DB0228">
            <w:pPr>
              <w:keepNext/>
              <w:keepLines/>
              <w:jc w:val="center"/>
              <w:rPr>
                <w:rFonts w:ascii="Arial Narrow" w:hAnsi="Arial Narrow"/>
                <w:sz w:val="20"/>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7260DC" w:rsidRPr="00BB4DAB" w14:paraId="5E0E746C" w14:textId="77777777" w:rsidTr="0016738C">
        <w:tc>
          <w:tcPr>
            <w:tcW w:w="2235" w:type="dxa"/>
          </w:tcPr>
          <w:p w14:paraId="4F52CF00" w14:textId="399F5D68" w:rsidR="00742110" w:rsidRPr="00BB4DAB" w:rsidRDefault="00742110" w:rsidP="00DB0228">
            <w:pPr>
              <w:keepNext/>
              <w:keepLines/>
              <w:rPr>
                <w:rFonts w:ascii="Arial Narrow" w:hAnsi="Arial Narrow"/>
                <w:sz w:val="20"/>
                <w:szCs w:val="20"/>
              </w:rPr>
            </w:pPr>
            <w:r w:rsidRPr="00BB4DAB">
              <w:rPr>
                <w:rStyle w:val="CommentReference"/>
                <w:b w:val="0"/>
                <w:szCs w:val="20"/>
              </w:rPr>
              <w:t>5 years</w:t>
            </w:r>
            <w:r w:rsidR="00D348B9" w:rsidRPr="00BB4DAB">
              <w:rPr>
                <w:rStyle w:val="CommentReference"/>
                <w:b w:val="0"/>
                <w:szCs w:val="20"/>
              </w:rPr>
              <w:t xml:space="preserve"> </w:t>
            </w:r>
            <w:r w:rsidR="004B4FED" w:rsidRPr="00BB4DAB">
              <w:rPr>
                <w:rStyle w:val="CommentReference"/>
                <w:bCs/>
                <w:szCs w:val="20"/>
              </w:rPr>
              <w:t>#5</w:t>
            </w:r>
          </w:p>
        </w:tc>
        <w:tc>
          <w:tcPr>
            <w:tcW w:w="1275" w:type="dxa"/>
            <w:tcBorders>
              <w:bottom w:val="single" w:sz="4" w:space="0" w:color="auto"/>
            </w:tcBorders>
            <w:shd w:val="solid" w:color="000000" w:fill="000000"/>
            <w:vAlign w:val="center"/>
          </w:tcPr>
          <w:p w14:paraId="36DC1635" w14:textId="6DC6A84D" w:rsidR="00742110" w:rsidRPr="00B92B0E" w:rsidRDefault="0016738C" w:rsidP="00DB0228">
            <w:pPr>
              <w:keepNext/>
              <w:keepLines/>
              <w:jc w:val="center"/>
              <w:rPr>
                <w:rFonts w:ascii="Arial Narrow" w:hAnsi="Arial Narrow"/>
                <w:sz w:val="20"/>
                <w:szCs w:val="20"/>
                <w:highlight w:val="darkGray"/>
              </w:rPr>
            </w:pPr>
            <w:r>
              <w:rPr>
                <w:rStyle w:val="CommentReference"/>
                <w:rFonts w:hint="eastAsia"/>
                <w:b w:val="0"/>
                <w:color w:val="000000"/>
                <w:w w:val="15"/>
                <w:szCs w:val="20"/>
                <w:fitText w:val="20" w:id="-694443775"/>
                <w14:textFill>
                  <w14:solidFill>
                    <w14:srgbClr w14:val="000000">
                      <w14:alpha w14:val="100000"/>
                    </w14:srgbClr>
                  </w14:solidFill>
                </w14:textFill>
              </w:rPr>
              <w:t xml:space="preserve">　</w:t>
            </w:r>
            <w:r>
              <w:rPr>
                <w:rStyle w:val="CommentReference"/>
                <w:b w:val="0"/>
                <w:color w:val="000000"/>
                <w:w w:val="15"/>
                <w:szCs w:val="20"/>
                <w:fitText w:val="20" w:id="-694443775"/>
                <w14:textFill>
                  <w14:solidFill>
                    <w14:srgbClr w14:val="000000">
                      <w14:alpha w14:val="100000"/>
                    </w14:srgbClr>
                  </w14:solidFill>
                </w14:textFill>
              </w:rPr>
              <w:t>|</w:t>
            </w:r>
            <w:r>
              <w:rPr>
                <w:rStyle w:val="CommentReference"/>
                <w:rFonts w:hint="eastAsia"/>
                <w:b w:val="0"/>
                <w:color w:val="000000"/>
                <w:spacing w:val="-46"/>
                <w:w w:val="15"/>
                <w:szCs w:val="20"/>
                <w:fitText w:val="20" w:id="-694443775"/>
                <w14:textFill>
                  <w14:solidFill>
                    <w14:srgbClr w14:val="000000">
                      <w14:alpha w14:val="100000"/>
                    </w14:srgbClr>
                  </w14:solidFill>
                </w14:textFill>
              </w:rPr>
              <w:t xml:space="preserve">　</w:t>
            </w:r>
          </w:p>
        </w:tc>
        <w:tc>
          <w:tcPr>
            <w:tcW w:w="1275" w:type="dxa"/>
            <w:vAlign w:val="center"/>
          </w:tcPr>
          <w:p w14:paraId="344CB59D" w14:textId="70D8983B" w:rsidR="00742110" w:rsidRPr="00BB4DAB" w:rsidRDefault="00742110" w:rsidP="00DB0228">
            <w:pPr>
              <w:keepNext/>
              <w:keepLines/>
              <w:jc w:val="center"/>
              <w:rPr>
                <w:rFonts w:ascii="Arial Narrow" w:hAnsi="Arial Narrow"/>
                <w:sz w:val="20"/>
                <w:szCs w:val="20"/>
              </w:rPr>
            </w:pPr>
            <w:r w:rsidRPr="00BB4DAB">
              <w:rPr>
                <w:rStyle w:val="CommentReference"/>
                <w:b w:val="0"/>
                <w:szCs w:val="20"/>
              </w:rPr>
              <w:t>0.366</w:t>
            </w:r>
          </w:p>
        </w:tc>
        <w:tc>
          <w:tcPr>
            <w:tcW w:w="1337" w:type="dxa"/>
            <w:vAlign w:val="center"/>
          </w:tcPr>
          <w:p w14:paraId="7DE01103" w14:textId="127AABC5" w:rsidR="00742110" w:rsidRPr="00F043C4" w:rsidRDefault="0016738C" w:rsidP="00DB0228">
            <w:pPr>
              <w:keepNext/>
              <w:keepLines/>
              <w:jc w:val="center"/>
              <w:rPr>
                <w:rFonts w:ascii="Arial Narrow" w:hAnsi="Arial Narrow"/>
                <w:sz w:val="20"/>
                <w:szCs w:val="20"/>
                <w:highlight w:val="darkGray"/>
              </w:rPr>
            </w:pPr>
            <w:r>
              <w:rPr>
                <w:rStyle w:val="CommentReference"/>
                <w:rFonts w:hint="eastAsia"/>
                <w:b w:val="0"/>
                <w:color w:val="000000"/>
                <w:w w:val="15"/>
                <w:szCs w:val="20"/>
                <w:shd w:val="solid" w:color="000000" w:fill="000000"/>
                <w:fitText w:val="20" w:id="-694443774"/>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74"/>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74"/>
                <w14:textFill>
                  <w14:solidFill>
                    <w14:srgbClr w14:val="000000">
                      <w14:alpha w14:val="100000"/>
                    </w14:srgbClr>
                  </w14:solidFill>
                </w14:textFill>
              </w:rPr>
              <w:t xml:space="preserve">　</w:t>
            </w:r>
            <w:r w:rsidR="005B1296" w:rsidRPr="00FB29FF">
              <w:rPr>
                <w:rStyle w:val="CommentReference"/>
                <w:b w:val="0"/>
                <w:szCs w:val="20"/>
                <w:vertAlign w:val="superscript"/>
              </w:rPr>
              <w:t>3</w:t>
            </w:r>
          </w:p>
        </w:tc>
        <w:tc>
          <w:tcPr>
            <w:tcW w:w="2895" w:type="dxa"/>
            <w:vAlign w:val="center"/>
          </w:tcPr>
          <w:p w14:paraId="17F99D26" w14:textId="64FFA89A" w:rsidR="00742110" w:rsidRPr="00BB4DAB" w:rsidRDefault="00742110" w:rsidP="00DB0228">
            <w:pPr>
              <w:keepNext/>
              <w:keepLines/>
              <w:jc w:val="center"/>
              <w:rPr>
                <w:rFonts w:ascii="Arial Narrow" w:hAnsi="Arial Narrow"/>
                <w:sz w:val="20"/>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7260DC" w:rsidRPr="00BB4DAB" w14:paraId="1AF1CF50" w14:textId="77777777" w:rsidTr="0016738C">
        <w:tc>
          <w:tcPr>
            <w:tcW w:w="2235" w:type="dxa"/>
          </w:tcPr>
          <w:p w14:paraId="0E08E8D4" w14:textId="0108BBC0" w:rsidR="00E67082" w:rsidRPr="00BB4DAB" w:rsidRDefault="00E67082" w:rsidP="00DB0228">
            <w:pPr>
              <w:keepNext/>
              <w:keepLines/>
              <w:rPr>
                <w:rStyle w:val="CommentReference"/>
                <w:b w:val="0"/>
                <w:szCs w:val="20"/>
              </w:rPr>
            </w:pPr>
            <w:r w:rsidRPr="00BB4DAB">
              <w:rPr>
                <w:rFonts w:ascii="Arial Narrow" w:hAnsi="Arial Narrow"/>
                <w:sz w:val="20"/>
                <w:szCs w:val="20"/>
              </w:rPr>
              <w:t>10 years</w:t>
            </w:r>
            <w:r w:rsidR="000B73CE" w:rsidRPr="00BB4DAB">
              <w:rPr>
                <w:rFonts w:ascii="Arial Narrow" w:hAnsi="Arial Narrow"/>
                <w:sz w:val="20"/>
                <w:szCs w:val="20"/>
              </w:rPr>
              <w:t xml:space="preserve"> </w:t>
            </w:r>
            <w:r w:rsidR="000B73CE" w:rsidRPr="00BB4DAB">
              <w:rPr>
                <w:rStyle w:val="CommentReference"/>
                <w:bCs/>
                <w:szCs w:val="20"/>
              </w:rPr>
              <w:t>#6</w:t>
            </w:r>
          </w:p>
        </w:tc>
        <w:tc>
          <w:tcPr>
            <w:tcW w:w="1275" w:type="dxa"/>
            <w:shd w:val="solid" w:color="000000" w:fill="000000"/>
          </w:tcPr>
          <w:p w14:paraId="06D8D660" w14:textId="6566B8F9" w:rsidR="00E67082" w:rsidRPr="00B92B0E" w:rsidRDefault="0016738C" w:rsidP="00DB0228">
            <w:pPr>
              <w:keepNext/>
              <w:keepLines/>
              <w:jc w:val="center"/>
              <w:rPr>
                <w:rStyle w:val="CommentReference"/>
                <w:b w:val="0"/>
                <w:szCs w:val="20"/>
                <w:highlight w:val="darkGray"/>
              </w:rPr>
            </w:pPr>
            <w:r>
              <w:rPr>
                <w:rFonts w:ascii="Arial Narrow" w:hAnsi="Arial Narrow" w:hint="eastAsia"/>
                <w:color w:val="000000"/>
                <w:w w:val="15"/>
                <w:sz w:val="20"/>
                <w:szCs w:val="20"/>
                <w:fitText w:val="20" w:id="-694443773"/>
                <w14:textFill>
                  <w14:solidFill>
                    <w14:srgbClr w14:val="000000">
                      <w14:alpha w14:val="100000"/>
                    </w14:srgbClr>
                  </w14:solidFill>
                </w14:textFill>
              </w:rPr>
              <w:t xml:space="preserve">　</w:t>
            </w:r>
            <w:r>
              <w:rPr>
                <w:rFonts w:ascii="Arial Narrow" w:hAnsi="Arial Narrow"/>
                <w:color w:val="000000"/>
                <w:w w:val="15"/>
                <w:sz w:val="20"/>
                <w:szCs w:val="20"/>
                <w:fitText w:val="20" w:id="-694443773"/>
                <w14:textFill>
                  <w14:solidFill>
                    <w14:srgbClr w14:val="000000">
                      <w14:alpha w14:val="100000"/>
                    </w14:srgbClr>
                  </w14:solidFill>
                </w14:textFill>
              </w:rPr>
              <w:t>|</w:t>
            </w:r>
            <w:r>
              <w:rPr>
                <w:rFonts w:ascii="Arial Narrow" w:hAnsi="Arial Narrow" w:hint="eastAsia"/>
                <w:color w:val="000000"/>
                <w:spacing w:val="-46"/>
                <w:w w:val="15"/>
                <w:sz w:val="20"/>
                <w:szCs w:val="20"/>
                <w:fitText w:val="20" w:id="-694443773"/>
                <w14:textFill>
                  <w14:solidFill>
                    <w14:srgbClr w14:val="000000">
                      <w14:alpha w14:val="100000"/>
                    </w14:srgbClr>
                  </w14:solidFill>
                </w14:textFill>
              </w:rPr>
              <w:t xml:space="preserve">　</w:t>
            </w:r>
          </w:p>
        </w:tc>
        <w:tc>
          <w:tcPr>
            <w:tcW w:w="1275" w:type="dxa"/>
          </w:tcPr>
          <w:p w14:paraId="47A4CDAF" w14:textId="77777777" w:rsidR="00E67082" w:rsidRPr="00BB4DAB" w:rsidRDefault="00E67082" w:rsidP="00DB0228">
            <w:pPr>
              <w:keepNext/>
              <w:keepLines/>
              <w:jc w:val="center"/>
              <w:rPr>
                <w:rStyle w:val="CommentReference"/>
                <w:b w:val="0"/>
                <w:szCs w:val="20"/>
              </w:rPr>
            </w:pPr>
            <w:r w:rsidRPr="00BB4DAB">
              <w:rPr>
                <w:rFonts w:ascii="Arial Narrow" w:hAnsi="Arial Narrow"/>
                <w:sz w:val="20"/>
                <w:szCs w:val="20"/>
              </w:rPr>
              <w:t>0.738</w:t>
            </w:r>
          </w:p>
        </w:tc>
        <w:tc>
          <w:tcPr>
            <w:tcW w:w="1337" w:type="dxa"/>
          </w:tcPr>
          <w:p w14:paraId="18737DE1" w14:textId="6A77CF2E" w:rsidR="00E67082" w:rsidRPr="00F043C4" w:rsidRDefault="0016738C" w:rsidP="00DB0228">
            <w:pPr>
              <w:keepNext/>
              <w:keepLines/>
              <w:jc w:val="center"/>
              <w:rPr>
                <w:rStyle w:val="CommentReference"/>
                <w:b w:val="0"/>
                <w:szCs w:val="20"/>
                <w:highlight w:val="darkGray"/>
              </w:rPr>
            </w:pPr>
            <w:r>
              <w:rPr>
                <w:rFonts w:ascii="Arial Narrow" w:hAnsi="Arial Narrow" w:hint="eastAsia"/>
                <w:color w:val="000000"/>
                <w:w w:val="15"/>
                <w:sz w:val="20"/>
                <w:szCs w:val="20"/>
                <w:shd w:val="solid" w:color="000000" w:fill="000000"/>
                <w:fitText w:val="20" w:id="-694443772"/>
                <w14:textFill>
                  <w14:solidFill>
                    <w14:srgbClr w14:val="000000">
                      <w14:alpha w14:val="100000"/>
                    </w14:srgbClr>
                  </w14:solidFill>
                </w14:textFill>
              </w:rPr>
              <w:t xml:space="preserve">　</w:t>
            </w:r>
            <w:r>
              <w:rPr>
                <w:rFonts w:ascii="Arial Narrow" w:hAnsi="Arial Narrow"/>
                <w:color w:val="000000"/>
                <w:w w:val="15"/>
                <w:sz w:val="20"/>
                <w:szCs w:val="20"/>
                <w:shd w:val="solid" w:color="000000" w:fill="000000"/>
                <w:fitText w:val="20" w:id="-694443772"/>
                <w14:textFill>
                  <w14:solidFill>
                    <w14:srgbClr w14:val="000000">
                      <w14:alpha w14:val="100000"/>
                    </w14:srgbClr>
                  </w14:solidFill>
                </w14:textFill>
              </w:rPr>
              <w:t>|</w:t>
            </w:r>
            <w:r>
              <w:rPr>
                <w:rFonts w:ascii="Arial Narrow" w:hAnsi="Arial Narrow" w:hint="eastAsia"/>
                <w:color w:val="000000"/>
                <w:spacing w:val="-46"/>
                <w:w w:val="15"/>
                <w:sz w:val="20"/>
                <w:szCs w:val="20"/>
                <w:shd w:val="solid" w:color="000000" w:fill="000000"/>
                <w:fitText w:val="20" w:id="-694443772"/>
                <w14:textFill>
                  <w14:solidFill>
                    <w14:srgbClr w14:val="000000">
                      <w14:alpha w14:val="100000"/>
                    </w14:srgbClr>
                  </w14:solidFill>
                </w14:textFill>
              </w:rPr>
              <w:t xml:space="preserve">　</w:t>
            </w:r>
            <w:r w:rsidR="00FB29FF" w:rsidRPr="00FB29FF">
              <w:rPr>
                <w:rFonts w:ascii="Arial Narrow" w:hAnsi="Arial Narrow"/>
                <w:sz w:val="20"/>
                <w:szCs w:val="20"/>
                <w:vertAlign w:val="superscript"/>
              </w:rPr>
              <w:t>4</w:t>
            </w:r>
          </w:p>
        </w:tc>
        <w:tc>
          <w:tcPr>
            <w:tcW w:w="2895" w:type="dxa"/>
          </w:tcPr>
          <w:p w14:paraId="21B0E945" w14:textId="766AFC43" w:rsidR="00E67082" w:rsidRPr="00BB4DAB" w:rsidRDefault="00E67082" w:rsidP="00DB0228">
            <w:pPr>
              <w:keepNext/>
              <w:keepLines/>
              <w:jc w:val="center"/>
              <w:rPr>
                <w:rStyle w:val="CommentReference"/>
                <w:b w:val="0"/>
                <w:szCs w:val="20"/>
              </w:rPr>
            </w:pPr>
            <w:r w:rsidRPr="00BB4DAB">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Pr="00BB4DAB">
              <w:rPr>
                <w:rFonts w:ascii="Arial Narrow" w:hAnsi="Arial Narrow"/>
                <w:sz w:val="20"/>
                <w:szCs w:val="20"/>
              </w:rPr>
              <w:t>%</w:t>
            </w:r>
          </w:p>
        </w:tc>
      </w:tr>
      <w:tr w:rsidR="00BF0512" w:rsidRPr="00BB4DAB" w14:paraId="5B8CB8B0" w14:textId="77777777" w:rsidTr="00787BFD">
        <w:tc>
          <w:tcPr>
            <w:tcW w:w="9017" w:type="dxa"/>
            <w:gridSpan w:val="5"/>
          </w:tcPr>
          <w:p w14:paraId="24654174" w14:textId="4663F633" w:rsidR="00BF0512" w:rsidRPr="00BB4DAB" w:rsidRDefault="00BF0512" w:rsidP="00DB0228">
            <w:pPr>
              <w:keepNext/>
              <w:keepLines/>
              <w:jc w:val="left"/>
              <w:rPr>
                <w:rFonts w:ascii="Arial Narrow" w:eastAsia="Calibri" w:hAnsi="Arial Narrow"/>
                <w:b/>
                <w:bCs/>
                <w:sz w:val="20"/>
                <w:szCs w:val="20"/>
              </w:rPr>
            </w:pPr>
            <w:r w:rsidRPr="00BB4DAB">
              <w:rPr>
                <w:rFonts w:ascii="Arial Narrow" w:eastAsia="Calibri" w:hAnsi="Arial Narrow"/>
                <w:b/>
                <w:bCs/>
                <w:sz w:val="20"/>
                <w:szCs w:val="20"/>
              </w:rPr>
              <w:t>Time point for OS extrapolation (base case: 20 months for both treatment arms)</w:t>
            </w:r>
          </w:p>
        </w:tc>
      </w:tr>
      <w:tr w:rsidR="007260DC" w:rsidRPr="00BB4DAB" w14:paraId="1560BF19" w14:textId="77777777" w:rsidTr="0016738C">
        <w:tc>
          <w:tcPr>
            <w:tcW w:w="2235" w:type="dxa"/>
          </w:tcPr>
          <w:p w14:paraId="0075772E" w14:textId="39563158" w:rsidR="00BF0512" w:rsidRPr="00BB4DAB" w:rsidRDefault="00BF0512" w:rsidP="00DB0228">
            <w:pPr>
              <w:keepNext/>
              <w:keepLines/>
              <w:rPr>
                <w:rStyle w:val="CommentReference"/>
                <w:b w:val="0"/>
                <w:bCs/>
                <w:szCs w:val="20"/>
              </w:rPr>
            </w:pPr>
            <w:r w:rsidRPr="00BB4DAB">
              <w:rPr>
                <w:rStyle w:val="CommentReference"/>
                <w:b w:val="0"/>
                <w:bCs/>
                <w:szCs w:val="20"/>
              </w:rPr>
              <w:t xml:space="preserve">40 months </w:t>
            </w:r>
            <w:r w:rsidR="00D348B9" w:rsidRPr="00BB4DAB">
              <w:rPr>
                <w:rStyle w:val="CommentReference"/>
                <w:szCs w:val="20"/>
              </w:rPr>
              <w:t>#1</w:t>
            </w:r>
          </w:p>
        </w:tc>
        <w:tc>
          <w:tcPr>
            <w:tcW w:w="1275" w:type="dxa"/>
            <w:shd w:val="solid" w:color="000000" w:fill="000000"/>
          </w:tcPr>
          <w:p w14:paraId="3569C45A" w14:textId="453A15DF" w:rsidR="00BF0512" w:rsidRPr="00BB4DAB" w:rsidRDefault="0016738C" w:rsidP="00DB0228">
            <w:pPr>
              <w:keepNext/>
              <w:keepLines/>
              <w:jc w:val="center"/>
              <w:rPr>
                <w:rStyle w:val="CommentReference"/>
                <w:b w:val="0"/>
                <w:bCs/>
                <w:szCs w:val="20"/>
              </w:rPr>
            </w:pPr>
            <w:r>
              <w:rPr>
                <w:rStyle w:val="CommentReference"/>
                <w:rFonts w:hint="eastAsia"/>
                <w:b w:val="0"/>
                <w:bCs/>
                <w:color w:val="000000"/>
                <w:w w:val="15"/>
                <w:szCs w:val="20"/>
                <w:fitText w:val="20" w:id="-694443771"/>
                <w14:textFill>
                  <w14:solidFill>
                    <w14:srgbClr w14:val="000000">
                      <w14:alpha w14:val="100000"/>
                    </w14:srgbClr>
                  </w14:solidFill>
                </w14:textFill>
              </w:rPr>
              <w:t xml:space="preserve">　</w:t>
            </w:r>
            <w:r>
              <w:rPr>
                <w:rStyle w:val="CommentReference"/>
                <w:b w:val="0"/>
                <w:bCs/>
                <w:color w:val="000000"/>
                <w:w w:val="15"/>
                <w:szCs w:val="20"/>
                <w:fitText w:val="20" w:id="-694443771"/>
                <w14:textFill>
                  <w14:solidFill>
                    <w14:srgbClr w14:val="000000">
                      <w14:alpha w14:val="100000"/>
                    </w14:srgbClr>
                  </w14:solidFill>
                </w14:textFill>
              </w:rPr>
              <w:t>|</w:t>
            </w:r>
            <w:r>
              <w:rPr>
                <w:rStyle w:val="CommentReference"/>
                <w:rFonts w:hint="eastAsia"/>
                <w:b w:val="0"/>
                <w:bCs/>
                <w:color w:val="000000"/>
                <w:spacing w:val="-46"/>
                <w:w w:val="15"/>
                <w:szCs w:val="20"/>
                <w:fitText w:val="20" w:id="-694443771"/>
                <w14:textFill>
                  <w14:solidFill>
                    <w14:srgbClr w14:val="000000">
                      <w14:alpha w14:val="100000"/>
                    </w14:srgbClr>
                  </w14:solidFill>
                </w14:textFill>
              </w:rPr>
              <w:t xml:space="preserve">　</w:t>
            </w:r>
          </w:p>
        </w:tc>
        <w:tc>
          <w:tcPr>
            <w:tcW w:w="1275" w:type="dxa"/>
          </w:tcPr>
          <w:p w14:paraId="359E83B8" w14:textId="31E71724" w:rsidR="00BF0512" w:rsidRPr="00BB4DAB" w:rsidRDefault="00914419" w:rsidP="00DB0228">
            <w:pPr>
              <w:keepNext/>
              <w:keepLines/>
              <w:jc w:val="center"/>
              <w:rPr>
                <w:rStyle w:val="CommentReference"/>
                <w:b w:val="0"/>
                <w:bCs/>
                <w:szCs w:val="20"/>
              </w:rPr>
            </w:pPr>
            <w:r w:rsidRPr="00BB4DAB">
              <w:rPr>
                <w:rStyle w:val="CommentReference"/>
                <w:b w:val="0"/>
                <w:bCs/>
                <w:szCs w:val="20"/>
              </w:rPr>
              <w:t>1.149</w:t>
            </w:r>
          </w:p>
        </w:tc>
        <w:tc>
          <w:tcPr>
            <w:tcW w:w="1337" w:type="dxa"/>
          </w:tcPr>
          <w:p w14:paraId="1D2FF2AD" w14:textId="3F4F7823" w:rsidR="00BF0512" w:rsidRPr="00BB4DAB" w:rsidRDefault="0016738C" w:rsidP="00DB0228">
            <w:pPr>
              <w:keepNext/>
              <w:keepLines/>
              <w:jc w:val="center"/>
              <w:rPr>
                <w:rStyle w:val="CommentReference"/>
                <w:b w:val="0"/>
                <w:bCs/>
                <w:szCs w:val="20"/>
              </w:rPr>
            </w:pPr>
            <w:r>
              <w:rPr>
                <w:rStyle w:val="CommentReference"/>
                <w:rFonts w:hint="eastAsia"/>
                <w:b w:val="0"/>
                <w:bCs/>
                <w:color w:val="000000"/>
                <w:w w:val="15"/>
                <w:szCs w:val="20"/>
                <w:shd w:val="solid" w:color="000000" w:fill="000000"/>
                <w:fitText w:val="20" w:id="-694443770"/>
                <w14:textFill>
                  <w14:solidFill>
                    <w14:srgbClr w14:val="000000">
                      <w14:alpha w14:val="100000"/>
                    </w14:srgbClr>
                  </w14:solidFill>
                </w14:textFill>
              </w:rPr>
              <w:t xml:space="preserve">　</w:t>
            </w:r>
            <w:r>
              <w:rPr>
                <w:rStyle w:val="CommentReference"/>
                <w:b w:val="0"/>
                <w:bCs/>
                <w:color w:val="000000"/>
                <w:w w:val="15"/>
                <w:szCs w:val="20"/>
                <w:shd w:val="solid" w:color="000000" w:fill="000000"/>
                <w:fitText w:val="20" w:id="-694443770"/>
                <w14:textFill>
                  <w14:solidFill>
                    <w14:srgbClr w14:val="000000">
                      <w14:alpha w14:val="100000"/>
                    </w14:srgbClr>
                  </w14:solidFill>
                </w14:textFill>
              </w:rPr>
              <w:t>|</w:t>
            </w:r>
            <w:r>
              <w:rPr>
                <w:rStyle w:val="CommentReference"/>
                <w:rFonts w:hint="eastAsia"/>
                <w:b w:val="0"/>
                <w:bCs/>
                <w:color w:val="000000"/>
                <w:spacing w:val="-46"/>
                <w:w w:val="15"/>
                <w:szCs w:val="20"/>
                <w:shd w:val="solid" w:color="000000" w:fill="000000"/>
                <w:fitText w:val="20" w:id="-694443770"/>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tcPr>
          <w:p w14:paraId="537D9F9A" w14:textId="3F690161" w:rsidR="00BF0512" w:rsidRPr="00BB4DAB" w:rsidRDefault="00830847" w:rsidP="00DB0228">
            <w:pPr>
              <w:keepNext/>
              <w:keepLines/>
              <w:jc w:val="center"/>
              <w:rPr>
                <w:rStyle w:val="CommentReference"/>
                <w:b w:val="0"/>
                <w:bCs/>
                <w:szCs w:val="20"/>
              </w:rPr>
            </w:pPr>
            <w:r w:rsidRPr="00BB4DAB">
              <w:rPr>
                <w:rStyle w:val="CommentReference"/>
                <w:b w:val="0"/>
                <w:bCs/>
                <w:szCs w:val="20"/>
              </w:rPr>
              <w:t>+</w:t>
            </w:r>
            <w:r w:rsidR="0016738C" w:rsidRPr="0016738C">
              <w:rPr>
                <w:rStyle w:val="CommentReference"/>
                <w:b w:val="0"/>
                <w:bCs/>
                <w:color w:val="000000"/>
                <w:szCs w:val="20"/>
                <w:shd w:val="solid" w:color="000000" w:fill="000000"/>
                <w14:textFill>
                  <w14:solidFill>
                    <w14:srgbClr w14:val="000000">
                      <w14:alpha w14:val="100000"/>
                    </w14:srgbClr>
                  </w14:solidFill>
                </w14:textFill>
              </w:rPr>
              <w:t>|</w:t>
            </w:r>
            <w:r w:rsidRPr="00BB4DAB">
              <w:rPr>
                <w:rStyle w:val="CommentReference"/>
                <w:b w:val="0"/>
                <w:bCs/>
                <w:szCs w:val="20"/>
              </w:rPr>
              <w:t>%</w:t>
            </w:r>
          </w:p>
        </w:tc>
      </w:tr>
      <w:tr w:rsidR="00742110" w:rsidRPr="00BB4DAB" w14:paraId="30302A25" w14:textId="71C9F1DC" w:rsidTr="00742110">
        <w:tc>
          <w:tcPr>
            <w:tcW w:w="9017" w:type="dxa"/>
            <w:gridSpan w:val="5"/>
          </w:tcPr>
          <w:p w14:paraId="65ACC5E1" w14:textId="3632AD33" w:rsidR="00742110" w:rsidRPr="00BB4DAB" w:rsidRDefault="00742110" w:rsidP="00DB0228">
            <w:pPr>
              <w:keepNext/>
              <w:keepLines/>
              <w:jc w:val="left"/>
              <w:rPr>
                <w:rFonts w:ascii="Arial Narrow" w:hAnsi="Arial Narrow"/>
                <w:b/>
                <w:bCs/>
                <w:sz w:val="20"/>
                <w:szCs w:val="20"/>
              </w:rPr>
            </w:pPr>
            <w:r w:rsidRPr="00BB4DAB">
              <w:rPr>
                <w:rFonts w:ascii="Arial Narrow" w:eastAsia="Calibri" w:hAnsi="Arial Narrow"/>
                <w:b/>
                <w:bCs/>
                <w:sz w:val="20"/>
                <w:szCs w:val="20"/>
              </w:rPr>
              <w:t>Toripalimab and placebo OS extrapolation (log-normal in base case; best fit AIC, BIC for placebo)</w:t>
            </w:r>
          </w:p>
        </w:tc>
      </w:tr>
      <w:tr w:rsidR="00994B73" w:rsidRPr="00BB4DAB" w14:paraId="1C3902D6" w14:textId="7851076F" w:rsidTr="0016738C">
        <w:tc>
          <w:tcPr>
            <w:tcW w:w="2235" w:type="dxa"/>
          </w:tcPr>
          <w:p w14:paraId="263EEFE9" w14:textId="45BE3D81" w:rsidR="00742110" w:rsidRPr="00BB4DAB" w:rsidRDefault="00742110" w:rsidP="00DB0228">
            <w:pPr>
              <w:keepNext/>
              <w:keepLines/>
              <w:rPr>
                <w:rFonts w:ascii="Arial Narrow" w:hAnsi="Arial Narrow"/>
                <w:sz w:val="20"/>
                <w:szCs w:val="20"/>
              </w:rPr>
            </w:pPr>
            <w:r w:rsidRPr="00BB4DAB">
              <w:rPr>
                <w:rStyle w:val="CommentReference"/>
                <w:b w:val="0"/>
                <w:szCs w:val="20"/>
              </w:rPr>
              <w:t>Weibull</w:t>
            </w:r>
          </w:p>
        </w:tc>
        <w:tc>
          <w:tcPr>
            <w:tcW w:w="1275" w:type="dxa"/>
            <w:tcBorders>
              <w:bottom w:val="single" w:sz="4" w:space="0" w:color="auto"/>
            </w:tcBorders>
            <w:shd w:val="solid" w:color="000000" w:fill="000000"/>
            <w:vAlign w:val="center"/>
          </w:tcPr>
          <w:p w14:paraId="57868AAB" w14:textId="4E91DB18" w:rsidR="00742110" w:rsidRPr="00B92B0E" w:rsidRDefault="0016738C" w:rsidP="00DB0228">
            <w:pPr>
              <w:keepNext/>
              <w:keepLines/>
              <w:jc w:val="center"/>
              <w:rPr>
                <w:rFonts w:ascii="Arial Narrow" w:hAnsi="Arial Narrow"/>
                <w:sz w:val="20"/>
                <w:szCs w:val="20"/>
                <w:highlight w:val="darkGray"/>
              </w:rPr>
            </w:pPr>
            <w:r>
              <w:rPr>
                <w:rStyle w:val="CommentReference"/>
                <w:rFonts w:hint="eastAsia"/>
                <w:b w:val="0"/>
                <w:color w:val="000000"/>
                <w:w w:val="15"/>
                <w:szCs w:val="20"/>
                <w:fitText w:val="20" w:id="-694443769"/>
                <w14:textFill>
                  <w14:solidFill>
                    <w14:srgbClr w14:val="000000">
                      <w14:alpha w14:val="100000"/>
                    </w14:srgbClr>
                  </w14:solidFill>
                </w14:textFill>
              </w:rPr>
              <w:t xml:space="preserve">　</w:t>
            </w:r>
            <w:r>
              <w:rPr>
                <w:rStyle w:val="CommentReference"/>
                <w:b w:val="0"/>
                <w:color w:val="000000"/>
                <w:w w:val="15"/>
                <w:szCs w:val="20"/>
                <w:fitText w:val="20" w:id="-694443769"/>
                <w14:textFill>
                  <w14:solidFill>
                    <w14:srgbClr w14:val="000000">
                      <w14:alpha w14:val="100000"/>
                    </w14:srgbClr>
                  </w14:solidFill>
                </w14:textFill>
              </w:rPr>
              <w:t>|</w:t>
            </w:r>
            <w:r>
              <w:rPr>
                <w:rStyle w:val="CommentReference"/>
                <w:rFonts w:hint="eastAsia"/>
                <w:b w:val="0"/>
                <w:color w:val="000000"/>
                <w:spacing w:val="-46"/>
                <w:w w:val="15"/>
                <w:szCs w:val="20"/>
                <w:fitText w:val="20" w:id="-694443769"/>
                <w14:textFill>
                  <w14:solidFill>
                    <w14:srgbClr w14:val="000000">
                      <w14:alpha w14:val="100000"/>
                    </w14:srgbClr>
                  </w14:solidFill>
                </w14:textFill>
              </w:rPr>
              <w:t xml:space="preserve">　</w:t>
            </w:r>
          </w:p>
        </w:tc>
        <w:tc>
          <w:tcPr>
            <w:tcW w:w="1275" w:type="dxa"/>
            <w:vAlign w:val="center"/>
          </w:tcPr>
          <w:p w14:paraId="5F82B7D5" w14:textId="72E2DF47" w:rsidR="00742110" w:rsidRPr="00BB4DAB" w:rsidRDefault="00742110" w:rsidP="00DB0228">
            <w:pPr>
              <w:keepNext/>
              <w:keepLines/>
              <w:jc w:val="center"/>
              <w:rPr>
                <w:rFonts w:ascii="Arial Narrow" w:hAnsi="Arial Narrow"/>
                <w:sz w:val="20"/>
                <w:szCs w:val="20"/>
              </w:rPr>
            </w:pPr>
            <w:r w:rsidRPr="00BB4DAB">
              <w:rPr>
                <w:rStyle w:val="CommentReference"/>
                <w:b w:val="0"/>
                <w:szCs w:val="20"/>
              </w:rPr>
              <w:t>0.759</w:t>
            </w:r>
          </w:p>
        </w:tc>
        <w:tc>
          <w:tcPr>
            <w:tcW w:w="1337" w:type="dxa"/>
            <w:vAlign w:val="center"/>
          </w:tcPr>
          <w:p w14:paraId="34D34DEE" w14:textId="3E57DC35" w:rsidR="00742110" w:rsidRPr="00F043C4" w:rsidRDefault="0016738C" w:rsidP="00DB0228">
            <w:pPr>
              <w:keepNext/>
              <w:keepLines/>
              <w:jc w:val="center"/>
              <w:rPr>
                <w:rFonts w:ascii="Arial Narrow" w:hAnsi="Arial Narrow"/>
                <w:sz w:val="20"/>
                <w:szCs w:val="20"/>
                <w:highlight w:val="darkGray"/>
              </w:rPr>
            </w:pPr>
            <w:r>
              <w:rPr>
                <w:rStyle w:val="CommentReference"/>
                <w:rFonts w:hint="eastAsia"/>
                <w:b w:val="0"/>
                <w:color w:val="000000"/>
                <w:w w:val="15"/>
                <w:szCs w:val="20"/>
                <w:shd w:val="solid" w:color="000000" w:fill="000000"/>
                <w:fitText w:val="20" w:id="-694443768"/>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68"/>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68"/>
                <w14:textFill>
                  <w14:solidFill>
                    <w14:srgbClr w14:val="000000">
                      <w14:alpha w14:val="100000"/>
                    </w14:srgbClr>
                  </w14:solidFill>
                </w14:textFill>
              </w:rPr>
              <w:t xml:space="preserve">　</w:t>
            </w:r>
            <w:r w:rsidR="00414064" w:rsidRPr="00FB29FF">
              <w:rPr>
                <w:rFonts w:ascii="Arial Narrow" w:hAnsi="Arial Narrow"/>
                <w:sz w:val="20"/>
                <w:szCs w:val="20"/>
                <w:vertAlign w:val="superscript"/>
              </w:rPr>
              <w:t>4</w:t>
            </w:r>
          </w:p>
        </w:tc>
        <w:tc>
          <w:tcPr>
            <w:tcW w:w="2895" w:type="dxa"/>
            <w:vAlign w:val="center"/>
          </w:tcPr>
          <w:p w14:paraId="29617E5A" w14:textId="18D60DD5" w:rsidR="00742110" w:rsidRPr="00BB4DAB" w:rsidRDefault="00742110" w:rsidP="00DB0228">
            <w:pPr>
              <w:keepNext/>
              <w:keepLines/>
              <w:jc w:val="center"/>
              <w:rPr>
                <w:rFonts w:ascii="Arial Narrow" w:hAnsi="Arial Narrow"/>
                <w:sz w:val="20"/>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2D18A7" w:rsidRPr="00BB4DAB" w14:paraId="7CBB27AD" w14:textId="2B24D984" w:rsidTr="0016738C">
        <w:tc>
          <w:tcPr>
            <w:tcW w:w="2235" w:type="dxa"/>
          </w:tcPr>
          <w:p w14:paraId="6AF5ACB8" w14:textId="47334596" w:rsidR="002D18A7" w:rsidRPr="00BB4DAB" w:rsidRDefault="002D18A7" w:rsidP="002D18A7">
            <w:pPr>
              <w:keepNext/>
              <w:keepLines/>
              <w:rPr>
                <w:rFonts w:ascii="Arial Narrow" w:hAnsi="Arial Narrow"/>
                <w:strike/>
                <w:sz w:val="20"/>
                <w:szCs w:val="20"/>
              </w:rPr>
            </w:pPr>
            <w:r w:rsidRPr="00BB4DAB">
              <w:rPr>
                <w:rStyle w:val="CommentReference"/>
                <w:b w:val="0"/>
                <w:szCs w:val="20"/>
              </w:rPr>
              <w:t>Log-logistic</w:t>
            </w:r>
            <w:r w:rsidR="00742193" w:rsidRPr="00BB4DAB">
              <w:rPr>
                <w:rStyle w:val="CommentReference"/>
                <w:b w:val="0"/>
                <w:szCs w:val="20"/>
              </w:rPr>
              <w:t xml:space="preserve"> </w:t>
            </w:r>
            <w:r w:rsidR="00742193" w:rsidRPr="00BB4DAB">
              <w:rPr>
                <w:rStyle w:val="CommentReference"/>
                <w:bCs/>
                <w:szCs w:val="20"/>
              </w:rPr>
              <w:t>#2</w:t>
            </w:r>
          </w:p>
        </w:tc>
        <w:tc>
          <w:tcPr>
            <w:tcW w:w="1275" w:type="dxa"/>
            <w:tcBorders>
              <w:bottom w:val="single" w:sz="4" w:space="0" w:color="auto"/>
            </w:tcBorders>
            <w:shd w:val="solid" w:color="000000" w:fill="000000"/>
            <w:vAlign w:val="center"/>
          </w:tcPr>
          <w:p w14:paraId="6DEFFAE3" w14:textId="474A4F3E" w:rsidR="002D18A7" w:rsidRPr="00B92B0E" w:rsidRDefault="0016738C" w:rsidP="002D18A7">
            <w:pPr>
              <w:keepNext/>
              <w:keepLines/>
              <w:jc w:val="center"/>
              <w:rPr>
                <w:rStyle w:val="CommentReference"/>
                <w:b w:val="0"/>
                <w:strike/>
                <w:szCs w:val="20"/>
                <w:highlight w:val="darkGray"/>
              </w:rPr>
            </w:pPr>
            <w:r>
              <w:rPr>
                <w:rStyle w:val="CommentReference"/>
                <w:rFonts w:hint="eastAsia"/>
                <w:b w:val="0"/>
                <w:color w:val="000000"/>
                <w:w w:val="15"/>
                <w:szCs w:val="20"/>
                <w:fitText w:val="20" w:id="-694443767"/>
                <w14:textFill>
                  <w14:solidFill>
                    <w14:srgbClr w14:val="000000">
                      <w14:alpha w14:val="100000"/>
                    </w14:srgbClr>
                  </w14:solidFill>
                </w14:textFill>
              </w:rPr>
              <w:t xml:space="preserve">　</w:t>
            </w:r>
            <w:r>
              <w:rPr>
                <w:rStyle w:val="CommentReference"/>
                <w:b w:val="0"/>
                <w:color w:val="000000"/>
                <w:w w:val="15"/>
                <w:szCs w:val="20"/>
                <w:fitText w:val="20" w:id="-694443767"/>
                <w14:textFill>
                  <w14:solidFill>
                    <w14:srgbClr w14:val="000000">
                      <w14:alpha w14:val="100000"/>
                    </w14:srgbClr>
                  </w14:solidFill>
                </w14:textFill>
              </w:rPr>
              <w:t>|</w:t>
            </w:r>
            <w:r>
              <w:rPr>
                <w:rStyle w:val="CommentReference"/>
                <w:rFonts w:hint="eastAsia"/>
                <w:b w:val="0"/>
                <w:color w:val="000000"/>
                <w:spacing w:val="-46"/>
                <w:w w:val="15"/>
                <w:szCs w:val="20"/>
                <w:fitText w:val="20" w:id="-694443767"/>
                <w14:textFill>
                  <w14:solidFill>
                    <w14:srgbClr w14:val="000000">
                      <w14:alpha w14:val="100000"/>
                    </w14:srgbClr>
                  </w14:solidFill>
                </w14:textFill>
              </w:rPr>
              <w:t xml:space="preserve">　</w:t>
            </w:r>
          </w:p>
        </w:tc>
        <w:tc>
          <w:tcPr>
            <w:tcW w:w="1275" w:type="dxa"/>
            <w:vAlign w:val="center"/>
          </w:tcPr>
          <w:p w14:paraId="2A78D3F9" w14:textId="61AB5F01" w:rsidR="002D18A7" w:rsidRPr="00BB4DAB" w:rsidRDefault="002D18A7" w:rsidP="002D18A7">
            <w:pPr>
              <w:keepNext/>
              <w:keepLines/>
              <w:jc w:val="center"/>
              <w:rPr>
                <w:rStyle w:val="CommentReference"/>
                <w:b w:val="0"/>
                <w:bCs/>
                <w:strike/>
                <w:szCs w:val="20"/>
              </w:rPr>
            </w:pPr>
            <w:r w:rsidRPr="00BB4DAB">
              <w:rPr>
                <w:rStyle w:val="CommentReference"/>
                <w:b w:val="0"/>
                <w:szCs w:val="20"/>
              </w:rPr>
              <w:t>1.115</w:t>
            </w:r>
          </w:p>
        </w:tc>
        <w:tc>
          <w:tcPr>
            <w:tcW w:w="1337" w:type="dxa"/>
            <w:vAlign w:val="center"/>
          </w:tcPr>
          <w:p w14:paraId="7868B485" w14:textId="4B5B5759" w:rsidR="002D18A7" w:rsidRPr="00F043C4" w:rsidRDefault="0016738C" w:rsidP="002D18A7">
            <w:pPr>
              <w:keepNext/>
              <w:keepLines/>
              <w:jc w:val="center"/>
              <w:rPr>
                <w:rStyle w:val="CommentReference"/>
                <w:b w:val="0"/>
                <w:bCs/>
                <w:strike/>
                <w:szCs w:val="20"/>
                <w:highlight w:val="darkGray"/>
              </w:rPr>
            </w:pPr>
            <w:r>
              <w:rPr>
                <w:rStyle w:val="CommentReference"/>
                <w:rFonts w:hint="eastAsia"/>
                <w:b w:val="0"/>
                <w:color w:val="000000"/>
                <w:w w:val="15"/>
                <w:szCs w:val="20"/>
                <w:shd w:val="solid" w:color="000000" w:fill="000000"/>
                <w:fitText w:val="20" w:id="-694443766"/>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66"/>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66"/>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vAlign w:val="center"/>
          </w:tcPr>
          <w:p w14:paraId="63E253F1" w14:textId="077B96F2" w:rsidR="002D18A7" w:rsidRPr="00BB4DAB" w:rsidRDefault="002D18A7" w:rsidP="002D18A7">
            <w:pPr>
              <w:keepNext/>
              <w:keepLines/>
              <w:jc w:val="center"/>
              <w:rPr>
                <w:rStyle w:val="CommentReference"/>
                <w:b w:val="0"/>
                <w:bCs/>
                <w:strike/>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2D18A7" w:rsidRPr="00BB4DAB" w14:paraId="78D923D4" w14:textId="61735B70" w:rsidTr="0016738C">
        <w:tc>
          <w:tcPr>
            <w:tcW w:w="2235" w:type="dxa"/>
          </w:tcPr>
          <w:p w14:paraId="6499D5AE" w14:textId="1BCB2B6B" w:rsidR="002D18A7" w:rsidRPr="00BB4DAB" w:rsidRDefault="002D18A7" w:rsidP="002D18A7">
            <w:pPr>
              <w:keepNext/>
              <w:keepLines/>
              <w:rPr>
                <w:rFonts w:ascii="Arial Narrow" w:hAnsi="Arial Narrow"/>
                <w:sz w:val="20"/>
                <w:szCs w:val="20"/>
              </w:rPr>
            </w:pPr>
            <w:r w:rsidRPr="00BB4DAB">
              <w:rPr>
                <w:rStyle w:val="CommentReference"/>
                <w:b w:val="0"/>
                <w:szCs w:val="20"/>
              </w:rPr>
              <w:t>Gompertz (best fit AIC, BIC for tori)</w:t>
            </w:r>
          </w:p>
        </w:tc>
        <w:tc>
          <w:tcPr>
            <w:tcW w:w="1275" w:type="dxa"/>
            <w:shd w:val="solid" w:color="000000" w:fill="000000"/>
            <w:vAlign w:val="center"/>
          </w:tcPr>
          <w:p w14:paraId="7CA7704A" w14:textId="584CE027" w:rsidR="002D18A7" w:rsidRPr="00BB4DAB" w:rsidRDefault="0016738C" w:rsidP="002D18A7">
            <w:pPr>
              <w:keepNext/>
              <w:keepLines/>
              <w:jc w:val="center"/>
              <w:rPr>
                <w:rFonts w:ascii="Arial Narrow" w:hAnsi="Arial Narrow"/>
                <w:sz w:val="20"/>
                <w:szCs w:val="20"/>
              </w:rPr>
            </w:pPr>
            <w:r>
              <w:rPr>
                <w:rStyle w:val="CommentReference"/>
                <w:rFonts w:hint="eastAsia"/>
                <w:b w:val="0"/>
                <w:color w:val="000000"/>
                <w:w w:val="15"/>
                <w:szCs w:val="20"/>
                <w:fitText w:val="20" w:id="-694443765"/>
                <w14:textFill>
                  <w14:solidFill>
                    <w14:srgbClr w14:val="000000">
                      <w14:alpha w14:val="100000"/>
                    </w14:srgbClr>
                  </w14:solidFill>
                </w14:textFill>
              </w:rPr>
              <w:t xml:space="preserve">　</w:t>
            </w:r>
            <w:r>
              <w:rPr>
                <w:rStyle w:val="CommentReference"/>
                <w:b w:val="0"/>
                <w:color w:val="000000"/>
                <w:w w:val="15"/>
                <w:szCs w:val="20"/>
                <w:fitText w:val="20" w:id="-694443765"/>
                <w14:textFill>
                  <w14:solidFill>
                    <w14:srgbClr w14:val="000000">
                      <w14:alpha w14:val="100000"/>
                    </w14:srgbClr>
                  </w14:solidFill>
                </w14:textFill>
              </w:rPr>
              <w:t>|</w:t>
            </w:r>
            <w:r>
              <w:rPr>
                <w:rStyle w:val="CommentReference"/>
                <w:rFonts w:hint="eastAsia"/>
                <w:b w:val="0"/>
                <w:color w:val="000000"/>
                <w:spacing w:val="-46"/>
                <w:w w:val="15"/>
                <w:szCs w:val="20"/>
                <w:fitText w:val="20" w:id="-694443765"/>
                <w14:textFill>
                  <w14:solidFill>
                    <w14:srgbClr w14:val="000000">
                      <w14:alpha w14:val="100000"/>
                    </w14:srgbClr>
                  </w14:solidFill>
                </w14:textFill>
              </w:rPr>
              <w:t xml:space="preserve">　</w:t>
            </w:r>
          </w:p>
        </w:tc>
        <w:tc>
          <w:tcPr>
            <w:tcW w:w="1275" w:type="dxa"/>
            <w:vAlign w:val="center"/>
          </w:tcPr>
          <w:p w14:paraId="3E8BBF4B" w14:textId="47724848" w:rsidR="002D18A7" w:rsidRPr="00BB4DAB" w:rsidRDefault="002D18A7" w:rsidP="002D18A7">
            <w:pPr>
              <w:keepNext/>
              <w:keepLines/>
              <w:jc w:val="center"/>
              <w:rPr>
                <w:rFonts w:ascii="Arial Narrow" w:hAnsi="Arial Narrow"/>
                <w:sz w:val="20"/>
                <w:szCs w:val="20"/>
              </w:rPr>
            </w:pPr>
            <w:r w:rsidRPr="00BB4DAB">
              <w:rPr>
                <w:rStyle w:val="CommentReference"/>
                <w:b w:val="0"/>
                <w:szCs w:val="20"/>
              </w:rPr>
              <w:t>0.415</w:t>
            </w:r>
          </w:p>
        </w:tc>
        <w:tc>
          <w:tcPr>
            <w:tcW w:w="1337" w:type="dxa"/>
            <w:vAlign w:val="center"/>
          </w:tcPr>
          <w:p w14:paraId="12367631" w14:textId="6D89E3EC" w:rsidR="002D18A7" w:rsidRPr="00F043C4" w:rsidRDefault="0016738C" w:rsidP="002D18A7">
            <w:pPr>
              <w:keepNext/>
              <w:keepLines/>
              <w:jc w:val="center"/>
              <w:rPr>
                <w:rFonts w:ascii="Arial Narrow" w:hAnsi="Arial Narrow"/>
                <w:sz w:val="20"/>
                <w:szCs w:val="20"/>
                <w:highlight w:val="darkGray"/>
              </w:rPr>
            </w:pPr>
            <w:r>
              <w:rPr>
                <w:rStyle w:val="CommentReference"/>
                <w:rFonts w:hint="eastAsia"/>
                <w:b w:val="0"/>
                <w:color w:val="000000"/>
                <w:w w:val="15"/>
                <w:szCs w:val="20"/>
                <w:shd w:val="solid" w:color="000000" w:fill="000000"/>
                <w:fitText w:val="20" w:id="-694443764"/>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64"/>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64"/>
                <w14:textFill>
                  <w14:solidFill>
                    <w14:srgbClr w14:val="000000">
                      <w14:alpha w14:val="100000"/>
                    </w14:srgbClr>
                  </w14:solidFill>
                </w14:textFill>
              </w:rPr>
              <w:t xml:space="preserve">　</w:t>
            </w:r>
            <w:r w:rsidR="00930B76" w:rsidRPr="00930B76">
              <w:rPr>
                <w:rStyle w:val="CommentReference"/>
                <w:b w:val="0"/>
                <w:szCs w:val="20"/>
                <w:vertAlign w:val="superscript"/>
              </w:rPr>
              <w:t>5</w:t>
            </w:r>
          </w:p>
        </w:tc>
        <w:tc>
          <w:tcPr>
            <w:tcW w:w="2895" w:type="dxa"/>
            <w:vAlign w:val="center"/>
          </w:tcPr>
          <w:p w14:paraId="4E60F663" w14:textId="749D82FF" w:rsidR="002D18A7" w:rsidRPr="00BB4DAB" w:rsidRDefault="002D18A7" w:rsidP="002D18A7">
            <w:pPr>
              <w:keepNext/>
              <w:keepLines/>
              <w:jc w:val="center"/>
              <w:rPr>
                <w:rFonts w:ascii="Arial Narrow" w:hAnsi="Arial Narrow"/>
                <w:sz w:val="20"/>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2D18A7" w:rsidRPr="00BB4DAB" w14:paraId="3FD8F7E0" w14:textId="77777777" w:rsidTr="00742110">
        <w:tc>
          <w:tcPr>
            <w:tcW w:w="9017" w:type="dxa"/>
            <w:gridSpan w:val="5"/>
          </w:tcPr>
          <w:p w14:paraId="4C49A202" w14:textId="757E957C" w:rsidR="002D18A7" w:rsidRPr="00BB4DAB" w:rsidRDefault="002D18A7" w:rsidP="002D18A7">
            <w:pPr>
              <w:keepNext/>
              <w:keepLines/>
              <w:jc w:val="left"/>
              <w:rPr>
                <w:rFonts w:ascii="Arial Narrow" w:hAnsi="Arial Narrow"/>
                <w:b/>
                <w:bCs/>
                <w:sz w:val="20"/>
                <w:szCs w:val="20"/>
              </w:rPr>
            </w:pPr>
            <w:r w:rsidRPr="00BB4DAB">
              <w:rPr>
                <w:rFonts w:ascii="Arial Narrow" w:hAnsi="Arial Narrow"/>
                <w:b/>
                <w:bCs/>
                <w:sz w:val="20"/>
                <w:szCs w:val="20"/>
              </w:rPr>
              <w:t>Health state utilities (PF 0.79 and PD 0.71 in base case)</w:t>
            </w:r>
          </w:p>
        </w:tc>
      </w:tr>
      <w:tr w:rsidR="002D18A7" w:rsidRPr="00BB4DAB" w14:paraId="4C402D56" w14:textId="77777777" w:rsidTr="0016738C">
        <w:tc>
          <w:tcPr>
            <w:tcW w:w="2235" w:type="dxa"/>
          </w:tcPr>
          <w:p w14:paraId="5427EE60" w14:textId="0DC8A412" w:rsidR="002D18A7" w:rsidRPr="00BB4DAB" w:rsidRDefault="002D18A7" w:rsidP="002D18A7">
            <w:pPr>
              <w:keepNext/>
              <w:keepLines/>
              <w:ind w:left="22" w:hanging="22"/>
              <w:rPr>
                <w:rFonts w:ascii="Arial Narrow" w:hAnsi="Arial Narrow"/>
                <w:sz w:val="20"/>
                <w:szCs w:val="20"/>
              </w:rPr>
            </w:pPr>
            <w:r w:rsidRPr="00BB4DAB">
              <w:rPr>
                <w:rStyle w:val="CommentReference"/>
                <w:b w:val="0"/>
                <w:szCs w:val="20"/>
              </w:rPr>
              <w:t>PF 0.76, PD 0.35 (Nie 2024)</w:t>
            </w:r>
            <w:r w:rsidR="00310B96">
              <w:rPr>
                <w:rStyle w:val="CommentReference"/>
                <w:b w:val="0"/>
                <w:szCs w:val="20"/>
              </w:rPr>
              <w:t xml:space="preserve"> </w:t>
            </w:r>
          </w:p>
        </w:tc>
        <w:tc>
          <w:tcPr>
            <w:tcW w:w="1275" w:type="dxa"/>
            <w:tcBorders>
              <w:bottom w:val="single" w:sz="4" w:space="0" w:color="auto"/>
            </w:tcBorders>
            <w:shd w:val="solid" w:color="000000" w:fill="000000"/>
            <w:vAlign w:val="center"/>
          </w:tcPr>
          <w:p w14:paraId="1AF0C406" w14:textId="23C64D93" w:rsidR="002D18A7" w:rsidRPr="00B92B0E" w:rsidRDefault="0016738C" w:rsidP="002D18A7">
            <w:pPr>
              <w:keepNext/>
              <w:keepLines/>
              <w:jc w:val="center"/>
              <w:rPr>
                <w:rFonts w:ascii="Arial Narrow" w:hAnsi="Arial Narrow"/>
                <w:sz w:val="20"/>
                <w:szCs w:val="20"/>
                <w:highlight w:val="darkGray"/>
              </w:rPr>
            </w:pPr>
            <w:r>
              <w:rPr>
                <w:rStyle w:val="CommentReference"/>
                <w:rFonts w:hint="eastAsia"/>
                <w:b w:val="0"/>
                <w:color w:val="000000"/>
                <w:w w:val="15"/>
                <w:szCs w:val="20"/>
                <w:fitText w:val="20" w:id="-694443763"/>
                <w14:textFill>
                  <w14:solidFill>
                    <w14:srgbClr w14:val="000000">
                      <w14:alpha w14:val="100000"/>
                    </w14:srgbClr>
                  </w14:solidFill>
                </w14:textFill>
              </w:rPr>
              <w:t xml:space="preserve">　</w:t>
            </w:r>
            <w:r>
              <w:rPr>
                <w:rStyle w:val="CommentReference"/>
                <w:b w:val="0"/>
                <w:color w:val="000000"/>
                <w:w w:val="15"/>
                <w:szCs w:val="20"/>
                <w:fitText w:val="20" w:id="-694443763"/>
                <w14:textFill>
                  <w14:solidFill>
                    <w14:srgbClr w14:val="000000">
                      <w14:alpha w14:val="100000"/>
                    </w14:srgbClr>
                  </w14:solidFill>
                </w14:textFill>
              </w:rPr>
              <w:t>|</w:t>
            </w:r>
            <w:r>
              <w:rPr>
                <w:rStyle w:val="CommentReference"/>
                <w:rFonts w:hint="eastAsia"/>
                <w:b w:val="0"/>
                <w:color w:val="000000"/>
                <w:spacing w:val="-46"/>
                <w:w w:val="15"/>
                <w:szCs w:val="20"/>
                <w:fitText w:val="20" w:id="-694443763"/>
                <w14:textFill>
                  <w14:solidFill>
                    <w14:srgbClr w14:val="000000">
                      <w14:alpha w14:val="100000"/>
                    </w14:srgbClr>
                  </w14:solidFill>
                </w14:textFill>
              </w:rPr>
              <w:t xml:space="preserve">　</w:t>
            </w:r>
          </w:p>
        </w:tc>
        <w:tc>
          <w:tcPr>
            <w:tcW w:w="1275" w:type="dxa"/>
            <w:vAlign w:val="center"/>
          </w:tcPr>
          <w:p w14:paraId="219CEA48" w14:textId="6DE0B328" w:rsidR="002D18A7" w:rsidRPr="00BB4DAB" w:rsidRDefault="002D18A7" w:rsidP="002D18A7">
            <w:pPr>
              <w:keepNext/>
              <w:keepLines/>
              <w:jc w:val="center"/>
              <w:rPr>
                <w:rFonts w:ascii="Arial Narrow" w:hAnsi="Arial Narrow"/>
                <w:sz w:val="20"/>
                <w:szCs w:val="20"/>
              </w:rPr>
            </w:pPr>
            <w:r w:rsidRPr="00BB4DAB">
              <w:rPr>
                <w:rStyle w:val="CommentReference"/>
                <w:b w:val="0"/>
                <w:szCs w:val="20"/>
              </w:rPr>
              <w:t>1.138</w:t>
            </w:r>
          </w:p>
        </w:tc>
        <w:tc>
          <w:tcPr>
            <w:tcW w:w="1337" w:type="dxa"/>
            <w:vAlign w:val="center"/>
          </w:tcPr>
          <w:p w14:paraId="1BD4864E" w14:textId="6FD5DBE5" w:rsidR="002D18A7" w:rsidRPr="00F043C4" w:rsidRDefault="0016738C" w:rsidP="002D18A7">
            <w:pPr>
              <w:keepNext/>
              <w:keepLines/>
              <w:jc w:val="center"/>
              <w:rPr>
                <w:rFonts w:ascii="Arial Narrow" w:hAnsi="Arial Narrow"/>
                <w:sz w:val="20"/>
                <w:szCs w:val="20"/>
                <w:highlight w:val="darkGray"/>
              </w:rPr>
            </w:pPr>
            <w:r>
              <w:rPr>
                <w:rStyle w:val="CommentReference"/>
                <w:rFonts w:hint="eastAsia"/>
                <w:b w:val="0"/>
                <w:color w:val="000000"/>
                <w:w w:val="15"/>
                <w:szCs w:val="20"/>
                <w:shd w:val="solid" w:color="000000" w:fill="000000"/>
                <w:fitText w:val="20" w:id="-694443762"/>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62"/>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62"/>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vAlign w:val="center"/>
          </w:tcPr>
          <w:p w14:paraId="43311003" w14:textId="65C3BB8F" w:rsidR="002D18A7" w:rsidRPr="00BB4DAB" w:rsidRDefault="002D18A7" w:rsidP="002D18A7">
            <w:pPr>
              <w:keepNext/>
              <w:keepLines/>
              <w:jc w:val="center"/>
              <w:rPr>
                <w:rFonts w:ascii="Arial Narrow" w:hAnsi="Arial Narrow"/>
                <w:sz w:val="20"/>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2D18A7" w:rsidRPr="00BB4DAB" w14:paraId="281D1C3C" w14:textId="77777777" w:rsidTr="0016738C">
        <w:tc>
          <w:tcPr>
            <w:tcW w:w="2235" w:type="dxa"/>
          </w:tcPr>
          <w:p w14:paraId="2FFD9D51" w14:textId="22054E4B" w:rsidR="002D18A7" w:rsidRPr="00BB4DAB" w:rsidRDefault="002D18A7" w:rsidP="002D18A7">
            <w:pPr>
              <w:keepNext/>
              <w:keepLines/>
              <w:ind w:left="22" w:hanging="22"/>
              <w:rPr>
                <w:rFonts w:ascii="Arial Narrow" w:hAnsi="Arial Narrow"/>
                <w:sz w:val="20"/>
                <w:szCs w:val="20"/>
              </w:rPr>
            </w:pPr>
            <w:r w:rsidRPr="00BB4DAB">
              <w:rPr>
                <w:rStyle w:val="CommentReference"/>
                <w:b w:val="0"/>
                <w:szCs w:val="20"/>
              </w:rPr>
              <w:t>PF 0.65, PD 0.52 (Zhu 2022)</w:t>
            </w:r>
          </w:p>
        </w:tc>
        <w:tc>
          <w:tcPr>
            <w:tcW w:w="1275" w:type="dxa"/>
            <w:shd w:val="solid" w:color="000000" w:fill="000000"/>
            <w:vAlign w:val="center"/>
          </w:tcPr>
          <w:p w14:paraId="2F88ED17" w14:textId="162B21FA" w:rsidR="002D18A7" w:rsidRPr="00B92B0E" w:rsidRDefault="0016738C" w:rsidP="002D18A7">
            <w:pPr>
              <w:keepNext/>
              <w:keepLines/>
              <w:jc w:val="center"/>
              <w:rPr>
                <w:rFonts w:ascii="Arial Narrow" w:hAnsi="Arial Narrow"/>
                <w:sz w:val="20"/>
                <w:szCs w:val="20"/>
                <w:highlight w:val="darkGray"/>
              </w:rPr>
            </w:pPr>
            <w:r>
              <w:rPr>
                <w:rStyle w:val="CommentReference"/>
                <w:rFonts w:hint="eastAsia"/>
                <w:b w:val="0"/>
                <w:color w:val="000000"/>
                <w:w w:val="15"/>
                <w:szCs w:val="20"/>
                <w:fitText w:val="20" w:id="-694443761"/>
                <w14:textFill>
                  <w14:solidFill>
                    <w14:srgbClr w14:val="000000">
                      <w14:alpha w14:val="100000"/>
                    </w14:srgbClr>
                  </w14:solidFill>
                </w14:textFill>
              </w:rPr>
              <w:t xml:space="preserve">　</w:t>
            </w:r>
            <w:r>
              <w:rPr>
                <w:rStyle w:val="CommentReference"/>
                <w:b w:val="0"/>
                <w:color w:val="000000"/>
                <w:w w:val="15"/>
                <w:szCs w:val="20"/>
                <w:fitText w:val="20" w:id="-694443761"/>
                <w14:textFill>
                  <w14:solidFill>
                    <w14:srgbClr w14:val="000000">
                      <w14:alpha w14:val="100000"/>
                    </w14:srgbClr>
                  </w14:solidFill>
                </w14:textFill>
              </w:rPr>
              <w:t>|</w:t>
            </w:r>
            <w:r>
              <w:rPr>
                <w:rStyle w:val="CommentReference"/>
                <w:rFonts w:hint="eastAsia"/>
                <w:b w:val="0"/>
                <w:color w:val="000000"/>
                <w:spacing w:val="-46"/>
                <w:w w:val="15"/>
                <w:szCs w:val="20"/>
                <w:fitText w:val="20" w:id="-694443761"/>
                <w14:textFill>
                  <w14:solidFill>
                    <w14:srgbClr w14:val="000000">
                      <w14:alpha w14:val="100000"/>
                    </w14:srgbClr>
                  </w14:solidFill>
                </w14:textFill>
              </w:rPr>
              <w:t xml:space="preserve">　</w:t>
            </w:r>
          </w:p>
        </w:tc>
        <w:tc>
          <w:tcPr>
            <w:tcW w:w="1275" w:type="dxa"/>
            <w:vAlign w:val="center"/>
          </w:tcPr>
          <w:p w14:paraId="32FC5BD4" w14:textId="58373F75" w:rsidR="002D18A7" w:rsidRPr="00BB4DAB" w:rsidRDefault="002D18A7" w:rsidP="002D18A7">
            <w:pPr>
              <w:keepNext/>
              <w:keepLines/>
              <w:jc w:val="center"/>
              <w:rPr>
                <w:rFonts w:ascii="Arial Narrow" w:hAnsi="Arial Narrow"/>
                <w:sz w:val="20"/>
                <w:szCs w:val="20"/>
              </w:rPr>
            </w:pPr>
            <w:r w:rsidRPr="00BB4DAB">
              <w:rPr>
                <w:rStyle w:val="CommentReference"/>
                <w:b w:val="0"/>
                <w:szCs w:val="20"/>
              </w:rPr>
              <w:t>0.996</w:t>
            </w:r>
          </w:p>
        </w:tc>
        <w:tc>
          <w:tcPr>
            <w:tcW w:w="1337" w:type="dxa"/>
            <w:vAlign w:val="center"/>
          </w:tcPr>
          <w:p w14:paraId="165BB101" w14:textId="5EA552A4" w:rsidR="002D18A7" w:rsidRPr="00F043C4" w:rsidRDefault="0016738C" w:rsidP="002D18A7">
            <w:pPr>
              <w:keepNext/>
              <w:keepLines/>
              <w:jc w:val="center"/>
              <w:rPr>
                <w:rFonts w:ascii="Arial Narrow" w:hAnsi="Arial Narrow"/>
                <w:sz w:val="20"/>
                <w:szCs w:val="20"/>
                <w:highlight w:val="darkGray"/>
              </w:rPr>
            </w:pPr>
            <w:r>
              <w:rPr>
                <w:rStyle w:val="CommentReference"/>
                <w:rFonts w:hint="eastAsia"/>
                <w:b w:val="0"/>
                <w:color w:val="000000"/>
                <w:w w:val="15"/>
                <w:szCs w:val="20"/>
                <w:shd w:val="solid" w:color="000000" w:fill="000000"/>
                <w:fitText w:val="20" w:id="-694443760"/>
                <w14:textFill>
                  <w14:solidFill>
                    <w14:srgbClr w14:val="000000">
                      <w14:alpha w14:val="100000"/>
                    </w14:srgbClr>
                  </w14:solidFill>
                </w14:textFill>
              </w:rPr>
              <w:t xml:space="preserve">　</w:t>
            </w:r>
            <w:r>
              <w:rPr>
                <w:rStyle w:val="CommentReference"/>
                <w:b w:val="0"/>
                <w:color w:val="000000"/>
                <w:w w:val="15"/>
                <w:szCs w:val="20"/>
                <w:shd w:val="solid" w:color="000000" w:fill="000000"/>
                <w:fitText w:val="20" w:id="-694443760"/>
                <w14:textFill>
                  <w14:solidFill>
                    <w14:srgbClr w14:val="000000">
                      <w14:alpha w14:val="100000"/>
                    </w14:srgbClr>
                  </w14:solidFill>
                </w14:textFill>
              </w:rPr>
              <w:t>|</w:t>
            </w:r>
            <w:r>
              <w:rPr>
                <w:rStyle w:val="CommentReference"/>
                <w:rFonts w:hint="eastAsia"/>
                <w:b w:val="0"/>
                <w:color w:val="000000"/>
                <w:spacing w:val="-46"/>
                <w:w w:val="15"/>
                <w:szCs w:val="20"/>
                <w:shd w:val="solid" w:color="000000" w:fill="000000"/>
                <w:fitText w:val="20" w:id="-694443760"/>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vAlign w:val="center"/>
          </w:tcPr>
          <w:p w14:paraId="56A236CC" w14:textId="65723F49" w:rsidR="002D18A7" w:rsidRPr="00BB4DAB" w:rsidRDefault="002D18A7" w:rsidP="002D18A7">
            <w:pPr>
              <w:keepNext/>
              <w:keepLines/>
              <w:jc w:val="center"/>
              <w:rPr>
                <w:rFonts w:ascii="Arial Narrow" w:hAnsi="Arial Narrow"/>
                <w:sz w:val="20"/>
                <w:szCs w:val="20"/>
              </w:rPr>
            </w:pPr>
            <w:r w:rsidRPr="00BB4DAB">
              <w:rPr>
                <w:rStyle w:val="CommentReference"/>
                <w:b w:val="0"/>
                <w:szCs w:val="20"/>
              </w:rPr>
              <w:t>+</w:t>
            </w:r>
            <w:r w:rsidR="0016738C" w:rsidRPr="0016738C">
              <w:rPr>
                <w:rStyle w:val="CommentReference"/>
                <w:b w:val="0"/>
                <w:color w:val="000000"/>
                <w:szCs w:val="20"/>
                <w:shd w:val="solid" w:color="000000" w:fill="000000"/>
                <w14:textFill>
                  <w14:solidFill>
                    <w14:srgbClr w14:val="000000">
                      <w14:alpha w14:val="100000"/>
                    </w14:srgbClr>
                  </w14:solidFill>
                </w14:textFill>
              </w:rPr>
              <w:t>|</w:t>
            </w:r>
            <w:r w:rsidRPr="00BB4DAB">
              <w:rPr>
                <w:rStyle w:val="CommentReference"/>
                <w:b w:val="0"/>
                <w:szCs w:val="20"/>
              </w:rPr>
              <w:t>%</w:t>
            </w:r>
          </w:p>
        </w:tc>
      </w:tr>
      <w:tr w:rsidR="002D18A7" w:rsidRPr="00BB4DAB" w14:paraId="1F8F845F" w14:textId="77777777" w:rsidTr="00FA6E20">
        <w:tc>
          <w:tcPr>
            <w:tcW w:w="9017" w:type="dxa"/>
            <w:gridSpan w:val="5"/>
            <w:vAlign w:val="center"/>
          </w:tcPr>
          <w:p w14:paraId="79111640" w14:textId="0DB58079" w:rsidR="002D18A7" w:rsidRPr="00BB4DAB" w:rsidRDefault="002D18A7" w:rsidP="002D18A7">
            <w:pPr>
              <w:keepNext/>
              <w:keepLines/>
              <w:ind w:left="720" w:hanging="720"/>
              <w:jc w:val="left"/>
              <w:rPr>
                <w:rStyle w:val="CommentReference"/>
                <w:bCs/>
                <w:szCs w:val="20"/>
              </w:rPr>
            </w:pPr>
            <w:r w:rsidRPr="00BB4DAB">
              <w:rPr>
                <w:rStyle w:val="CommentReference"/>
                <w:bCs/>
                <w:szCs w:val="20"/>
              </w:rPr>
              <w:t>T</w:t>
            </w:r>
            <w:r w:rsidRPr="00BB4DAB">
              <w:rPr>
                <w:rStyle w:val="CommentReference"/>
                <w:bCs/>
              </w:rPr>
              <w:t>erminal care costs ($62,676 in base case)</w:t>
            </w:r>
          </w:p>
        </w:tc>
      </w:tr>
      <w:tr w:rsidR="002D18A7" w:rsidRPr="00BB4DAB" w14:paraId="54D91C63" w14:textId="77777777" w:rsidTr="0016738C">
        <w:tc>
          <w:tcPr>
            <w:tcW w:w="2235" w:type="dxa"/>
          </w:tcPr>
          <w:p w14:paraId="6171C118" w14:textId="4C1A4E16" w:rsidR="002D18A7" w:rsidRPr="00BB4DAB" w:rsidRDefault="002D18A7" w:rsidP="002D18A7">
            <w:pPr>
              <w:keepNext/>
              <w:keepLines/>
              <w:rPr>
                <w:rStyle w:val="CommentReference"/>
                <w:b w:val="0"/>
                <w:szCs w:val="20"/>
              </w:rPr>
            </w:pPr>
            <w:r w:rsidRPr="00BB4DAB">
              <w:rPr>
                <w:rStyle w:val="CommentReference"/>
                <w:b w:val="0"/>
                <w:szCs w:val="20"/>
              </w:rPr>
              <w:t>Exclude</w:t>
            </w:r>
            <w:r w:rsidR="000310FF" w:rsidRPr="00BB4DAB">
              <w:rPr>
                <w:rStyle w:val="CommentReference"/>
                <w:b w:val="0"/>
                <w:szCs w:val="20"/>
              </w:rPr>
              <w:t xml:space="preserve"> </w:t>
            </w:r>
            <w:r w:rsidR="00742193" w:rsidRPr="00BB4DAB">
              <w:rPr>
                <w:rStyle w:val="CommentReference"/>
                <w:bCs/>
                <w:szCs w:val="20"/>
              </w:rPr>
              <w:t>#</w:t>
            </w:r>
            <w:r w:rsidR="00A84367" w:rsidRPr="00BB4DAB">
              <w:rPr>
                <w:rStyle w:val="CommentReference"/>
                <w:bCs/>
                <w:szCs w:val="20"/>
              </w:rPr>
              <w:t>4</w:t>
            </w:r>
          </w:p>
        </w:tc>
        <w:tc>
          <w:tcPr>
            <w:tcW w:w="1275" w:type="dxa"/>
            <w:shd w:val="solid" w:color="000000" w:fill="000000"/>
            <w:vAlign w:val="center"/>
          </w:tcPr>
          <w:p w14:paraId="64099CBE" w14:textId="65B88DD7" w:rsidR="002D18A7" w:rsidRPr="00BB4DAB" w:rsidRDefault="0016738C" w:rsidP="002D18A7">
            <w:pPr>
              <w:keepNext/>
              <w:keepLines/>
              <w:jc w:val="center"/>
              <w:rPr>
                <w:rStyle w:val="CommentReference"/>
                <w:b w:val="0"/>
                <w:szCs w:val="20"/>
              </w:rPr>
            </w:pPr>
            <w:r>
              <w:rPr>
                <w:rStyle w:val="CommentReference"/>
                <w:rFonts w:hint="eastAsia"/>
                <w:b w:val="0"/>
                <w:color w:val="000000"/>
                <w:w w:val="15"/>
                <w:szCs w:val="24"/>
                <w:fitText w:val="20" w:id="-694443776"/>
                <w14:textFill>
                  <w14:solidFill>
                    <w14:srgbClr w14:val="000000">
                      <w14:alpha w14:val="100000"/>
                    </w14:srgbClr>
                  </w14:solidFill>
                </w14:textFill>
              </w:rPr>
              <w:t xml:space="preserve">　</w:t>
            </w:r>
            <w:r>
              <w:rPr>
                <w:rStyle w:val="CommentReference"/>
                <w:b w:val="0"/>
                <w:color w:val="000000"/>
                <w:w w:val="15"/>
                <w:szCs w:val="24"/>
                <w:fitText w:val="20" w:id="-694443776"/>
                <w14:textFill>
                  <w14:solidFill>
                    <w14:srgbClr w14:val="000000">
                      <w14:alpha w14:val="100000"/>
                    </w14:srgbClr>
                  </w14:solidFill>
                </w14:textFill>
              </w:rPr>
              <w:t>|</w:t>
            </w:r>
            <w:r>
              <w:rPr>
                <w:rStyle w:val="CommentReference"/>
                <w:rFonts w:hint="eastAsia"/>
                <w:b w:val="0"/>
                <w:color w:val="000000"/>
                <w:spacing w:val="-46"/>
                <w:w w:val="15"/>
                <w:szCs w:val="24"/>
                <w:fitText w:val="20" w:id="-694443776"/>
                <w14:textFill>
                  <w14:solidFill>
                    <w14:srgbClr w14:val="000000">
                      <w14:alpha w14:val="100000"/>
                    </w14:srgbClr>
                  </w14:solidFill>
                </w14:textFill>
              </w:rPr>
              <w:t xml:space="preserve">　</w:t>
            </w:r>
          </w:p>
        </w:tc>
        <w:tc>
          <w:tcPr>
            <w:tcW w:w="1275" w:type="dxa"/>
            <w:vAlign w:val="center"/>
          </w:tcPr>
          <w:p w14:paraId="5FCF1BDC" w14:textId="19995F6C" w:rsidR="002D18A7" w:rsidRPr="00BB4DAB" w:rsidRDefault="002D18A7" w:rsidP="002D18A7">
            <w:pPr>
              <w:keepNext/>
              <w:keepLines/>
              <w:jc w:val="center"/>
              <w:rPr>
                <w:rStyle w:val="CommentReference"/>
                <w:b w:val="0"/>
                <w:szCs w:val="20"/>
              </w:rPr>
            </w:pPr>
            <w:r w:rsidRPr="00BB4DAB">
              <w:rPr>
                <w:rStyle w:val="CommentReference"/>
                <w:b w:val="0"/>
                <w:szCs w:val="24"/>
              </w:rPr>
              <w:t>1.220</w:t>
            </w:r>
          </w:p>
        </w:tc>
        <w:tc>
          <w:tcPr>
            <w:tcW w:w="1337" w:type="dxa"/>
            <w:vAlign w:val="center"/>
          </w:tcPr>
          <w:p w14:paraId="276CA3E9" w14:textId="69B2570E" w:rsidR="002D18A7" w:rsidRPr="00BB4DAB" w:rsidRDefault="0016738C" w:rsidP="002D18A7">
            <w:pPr>
              <w:keepNext/>
              <w:keepLines/>
              <w:jc w:val="center"/>
              <w:rPr>
                <w:rStyle w:val="CommentReference"/>
                <w:b w:val="0"/>
                <w:szCs w:val="20"/>
              </w:rPr>
            </w:pPr>
            <w:r>
              <w:rPr>
                <w:rStyle w:val="CommentReference"/>
                <w:rFonts w:hint="eastAsia"/>
                <w:b w:val="0"/>
                <w:color w:val="000000"/>
                <w:w w:val="15"/>
                <w:szCs w:val="24"/>
                <w:shd w:val="solid" w:color="000000" w:fill="000000"/>
                <w:fitText w:val="20" w:id="-694443775"/>
                <w14:textFill>
                  <w14:solidFill>
                    <w14:srgbClr w14:val="000000">
                      <w14:alpha w14:val="100000"/>
                    </w14:srgbClr>
                  </w14:solidFill>
                </w14:textFill>
              </w:rPr>
              <w:t xml:space="preserve">　</w:t>
            </w:r>
            <w:r>
              <w:rPr>
                <w:rStyle w:val="CommentReference"/>
                <w:b w:val="0"/>
                <w:color w:val="000000"/>
                <w:w w:val="15"/>
                <w:szCs w:val="24"/>
                <w:shd w:val="solid" w:color="000000" w:fill="000000"/>
                <w:fitText w:val="20" w:id="-694443775"/>
                <w14:textFill>
                  <w14:solidFill>
                    <w14:srgbClr w14:val="000000">
                      <w14:alpha w14:val="100000"/>
                    </w14:srgbClr>
                  </w14:solidFill>
                </w14:textFill>
              </w:rPr>
              <w:t>|</w:t>
            </w:r>
            <w:r>
              <w:rPr>
                <w:rStyle w:val="CommentReference"/>
                <w:rFonts w:hint="eastAsia"/>
                <w:b w:val="0"/>
                <w:color w:val="000000"/>
                <w:spacing w:val="-46"/>
                <w:w w:val="15"/>
                <w:szCs w:val="24"/>
                <w:shd w:val="solid" w:color="000000" w:fill="000000"/>
                <w:fitText w:val="20" w:id="-694443775"/>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vAlign w:val="center"/>
          </w:tcPr>
          <w:p w14:paraId="0DD8E515" w14:textId="009C3730" w:rsidR="002D18A7" w:rsidRPr="00BB4DAB" w:rsidRDefault="002D18A7" w:rsidP="002D18A7">
            <w:pPr>
              <w:keepNext/>
              <w:keepLines/>
              <w:jc w:val="center"/>
              <w:rPr>
                <w:rStyle w:val="CommentReference"/>
                <w:b w:val="0"/>
                <w:szCs w:val="20"/>
              </w:rPr>
            </w:pPr>
            <w:r w:rsidRPr="00BB4DAB">
              <w:rPr>
                <w:rStyle w:val="CommentReference"/>
                <w:b w:val="0"/>
                <w:szCs w:val="24"/>
              </w:rPr>
              <w:t>+</w:t>
            </w:r>
            <w:r w:rsidR="0016738C" w:rsidRPr="0016738C">
              <w:rPr>
                <w:rStyle w:val="CommentReference"/>
                <w:b w:val="0"/>
                <w:color w:val="000000"/>
                <w:szCs w:val="24"/>
                <w:shd w:val="solid" w:color="000000" w:fill="000000"/>
                <w14:textFill>
                  <w14:solidFill>
                    <w14:srgbClr w14:val="000000">
                      <w14:alpha w14:val="100000"/>
                    </w14:srgbClr>
                  </w14:solidFill>
                </w14:textFill>
              </w:rPr>
              <w:t>|</w:t>
            </w:r>
            <w:r w:rsidRPr="00BB4DAB">
              <w:rPr>
                <w:rStyle w:val="CommentReference"/>
                <w:b w:val="0"/>
                <w:szCs w:val="24"/>
              </w:rPr>
              <w:t>%</w:t>
            </w:r>
          </w:p>
        </w:tc>
      </w:tr>
      <w:tr w:rsidR="002D18A7" w:rsidRPr="00BB4DAB" w14:paraId="632CC8CD" w14:textId="77777777" w:rsidTr="00FA6E20">
        <w:tc>
          <w:tcPr>
            <w:tcW w:w="9017" w:type="dxa"/>
            <w:gridSpan w:val="5"/>
            <w:vAlign w:val="center"/>
          </w:tcPr>
          <w:p w14:paraId="0F55A1CC" w14:textId="2FD9EC2F" w:rsidR="002D18A7" w:rsidRPr="00BB4DAB" w:rsidRDefault="002D18A7" w:rsidP="002D18A7">
            <w:pPr>
              <w:keepNext/>
              <w:keepLines/>
              <w:jc w:val="left"/>
              <w:rPr>
                <w:rStyle w:val="CommentReference"/>
                <w:bCs/>
                <w:szCs w:val="20"/>
              </w:rPr>
            </w:pPr>
            <w:r w:rsidRPr="00BB4DAB">
              <w:rPr>
                <w:rStyle w:val="CommentReference"/>
                <w:bCs/>
                <w:szCs w:val="20"/>
              </w:rPr>
              <w:t>Discounting (5% in base case)</w:t>
            </w:r>
          </w:p>
        </w:tc>
      </w:tr>
      <w:tr w:rsidR="002D18A7" w:rsidRPr="00BB4DAB" w14:paraId="6B36C2CB" w14:textId="77777777" w:rsidTr="0016738C">
        <w:tc>
          <w:tcPr>
            <w:tcW w:w="2235" w:type="dxa"/>
          </w:tcPr>
          <w:p w14:paraId="4BC862C8" w14:textId="2974DFDE" w:rsidR="002D18A7" w:rsidRPr="00BB4DAB" w:rsidRDefault="002D18A7" w:rsidP="002D18A7">
            <w:pPr>
              <w:keepNext/>
              <w:keepLines/>
              <w:rPr>
                <w:rStyle w:val="CommentReference"/>
                <w:b w:val="0"/>
                <w:bCs/>
                <w:szCs w:val="20"/>
              </w:rPr>
            </w:pPr>
            <w:r w:rsidRPr="00BB4DAB">
              <w:rPr>
                <w:rStyle w:val="CommentReference"/>
                <w:b w:val="0"/>
                <w:bCs/>
                <w:szCs w:val="24"/>
              </w:rPr>
              <w:t>3.5%</w:t>
            </w:r>
          </w:p>
        </w:tc>
        <w:tc>
          <w:tcPr>
            <w:tcW w:w="1275" w:type="dxa"/>
            <w:tcBorders>
              <w:bottom w:val="single" w:sz="4" w:space="0" w:color="auto"/>
            </w:tcBorders>
            <w:shd w:val="solid" w:color="000000" w:fill="000000"/>
            <w:vAlign w:val="center"/>
          </w:tcPr>
          <w:p w14:paraId="61827243" w14:textId="1CF8CE9B" w:rsidR="002D18A7" w:rsidRPr="00B92B0E" w:rsidRDefault="0016738C" w:rsidP="002D18A7">
            <w:pPr>
              <w:keepNext/>
              <w:keepLines/>
              <w:jc w:val="center"/>
              <w:rPr>
                <w:rStyle w:val="CommentReference"/>
                <w:b w:val="0"/>
                <w:bCs/>
                <w:szCs w:val="20"/>
                <w:highlight w:val="darkGray"/>
              </w:rPr>
            </w:pPr>
            <w:r>
              <w:rPr>
                <w:rStyle w:val="CommentReference"/>
                <w:rFonts w:hint="eastAsia"/>
                <w:b w:val="0"/>
                <w:bCs/>
                <w:color w:val="000000"/>
                <w:w w:val="15"/>
                <w:szCs w:val="24"/>
                <w:fitText w:val="20" w:id="-694443774"/>
                <w14:textFill>
                  <w14:solidFill>
                    <w14:srgbClr w14:val="000000">
                      <w14:alpha w14:val="100000"/>
                    </w14:srgbClr>
                  </w14:solidFill>
                </w14:textFill>
              </w:rPr>
              <w:t xml:space="preserve">　</w:t>
            </w:r>
            <w:r>
              <w:rPr>
                <w:rStyle w:val="CommentReference"/>
                <w:b w:val="0"/>
                <w:bCs/>
                <w:color w:val="000000"/>
                <w:w w:val="15"/>
                <w:szCs w:val="24"/>
                <w:fitText w:val="20" w:id="-694443774"/>
                <w14:textFill>
                  <w14:solidFill>
                    <w14:srgbClr w14:val="000000">
                      <w14:alpha w14:val="100000"/>
                    </w14:srgbClr>
                  </w14:solidFill>
                </w14:textFill>
              </w:rPr>
              <w:t>|</w:t>
            </w:r>
            <w:r>
              <w:rPr>
                <w:rStyle w:val="CommentReference"/>
                <w:rFonts w:hint="eastAsia"/>
                <w:b w:val="0"/>
                <w:bCs/>
                <w:color w:val="000000"/>
                <w:spacing w:val="-46"/>
                <w:w w:val="15"/>
                <w:szCs w:val="24"/>
                <w:fitText w:val="20" w:id="-694443774"/>
                <w14:textFill>
                  <w14:solidFill>
                    <w14:srgbClr w14:val="000000">
                      <w14:alpha w14:val="100000"/>
                    </w14:srgbClr>
                  </w14:solidFill>
                </w14:textFill>
              </w:rPr>
              <w:t xml:space="preserve">　</w:t>
            </w:r>
          </w:p>
        </w:tc>
        <w:tc>
          <w:tcPr>
            <w:tcW w:w="1275" w:type="dxa"/>
            <w:vAlign w:val="center"/>
          </w:tcPr>
          <w:p w14:paraId="64666BD9" w14:textId="07C380B8" w:rsidR="002D18A7" w:rsidRPr="00BB4DAB" w:rsidRDefault="002D18A7" w:rsidP="002D18A7">
            <w:pPr>
              <w:keepNext/>
              <w:keepLines/>
              <w:jc w:val="center"/>
              <w:rPr>
                <w:rStyle w:val="CommentReference"/>
                <w:b w:val="0"/>
                <w:bCs/>
                <w:szCs w:val="20"/>
              </w:rPr>
            </w:pPr>
            <w:r w:rsidRPr="00BB4DAB">
              <w:rPr>
                <w:rStyle w:val="CommentReference"/>
                <w:b w:val="0"/>
                <w:bCs/>
                <w:szCs w:val="24"/>
              </w:rPr>
              <w:t>1.418</w:t>
            </w:r>
          </w:p>
        </w:tc>
        <w:tc>
          <w:tcPr>
            <w:tcW w:w="1337" w:type="dxa"/>
            <w:vAlign w:val="center"/>
          </w:tcPr>
          <w:p w14:paraId="4844592B" w14:textId="55149415" w:rsidR="002D18A7" w:rsidRPr="00F043C4" w:rsidRDefault="0016738C" w:rsidP="002D18A7">
            <w:pPr>
              <w:keepNext/>
              <w:keepLines/>
              <w:jc w:val="center"/>
              <w:rPr>
                <w:rStyle w:val="CommentReference"/>
                <w:b w:val="0"/>
                <w:bCs/>
                <w:szCs w:val="20"/>
                <w:highlight w:val="darkGray"/>
              </w:rPr>
            </w:pPr>
            <w:r>
              <w:rPr>
                <w:rStyle w:val="CommentReference"/>
                <w:rFonts w:hint="eastAsia"/>
                <w:b w:val="0"/>
                <w:bCs/>
                <w:color w:val="000000"/>
                <w:w w:val="15"/>
                <w:szCs w:val="24"/>
                <w:shd w:val="solid" w:color="000000" w:fill="000000"/>
                <w:fitText w:val="20" w:id="-694443773"/>
                <w14:textFill>
                  <w14:solidFill>
                    <w14:srgbClr w14:val="000000">
                      <w14:alpha w14:val="100000"/>
                    </w14:srgbClr>
                  </w14:solidFill>
                </w14:textFill>
              </w:rPr>
              <w:t xml:space="preserve">　</w:t>
            </w:r>
            <w:r>
              <w:rPr>
                <w:rStyle w:val="CommentReference"/>
                <w:b w:val="0"/>
                <w:bCs/>
                <w:color w:val="000000"/>
                <w:w w:val="15"/>
                <w:szCs w:val="24"/>
                <w:shd w:val="solid" w:color="000000" w:fill="000000"/>
                <w:fitText w:val="20" w:id="-694443773"/>
                <w14:textFill>
                  <w14:solidFill>
                    <w14:srgbClr w14:val="000000">
                      <w14:alpha w14:val="100000"/>
                    </w14:srgbClr>
                  </w14:solidFill>
                </w14:textFill>
              </w:rPr>
              <w:t>|</w:t>
            </w:r>
            <w:r>
              <w:rPr>
                <w:rStyle w:val="CommentReference"/>
                <w:rFonts w:hint="eastAsia"/>
                <w:b w:val="0"/>
                <w:bCs/>
                <w:color w:val="000000"/>
                <w:spacing w:val="-46"/>
                <w:w w:val="15"/>
                <w:szCs w:val="24"/>
                <w:shd w:val="solid" w:color="000000" w:fill="000000"/>
                <w:fitText w:val="20" w:id="-694443773"/>
                <w14:textFill>
                  <w14:solidFill>
                    <w14:srgbClr w14:val="000000">
                      <w14:alpha w14:val="100000"/>
                    </w14:srgbClr>
                  </w14:solidFill>
                </w14:textFill>
              </w:rPr>
              <w:t xml:space="preserve">　</w:t>
            </w:r>
            <w:r w:rsidR="007A5BCB" w:rsidRPr="007A5BCB">
              <w:rPr>
                <w:rStyle w:val="CommentReference"/>
                <w:b w:val="0"/>
                <w:bCs/>
                <w:szCs w:val="24"/>
                <w:vertAlign w:val="superscript"/>
              </w:rPr>
              <w:t>6</w:t>
            </w:r>
          </w:p>
        </w:tc>
        <w:tc>
          <w:tcPr>
            <w:tcW w:w="2895" w:type="dxa"/>
            <w:vAlign w:val="center"/>
          </w:tcPr>
          <w:p w14:paraId="011DB1B3" w14:textId="619F96D7" w:rsidR="002D18A7" w:rsidRPr="00BB4DAB" w:rsidRDefault="002D18A7" w:rsidP="002D18A7">
            <w:pPr>
              <w:keepNext/>
              <w:keepLines/>
              <w:jc w:val="center"/>
              <w:rPr>
                <w:rStyle w:val="CommentReference"/>
                <w:b w:val="0"/>
                <w:bCs/>
                <w:szCs w:val="20"/>
              </w:rPr>
            </w:pPr>
            <w:r w:rsidRPr="00BB4DAB">
              <w:rPr>
                <w:rStyle w:val="CommentReference"/>
                <w:b w:val="0"/>
                <w:bCs/>
                <w:szCs w:val="24"/>
              </w:rPr>
              <w:t>-</w:t>
            </w:r>
            <w:r w:rsidR="0016738C" w:rsidRPr="0016738C">
              <w:rPr>
                <w:rStyle w:val="CommentReference"/>
                <w:b w:val="0"/>
                <w:bCs/>
                <w:color w:val="000000"/>
                <w:szCs w:val="24"/>
                <w:shd w:val="solid" w:color="000000" w:fill="000000"/>
                <w14:textFill>
                  <w14:solidFill>
                    <w14:srgbClr w14:val="000000">
                      <w14:alpha w14:val="100000"/>
                    </w14:srgbClr>
                  </w14:solidFill>
                </w14:textFill>
              </w:rPr>
              <w:t>|</w:t>
            </w:r>
            <w:r w:rsidRPr="00BB4DAB">
              <w:rPr>
                <w:rStyle w:val="CommentReference"/>
                <w:b w:val="0"/>
                <w:bCs/>
                <w:szCs w:val="24"/>
              </w:rPr>
              <w:t>%</w:t>
            </w:r>
          </w:p>
        </w:tc>
      </w:tr>
      <w:tr w:rsidR="002D18A7" w:rsidRPr="00BB4DAB" w14:paraId="5FF165D3" w14:textId="77777777" w:rsidTr="0016738C">
        <w:tc>
          <w:tcPr>
            <w:tcW w:w="2235" w:type="dxa"/>
          </w:tcPr>
          <w:p w14:paraId="4192E1E9" w14:textId="6462B73F" w:rsidR="002D18A7" w:rsidRPr="00BB4DAB" w:rsidRDefault="002D18A7" w:rsidP="002D18A7">
            <w:pPr>
              <w:keepNext/>
              <w:keepLines/>
              <w:rPr>
                <w:rStyle w:val="CommentReference"/>
                <w:b w:val="0"/>
                <w:bCs/>
                <w:szCs w:val="20"/>
              </w:rPr>
            </w:pPr>
            <w:r w:rsidRPr="00BB4DAB">
              <w:rPr>
                <w:rStyle w:val="CommentReference"/>
                <w:b w:val="0"/>
                <w:bCs/>
                <w:szCs w:val="24"/>
              </w:rPr>
              <w:t>0%</w:t>
            </w:r>
          </w:p>
        </w:tc>
        <w:tc>
          <w:tcPr>
            <w:tcW w:w="1275" w:type="dxa"/>
            <w:shd w:val="solid" w:color="000000" w:fill="000000"/>
            <w:vAlign w:val="center"/>
          </w:tcPr>
          <w:p w14:paraId="3AF16CF4" w14:textId="1D35CE9B" w:rsidR="002D18A7" w:rsidRPr="00B92B0E" w:rsidRDefault="0016738C" w:rsidP="002D18A7">
            <w:pPr>
              <w:keepNext/>
              <w:keepLines/>
              <w:jc w:val="center"/>
              <w:rPr>
                <w:rStyle w:val="CommentReference"/>
                <w:b w:val="0"/>
                <w:bCs/>
                <w:szCs w:val="20"/>
                <w:highlight w:val="darkGray"/>
              </w:rPr>
            </w:pPr>
            <w:r>
              <w:rPr>
                <w:rStyle w:val="CommentReference"/>
                <w:rFonts w:hint="eastAsia"/>
                <w:b w:val="0"/>
                <w:bCs/>
                <w:color w:val="000000"/>
                <w:w w:val="15"/>
                <w:szCs w:val="24"/>
                <w:fitText w:val="20" w:id="-694443772"/>
                <w14:textFill>
                  <w14:solidFill>
                    <w14:srgbClr w14:val="000000">
                      <w14:alpha w14:val="100000"/>
                    </w14:srgbClr>
                  </w14:solidFill>
                </w14:textFill>
              </w:rPr>
              <w:t xml:space="preserve">　</w:t>
            </w:r>
            <w:r>
              <w:rPr>
                <w:rStyle w:val="CommentReference"/>
                <w:b w:val="0"/>
                <w:bCs/>
                <w:color w:val="000000"/>
                <w:w w:val="15"/>
                <w:szCs w:val="24"/>
                <w:fitText w:val="20" w:id="-694443772"/>
                <w14:textFill>
                  <w14:solidFill>
                    <w14:srgbClr w14:val="000000">
                      <w14:alpha w14:val="100000"/>
                    </w14:srgbClr>
                  </w14:solidFill>
                </w14:textFill>
              </w:rPr>
              <w:t>|</w:t>
            </w:r>
            <w:r>
              <w:rPr>
                <w:rStyle w:val="CommentReference"/>
                <w:rFonts w:hint="eastAsia"/>
                <w:b w:val="0"/>
                <w:bCs/>
                <w:color w:val="000000"/>
                <w:spacing w:val="-46"/>
                <w:w w:val="15"/>
                <w:szCs w:val="24"/>
                <w:fitText w:val="20" w:id="-694443772"/>
                <w14:textFill>
                  <w14:solidFill>
                    <w14:srgbClr w14:val="000000">
                      <w14:alpha w14:val="100000"/>
                    </w14:srgbClr>
                  </w14:solidFill>
                </w14:textFill>
              </w:rPr>
              <w:t xml:space="preserve">　</w:t>
            </w:r>
          </w:p>
        </w:tc>
        <w:tc>
          <w:tcPr>
            <w:tcW w:w="1275" w:type="dxa"/>
            <w:vAlign w:val="center"/>
          </w:tcPr>
          <w:p w14:paraId="5AEDA727" w14:textId="0188EC51" w:rsidR="002D18A7" w:rsidRPr="00BB4DAB" w:rsidRDefault="002D18A7" w:rsidP="002D18A7">
            <w:pPr>
              <w:keepNext/>
              <w:keepLines/>
              <w:jc w:val="center"/>
              <w:rPr>
                <w:rStyle w:val="CommentReference"/>
                <w:b w:val="0"/>
                <w:bCs/>
                <w:szCs w:val="20"/>
              </w:rPr>
            </w:pPr>
            <w:r w:rsidRPr="00BB4DAB">
              <w:rPr>
                <w:rStyle w:val="CommentReference"/>
                <w:b w:val="0"/>
                <w:bCs/>
                <w:szCs w:val="24"/>
              </w:rPr>
              <w:t>2.146</w:t>
            </w:r>
          </w:p>
        </w:tc>
        <w:tc>
          <w:tcPr>
            <w:tcW w:w="1337" w:type="dxa"/>
            <w:vAlign w:val="center"/>
          </w:tcPr>
          <w:p w14:paraId="6A326D30" w14:textId="1F3B565C" w:rsidR="002D18A7" w:rsidRPr="00F043C4" w:rsidRDefault="0016738C" w:rsidP="002D18A7">
            <w:pPr>
              <w:keepNext/>
              <w:keepLines/>
              <w:jc w:val="center"/>
              <w:rPr>
                <w:rStyle w:val="CommentReference"/>
                <w:b w:val="0"/>
                <w:bCs/>
                <w:szCs w:val="20"/>
                <w:highlight w:val="darkGray"/>
              </w:rPr>
            </w:pPr>
            <w:r>
              <w:rPr>
                <w:rStyle w:val="CommentReference"/>
                <w:rFonts w:hint="eastAsia"/>
                <w:b w:val="0"/>
                <w:bCs/>
                <w:color w:val="000000"/>
                <w:w w:val="15"/>
                <w:szCs w:val="24"/>
                <w:shd w:val="solid" w:color="000000" w:fill="000000"/>
                <w:fitText w:val="20" w:id="-694443771"/>
                <w14:textFill>
                  <w14:solidFill>
                    <w14:srgbClr w14:val="000000">
                      <w14:alpha w14:val="100000"/>
                    </w14:srgbClr>
                  </w14:solidFill>
                </w14:textFill>
              </w:rPr>
              <w:t xml:space="preserve">　</w:t>
            </w:r>
            <w:r>
              <w:rPr>
                <w:rStyle w:val="CommentReference"/>
                <w:b w:val="0"/>
                <w:bCs/>
                <w:color w:val="000000"/>
                <w:w w:val="15"/>
                <w:szCs w:val="24"/>
                <w:shd w:val="solid" w:color="000000" w:fill="000000"/>
                <w:fitText w:val="20" w:id="-694443771"/>
                <w14:textFill>
                  <w14:solidFill>
                    <w14:srgbClr w14:val="000000">
                      <w14:alpha w14:val="100000"/>
                    </w14:srgbClr>
                  </w14:solidFill>
                </w14:textFill>
              </w:rPr>
              <w:t>|</w:t>
            </w:r>
            <w:r>
              <w:rPr>
                <w:rStyle w:val="CommentReference"/>
                <w:rFonts w:hint="eastAsia"/>
                <w:b w:val="0"/>
                <w:bCs/>
                <w:color w:val="000000"/>
                <w:spacing w:val="-46"/>
                <w:w w:val="15"/>
                <w:szCs w:val="24"/>
                <w:shd w:val="solid" w:color="000000" w:fill="000000"/>
                <w:fitText w:val="20" w:id="-694443771"/>
                <w14:textFill>
                  <w14:solidFill>
                    <w14:srgbClr w14:val="000000">
                      <w14:alpha w14:val="100000"/>
                    </w14:srgbClr>
                  </w14:solidFill>
                </w14:textFill>
              </w:rPr>
              <w:t xml:space="preserve">　</w:t>
            </w:r>
            <w:r w:rsidR="00777B17" w:rsidRPr="00777B17">
              <w:rPr>
                <w:rStyle w:val="CommentReference"/>
                <w:b w:val="0"/>
                <w:bCs/>
                <w:szCs w:val="24"/>
                <w:vertAlign w:val="superscript"/>
              </w:rPr>
              <w:t>7</w:t>
            </w:r>
          </w:p>
        </w:tc>
        <w:tc>
          <w:tcPr>
            <w:tcW w:w="2895" w:type="dxa"/>
            <w:vAlign w:val="center"/>
          </w:tcPr>
          <w:p w14:paraId="2B93CB77" w14:textId="1C4D74E9" w:rsidR="002D18A7" w:rsidRPr="00BB4DAB" w:rsidRDefault="002D18A7" w:rsidP="002D18A7">
            <w:pPr>
              <w:keepNext/>
              <w:keepLines/>
              <w:jc w:val="center"/>
              <w:rPr>
                <w:rStyle w:val="CommentReference"/>
                <w:b w:val="0"/>
                <w:bCs/>
                <w:szCs w:val="20"/>
              </w:rPr>
            </w:pPr>
            <w:r w:rsidRPr="00BB4DAB">
              <w:rPr>
                <w:rStyle w:val="CommentReference"/>
                <w:b w:val="0"/>
                <w:bCs/>
                <w:szCs w:val="24"/>
              </w:rPr>
              <w:t>-</w:t>
            </w:r>
            <w:r w:rsidR="0016738C" w:rsidRPr="0016738C">
              <w:rPr>
                <w:rStyle w:val="CommentReference"/>
                <w:b w:val="0"/>
                <w:bCs/>
                <w:color w:val="000000"/>
                <w:szCs w:val="24"/>
                <w:shd w:val="solid" w:color="000000" w:fill="000000"/>
                <w14:textFill>
                  <w14:solidFill>
                    <w14:srgbClr w14:val="000000">
                      <w14:alpha w14:val="100000"/>
                    </w14:srgbClr>
                  </w14:solidFill>
                </w14:textFill>
              </w:rPr>
              <w:t>|</w:t>
            </w:r>
            <w:r w:rsidRPr="00BB4DAB">
              <w:rPr>
                <w:rStyle w:val="CommentReference"/>
                <w:b w:val="0"/>
                <w:bCs/>
                <w:szCs w:val="24"/>
              </w:rPr>
              <w:t>%</w:t>
            </w:r>
          </w:p>
        </w:tc>
      </w:tr>
      <w:tr w:rsidR="002D18A7" w:rsidRPr="00BB4DAB" w14:paraId="1191D2B2" w14:textId="77777777" w:rsidTr="0016738C">
        <w:tc>
          <w:tcPr>
            <w:tcW w:w="2235" w:type="dxa"/>
          </w:tcPr>
          <w:p w14:paraId="5A9B9B86" w14:textId="2A81A28F" w:rsidR="002D18A7" w:rsidRPr="00BB4DAB" w:rsidRDefault="002D18A7" w:rsidP="002D18A7">
            <w:pPr>
              <w:keepNext/>
              <w:keepLines/>
              <w:rPr>
                <w:rStyle w:val="CommentReference"/>
                <w:szCs w:val="24"/>
              </w:rPr>
            </w:pPr>
            <w:r w:rsidRPr="00BB4DAB">
              <w:rPr>
                <w:rStyle w:val="CommentReference"/>
                <w:szCs w:val="24"/>
              </w:rPr>
              <w:t>Multi-variate sensitivity analyses</w:t>
            </w:r>
          </w:p>
        </w:tc>
        <w:tc>
          <w:tcPr>
            <w:tcW w:w="1275" w:type="dxa"/>
            <w:tcBorders>
              <w:bottom w:val="single" w:sz="4" w:space="0" w:color="auto"/>
            </w:tcBorders>
            <w:vAlign w:val="center"/>
          </w:tcPr>
          <w:p w14:paraId="1EAA434A" w14:textId="77777777" w:rsidR="002D18A7" w:rsidRPr="00BB4DAB" w:rsidRDefault="002D18A7" w:rsidP="002D18A7">
            <w:pPr>
              <w:keepNext/>
              <w:keepLines/>
              <w:jc w:val="center"/>
              <w:rPr>
                <w:rStyle w:val="CommentReference"/>
                <w:szCs w:val="24"/>
              </w:rPr>
            </w:pPr>
          </w:p>
        </w:tc>
        <w:tc>
          <w:tcPr>
            <w:tcW w:w="1275" w:type="dxa"/>
            <w:vAlign w:val="center"/>
          </w:tcPr>
          <w:p w14:paraId="04E43F09" w14:textId="77777777" w:rsidR="002D18A7" w:rsidRPr="00BB4DAB" w:rsidRDefault="002D18A7" w:rsidP="002D18A7">
            <w:pPr>
              <w:keepNext/>
              <w:keepLines/>
              <w:jc w:val="center"/>
              <w:rPr>
                <w:rStyle w:val="CommentReference"/>
                <w:szCs w:val="24"/>
              </w:rPr>
            </w:pPr>
          </w:p>
        </w:tc>
        <w:tc>
          <w:tcPr>
            <w:tcW w:w="1337" w:type="dxa"/>
            <w:vAlign w:val="center"/>
          </w:tcPr>
          <w:p w14:paraId="4352E4E1" w14:textId="77777777" w:rsidR="002D18A7" w:rsidRPr="00BB4DAB" w:rsidRDefault="002D18A7" w:rsidP="002D18A7">
            <w:pPr>
              <w:keepNext/>
              <w:keepLines/>
              <w:jc w:val="center"/>
              <w:rPr>
                <w:rStyle w:val="CommentReference"/>
                <w:szCs w:val="24"/>
              </w:rPr>
            </w:pPr>
          </w:p>
        </w:tc>
        <w:tc>
          <w:tcPr>
            <w:tcW w:w="2895" w:type="dxa"/>
            <w:vAlign w:val="center"/>
          </w:tcPr>
          <w:p w14:paraId="5E2376CF" w14:textId="77777777" w:rsidR="002D18A7" w:rsidRPr="00BB4DAB" w:rsidRDefault="002D18A7" w:rsidP="002D18A7">
            <w:pPr>
              <w:keepNext/>
              <w:keepLines/>
              <w:jc w:val="center"/>
              <w:rPr>
                <w:rStyle w:val="CommentReference"/>
                <w:szCs w:val="24"/>
              </w:rPr>
            </w:pPr>
          </w:p>
        </w:tc>
      </w:tr>
      <w:tr w:rsidR="002D18A7" w:rsidRPr="00BB4DAB" w14:paraId="5E5ECD5C" w14:textId="77777777" w:rsidTr="0016738C">
        <w:tc>
          <w:tcPr>
            <w:tcW w:w="2235" w:type="dxa"/>
          </w:tcPr>
          <w:p w14:paraId="4AE32E23" w14:textId="1C12C13B" w:rsidR="002D18A7" w:rsidRPr="00BB4DAB" w:rsidRDefault="00742193" w:rsidP="002D18A7">
            <w:pPr>
              <w:keepNext/>
              <w:keepLines/>
              <w:rPr>
                <w:rStyle w:val="CommentReference"/>
                <w:b w:val="0"/>
                <w:bCs/>
                <w:szCs w:val="24"/>
              </w:rPr>
            </w:pPr>
            <w:r w:rsidRPr="00BB4DAB">
              <w:rPr>
                <w:rStyle w:val="CommentReference"/>
                <w:b w:val="0"/>
                <w:bCs/>
                <w:szCs w:val="24"/>
              </w:rPr>
              <w:t>#1 and #2</w:t>
            </w:r>
          </w:p>
        </w:tc>
        <w:tc>
          <w:tcPr>
            <w:tcW w:w="1275" w:type="dxa"/>
            <w:tcBorders>
              <w:bottom w:val="single" w:sz="4" w:space="0" w:color="auto"/>
            </w:tcBorders>
            <w:shd w:val="solid" w:color="000000" w:fill="000000"/>
            <w:vAlign w:val="center"/>
          </w:tcPr>
          <w:p w14:paraId="086DC3C5" w14:textId="1030136C" w:rsidR="002D18A7" w:rsidRPr="00B92B0E" w:rsidRDefault="0016738C" w:rsidP="00E63833">
            <w:pPr>
              <w:keepNext/>
              <w:keepLines/>
              <w:jc w:val="center"/>
              <w:rPr>
                <w:rStyle w:val="CommentReference"/>
                <w:b w:val="0"/>
                <w:bCs/>
                <w:szCs w:val="24"/>
                <w:highlight w:val="darkGray"/>
              </w:rPr>
            </w:pPr>
            <w:r>
              <w:rPr>
                <w:rStyle w:val="CommentReference"/>
                <w:rFonts w:hint="eastAsia"/>
                <w:b w:val="0"/>
                <w:bCs/>
                <w:color w:val="000000"/>
                <w:w w:val="15"/>
                <w:szCs w:val="24"/>
                <w:fitText w:val="20" w:id="-694443770"/>
                <w14:textFill>
                  <w14:solidFill>
                    <w14:srgbClr w14:val="000000">
                      <w14:alpha w14:val="100000"/>
                    </w14:srgbClr>
                  </w14:solidFill>
                </w14:textFill>
              </w:rPr>
              <w:t xml:space="preserve">　</w:t>
            </w:r>
            <w:r>
              <w:rPr>
                <w:rStyle w:val="CommentReference"/>
                <w:b w:val="0"/>
                <w:bCs/>
                <w:color w:val="000000"/>
                <w:w w:val="15"/>
                <w:szCs w:val="24"/>
                <w:fitText w:val="20" w:id="-694443770"/>
                <w14:textFill>
                  <w14:solidFill>
                    <w14:srgbClr w14:val="000000">
                      <w14:alpha w14:val="100000"/>
                    </w14:srgbClr>
                  </w14:solidFill>
                </w14:textFill>
              </w:rPr>
              <w:t>|</w:t>
            </w:r>
            <w:r>
              <w:rPr>
                <w:rStyle w:val="CommentReference"/>
                <w:rFonts w:hint="eastAsia"/>
                <w:b w:val="0"/>
                <w:bCs/>
                <w:color w:val="000000"/>
                <w:spacing w:val="-46"/>
                <w:w w:val="15"/>
                <w:szCs w:val="24"/>
                <w:fitText w:val="20" w:id="-694443770"/>
                <w14:textFill>
                  <w14:solidFill>
                    <w14:srgbClr w14:val="000000">
                      <w14:alpha w14:val="100000"/>
                    </w14:srgbClr>
                  </w14:solidFill>
                </w14:textFill>
              </w:rPr>
              <w:t xml:space="preserve">　</w:t>
            </w:r>
          </w:p>
        </w:tc>
        <w:tc>
          <w:tcPr>
            <w:tcW w:w="1275" w:type="dxa"/>
            <w:vAlign w:val="center"/>
          </w:tcPr>
          <w:p w14:paraId="75FC01E1" w14:textId="08578CDB" w:rsidR="002D18A7" w:rsidRPr="00BB4DAB" w:rsidRDefault="00E63833" w:rsidP="00E63833">
            <w:pPr>
              <w:keepNext/>
              <w:keepLines/>
              <w:jc w:val="center"/>
              <w:rPr>
                <w:rStyle w:val="CommentReference"/>
                <w:b w:val="0"/>
                <w:bCs/>
                <w:szCs w:val="24"/>
              </w:rPr>
            </w:pPr>
            <w:r w:rsidRPr="00BB4DAB">
              <w:rPr>
                <w:rStyle w:val="CommentReference"/>
                <w:b w:val="0"/>
                <w:bCs/>
                <w:szCs w:val="24"/>
              </w:rPr>
              <w:t>1.027</w:t>
            </w:r>
          </w:p>
        </w:tc>
        <w:tc>
          <w:tcPr>
            <w:tcW w:w="1337" w:type="dxa"/>
            <w:vAlign w:val="center"/>
          </w:tcPr>
          <w:p w14:paraId="5FE1001C" w14:textId="3A770CD8" w:rsidR="002D18A7" w:rsidRPr="00F043C4" w:rsidRDefault="0016738C" w:rsidP="00E63833">
            <w:pPr>
              <w:keepNext/>
              <w:keepLines/>
              <w:jc w:val="center"/>
              <w:rPr>
                <w:rStyle w:val="CommentReference"/>
                <w:b w:val="0"/>
                <w:bCs/>
                <w:szCs w:val="24"/>
                <w:highlight w:val="darkGray"/>
              </w:rPr>
            </w:pPr>
            <w:r>
              <w:rPr>
                <w:rStyle w:val="CommentReference"/>
                <w:rFonts w:hint="eastAsia"/>
                <w:b w:val="0"/>
                <w:bCs/>
                <w:color w:val="000000"/>
                <w:w w:val="15"/>
                <w:szCs w:val="24"/>
                <w:shd w:val="solid" w:color="000000" w:fill="000000"/>
                <w:fitText w:val="20" w:id="-694443769"/>
                <w14:textFill>
                  <w14:solidFill>
                    <w14:srgbClr w14:val="000000">
                      <w14:alpha w14:val="100000"/>
                    </w14:srgbClr>
                  </w14:solidFill>
                </w14:textFill>
              </w:rPr>
              <w:t xml:space="preserve">　</w:t>
            </w:r>
            <w:r>
              <w:rPr>
                <w:rStyle w:val="CommentReference"/>
                <w:b w:val="0"/>
                <w:bCs/>
                <w:color w:val="000000"/>
                <w:w w:val="15"/>
                <w:szCs w:val="24"/>
                <w:shd w:val="solid" w:color="000000" w:fill="000000"/>
                <w:fitText w:val="20" w:id="-694443769"/>
                <w14:textFill>
                  <w14:solidFill>
                    <w14:srgbClr w14:val="000000">
                      <w14:alpha w14:val="100000"/>
                    </w14:srgbClr>
                  </w14:solidFill>
                </w14:textFill>
              </w:rPr>
              <w:t>|</w:t>
            </w:r>
            <w:r>
              <w:rPr>
                <w:rStyle w:val="CommentReference"/>
                <w:rFonts w:hint="eastAsia"/>
                <w:b w:val="0"/>
                <w:bCs/>
                <w:color w:val="000000"/>
                <w:spacing w:val="-46"/>
                <w:w w:val="15"/>
                <w:szCs w:val="24"/>
                <w:shd w:val="solid" w:color="000000" w:fill="000000"/>
                <w:fitText w:val="20" w:id="-694443769"/>
                <w14:textFill>
                  <w14:solidFill>
                    <w14:srgbClr w14:val="000000">
                      <w14:alpha w14:val="100000"/>
                    </w14:srgbClr>
                  </w14:solidFill>
                </w14:textFill>
              </w:rPr>
              <w:t xml:space="preserve">　</w:t>
            </w:r>
            <w:r w:rsidR="00704D74" w:rsidRPr="00704D74">
              <w:rPr>
                <w:rStyle w:val="CommentReference"/>
                <w:szCs w:val="20"/>
                <w:vertAlign w:val="superscript"/>
              </w:rPr>
              <w:t>1</w:t>
            </w:r>
          </w:p>
        </w:tc>
        <w:tc>
          <w:tcPr>
            <w:tcW w:w="2895" w:type="dxa"/>
            <w:vAlign w:val="center"/>
          </w:tcPr>
          <w:p w14:paraId="55CE1740" w14:textId="33553235" w:rsidR="002D18A7" w:rsidRPr="00BB4DAB" w:rsidRDefault="00E63833" w:rsidP="00E63833">
            <w:pPr>
              <w:keepNext/>
              <w:keepLines/>
              <w:jc w:val="center"/>
              <w:rPr>
                <w:rStyle w:val="CommentReference"/>
                <w:b w:val="0"/>
                <w:bCs/>
                <w:szCs w:val="24"/>
              </w:rPr>
            </w:pPr>
            <w:r w:rsidRPr="00BB4DAB">
              <w:rPr>
                <w:rStyle w:val="CommentReference"/>
                <w:b w:val="0"/>
                <w:bCs/>
                <w:szCs w:val="24"/>
              </w:rPr>
              <w:t>+</w:t>
            </w:r>
            <w:r w:rsidR="0016738C" w:rsidRPr="0016738C">
              <w:rPr>
                <w:rStyle w:val="CommentReference"/>
                <w:b w:val="0"/>
                <w:bCs/>
                <w:color w:val="000000"/>
                <w:szCs w:val="24"/>
                <w:shd w:val="solid" w:color="000000" w:fill="000000"/>
                <w14:textFill>
                  <w14:solidFill>
                    <w14:srgbClr w14:val="000000">
                      <w14:alpha w14:val="100000"/>
                    </w14:srgbClr>
                  </w14:solidFill>
                </w14:textFill>
              </w:rPr>
              <w:t>|</w:t>
            </w:r>
            <w:r w:rsidRPr="00BB4DAB">
              <w:rPr>
                <w:rStyle w:val="CommentReference"/>
                <w:b w:val="0"/>
                <w:bCs/>
                <w:szCs w:val="24"/>
              </w:rPr>
              <w:t>%</w:t>
            </w:r>
          </w:p>
        </w:tc>
      </w:tr>
      <w:tr w:rsidR="002D18A7" w:rsidRPr="00BB4DAB" w14:paraId="5B262878" w14:textId="77777777" w:rsidTr="0016738C">
        <w:tc>
          <w:tcPr>
            <w:tcW w:w="2235" w:type="dxa"/>
          </w:tcPr>
          <w:p w14:paraId="55C6F4ED" w14:textId="5100228F" w:rsidR="002D18A7" w:rsidRPr="00BB4DAB" w:rsidRDefault="00E63833" w:rsidP="002D18A7">
            <w:pPr>
              <w:keepNext/>
              <w:keepLines/>
              <w:rPr>
                <w:rStyle w:val="CommentReference"/>
                <w:b w:val="0"/>
                <w:bCs/>
                <w:szCs w:val="24"/>
              </w:rPr>
            </w:pPr>
            <w:r w:rsidRPr="00BB4DAB">
              <w:rPr>
                <w:rStyle w:val="CommentReference"/>
                <w:b w:val="0"/>
                <w:bCs/>
                <w:szCs w:val="24"/>
              </w:rPr>
              <w:t xml:space="preserve">#1 and #2 </w:t>
            </w:r>
            <w:r w:rsidR="00A84367" w:rsidRPr="00BB4DAB">
              <w:rPr>
                <w:rStyle w:val="CommentReference"/>
                <w:b w:val="0"/>
                <w:bCs/>
                <w:szCs w:val="24"/>
              </w:rPr>
              <w:t>and #3</w:t>
            </w:r>
          </w:p>
        </w:tc>
        <w:tc>
          <w:tcPr>
            <w:tcW w:w="1275" w:type="dxa"/>
            <w:tcBorders>
              <w:bottom w:val="single" w:sz="4" w:space="0" w:color="auto"/>
            </w:tcBorders>
            <w:shd w:val="solid" w:color="000000" w:fill="000000"/>
            <w:vAlign w:val="center"/>
          </w:tcPr>
          <w:p w14:paraId="4CAF1917" w14:textId="2FD64C0F" w:rsidR="002D18A7" w:rsidRPr="00B92B0E" w:rsidRDefault="0016738C" w:rsidP="00CA5835">
            <w:pPr>
              <w:jc w:val="center"/>
              <w:rPr>
                <w:rStyle w:val="CommentReference"/>
                <w:b w:val="0"/>
                <w:szCs w:val="24"/>
                <w:highlight w:val="darkGray"/>
              </w:rPr>
            </w:pPr>
            <w:r>
              <w:rPr>
                <w:rStyle w:val="CommentReference"/>
                <w:rFonts w:hint="eastAsia"/>
                <w:b w:val="0"/>
                <w:color w:val="000000"/>
                <w:w w:val="15"/>
                <w:szCs w:val="24"/>
                <w:fitText w:val="20" w:id="-694443768"/>
                <w14:textFill>
                  <w14:solidFill>
                    <w14:srgbClr w14:val="000000">
                      <w14:alpha w14:val="100000"/>
                    </w14:srgbClr>
                  </w14:solidFill>
                </w14:textFill>
              </w:rPr>
              <w:t xml:space="preserve">　</w:t>
            </w:r>
            <w:r>
              <w:rPr>
                <w:rStyle w:val="CommentReference"/>
                <w:b w:val="0"/>
                <w:color w:val="000000"/>
                <w:w w:val="15"/>
                <w:szCs w:val="24"/>
                <w:fitText w:val="20" w:id="-694443768"/>
                <w14:textFill>
                  <w14:solidFill>
                    <w14:srgbClr w14:val="000000">
                      <w14:alpha w14:val="100000"/>
                    </w14:srgbClr>
                  </w14:solidFill>
                </w14:textFill>
              </w:rPr>
              <w:t>|</w:t>
            </w:r>
            <w:r>
              <w:rPr>
                <w:rStyle w:val="CommentReference"/>
                <w:rFonts w:hint="eastAsia"/>
                <w:b w:val="0"/>
                <w:color w:val="000000"/>
                <w:spacing w:val="-46"/>
                <w:w w:val="15"/>
                <w:szCs w:val="24"/>
                <w:fitText w:val="20" w:id="-694443768"/>
                <w14:textFill>
                  <w14:solidFill>
                    <w14:srgbClr w14:val="000000">
                      <w14:alpha w14:val="100000"/>
                    </w14:srgbClr>
                  </w14:solidFill>
                </w14:textFill>
              </w:rPr>
              <w:t xml:space="preserve">　</w:t>
            </w:r>
          </w:p>
        </w:tc>
        <w:tc>
          <w:tcPr>
            <w:tcW w:w="1275" w:type="dxa"/>
            <w:vAlign w:val="center"/>
          </w:tcPr>
          <w:p w14:paraId="74625DE5" w14:textId="3284FB0E" w:rsidR="002D18A7" w:rsidRPr="00BB4DAB" w:rsidRDefault="003D2DA4" w:rsidP="00CA5835">
            <w:pPr>
              <w:jc w:val="center"/>
              <w:rPr>
                <w:rStyle w:val="CommentReference"/>
                <w:b w:val="0"/>
                <w:szCs w:val="24"/>
              </w:rPr>
            </w:pPr>
            <w:r w:rsidRPr="00BB4DAB">
              <w:rPr>
                <w:rStyle w:val="CommentReference"/>
                <w:b w:val="0"/>
                <w:szCs w:val="24"/>
              </w:rPr>
              <w:t>0.560</w:t>
            </w:r>
          </w:p>
        </w:tc>
        <w:tc>
          <w:tcPr>
            <w:tcW w:w="1337" w:type="dxa"/>
            <w:vAlign w:val="center"/>
          </w:tcPr>
          <w:p w14:paraId="7CB91286" w14:textId="57228485" w:rsidR="002D18A7" w:rsidRPr="00F043C4" w:rsidRDefault="0016738C" w:rsidP="00CA5835">
            <w:pPr>
              <w:jc w:val="center"/>
              <w:rPr>
                <w:rStyle w:val="CommentReference"/>
                <w:b w:val="0"/>
                <w:szCs w:val="24"/>
                <w:highlight w:val="darkGray"/>
              </w:rPr>
            </w:pPr>
            <w:r>
              <w:rPr>
                <w:rStyle w:val="CommentReference"/>
                <w:rFonts w:hint="eastAsia"/>
                <w:b w:val="0"/>
                <w:color w:val="000000"/>
                <w:w w:val="15"/>
                <w:szCs w:val="24"/>
                <w:shd w:val="solid" w:color="000000" w:fill="000000"/>
                <w:fitText w:val="20" w:id="-694443767"/>
                <w14:textFill>
                  <w14:solidFill>
                    <w14:srgbClr w14:val="000000">
                      <w14:alpha w14:val="100000"/>
                    </w14:srgbClr>
                  </w14:solidFill>
                </w14:textFill>
              </w:rPr>
              <w:t xml:space="preserve">　</w:t>
            </w:r>
            <w:r>
              <w:rPr>
                <w:rStyle w:val="CommentReference"/>
                <w:b w:val="0"/>
                <w:color w:val="000000"/>
                <w:w w:val="15"/>
                <w:szCs w:val="24"/>
                <w:shd w:val="solid" w:color="000000" w:fill="000000"/>
                <w:fitText w:val="20" w:id="-694443767"/>
                <w14:textFill>
                  <w14:solidFill>
                    <w14:srgbClr w14:val="000000">
                      <w14:alpha w14:val="100000"/>
                    </w14:srgbClr>
                  </w14:solidFill>
                </w14:textFill>
              </w:rPr>
              <w:t>|</w:t>
            </w:r>
            <w:r>
              <w:rPr>
                <w:rStyle w:val="CommentReference"/>
                <w:rFonts w:hint="eastAsia"/>
                <w:b w:val="0"/>
                <w:color w:val="000000"/>
                <w:spacing w:val="-46"/>
                <w:w w:val="15"/>
                <w:szCs w:val="24"/>
                <w:shd w:val="solid" w:color="000000" w:fill="000000"/>
                <w:fitText w:val="20" w:id="-694443767"/>
                <w14:textFill>
                  <w14:solidFill>
                    <w14:srgbClr w14:val="000000">
                      <w14:alpha w14:val="100000"/>
                    </w14:srgbClr>
                  </w14:solidFill>
                </w14:textFill>
              </w:rPr>
              <w:t xml:space="preserve">　</w:t>
            </w:r>
            <w:r w:rsidR="00135F40" w:rsidRPr="005901D5">
              <w:rPr>
                <w:rStyle w:val="CommentReference"/>
                <w:b w:val="0"/>
                <w:szCs w:val="20"/>
                <w:vertAlign w:val="superscript"/>
              </w:rPr>
              <w:t>2</w:t>
            </w:r>
          </w:p>
        </w:tc>
        <w:tc>
          <w:tcPr>
            <w:tcW w:w="2895" w:type="dxa"/>
            <w:vAlign w:val="center"/>
          </w:tcPr>
          <w:p w14:paraId="63089417" w14:textId="14BAB98A" w:rsidR="002D18A7" w:rsidRPr="00BB4DAB" w:rsidRDefault="00CA5835" w:rsidP="002D18A7">
            <w:pPr>
              <w:keepNext/>
              <w:keepLines/>
              <w:jc w:val="center"/>
              <w:rPr>
                <w:rStyle w:val="CommentReference"/>
                <w:b w:val="0"/>
                <w:bCs/>
                <w:szCs w:val="24"/>
              </w:rPr>
            </w:pPr>
            <w:r w:rsidRPr="00BB4DAB">
              <w:rPr>
                <w:rStyle w:val="CommentReference"/>
                <w:b w:val="0"/>
                <w:bCs/>
                <w:szCs w:val="24"/>
              </w:rPr>
              <w:t>+</w:t>
            </w:r>
            <w:r w:rsidR="0016738C" w:rsidRPr="0016738C">
              <w:rPr>
                <w:rStyle w:val="CommentReference"/>
                <w:b w:val="0"/>
                <w:bCs/>
                <w:color w:val="000000"/>
                <w:szCs w:val="24"/>
                <w:shd w:val="solid" w:color="000000" w:fill="000000"/>
                <w14:textFill>
                  <w14:solidFill>
                    <w14:srgbClr w14:val="000000">
                      <w14:alpha w14:val="100000"/>
                    </w14:srgbClr>
                  </w14:solidFill>
                </w14:textFill>
              </w:rPr>
              <w:t>|</w:t>
            </w:r>
            <w:r w:rsidRPr="00BB4DAB">
              <w:rPr>
                <w:rStyle w:val="CommentReference"/>
                <w:b w:val="0"/>
                <w:bCs/>
                <w:szCs w:val="24"/>
              </w:rPr>
              <w:t>4%</w:t>
            </w:r>
          </w:p>
        </w:tc>
      </w:tr>
      <w:tr w:rsidR="002D18A7" w:rsidRPr="00BB4DAB" w14:paraId="555BAB5F" w14:textId="77777777" w:rsidTr="0016738C">
        <w:tc>
          <w:tcPr>
            <w:tcW w:w="2235" w:type="dxa"/>
          </w:tcPr>
          <w:p w14:paraId="07F06F2D" w14:textId="51CA4F05" w:rsidR="002D18A7" w:rsidRPr="00BB4DAB" w:rsidRDefault="00CA5835" w:rsidP="002D18A7">
            <w:pPr>
              <w:keepNext/>
              <w:keepLines/>
              <w:rPr>
                <w:rStyle w:val="CommentReference"/>
                <w:b w:val="0"/>
                <w:bCs/>
                <w:szCs w:val="24"/>
              </w:rPr>
            </w:pPr>
            <w:r w:rsidRPr="00BB4DAB">
              <w:rPr>
                <w:rStyle w:val="CommentReference"/>
                <w:b w:val="0"/>
                <w:bCs/>
                <w:szCs w:val="24"/>
              </w:rPr>
              <w:t>#1 and #2 and #3 and #4</w:t>
            </w:r>
          </w:p>
        </w:tc>
        <w:tc>
          <w:tcPr>
            <w:tcW w:w="1275" w:type="dxa"/>
            <w:tcBorders>
              <w:bottom w:val="single" w:sz="4" w:space="0" w:color="auto"/>
            </w:tcBorders>
            <w:shd w:val="solid" w:color="000000" w:fill="000000"/>
            <w:vAlign w:val="center"/>
          </w:tcPr>
          <w:p w14:paraId="2DE5CA98" w14:textId="5081CC34" w:rsidR="002D18A7" w:rsidRPr="00B92B0E" w:rsidRDefault="0016738C" w:rsidP="005A399D">
            <w:pPr>
              <w:jc w:val="center"/>
              <w:rPr>
                <w:rStyle w:val="CommentReference"/>
                <w:b w:val="0"/>
                <w:bCs/>
                <w:szCs w:val="24"/>
                <w:highlight w:val="darkGray"/>
              </w:rPr>
            </w:pPr>
            <w:r>
              <w:rPr>
                <w:rStyle w:val="CommentReference"/>
                <w:rFonts w:hint="eastAsia"/>
                <w:b w:val="0"/>
                <w:bCs/>
                <w:color w:val="000000"/>
                <w:w w:val="15"/>
                <w:szCs w:val="24"/>
                <w:fitText w:val="20" w:id="-694443766"/>
                <w14:textFill>
                  <w14:solidFill>
                    <w14:srgbClr w14:val="000000">
                      <w14:alpha w14:val="100000"/>
                    </w14:srgbClr>
                  </w14:solidFill>
                </w14:textFill>
              </w:rPr>
              <w:t xml:space="preserve">　</w:t>
            </w:r>
            <w:r>
              <w:rPr>
                <w:rStyle w:val="CommentReference"/>
                <w:b w:val="0"/>
                <w:bCs/>
                <w:color w:val="000000"/>
                <w:w w:val="15"/>
                <w:szCs w:val="24"/>
                <w:fitText w:val="20" w:id="-694443766"/>
                <w14:textFill>
                  <w14:solidFill>
                    <w14:srgbClr w14:val="000000">
                      <w14:alpha w14:val="100000"/>
                    </w14:srgbClr>
                  </w14:solidFill>
                </w14:textFill>
              </w:rPr>
              <w:t>|</w:t>
            </w:r>
            <w:r>
              <w:rPr>
                <w:rStyle w:val="CommentReference"/>
                <w:rFonts w:hint="eastAsia"/>
                <w:b w:val="0"/>
                <w:bCs/>
                <w:color w:val="000000"/>
                <w:spacing w:val="-46"/>
                <w:w w:val="15"/>
                <w:szCs w:val="24"/>
                <w:fitText w:val="20" w:id="-694443766"/>
                <w14:textFill>
                  <w14:solidFill>
                    <w14:srgbClr w14:val="000000">
                      <w14:alpha w14:val="100000"/>
                    </w14:srgbClr>
                  </w14:solidFill>
                </w14:textFill>
              </w:rPr>
              <w:t xml:space="preserve">　</w:t>
            </w:r>
          </w:p>
        </w:tc>
        <w:tc>
          <w:tcPr>
            <w:tcW w:w="1275" w:type="dxa"/>
            <w:vAlign w:val="center"/>
          </w:tcPr>
          <w:p w14:paraId="6399FA5D" w14:textId="2EC9B88A" w:rsidR="002D18A7" w:rsidRPr="00BB4DAB" w:rsidRDefault="005A399D" w:rsidP="005A399D">
            <w:pPr>
              <w:jc w:val="center"/>
              <w:rPr>
                <w:rStyle w:val="CommentReference"/>
                <w:b w:val="0"/>
                <w:bCs/>
                <w:szCs w:val="24"/>
              </w:rPr>
            </w:pPr>
            <w:r w:rsidRPr="00BB4DAB">
              <w:rPr>
                <w:rStyle w:val="CommentReference"/>
                <w:b w:val="0"/>
                <w:bCs/>
                <w:szCs w:val="24"/>
              </w:rPr>
              <w:t>0.560</w:t>
            </w:r>
          </w:p>
        </w:tc>
        <w:tc>
          <w:tcPr>
            <w:tcW w:w="1337" w:type="dxa"/>
            <w:vAlign w:val="center"/>
          </w:tcPr>
          <w:p w14:paraId="2526B720" w14:textId="0BAECD73" w:rsidR="002D18A7" w:rsidRPr="00F043C4" w:rsidRDefault="0016738C" w:rsidP="005A399D">
            <w:pPr>
              <w:jc w:val="center"/>
              <w:rPr>
                <w:rStyle w:val="CommentReference"/>
                <w:b w:val="0"/>
                <w:bCs/>
                <w:szCs w:val="24"/>
                <w:highlight w:val="darkGray"/>
              </w:rPr>
            </w:pPr>
            <w:r>
              <w:rPr>
                <w:rStyle w:val="CommentReference"/>
                <w:rFonts w:hint="eastAsia"/>
                <w:b w:val="0"/>
                <w:bCs/>
                <w:color w:val="000000"/>
                <w:w w:val="15"/>
                <w:szCs w:val="24"/>
                <w:shd w:val="solid" w:color="000000" w:fill="000000"/>
                <w:fitText w:val="20" w:id="-694443765"/>
                <w14:textFill>
                  <w14:solidFill>
                    <w14:srgbClr w14:val="000000">
                      <w14:alpha w14:val="100000"/>
                    </w14:srgbClr>
                  </w14:solidFill>
                </w14:textFill>
              </w:rPr>
              <w:t xml:space="preserve">　</w:t>
            </w:r>
            <w:r>
              <w:rPr>
                <w:rStyle w:val="CommentReference"/>
                <w:b w:val="0"/>
                <w:bCs/>
                <w:color w:val="000000"/>
                <w:w w:val="15"/>
                <w:szCs w:val="24"/>
                <w:shd w:val="solid" w:color="000000" w:fill="000000"/>
                <w:fitText w:val="20" w:id="-694443765"/>
                <w14:textFill>
                  <w14:solidFill>
                    <w14:srgbClr w14:val="000000">
                      <w14:alpha w14:val="100000"/>
                    </w14:srgbClr>
                  </w14:solidFill>
                </w14:textFill>
              </w:rPr>
              <w:t>|</w:t>
            </w:r>
            <w:r>
              <w:rPr>
                <w:rStyle w:val="CommentReference"/>
                <w:rFonts w:hint="eastAsia"/>
                <w:b w:val="0"/>
                <w:bCs/>
                <w:color w:val="000000"/>
                <w:spacing w:val="-46"/>
                <w:w w:val="15"/>
                <w:szCs w:val="24"/>
                <w:shd w:val="solid" w:color="000000" w:fill="000000"/>
                <w:fitText w:val="20" w:id="-694443765"/>
                <w14:textFill>
                  <w14:solidFill>
                    <w14:srgbClr w14:val="000000">
                      <w14:alpha w14:val="100000"/>
                    </w14:srgbClr>
                  </w14:solidFill>
                </w14:textFill>
              </w:rPr>
              <w:t xml:space="preserve">　</w:t>
            </w:r>
            <w:r w:rsidR="00135F40" w:rsidRPr="005901D5">
              <w:rPr>
                <w:rStyle w:val="CommentReference"/>
                <w:b w:val="0"/>
                <w:szCs w:val="20"/>
                <w:vertAlign w:val="superscript"/>
              </w:rPr>
              <w:t>2</w:t>
            </w:r>
          </w:p>
        </w:tc>
        <w:tc>
          <w:tcPr>
            <w:tcW w:w="2895" w:type="dxa"/>
            <w:vAlign w:val="center"/>
          </w:tcPr>
          <w:p w14:paraId="594C0B55" w14:textId="65664C68" w:rsidR="002D18A7" w:rsidRPr="00BB4DAB" w:rsidRDefault="005A399D" w:rsidP="002D18A7">
            <w:pPr>
              <w:keepNext/>
              <w:keepLines/>
              <w:jc w:val="center"/>
              <w:rPr>
                <w:rStyle w:val="CommentReference"/>
                <w:b w:val="0"/>
                <w:szCs w:val="24"/>
              </w:rPr>
            </w:pPr>
            <w:r w:rsidRPr="00BB4DAB">
              <w:rPr>
                <w:rStyle w:val="CommentReference"/>
                <w:b w:val="0"/>
                <w:szCs w:val="24"/>
              </w:rPr>
              <w:t>+</w:t>
            </w:r>
            <w:r w:rsidR="0016738C" w:rsidRPr="0016738C">
              <w:rPr>
                <w:rStyle w:val="CommentReference"/>
                <w:b w:val="0"/>
                <w:color w:val="000000"/>
                <w:szCs w:val="24"/>
                <w:shd w:val="solid" w:color="000000" w:fill="000000"/>
                <w14:textFill>
                  <w14:solidFill>
                    <w14:srgbClr w14:val="000000">
                      <w14:alpha w14:val="100000"/>
                    </w14:srgbClr>
                  </w14:solidFill>
                </w14:textFill>
              </w:rPr>
              <w:t>|</w:t>
            </w:r>
            <w:r w:rsidRPr="00BB4DAB">
              <w:rPr>
                <w:rStyle w:val="CommentReference"/>
                <w:b w:val="0"/>
                <w:szCs w:val="24"/>
              </w:rPr>
              <w:t>%</w:t>
            </w:r>
          </w:p>
        </w:tc>
      </w:tr>
      <w:tr w:rsidR="00975610" w:rsidRPr="00BB4DAB" w14:paraId="38F4EC5F" w14:textId="77777777" w:rsidTr="0016738C">
        <w:tc>
          <w:tcPr>
            <w:tcW w:w="2235" w:type="dxa"/>
          </w:tcPr>
          <w:p w14:paraId="4588F805" w14:textId="55D18BC4" w:rsidR="005A399D" w:rsidRPr="00BB4DAB" w:rsidRDefault="005A399D" w:rsidP="005A399D">
            <w:pPr>
              <w:keepNext/>
              <w:keepLines/>
              <w:rPr>
                <w:rStyle w:val="CommentReference"/>
                <w:b w:val="0"/>
                <w:bCs/>
                <w:szCs w:val="24"/>
              </w:rPr>
            </w:pPr>
            <w:r w:rsidRPr="00BB4DAB">
              <w:rPr>
                <w:rStyle w:val="CommentReference"/>
                <w:b w:val="0"/>
                <w:bCs/>
                <w:szCs w:val="24"/>
              </w:rPr>
              <w:t>#1 and #2 and #</w:t>
            </w:r>
            <w:r w:rsidR="004B4FED" w:rsidRPr="00BB4DAB">
              <w:rPr>
                <w:rStyle w:val="CommentReference"/>
                <w:b w:val="0"/>
                <w:bCs/>
                <w:szCs w:val="24"/>
              </w:rPr>
              <w:t>5</w:t>
            </w:r>
            <w:r w:rsidRPr="00BB4DAB">
              <w:rPr>
                <w:rStyle w:val="CommentReference"/>
                <w:b w:val="0"/>
                <w:bCs/>
                <w:szCs w:val="24"/>
              </w:rPr>
              <w:t xml:space="preserve"> and #4</w:t>
            </w:r>
          </w:p>
        </w:tc>
        <w:tc>
          <w:tcPr>
            <w:tcW w:w="1275" w:type="dxa"/>
            <w:tcBorders>
              <w:bottom w:val="single" w:sz="4" w:space="0" w:color="auto"/>
            </w:tcBorders>
            <w:shd w:val="solid" w:color="000000" w:fill="000000"/>
            <w:vAlign w:val="center"/>
          </w:tcPr>
          <w:p w14:paraId="329FA9A4" w14:textId="582AC173" w:rsidR="005A399D" w:rsidRPr="00B92B0E" w:rsidRDefault="0016738C" w:rsidP="000B73CE">
            <w:pPr>
              <w:jc w:val="center"/>
              <w:rPr>
                <w:rStyle w:val="CommentReference"/>
                <w:b w:val="0"/>
                <w:bCs/>
                <w:szCs w:val="24"/>
                <w:highlight w:val="darkGray"/>
              </w:rPr>
            </w:pPr>
            <w:r>
              <w:rPr>
                <w:rStyle w:val="CommentReference"/>
                <w:rFonts w:hint="eastAsia"/>
                <w:b w:val="0"/>
                <w:bCs/>
                <w:color w:val="000000"/>
                <w:w w:val="15"/>
                <w:szCs w:val="24"/>
                <w:fitText w:val="20" w:id="-694443764"/>
                <w14:textFill>
                  <w14:solidFill>
                    <w14:srgbClr w14:val="000000">
                      <w14:alpha w14:val="100000"/>
                    </w14:srgbClr>
                  </w14:solidFill>
                </w14:textFill>
              </w:rPr>
              <w:t xml:space="preserve">　</w:t>
            </w:r>
            <w:r>
              <w:rPr>
                <w:rStyle w:val="CommentReference"/>
                <w:b w:val="0"/>
                <w:bCs/>
                <w:color w:val="000000"/>
                <w:w w:val="15"/>
                <w:szCs w:val="24"/>
                <w:fitText w:val="20" w:id="-694443764"/>
                <w14:textFill>
                  <w14:solidFill>
                    <w14:srgbClr w14:val="000000">
                      <w14:alpha w14:val="100000"/>
                    </w14:srgbClr>
                  </w14:solidFill>
                </w14:textFill>
              </w:rPr>
              <w:t>|</w:t>
            </w:r>
            <w:r>
              <w:rPr>
                <w:rStyle w:val="CommentReference"/>
                <w:rFonts w:hint="eastAsia"/>
                <w:b w:val="0"/>
                <w:bCs/>
                <w:color w:val="000000"/>
                <w:spacing w:val="-46"/>
                <w:w w:val="15"/>
                <w:szCs w:val="24"/>
                <w:fitText w:val="20" w:id="-694443764"/>
                <w14:textFill>
                  <w14:solidFill>
                    <w14:srgbClr w14:val="000000">
                      <w14:alpha w14:val="100000"/>
                    </w14:srgbClr>
                  </w14:solidFill>
                </w14:textFill>
              </w:rPr>
              <w:t xml:space="preserve">　</w:t>
            </w:r>
          </w:p>
        </w:tc>
        <w:tc>
          <w:tcPr>
            <w:tcW w:w="1275" w:type="dxa"/>
            <w:vAlign w:val="center"/>
          </w:tcPr>
          <w:p w14:paraId="323BB98B" w14:textId="047F67D0" w:rsidR="005A399D" w:rsidRPr="00BB4DAB" w:rsidRDefault="000B73CE" w:rsidP="000B73CE">
            <w:pPr>
              <w:jc w:val="center"/>
              <w:rPr>
                <w:rStyle w:val="CommentReference"/>
                <w:b w:val="0"/>
                <w:bCs/>
                <w:szCs w:val="24"/>
              </w:rPr>
            </w:pPr>
            <w:r w:rsidRPr="00BB4DAB">
              <w:rPr>
                <w:rStyle w:val="CommentReference"/>
                <w:b w:val="0"/>
                <w:bCs/>
                <w:szCs w:val="24"/>
              </w:rPr>
              <w:t>0.373</w:t>
            </w:r>
          </w:p>
        </w:tc>
        <w:tc>
          <w:tcPr>
            <w:tcW w:w="1337" w:type="dxa"/>
            <w:vAlign w:val="center"/>
          </w:tcPr>
          <w:p w14:paraId="3849CF7B" w14:textId="4F1C14E4" w:rsidR="005A399D" w:rsidRPr="00F043C4" w:rsidRDefault="0016738C" w:rsidP="000B73CE">
            <w:pPr>
              <w:jc w:val="center"/>
              <w:rPr>
                <w:rStyle w:val="CommentReference"/>
                <w:b w:val="0"/>
                <w:bCs/>
                <w:szCs w:val="24"/>
                <w:highlight w:val="darkGray"/>
              </w:rPr>
            </w:pPr>
            <w:r>
              <w:rPr>
                <w:rStyle w:val="CommentReference"/>
                <w:rFonts w:hint="eastAsia"/>
                <w:b w:val="0"/>
                <w:bCs/>
                <w:color w:val="000000"/>
                <w:w w:val="15"/>
                <w:szCs w:val="24"/>
                <w:shd w:val="solid" w:color="000000" w:fill="000000"/>
                <w:fitText w:val="20" w:id="-694443763"/>
                <w14:textFill>
                  <w14:solidFill>
                    <w14:srgbClr w14:val="000000">
                      <w14:alpha w14:val="100000"/>
                    </w14:srgbClr>
                  </w14:solidFill>
                </w14:textFill>
              </w:rPr>
              <w:t xml:space="preserve">　</w:t>
            </w:r>
            <w:r>
              <w:rPr>
                <w:rStyle w:val="CommentReference"/>
                <w:b w:val="0"/>
                <w:bCs/>
                <w:color w:val="000000"/>
                <w:w w:val="15"/>
                <w:szCs w:val="24"/>
                <w:shd w:val="solid" w:color="000000" w:fill="000000"/>
                <w:fitText w:val="20" w:id="-694443763"/>
                <w14:textFill>
                  <w14:solidFill>
                    <w14:srgbClr w14:val="000000">
                      <w14:alpha w14:val="100000"/>
                    </w14:srgbClr>
                  </w14:solidFill>
                </w14:textFill>
              </w:rPr>
              <w:t>|</w:t>
            </w:r>
            <w:r>
              <w:rPr>
                <w:rStyle w:val="CommentReference"/>
                <w:rFonts w:hint="eastAsia"/>
                <w:b w:val="0"/>
                <w:bCs/>
                <w:color w:val="000000"/>
                <w:spacing w:val="-46"/>
                <w:w w:val="15"/>
                <w:szCs w:val="24"/>
                <w:shd w:val="solid" w:color="000000" w:fill="000000"/>
                <w:fitText w:val="20" w:id="-694443763"/>
                <w14:textFill>
                  <w14:solidFill>
                    <w14:srgbClr w14:val="000000">
                      <w14:alpha w14:val="100000"/>
                    </w14:srgbClr>
                  </w14:solidFill>
                </w14:textFill>
              </w:rPr>
              <w:t xml:space="preserve">　</w:t>
            </w:r>
            <w:r w:rsidR="00FB29FF" w:rsidRPr="00FB29FF">
              <w:rPr>
                <w:rStyle w:val="CommentReference"/>
                <w:b w:val="0"/>
                <w:szCs w:val="20"/>
                <w:vertAlign w:val="superscript"/>
              </w:rPr>
              <w:t>3</w:t>
            </w:r>
          </w:p>
        </w:tc>
        <w:tc>
          <w:tcPr>
            <w:tcW w:w="2895" w:type="dxa"/>
            <w:vAlign w:val="center"/>
          </w:tcPr>
          <w:p w14:paraId="02A96E30" w14:textId="7493E6CC" w:rsidR="005A399D" w:rsidRPr="00BB4DAB" w:rsidRDefault="004B4FED" w:rsidP="005A399D">
            <w:pPr>
              <w:keepNext/>
              <w:keepLines/>
              <w:jc w:val="center"/>
              <w:rPr>
                <w:rStyle w:val="CommentReference"/>
                <w:b w:val="0"/>
                <w:bCs/>
                <w:szCs w:val="24"/>
              </w:rPr>
            </w:pPr>
            <w:r w:rsidRPr="00BB4DAB">
              <w:rPr>
                <w:rStyle w:val="CommentReference"/>
                <w:b w:val="0"/>
                <w:bCs/>
                <w:szCs w:val="24"/>
              </w:rPr>
              <w:t>+</w:t>
            </w:r>
            <w:r w:rsidR="0016738C" w:rsidRPr="0016738C">
              <w:rPr>
                <w:rStyle w:val="CommentReference"/>
                <w:b w:val="0"/>
                <w:bCs/>
                <w:color w:val="000000"/>
                <w:szCs w:val="24"/>
                <w:shd w:val="solid" w:color="000000" w:fill="000000"/>
                <w14:textFill>
                  <w14:solidFill>
                    <w14:srgbClr w14:val="000000">
                      <w14:alpha w14:val="100000"/>
                    </w14:srgbClr>
                  </w14:solidFill>
                </w14:textFill>
              </w:rPr>
              <w:t>|</w:t>
            </w:r>
            <w:r w:rsidRPr="00BB4DAB">
              <w:rPr>
                <w:rStyle w:val="CommentReference"/>
                <w:b w:val="0"/>
                <w:bCs/>
                <w:szCs w:val="24"/>
              </w:rPr>
              <w:t>%</w:t>
            </w:r>
          </w:p>
        </w:tc>
      </w:tr>
      <w:tr w:rsidR="000B73CE" w:rsidRPr="00BB4DAB" w14:paraId="53701C5A" w14:textId="77777777" w:rsidTr="0016738C">
        <w:tc>
          <w:tcPr>
            <w:tcW w:w="2235" w:type="dxa"/>
          </w:tcPr>
          <w:p w14:paraId="4ED383B4" w14:textId="38005C9B" w:rsidR="000B73CE" w:rsidRPr="00BB4DAB" w:rsidRDefault="000B73CE" w:rsidP="000B73CE">
            <w:pPr>
              <w:keepNext/>
              <w:keepLines/>
              <w:rPr>
                <w:rStyle w:val="CommentReference"/>
                <w:b w:val="0"/>
                <w:bCs/>
                <w:szCs w:val="24"/>
              </w:rPr>
            </w:pPr>
            <w:r w:rsidRPr="00BB4DAB">
              <w:rPr>
                <w:rStyle w:val="CommentReference"/>
                <w:b w:val="0"/>
                <w:bCs/>
                <w:szCs w:val="24"/>
              </w:rPr>
              <w:t>#1 and #2 and #6 and #4</w:t>
            </w:r>
          </w:p>
        </w:tc>
        <w:tc>
          <w:tcPr>
            <w:tcW w:w="1275" w:type="dxa"/>
            <w:shd w:val="solid" w:color="000000" w:fill="000000"/>
            <w:vAlign w:val="center"/>
          </w:tcPr>
          <w:p w14:paraId="23708043" w14:textId="0E2A5694" w:rsidR="000B73CE" w:rsidRPr="00B92B0E" w:rsidRDefault="0016738C" w:rsidP="00975610">
            <w:pPr>
              <w:jc w:val="center"/>
              <w:rPr>
                <w:rStyle w:val="CommentReference"/>
                <w:b w:val="0"/>
                <w:bCs/>
                <w:szCs w:val="24"/>
                <w:highlight w:val="darkGray"/>
              </w:rPr>
            </w:pPr>
            <w:r>
              <w:rPr>
                <w:rStyle w:val="CommentReference"/>
                <w:rFonts w:hint="eastAsia"/>
                <w:b w:val="0"/>
                <w:bCs/>
                <w:color w:val="000000"/>
                <w:w w:val="15"/>
                <w:szCs w:val="24"/>
                <w:fitText w:val="20" w:id="-694443762"/>
                <w14:textFill>
                  <w14:solidFill>
                    <w14:srgbClr w14:val="000000">
                      <w14:alpha w14:val="100000"/>
                    </w14:srgbClr>
                  </w14:solidFill>
                </w14:textFill>
              </w:rPr>
              <w:t xml:space="preserve">　</w:t>
            </w:r>
            <w:r>
              <w:rPr>
                <w:rStyle w:val="CommentReference"/>
                <w:b w:val="0"/>
                <w:bCs/>
                <w:color w:val="000000"/>
                <w:w w:val="15"/>
                <w:szCs w:val="24"/>
                <w:fitText w:val="20" w:id="-694443762"/>
                <w14:textFill>
                  <w14:solidFill>
                    <w14:srgbClr w14:val="000000">
                      <w14:alpha w14:val="100000"/>
                    </w14:srgbClr>
                  </w14:solidFill>
                </w14:textFill>
              </w:rPr>
              <w:t>|</w:t>
            </w:r>
            <w:r>
              <w:rPr>
                <w:rStyle w:val="CommentReference"/>
                <w:rFonts w:hint="eastAsia"/>
                <w:b w:val="0"/>
                <w:bCs/>
                <w:color w:val="000000"/>
                <w:spacing w:val="-46"/>
                <w:w w:val="15"/>
                <w:szCs w:val="24"/>
                <w:fitText w:val="20" w:id="-694443762"/>
                <w14:textFill>
                  <w14:solidFill>
                    <w14:srgbClr w14:val="000000">
                      <w14:alpha w14:val="100000"/>
                    </w14:srgbClr>
                  </w14:solidFill>
                </w14:textFill>
              </w:rPr>
              <w:t xml:space="preserve">　</w:t>
            </w:r>
          </w:p>
        </w:tc>
        <w:tc>
          <w:tcPr>
            <w:tcW w:w="1275" w:type="dxa"/>
            <w:vAlign w:val="center"/>
          </w:tcPr>
          <w:p w14:paraId="2DF54516" w14:textId="47797FBA" w:rsidR="000B73CE" w:rsidRPr="00BB4DAB" w:rsidRDefault="00975610" w:rsidP="00975610">
            <w:pPr>
              <w:jc w:val="center"/>
              <w:rPr>
                <w:rStyle w:val="CommentReference"/>
                <w:b w:val="0"/>
                <w:bCs/>
                <w:szCs w:val="24"/>
              </w:rPr>
            </w:pPr>
            <w:r w:rsidRPr="00BB4DAB">
              <w:rPr>
                <w:rStyle w:val="CommentReference"/>
                <w:b w:val="0"/>
                <w:bCs/>
                <w:szCs w:val="24"/>
              </w:rPr>
              <w:t>0.694</w:t>
            </w:r>
          </w:p>
        </w:tc>
        <w:tc>
          <w:tcPr>
            <w:tcW w:w="1337" w:type="dxa"/>
            <w:vAlign w:val="center"/>
          </w:tcPr>
          <w:p w14:paraId="3568200E" w14:textId="0720EB30" w:rsidR="000B73CE" w:rsidRPr="00F043C4" w:rsidRDefault="0016738C" w:rsidP="00975610">
            <w:pPr>
              <w:jc w:val="center"/>
              <w:rPr>
                <w:rStyle w:val="CommentReference"/>
                <w:b w:val="0"/>
                <w:bCs/>
                <w:szCs w:val="24"/>
                <w:highlight w:val="darkGray"/>
              </w:rPr>
            </w:pPr>
            <w:r>
              <w:rPr>
                <w:rStyle w:val="CommentReference"/>
                <w:rFonts w:hint="eastAsia"/>
                <w:b w:val="0"/>
                <w:bCs/>
                <w:color w:val="000000"/>
                <w:w w:val="15"/>
                <w:szCs w:val="24"/>
                <w:shd w:val="solid" w:color="000000" w:fill="000000"/>
                <w:fitText w:val="20" w:id="-694443761"/>
                <w14:textFill>
                  <w14:solidFill>
                    <w14:srgbClr w14:val="000000">
                      <w14:alpha w14:val="100000"/>
                    </w14:srgbClr>
                  </w14:solidFill>
                </w14:textFill>
              </w:rPr>
              <w:t xml:space="preserve">　</w:t>
            </w:r>
            <w:r>
              <w:rPr>
                <w:rStyle w:val="CommentReference"/>
                <w:b w:val="0"/>
                <w:bCs/>
                <w:color w:val="000000"/>
                <w:w w:val="15"/>
                <w:szCs w:val="24"/>
                <w:shd w:val="solid" w:color="000000" w:fill="000000"/>
                <w:fitText w:val="20" w:id="-694443761"/>
                <w14:textFill>
                  <w14:solidFill>
                    <w14:srgbClr w14:val="000000">
                      <w14:alpha w14:val="100000"/>
                    </w14:srgbClr>
                  </w14:solidFill>
                </w14:textFill>
              </w:rPr>
              <w:t>|</w:t>
            </w:r>
            <w:r>
              <w:rPr>
                <w:rStyle w:val="CommentReference"/>
                <w:rFonts w:hint="eastAsia"/>
                <w:b w:val="0"/>
                <w:bCs/>
                <w:color w:val="000000"/>
                <w:spacing w:val="-46"/>
                <w:w w:val="15"/>
                <w:szCs w:val="24"/>
                <w:shd w:val="solid" w:color="000000" w:fill="000000"/>
                <w:fitText w:val="20" w:id="-694443761"/>
                <w14:textFill>
                  <w14:solidFill>
                    <w14:srgbClr w14:val="000000">
                      <w14:alpha w14:val="100000"/>
                    </w14:srgbClr>
                  </w14:solidFill>
                </w14:textFill>
              </w:rPr>
              <w:t xml:space="preserve">　</w:t>
            </w:r>
            <w:r w:rsidR="00414064" w:rsidRPr="00FB29FF">
              <w:rPr>
                <w:rFonts w:ascii="Arial Narrow" w:hAnsi="Arial Narrow"/>
                <w:sz w:val="20"/>
                <w:szCs w:val="20"/>
                <w:vertAlign w:val="superscript"/>
              </w:rPr>
              <w:t>4</w:t>
            </w:r>
          </w:p>
        </w:tc>
        <w:tc>
          <w:tcPr>
            <w:tcW w:w="2895" w:type="dxa"/>
            <w:vAlign w:val="center"/>
          </w:tcPr>
          <w:p w14:paraId="76A2825D" w14:textId="08C514CE" w:rsidR="000B73CE" w:rsidRPr="00BB4DAB" w:rsidRDefault="00975610" w:rsidP="000B73CE">
            <w:pPr>
              <w:keepNext/>
              <w:keepLines/>
              <w:jc w:val="center"/>
              <w:rPr>
                <w:rStyle w:val="CommentReference"/>
                <w:b w:val="0"/>
                <w:bCs/>
                <w:szCs w:val="24"/>
              </w:rPr>
            </w:pPr>
            <w:r w:rsidRPr="00BB4DAB">
              <w:rPr>
                <w:rStyle w:val="CommentReference"/>
                <w:b w:val="0"/>
                <w:bCs/>
                <w:szCs w:val="24"/>
              </w:rPr>
              <w:t>+</w:t>
            </w:r>
            <w:r w:rsidR="0016738C" w:rsidRPr="0016738C">
              <w:rPr>
                <w:rStyle w:val="CommentReference"/>
                <w:b w:val="0"/>
                <w:bCs/>
                <w:color w:val="000000"/>
                <w:szCs w:val="24"/>
                <w:shd w:val="solid" w:color="000000" w:fill="000000"/>
                <w14:textFill>
                  <w14:solidFill>
                    <w14:srgbClr w14:val="000000">
                      <w14:alpha w14:val="100000"/>
                    </w14:srgbClr>
                  </w14:solidFill>
                </w14:textFill>
              </w:rPr>
              <w:t>|</w:t>
            </w:r>
            <w:r w:rsidRPr="00BB4DAB">
              <w:rPr>
                <w:rStyle w:val="CommentReference"/>
                <w:b w:val="0"/>
                <w:bCs/>
                <w:szCs w:val="24"/>
              </w:rPr>
              <w:t>%</w:t>
            </w:r>
          </w:p>
        </w:tc>
      </w:tr>
    </w:tbl>
    <w:p w14:paraId="67B36660" w14:textId="24AAFA8B" w:rsidR="00742110" w:rsidRPr="00BB4DAB" w:rsidRDefault="00742110" w:rsidP="00DB0228">
      <w:pPr>
        <w:pStyle w:val="FooterTableFigure"/>
        <w:keepNext/>
        <w:keepLines/>
        <w:rPr>
          <w:rStyle w:val="CommentReference"/>
        </w:rPr>
      </w:pPr>
      <w:r w:rsidRPr="00BB4DAB">
        <w:t>Source: Table 3-25 of the submission and sensitivity analysis performed during the evaluation</w:t>
      </w:r>
      <w:r w:rsidR="00A253E7">
        <w:t>.</w:t>
      </w:r>
      <w:r w:rsidR="00BF0512" w:rsidRPr="00BB4DAB">
        <w:tab/>
      </w:r>
    </w:p>
    <w:p w14:paraId="7F28AF72" w14:textId="77777777" w:rsidR="00D065BF" w:rsidRDefault="00C259E2" w:rsidP="00D065BF">
      <w:pPr>
        <w:pStyle w:val="FooterTableFigure"/>
        <w:rPr>
          <w:rFonts w:eastAsia="Calibri"/>
          <w:szCs w:val="20"/>
        </w:rPr>
      </w:pPr>
      <w:r w:rsidRPr="00BB4DAB">
        <w:t xml:space="preserve">AIC, Akaike’s Information Criterion; BIC, Bayesian Information Criterion; ICER, incremental cost-effective ratio; OS, overall survival; PD, progressive disease; PF, progression-free; </w:t>
      </w:r>
      <w:r w:rsidR="00742110" w:rsidRPr="00BB4DAB">
        <w:rPr>
          <w:rFonts w:eastAsia="Calibri"/>
          <w:szCs w:val="20"/>
        </w:rPr>
        <w:t>QALY, quality adjusted life year.</w:t>
      </w:r>
      <w:r w:rsidR="00D065BF">
        <w:rPr>
          <w:rFonts w:eastAsia="Calibri"/>
          <w:szCs w:val="20"/>
        </w:rPr>
        <w:t xml:space="preserve"> </w:t>
      </w:r>
    </w:p>
    <w:p w14:paraId="5172EBE4" w14:textId="2DF084F0" w:rsidR="00D065BF" w:rsidRPr="00D065BF" w:rsidRDefault="00D065BF" w:rsidP="00D065BF">
      <w:pPr>
        <w:pStyle w:val="FooterTableFigure"/>
        <w:rPr>
          <w:rFonts w:eastAsia="Calibri"/>
          <w:szCs w:val="20"/>
        </w:rPr>
      </w:pPr>
      <w:r w:rsidRPr="00D065BF">
        <w:rPr>
          <w:rFonts w:eastAsia="Calibri"/>
          <w:szCs w:val="20"/>
        </w:rPr>
        <w:t>The redacted values correspond to the following ranges</w:t>
      </w:r>
    </w:p>
    <w:p w14:paraId="4B36AC6E" w14:textId="77777777" w:rsidR="00A06FD7" w:rsidRDefault="00704D74" w:rsidP="00A06FD7">
      <w:pPr>
        <w:pStyle w:val="FooterTableFigure"/>
        <w:keepNext/>
        <w:rPr>
          <w:rFonts w:eastAsia="Calibri"/>
          <w:szCs w:val="20"/>
        </w:rPr>
      </w:pPr>
      <w:r>
        <w:rPr>
          <w:rFonts w:eastAsia="Calibri"/>
          <w:szCs w:val="20"/>
          <w:vertAlign w:val="superscript"/>
        </w:rPr>
        <w:t>1</w:t>
      </w:r>
      <w:r w:rsidR="00D065BF" w:rsidRPr="00D065BF">
        <w:rPr>
          <w:rFonts w:eastAsia="Calibri"/>
          <w:szCs w:val="20"/>
        </w:rPr>
        <w:t xml:space="preserve"> $155,000 to &lt; $255,000</w:t>
      </w:r>
      <w:r w:rsidR="00A06FD7">
        <w:rPr>
          <w:rFonts w:eastAsia="Calibri"/>
          <w:szCs w:val="20"/>
        </w:rPr>
        <w:t xml:space="preserve"> </w:t>
      </w:r>
    </w:p>
    <w:p w14:paraId="5E45266F" w14:textId="77777777" w:rsidR="009D3A19" w:rsidRDefault="00A06FD7" w:rsidP="009D3A19">
      <w:pPr>
        <w:pStyle w:val="FooterTableFigure"/>
        <w:keepNext/>
        <w:rPr>
          <w:rFonts w:eastAsia="Calibri"/>
          <w:szCs w:val="20"/>
        </w:rPr>
      </w:pPr>
      <w:r w:rsidRPr="00A06FD7">
        <w:rPr>
          <w:rFonts w:eastAsia="Calibri"/>
          <w:szCs w:val="20"/>
          <w:vertAlign w:val="superscript"/>
        </w:rPr>
        <w:t>2</w:t>
      </w:r>
      <w:r>
        <w:rPr>
          <w:rFonts w:eastAsia="Calibri"/>
          <w:szCs w:val="20"/>
        </w:rPr>
        <w:t xml:space="preserve"> </w:t>
      </w:r>
      <w:r w:rsidRPr="00A06FD7">
        <w:rPr>
          <w:rFonts w:eastAsia="Calibri"/>
          <w:szCs w:val="20"/>
        </w:rPr>
        <w:t>$355,000 to &lt; $455,000</w:t>
      </w:r>
      <w:r w:rsidR="009D3A19">
        <w:rPr>
          <w:rFonts w:eastAsia="Calibri"/>
          <w:szCs w:val="20"/>
        </w:rPr>
        <w:t xml:space="preserve"> </w:t>
      </w:r>
    </w:p>
    <w:p w14:paraId="125B22F4" w14:textId="77777777" w:rsidR="00E26C30" w:rsidRDefault="009D3A19" w:rsidP="00E26C30">
      <w:pPr>
        <w:pStyle w:val="FooterTableFigure"/>
        <w:keepNext/>
        <w:rPr>
          <w:rFonts w:eastAsia="Calibri"/>
          <w:szCs w:val="20"/>
        </w:rPr>
      </w:pPr>
      <w:r w:rsidRPr="009D3A19">
        <w:rPr>
          <w:rFonts w:eastAsia="Calibri"/>
          <w:szCs w:val="20"/>
          <w:vertAlign w:val="superscript"/>
        </w:rPr>
        <w:t>3</w:t>
      </w:r>
      <w:r>
        <w:rPr>
          <w:rFonts w:eastAsia="Calibri"/>
          <w:szCs w:val="20"/>
        </w:rPr>
        <w:t xml:space="preserve"> </w:t>
      </w:r>
      <w:r w:rsidRPr="00D065BF">
        <w:rPr>
          <w:rFonts w:eastAsia="Calibri"/>
          <w:szCs w:val="20"/>
        </w:rPr>
        <w:t>$555,000 to &lt; $655,000</w:t>
      </w:r>
      <w:r w:rsidR="00E26C30">
        <w:rPr>
          <w:rFonts w:eastAsia="Calibri"/>
          <w:szCs w:val="20"/>
        </w:rPr>
        <w:t xml:space="preserve"> </w:t>
      </w:r>
    </w:p>
    <w:p w14:paraId="03D3580B" w14:textId="77777777" w:rsidR="00987454" w:rsidRDefault="00E26C30" w:rsidP="00987454">
      <w:pPr>
        <w:pStyle w:val="FooterTableFigure"/>
        <w:keepNext/>
        <w:rPr>
          <w:rFonts w:eastAsia="Calibri"/>
          <w:szCs w:val="20"/>
        </w:rPr>
      </w:pPr>
      <w:r w:rsidRPr="00E26C30">
        <w:rPr>
          <w:rFonts w:eastAsia="Calibri"/>
          <w:szCs w:val="20"/>
          <w:vertAlign w:val="superscript"/>
        </w:rPr>
        <w:t>4</w:t>
      </w:r>
      <w:r>
        <w:rPr>
          <w:rFonts w:eastAsia="Calibri"/>
          <w:szCs w:val="20"/>
        </w:rPr>
        <w:t xml:space="preserve"> </w:t>
      </w:r>
      <w:r w:rsidRPr="00E26C30">
        <w:rPr>
          <w:rFonts w:eastAsia="Calibri"/>
          <w:szCs w:val="20"/>
        </w:rPr>
        <w:t>$255,000 to &lt; $355,000</w:t>
      </w:r>
      <w:r w:rsidR="00987454">
        <w:rPr>
          <w:rFonts w:eastAsia="Calibri"/>
          <w:szCs w:val="20"/>
        </w:rPr>
        <w:t xml:space="preserve"> </w:t>
      </w:r>
    </w:p>
    <w:p w14:paraId="385B459E" w14:textId="77777777" w:rsidR="00CD7F43" w:rsidRDefault="00987454" w:rsidP="00CD7F43">
      <w:pPr>
        <w:pStyle w:val="FooterTableFigure"/>
        <w:keepNext/>
        <w:rPr>
          <w:rFonts w:eastAsia="Calibri"/>
          <w:szCs w:val="20"/>
        </w:rPr>
      </w:pPr>
      <w:r w:rsidRPr="00987454">
        <w:rPr>
          <w:rFonts w:eastAsia="Calibri"/>
          <w:szCs w:val="20"/>
          <w:vertAlign w:val="superscript"/>
        </w:rPr>
        <w:t>5</w:t>
      </w:r>
      <w:r>
        <w:rPr>
          <w:rFonts w:eastAsia="Calibri"/>
          <w:szCs w:val="20"/>
        </w:rPr>
        <w:t xml:space="preserve"> </w:t>
      </w:r>
      <w:r w:rsidRPr="00987454">
        <w:rPr>
          <w:rFonts w:eastAsia="Calibri"/>
          <w:szCs w:val="20"/>
        </w:rPr>
        <w:t>$455,000 to &lt; $555,000</w:t>
      </w:r>
      <w:r w:rsidR="00CD7F43">
        <w:rPr>
          <w:rFonts w:eastAsia="Calibri"/>
          <w:szCs w:val="20"/>
        </w:rPr>
        <w:t xml:space="preserve"> </w:t>
      </w:r>
    </w:p>
    <w:p w14:paraId="69C24054" w14:textId="77777777" w:rsidR="00303517" w:rsidRDefault="00CD7F43" w:rsidP="00303517">
      <w:pPr>
        <w:pStyle w:val="FooterTableFigure"/>
        <w:keepNext/>
        <w:rPr>
          <w:rFonts w:eastAsia="Calibri"/>
          <w:szCs w:val="20"/>
        </w:rPr>
      </w:pPr>
      <w:r w:rsidRPr="00CD7F43">
        <w:rPr>
          <w:rFonts w:eastAsia="Calibri"/>
          <w:szCs w:val="20"/>
          <w:vertAlign w:val="superscript"/>
        </w:rPr>
        <w:t>6</w:t>
      </w:r>
      <w:r>
        <w:rPr>
          <w:rFonts w:eastAsia="Calibri"/>
          <w:szCs w:val="20"/>
        </w:rPr>
        <w:t xml:space="preserve"> </w:t>
      </w:r>
      <w:r w:rsidRPr="00D065BF">
        <w:rPr>
          <w:rFonts w:eastAsia="Calibri"/>
          <w:szCs w:val="20"/>
        </w:rPr>
        <w:t xml:space="preserve">$135,000 to &lt; $155,000 </w:t>
      </w:r>
    </w:p>
    <w:p w14:paraId="2D868E45" w14:textId="535472BB" w:rsidR="00303517" w:rsidRPr="00303517" w:rsidRDefault="00303517" w:rsidP="00303517">
      <w:pPr>
        <w:pStyle w:val="FooterTableFigure"/>
        <w:keepNext/>
        <w:rPr>
          <w:rFonts w:eastAsia="Calibri"/>
          <w:szCs w:val="20"/>
        </w:rPr>
      </w:pPr>
      <w:r w:rsidRPr="00303517">
        <w:rPr>
          <w:rFonts w:eastAsia="Calibri"/>
          <w:szCs w:val="20"/>
          <w:vertAlign w:val="superscript"/>
        </w:rPr>
        <w:t>7</w:t>
      </w:r>
      <w:r>
        <w:rPr>
          <w:rFonts w:eastAsia="Calibri"/>
          <w:szCs w:val="20"/>
        </w:rPr>
        <w:t xml:space="preserve"> </w:t>
      </w:r>
      <w:r w:rsidRPr="00303517">
        <w:rPr>
          <w:rFonts w:eastAsia="Calibri"/>
          <w:szCs w:val="20"/>
        </w:rPr>
        <w:t xml:space="preserve">$95,000 to &lt; $115,000 </w:t>
      </w:r>
    </w:p>
    <w:p w14:paraId="0F838AC0" w14:textId="116EC07C" w:rsidR="00DE605D" w:rsidRPr="00BB4DAB" w:rsidRDefault="00385301" w:rsidP="00DE605D">
      <w:pPr>
        <w:pStyle w:val="3-BodyText"/>
      </w:pPr>
      <w:bookmarkStart w:id="49" w:name="_Ref193799609"/>
      <w:bookmarkStart w:id="50" w:name="_Toc188361226"/>
      <w:bookmarkStart w:id="51" w:name="_Toc22897647"/>
      <w:r w:rsidRPr="00BB4DAB">
        <w:t xml:space="preserve">The ESC noted a multi-variate sensitivity analysis </w:t>
      </w:r>
      <w:r w:rsidR="00537A19" w:rsidRPr="00BB4DAB">
        <w:t xml:space="preserve">that (i) used more of the KM OS data (ii) applied log-logistic extrapolation function to OS for both arms (iii) </w:t>
      </w:r>
      <w:r w:rsidR="00A753F1" w:rsidRPr="00BB4DAB">
        <w:t xml:space="preserve">used a </w:t>
      </w:r>
      <w:r w:rsidR="00750473" w:rsidRPr="00BB4DAB">
        <w:t>7.5</w:t>
      </w:r>
      <w:r w:rsidR="00E827AA" w:rsidRPr="00BB4DAB">
        <w:t>-</w:t>
      </w:r>
      <w:r w:rsidR="00A753F1" w:rsidRPr="00BB4DAB">
        <w:t>year time horizon and (iv) excluded terminal care costs resulted in an ICER of $</w:t>
      </w:r>
      <w:r w:rsidR="00BD2271" w:rsidRPr="00BD2271">
        <w:t>355,000 to &lt; $455,000</w:t>
      </w:r>
      <w:r w:rsidR="00055EAE">
        <w:t xml:space="preserve"> </w:t>
      </w:r>
      <w:r w:rsidR="00750473" w:rsidRPr="00BB4DAB">
        <w:t xml:space="preserve">per QALY.  </w:t>
      </w:r>
      <w:r w:rsidR="00F742D1" w:rsidRPr="00BB4DAB">
        <w:t xml:space="preserve">The ESC noted </w:t>
      </w:r>
      <w:r w:rsidR="00F2221B" w:rsidRPr="00BB4DAB">
        <w:t xml:space="preserve">that </w:t>
      </w:r>
      <w:r w:rsidR="00F742D1" w:rsidRPr="00BB4DAB">
        <w:t>a</w:t>
      </w:r>
      <w:r w:rsidR="00172BB3" w:rsidRPr="00BB4DAB">
        <w:t>pplying</w:t>
      </w:r>
      <w:r w:rsidR="001A0F7F" w:rsidRPr="00BB4DAB">
        <w:t xml:space="preserve"> </w:t>
      </w:r>
      <w:r w:rsidR="001C71F0" w:rsidRPr="00BB4DAB">
        <w:t>these</w:t>
      </w:r>
      <w:r w:rsidR="001A0F7F" w:rsidRPr="00BB4DAB">
        <w:t xml:space="preserve"> steps above but using</w:t>
      </w:r>
      <w:r w:rsidR="00172BB3" w:rsidRPr="00BB4DAB">
        <w:t xml:space="preserve"> a</w:t>
      </w:r>
      <w:r w:rsidR="00F742D1" w:rsidRPr="00BB4DAB">
        <w:t xml:space="preserve"> 5</w:t>
      </w:r>
      <w:r w:rsidR="00E827AA" w:rsidRPr="00BB4DAB">
        <w:t>-</w:t>
      </w:r>
      <w:r w:rsidR="00A55509" w:rsidRPr="00BB4DAB">
        <w:t>year</w:t>
      </w:r>
      <w:r w:rsidR="00F742D1" w:rsidRPr="00BB4DAB">
        <w:t xml:space="preserve"> and 10</w:t>
      </w:r>
      <w:r w:rsidR="00E827AA" w:rsidRPr="00BB4DAB">
        <w:t>-</w:t>
      </w:r>
      <w:r w:rsidR="00F742D1" w:rsidRPr="00BB4DAB">
        <w:t>year</w:t>
      </w:r>
      <w:r w:rsidR="00783A63" w:rsidRPr="00BB4DAB">
        <w:t xml:space="preserve"> </w:t>
      </w:r>
      <w:r w:rsidR="00F742D1" w:rsidRPr="00BB4DAB">
        <w:t>time horizon</w:t>
      </w:r>
      <w:r w:rsidR="00783A63" w:rsidRPr="00BB4DAB">
        <w:t xml:space="preserve"> instead</w:t>
      </w:r>
      <w:r w:rsidR="00F742D1" w:rsidRPr="00BB4DAB">
        <w:t xml:space="preserve"> resulted in ICERs of $</w:t>
      </w:r>
      <w:r w:rsidR="004F5C41" w:rsidRPr="004F5C41">
        <w:t>555,000 to &lt; $655,000</w:t>
      </w:r>
      <w:r w:rsidR="00376EB1">
        <w:t xml:space="preserve"> </w:t>
      </w:r>
      <w:r w:rsidR="00F742D1" w:rsidRPr="00BB4DAB">
        <w:t>and $</w:t>
      </w:r>
      <w:r w:rsidR="00BA5601" w:rsidRPr="00BA5601">
        <w:t>255,000 to &lt; $355,000</w:t>
      </w:r>
      <w:r w:rsidR="00376EB1">
        <w:t xml:space="preserve"> </w:t>
      </w:r>
      <w:r w:rsidR="00F742D1" w:rsidRPr="00BB4DAB">
        <w:t>per QALY, respectively.</w:t>
      </w:r>
      <w:bookmarkEnd w:id="49"/>
      <w:r w:rsidR="00F742D1" w:rsidRPr="00BB4DAB">
        <w:t xml:space="preserve"> </w:t>
      </w:r>
    </w:p>
    <w:p w14:paraId="3F7F1665" w14:textId="094D582E" w:rsidR="001F0B46" w:rsidRDefault="000028DC" w:rsidP="00046565">
      <w:pPr>
        <w:pStyle w:val="3-BodyText"/>
      </w:pPr>
      <w:r w:rsidRPr="00BB4DAB">
        <w:t>The ESC noted that in consideration of other cancers (e</w:t>
      </w:r>
      <w:r w:rsidR="00BF756C" w:rsidRPr="00BB4DAB">
        <w:t>.</w:t>
      </w:r>
      <w:r w:rsidRPr="00BB4DAB">
        <w:t>g</w:t>
      </w:r>
      <w:r w:rsidR="00BF756C" w:rsidRPr="00BB4DAB">
        <w:t>.</w:t>
      </w:r>
      <w:r w:rsidRPr="00BB4DAB">
        <w:t xml:space="preserve"> pembrolizumab for head and neck squamous cell carcinoma in March 2022) acceptable ICER</w:t>
      </w:r>
      <w:r w:rsidR="00FF078B" w:rsidRPr="00BB4DAB">
        <w:t>s</w:t>
      </w:r>
      <w:r w:rsidRPr="00BB4DAB">
        <w:t xml:space="preserve"> were less than $</w:t>
      </w:r>
      <w:r w:rsidR="00C96A4E" w:rsidRPr="00C96A4E">
        <w:t xml:space="preserve">55,000 to &lt; $75,000 </w:t>
      </w:r>
      <w:r w:rsidRPr="00BB4DAB">
        <w:t xml:space="preserve">/QALY. </w:t>
      </w:r>
      <w:r w:rsidR="00055E0C" w:rsidRPr="00BB4DAB">
        <w:t xml:space="preserve"> </w:t>
      </w:r>
    </w:p>
    <w:p w14:paraId="47798932" w14:textId="39A4EC4F" w:rsidR="008372EF" w:rsidRPr="00BB4DAB" w:rsidRDefault="008372EF" w:rsidP="00046565">
      <w:pPr>
        <w:pStyle w:val="3-BodyText"/>
      </w:pPr>
      <w:r>
        <w:lastRenderedPageBreak/>
        <w:t xml:space="preserve">The PBAC noted the ICER using </w:t>
      </w:r>
      <w:r w:rsidR="007F47A7">
        <w:t xml:space="preserve">the </w:t>
      </w:r>
      <w:r>
        <w:t xml:space="preserve">economic model outlined in paragraph </w:t>
      </w:r>
      <w:r>
        <w:fldChar w:fldCharType="begin"/>
      </w:r>
      <w:r>
        <w:instrText xml:space="preserve"> REF _Ref193799609 \r \h </w:instrText>
      </w:r>
      <w:r>
        <w:fldChar w:fldCharType="separate"/>
      </w:r>
      <w:r w:rsidR="002C005D">
        <w:t>6.52</w:t>
      </w:r>
      <w:r>
        <w:fldChar w:fldCharType="end"/>
      </w:r>
      <w:r>
        <w:t xml:space="preserve"> </w:t>
      </w:r>
      <w:r w:rsidR="003E46BD">
        <w:t xml:space="preserve">with a 10 year time horizon </w:t>
      </w:r>
      <w:r>
        <w:t xml:space="preserve">and the price proposed in the pre-PBAC response </w:t>
      </w:r>
      <w:r w:rsidR="008876E4">
        <w:t xml:space="preserve">(see paragraph </w:t>
      </w:r>
      <w:r w:rsidR="007F47A7">
        <w:fldChar w:fldCharType="begin"/>
      </w:r>
      <w:r w:rsidR="007F47A7">
        <w:instrText xml:space="preserve"> REF _Ref193799757 \r \h </w:instrText>
      </w:r>
      <w:r w:rsidR="007F47A7">
        <w:fldChar w:fldCharType="separate"/>
      </w:r>
      <w:r w:rsidR="002C005D">
        <w:t>3.1</w:t>
      </w:r>
      <w:r w:rsidR="007F47A7">
        <w:fldChar w:fldCharType="end"/>
      </w:r>
      <w:r w:rsidR="007F47A7">
        <w:t xml:space="preserve">) </w:t>
      </w:r>
      <w:r>
        <w:t xml:space="preserve">was </w:t>
      </w:r>
      <w:r w:rsidR="003E46BD">
        <w:t>$</w:t>
      </w:r>
      <w:r w:rsidR="00D25883" w:rsidRPr="00D25883">
        <w:t>155,000 to &lt; $255,000</w:t>
      </w:r>
      <w:r w:rsidR="00376EB1">
        <w:t xml:space="preserve"> </w:t>
      </w:r>
      <w:r w:rsidR="003E46BD">
        <w:t>per QALY</w:t>
      </w:r>
      <w:r w:rsidR="00D100F7">
        <w:t xml:space="preserve"> gained</w:t>
      </w:r>
      <w:r>
        <w:t>.</w:t>
      </w:r>
    </w:p>
    <w:p w14:paraId="00F76813" w14:textId="70EE176D" w:rsidR="00B91B93" w:rsidRDefault="00B91B93" w:rsidP="00B91B93">
      <w:pPr>
        <w:pStyle w:val="4-SubsectionHeading"/>
      </w:pPr>
      <w:r w:rsidRPr="0098262F">
        <w:t>Drug cost/patient</w:t>
      </w:r>
      <w:bookmarkEnd w:id="50"/>
    </w:p>
    <w:p w14:paraId="2E605654" w14:textId="6FC0A15D" w:rsidR="00B91B93" w:rsidRPr="00344C51" w:rsidRDefault="00B91B93" w:rsidP="00055E0C">
      <w:pPr>
        <w:pStyle w:val="3-BodyText"/>
        <w:rPr>
          <w:lang w:eastAsia="en-US"/>
        </w:rPr>
      </w:pPr>
      <w:r>
        <w:rPr>
          <w:lang w:eastAsia="en-US"/>
        </w:rPr>
        <w:t xml:space="preserve">The drug cost per patient for toripalimab in the trial, model and financial estimates are presented in </w:t>
      </w:r>
      <w:r>
        <w:rPr>
          <w:lang w:eastAsia="en-US"/>
        </w:rPr>
        <w:fldChar w:fldCharType="begin"/>
      </w:r>
      <w:r>
        <w:rPr>
          <w:lang w:eastAsia="en-US"/>
        </w:rPr>
        <w:instrText xml:space="preserve"> REF _Ref104805102 \h </w:instrText>
      </w:r>
      <w:r>
        <w:rPr>
          <w:lang w:eastAsia="en-US"/>
        </w:rPr>
      </w:r>
      <w:r>
        <w:rPr>
          <w:lang w:eastAsia="en-US"/>
        </w:rPr>
        <w:fldChar w:fldCharType="separate"/>
      </w:r>
      <w:r w:rsidR="002C005D" w:rsidRPr="0098262F">
        <w:t xml:space="preserve">Table </w:t>
      </w:r>
      <w:r w:rsidR="002C005D">
        <w:rPr>
          <w:noProof/>
        </w:rPr>
        <w:t>12</w:t>
      </w:r>
      <w:r>
        <w:rPr>
          <w:lang w:eastAsia="en-US"/>
        </w:rPr>
        <w:fldChar w:fldCharType="end"/>
      </w:r>
      <w:r>
        <w:rPr>
          <w:lang w:eastAsia="en-US"/>
        </w:rPr>
        <w:t xml:space="preserve">. </w:t>
      </w:r>
      <w:r w:rsidRPr="00A83DE1">
        <w:rPr>
          <w:iCs/>
          <w:lang w:eastAsia="en-US"/>
        </w:rPr>
        <w:t>As toripalimab is intended to be used as an add-on to standard of care chemotherapy, no comparator costs were presented.</w:t>
      </w:r>
    </w:p>
    <w:p w14:paraId="40DC9B8D" w14:textId="250D3C1B" w:rsidR="00B91B93" w:rsidRDefault="00B91B93" w:rsidP="00B91B93">
      <w:pPr>
        <w:pStyle w:val="Caption"/>
        <w:rPr>
          <w:rStyle w:val="CommentReference"/>
          <w:b/>
          <w:szCs w:val="24"/>
        </w:rPr>
      </w:pPr>
      <w:bookmarkStart w:id="52" w:name="_Ref104805102"/>
      <w:r w:rsidRPr="0098262F">
        <w:t xml:space="preserve">Table </w:t>
      </w:r>
      <w:r w:rsidR="007F47A7">
        <w:fldChar w:fldCharType="begin"/>
      </w:r>
      <w:r w:rsidR="007F47A7">
        <w:instrText xml:space="preserve"> SEQ Table \* ARABIC </w:instrText>
      </w:r>
      <w:r w:rsidR="007F47A7">
        <w:fldChar w:fldCharType="separate"/>
      </w:r>
      <w:r w:rsidR="002C005D">
        <w:rPr>
          <w:noProof/>
        </w:rPr>
        <w:t>12</w:t>
      </w:r>
      <w:r w:rsidR="007F47A7">
        <w:rPr>
          <w:noProof/>
        </w:rPr>
        <w:fldChar w:fldCharType="end"/>
      </w:r>
      <w:bookmarkEnd w:id="52"/>
      <w:r w:rsidRPr="0098262F">
        <w:t>:</w:t>
      </w:r>
      <w:r w:rsidRPr="0098262F">
        <w:rPr>
          <w:rStyle w:val="CommentReference"/>
          <w:b/>
          <w:szCs w:val="24"/>
        </w:rPr>
        <w:t xml:space="preserve"> Drug cost per patient for </w:t>
      </w:r>
      <w:r>
        <w:rPr>
          <w:rStyle w:val="CommentReference"/>
          <w:b/>
          <w:szCs w:val="24"/>
        </w:rPr>
        <w:t>toripalimab</w:t>
      </w:r>
      <w:r w:rsidR="007F47A7">
        <w:rPr>
          <w:rStyle w:val="CommentReference"/>
          <w:b/>
          <w:szCs w:val="24"/>
        </w:rPr>
        <w:t xml:space="preserve"> (using the price proposed in the submission)</w:t>
      </w:r>
    </w:p>
    <w:tbl>
      <w:tblPr>
        <w:tblStyle w:val="TableGrid"/>
        <w:tblW w:w="0" w:type="auto"/>
        <w:tblLook w:val="04A0" w:firstRow="1" w:lastRow="0" w:firstColumn="1" w:lastColumn="0" w:noHBand="0" w:noVBand="1"/>
      </w:tblPr>
      <w:tblGrid>
        <w:gridCol w:w="2254"/>
        <w:gridCol w:w="2254"/>
        <w:gridCol w:w="2254"/>
        <w:gridCol w:w="2255"/>
      </w:tblGrid>
      <w:tr w:rsidR="00B91B93" w:rsidRPr="006B42B0" w14:paraId="5564C4D9" w14:textId="77777777">
        <w:tc>
          <w:tcPr>
            <w:tcW w:w="2254" w:type="dxa"/>
          </w:tcPr>
          <w:p w14:paraId="6A4836B1" w14:textId="77777777" w:rsidR="00B91B93" w:rsidRPr="006B42B0" w:rsidRDefault="00B91B93">
            <w:pPr>
              <w:rPr>
                <w:rFonts w:ascii="Arial Narrow" w:hAnsi="Arial Narrow"/>
                <w:sz w:val="20"/>
                <w:szCs w:val="20"/>
              </w:rPr>
            </w:pPr>
          </w:p>
        </w:tc>
        <w:tc>
          <w:tcPr>
            <w:tcW w:w="2254" w:type="dxa"/>
            <w:vAlign w:val="center"/>
          </w:tcPr>
          <w:p w14:paraId="6F670AF3" w14:textId="77777777" w:rsidR="00B91B93" w:rsidRPr="006B42B0" w:rsidRDefault="00B91B93">
            <w:pPr>
              <w:jc w:val="center"/>
              <w:rPr>
                <w:rFonts w:ascii="Arial Narrow" w:hAnsi="Arial Narrow"/>
                <w:b/>
                <w:sz w:val="20"/>
                <w:szCs w:val="20"/>
              </w:rPr>
            </w:pPr>
            <w:r w:rsidRPr="006B42B0">
              <w:rPr>
                <w:rFonts w:ascii="Arial Narrow" w:hAnsi="Arial Narrow"/>
                <w:b/>
                <w:sz w:val="20"/>
                <w:szCs w:val="20"/>
              </w:rPr>
              <w:t>Trial dose and duration</w:t>
            </w:r>
          </w:p>
        </w:tc>
        <w:tc>
          <w:tcPr>
            <w:tcW w:w="2254" w:type="dxa"/>
            <w:vAlign w:val="center"/>
          </w:tcPr>
          <w:p w14:paraId="5F1C06A2" w14:textId="77777777" w:rsidR="00B91B93" w:rsidRPr="006B42B0" w:rsidRDefault="00B91B93">
            <w:pPr>
              <w:jc w:val="center"/>
              <w:rPr>
                <w:rFonts w:ascii="Arial Narrow" w:hAnsi="Arial Narrow"/>
                <w:b/>
                <w:sz w:val="20"/>
                <w:szCs w:val="20"/>
              </w:rPr>
            </w:pPr>
            <w:r w:rsidRPr="006B42B0">
              <w:rPr>
                <w:rFonts w:ascii="Arial Narrow" w:hAnsi="Arial Narrow"/>
                <w:b/>
                <w:sz w:val="20"/>
                <w:szCs w:val="20"/>
              </w:rPr>
              <w:t>Model</w:t>
            </w:r>
          </w:p>
        </w:tc>
        <w:tc>
          <w:tcPr>
            <w:tcW w:w="2255" w:type="dxa"/>
            <w:vAlign w:val="center"/>
          </w:tcPr>
          <w:p w14:paraId="51376684" w14:textId="77777777" w:rsidR="00B91B93" w:rsidRPr="006B42B0" w:rsidRDefault="00B91B93">
            <w:pPr>
              <w:jc w:val="center"/>
              <w:rPr>
                <w:rFonts w:ascii="Arial Narrow" w:hAnsi="Arial Narrow"/>
                <w:b/>
                <w:sz w:val="20"/>
                <w:szCs w:val="20"/>
              </w:rPr>
            </w:pPr>
            <w:r w:rsidRPr="006B42B0">
              <w:rPr>
                <w:rFonts w:ascii="Arial Narrow" w:hAnsi="Arial Narrow"/>
                <w:b/>
                <w:sz w:val="20"/>
                <w:szCs w:val="20"/>
              </w:rPr>
              <w:t>Financial estimates</w:t>
            </w:r>
          </w:p>
        </w:tc>
      </w:tr>
      <w:tr w:rsidR="00B91B93" w:rsidRPr="006B42B0" w14:paraId="5BE538A6" w14:textId="77777777">
        <w:tc>
          <w:tcPr>
            <w:tcW w:w="2254" w:type="dxa"/>
            <w:vAlign w:val="center"/>
          </w:tcPr>
          <w:p w14:paraId="15E08C15" w14:textId="77777777" w:rsidR="00B91B93" w:rsidRPr="006B42B0" w:rsidRDefault="00B91B93">
            <w:pPr>
              <w:rPr>
                <w:rFonts w:ascii="Arial Narrow" w:hAnsi="Arial Narrow"/>
                <w:sz w:val="20"/>
                <w:szCs w:val="20"/>
              </w:rPr>
            </w:pPr>
            <w:r w:rsidRPr="006B42B0">
              <w:rPr>
                <w:rFonts w:ascii="Arial Narrow" w:hAnsi="Arial Narrow"/>
                <w:sz w:val="20"/>
                <w:szCs w:val="20"/>
              </w:rPr>
              <w:t>Dose</w:t>
            </w:r>
          </w:p>
        </w:tc>
        <w:tc>
          <w:tcPr>
            <w:tcW w:w="2254" w:type="dxa"/>
            <w:vAlign w:val="center"/>
          </w:tcPr>
          <w:p w14:paraId="626AAD89" w14:textId="77777777" w:rsidR="00B91B93" w:rsidRPr="006B42B0" w:rsidRDefault="00B91B93">
            <w:pPr>
              <w:jc w:val="center"/>
              <w:rPr>
                <w:rFonts w:ascii="Arial Narrow" w:hAnsi="Arial Narrow"/>
                <w:sz w:val="20"/>
                <w:szCs w:val="20"/>
              </w:rPr>
            </w:pPr>
            <w:r w:rsidRPr="006B42B0">
              <w:rPr>
                <w:rFonts w:ascii="Arial Narrow" w:hAnsi="Arial Narrow"/>
                <w:sz w:val="20"/>
                <w:szCs w:val="20"/>
              </w:rPr>
              <w:t>240 mg Q3W</w:t>
            </w:r>
          </w:p>
        </w:tc>
        <w:tc>
          <w:tcPr>
            <w:tcW w:w="2254" w:type="dxa"/>
            <w:vAlign w:val="center"/>
          </w:tcPr>
          <w:p w14:paraId="31904B8B" w14:textId="77777777" w:rsidR="00B91B93" w:rsidRPr="006B42B0" w:rsidRDefault="00B91B93">
            <w:pPr>
              <w:jc w:val="center"/>
              <w:rPr>
                <w:rFonts w:ascii="Arial Narrow" w:hAnsi="Arial Narrow"/>
                <w:sz w:val="20"/>
                <w:szCs w:val="20"/>
              </w:rPr>
            </w:pPr>
            <w:r w:rsidRPr="006B42B0">
              <w:rPr>
                <w:rFonts w:ascii="Arial Narrow" w:hAnsi="Arial Narrow"/>
                <w:sz w:val="20"/>
                <w:szCs w:val="20"/>
              </w:rPr>
              <w:t>240 mg Q3W</w:t>
            </w:r>
          </w:p>
        </w:tc>
        <w:tc>
          <w:tcPr>
            <w:tcW w:w="2255" w:type="dxa"/>
            <w:vAlign w:val="center"/>
          </w:tcPr>
          <w:p w14:paraId="07AEE71F" w14:textId="77777777" w:rsidR="00B91B93" w:rsidRPr="006B42B0" w:rsidRDefault="00B91B93">
            <w:pPr>
              <w:jc w:val="center"/>
              <w:rPr>
                <w:rFonts w:ascii="Arial Narrow" w:hAnsi="Arial Narrow"/>
                <w:sz w:val="20"/>
                <w:szCs w:val="20"/>
              </w:rPr>
            </w:pPr>
            <w:r w:rsidRPr="006B42B0">
              <w:rPr>
                <w:rFonts w:ascii="Arial Narrow" w:hAnsi="Arial Narrow"/>
                <w:sz w:val="20"/>
                <w:szCs w:val="20"/>
              </w:rPr>
              <w:t>240 mg Q3W</w:t>
            </w:r>
          </w:p>
        </w:tc>
      </w:tr>
      <w:tr w:rsidR="00B91B93" w:rsidRPr="006B42B0" w14:paraId="7AB1C8D2" w14:textId="77777777" w:rsidTr="00F607FF">
        <w:tc>
          <w:tcPr>
            <w:tcW w:w="2254" w:type="dxa"/>
          </w:tcPr>
          <w:p w14:paraId="03BB0E7A" w14:textId="77777777" w:rsidR="00B91B93" w:rsidRPr="006B42B0" w:rsidRDefault="00B91B93" w:rsidP="00F607FF">
            <w:pPr>
              <w:jc w:val="left"/>
              <w:rPr>
                <w:rFonts w:ascii="Arial Narrow" w:hAnsi="Arial Narrow"/>
                <w:sz w:val="20"/>
                <w:szCs w:val="20"/>
              </w:rPr>
            </w:pPr>
            <w:r w:rsidRPr="006B42B0">
              <w:rPr>
                <w:rFonts w:ascii="Arial Narrow" w:hAnsi="Arial Narrow"/>
                <w:sz w:val="20"/>
                <w:szCs w:val="20"/>
              </w:rPr>
              <w:t>Mean duration</w:t>
            </w:r>
          </w:p>
        </w:tc>
        <w:tc>
          <w:tcPr>
            <w:tcW w:w="2254" w:type="dxa"/>
            <w:vAlign w:val="center"/>
          </w:tcPr>
          <w:p w14:paraId="3A270D73" w14:textId="07DFA7CF" w:rsidR="00B91B93" w:rsidRPr="00B32088" w:rsidRDefault="00B91B93">
            <w:pPr>
              <w:jc w:val="center"/>
              <w:rPr>
                <w:rFonts w:ascii="Arial Narrow" w:hAnsi="Arial Narrow"/>
                <w:sz w:val="20"/>
                <w:szCs w:val="20"/>
                <w:vertAlign w:val="superscript"/>
              </w:rPr>
            </w:pPr>
            <w:r w:rsidRPr="006B42B0">
              <w:rPr>
                <w:rFonts w:ascii="Arial Narrow" w:hAnsi="Arial Narrow"/>
                <w:sz w:val="20"/>
                <w:szCs w:val="20"/>
              </w:rPr>
              <w:t>64.4 weeks</w:t>
            </w:r>
            <w:r w:rsidR="00B32088">
              <w:rPr>
                <w:rFonts w:ascii="Arial Narrow" w:hAnsi="Arial Narrow"/>
                <w:sz w:val="20"/>
                <w:szCs w:val="20"/>
                <w:vertAlign w:val="superscript"/>
              </w:rPr>
              <w:t>a</w:t>
            </w:r>
          </w:p>
        </w:tc>
        <w:tc>
          <w:tcPr>
            <w:tcW w:w="2254" w:type="dxa"/>
            <w:vAlign w:val="center"/>
          </w:tcPr>
          <w:p w14:paraId="073BD849" w14:textId="2BE074C1" w:rsidR="00B91B93" w:rsidRPr="00B32088" w:rsidRDefault="00B91B93">
            <w:pPr>
              <w:jc w:val="center"/>
              <w:rPr>
                <w:rFonts w:ascii="Arial Narrow" w:hAnsi="Arial Narrow"/>
                <w:sz w:val="20"/>
                <w:szCs w:val="20"/>
                <w:vertAlign w:val="superscript"/>
              </w:rPr>
            </w:pPr>
            <w:r w:rsidRPr="006B42B0">
              <w:rPr>
                <w:rFonts w:ascii="Arial Narrow" w:hAnsi="Arial Narrow"/>
                <w:sz w:val="20"/>
                <w:szCs w:val="20"/>
              </w:rPr>
              <w:t>15.53 months</w:t>
            </w:r>
            <w:r w:rsidR="00B32088">
              <w:rPr>
                <w:rFonts w:ascii="Arial Narrow" w:hAnsi="Arial Narrow"/>
                <w:sz w:val="20"/>
                <w:szCs w:val="20"/>
                <w:vertAlign w:val="superscript"/>
              </w:rPr>
              <w:t>b</w:t>
            </w:r>
          </w:p>
        </w:tc>
        <w:tc>
          <w:tcPr>
            <w:tcW w:w="2255" w:type="dxa"/>
            <w:vAlign w:val="center"/>
          </w:tcPr>
          <w:p w14:paraId="1DE52464" w14:textId="2B55CA22" w:rsidR="00B91B93" w:rsidRPr="00B32088" w:rsidRDefault="00B91B93">
            <w:pPr>
              <w:jc w:val="center"/>
              <w:rPr>
                <w:rFonts w:ascii="Arial Narrow" w:hAnsi="Arial Narrow"/>
                <w:sz w:val="20"/>
                <w:szCs w:val="20"/>
                <w:vertAlign w:val="superscript"/>
              </w:rPr>
            </w:pPr>
            <w:r w:rsidRPr="006B42B0">
              <w:rPr>
                <w:rFonts w:ascii="Arial Narrow" w:hAnsi="Arial Narrow"/>
                <w:sz w:val="20"/>
                <w:szCs w:val="20"/>
              </w:rPr>
              <w:t>14.78 months</w:t>
            </w:r>
            <w:r w:rsidR="00B32088">
              <w:rPr>
                <w:rFonts w:ascii="Arial Narrow" w:hAnsi="Arial Narrow"/>
                <w:sz w:val="20"/>
                <w:szCs w:val="20"/>
                <w:vertAlign w:val="superscript"/>
              </w:rPr>
              <w:t>c</w:t>
            </w:r>
          </w:p>
        </w:tc>
      </w:tr>
      <w:tr w:rsidR="00B91B93" w:rsidRPr="006B42B0" w14:paraId="59CD55A6" w14:textId="77777777" w:rsidTr="003B1447">
        <w:tc>
          <w:tcPr>
            <w:tcW w:w="2254" w:type="dxa"/>
            <w:tcBorders>
              <w:bottom w:val="single" w:sz="4" w:space="0" w:color="auto"/>
            </w:tcBorders>
            <w:vAlign w:val="center"/>
          </w:tcPr>
          <w:p w14:paraId="11721ED9" w14:textId="1BB915AF" w:rsidR="00B91B93" w:rsidRPr="00B32088" w:rsidRDefault="00B91B93">
            <w:pPr>
              <w:rPr>
                <w:rFonts w:ascii="Arial Narrow" w:hAnsi="Arial Narrow"/>
                <w:sz w:val="20"/>
                <w:szCs w:val="20"/>
                <w:vertAlign w:val="superscript"/>
              </w:rPr>
            </w:pPr>
            <w:r w:rsidRPr="006B42B0">
              <w:rPr>
                <w:rFonts w:ascii="Arial Narrow" w:hAnsi="Arial Narrow"/>
                <w:sz w:val="20"/>
                <w:szCs w:val="20"/>
              </w:rPr>
              <w:t>Cost/patient/script</w:t>
            </w:r>
            <w:r w:rsidR="00B32088">
              <w:rPr>
                <w:rFonts w:ascii="Arial Narrow" w:hAnsi="Arial Narrow"/>
                <w:sz w:val="20"/>
                <w:szCs w:val="20"/>
                <w:vertAlign w:val="superscript"/>
              </w:rPr>
              <w:t>d</w:t>
            </w:r>
          </w:p>
        </w:tc>
        <w:tc>
          <w:tcPr>
            <w:tcW w:w="2254" w:type="dxa"/>
            <w:tcBorders>
              <w:bottom w:val="single" w:sz="4" w:space="0" w:color="auto"/>
            </w:tcBorders>
            <w:vAlign w:val="center"/>
          </w:tcPr>
          <w:p w14:paraId="6216165D" w14:textId="2377B96F" w:rsidR="00B91B93" w:rsidRPr="006B42B0" w:rsidRDefault="00B91B93">
            <w:pPr>
              <w:jc w:val="center"/>
              <w:rPr>
                <w:rFonts w:ascii="Arial Narrow" w:hAnsi="Arial Narrow"/>
                <w:sz w:val="20"/>
                <w:szCs w:val="20"/>
              </w:rPr>
            </w:pPr>
            <w:r w:rsidRPr="006B42B0">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4" w:type="dxa"/>
            <w:tcBorders>
              <w:bottom w:val="single" w:sz="4" w:space="0" w:color="auto"/>
            </w:tcBorders>
            <w:vAlign w:val="center"/>
          </w:tcPr>
          <w:p w14:paraId="0464DC15" w14:textId="2DE945D9" w:rsidR="00B91B93" w:rsidRPr="006B42B0" w:rsidRDefault="00B91B93">
            <w:pPr>
              <w:jc w:val="center"/>
              <w:rPr>
                <w:rFonts w:ascii="Arial Narrow" w:hAnsi="Arial Narrow"/>
                <w:sz w:val="20"/>
                <w:szCs w:val="20"/>
              </w:rPr>
            </w:pPr>
            <w:r w:rsidRPr="006B42B0">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c>
          <w:tcPr>
            <w:tcW w:w="2255" w:type="dxa"/>
            <w:tcBorders>
              <w:bottom w:val="single" w:sz="4" w:space="0" w:color="auto"/>
            </w:tcBorders>
            <w:vAlign w:val="center"/>
          </w:tcPr>
          <w:p w14:paraId="2C5BD37E" w14:textId="7DB82F3D" w:rsidR="00B91B93" w:rsidRPr="006B42B0" w:rsidRDefault="00B91B93">
            <w:pPr>
              <w:jc w:val="center"/>
              <w:rPr>
                <w:rFonts w:ascii="Arial Narrow" w:hAnsi="Arial Narrow"/>
                <w:sz w:val="20"/>
                <w:szCs w:val="20"/>
              </w:rPr>
            </w:pPr>
            <w:r w:rsidRPr="006B42B0">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p>
        </w:tc>
      </w:tr>
      <w:tr w:rsidR="00B91B93" w:rsidRPr="006B42B0" w14:paraId="4B8655B0" w14:textId="77777777" w:rsidTr="003B1447">
        <w:tc>
          <w:tcPr>
            <w:tcW w:w="2254" w:type="dxa"/>
            <w:tcBorders>
              <w:bottom w:val="single" w:sz="2" w:space="0" w:color="auto"/>
            </w:tcBorders>
            <w:vAlign w:val="center"/>
          </w:tcPr>
          <w:p w14:paraId="355BA915" w14:textId="77777777" w:rsidR="00B91B93" w:rsidRPr="006B42B0" w:rsidRDefault="00B91B93">
            <w:pPr>
              <w:rPr>
                <w:rFonts w:ascii="Arial Narrow" w:hAnsi="Arial Narrow"/>
                <w:sz w:val="20"/>
                <w:szCs w:val="20"/>
              </w:rPr>
            </w:pPr>
            <w:r w:rsidRPr="006B42B0">
              <w:rPr>
                <w:rFonts w:ascii="Arial Narrow" w:hAnsi="Arial Narrow"/>
                <w:sz w:val="20"/>
                <w:szCs w:val="20"/>
              </w:rPr>
              <w:t>Cost/patient/course</w:t>
            </w:r>
          </w:p>
        </w:tc>
        <w:tc>
          <w:tcPr>
            <w:tcW w:w="2254" w:type="dxa"/>
            <w:tcBorders>
              <w:bottom w:val="single" w:sz="2" w:space="0" w:color="auto"/>
            </w:tcBorders>
            <w:vAlign w:val="center"/>
          </w:tcPr>
          <w:p w14:paraId="18725410" w14:textId="4B339853" w:rsidR="00B91B93" w:rsidRPr="006B42B0" w:rsidRDefault="00B91B93">
            <w:pPr>
              <w:jc w:val="center"/>
              <w:rPr>
                <w:rFonts w:ascii="Arial Narrow" w:hAnsi="Arial Narrow"/>
                <w:sz w:val="20"/>
                <w:szCs w:val="20"/>
              </w:rPr>
            </w:pPr>
            <w:r w:rsidRPr="006B42B0">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00CB42C5">
              <w:rPr>
                <w:rFonts w:ascii="Arial Narrow" w:hAnsi="Arial Narrow"/>
                <w:sz w:val="20"/>
                <w:szCs w:val="20"/>
                <w:vertAlign w:val="superscript"/>
              </w:rPr>
              <w:t>e</w:t>
            </w:r>
          </w:p>
        </w:tc>
        <w:tc>
          <w:tcPr>
            <w:tcW w:w="2254" w:type="dxa"/>
            <w:tcBorders>
              <w:bottom w:val="single" w:sz="2" w:space="0" w:color="auto"/>
            </w:tcBorders>
            <w:vAlign w:val="center"/>
          </w:tcPr>
          <w:p w14:paraId="750F9D96" w14:textId="32BE0F6B" w:rsidR="00B91B93" w:rsidRPr="006B42B0" w:rsidRDefault="00B91B93">
            <w:pPr>
              <w:jc w:val="center"/>
              <w:rPr>
                <w:rFonts w:ascii="Arial Narrow" w:hAnsi="Arial Narrow"/>
                <w:sz w:val="20"/>
                <w:szCs w:val="20"/>
              </w:rPr>
            </w:pPr>
            <w:r w:rsidRPr="00CB42C5">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00CB42C5" w:rsidRPr="00CB42C5">
              <w:rPr>
                <w:rFonts w:ascii="Arial Narrow" w:hAnsi="Arial Narrow"/>
                <w:sz w:val="20"/>
                <w:szCs w:val="20"/>
                <w:vertAlign w:val="superscript"/>
              </w:rPr>
              <w:t>g</w:t>
            </w:r>
          </w:p>
        </w:tc>
        <w:tc>
          <w:tcPr>
            <w:tcW w:w="2255" w:type="dxa"/>
            <w:tcBorders>
              <w:bottom w:val="single" w:sz="2" w:space="0" w:color="auto"/>
            </w:tcBorders>
            <w:vAlign w:val="center"/>
          </w:tcPr>
          <w:p w14:paraId="731D7109" w14:textId="07426C00" w:rsidR="00B91B93" w:rsidRPr="006B42B0" w:rsidRDefault="00B91B93">
            <w:pPr>
              <w:jc w:val="center"/>
              <w:rPr>
                <w:rFonts w:ascii="Arial Narrow" w:hAnsi="Arial Narrow"/>
                <w:sz w:val="20"/>
                <w:szCs w:val="20"/>
              </w:rPr>
            </w:pPr>
            <w:r w:rsidRPr="006B42B0">
              <w:rPr>
                <w:rFonts w:ascii="Arial Narrow" w:hAnsi="Arial Narrow"/>
                <w:sz w:val="20"/>
                <w:szCs w:val="20"/>
              </w:rPr>
              <w:t>$</w:t>
            </w:r>
            <w:r w:rsidR="0016738C" w:rsidRPr="0016738C">
              <w:rPr>
                <w:rFonts w:ascii="Arial Narrow" w:hAnsi="Arial Narrow"/>
                <w:color w:val="000000"/>
                <w:sz w:val="20"/>
                <w:szCs w:val="20"/>
                <w:shd w:val="solid" w:color="000000" w:fill="000000"/>
                <w14:textFill>
                  <w14:solidFill>
                    <w14:srgbClr w14:val="000000">
                      <w14:alpha w14:val="100000"/>
                    </w14:srgbClr>
                  </w14:solidFill>
                </w14:textFill>
              </w:rPr>
              <w:t>|</w:t>
            </w:r>
            <w:r w:rsidR="00CB42C5">
              <w:rPr>
                <w:rFonts w:ascii="Arial Narrow" w:hAnsi="Arial Narrow"/>
                <w:sz w:val="20"/>
                <w:szCs w:val="20"/>
                <w:vertAlign w:val="superscript"/>
              </w:rPr>
              <w:t>g</w:t>
            </w:r>
          </w:p>
        </w:tc>
      </w:tr>
    </w:tbl>
    <w:p w14:paraId="7B921EAB" w14:textId="4B04455A" w:rsidR="00B91B93" w:rsidRDefault="00B91B93" w:rsidP="00B91B93">
      <w:pPr>
        <w:pStyle w:val="FooterTableFigure"/>
      </w:pPr>
      <w:r w:rsidRPr="0098262F">
        <w:t xml:space="preserve">Source: </w:t>
      </w:r>
      <w:r>
        <w:t>compiled during the evaluation</w:t>
      </w:r>
      <w:r w:rsidR="00A253E7">
        <w:t>.</w:t>
      </w:r>
      <w:r>
        <w:t xml:space="preserve"> </w:t>
      </w:r>
    </w:p>
    <w:p w14:paraId="2FAF8F3E" w14:textId="77777777" w:rsidR="00B91B93" w:rsidRDefault="00B91B93" w:rsidP="00B91B93">
      <w:pPr>
        <w:pStyle w:val="FooterTableFigure"/>
      </w:pPr>
      <w:r>
        <w:t>Q3W, every 3 weeks</w:t>
      </w:r>
    </w:p>
    <w:p w14:paraId="3628D3EB" w14:textId="212D04A6" w:rsidR="00B32088" w:rsidRDefault="00B91B93" w:rsidP="00B91B93">
      <w:pPr>
        <w:pStyle w:val="FooterTableFigure"/>
      </w:pPr>
      <w:r>
        <w:t xml:space="preserve">a: </w:t>
      </w:r>
      <w:r w:rsidR="00B32088">
        <w:t>JUPITER-02 reported mean duration of treatment</w:t>
      </w:r>
    </w:p>
    <w:p w14:paraId="59D6205B" w14:textId="38ECD2FF" w:rsidR="00B32088" w:rsidRDefault="00B32088" w:rsidP="00B91B93">
      <w:pPr>
        <w:pStyle w:val="FooterTableFigure"/>
      </w:pPr>
      <w:r>
        <w:t>b: using observed KM time on treatment from JUPITER-02, estimated by the model</w:t>
      </w:r>
    </w:p>
    <w:p w14:paraId="1661F361" w14:textId="460B0B64" w:rsidR="00B32088" w:rsidRDefault="00B32088" w:rsidP="00B91B93">
      <w:pPr>
        <w:pStyle w:val="FooterTableFigure"/>
      </w:pPr>
      <w:r>
        <w:t>c: assumed to be converted to months from mean weeks (see footnote ‘a’) reported in JUPITER-02</w:t>
      </w:r>
    </w:p>
    <w:p w14:paraId="7D170095" w14:textId="3CC27626" w:rsidR="00B91B93" w:rsidRDefault="00B32088" w:rsidP="00B91B93">
      <w:pPr>
        <w:pStyle w:val="FooterTableFigure"/>
      </w:pPr>
      <w:r>
        <w:t xml:space="preserve">d: </w:t>
      </w:r>
      <w:r w:rsidR="00B91B93">
        <w:t>assuming a 33.14%:66.86% public:private split and 99.4% RDI</w:t>
      </w:r>
    </w:p>
    <w:p w14:paraId="5E23C6B7" w14:textId="72200A0D" w:rsidR="00CB42C5" w:rsidRDefault="00CB42C5" w:rsidP="00B91B93">
      <w:pPr>
        <w:pStyle w:val="FooterTableFigure"/>
      </w:pPr>
      <w:r>
        <w:t>e: =64.4/3*$</w:t>
      </w:r>
      <w:r w:rsidR="0016738C" w:rsidRPr="0016738C">
        <w:rPr>
          <w:color w:val="000000"/>
          <w:spacing w:val="37"/>
          <w:shd w:val="solid" w:color="000000" w:fill="000000"/>
          <w:fitText w:val="270" w:id="-694443760"/>
          <w14:textFill>
            <w14:solidFill>
              <w14:srgbClr w14:val="000000">
                <w14:alpha w14:val="100000"/>
              </w14:srgbClr>
            </w14:solidFill>
          </w14:textFill>
        </w:rPr>
        <w:t xml:space="preserve">|  </w:t>
      </w:r>
      <w:r w:rsidR="0016738C" w:rsidRPr="0016738C">
        <w:rPr>
          <w:color w:val="000000"/>
          <w:spacing w:val="1"/>
          <w:shd w:val="solid" w:color="000000" w:fill="000000"/>
          <w:fitText w:val="270" w:id="-694443760"/>
          <w14:textFill>
            <w14:solidFill>
              <w14:srgbClr w14:val="000000">
                <w14:alpha w14:val="100000"/>
              </w14:srgbClr>
            </w14:solidFill>
          </w14:textFill>
        </w:rPr>
        <w:t>|</w:t>
      </w:r>
    </w:p>
    <w:p w14:paraId="438DEAB2" w14:textId="1DFFFF4C" w:rsidR="00CB42C5" w:rsidRDefault="00CB42C5" w:rsidP="00B91B93">
      <w:pPr>
        <w:pStyle w:val="FooterTableFigure"/>
      </w:pPr>
      <w:r>
        <w:t>f: =estimated by model</w:t>
      </w:r>
    </w:p>
    <w:p w14:paraId="7DCF6EFC" w14:textId="37C2CD10" w:rsidR="00CB42C5" w:rsidRDefault="00CB42C5" w:rsidP="00B91B93">
      <w:pPr>
        <w:pStyle w:val="FooterTableFigure"/>
      </w:pPr>
      <w:r>
        <w:t>g: =14.78/12-365/21-$</w:t>
      </w:r>
      <w:r w:rsidR="0016738C" w:rsidRPr="00990AAF">
        <w:rPr>
          <w:color w:val="000000"/>
          <w:spacing w:val="37"/>
          <w:shd w:val="solid" w:color="000000" w:fill="000000"/>
          <w:fitText w:val="270" w:id="-694443776"/>
          <w14:textFill>
            <w14:solidFill>
              <w14:srgbClr w14:val="000000">
                <w14:alpha w14:val="100000"/>
              </w14:srgbClr>
            </w14:solidFill>
          </w14:textFill>
        </w:rPr>
        <w:t xml:space="preserve">|  </w:t>
      </w:r>
      <w:r w:rsidR="0016738C" w:rsidRPr="00990AAF">
        <w:rPr>
          <w:color w:val="000000"/>
          <w:spacing w:val="1"/>
          <w:shd w:val="solid" w:color="000000" w:fill="000000"/>
          <w:fitText w:val="270" w:id="-694443776"/>
          <w14:textFill>
            <w14:solidFill>
              <w14:srgbClr w14:val="000000">
                <w14:alpha w14:val="100000"/>
              </w14:srgbClr>
            </w14:solidFill>
          </w14:textFill>
        </w:rPr>
        <w:t>|</w:t>
      </w:r>
    </w:p>
    <w:p w14:paraId="268768EF" w14:textId="3626F292" w:rsidR="00B60939" w:rsidRPr="0098262F" w:rsidRDefault="00B60939" w:rsidP="002B05A1">
      <w:pPr>
        <w:pStyle w:val="4-SubsectionHeading"/>
      </w:pPr>
      <w:bookmarkStart w:id="53" w:name="_Toc188361227"/>
      <w:r w:rsidRPr="0098262F">
        <w:t>Estimated PBS usage &amp; financial implications</w:t>
      </w:r>
      <w:bookmarkEnd w:id="51"/>
      <w:bookmarkEnd w:id="53"/>
    </w:p>
    <w:p w14:paraId="16EF4367" w14:textId="2CA94D98" w:rsidR="009469D9" w:rsidRPr="001A77AA" w:rsidRDefault="00C25D9C" w:rsidP="009469D9">
      <w:pPr>
        <w:pStyle w:val="3-BodyText"/>
        <w:rPr>
          <w:color w:val="0066FF"/>
        </w:rPr>
      </w:pPr>
      <w:r w:rsidRPr="0098262F">
        <w:t xml:space="preserve">This submission </w:t>
      </w:r>
      <w:r w:rsidR="00A02FFC">
        <w:t>was</w:t>
      </w:r>
      <w:r w:rsidRPr="0098262F">
        <w:t xml:space="preserve"> </w:t>
      </w:r>
      <w:r w:rsidR="005A00F8">
        <w:t>not</w:t>
      </w:r>
      <w:r w:rsidRPr="0098262F">
        <w:t xml:space="preserve"> considered by DUSC</w:t>
      </w:r>
      <w:r w:rsidRPr="0098262F">
        <w:rPr>
          <w:color w:val="0070C0"/>
        </w:rPr>
        <w:t>.</w:t>
      </w:r>
      <w:r w:rsidR="00BC591F" w:rsidRPr="0098262F">
        <w:rPr>
          <w:color w:val="0070C0"/>
        </w:rPr>
        <w:t xml:space="preserve"> </w:t>
      </w:r>
    </w:p>
    <w:p w14:paraId="743E7297" w14:textId="0179DE2A" w:rsidR="001A77AA" w:rsidRPr="00CB1CD2" w:rsidRDefault="00CB1CD2" w:rsidP="009469D9">
      <w:pPr>
        <w:pStyle w:val="3-BodyText"/>
      </w:pPr>
      <w:r w:rsidRPr="00CB1CD2">
        <w:fldChar w:fldCharType="begin"/>
      </w:r>
      <w:r w:rsidRPr="00CB1CD2">
        <w:instrText xml:space="preserve"> REF _Ref104805262 \h </w:instrText>
      </w:r>
      <w:r>
        <w:instrText xml:space="preserve"> \* MERGEFORMAT </w:instrText>
      </w:r>
      <w:r w:rsidRPr="00CB1CD2">
        <w:fldChar w:fldCharType="separate"/>
      </w:r>
      <w:r w:rsidR="002C005D" w:rsidRPr="002C005D">
        <w:t>Table 13</w:t>
      </w:r>
      <w:r w:rsidRPr="00CB1CD2">
        <w:fldChar w:fldCharType="end"/>
      </w:r>
      <w:r>
        <w:t xml:space="preserve"> </w:t>
      </w:r>
      <w:r w:rsidRPr="00B27879">
        <w:t>presents the key inputs relied on in the financial estimates. The submission took an epidemiological approach to derive the financial estimates.</w:t>
      </w:r>
    </w:p>
    <w:p w14:paraId="70E3CD18" w14:textId="381F3D95" w:rsidR="008E25DF" w:rsidRDefault="00E16AD8" w:rsidP="008E25DF">
      <w:pPr>
        <w:keepNext/>
        <w:keepLines/>
        <w:widowControl w:val="0"/>
        <w:rPr>
          <w:rStyle w:val="CommentReference"/>
          <w:bCs/>
          <w:snapToGrid w:val="0"/>
          <w:lang w:eastAsia="en-US"/>
        </w:rPr>
      </w:pPr>
      <w:bookmarkStart w:id="54" w:name="_Ref104805262"/>
      <w:r w:rsidRPr="00C334FA">
        <w:rPr>
          <w:rStyle w:val="CommentReference"/>
          <w:szCs w:val="24"/>
        </w:rPr>
        <w:t xml:space="preserve">Table </w:t>
      </w:r>
      <w:r w:rsidR="009F6120" w:rsidRPr="00C334FA">
        <w:rPr>
          <w:rStyle w:val="CommentReference"/>
          <w:szCs w:val="24"/>
        </w:rPr>
        <w:fldChar w:fldCharType="begin"/>
      </w:r>
      <w:r w:rsidR="009F6120" w:rsidRPr="00C334FA">
        <w:rPr>
          <w:rStyle w:val="CommentReference"/>
          <w:szCs w:val="24"/>
        </w:rPr>
        <w:instrText xml:space="preserve"> SEQ Table \* ARABIC </w:instrText>
      </w:r>
      <w:r w:rsidR="009F6120" w:rsidRPr="00C334FA">
        <w:rPr>
          <w:rStyle w:val="CommentReference"/>
          <w:szCs w:val="24"/>
        </w:rPr>
        <w:fldChar w:fldCharType="separate"/>
      </w:r>
      <w:r w:rsidR="002C005D">
        <w:rPr>
          <w:rStyle w:val="CommentReference"/>
          <w:noProof/>
          <w:szCs w:val="24"/>
        </w:rPr>
        <w:t>13</w:t>
      </w:r>
      <w:r w:rsidR="009F6120" w:rsidRPr="00C334FA">
        <w:rPr>
          <w:rStyle w:val="CommentReference"/>
          <w:szCs w:val="24"/>
        </w:rPr>
        <w:fldChar w:fldCharType="end"/>
      </w:r>
      <w:bookmarkEnd w:id="54"/>
      <w:r w:rsidRPr="00C334FA">
        <w:rPr>
          <w:rStyle w:val="CommentReference"/>
          <w:szCs w:val="24"/>
        </w:rPr>
        <w:t>:</w:t>
      </w:r>
      <w:r w:rsidR="00E42F73" w:rsidRPr="0098262F">
        <w:rPr>
          <w:rStyle w:val="CommentReference"/>
          <w:szCs w:val="24"/>
        </w:rPr>
        <w:t xml:space="preserve"> Key inputs for financial estimates</w:t>
      </w:r>
      <w:r w:rsidR="008E25DF">
        <w:rPr>
          <w:rStyle w:val="CommentReference"/>
          <w:b w:val="0"/>
          <w:szCs w:val="24"/>
        </w:rPr>
        <w:t xml:space="preserve"> </w:t>
      </w:r>
    </w:p>
    <w:tbl>
      <w:tblPr>
        <w:tblStyle w:val="TableGrid"/>
        <w:tblW w:w="0" w:type="auto"/>
        <w:tblLook w:val="04A0" w:firstRow="1" w:lastRow="0" w:firstColumn="1" w:lastColumn="0" w:noHBand="0" w:noVBand="1"/>
      </w:tblPr>
      <w:tblGrid>
        <w:gridCol w:w="1413"/>
        <w:gridCol w:w="1276"/>
        <w:gridCol w:w="2126"/>
        <w:gridCol w:w="4202"/>
      </w:tblGrid>
      <w:tr w:rsidR="00546BEB" w:rsidRPr="00546BEB" w14:paraId="3F8AEF87" w14:textId="77777777" w:rsidTr="00604EDD">
        <w:trPr>
          <w:tblHeader/>
        </w:trPr>
        <w:tc>
          <w:tcPr>
            <w:tcW w:w="1413" w:type="dxa"/>
            <w:vAlign w:val="center"/>
          </w:tcPr>
          <w:p w14:paraId="079867CE" w14:textId="171691B3" w:rsidR="00546BEB" w:rsidRPr="00546BEB" w:rsidRDefault="00546BEB" w:rsidP="001A77AA">
            <w:pPr>
              <w:keepLines/>
              <w:widowControl w:val="0"/>
              <w:rPr>
                <w:rStyle w:val="CommentReference"/>
                <w:b w:val="0"/>
                <w:bCs/>
                <w:snapToGrid w:val="0"/>
                <w:szCs w:val="20"/>
                <w:lang w:eastAsia="en-US"/>
              </w:rPr>
            </w:pPr>
            <w:r w:rsidRPr="00546BEB">
              <w:rPr>
                <w:rFonts w:ascii="Arial Narrow" w:hAnsi="Arial Narrow"/>
                <w:b/>
                <w:bCs/>
                <w:sz w:val="20"/>
                <w:szCs w:val="20"/>
              </w:rPr>
              <w:t>Data</w:t>
            </w:r>
          </w:p>
        </w:tc>
        <w:tc>
          <w:tcPr>
            <w:tcW w:w="1276" w:type="dxa"/>
            <w:vAlign w:val="center"/>
          </w:tcPr>
          <w:p w14:paraId="7CD2FDE8" w14:textId="57E04363" w:rsidR="00546BEB" w:rsidRPr="00546BEB" w:rsidRDefault="00546BEB" w:rsidP="001A77AA">
            <w:pPr>
              <w:keepLines/>
              <w:widowControl w:val="0"/>
              <w:jc w:val="center"/>
              <w:rPr>
                <w:rStyle w:val="CommentReference"/>
                <w:b w:val="0"/>
                <w:bCs/>
                <w:snapToGrid w:val="0"/>
                <w:szCs w:val="20"/>
                <w:lang w:eastAsia="en-US"/>
              </w:rPr>
            </w:pPr>
            <w:r w:rsidRPr="00546BEB">
              <w:rPr>
                <w:rFonts w:ascii="Arial Narrow" w:hAnsi="Arial Narrow"/>
                <w:b/>
                <w:bCs/>
                <w:sz w:val="20"/>
                <w:szCs w:val="20"/>
              </w:rPr>
              <w:t>Values</w:t>
            </w:r>
          </w:p>
        </w:tc>
        <w:tc>
          <w:tcPr>
            <w:tcW w:w="2126" w:type="dxa"/>
            <w:vAlign w:val="center"/>
          </w:tcPr>
          <w:p w14:paraId="4563B6B3" w14:textId="5186121E" w:rsidR="00546BEB" w:rsidRPr="00546BEB" w:rsidRDefault="00546BEB" w:rsidP="001A77AA">
            <w:pPr>
              <w:keepLines/>
              <w:widowControl w:val="0"/>
              <w:jc w:val="center"/>
              <w:rPr>
                <w:rStyle w:val="CommentReference"/>
                <w:b w:val="0"/>
                <w:bCs/>
                <w:snapToGrid w:val="0"/>
                <w:szCs w:val="20"/>
                <w:lang w:eastAsia="en-US"/>
              </w:rPr>
            </w:pPr>
            <w:r w:rsidRPr="00546BEB">
              <w:rPr>
                <w:rFonts w:ascii="Arial Narrow" w:hAnsi="Arial Narrow"/>
                <w:b/>
                <w:bCs/>
                <w:sz w:val="20"/>
                <w:szCs w:val="20"/>
              </w:rPr>
              <w:t>Source</w:t>
            </w:r>
          </w:p>
        </w:tc>
        <w:tc>
          <w:tcPr>
            <w:tcW w:w="4202" w:type="dxa"/>
            <w:vAlign w:val="center"/>
          </w:tcPr>
          <w:p w14:paraId="1D64CFF7" w14:textId="1F71EAFB" w:rsidR="00546BEB" w:rsidRPr="00546BEB" w:rsidRDefault="00546BEB" w:rsidP="001A77AA">
            <w:pPr>
              <w:keepLines/>
              <w:widowControl w:val="0"/>
              <w:jc w:val="center"/>
              <w:rPr>
                <w:rStyle w:val="CommentReference"/>
                <w:b w:val="0"/>
                <w:bCs/>
                <w:snapToGrid w:val="0"/>
                <w:szCs w:val="20"/>
                <w:lang w:eastAsia="en-US"/>
              </w:rPr>
            </w:pPr>
            <w:r w:rsidRPr="00A83DE1">
              <w:rPr>
                <w:rFonts w:ascii="Arial Narrow" w:hAnsi="Arial Narrow"/>
                <w:b/>
                <w:bCs/>
                <w:iCs/>
                <w:sz w:val="20"/>
                <w:szCs w:val="20"/>
              </w:rPr>
              <w:t>Comment</w:t>
            </w:r>
          </w:p>
        </w:tc>
      </w:tr>
      <w:tr w:rsidR="00546BEB" w:rsidRPr="00546BEB" w14:paraId="6E58426D" w14:textId="77777777">
        <w:tc>
          <w:tcPr>
            <w:tcW w:w="9017" w:type="dxa"/>
            <w:gridSpan w:val="4"/>
          </w:tcPr>
          <w:p w14:paraId="14B4922B" w14:textId="376FAFDE" w:rsidR="00546BEB" w:rsidRPr="00546BEB" w:rsidRDefault="00546BEB" w:rsidP="001A77AA">
            <w:pPr>
              <w:keepLines/>
              <w:widowControl w:val="0"/>
              <w:rPr>
                <w:rStyle w:val="CommentReference"/>
                <w:b w:val="0"/>
                <w:bCs/>
                <w:snapToGrid w:val="0"/>
                <w:szCs w:val="20"/>
                <w:lang w:eastAsia="en-US"/>
              </w:rPr>
            </w:pPr>
            <w:r w:rsidRPr="00546BEB">
              <w:rPr>
                <w:rFonts w:ascii="Arial Narrow" w:hAnsi="Arial Narrow"/>
                <w:b/>
                <w:bCs/>
                <w:sz w:val="20"/>
                <w:szCs w:val="16"/>
              </w:rPr>
              <w:t>Eligible population</w:t>
            </w:r>
          </w:p>
        </w:tc>
      </w:tr>
      <w:tr w:rsidR="00546BEB" w:rsidRPr="00546BEB" w14:paraId="1AA35903" w14:textId="77777777" w:rsidTr="00604EDD">
        <w:tc>
          <w:tcPr>
            <w:tcW w:w="1413" w:type="dxa"/>
          </w:tcPr>
          <w:p w14:paraId="4AF94263" w14:textId="14F95A67" w:rsidR="00546BEB" w:rsidRPr="00546BEB" w:rsidRDefault="00546BEB" w:rsidP="001A77AA">
            <w:pPr>
              <w:keepLines/>
              <w:widowControl w:val="0"/>
              <w:jc w:val="left"/>
              <w:rPr>
                <w:rStyle w:val="CommentReference"/>
                <w:b w:val="0"/>
                <w:snapToGrid w:val="0"/>
                <w:szCs w:val="20"/>
                <w:lang w:eastAsia="en-US"/>
              </w:rPr>
            </w:pPr>
            <w:r w:rsidRPr="00546BEB">
              <w:rPr>
                <w:rFonts w:ascii="Arial Narrow" w:hAnsi="Arial Narrow"/>
                <w:sz w:val="20"/>
                <w:szCs w:val="20"/>
              </w:rPr>
              <w:t>Incident cases of RM-NPC cases</w:t>
            </w:r>
          </w:p>
        </w:tc>
        <w:tc>
          <w:tcPr>
            <w:tcW w:w="1276" w:type="dxa"/>
          </w:tcPr>
          <w:p w14:paraId="3D0DD0FF" w14:textId="77777777" w:rsidR="00546BEB" w:rsidRPr="00546BEB" w:rsidRDefault="00546BEB" w:rsidP="00A90F7C">
            <w:pPr>
              <w:pStyle w:val="TableText0"/>
              <w:framePr w:wrap="around"/>
            </w:pPr>
            <w:r w:rsidRPr="00546BEB">
              <w:t>2017: 144</w:t>
            </w:r>
          </w:p>
          <w:p w14:paraId="5617AD96" w14:textId="77777777" w:rsidR="00546BEB" w:rsidRPr="00546BEB" w:rsidRDefault="00546BEB" w:rsidP="00A90F7C">
            <w:pPr>
              <w:pStyle w:val="TableText0"/>
              <w:framePr w:wrap="around"/>
            </w:pPr>
            <w:r w:rsidRPr="00546BEB">
              <w:t>2018: 164</w:t>
            </w:r>
          </w:p>
          <w:p w14:paraId="656B435C" w14:textId="77777777" w:rsidR="00546BEB" w:rsidRPr="00546BEB" w:rsidRDefault="00546BEB" w:rsidP="00A90F7C">
            <w:pPr>
              <w:pStyle w:val="TableText0"/>
              <w:framePr w:wrap="around"/>
            </w:pPr>
            <w:r w:rsidRPr="00546BEB">
              <w:t>2019: 168</w:t>
            </w:r>
          </w:p>
          <w:p w14:paraId="5F040187" w14:textId="77777777" w:rsidR="00546BEB" w:rsidRPr="00546BEB" w:rsidRDefault="00546BEB" w:rsidP="00A90F7C">
            <w:pPr>
              <w:pStyle w:val="TableText0"/>
              <w:framePr w:wrap="around"/>
            </w:pPr>
            <w:r w:rsidRPr="00546BEB">
              <w:t>2020: 178</w:t>
            </w:r>
          </w:p>
          <w:p w14:paraId="37BB8178" w14:textId="77777777" w:rsidR="00546BEB" w:rsidRPr="00546BEB" w:rsidRDefault="00546BEB" w:rsidP="00A90F7C">
            <w:pPr>
              <w:pStyle w:val="TableText0"/>
              <w:framePr w:wrap="around"/>
            </w:pPr>
            <w:r w:rsidRPr="00546BEB">
              <w:t>2021: 172</w:t>
            </w:r>
          </w:p>
          <w:p w14:paraId="2F62A1E0" w14:textId="77777777" w:rsidR="00546BEB" w:rsidRPr="00546BEB" w:rsidRDefault="00546BEB" w:rsidP="00A90F7C">
            <w:pPr>
              <w:pStyle w:val="TableText0"/>
              <w:framePr w:wrap="around"/>
            </w:pPr>
            <w:r w:rsidRPr="00546BEB">
              <w:t>2022: 177</w:t>
            </w:r>
          </w:p>
          <w:p w14:paraId="75E8DA93" w14:textId="77777777" w:rsidR="00546BEB" w:rsidRPr="00546BEB" w:rsidRDefault="00546BEB" w:rsidP="00A90F7C">
            <w:pPr>
              <w:pStyle w:val="TableText0"/>
              <w:framePr w:wrap="around"/>
            </w:pPr>
            <w:r w:rsidRPr="00546BEB">
              <w:t>2023: 191</w:t>
            </w:r>
          </w:p>
          <w:p w14:paraId="5774B44B" w14:textId="01162F32" w:rsidR="00546BEB" w:rsidRPr="00546BEB" w:rsidRDefault="00546BEB" w:rsidP="001A77AA">
            <w:pPr>
              <w:keepLines/>
              <w:widowControl w:val="0"/>
              <w:jc w:val="left"/>
              <w:rPr>
                <w:rStyle w:val="CommentReference"/>
                <w:b w:val="0"/>
                <w:snapToGrid w:val="0"/>
                <w:szCs w:val="20"/>
                <w:lang w:eastAsia="en-US"/>
              </w:rPr>
            </w:pPr>
            <w:r w:rsidRPr="00546BEB">
              <w:rPr>
                <w:rFonts w:ascii="Arial Narrow" w:hAnsi="Arial Narrow"/>
                <w:sz w:val="20"/>
                <w:szCs w:val="20"/>
              </w:rPr>
              <w:t>2024: 200</w:t>
            </w:r>
          </w:p>
        </w:tc>
        <w:tc>
          <w:tcPr>
            <w:tcW w:w="2126" w:type="dxa"/>
          </w:tcPr>
          <w:p w14:paraId="33358367" w14:textId="4B1D32F5" w:rsidR="00546BEB" w:rsidRPr="00546BEB" w:rsidRDefault="00546BEB" w:rsidP="001A77AA">
            <w:pPr>
              <w:keepLines/>
              <w:widowControl w:val="0"/>
              <w:jc w:val="left"/>
              <w:rPr>
                <w:rStyle w:val="CommentReference"/>
                <w:b w:val="0"/>
                <w:snapToGrid w:val="0"/>
                <w:szCs w:val="20"/>
                <w:lang w:eastAsia="en-US"/>
              </w:rPr>
            </w:pPr>
            <w:r w:rsidRPr="00546BEB">
              <w:rPr>
                <w:rFonts w:ascii="Arial Narrow" w:hAnsi="Arial Narrow"/>
                <w:sz w:val="20"/>
                <w:szCs w:val="20"/>
              </w:rPr>
              <w:t>Source: AIHW 2023</w:t>
            </w:r>
          </w:p>
        </w:tc>
        <w:tc>
          <w:tcPr>
            <w:tcW w:w="4202" w:type="dxa"/>
          </w:tcPr>
          <w:p w14:paraId="26FEDE50" w14:textId="59E78A6C" w:rsidR="00546BEB" w:rsidRPr="00546BEB" w:rsidRDefault="00546BEB" w:rsidP="001A77AA">
            <w:pPr>
              <w:keepLines/>
              <w:widowControl w:val="0"/>
              <w:jc w:val="left"/>
              <w:rPr>
                <w:rStyle w:val="CommentReference"/>
                <w:b w:val="0"/>
                <w:snapToGrid w:val="0"/>
                <w:szCs w:val="20"/>
                <w:lang w:eastAsia="en-US"/>
              </w:rPr>
            </w:pPr>
            <w:r w:rsidRPr="00A83DE1">
              <w:rPr>
                <w:rFonts w:ascii="Arial Narrow" w:hAnsi="Arial Narrow"/>
                <w:iCs/>
                <w:sz w:val="20"/>
                <w:szCs w:val="20"/>
              </w:rPr>
              <w:t>The source was appropriate</w:t>
            </w:r>
            <w:r w:rsidRPr="00546BEB">
              <w:rPr>
                <w:rFonts w:ascii="Arial Narrow" w:hAnsi="Arial Narrow"/>
                <w:sz w:val="20"/>
                <w:szCs w:val="20"/>
              </w:rPr>
              <w:t>.</w:t>
            </w:r>
          </w:p>
        </w:tc>
      </w:tr>
      <w:tr w:rsidR="00546BEB" w:rsidRPr="00A83DE1" w14:paraId="2B1B0AAD" w14:textId="77777777" w:rsidTr="00604EDD">
        <w:tc>
          <w:tcPr>
            <w:tcW w:w="1413" w:type="dxa"/>
          </w:tcPr>
          <w:p w14:paraId="079A998A" w14:textId="5B1D6198" w:rsidR="00546BEB" w:rsidRPr="00A83DE1" w:rsidRDefault="00546BEB" w:rsidP="001A77AA">
            <w:pPr>
              <w:keepLines/>
              <w:widowControl w:val="0"/>
              <w:jc w:val="left"/>
              <w:rPr>
                <w:rStyle w:val="CommentReference"/>
                <w:b w:val="0"/>
                <w:snapToGrid w:val="0"/>
                <w:szCs w:val="20"/>
                <w:lang w:eastAsia="en-US"/>
              </w:rPr>
            </w:pPr>
            <w:r w:rsidRPr="00A83DE1">
              <w:rPr>
                <w:rFonts w:ascii="Arial Narrow" w:hAnsi="Arial Narrow"/>
                <w:sz w:val="20"/>
                <w:szCs w:val="20"/>
              </w:rPr>
              <w:t>Growth rate</w:t>
            </w:r>
          </w:p>
        </w:tc>
        <w:tc>
          <w:tcPr>
            <w:tcW w:w="1276" w:type="dxa"/>
          </w:tcPr>
          <w:p w14:paraId="5101079E" w14:textId="1135EBEC" w:rsidR="00546BEB" w:rsidRPr="00A83DE1" w:rsidRDefault="00546BEB" w:rsidP="001A77AA">
            <w:pPr>
              <w:keepLines/>
              <w:widowControl w:val="0"/>
              <w:jc w:val="left"/>
              <w:rPr>
                <w:rStyle w:val="CommentReference"/>
                <w:b w:val="0"/>
                <w:snapToGrid w:val="0"/>
                <w:szCs w:val="20"/>
                <w:lang w:eastAsia="en-US"/>
              </w:rPr>
            </w:pPr>
            <w:r w:rsidRPr="00A83DE1">
              <w:rPr>
                <w:rFonts w:ascii="Arial Narrow" w:hAnsi="Arial Narrow"/>
                <w:sz w:val="20"/>
                <w:szCs w:val="20"/>
              </w:rPr>
              <w:t>4.0%</w:t>
            </w:r>
          </w:p>
        </w:tc>
        <w:tc>
          <w:tcPr>
            <w:tcW w:w="2126" w:type="dxa"/>
          </w:tcPr>
          <w:p w14:paraId="2F8E12FD" w14:textId="5CA87F32" w:rsidR="00546BEB" w:rsidRPr="00A83DE1" w:rsidRDefault="00546BEB" w:rsidP="001A77AA">
            <w:pPr>
              <w:keepLines/>
              <w:widowControl w:val="0"/>
              <w:jc w:val="left"/>
              <w:rPr>
                <w:rStyle w:val="CommentReference"/>
                <w:b w:val="0"/>
                <w:snapToGrid w:val="0"/>
                <w:szCs w:val="20"/>
                <w:lang w:eastAsia="en-US"/>
              </w:rPr>
            </w:pPr>
            <w:r w:rsidRPr="00A83DE1">
              <w:rPr>
                <w:rFonts w:ascii="Arial Narrow" w:hAnsi="Arial Narrow"/>
                <w:sz w:val="20"/>
                <w:szCs w:val="20"/>
              </w:rPr>
              <w:t>Calculated based on differences in incident cases of RM-NPC annually as reported by the AIHW incidence data between 2017 and 2024</w:t>
            </w:r>
          </w:p>
        </w:tc>
        <w:tc>
          <w:tcPr>
            <w:tcW w:w="4202" w:type="dxa"/>
          </w:tcPr>
          <w:p w14:paraId="787B3E89" w14:textId="19BADDE5" w:rsidR="00546BEB" w:rsidRPr="00A83DE1" w:rsidRDefault="00546BEB" w:rsidP="001A77AA">
            <w:pPr>
              <w:keepLines/>
              <w:widowControl w:val="0"/>
              <w:jc w:val="left"/>
              <w:rPr>
                <w:rStyle w:val="CommentReference"/>
                <w:b w:val="0"/>
                <w:iCs/>
                <w:snapToGrid w:val="0"/>
                <w:szCs w:val="20"/>
                <w:lang w:eastAsia="en-US"/>
              </w:rPr>
            </w:pPr>
            <w:r w:rsidRPr="00A83DE1">
              <w:rPr>
                <w:rFonts w:ascii="Arial Narrow" w:hAnsi="Arial Narrow"/>
                <w:iCs/>
                <w:sz w:val="20"/>
                <w:szCs w:val="20"/>
              </w:rPr>
              <w:t xml:space="preserve">The submission claimed that the rate was calculated based on the AIHW incidence rate between 2017 and 2024. However, the rate of 4% </w:t>
            </w:r>
            <w:r w:rsidR="003F017C">
              <w:rPr>
                <w:rFonts w:ascii="Arial Narrow" w:hAnsi="Arial Narrow"/>
                <w:iCs/>
                <w:sz w:val="20"/>
                <w:szCs w:val="20"/>
              </w:rPr>
              <w:t>wa</w:t>
            </w:r>
            <w:r w:rsidRPr="00A83DE1">
              <w:rPr>
                <w:rFonts w:ascii="Arial Narrow" w:hAnsi="Arial Narrow"/>
                <w:iCs/>
                <w:sz w:val="20"/>
                <w:szCs w:val="20"/>
              </w:rPr>
              <w:t>s based on the average incident NPC diagnosed cases from 2020 to 2024 only. Sensitivity analysis, which consider</w:t>
            </w:r>
            <w:r w:rsidR="002F3072">
              <w:rPr>
                <w:rFonts w:ascii="Arial Narrow" w:hAnsi="Arial Narrow"/>
                <w:iCs/>
                <w:sz w:val="20"/>
                <w:szCs w:val="20"/>
              </w:rPr>
              <w:t>ed</w:t>
            </w:r>
            <w:r w:rsidRPr="00A83DE1">
              <w:rPr>
                <w:rFonts w:ascii="Arial Narrow" w:hAnsi="Arial Narrow"/>
                <w:iCs/>
                <w:sz w:val="20"/>
                <w:szCs w:val="20"/>
              </w:rPr>
              <w:t xml:space="preserve"> the average from 2017 to 2024, result</w:t>
            </w:r>
            <w:r w:rsidR="002F3072">
              <w:rPr>
                <w:rFonts w:ascii="Arial Narrow" w:hAnsi="Arial Narrow"/>
                <w:iCs/>
                <w:sz w:val="20"/>
                <w:szCs w:val="20"/>
              </w:rPr>
              <w:t>ed</w:t>
            </w:r>
            <w:r w:rsidRPr="00A83DE1">
              <w:rPr>
                <w:rFonts w:ascii="Arial Narrow" w:hAnsi="Arial Narrow"/>
                <w:iCs/>
                <w:sz w:val="20"/>
                <w:szCs w:val="20"/>
              </w:rPr>
              <w:t xml:space="preserve"> in a 5% growth rate. </w:t>
            </w:r>
            <w:r w:rsidR="00911E6E">
              <w:rPr>
                <w:rFonts w:ascii="Arial Narrow" w:hAnsi="Arial Narrow"/>
                <w:iCs/>
                <w:sz w:val="20"/>
                <w:szCs w:val="20"/>
              </w:rPr>
              <w:t xml:space="preserve">The PSCR revised growth to 5%. </w:t>
            </w:r>
          </w:p>
        </w:tc>
      </w:tr>
      <w:tr w:rsidR="00546BEB" w:rsidRPr="00546BEB" w14:paraId="70F8F7E1" w14:textId="77777777" w:rsidTr="00604EDD">
        <w:tc>
          <w:tcPr>
            <w:tcW w:w="1413" w:type="dxa"/>
          </w:tcPr>
          <w:p w14:paraId="477560E5" w14:textId="134E3975" w:rsidR="00546BEB" w:rsidRPr="00546BEB" w:rsidRDefault="00546BEB" w:rsidP="001A77AA">
            <w:pPr>
              <w:keepLines/>
              <w:widowControl w:val="0"/>
              <w:jc w:val="left"/>
              <w:rPr>
                <w:rStyle w:val="CommentReference"/>
                <w:b w:val="0"/>
                <w:snapToGrid w:val="0"/>
                <w:szCs w:val="20"/>
                <w:lang w:eastAsia="en-US"/>
              </w:rPr>
            </w:pPr>
            <w:r w:rsidRPr="00546BEB">
              <w:rPr>
                <w:rFonts w:ascii="Arial Narrow" w:hAnsi="Arial Narrow"/>
                <w:sz w:val="20"/>
                <w:szCs w:val="20"/>
              </w:rPr>
              <w:lastRenderedPageBreak/>
              <w:t>Projected incident patients</w:t>
            </w:r>
          </w:p>
        </w:tc>
        <w:tc>
          <w:tcPr>
            <w:tcW w:w="1276" w:type="dxa"/>
          </w:tcPr>
          <w:p w14:paraId="3AFEEB70" w14:textId="77777777" w:rsidR="00546BEB" w:rsidRPr="005275EE" w:rsidRDefault="00546BEB" w:rsidP="00A90F7C">
            <w:pPr>
              <w:pStyle w:val="TableText0"/>
              <w:framePr w:wrap="around"/>
            </w:pPr>
            <w:r w:rsidRPr="005275EE">
              <w:t>2025: 207</w:t>
            </w:r>
          </w:p>
          <w:p w14:paraId="609AE86D" w14:textId="77777777" w:rsidR="00546BEB" w:rsidRPr="005275EE" w:rsidRDefault="00546BEB" w:rsidP="00A90F7C">
            <w:pPr>
              <w:pStyle w:val="TableText0"/>
              <w:framePr w:wrap="around"/>
            </w:pPr>
            <w:r w:rsidRPr="005275EE">
              <w:t>2026: 215</w:t>
            </w:r>
          </w:p>
          <w:p w14:paraId="31D3750A" w14:textId="77777777" w:rsidR="00546BEB" w:rsidRPr="005275EE" w:rsidRDefault="00546BEB" w:rsidP="00A90F7C">
            <w:pPr>
              <w:pStyle w:val="TableText0"/>
              <w:framePr w:wrap="around"/>
            </w:pPr>
            <w:r w:rsidRPr="005275EE">
              <w:t>2027: 223</w:t>
            </w:r>
          </w:p>
          <w:p w14:paraId="183DD980" w14:textId="77777777" w:rsidR="00546BEB" w:rsidRPr="005275EE" w:rsidRDefault="00546BEB" w:rsidP="00A90F7C">
            <w:pPr>
              <w:pStyle w:val="TableText0"/>
              <w:framePr w:wrap="around"/>
            </w:pPr>
            <w:r w:rsidRPr="005275EE">
              <w:t>2028: 231</w:t>
            </w:r>
          </w:p>
          <w:p w14:paraId="17CDC750" w14:textId="77777777" w:rsidR="00546BEB" w:rsidRPr="005275EE" w:rsidRDefault="00546BEB" w:rsidP="00A90F7C">
            <w:pPr>
              <w:pStyle w:val="TableText0"/>
              <w:framePr w:wrap="around"/>
            </w:pPr>
            <w:r w:rsidRPr="005275EE">
              <w:t>2029: 239</w:t>
            </w:r>
          </w:p>
          <w:p w14:paraId="7D13070E" w14:textId="4C640A4C" w:rsidR="00546BEB" w:rsidRPr="005275EE" w:rsidRDefault="00546BEB" w:rsidP="001A77AA">
            <w:pPr>
              <w:keepLines/>
              <w:widowControl w:val="0"/>
              <w:jc w:val="left"/>
              <w:rPr>
                <w:rStyle w:val="CommentReference"/>
                <w:b w:val="0"/>
                <w:snapToGrid w:val="0"/>
                <w:szCs w:val="20"/>
                <w:lang w:eastAsia="en-US"/>
              </w:rPr>
            </w:pPr>
            <w:r w:rsidRPr="005275EE">
              <w:rPr>
                <w:rFonts w:ascii="Arial Narrow" w:hAnsi="Arial Narrow"/>
                <w:sz w:val="20"/>
                <w:szCs w:val="20"/>
              </w:rPr>
              <w:t>2030: 248</w:t>
            </w:r>
          </w:p>
        </w:tc>
        <w:tc>
          <w:tcPr>
            <w:tcW w:w="2126" w:type="dxa"/>
          </w:tcPr>
          <w:p w14:paraId="5E02AA6E" w14:textId="34EBF554" w:rsidR="00546BEB" w:rsidRPr="00546BEB" w:rsidRDefault="00546BEB" w:rsidP="001A77AA">
            <w:pPr>
              <w:keepLines/>
              <w:widowControl w:val="0"/>
              <w:jc w:val="left"/>
              <w:rPr>
                <w:rStyle w:val="CommentReference"/>
                <w:b w:val="0"/>
                <w:snapToGrid w:val="0"/>
                <w:szCs w:val="20"/>
                <w:lang w:eastAsia="en-US"/>
              </w:rPr>
            </w:pPr>
            <w:r w:rsidRPr="00546BEB">
              <w:rPr>
                <w:rFonts w:ascii="Arial Narrow" w:hAnsi="Arial Narrow"/>
                <w:sz w:val="20"/>
                <w:szCs w:val="20"/>
              </w:rPr>
              <w:t>Source: Calculated by extrapolating from projected 2024 incidence as reported by AIHW 2023 and the 4% annual growth rate.</w:t>
            </w:r>
          </w:p>
        </w:tc>
        <w:tc>
          <w:tcPr>
            <w:tcW w:w="4202" w:type="dxa"/>
          </w:tcPr>
          <w:p w14:paraId="27513207" w14:textId="5B2F6AAF" w:rsidR="00546BEB" w:rsidRPr="00546BEB" w:rsidRDefault="00546BEB" w:rsidP="001A77AA">
            <w:pPr>
              <w:keepLines/>
              <w:widowControl w:val="0"/>
              <w:jc w:val="left"/>
              <w:rPr>
                <w:rStyle w:val="CommentReference"/>
                <w:b w:val="0"/>
                <w:snapToGrid w:val="0"/>
                <w:szCs w:val="20"/>
                <w:lang w:eastAsia="en-US"/>
              </w:rPr>
            </w:pPr>
            <w:r w:rsidRPr="00A83DE1">
              <w:rPr>
                <w:rFonts w:ascii="Arial Narrow" w:hAnsi="Arial Narrow"/>
                <w:iCs/>
                <w:sz w:val="20"/>
                <w:szCs w:val="20"/>
              </w:rPr>
              <w:t xml:space="preserve">The calculation of the projected incident patient numbers appears reasonable. </w:t>
            </w:r>
          </w:p>
        </w:tc>
      </w:tr>
      <w:tr w:rsidR="00546BEB" w:rsidRPr="00A83DE1" w14:paraId="62D78497" w14:textId="77777777" w:rsidTr="00604EDD">
        <w:tc>
          <w:tcPr>
            <w:tcW w:w="1413" w:type="dxa"/>
          </w:tcPr>
          <w:p w14:paraId="59C04F48" w14:textId="3EC4194B"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Predicted prevalent patients</w:t>
            </w:r>
          </w:p>
        </w:tc>
        <w:tc>
          <w:tcPr>
            <w:tcW w:w="1276" w:type="dxa"/>
          </w:tcPr>
          <w:p w14:paraId="040B38D4" w14:textId="77777777" w:rsidR="00546BEB" w:rsidRPr="005275EE" w:rsidRDefault="00546BEB" w:rsidP="00A90F7C">
            <w:pPr>
              <w:pStyle w:val="TableText0"/>
              <w:framePr w:wrap="around"/>
            </w:pPr>
            <w:r w:rsidRPr="005275EE">
              <w:t>2025: 200</w:t>
            </w:r>
          </w:p>
          <w:p w14:paraId="3D8FC3AE" w14:textId="77777777" w:rsidR="00546BEB" w:rsidRPr="005275EE" w:rsidRDefault="00546BEB" w:rsidP="00A90F7C">
            <w:pPr>
              <w:pStyle w:val="TableText0"/>
              <w:framePr w:wrap="around"/>
            </w:pPr>
            <w:r w:rsidRPr="005275EE">
              <w:t>2026: 207</w:t>
            </w:r>
          </w:p>
          <w:p w14:paraId="4F52B98F" w14:textId="77777777" w:rsidR="00546BEB" w:rsidRPr="005275EE" w:rsidRDefault="00546BEB" w:rsidP="00A90F7C">
            <w:pPr>
              <w:pStyle w:val="TableText0"/>
              <w:framePr w:wrap="around"/>
            </w:pPr>
            <w:r w:rsidRPr="005275EE">
              <w:t>2027: 215</w:t>
            </w:r>
          </w:p>
          <w:p w14:paraId="33A58A80" w14:textId="77777777" w:rsidR="00546BEB" w:rsidRPr="005275EE" w:rsidRDefault="00546BEB" w:rsidP="00A90F7C">
            <w:pPr>
              <w:pStyle w:val="TableText0"/>
              <w:framePr w:wrap="around"/>
            </w:pPr>
            <w:r w:rsidRPr="005275EE">
              <w:t>2028: 223</w:t>
            </w:r>
          </w:p>
          <w:p w14:paraId="70BF2B63" w14:textId="77777777" w:rsidR="00546BEB" w:rsidRPr="005275EE" w:rsidRDefault="00546BEB" w:rsidP="00A90F7C">
            <w:pPr>
              <w:pStyle w:val="TableText0"/>
              <w:framePr w:wrap="around"/>
            </w:pPr>
            <w:r w:rsidRPr="005275EE">
              <w:t>2029: 231</w:t>
            </w:r>
          </w:p>
          <w:p w14:paraId="41AE6216" w14:textId="70F05B77" w:rsidR="00546BEB" w:rsidRPr="005275EE" w:rsidRDefault="00546BEB" w:rsidP="00A90F7C">
            <w:pPr>
              <w:pStyle w:val="TableText0"/>
              <w:framePr w:wrap="around"/>
            </w:pPr>
            <w:r w:rsidRPr="005275EE">
              <w:t>2030: 239</w:t>
            </w:r>
          </w:p>
        </w:tc>
        <w:tc>
          <w:tcPr>
            <w:tcW w:w="2126" w:type="dxa"/>
          </w:tcPr>
          <w:p w14:paraId="59F5B32B" w14:textId="4FF1D0A7"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Based on number of incident cases in previous year as projected above</w:t>
            </w:r>
          </w:p>
        </w:tc>
        <w:tc>
          <w:tcPr>
            <w:tcW w:w="4202" w:type="dxa"/>
          </w:tcPr>
          <w:p w14:paraId="41E755E8" w14:textId="0ADE6A37" w:rsidR="00546BEB" w:rsidRPr="00A83DE1" w:rsidRDefault="00546BEB" w:rsidP="001A77AA">
            <w:pPr>
              <w:keepLines/>
              <w:widowControl w:val="0"/>
              <w:jc w:val="left"/>
              <w:rPr>
                <w:rFonts w:ascii="Arial Narrow" w:hAnsi="Arial Narrow"/>
                <w:iCs/>
                <w:sz w:val="20"/>
                <w:szCs w:val="20"/>
              </w:rPr>
            </w:pPr>
            <w:r w:rsidRPr="00A83DE1">
              <w:rPr>
                <w:rFonts w:ascii="Arial Narrow" w:hAnsi="Arial Narrow"/>
                <w:iCs/>
                <w:sz w:val="20"/>
                <w:szCs w:val="20"/>
              </w:rPr>
              <w:t xml:space="preserve">Implicitly, this assumed that patients have a life expectancy of just one year (e.g. there are no remaining prevalent patients diagnosed in 2025 in 2027), which may not be reasonable given the median survival of chemotherapy patients in JUPITER-02 was 33.7 months. This may lead to an underestimate of the prevalent population and consequently underestimate second (and subsequent) line use of toripalimab. </w:t>
            </w:r>
          </w:p>
        </w:tc>
      </w:tr>
      <w:tr w:rsidR="00546BEB" w:rsidRPr="00546BEB" w14:paraId="09098B55" w14:textId="77777777">
        <w:tc>
          <w:tcPr>
            <w:tcW w:w="9017" w:type="dxa"/>
            <w:gridSpan w:val="4"/>
            <w:vAlign w:val="center"/>
          </w:tcPr>
          <w:p w14:paraId="40FEC648" w14:textId="49D3BA2B" w:rsidR="00546BEB" w:rsidRPr="00546BEB" w:rsidRDefault="00546BEB" w:rsidP="001A77AA">
            <w:pPr>
              <w:keepLines/>
              <w:widowControl w:val="0"/>
              <w:jc w:val="left"/>
              <w:rPr>
                <w:rFonts w:ascii="Arial Narrow" w:hAnsi="Arial Narrow"/>
                <w:b/>
                <w:bCs/>
                <w:i/>
                <w:iCs/>
                <w:sz w:val="20"/>
                <w:szCs w:val="20"/>
              </w:rPr>
            </w:pPr>
            <w:r w:rsidRPr="000A34CF">
              <w:rPr>
                <w:rFonts w:ascii="Arial Narrow" w:hAnsi="Arial Narrow"/>
                <w:b/>
                <w:bCs/>
                <w:sz w:val="20"/>
                <w:szCs w:val="16"/>
              </w:rPr>
              <w:t>RM-NPC stage distribution</w:t>
            </w:r>
          </w:p>
        </w:tc>
      </w:tr>
      <w:tr w:rsidR="00546BEB" w:rsidRPr="00A83DE1" w14:paraId="28FEA004" w14:textId="77777777" w:rsidTr="00604EDD">
        <w:tc>
          <w:tcPr>
            <w:tcW w:w="1413" w:type="dxa"/>
          </w:tcPr>
          <w:p w14:paraId="0D3008D5" w14:textId="3AEF76D5"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Diagnosed metastatic</w:t>
            </w:r>
          </w:p>
        </w:tc>
        <w:tc>
          <w:tcPr>
            <w:tcW w:w="1276" w:type="dxa"/>
          </w:tcPr>
          <w:p w14:paraId="06CF8A9B" w14:textId="0FAE8F24" w:rsidR="00546BEB" w:rsidRPr="00A83DE1" w:rsidRDefault="00546BEB" w:rsidP="00A90F7C">
            <w:pPr>
              <w:pStyle w:val="TableText0"/>
              <w:framePr w:wrap="around"/>
            </w:pPr>
            <w:r w:rsidRPr="00A83DE1">
              <w:t>12.0%</w:t>
            </w:r>
          </w:p>
        </w:tc>
        <w:tc>
          <w:tcPr>
            <w:tcW w:w="2126" w:type="dxa"/>
          </w:tcPr>
          <w:p w14:paraId="63050AC3" w14:textId="36B60FAD"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Metastatic at time of diagnosis: Source: Qu 2020, which reported pattern and prognosis of distant metastasis in NPC from the US Surveillance, Epidemiology and End Results (SEER) program between 2010 and 2016.</w:t>
            </w:r>
          </w:p>
        </w:tc>
        <w:tc>
          <w:tcPr>
            <w:tcW w:w="4202" w:type="dxa"/>
          </w:tcPr>
          <w:p w14:paraId="537ACC5B" w14:textId="01843126" w:rsidR="00546BEB" w:rsidRPr="00A83DE1" w:rsidRDefault="00546BEB" w:rsidP="001A77AA">
            <w:pPr>
              <w:keepLines/>
              <w:widowControl w:val="0"/>
              <w:jc w:val="left"/>
              <w:rPr>
                <w:rFonts w:ascii="Arial Narrow" w:hAnsi="Arial Narrow"/>
                <w:iCs/>
                <w:sz w:val="20"/>
                <w:szCs w:val="20"/>
              </w:rPr>
            </w:pPr>
            <w:r w:rsidRPr="00A83DE1">
              <w:rPr>
                <w:rFonts w:ascii="Arial Narrow" w:hAnsi="Arial Narrow"/>
                <w:iCs/>
                <w:sz w:val="20"/>
                <w:szCs w:val="20"/>
              </w:rPr>
              <w:t xml:space="preserve">The SEER cohort enrolled in Qu 2020 included a racial distribution of 43% White and 43% Others. While this may have potential applicability issues to the findings to the Australian population, the racial distribution in the Australian population was unknown. </w:t>
            </w:r>
          </w:p>
        </w:tc>
      </w:tr>
      <w:tr w:rsidR="00546BEB" w:rsidRPr="00A83DE1" w14:paraId="56D71AF1" w14:textId="77777777" w:rsidTr="00604EDD">
        <w:tc>
          <w:tcPr>
            <w:tcW w:w="1413" w:type="dxa"/>
          </w:tcPr>
          <w:p w14:paraId="79A21DEA" w14:textId="6CB3E793"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Progress to RM-NPC</w:t>
            </w:r>
          </w:p>
        </w:tc>
        <w:tc>
          <w:tcPr>
            <w:tcW w:w="1276" w:type="dxa"/>
          </w:tcPr>
          <w:p w14:paraId="5B628F45" w14:textId="4CC7E890" w:rsidR="00546BEB" w:rsidRPr="00A83DE1" w:rsidRDefault="00546BEB" w:rsidP="00A90F7C">
            <w:pPr>
              <w:pStyle w:val="TableText0"/>
              <w:framePr w:wrap="around"/>
            </w:pPr>
            <w:r w:rsidRPr="00A83DE1">
              <w:t>15.0%</w:t>
            </w:r>
          </w:p>
        </w:tc>
        <w:tc>
          <w:tcPr>
            <w:tcW w:w="2126" w:type="dxa"/>
          </w:tcPr>
          <w:p w14:paraId="2C31C763" w14:textId="77777777" w:rsidR="00546BEB" w:rsidRPr="00A83DE1" w:rsidRDefault="00546BEB" w:rsidP="00A90F7C">
            <w:pPr>
              <w:pStyle w:val="TableText0"/>
              <w:framePr w:wrap="around"/>
            </w:pPr>
            <w:r w:rsidRPr="00A83DE1">
              <w:t xml:space="preserve">Progress to recurrent or metastatic stage post-diagnosis: </w:t>
            </w:r>
          </w:p>
          <w:p w14:paraId="6F1F2E3E" w14:textId="0CBAEA19"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Source: Lee 2015, which was a review article of management in NPC.</w:t>
            </w:r>
          </w:p>
        </w:tc>
        <w:tc>
          <w:tcPr>
            <w:tcW w:w="4202" w:type="dxa"/>
          </w:tcPr>
          <w:p w14:paraId="1A3DFB1C" w14:textId="1736D35B" w:rsidR="00546BEB" w:rsidRPr="00A83DE1" w:rsidRDefault="00546BEB" w:rsidP="001A77AA">
            <w:pPr>
              <w:keepLines/>
              <w:widowControl w:val="0"/>
              <w:jc w:val="left"/>
              <w:rPr>
                <w:rFonts w:ascii="Arial Narrow" w:hAnsi="Arial Narrow"/>
                <w:iCs/>
                <w:sz w:val="20"/>
                <w:szCs w:val="20"/>
              </w:rPr>
            </w:pPr>
            <w:r w:rsidRPr="00A83DE1">
              <w:rPr>
                <w:rFonts w:ascii="Arial Narrow" w:hAnsi="Arial Narrow"/>
                <w:iCs/>
                <w:sz w:val="20"/>
                <w:szCs w:val="20"/>
              </w:rPr>
              <w:t>Lee 2015 stated “</w:t>
            </w:r>
            <w:r w:rsidR="0029047D" w:rsidRPr="00A83DE1">
              <w:rPr>
                <w:rFonts w:ascii="Arial Narrow" w:hAnsi="Arial Narrow"/>
                <w:iCs/>
                <w:sz w:val="20"/>
                <w:szCs w:val="20"/>
              </w:rPr>
              <w:t>E</w:t>
            </w:r>
            <w:r w:rsidRPr="00A83DE1">
              <w:rPr>
                <w:rFonts w:ascii="Arial Narrow" w:hAnsi="Arial Narrow"/>
                <w:iCs/>
                <w:sz w:val="20"/>
                <w:szCs w:val="20"/>
              </w:rPr>
              <w:t xml:space="preserve">ven with the best available treatment in modern practice, retrospective reports of patients treated with IMRT over the last decade have revealed the stark reality that 5% to 15% of patients will develop local failure, and 15% to 30% will experience failure at distant sites”. While sources were cited by Lee 2015, a review of the sources did not reveal where these estimates were derived from. It was unclear if these were lifetime risks, or over a fixed (but unclear) time period. </w:t>
            </w:r>
          </w:p>
        </w:tc>
      </w:tr>
      <w:tr w:rsidR="00546BEB" w:rsidRPr="00546BEB" w14:paraId="69C7E908" w14:textId="77777777" w:rsidTr="00546BEB">
        <w:tc>
          <w:tcPr>
            <w:tcW w:w="9017" w:type="dxa"/>
            <w:gridSpan w:val="4"/>
          </w:tcPr>
          <w:p w14:paraId="4E38880B" w14:textId="22984E62" w:rsidR="00546BEB" w:rsidRPr="00546BEB" w:rsidRDefault="00546BEB" w:rsidP="001A77AA">
            <w:pPr>
              <w:keepLines/>
              <w:widowControl w:val="0"/>
              <w:jc w:val="left"/>
              <w:rPr>
                <w:rFonts w:ascii="Arial Narrow" w:hAnsi="Arial Narrow"/>
                <w:i/>
                <w:iCs/>
                <w:sz w:val="20"/>
                <w:szCs w:val="20"/>
              </w:rPr>
            </w:pPr>
            <w:r w:rsidRPr="00546BEB">
              <w:rPr>
                <w:rFonts w:ascii="Arial Narrow" w:hAnsi="Arial Narrow"/>
                <w:sz w:val="20"/>
                <w:szCs w:val="20"/>
              </w:rPr>
              <w:t>Treatment utilisation</w:t>
            </w:r>
          </w:p>
        </w:tc>
      </w:tr>
      <w:tr w:rsidR="00546BEB" w:rsidRPr="00546BEB" w14:paraId="40D05FC6" w14:textId="77777777" w:rsidTr="00604EDD">
        <w:tc>
          <w:tcPr>
            <w:tcW w:w="1413" w:type="dxa"/>
          </w:tcPr>
          <w:p w14:paraId="0986ECA1" w14:textId="4803CF68" w:rsidR="00546BEB" w:rsidRPr="00546BEB" w:rsidRDefault="00546BEB" w:rsidP="001A77AA">
            <w:pPr>
              <w:keepLines/>
              <w:widowControl w:val="0"/>
              <w:jc w:val="left"/>
              <w:rPr>
                <w:rFonts w:ascii="Arial Narrow" w:hAnsi="Arial Narrow"/>
                <w:sz w:val="20"/>
                <w:szCs w:val="20"/>
              </w:rPr>
            </w:pPr>
            <w:r w:rsidRPr="00546BEB">
              <w:rPr>
                <w:rFonts w:ascii="Arial Narrow" w:hAnsi="Arial Narrow"/>
                <w:sz w:val="20"/>
                <w:szCs w:val="20"/>
              </w:rPr>
              <w:t>Uptake rate</w:t>
            </w:r>
          </w:p>
        </w:tc>
        <w:tc>
          <w:tcPr>
            <w:tcW w:w="1276" w:type="dxa"/>
          </w:tcPr>
          <w:p w14:paraId="55389F66" w14:textId="21099E5A" w:rsidR="00546BEB" w:rsidRPr="00546BEB" w:rsidRDefault="000A34CF" w:rsidP="001A77AA">
            <w:pPr>
              <w:pStyle w:val="Tabletext8pt"/>
              <w:keepNext w:val="0"/>
              <w:rPr>
                <w:rFonts w:ascii="Arial Narrow" w:eastAsiaTheme="majorEastAsia" w:hAnsi="Arial Narrow" w:cstheme="majorBidi"/>
                <w:bCs/>
                <w:sz w:val="20"/>
                <w:szCs w:val="20"/>
                <w:lang w:eastAsia="en-AU"/>
              </w:rPr>
            </w:pPr>
            <w:r>
              <w:rPr>
                <w:rFonts w:ascii="Arial Narrow" w:eastAsiaTheme="majorEastAsia" w:hAnsi="Arial Narrow" w:cstheme="majorBidi"/>
                <w:bCs/>
                <w:sz w:val="20"/>
                <w:szCs w:val="20"/>
                <w:lang w:eastAsia="en-AU"/>
              </w:rPr>
              <w:t>1L</w:t>
            </w:r>
          </w:p>
          <w:p w14:paraId="7847E4FE" w14:textId="1DB56B95" w:rsidR="00546BEB" w:rsidRPr="00546BEB" w:rsidRDefault="00546BEB" w:rsidP="001A77AA">
            <w:pPr>
              <w:pStyle w:val="Tabletext8pt"/>
              <w:keepNext w:val="0"/>
              <w:rPr>
                <w:rFonts w:ascii="Arial Narrow" w:eastAsiaTheme="majorEastAsia" w:hAnsi="Arial Narrow" w:cstheme="majorBidi"/>
                <w:bCs/>
                <w:sz w:val="20"/>
                <w:szCs w:val="20"/>
                <w:lang w:eastAsia="en-AU"/>
              </w:rPr>
            </w:pPr>
            <w:r w:rsidRPr="00546BEB">
              <w:rPr>
                <w:rFonts w:ascii="Arial Narrow" w:eastAsiaTheme="majorEastAsia" w:hAnsi="Arial Narrow" w:cstheme="majorBidi"/>
                <w:bCs/>
                <w:sz w:val="20"/>
                <w:szCs w:val="20"/>
                <w:lang w:eastAsia="en-AU"/>
              </w:rPr>
              <w:t xml:space="preserve">Year 1: </w:t>
            </w:r>
            <w:r w:rsidR="0016738C" w:rsidRPr="0016738C">
              <w:rPr>
                <w:rFonts w:ascii="Arial Narrow" w:eastAsiaTheme="majorEastAsia" w:hAnsi="Arial Narrow" w:cstheme="majorBidi"/>
                <w:bCs/>
                <w:color w:val="000000"/>
                <w:spacing w:val="53"/>
                <w:sz w:val="20"/>
                <w:szCs w:val="20"/>
                <w:shd w:val="solid" w:color="000000" w:fill="000000"/>
                <w:fitText w:val="330" w:id="-694443775"/>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75"/>
                <w:lang w:eastAsia="en-AU"/>
                <w14:textFill>
                  <w14:solidFill>
                    <w14:srgbClr w14:val="000000">
                      <w14:alpha w14:val="100000"/>
                    </w14:srgbClr>
                  </w14:solidFill>
                </w14:textFill>
              </w:rPr>
              <w:t>|</w:t>
            </w:r>
            <w:r w:rsidRPr="00546BEB">
              <w:rPr>
                <w:rFonts w:ascii="Arial Narrow" w:eastAsiaTheme="majorEastAsia" w:hAnsi="Arial Narrow" w:cstheme="majorBidi"/>
                <w:bCs/>
                <w:sz w:val="20"/>
                <w:szCs w:val="20"/>
                <w:lang w:eastAsia="en-AU"/>
              </w:rPr>
              <w:t>%</w:t>
            </w:r>
          </w:p>
          <w:p w14:paraId="7928D569" w14:textId="7CC7B6F9" w:rsidR="00546BEB" w:rsidRPr="00546BEB" w:rsidRDefault="00546BEB" w:rsidP="001A77AA">
            <w:pPr>
              <w:pStyle w:val="Tabletext8pt"/>
              <w:keepNext w:val="0"/>
              <w:rPr>
                <w:rFonts w:ascii="Arial Narrow" w:eastAsiaTheme="majorEastAsia" w:hAnsi="Arial Narrow" w:cstheme="majorBidi"/>
                <w:bCs/>
                <w:sz w:val="20"/>
                <w:szCs w:val="20"/>
                <w:lang w:eastAsia="en-AU"/>
              </w:rPr>
            </w:pPr>
            <w:r w:rsidRPr="00546BEB">
              <w:rPr>
                <w:rFonts w:ascii="Arial Narrow" w:eastAsiaTheme="majorEastAsia" w:hAnsi="Arial Narrow" w:cstheme="majorBidi"/>
                <w:bCs/>
                <w:sz w:val="20"/>
                <w:szCs w:val="20"/>
                <w:lang w:eastAsia="en-AU"/>
              </w:rPr>
              <w:t xml:space="preserve">Year 2: </w:t>
            </w:r>
            <w:r w:rsidR="0016738C" w:rsidRPr="0016738C">
              <w:rPr>
                <w:rFonts w:ascii="Arial Narrow" w:eastAsiaTheme="majorEastAsia" w:hAnsi="Arial Narrow" w:cstheme="majorBidi"/>
                <w:bCs/>
                <w:color w:val="000000"/>
                <w:spacing w:val="53"/>
                <w:sz w:val="20"/>
                <w:szCs w:val="20"/>
                <w:shd w:val="solid" w:color="000000" w:fill="000000"/>
                <w:fitText w:val="330" w:id="-694443774"/>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74"/>
                <w:lang w:eastAsia="en-AU"/>
                <w14:textFill>
                  <w14:solidFill>
                    <w14:srgbClr w14:val="000000">
                      <w14:alpha w14:val="100000"/>
                    </w14:srgbClr>
                  </w14:solidFill>
                </w14:textFill>
              </w:rPr>
              <w:t>|</w:t>
            </w:r>
            <w:r w:rsidRPr="00546BEB">
              <w:rPr>
                <w:rFonts w:ascii="Arial Narrow" w:eastAsiaTheme="majorEastAsia" w:hAnsi="Arial Narrow" w:cstheme="majorBidi"/>
                <w:bCs/>
                <w:sz w:val="20"/>
                <w:szCs w:val="20"/>
                <w:lang w:eastAsia="en-AU"/>
              </w:rPr>
              <w:t>%</w:t>
            </w:r>
          </w:p>
          <w:p w14:paraId="2E902823" w14:textId="69D21D90" w:rsidR="00546BEB" w:rsidRPr="00546BEB" w:rsidRDefault="00546BEB" w:rsidP="001A77AA">
            <w:pPr>
              <w:pStyle w:val="Tabletext8pt"/>
              <w:keepNext w:val="0"/>
              <w:rPr>
                <w:rFonts w:ascii="Arial Narrow" w:eastAsiaTheme="majorEastAsia" w:hAnsi="Arial Narrow" w:cstheme="majorBidi"/>
                <w:bCs/>
                <w:sz w:val="20"/>
                <w:szCs w:val="20"/>
                <w:lang w:eastAsia="en-AU"/>
              </w:rPr>
            </w:pPr>
            <w:r w:rsidRPr="00546BEB">
              <w:rPr>
                <w:rFonts w:ascii="Arial Narrow" w:eastAsiaTheme="majorEastAsia" w:hAnsi="Arial Narrow" w:cstheme="majorBidi"/>
                <w:bCs/>
                <w:sz w:val="20"/>
                <w:szCs w:val="20"/>
                <w:lang w:eastAsia="en-AU"/>
              </w:rPr>
              <w:t xml:space="preserve">Year 3: </w:t>
            </w:r>
            <w:r w:rsidR="0016738C" w:rsidRPr="0016738C">
              <w:rPr>
                <w:rFonts w:ascii="Arial Narrow" w:eastAsiaTheme="majorEastAsia" w:hAnsi="Arial Narrow" w:cstheme="majorBidi"/>
                <w:bCs/>
                <w:color w:val="000000"/>
                <w:spacing w:val="53"/>
                <w:sz w:val="20"/>
                <w:szCs w:val="20"/>
                <w:shd w:val="solid" w:color="000000" w:fill="000000"/>
                <w:fitText w:val="330" w:id="-694443773"/>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73"/>
                <w:lang w:eastAsia="en-AU"/>
                <w14:textFill>
                  <w14:solidFill>
                    <w14:srgbClr w14:val="000000">
                      <w14:alpha w14:val="100000"/>
                    </w14:srgbClr>
                  </w14:solidFill>
                </w14:textFill>
              </w:rPr>
              <w:t>|</w:t>
            </w:r>
            <w:r w:rsidRPr="00546BEB">
              <w:rPr>
                <w:rFonts w:ascii="Arial Narrow" w:eastAsiaTheme="majorEastAsia" w:hAnsi="Arial Narrow" w:cstheme="majorBidi"/>
                <w:bCs/>
                <w:sz w:val="20"/>
                <w:szCs w:val="20"/>
                <w:lang w:eastAsia="en-AU"/>
              </w:rPr>
              <w:t>%</w:t>
            </w:r>
          </w:p>
          <w:p w14:paraId="6B609E74" w14:textId="3D13F678" w:rsidR="00546BEB" w:rsidRPr="00546BEB" w:rsidRDefault="00546BEB" w:rsidP="001A77AA">
            <w:pPr>
              <w:pStyle w:val="Tabletext8pt"/>
              <w:keepNext w:val="0"/>
              <w:rPr>
                <w:rFonts w:ascii="Arial Narrow" w:eastAsiaTheme="majorEastAsia" w:hAnsi="Arial Narrow" w:cstheme="majorBidi"/>
                <w:bCs/>
                <w:sz w:val="20"/>
                <w:szCs w:val="20"/>
                <w:lang w:eastAsia="en-AU"/>
              </w:rPr>
            </w:pPr>
            <w:r w:rsidRPr="00546BEB">
              <w:rPr>
                <w:rFonts w:ascii="Arial Narrow" w:eastAsiaTheme="majorEastAsia" w:hAnsi="Arial Narrow" w:cstheme="majorBidi"/>
                <w:bCs/>
                <w:sz w:val="20"/>
                <w:szCs w:val="20"/>
                <w:lang w:eastAsia="en-AU"/>
              </w:rPr>
              <w:t xml:space="preserve">Year 4: </w:t>
            </w:r>
            <w:r w:rsidR="0016738C" w:rsidRPr="0016738C">
              <w:rPr>
                <w:rFonts w:ascii="Arial Narrow" w:eastAsiaTheme="majorEastAsia" w:hAnsi="Arial Narrow" w:cstheme="majorBidi"/>
                <w:bCs/>
                <w:color w:val="000000"/>
                <w:spacing w:val="53"/>
                <w:sz w:val="20"/>
                <w:szCs w:val="20"/>
                <w:shd w:val="solid" w:color="000000" w:fill="000000"/>
                <w:fitText w:val="330" w:id="-694443772"/>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72"/>
                <w:lang w:eastAsia="en-AU"/>
                <w14:textFill>
                  <w14:solidFill>
                    <w14:srgbClr w14:val="000000">
                      <w14:alpha w14:val="100000"/>
                    </w14:srgbClr>
                  </w14:solidFill>
                </w14:textFill>
              </w:rPr>
              <w:t>|</w:t>
            </w:r>
            <w:r w:rsidRPr="00546BEB">
              <w:rPr>
                <w:rFonts w:ascii="Arial Narrow" w:eastAsiaTheme="majorEastAsia" w:hAnsi="Arial Narrow" w:cstheme="majorBidi"/>
                <w:bCs/>
                <w:sz w:val="20"/>
                <w:szCs w:val="20"/>
                <w:lang w:eastAsia="en-AU"/>
              </w:rPr>
              <w:t>%</w:t>
            </w:r>
          </w:p>
          <w:p w14:paraId="74ABBCE0" w14:textId="03CF9180" w:rsidR="00546BEB" w:rsidRPr="00546BEB" w:rsidRDefault="00546BEB" w:rsidP="001A77AA">
            <w:pPr>
              <w:pStyle w:val="Tabletext8pt"/>
              <w:keepNext w:val="0"/>
              <w:rPr>
                <w:rFonts w:ascii="Arial Narrow" w:eastAsiaTheme="majorEastAsia" w:hAnsi="Arial Narrow" w:cstheme="majorBidi"/>
                <w:bCs/>
                <w:sz w:val="20"/>
                <w:szCs w:val="20"/>
                <w:lang w:eastAsia="en-AU"/>
              </w:rPr>
            </w:pPr>
            <w:r w:rsidRPr="00546BEB">
              <w:rPr>
                <w:rFonts w:ascii="Arial Narrow" w:eastAsiaTheme="majorEastAsia" w:hAnsi="Arial Narrow" w:cstheme="majorBidi"/>
                <w:bCs/>
                <w:sz w:val="20"/>
                <w:szCs w:val="20"/>
                <w:lang w:eastAsia="en-AU"/>
              </w:rPr>
              <w:t xml:space="preserve">Year 5: </w:t>
            </w:r>
            <w:r w:rsidR="0016738C" w:rsidRPr="0016738C">
              <w:rPr>
                <w:rFonts w:ascii="Arial Narrow" w:eastAsiaTheme="majorEastAsia" w:hAnsi="Arial Narrow" w:cstheme="majorBidi"/>
                <w:bCs/>
                <w:color w:val="000000"/>
                <w:spacing w:val="53"/>
                <w:sz w:val="20"/>
                <w:szCs w:val="20"/>
                <w:shd w:val="solid" w:color="000000" w:fill="000000"/>
                <w:fitText w:val="330" w:id="-694443771"/>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71"/>
                <w:lang w:eastAsia="en-AU"/>
                <w14:textFill>
                  <w14:solidFill>
                    <w14:srgbClr w14:val="000000">
                      <w14:alpha w14:val="100000"/>
                    </w14:srgbClr>
                  </w14:solidFill>
                </w14:textFill>
              </w:rPr>
              <w:t>|</w:t>
            </w:r>
            <w:r w:rsidRPr="00546BEB">
              <w:rPr>
                <w:rFonts w:ascii="Arial Narrow" w:eastAsiaTheme="majorEastAsia" w:hAnsi="Arial Narrow" w:cstheme="majorBidi"/>
                <w:bCs/>
                <w:sz w:val="20"/>
                <w:szCs w:val="20"/>
                <w:lang w:eastAsia="en-AU"/>
              </w:rPr>
              <w:t>%</w:t>
            </w:r>
          </w:p>
          <w:p w14:paraId="7B79DD93" w14:textId="152224F3" w:rsidR="00546BEB" w:rsidRPr="00546BEB" w:rsidRDefault="00546BEB" w:rsidP="00A90F7C">
            <w:pPr>
              <w:pStyle w:val="TableText0"/>
              <w:framePr w:wrap="around"/>
            </w:pPr>
            <w:r w:rsidRPr="00546BEB">
              <w:t xml:space="preserve">Year 6: </w:t>
            </w:r>
            <w:r w:rsidR="0016738C" w:rsidRPr="0016738C">
              <w:rPr>
                <w:color w:val="000000"/>
                <w:spacing w:val="53"/>
                <w:shd w:val="solid" w:color="000000" w:fill="000000"/>
                <w:fitText w:val="330" w:id="-694443770"/>
                <w14:textFill>
                  <w14:solidFill>
                    <w14:srgbClr w14:val="000000">
                      <w14:alpha w14:val="100000"/>
                    </w14:srgbClr>
                  </w14:solidFill>
                </w14:textFill>
              </w:rPr>
              <w:t>|||</w:t>
            </w:r>
            <w:r w:rsidR="0016738C" w:rsidRPr="0016738C">
              <w:rPr>
                <w:color w:val="000000"/>
                <w:spacing w:val="1"/>
                <w:shd w:val="solid" w:color="000000" w:fill="000000"/>
                <w:fitText w:val="330" w:id="-694443770"/>
                <w14:textFill>
                  <w14:solidFill>
                    <w14:srgbClr w14:val="000000">
                      <w14:alpha w14:val="100000"/>
                    </w14:srgbClr>
                  </w14:solidFill>
                </w14:textFill>
              </w:rPr>
              <w:t>|</w:t>
            </w:r>
            <w:r w:rsidRPr="00546BEB">
              <w:t>%</w:t>
            </w:r>
          </w:p>
          <w:p w14:paraId="0D364884" w14:textId="77777777" w:rsidR="00546BEB" w:rsidRPr="00546BEB" w:rsidRDefault="00546BEB" w:rsidP="00A90F7C">
            <w:pPr>
              <w:pStyle w:val="TableText0"/>
              <w:framePr w:wrap="around"/>
            </w:pPr>
          </w:p>
          <w:p w14:paraId="7688AA05" w14:textId="7A8C6B89" w:rsidR="00546BEB" w:rsidRPr="00546BEB" w:rsidRDefault="000A34CF" w:rsidP="00A90F7C">
            <w:pPr>
              <w:pStyle w:val="TableText0"/>
              <w:framePr w:wrap="around"/>
            </w:pPr>
            <w:r>
              <w:t>2L</w:t>
            </w:r>
          </w:p>
          <w:p w14:paraId="73EF7940" w14:textId="75C0962E" w:rsidR="00546BEB" w:rsidRPr="00546BEB" w:rsidRDefault="00546BEB" w:rsidP="00A90F7C">
            <w:pPr>
              <w:pStyle w:val="TableText0"/>
              <w:framePr w:wrap="around"/>
            </w:pPr>
            <w:r w:rsidRPr="00546BEB">
              <w:t xml:space="preserve">Year 1: </w:t>
            </w:r>
            <w:r w:rsidR="0016738C" w:rsidRPr="0016738C">
              <w:rPr>
                <w:color w:val="000000"/>
                <w:spacing w:val="53"/>
                <w:shd w:val="solid" w:color="000000" w:fill="000000"/>
                <w:fitText w:val="330" w:id="-694443769"/>
                <w14:textFill>
                  <w14:solidFill>
                    <w14:srgbClr w14:val="000000">
                      <w14:alpha w14:val="100000"/>
                    </w14:srgbClr>
                  </w14:solidFill>
                </w14:textFill>
              </w:rPr>
              <w:t>|||</w:t>
            </w:r>
            <w:r w:rsidR="0016738C" w:rsidRPr="0016738C">
              <w:rPr>
                <w:color w:val="000000"/>
                <w:spacing w:val="1"/>
                <w:shd w:val="solid" w:color="000000" w:fill="000000"/>
                <w:fitText w:val="330" w:id="-694443769"/>
                <w14:textFill>
                  <w14:solidFill>
                    <w14:srgbClr w14:val="000000">
                      <w14:alpha w14:val="100000"/>
                    </w14:srgbClr>
                  </w14:solidFill>
                </w14:textFill>
              </w:rPr>
              <w:t>|</w:t>
            </w:r>
            <w:r w:rsidRPr="00546BEB">
              <w:t>%</w:t>
            </w:r>
          </w:p>
          <w:p w14:paraId="450B7AC5" w14:textId="26FAB6BD" w:rsidR="00546BEB" w:rsidRPr="00546BEB" w:rsidRDefault="00546BEB" w:rsidP="00A90F7C">
            <w:pPr>
              <w:pStyle w:val="TableText0"/>
              <w:framePr w:wrap="around"/>
            </w:pPr>
            <w:r w:rsidRPr="00546BEB">
              <w:t xml:space="preserve">Year 2: </w:t>
            </w:r>
            <w:r w:rsidR="0016738C" w:rsidRPr="0016738C">
              <w:rPr>
                <w:color w:val="000000"/>
                <w:spacing w:val="53"/>
                <w:shd w:val="solid" w:color="000000" w:fill="000000"/>
                <w:fitText w:val="330" w:id="-694443768"/>
                <w14:textFill>
                  <w14:solidFill>
                    <w14:srgbClr w14:val="000000">
                      <w14:alpha w14:val="100000"/>
                    </w14:srgbClr>
                  </w14:solidFill>
                </w14:textFill>
              </w:rPr>
              <w:t>|||</w:t>
            </w:r>
            <w:r w:rsidR="0016738C" w:rsidRPr="0016738C">
              <w:rPr>
                <w:color w:val="000000"/>
                <w:spacing w:val="1"/>
                <w:shd w:val="solid" w:color="000000" w:fill="000000"/>
                <w:fitText w:val="330" w:id="-694443768"/>
                <w14:textFill>
                  <w14:solidFill>
                    <w14:srgbClr w14:val="000000">
                      <w14:alpha w14:val="100000"/>
                    </w14:srgbClr>
                  </w14:solidFill>
                </w14:textFill>
              </w:rPr>
              <w:t>|</w:t>
            </w:r>
            <w:r w:rsidRPr="00546BEB">
              <w:t>%</w:t>
            </w:r>
          </w:p>
          <w:p w14:paraId="18308E9E" w14:textId="624491F8" w:rsidR="00546BEB" w:rsidRPr="00546BEB" w:rsidRDefault="00546BEB" w:rsidP="00A90F7C">
            <w:pPr>
              <w:pStyle w:val="TableText0"/>
              <w:framePr w:wrap="around"/>
            </w:pPr>
            <w:r w:rsidRPr="00546BEB">
              <w:t xml:space="preserve">Year 3: </w:t>
            </w:r>
            <w:r w:rsidR="0016738C" w:rsidRPr="0016738C">
              <w:rPr>
                <w:color w:val="000000"/>
                <w:spacing w:val="53"/>
                <w:shd w:val="solid" w:color="000000" w:fill="000000"/>
                <w:fitText w:val="330" w:id="-694443767"/>
                <w14:textFill>
                  <w14:solidFill>
                    <w14:srgbClr w14:val="000000">
                      <w14:alpha w14:val="100000"/>
                    </w14:srgbClr>
                  </w14:solidFill>
                </w14:textFill>
              </w:rPr>
              <w:t>|||</w:t>
            </w:r>
            <w:r w:rsidR="0016738C" w:rsidRPr="0016738C">
              <w:rPr>
                <w:color w:val="000000"/>
                <w:spacing w:val="1"/>
                <w:shd w:val="solid" w:color="000000" w:fill="000000"/>
                <w:fitText w:val="330" w:id="-694443767"/>
                <w14:textFill>
                  <w14:solidFill>
                    <w14:srgbClr w14:val="000000">
                      <w14:alpha w14:val="100000"/>
                    </w14:srgbClr>
                  </w14:solidFill>
                </w14:textFill>
              </w:rPr>
              <w:t>|</w:t>
            </w:r>
            <w:r w:rsidRPr="00546BEB">
              <w:t>%</w:t>
            </w:r>
          </w:p>
        </w:tc>
        <w:tc>
          <w:tcPr>
            <w:tcW w:w="2126" w:type="dxa"/>
          </w:tcPr>
          <w:p w14:paraId="19DC0ABC" w14:textId="29BD23CA" w:rsidR="00546BEB" w:rsidRPr="00546BEB" w:rsidRDefault="00546BEB" w:rsidP="001A77AA">
            <w:pPr>
              <w:keepLines/>
              <w:widowControl w:val="0"/>
              <w:jc w:val="left"/>
              <w:rPr>
                <w:rFonts w:ascii="Arial Narrow" w:hAnsi="Arial Narrow"/>
                <w:sz w:val="20"/>
                <w:szCs w:val="20"/>
              </w:rPr>
            </w:pPr>
            <w:r w:rsidRPr="00546BEB">
              <w:rPr>
                <w:rFonts w:ascii="Arial Narrow" w:hAnsi="Arial Narrow"/>
                <w:sz w:val="20"/>
                <w:szCs w:val="20"/>
              </w:rPr>
              <w:t xml:space="preserve">Sponsor assumption. For 2L, assumed that by year 4 of listing of toripalimab in the </w:t>
            </w:r>
            <w:r w:rsidR="000A34CF">
              <w:rPr>
                <w:rFonts w:ascii="Arial Narrow" w:hAnsi="Arial Narrow"/>
                <w:sz w:val="20"/>
                <w:szCs w:val="20"/>
              </w:rPr>
              <w:t>1L</w:t>
            </w:r>
            <w:r w:rsidRPr="00546BEB">
              <w:rPr>
                <w:rFonts w:ascii="Arial Narrow" w:hAnsi="Arial Narrow"/>
                <w:sz w:val="20"/>
                <w:szCs w:val="20"/>
              </w:rPr>
              <w:t xml:space="preserve"> setting, patients who do not receive toripalimab as 1L treatment would not uptake 2L toripalimab monotherapy</w:t>
            </w:r>
            <w:r w:rsidRPr="00546BEB" w:rsidDel="00343379">
              <w:rPr>
                <w:rFonts w:ascii="Arial Narrow" w:hAnsi="Arial Narrow"/>
                <w:sz w:val="20"/>
                <w:szCs w:val="20"/>
              </w:rPr>
              <w:t xml:space="preserve"> </w:t>
            </w:r>
          </w:p>
        </w:tc>
        <w:tc>
          <w:tcPr>
            <w:tcW w:w="4202" w:type="dxa"/>
          </w:tcPr>
          <w:p w14:paraId="4CAA13E7" w14:textId="64E223B0" w:rsidR="00546BEB" w:rsidRPr="00336E13" w:rsidRDefault="00546BEB" w:rsidP="00A90F7C">
            <w:pPr>
              <w:pStyle w:val="TableText0"/>
              <w:framePr w:wrap="around"/>
            </w:pPr>
            <w:r w:rsidRPr="00336E13">
              <w:t xml:space="preserve">Assumption for </w:t>
            </w:r>
            <w:r w:rsidR="000A34CF" w:rsidRPr="00336E13">
              <w:t>1L</w:t>
            </w:r>
            <w:r w:rsidRPr="00336E13">
              <w:t xml:space="preserve"> uptake may be plausible given the lack of alternatives. </w:t>
            </w:r>
          </w:p>
          <w:p w14:paraId="29947EC7" w14:textId="51853353" w:rsidR="00546BEB" w:rsidRPr="001A77AA" w:rsidRDefault="00546BEB" w:rsidP="001A77AA">
            <w:pPr>
              <w:keepLines/>
              <w:widowControl w:val="0"/>
              <w:jc w:val="left"/>
              <w:rPr>
                <w:rFonts w:ascii="Arial Narrow" w:hAnsi="Arial Narrow"/>
                <w:i/>
                <w:iCs/>
                <w:sz w:val="20"/>
                <w:szCs w:val="20"/>
              </w:rPr>
            </w:pPr>
            <w:r w:rsidRPr="00A83DE1">
              <w:rPr>
                <w:rFonts w:ascii="Arial Narrow" w:hAnsi="Arial Narrow"/>
                <w:iCs/>
                <w:sz w:val="20"/>
                <w:szCs w:val="20"/>
              </w:rPr>
              <w:t xml:space="preserve">Logic behind restriction to only three years of 2L uptake may be optimistic and a more conservative approach would be to assume uptake to be consistent beyond year 4, with the increase in uptake in </w:t>
            </w:r>
            <w:r w:rsidR="000A34CF" w:rsidRPr="00A83DE1">
              <w:rPr>
                <w:rFonts w:ascii="Arial Narrow" w:hAnsi="Arial Narrow"/>
                <w:iCs/>
                <w:sz w:val="20"/>
                <w:szCs w:val="20"/>
              </w:rPr>
              <w:t>1L</w:t>
            </w:r>
            <w:r w:rsidRPr="00A83DE1">
              <w:rPr>
                <w:rFonts w:ascii="Arial Narrow" w:hAnsi="Arial Narrow"/>
                <w:iCs/>
                <w:sz w:val="20"/>
                <w:szCs w:val="20"/>
              </w:rPr>
              <w:t xml:space="preserve"> toripalimab naturally leading to a decrease in number of patients eligible for 2L. Patients are only assumed to be eligible for uptake in the year of progression which may not be reasonable and may underestimate uptake rate and </w:t>
            </w:r>
            <w:r w:rsidR="000F1E6E" w:rsidRPr="00A83DE1">
              <w:rPr>
                <w:rFonts w:ascii="Arial Narrow" w:hAnsi="Arial Narrow"/>
                <w:iCs/>
                <w:sz w:val="20"/>
                <w:szCs w:val="20"/>
              </w:rPr>
              <w:t>utilisation</w:t>
            </w:r>
            <w:r w:rsidRPr="00A83DE1">
              <w:rPr>
                <w:rFonts w:ascii="Arial Narrow" w:hAnsi="Arial Narrow"/>
                <w:iCs/>
                <w:sz w:val="20"/>
                <w:szCs w:val="20"/>
              </w:rPr>
              <w:t xml:space="preserve"> in the 2L. </w:t>
            </w:r>
          </w:p>
        </w:tc>
      </w:tr>
      <w:tr w:rsidR="00546BEB" w:rsidRPr="00A83DE1" w14:paraId="668A1D69" w14:textId="77777777" w:rsidTr="00604EDD">
        <w:tc>
          <w:tcPr>
            <w:tcW w:w="1413" w:type="dxa"/>
          </w:tcPr>
          <w:p w14:paraId="5D648E8D" w14:textId="2775BEE8"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WHO/ECOG Performance Stat</w:t>
            </w:r>
            <w:r w:rsidR="00DF743C" w:rsidRPr="00A83DE1">
              <w:rPr>
                <w:rFonts w:ascii="Arial Narrow" w:hAnsi="Arial Narrow"/>
                <w:sz w:val="20"/>
                <w:szCs w:val="20"/>
              </w:rPr>
              <w:t>us</w:t>
            </w:r>
          </w:p>
        </w:tc>
        <w:tc>
          <w:tcPr>
            <w:tcW w:w="1276" w:type="dxa"/>
          </w:tcPr>
          <w:p w14:paraId="75BDA776" w14:textId="6F3F9908" w:rsidR="00546BEB" w:rsidRPr="00A83DE1" w:rsidRDefault="00546BEB" w:rsidP="00A90F7C">
            <w:pPr>
              <w:pStyle w:val="TableText0"/>
              <w:framePr w:wrap="around"/>
            </w:pPr>
            <w:r w:rsidRPr="00A83DE1">
              <w:t xml:space="preserve">Not included explicitly </w:t>
            </w:r>
          </w:p>
        </w:tc>
        <w:tc>
          <w:tcPr>
            <w:tcW w:w="2126" w:type="dxa"/>
          </w:tcPr>
          <w:p w14:paraId="07CE5DD2" w14:textId="75DEC1D0" w:rsidR="00546BEB" w:rsidRPr="00A83DE1" w:rsidRDefault="00546BEB" w:rsidP="001A77AA">
            <w:pPr>
              <w:keepLines/>
              <w:widowControl w:val="0"/>
              <w:jc w:val="left"/>
              <w:rPr>
                <w:rFonts w:ascii="Arial Narrow" w:hAnsi="Arial Narrow"/>
                <w:sz w:val="20"/>
                <w:szCs w:val="20"/>
              </w:rPr>
            </w:pPr>
            <w:r w:rsidRPr="00A83DE1">
              <w:rPr>
                <w:rFonts w:ascii="Arial Narrow" w:hAnsi="Arial Narrow"/>
                <w:sz w:val="20"/>
                <w:szCs w:val="20"/>
              </w:rPr>
              <w:t>Assumed 100%</w:t>
            </w:r>
          </w:p>
        </w:tc>
        <w:tc>
          <w:tcPr>
            <w:tcW w:w="4202" w:type="dxa"/>
          </w:tcPr>
          <w:p w14:paraId="12F1EFD3" w14:textId="6D4CC83E" w:rsidR="00546BEB" w:rsidRPr="00A83DE1" w:rsidRDefault="00546BEB" w:rsidP="001A77AA">
            <w:pPr>
              <w:keepLines/>
              <w:widowControl w:val="0"/>
              <w:jc w:val="left"/>
              <w:rPr>
                <w:rFonts w:ascii="Arial Narrow" w:hAnsi="Arial Narrow"/>
                <w:iCs/>
                <w:sz w:val="20"/>
                <w:szCs w:val="20"/>
              </w:rPr>
            </w:pPr>
            <w:r w:rsidRPr="00A83DE1">
              <w:rPr>
                <w:rFonts w:ascii="Arial Narrow" w:hAnsi="Arial Narrow"/>
                <w:iCs/>
                <w:sz w:val="20"/>
                <w:szCs w:val="20"/>
              </w:rPr>
              <w:t>The submission d</w:t>
            </w:r>
            <w:r w:rsidR="00465DF6" w:rsidRPr="00A83DE1">
              <w:rPr>
                <w:rFonts w:ascii="Arial Narrow" w:hAnsi="Arial Narrow"/>
                <w:iCs/>
                <w:sz w:val="20"/>
                <w:szCs w:val="20"/>
              </w:rPr>
              <w:t>id</w:t>
            </w:r>
            <w:r w:rsidRPr="00A83DE1">
              <w:rPr>
                <w:rFonts w:ascii="Arial Narrow" w:hAnsi="Arial Narrow"/>
                <w:iCs/>
                <w:sz w:val="20"/>
                <w:szCs w:val="20"/>
              </w:rPr>
              <w:t xml:space="preserve"> not explicitly account for the requirement that patients must have a WHO performance status score of no greater than 2 at treatment initiation. Information on WHO/ECOG performance status in the proposed population was not provided.  </w:t>
            </w:r>
            <w:r w:rsidR="00541F21">
              <w:rPr>
                <w:rFonts w:ascii="Arial Narrow" w:hAnsi="Arial Narrow"/>
                <w:iCs/>
                <w:sz w:val="20"/>
                <w:szCs w:val="20"/>
              </w:rPr>
              <w:t>The PSCR revised to 97.2</w:t>
            </w:r>
          </w:p>
        </w:tc>
      </w:tr>
      <w:tr w:rsidR="00DF743C" w:rsidRPr="00546BEB" w14:paraId="225CA8B2" w14:textId="77777777" w:rsidTr="00604EDD">
        <w:tc>
          <w:tcPr>
            <w:tcW w:w="1413" w:type="dxa"/>
          </w:tcPr>
          <w:p w14:paraId="3ACDA531" w14:textId="43B70FAF" w:rsidR="00DF743C" w:rsidRPr="00DF743C" w:rsidRDefault="00DF743C" w:rsidP="001A77AA">
            <w:pPr>
              <w:keepLines/>
              <w:widowControl w:val="0"/>
              <w:jc w:val="left"/>
              <w:rPr>
                <w:rFonts w:ascii="Arial Narrow" w:hAnsi="Arial Narrow"/>
                <w:sz w:val="20"/>
                <w:szCs w:val="20"/>
              </w:rPr>
            </w:pPr>
            <w:r w:rsidRPr="00DF743C">
              <w:rPr>
                <w:rFonts w:ascii="Arial Narrow" w:hAnsi="Arial Narrow"/>
                <w:sz w:val="20"/>
                <w:szCs w:val="20"/>
              </w:rPr>
              <w:lastRenderedPageBreak/>
              <w:t>Mean time on treatment with toripalimab</w:t>
            </w:r>
          </w:p>
        </w:tc>
        <w:tc>
          <w:tcPr>
            <w:tcW w:w="1276" w:type="dxa"/>
          </w:tcPr>
          <w:p w14:paraId="60E17627" w14:textId="77777777" w:rsidR="00DF743C" w:rsidRPr="00DF743C" w:rsidRDefault="00DF743C" w:rsidP="001A77AA">
            <w:pPr>
              <w:pStyle w:val="Tabletext8ptCentered"/>
              <w:keepNext w:val="0"/>
              <w:rPr>
                <w:rFonts w:ascii="Arial Narrow" w:eastAsiaTheme="majorEastAsia" w:hAnsi="Arial Narrow" w:cstheme="majorBidi"/>
                <w:bCs/>
                <w:sz w:val="20"/>
                <w:szCs w:val="20"/>
                <w:lang w:eastAsia="en-AU"/>
              </w:rPr>
            </w:pPr>
            <w:r w:rsidRPr="00DF743C">
              <w:rPr>
                <w:rFonts w:ascii="Arial Narrow" w:eastAsiaTheme="majorEastAsia" w:hAnsi="Arial Narrow" w:cstheme="majorBidi"/>
                <w:bCs/>
                <w:sz w:val="20"/>
                <w:szCs w:val="20"/>
                <w:lang w:eastAsia="en-AU"/>
              </w:rPr>
              <w:t>1L: 14.78 months</w:t>
            </w:r>
          </w:p>
          <w:p w14:paraId="7E47288E" w14:textId="447E9E3E" w:rsidR="00DF743C" w:rsidRPr="00DF743C" w:rsidRDefault="00DF743C" w:rsidP="00A90F7C">
            <w:pPr>
              <w:pStyle w:val="TableText0"/>
              <w:framePr w:wrap="around"/>
            </w:pPr>
            <w:r w:rsidRPr="00DF743C">
              <w:t>2L: 16 weeks</w:t>
            </w:r>
          </w:p>
        </w:tc>
        <w:tc>
          <w:tcPr>
            <w:tcW w:w="2126" w:type="dxa"/>
          </w:tcPr>
          <w:p w14:paraId="0AEBD509" w14:textId="7D8BFC00" w:rsidR="00DF743C" w:rsidRPr="00DF743C" w:rsidRDefault="00DF743C" w:rsidP="001A77AA">
            <w:pPr>
              <w:keepLines/>
              <w:widowControl w:val="0"/>
              <w:jc w:val="left"/>
              <w:rPr>
                <w:rFonts w:ascii="Arial Narrow" w:hAnsi="Arial Narrow"/>
                <w:sz w:val="20"/>
                <w:szCs w:val="20"/>
              </w:rPr>
            </w:pPr>
            <w:r w:rsidRPr="00DF743C">
              <w:rPr>
                <w:rFonts w:ascii="Arial Narrow" w:hAnsi="Arial Narrow"/>
                <w:sz w:val="20"/>
                <w:szCs w:val="20"/>
              </w:rPr>
              <w:t xml:space="preserve">Based on results of </w:t>
            </w:r>
            <w:r w:rsidR="00546E83">
              <w:rPr>
                <w:rFonts w:ascii="Arial Narrow" w:hAnsi="Arial Narrow"/>
                <w:sz w:val="20"/>
                <w:szCs w:val="20"/>
              </w:rPr>
              <w:t xml:space="preserve">the </w:t>
            </w:r>
            <w:r w:rsidRPr="00DF743C">
              <w:rPr>
                <w:rFonts w:ascii="Arial Narrow" w:hAnsi="Arial Narrow"/>
                <w:sz w:val="20"/>
                <w:szCs w:val="20"/>
              </w:rPr>
              <w:t>cost-effectiveness model for 1L and median treatment duration in POLARIS-02 for 2L</w:t>
            </w:r>
          </w:p>
        </w:tc>
        <w:tc>
          <w:tcPr>
            <w:tcW w:w="4202" w:type="dxa"/>
          </w:tcPr>
          <w:p w14:paraId="6145AFAB" w14:textId="7311214F" w:rsidR="00DF743C" w:rsidRPr="00A83DE1" w:rsidRDefault="00DF743C" w:rsidP="001A77AA">
            <w:pPr>
              <w:pStyle w:val="FooterTableFigure"/>
              <w:spacing w:after="0"/>
              <w:jc w:val="left"/>
              <w:rPr>
                <w:rFonts w:eastAsiaTheme="majorEastAsia" w:cstheme="majorBidi"/>
                <w:bCs/>
                <w:iCs/>
                <w:snapToGrid/>
                <w:sz w:val="20"/>
                <w:szCs w:val="20"/>
              </w:rPr>
            </w:pPr>
            <w:r w:rsidRPr="00A83DE1">
              <w:rPr>
                <w:rFonts w:eastAsiaTheme="majorEastAsia" w:cstheme="majorBidi"/>
                <w:bCs/>
                <w:iCs/>
                <w:snapToGrid/>
                <w:sz w:val="20"/>
                <w:szCs w:val="20"/>
              </w:rPr>
              <w:t xml:space="preserve">The value of 14.78 months for 1L treatment </w:t>
            </w:r>
            <w:r w:rsidR="004C52AB" w:rsidRPr="00A83DE1">
              <w:rPr>
                <w:rFonts w:eastAsiaTheme="majorEastAsia" w:cstheme="majorBidi"/>
                <w:bCs/>
                <w:iCs/>
                <w:snapToGrid/>
                <w:sz w:val="20"/>
                <w:szCs w:val="20"/>
              </w:rPr>
              <w:t>appears to be a conversion from a mean duration of 64.4 weeks in JUPITER-02</w:t>
            </w:r>
            <w:r w:rsidR="00506F31" w:rsidRPr="00A83DE1">
              <w:rPr>
                <w:rFonts w:eastAsiaTheme="majorEastAsia" w:cstheme="majorBidi"/>
                <w:bCs/>
                <w:iCs/>
                <w:snapToGrid/>
                <w:sz w:val="20"/>
                <w:szCs w:val="20"/>
              </w:rPr>
              <w:t>,</w:t>
            </w:r>
            <w:r w:rsidR="004C52AB" w:rsidRPr="00A83DE1">
              <w:rPr>
                <w:rFonts w:eastAsiaTheme="majorEastAsia" w:cstheme="majorBidi"/>
                <w:bCs/>
                <w:iCs/>
                <w:snapToGrid/>
                <w:sz w:val="20"/>
                <w:szCs w:val="20"/>
              </w:rPr>
              <w:t xml:space="preserve"> expressed as months</w:t>
            </w:r>
            <w:r w:rsidRPr="00A83DE1">
              <w:rPr>
                <w:rFonts w:eastAsiaTheme="majorEastAsia" w:cstheme="majorBidi"/>
                <w:bCs/>
                <w:iCs/>
                <w:snapToGrid/>
                <w:sz w:val="20"/>
                <w:szCs w:val="20"/>
              </w:rPr>
              <w:t xml:space="preserve">. </w:t>
            </w:r>
            <w:r w:rsidR="004C52AB" w:rsidRPr="00A83DE1">
              <w:rPr>
                <w:rFonts w:eastAsiaTheme="majorEastAsia" w:cstheme="majorBidi"/>
                <w:bCs/>
                <w:iCs/>
                <w:snapToGrid/>
                <w:sz w:val="20"/>
                <w:szCs w:val="20"/>
              </w:rPr>
              <w:t xml:space="preserve">This compared with 15.53 months in </w:t>
            </w:r>
            <w:r w:rsidRPr="00A83DE1">
              <w:rPr>
                <w:rFonts w:eastAsiaTheme="majorEastAsia" w:cstheme="majorBidi"/>
                <w:bCs/>
                <w:iCs/>
                <w:snapToGrid/>
                <w:sz w:val="20"/>
                <w:szCs w:val="20"/>
              </w:rPr>
              <w:t xml:space="preserve">the base case economic model presented, </w:t>
            </w:r>
            <w:r w:rsidR="004C52AB" w:rsidRPr="00A83DE1">
              <w:rPr>
                <w:rFonts w:eastAsiaTheme="majorEastAsia" w:cstheme="majorBidi"/>
                <w:bCs/>
                <w:iCs/>
                <w:snapToGrid/>
                <w:sz w:val="20"/>
                <w:szCs w:val="20"/>
              </w:rPr>
              <w:t>based on KM ToT data from JUPITER-02</w:t>
            </w:r>
            <w:r w:rsidRPr="00A83DE1">
              <w:rPr>
                <w:rFonts w:eastAsiaTheme="majorEastAsia" w:cstheme="majorBidi"/>
                <w:bCs/>
                <w:iCs/>
                <w:snapToGrid/>
                <w:sz w:val="20"/>
                <w:szCs w:val="20"/>
              </w:rPr>
              <w:t xml:space="preserve">. </w:t>
            </w:r>
            <w:r w:rsidR="00287000">
              <w:rPr>
                <w:rFonts w:eastAsiaTheme="majorEastAsia" w:cstheme="majorBidi"/>
                <w:bCs/>
                <w:iCs/>
                <w:snapToGrid/>
                <w:sz w:val="20"/>
                <w:szCs w:val="20"/>
              </w:rPr>
              <w:t xml:space="preserve"> The PSCR revised treatment duration to 15.53 months.  </w:t>
            </w:r>
          </w:p>
          <w:p w14:paraId="14588114" w14:textId="14388671" w:rsidR="00DF743C" w:rsidRPr="00DF743C" w:rsidRDefault="00DF743C" w:rsidP="001A77AA">
            <w:pPr>
              <w:keepLines/>
              <w:widowControl w:val="0"/>
              <w:jc w:val="left"/>
              <w:rPr>
                <w:rFonts w:ascii="Arial Narrow" w:hAnsi="Arial Narrow"/>
                <w:i/>
                <w:iCs/>
                <w:sz w:val="20"/>
                <w:szCs w:val="20"/>
              </w:rPr>
            </w:pPr>
            <w:r w:rsidRPr="00A83DE1">
              <w:rPr>
                <w:rFonts w:ascii="Arial Narrow" w:eastAsiaTheme="majorEastAsia" w:hAnsi="Arial Narrow" w:cstheme="majorBidi"/>
                <w:bCs/>
                <w:iCs/>
                <w:sz w:val="20"/>
                <w:szCs w:val="20"/>
              </w:rPr>
              <w:t>Duration of therapy in 2L consistent with median duration of treatment in POLARIS-02 and was reasonable.</w:t>
            </w:r>
          </w:p>
        </w:tc>
      </w:tr>
      <w:tr w:rsidR="00DF743C" w:rsidRPr="00A83DE1" w14:paraId="456AC800" w14:textId="77777777" w:rsidTr="00604EDD">
        <w:tc>
          <w:tcPr>
            <w:tcW w:w="1413" w:type="dxa"/>
          </w:tcPr>
          <w:p w14:paraId="4B8789EB" w14:textId="2FCF97A2" w:rsidR="00DF743C" w:rsidRPr="00A83DE1" w:rsidRDefault="00DF743C" w:rsidP="001A77AA">
            <w:pPr>
              <w:keepLines/>
              <w:widowControl w:val="0"/>
              <w:jc w:val="left"/>
              <w:rPr>
                <w:rFonts w:ascii="Arial Narrow" w:hAnsi="Arial Narrow"/>
                <w:sz w:val="20"/>
                <w:szCs w:val="20"/>
              </w:rPr>
            </w:pPr>
            <w:r w:rsidRPr="00A83DE1">
              <w:rPr>
                <w:rFonts w:ascii="Arial Narrow" w:hAnsi="Arial Narrow"/>
                <w:sz w:val="20"/>
                <w:szCs w:val="20"/>
              </w:rPr>
              <w:t>Proportion progressing in first year</w:t>
            </w:r>
          </w:p>
        </w:tc>
        <w:tc>
          <w:tcPr>
            <w:tcW w:w="1276" w:type="dxa"/>
          </w:tcPr>
          <w:p w14:paraId="29C2CF52" w14:textId="49F8EEBA" w:rsidR="00DF743C" w:rsidRPr="00A83DE1" w:rsidRDefault="00DF743C" w:rsidP="001A77AA">
            <w:pPr>
              <w:pStyle w:val="Tabletext8ptCentered"/>
              <w:keepNext w:val="0"/>
              <w:rPr>
                <w:rFonts w:ascii="Arial Narrow" w:eastAsiaTheme="majorEastAsia" w:hAnsi="Arial Narrow" w:cstheme="majorBidi"/>
                <w:bCs/>
                <w:sz w:val="20"/>
                <w:szCs w:val="20"/>
                <w:lang w:eastAsia="en-AU"/>
              </w:rPr>
            </w:pPr>
            <w:r w:rsidRPr="00A83DE1">
              <w:rPr>
                <w:rFonts w:ascii="Arial Narrow" w:hAnsi="Arial Narrow"/>
                <w:sz w:val="20"/>
                <w:szCs w:val="20"/>
              </w:rPr>
              <w:t>67.10%</w:t>
            </w:r>
          </w:p>
        </w:tc>
        <w:tc>
          <w:tcPr>
            <w:tcW w:w="2126" w:type="dxa"/>
          </w:tcPr>
          <w:p w14:paraId="31983330" w14:textId="37B6DD9E" w:rsidR="00DF743C" w:rsidRPr="00A83DE1" w:rsidRDefault="00DF743C" w:rsidP="001A77AA">
            <w:pPr>
              <w:keepLines/>
              <w:widowControl w:val="0"/>
              <w:jc w:val="left"/>
              <w:rPr>
                <w:rFonts w:ascii="Arial Narrow" w:hAnsi="Arial Narrow"/>
                <w:sz w:val="20"/>
                <w:szCs w:val="20"/>
              </w:rPr>
            </w:pPr>
            <w:r w:rsidRPr="00A83DE1">
              <w:rPr>
                <w:rFonts w:ascii="Arial Narrow" w:hAnsi="Arial Narrow"/>
                <w:sz w:val="20"/>
                <w:szCs w:val="20"/>
              </w:rPr>
              <w:t>1-year Progression</w:t>
            </w:r>
            <w:r w:rsidR="00F36B4F">
              <w:rPr>
                <w:rFonts w:ascii="Arial Narrow" w:hAnsi="Arial Narrow"/>
                <w:sz w:val="20"/>
                <w:szCs w:val="20"/>
              </w:rPr>
              <w:t>-</w:t>
            </w:r>
            <w:r w:rsidRPr="00A83DE1">
              <w:rPr>
                <w:rFonts w:ascii="Arial Narrow" w:hAnsi="Arial Narrow"/>
                <w:sz w:val="20"/>
                <w:szCs w:val="20"/>
              </w:rPr>
              <w:t>Free Survival rate in control arm of JUPITER-02</w:t>
            </w:r>
          </w:p>
        </w:tc>
        <w:tc>
          <w:tcPr>
            <w:tcW w:w="4202" w:type="dxa"/>
          </w:tcPr>
          <w:p w14:paraId="36F08D55" w14:textId="0C74C5D5" w:rsidR="00DF743C" w:rsidRPr="00A83DE1" w:rsidRDefault="00DF743C" w:rsidP="001A77AA">
            <w:pPr>
              <w:pStyle w:val="FooterTableFigure"/>
              <w:spacing w:after="0"/>
              <w:jc w:val="left"/>
              <w:rPr>
                <w:rFonts w:eastAsiaTheme="majorEastAsia" w:cstheme="majorBidi"/>
                <w:bCs/>
                <w:iCs/>
                <w:snapToGrid/>
                <w:sz w:val="20"/>
                <w:szCs w:val="20"/>
              </w:rPr>
            </w:pPr>
            <w:r w:rsidRPr="00A83DE1">
              <w:rPr>
                <w:iCs/>
                <w:sz w:val="20"/>
                <w:szCs w:val="20"/>
              </w:rPr>
              <w:t xml:space="preserve">The 67.1% progression rate was applied only for the first year, and the financial estimates assumed that patients who progress within the first year are considered for 2L therapy. </w:t>
            </w:r>
          </w:p>
        </w:tc>
      </w:tr>
      <w:tr w:rsidR="00B760AB" w:rsidRPr="00A83DE1" w14:paraId="4013BC8D" w14:textId="77777777" w:rsidTr="00604EDD">
        <w:tc>
          <w:tcPr>
            <w:tcW w:w="1413" w:type="dxa"/>
          </w:tcPr>
          <w:p w14:paraId="57B476FC" w14:textId="16F3185C"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Treatment beyond 2L</w:t>
            </w:r>
          </w:p>
        </w:tc>
        <w:tc>
          <w:tcPr>
            <w:tcW w:w="1276" w:type="dxa"/>
          </w:tcPr>
          <w:p w14:paraId="4145814E" w14:textId="06FA3234" w:rsidR="00B760AB" w:rsidRPr="00A83DE1" w:rsidRDefault="00B760AB" w:rsidP="001A77AA">
            <w:pPr>
              <w:pStyle w:val="Tabletext8ptCentered"/>
              <w:keepNext w:val="0"/>
              <w:rPr>
                <w:rFonts w:ascii="Arial Narrow" w:eastAsiaTheme="majorEastAsia" w:hAnsi="Arial Narrow" w:cstheme="majorBidi"/>
                <w:bCs/>
                <w:sz w:val="20"/>
                <w:szCs w:val="20"/>
                <w:lang w:eastAsia="en-AU"/>
              </w:rPr>
            </w:pPr>
            <w:r w:rsidRPr="00A83DE1">
              <w:rPr>
                <w:rFonts w:ascii="Arial Narrow" w:hAnsi="Arial Narrow"/>
                <w:sz w:val="20"/>
                <w:szCs w:val="20"/>
              </w:rPr>
              <w:t>Not included</w:t>
            </w:r>
          </w:p>
        </w:tc>
        <w:tc>
          <w:tcPr>
            <w:tcW w:w="2126" w:type="dxa"/>
          </w:tcPr>
          <w:p w14:paraId="227E6C6C" w14:textId="38CC77A3"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 xml:space="preserve">Not </w:t>
            </w:r>
            <w:r w:rsidR="007E6A88">
              <w:rPr>
                <w:rFonts w:ascii="Arial Narrow" w:hAnsi="Arial Narrow"/>
                <w:sz w:val="20"/>
                <w:szCs w:val="20"/>
              </w:rPr>
              <w:t>a</w:t>
            </w:r>
            <w:r w:rsidRPr="00A83DE1">
              <w:rPr>
                <w:rFonts w:ascii="Arial Narrow" w:hAnsi="Arial Narrow"/>
                <w:sz w:val="20"/>
                <w:szCs w:val="20"/>
              </w:rPr>
              <w:t>pplicable</w:t>
            </w:r>
          </w:p>
        </w:tc>
        <w:tc>
          <w:tcPr>
            <w:tcW w:w="4202" w:type="dxa"/>
          </w:tcPr>
          <w:p w14:paraId="671231F7" w14:textId="712C90B1" w:rsidR="00B760AB" w:rsidRPr="00A83DE1" w:rsidRDefault="00B760AB" w:rsidP="001A77AA">
            <w:pPr>
              <w:pStyle w:val="FooterTableFigure"/>
              <w:spacing w:after="0"/>
              <w:jc w:val="left"/>
              <w:rPr>
                <w:rFonts w:eastAsiaTheme="majorEastAsia" w:cstheme="majorBidi"/>
                <w:bCs/>
                <w:iCs/>
                <w:snapToGrid/>
                <w:sz w:val="20"/>
                <w:szCs w:val="20"/>
              </w:rPr>
            </w:pPr>
            <w:r w:rsidRPr="00A83DE1">
              <w:rPr>
                <w:iCs/>
                <w:sz w:val="20"/>
                <w:szCs w:val="20"/>
              </w:rPr>
              <w:t xml:space="preserve">Given the requested restriction, it was possible that toripalimab may be used in later line settings, but this was not considered in the financial estimates. </w:t>
            </w:r>
            <w:r w:rsidR="003A3807">
              <w:rPr>
                <w:iCs/>
                <w:sz w:val="20"/>
                <w:szCs w:val="20"/>
              </w:rPr>
              <w:t>The PBAC considered this was reasonable</w:t>
            </w:r>
            <w:r w:rsidR="00FB6FBC">
              <w:rPr>
                <w:iCs/>
                <w:sz w:val="20"/>
                <w:szCs w:val="20"/>
              </w:rPr>
              <w:t xml:space="preserve"> and would likely be a very small number of patients</w:t>
            </w:r>
            <w:r w:rsidR="003A3807">
              <w:rPr>
                <w:iCs/>
                <w:sz w:val="20"/>
                <w:szCs w:val="20"/>
              </w:rPr>
              <w:t xml:space="preserve">. </w:t>
            </w:r>
          </w:p>
        </w:tc>
      </w:tr>
      <w:tr w:rsidR="00B760AB" w:rsidRPr="00546BEB" w14:paraId="10E84FBC" w14:textId="77777777" w:rsidTr="00604EDD">
        <w:tc>
          <w:tcPr>
            <w:tcW w:w="1413" w:type="dxa"/>
          </w:tcPr>
          <w:p w14:paraId="01EECFCB" w14:textId="1ACBA2B6" w:rsidR="00B760AB" w:rsidRPr="00B760AB" w:rsidRDefault="00B760AB" w:rsidP="001A77AA">
            <w:pPr>
              <w:keepLines/>
              <w:widowControl w:val="0"/>
              <w:jc w:val="left"/>
              <w:rPr>
                <w:rFonts w:ascii="Arial Narrow" w:hAnsi="Arial Narrow"/>
                <w:sz w:val="20"/>
                <w:szCs w:val="20"/>
              </w:rPr>
            </w:pPr>
            <w:r w:rsidRPr="00B760AB">
              <w:rPr>
                <w:rFonts w:ascii="Arial Narrow" w:hAnsi="Arial Narrow"/>
                <w:sz w:val="20"/>
                <w:szCs w:val="20"/>
              </w:rPr>
              <w:t>Number treated</w:t>
            </w:r>
          </w:p>
        </w:tc>
        <w:tc>
          <w:tcPr>
            <w:tcW w:w="1276" w:type="dxa"/>
          </w:tcPr>
          <w:p w14:paraId="112DD864" w14:textId="73195282" w:rsidR="00B760AB" w:rsidRPr="00B760AB" w:rsidRDefault="000A34CF" w:rsidP="001A77AA">
            <w:pPr>
              <w:pStyle w:val="Tabletext8pt"/>
              <w:keepNext w:val="0"/>
              <w:rPr>
                <w:rFonts w:ascii="Arial Narrow" w:eastAsiaTheme="majorEastAsia" w:hAnsi="Arial Narrow" w:cstheme="majorBidi"/>
                <w:bCs/>
                <w:sz w:val="20"/>
                <w:szCs w:val="20"/>
                <w:lang w:eastAsia="en-AU"/>
              </w:rPr>
            </w:pPr>
            <w:r>
              <w:rPr>
                <w:rFonts w:ascii="Arial Narrow" w:eastAsiaTheme="majorEastAsia" w:hAnsi="Arial Narrow" w:cstheme="majorBidi"/>
                <w:bCs/>
                <w:sz w:val="20"/>
                <w:szCs w:val="20"/>
                <w:lang w:eastAsia="en-AU"/>
              </w:rPr>
              <w:t>1L</w:t>
            </w:r>
            <w:r w:rsidR="00B760AB" w:rsidRPr="00B760AB">
              <w:rPr>
                <w:rFonts w:ascii="Arial Narrow" w:eastAsiaTheme="majorEastAsia" w:hAnsi="Arial Narrow" w:cstheme="majorBidi"/>
                <w:bCs/>
                <w:sz w:val="20"/>
                <w:szCs w:val="20"/>
                <w:lang w:eastAsia="en-AU"/>
              </w:rPr>
              <w:t xml:space="preserve"> </w:t>
            </w:r>
          </w:p>
          <w:p w14:paraId="26D3379E" w14:textId="4B19E6AC" w:rsidR="00B760AB" w:rsidRPr="00B760AB" w:rsidRDefault="00B760AB" w:rsidP="001A77AA">
            <w:pPr>
              <w:pStyle w:val="Tabletext8pt"/>
              <w:keepNext w:val="0"/>
              <w:rPr>
                <w:rFonts w:ascii="Arial Narrow" w:eastAsiaTheme="majorEastAsia" w:hAnsi="Arial Narrow" w:cstheme="majorBidi"/>
                <w:bCs/>
                <w:sz w:val="20"/>
                <w:szCs w:val="20"/>
                <w:lang w:eastAsia="en-AU"/>
              </w:rPr>
            </w:pPr>
            <w:r w:rsidRPr="00B760AB">
              <w:rPr>
                <w:rFonts w:ascii="Arial Narrow" w:eastAsiaTheme="majorEastAsia" w:hAnsi="Arial Narrow" w:cstheme="majorBidi"/>
                <w:bCs/>
                <w:sz w:val="20"/>
                <w:szCs w:val="20"/>
                <w:lang w:eastAsia="en-AU"/>
              </w:rPr>
              <w:t xml:space="preserve">Year 1: </w:t>
            </w:r>
            <w:r w:rsidR="0016738C" w:rsidRPr="0016738C">
              <w:rPr>
                <w:rFonts w:ascii="Arial Narrow" w:eastAsiaTheme="majorEastAsia" w:hAnsi="Arial Narrow" w:cstheme="majorBidi"/>
                <w:bCs/>
                <w:color w:val="000000"/>
                <w:spacing w:val="53"/>
                <w:sz w:val="20"/>
                <w:szCs w:val="20"/>
                <w:shd w:val="solid" w:color="000000" w:fill="000000"/>
                <w:fitText w:val="330" w:id="-694443766"/>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66"/>
                <w:lang w:eastAsia="en-AU"/>
                <w14:textFill>
                  <w14:solidFill>
                    <w14:srgbClr w14:val="000000">
                      <w14:alpha w14:val="100000"/>
                    </w14:srgbClr>
                  </w14:solidFill>
                </w14:textFill>
              </w:rPr>
              <w:t>|</w:t>
            </w:r>
            <w:r w:rsidR="001815CF" w:rsidRPr="001815CF">
              <w:rPr>
                <w:rFonts w:ascii="Arial Narrow" w:eastAsiaTheme="majorEastAsia" w:hAnsi="Arial Narrow" w:cstheme="majorBidi"/>
                <w:bCs/>
                <w:sz w:val="20"/>
                <w:szCs w:val="20"/>
                <w:vertAlign w:val="superscript"/>
                <w:lang w:eastAsia="en-AU"/>
              </w:rPr>
              <w:t>1</w:t>
            </w:r>
          </w:p>
          <w:p w14:paraId="10096039" w14:textId="47ACCBD8" w:rsidR="00B760AB" w:rsidRPr="00B760AB" w:rsidRDefault="00B760AB" w:rsidP="001A77AA">
            <w:pPr>
              <w:pStyle w:val="Tabletext8pt"/>
              <w:keepNext w:val="0"/>
              <w:rPr>
                <w:rFonts w:ascii="Arial Narrow" w:eastAsiaTheme="majorEastAsia" w:hAnsi="Arial Narrow" w:cstheme="majorBidi"/>
                <w:bCs/>
                <w:sz w:val="20"/>
                <w:szCs w:val="20"/>
                <w:lang w:eastAsia="en-AU"/>
              </w:rPr>
            </w:pPr>
            <w:r w:rsidRPr="00B760AB">
              <w:rPr>
                <w:rFonts w:ascii="Arial Narrow" w:eastAsiaTheme="majorEastAsia" w:hAnsi="Arial Narrow" w:cstheme="majorBidi"/>
                <w:bCs/>
                <w:sz w:val="20"/>
                <w:szCs w:val="20"/>
                <w:lang w:eastAsia="en-AU"/>
              </w:rPr>
              <w:t xml:space="preserve">Year 2: </w:t>
            </w:r>
            <w:r w:rsidR="0016738C" w:rsidRPr="0016738C">
              <w:rPr>
                <w:rFonts w:ascii="Arial Narrow" w:eastAsiaTheme="majorEastAsia" w:hAnsi="Arial Narrow" w:cstheme="majorBidi"/>
                <w:bCs/>
                <w:color w:val="000000"/>
                <w:spacing w:val="53"/>
                <w:sz w:val="20"/>
                <w:szCs w:val="20"/>
                <w:shd w:val="solid" w:color="000000" w:fill="000000"/>
                <w:fitText w:val="330" w:id="-694443765"/>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65"/>
                <w:lang w:eastAsia="en-AU"/>
                <w14:textFill>
                  <w14:solidFill>
                    <w14:srgbClr w14:val="000000">
                      <w14:alpha w14:val="100000"/>
                    </w14:srgbClr>
                  </w14:solidFill>
                </w14:textFill>
              </w:rPr>
              <w:t>|</w:t>
            </w:r>
            <w:r w:rsidR="001815CF" w:rsidRPr="001815CF">
              <w:rPr>
                <w:rFonts w:ascii="Arial Narrow" w:eastAsiaTheme="majorEastAsia" w:hAnsi="Arial Narrow" w:cstheme="majorBidi"/>
                <w:bCs/>
                <w:sz w:val="20"/>
                <w:szCs w:val="20"/>
                <w:vertAlign w:val="superscript"/>
                <w:lang w:eastAsia="en-AU"/>
              </w:rPr>
              <w:t>1</w:t>
            </w:r>
          </w:p>
          <w:p w14:paraId="52BD2A8C" w14:textId="6FE7E862" w:rsidR="00B760AB" w:rsidRPr="00B760AB" w:rsidRDefault="00B760AB" w:rsidP="001A77AA">
            <w:pPr>
              <w:pStyle w:val="Tabletext8pt"/>
              <w:keepNext w:val="0"/>
              <w:rPr>
                <w:rFonts w:ascii="Arial Narrow" w:eastAsiaTheme="majorEastAsia" w:hAnsi="Arial Narrow" w:cstheme="majorBidi"/>
                <w:bCs/>
                <w:sz w:val="20"/>
                <w:szCs w:val="20"/>
                <w:lang w:eastAsia="en-AU"/>
              </w:rPr>
            </w:pPr>
            <w:r w:rsidRPr="00B760AB">
              <w:rPr>
                <w:rFonts w:ascii="Arial Narrow" w:eastAsiaTheme="majorEastAsia" w:hAnsi="Arial Narrow" w:cstheme="majorBidi"/>
                <w:bCs/>
                <w:sz w:val="20"/>
                <w:szCs w:val="20"/>
                <w:lang w:eastAsia="en-AU"/>
              </w:rPr>
              <w:t xml:space="preserve">Year 3: </w:t>
            </w:r>
            <w:r w:rsidR="0016738C" w:rsidRPr="0016738C">
              <w:rPr>
                <w:rFonts w:ascii="Arial Narrow" w:eastAsiaTheme="majorEastAsia" w:hAnsi="Arial Narrow" w:cstheme="majorBidi"/>
                <w:bCs/>
                <w:color w:val="000000"/>
                <w:spacing w:val="53"/>
                <w:sz w:val="20"/>
                <w:szCs w:val="20"/>
                <w:shd w:val="solid" w:color="000000" w:fill="000000"/>
                <w:fitText w:val="330" w:id="-694443764"/>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64"/>
                <w:lang w:eastAsia="en-AU"/>
                <w14:textFill>
                  <w14:solidFill>
                    <w14:srgbClr w14:val="000000">
                      <w14:alpha w14:val="100000"/>
                    </w14:srgbClr>
                  </w14:solidFill>
                </w14:textFill>
              </w:rPr>
              <w:t>|</w:t>
            </w:r>
            <w:r w:rsidR="001815CF" w:rsidRPr="001815CF">
              <w:rPr>
                <w:rFonts w:ascii="Arial Narrow" w:eastAsiaTheme="majorEastAsia" w:hAnsi="Arial Narrow" w:cstheme="majorBidi"/>
                <w:bCs/>
                <w:sz w:val="20"/>
                <w:szCs w:val="20"/>
                <w:vertAlign w:val="superscript"/>
                <w:lang w:eastAsia="en-AU"/>
              </w:rPr>
              <w:t>1</w:t>
            </w:r>
          </w:p>
          <w:p w14:paraId="3E160D68" w14:textId="3C79EF70" w:rsidR="00B760AB" w:rsidRPr="00B760AB" w:rsidRDefault="00B760AB" w:rsidP="001A77AA">
            <w:pPr>
              <w:pStyle w:val="Tabletext8pt"/>
              <w:keepNext w:val="0"/>
              <w:rPr>
                <w:rFonts w:ascii="Arial Narrow" w:eastAsiaTheme="majorEastAsia" w:hAnsi="Arial Narrow" w:cstheme="majorBidi"/>
                <w:bCs/>
                <w:sz w:val="20"/>
                <w:szCs w:val="20"/>
                <w:lang w:eastAsia="en-AU"/>
              </w:rPr>
            </w:pPr>
            <w:r w:rsidRPr="00B760AB">
              <w:rPr>
                <w:rFonts w:ascii="Arial Narrow" w:eastAsiaTheme="majorEastAsia" w:hAnsi="Arial Narrow" w:cstheme="majorBidi"/>
                <w:bCs/>
                <w:sz w:val="20"/>
                <w:szCs w:val="20"/>
                <w:lang w:eastAsia="en-AU"/>
              </w:rPr>
              <w:t xml:space="preserve">Year 4: </w:t>
            </w:r>
            <w:r w:rsidR="0016738C" w:rsidRPr="0016738C">
              <w:rPr>
                <w:rFonts w:ascii="Arial Narrow" w:eastAsiaTheme="majorEastAsia" w:hAnsi="Arial Narrow" w:cstheme="majorBidi"/>
                <w:bCs/>
                <w:color w:val="000000"/>
                <w:spacing w:val="53"/>
                <w:sz w:val="20"/>
                <w:szCs w:val="20"/>
                <w:shd w:val="solid" w:color="000000" w:fill="000000"/>
                <w:fitText w:val="330" w:id="-694443763"/>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63"/>
                <w:lang w:eastAsia="en-AU"/>
                <w14:textFill>
                  <w14:solidFill>
                    <w14:srgbClr w14:val="000000">
                      <w14:alpha w14:val="100000"/>
                    </w14:srgbClr>
                  </w14:solidFill>
                </w14:textFill>
              </w:rPr>
              <w:t>|</w:t>
            </w:r>
            <w:r w:rsidR="001815CF" w:rsidRPr="001815CF">
              <w:rPr>
                <w:rFonts w:ascii="Arial Narrow" w:eastAsiaTheme="majorEastAsia" w:hAnsi="Arial Narrow" w:cstheme="majorBidi"/>
                <w:bCs/>
                <w:sz w:val="20"/>
                <w:szCs w:val="20"/>
                <w:vertAlign w:val="superscript"/>
                <w:lang w:eastAsia="en-AU"/>
              </w:rPr>
              <w:t>1</w:t>
            </w:r>
          </w:p>
          <w:p w14:paraId="6F0D32BC" w14:textId="084732CE" w:rsidR="00B760AB" w:rsidRPr="00B760AB" w:rsidRDefault="00B760AB" w:rsidP="001A77AA">
            <w:pPr>
              <w:pStyle w:val="Tabletext8pt"/>
              <w:keepNext w:val="0"/>
              <w:rPr>
                <w:rFonts w:ascii="Arial Narrow" w:eastAsiaTheme="majorEastAsia" w:hAnsi="Arial Narrow" w:cstheme="majorBidi"/>
                <w:bCs/>
                <w:sz w:val="20"/>
                <w:szCs w:val="20"/>
                <w:lang w:eastAsia="en-AU"/>
              </w:rPr>
            </w:pPr>
            <w:r w:rsidRPr="00B760AB">
              <w:rPr>
                <w:rFonts w:ascii="Arial Narrow" w:eastAsiaTheme="majorEastAsia" w:hAnsi="Arial Narrow" w:cstheme="majorBidi"/>
                <w:bCs/>
                <w:sz w:val="20"/>
                <w:szCs w:val="20"/>
                <w:lang w:eastAsia="en-AU"/>
              </w:rPr>
              <w:t xml:space="preserve">Year 5: </w:t>
            </w:r>
            <w:r w:rsidR="0016738C" w:rsidRPr="0016738C">
              <w:rPr>
                <w:rFonts w:ascii="Arial Narrow" w:eastAsiaTheme="majorEastAsia" w:hAnsi="Arial Narrow" w:cstheme="majorBidi"/>
                <w:bCs/>
                <w:color w:val="000000"/>
                <w:spacing w:val="53"/>
                <w:sz w:val="20"/>
                <w:szCs w:val="20"/>
                <w:shd w:val="solid" w:color="000000" w:fill="000000"/>
                <w:fitText w:val="330" w:id="-694443762"/>
                <w:lang w:eastAsia="en-AU"/>
                <w14:textFill>
                  <w14:solidFill>
                    <w14:srgbClr w14:val="000000">
                      <w14:alpha w14:val="100000"/>
                    </w14:srgbClr>
                  </w14:solidFill>
                </w14:textFill>
              </w:rPr>
              <w:t>|||</w:t>
            </w:r>
            <w:r w:rsidR="0016738C" w:rsidRPr="0016738C">
              <w:rPr>
                <w:rFonts w:ascii="Arial Narrow" w:eastAsiaTheme="majorEastAsia" w:hAnsi="Arial Narrow" w:cstheme="majorBidi"/>
                <w:bCs/>
                <w:color w:val="000000"/>
                <w:spacing w:val="1"/>
                <w:sz w:val="20"/>
                <w:szCs w:val="20"/>
                <w:shd w:val="solid" w:color="000000" w:fill="000000"/>
                <w:fitText w:val="330" w:id="-694443762"/>
                <w:lang w:eastAsia="en-AU"/>
                <w14:textFill>
                  <w14:solidFill>
                    <w14:srgbClr w14:val="000000">
                      <w14:alpha w14:val="100000"/>
                    </w14:srgbClr>
                  </w14:solidFill>
                </w14:textFill>
              </w:rPr>
              <w:t>|</w:t>
            </w:r>
            <w:r w:rsidR="001815CF" w:rsidRPr="001815CF">
              <w:rPr>
                <w:rFonts w:ascii="Arial Narrow" w:eastAsiaTheme="majorEastAsia" w:hAnsi="Arial Narrow" w:cstheme="majorBidi"/>
                <w:bCs/>
                <w:sz w:val="20"/>
                <w:szCs w:val="20"/>
                <w:vertAlign w:val="superscript"/>
                <w:lang w:eastAsia="en-AU"/>
              </w:rPr>
              <w:t>1</w:t>
            </w:r>
          </w:p>
          <w:p w14:paraId="68603BF9" w14:textId="0265A7AB" w:rsidR="00B760AB" w:rsidRPr="00B760AB" w:rsidRDefault="00B760AB" w:rsidP="00A90F7C">
            <w:pPr>
              <w:pStyle w:val="TableText0"/>
              <w:framePr w:wrap="around"/>
            </w:pPr>
            <w:r w:rsidRPr="00B760AB">
              <w:t xml:space="preserve">Year 6: </w:t>
            </w:r>
            <w:r w:rsidR="0016738C" w:rsidRPr="0016738C">
              <w:rPr>
                <w:color w:val="000000"/>
                <w:spacing w:val="53"/>
                <w:shd w:val="solid" w:color="000000" w:fill="000000"/>
                <w:fitText w:val="330" w:id="-694443761"/>
                <w14:textFill>
                  <w14:solidFill>
                    <w14:srgbClr w14:val="000000">
                      <w14:alpha w14:val="100000"/>
                    </w14:srgbClr>
                  </w14:solidFill>
                </w14:textFill>
              </w:rPr>
              <w:t>|||</w:t>
            </w:r>
            <w:r w:rsidR="0016738C" w:rsidRPr="0016738C">
              <w:rPr>
                <w:color w:val="000000"/>
                <w:spacing w:val="1"/>
                <w:shd w:val="solid" w:color="000000" w:fill="000000"/>
                <w:fitText w:val="330" w:id="-694443761"/>
                <w14:textFill>
                  <w14:solidFill>
                    <w14:srgbClr w14:val="000000">
                      <w14:alpha w14:val="100000"/>
                    </w14:srgbClr>
                  </w14:solidFill>
                </w14:textFill>
              </w:rPr>
              <w:t>|</w:t>
            </w:r>
            <w:r w:rsidR="001815CF" w:rsidRPr="001815CF">
              <w:rPr>
                <w:bCs/>
                <w:szCs w:val="20"/>
                <w:vertAlign w:val="superscript"/>
              </w:rPr>
              <w:t>1</w:t>
            </w:r>
          </w:p>
          <w:p w14:paraId="4EE9AC07" w14:textId="77777777" w:rsidR="00B760AB" w:rsidRPr="00B760AB" w:rsidRDefault="00B760AB" w:rsidP="00A90F7C">
            <w:pPr>
              <w:pStyle w:val="TableText0"/>
              <w:framePr w:wrap="around"/>
            </w:pPr>
          </w:p>
          <w:p w14:paraId="757969F2" w14:textId="6231DDB1" w:rsidR="00B760AB" w:rsidRPr="003543BC" w:rsidRDefault="000A34CF" w:rsidP="00A90F7C">
            <w:pPr>
              <w:pStyle w:val="TableText0"/>
              <w:framePr w:wrap="around"/>
            </w:pPr>
            <w:r w:rsidRPr="003543BC">
              <w:t>2L</w:t>
            </w:r>
          </w:p>
          <w:p w14:paraId="4DE26E36" w14:textId="51B19E0B" w:rsidR="00B760AB" w:rsidRPr="003543BC" w:rsidRDefault="00B760AB" w:rsidP="00A90F7C">
            <w:pPr>
              <w:pStyle w:val="TableText0"/>
              <w:framePr w:wrap="around"/>
            </w:pPr>
            <w:r w:rsidRPr="003543BC">
              <w:t xml:space="preserve">Year 1: </w:t>
            </w:r>
            <w:r w:rsidR="0016738C" w:rsidRPr="0016738C">
              <w:rPr>
                <w:color w:val="000000"/>
                <w:spacing w:val="53"/>
                <w:shd w:val="solid" w:color="000000" w:fill="000000"/>
                <w:fitText w:val="330" w:id="-694443760"/>
                <w14:textFill>
                  <w14:solidFill>
                    <w14:srgbClr w14:val="000000">
                      <w14:alpha w14:val="100000"/>
                    </w14:srgbClr>
                  </w14:solidFill>
                </w14:textFill>
              </w:rPr>
              <w:t>|||</w:t>
            </w:r>
            <w:r w:rsidR="0016738C" w:rsidRPr="0016738C">
              <w:rPr>
                <w:color w:val="000000"/>
                <w:spacing w:val="1"/>
                <w:shd w:val="solid" w:color="000000" w:fill="000000"/>
                <w:fitText w:val="330" w:id="-694443760"/>
                <w14:textFill>
                  <w14:solidFill>
                    <w14:srgbClr w14:val="000000">
                      <w14:alpha w14:val="100000"/>
                    </w14:srgbClr>
                  </w14:solidFill>
                </w14:textFill>
              </w:rPr>
              <w:t>|</w:t>
            </w:r>
            <w:r w:rsidR="001815CF" w:rsidRPr="001815CF">
              <w:rPr>
                <w:bCs/>
                <w:szCs w:val="20"/>
                <w:vertAlign w:val="superscript"/>
              </w:rPr>
              <w:t>1</w:t>
            </w:r>
          </w:p>
          <w:p w14:paraId="02AAECDB" w14:textId="3816064D" w:rsidR="00B760AB" w:rsidRPr="003543BC" w:rsidRDefault="00B760AB" w:rsidP="00A90F7C">
            <w:pPr>
              <w:pStyle w:val="TableText0"/>
              <w:framePr w:wrap="around"/>
            </w:pPr>
            <w:r w:rsidRPr="003543BC">
              <w:t xml:space="preserve">Year 2: </w:t>
            </w:r>
            <w:r w:rsidR="0016738C" w:rsidRPr="0016738C">
              <w:rPr>
                <w:color w:val="000000"/>
                <w:spacing w:val="53"/>
                <w:shd w:val="solid" w:color="000000" w:fill="000000"/>
                <w:fitText w:val="330" w:id="-694443776"/>
                <w14:textFill>
                  <w14:solidFill>
                    <w14:srgbClr w14:val="000000">
                      <w14:alpha w14:val="100000"/>
                    </w14:srgbClr>
                  </w14:solidFill>
                </w14:textFill>
              </w:rPr>
              <w:t>|||</w:t>
            </w:r>
            <w:r w:rsidR="0016738C" w:rsidRPr="0016738C">
              <w:rPr>
                <w:color w:val="000000"/>
                <w:spacing w:val="1"/>
                <w:shd w:val="solid" w:color="000000" w:fill="000000"/>
                <w:fitText w:val="330" w:id="-694443776"/>
                <w14:textFill>
                  <w14:solidFill>
                    <w14:srgbClr w14:val="000000">
                      <w14:alpha w14:val="100000"/>
                    </w14:srgbClr>
                  </w14:solidFill>
                </w14:textFill>
              </w:rPr>
              <w:t>|</w:t>
            </w:r>
            <w:r w:rsidR="001815CF" w:rsidRPr="001815CF">
              <w:rPr>
                <w:bCs/>
                <w:szCs w:val="20"/>
                <w:vertAlign w:val="superscript"/>
              </w:rPr>
              <w:t>1</w:t>
            </w:r>
          </w:p>
          <w:p w14:paraId="41A65572" w14:textId="4B27F896" w:rsidR="00B760AB" w:rsidRPr="00B760AB" w:rsidRDefault="00B760AB" w:rsidP="001A77AA">
            <w:pPr>
              <w:pStyle w:val="Tabletext8ptCentered"/>
              <w:keepNext w:val="0"/>
              <w:rPr>
                <w:rFonts w:ascii="Arial Narrow" w:eastAsiaTheme="majorEastAsia" w:hAnsi="Arial Narrow" w:cstheme="majorBidi"/>
                <w:bCs/>
                <w:sz w:val="20"/>
                <w:szCs w:val="20"/>
                <w:lang w:eastAsia="en-AU"/>
              </w:rPr>
            </w:pPr>
            <w:r w:rsidRPr="003543BC">
              <w:rPr>
                <w:rFonts w:ascii="Arial Narrow" w:hAnsi="Arial Narrow"/>
                <w:sz w:val="20"/>
                <w:szCs w:val="20"/>
              </w:rPr>
              <w:t xml:space="preserve">Year 3: </w:t>
            </w:r>
            <w:r w:rsidR="0016738C" w:rsidRPr="0016738C">
              <w:rPr>
                <w:rFonts w:ascii="Arial Narrow" w:hAnsi="Arial Narrow"/>
                <w:color w:val="000000"/>
                <w:spacing w:val="53"/>
                <w:sz w:val="20"/>
                <w:szCs w:val="20"/>
                <w:shd w:val="solid" w:color="000000" w:fill="000000"/>
                <w:fitText w:val="330" w:id="-694443775"/>
                <w14:textFill>
                  <w14:solidFill>
                    <w14:srgbClr w14:val="000000">
                      <w14:alpha w14:val="100000"/>
                    </w14:srgbClr>
                  </w14:solidFill>
                </w14:textFill>
              </w:rPr>
              <w:t>|||</w:t>
            </w:r>
            <w:r w:rsidR="0016738C" w:rsidRPr="0016738C">
              <w:rPr>
                <w:rFonts w:ascii="Arial Narrow" w:hAnsi="Arial Narrow"/>
                <w:color w:val="000000"/>
                <w:spacing w:val="1"/>
                <w:sz w:val="20"/>
                <w:szCs w:val="20"/>
                <w:shd w:val="solid" w:color="000000" w:fill="000000"/>
                <w:fitText w:val="330" w:id="-694443775"/>
                <w14:textFill>
                  <w14:solidFill>
                    <w14:srgbClr w14:val="000000">
                      <w14:alpha w14:val="100000"/>
                    </w14:srgbClr>
                  </w14:solidFill>
                </w14:textFill>
              </w:rPr>
              <w:t>|</w:t>
            </w:r>
            <w:r w:rsidR="001815CF" w:rsidRPr="001815CF">
              <w:rPr>
                <w:rFonts w:ascii="Arial Narrow" w:eastAsiaTheme="majorEastAsia" w:hAnsi="Arial Narrow" w:cstheme="majorBidi"/>
                <w:bCs/>
                <w:sz w:val="20"/>
                <w:szCs w:val="20"/>
                <w:vertAlign w:val="superscript"/>
                <w:lang w:eastAsia="en-AU"/>
              </w:rPr>
              <w:t>1</w:t>
            </w:r>
          </w:p>
        </w:tc>
        <w:tc>
          <w:tcPr>
            <w:tcW w:w="2126" w:type="dxa"/>
          </w:tcPr>
          <w:p w14:paraId="17FE70DF" w14:textId="04B47470" w:rsidR="00B760AB" w:rsidRPr="00B760AB" w:rsidRDefault="000A34CF" w:rsidP="00A90F7C">
            <w:pPr>
              <w:pStyle w:val="TableText0"/>
              <w:framePr w:wrap="around"/>
            </w:pPr>
            <w:r>
              <w:t>1L</w:t>
            </w:r>
            <w:r w:rsidR="00B760AB" w:rsidRPr="00B760AB">
              <w:t xml:space="preserve"> treatment based on proportion diagnosed at stage IV (12%) and proportion who progressed to RM-NPC (15%) multiplied by incident population of that year</w:t>
            </w:r>
          </w:p>
          <w:p w14:paraId="2528C0D2" w14:textId="173CCE7E" w:rsidR="00B760AB" w:rsidRPr="00B760AB" w:rsidRDefault="00B760AB" w:rsidP="001A77AA">
            <w:pPr>
              <w:keepLines/>
              <w:widowControl w:val="0"/>
              <w:jc w:val="left"/>
              <w:rPr>
                <w:rFonts w:ascii="Arial Narrow" w:hAnsi="Arial Narrow"/>
                <w:sz w:val="20"/>
                <w:szCs w:val="20"/>
              </w:rPr>
            </w:pPr>
            <w:r w:rsidRPr="00B760AB">
              <w:rPr>
                <w:rFonts w:ascii="Arial Narrow" w:hAnsi="Arial Narrow"/>
                <w:sz w:val="20"/>
                <w:szCs w:val="20"/>
              </w:rPr>
              <w:t>2L treatment based on estimated prevalent patients, adjusted for patients who did not have 1L toripalimab in previous year, multiplied by uptake rate.</w:t>
            </w:r>
          </w:p>
        </w:tc>
        <w:tc>
          <w:tcPr>
            <w:tcW w:w="4202" w:type="dxa"/>
          </w:tcPr>
          <w:p w14:paraId="277A10EE" w14:textId="65136876" w:rsidR="00B760AB" w:rsidRPr="00B760AB" w:rsidRDefault="00B760AB" w:rsidP="000E663F">
            <w:pPr>
              <w:pStyle w:val="TableText0"/>
              <w:framePr w:wrap="around"/>
              <w:rPr>
                <w:bCs/>
                <w:i/>
                <w:iCs/>
                <w:szCs w:val="20"/>
              </w:rPr>
            </w:pPr>
            <w:r w:rsidRPr="00A83DE1">
              <w:rPr>
                <w:iCs/>
                <w:szCs w:val="20"/>
              </w:rPr>
              <w:t>Utilisation in 2L may be underestimated due to assumption that incident patients will not contribute to the prevalent pool after one year (despite a median OS of 33.7 months in the chemotherapy arm of JUPITER-02), the assumption that there will be no uptake after year 3.</w:t>
            </w:r>
            <w:r w:rsidRPr="00B760AB">
              <w:rPr>
                <w:szCs w:val="20"/>
              </w:rPr>
              <w:t xml:space="preserve"> </w:t>
            </w:r>
          </w:p>
        </w:tc>
      </w:tr>
      <w:tr w:rsidR="00B760AB" w:rsidRPr="00546BEB" w14:paraId="61910BE1" w14:textId="77777777" w:rsidTr="00604EDD">
        <w:tc>
          <w:tcPr>
            <w:tcW w:w="1413" w:type="dxa"/>
          </w:tcPr>
          <w:p w14:paraId="3B529B26" w14:textId="7304C15E" w:rsidR="00B760AB" w:rsidRPr="00B760AB" w:rsidRDefault="00B760AB" w:rsidP="001A77AA">
            <w:pPr>
              <w:keepLines/>
              <w:widowControl w:val="0"/>
              <w:jc w:val="left"/>
              <w:rPr>
                <w:rFonts w:ascii="Arial Narrow" w:hAnsi="Arial Narrow"/>
                <w:sz w:val="20"/>
                <w:szCs w:val="20"/>
              </w:rPr>
            </w:pPr>
            <w:r w:rsidRPr="00B760AB">
              <w:rPr>
                <w:rFonts w:ascii="Arial Narrow" w:hAnsi="Arial Narrow"/>
                <w:sz w:val="20"/>
                <w:szCs w:val="20"/>
              </w:rPr>
              <w:t>Scripts dispensed</w:t>
            </w:r>
          </w:p>
        </w:tc>
        <w:tc>
          <w:tcPr>
            <w:tcW w:w="1276" w:type="dxa"/>
          </w:tcPr>
          <w:p w14:paraId="187B18D4" w14:textId="6ED7EB0D" w:rsidR="00B760AB" w:rsidRPr="00B760AB" w:rsidRDefault="00B760AB" w:rsidP="00A90F7C">
            <w:pPr>
              <w:pStyle w:val="TableText0"/>
              <w:framePr w:wrap="around"/>
            </w:pPr>
            <w:r w:rsidRPr="00B760AB">
              <w:t xml:space="preserve">2025: </w:t>
            </w:r>
            <w:r w:rsidR="0016738C" w:rsidRPr="0016738C">
              <w:rPr>
                <w:color w:val="000000"/>
                <w:spacing w:val="49"/>
                <w:shd w:val="solid" w:color="000000" w:fill="000000"/>
                <w:fitText w:val="320" w:id="-694443774"/>
                <w14:textFill>
                  <w14:solidFill>
                    <w14:srgbClr w14:val="000000">
                      <w14:alpha w14:val="100000"/>
                    </w14:srgbClr>
                  </w14:solidFill>
                </w14:textFill>
              </w:rPr>
              <w:t>|||</w:t>
            </w:r>
            <w:r w:rsidR="0016738C" w:rsidRPr="0016738C">
              <w:rPr>
                <w:color w:val="000000"/>
                <w:spacing w:val="3"/>
                <w:shd w:val="solid" w:color="000000" w:fill="000000"/>
                <w:fitText w:val="320" w:id="-694443774"/>
                <w14:textFill>
                  <w14:solidFill>
                    <w14:srgbClr w14:val="000000">
                      <w14:alpha w14:val="100000"/>
                    </w14:srgbClr>
                  </w14:solidFill>
                </w14:textFill>
              </w:rPr>
              <w:t>|</w:t>
            </w:r>
            <w:r w:rsidR="00C933E6" w:rsidRPr="00C933E6">
              <w:rPr>
                <w:vertAlign w:val="superscript"/>
              </w:rPr>
              <w:t>2</w:t>
            </w:r>
          </w:p>
          <w:p w14:paraId="45744339" w14:textId="7FE86AE0" w:rsidR="00B760AB" w:rsidRPr="00B760AB" w:rsidRDefault="00B760AB" w:rsidP="00A90F7C">
            <w:pPr>
              <w:pStyle w:val="TableText0"/>
              <w:framePr w:wrap="around"/>
            </w:pPr>
            <w:r w:rsidRPr="00B760AB">
              <w:t xml:space="preserve">2026: </w:t>
            </w:r>
            <w:r w:rsidR="0016738C" w:rsidRPr="0016738C">
              <w:rPr>
                <w:color w:val="000000"/>
                <w:spacing w:val="49"/>
                <w:shd w:val="solid" w:color="000000" w:fill="000000"/>
                <w:fitText w:val="320" w:id="-694443773"/>
                <w14:textFill>
                  <w14:solidFill>
                    <w14:srgbClr w14:val="000000">
                      <w14:alpha w14:val="100000"/>
                    </w14:srgbClr>
                  </w14:solidFill>
                </w14:textFill>
              </w:rPr>
              <w:t>|||</w:t>
            </w:r>
            <w:r w:rsidR="0016738C" w:rsidRPr="0016738C">
              <w:rPr>
                <w:color w:val="000000"/>
                <w:spacing w:val="3"/>
                <w:shd w:val="solid" w:color="000000" w:fill="000000"/>
                <w:fitText w:val="320" w:id="-694443773"/>
                <w14:textFill>
                  <w14:solidFill>
                    <w14:srgbClr w14:val="000000">
                      <w14:alpha w14:val="100000"/>
                    </w14:srgbClr>
                  </w14:solidFill>
                </w14:textFill>
              </w:rPr>
              <w:t>|</w:t>
            </w:r>
            <w:r w:rsidR="00C933E6" w:rsidRPr="00C933E6">
              <w:rPr>
                <w:vertAlign w:val="superscript"/>
              </w:rPr>
              <w:t>2</w:t>
            </w:r>
          </w:p>
          <w:p w14:paraId="1843C31E" w14:textId="7247309C" w:rsidR="00B760AB" w:rsidRPr="00B760AB" w:rsidRDefault="00B760AB" w:rsidP="00A90F7C">
            <w:pPr>
              <w:pStyle w:val="TableText0"/>
              <w:framePr w:wrap="around"/>
            </w:pPr>
            <w:r w:rsidRPr="00B760AB">
              <w:t xml:space="preserve">2027: </w:t>
            </w:r>
            <w:r w:rsidR="0016738C" w:rsidRPr="0016738C">
              <w:rPr>
                <w:color w:val="000000"/>
                <w:spacing w:val="49"/>
                <w:shd w:val="solid" w:color="000000" w:fill="000000"/>
                <w:fitText w:val="320" w:id="-694443772"/>
                <w14:textFill>
                  <w14:solidFill>
                    <w14:srgbClr w14:val="000000">
                      <w14:alpha w14:val="100000"/>
                    </w14:srgbClr>
                  </w14:solidFill>
                </w14:textFill>
              </w:rPr>
              <w:t>|||</w:t>
            </w:r>
            <w:r w:rsidR="0016738C" w:rsidRPr="0016738C">
              <w:rPr>
                <w:color w:val="000000"/>
                <w:spacing w:val="3"/>
                <w:shd w:val="solid" w:color="000000" w:fill="000000"/>
                <w:fitText w:val="320" w:id="-694443772"/>
                <w14:textFill>
                  <w14:solidFill>
                    <w14:srgbClr w14:val="000000">
                      <w14:alpha w14:val="100000"/>
                    </w14:srgbClr>
                  </w14:solidFill>
                </w14:textFill>
              </w:rPr>
              <w:t>|</w:t>
            </w:r>
            <w:r w:rsidR="00C933E6" w:rsidRPr="00C933E6">
              <w:rPr>
                <w:vertAlign w:val="superscript"/>
              </w:rPr>
              <w:t>2</w:t>
            </w:r>
          </w:p>
          <w:p w14:paraId="7AA10E77" w14:textId="4228892F" w:rsidR="00B760AB" w:rsidRPr="00B760AB" w:rsidRDefault="00B760AB" w:rsidP="00A90F7C">
            <w:pPr>
              <w:pStyle w:val="TableText0"/>
              <w:framePr w:wrap="around"/>
            </w:pPr>
            <w:r w:rsidRPr="00B760AB">
              <w:t xml:space="preserve">2028: </w:t>
            </w:r>
            <w:r w:rsidR="0016738C" w:rsidRPr="0016738C">
              <w:rPr>
                <w:color w:val="000000"/>
                <w:spacing w:val="49"/>
                <w:shd w:val="solid" w:color="000000" w:fill="000000"/>
                <w:fitText w:val="320" w:id="-694443771"/>
                <w14:textFill>
                  <w14:solidFill>
                    <w14:srgbClr w14:val="000000">
                      <w14:alpha w14:val="100000"/>
                    </w14:srgbClr>
                  </w14:solidFill>
                </w14:textFill>
              </w:rPr>
              <w:t>|||</w:t>
            </w:r>
            <w:r w:rsidR="0016738C" w:rsidRPr="0016738C">
              <w:rPr>
                <w:color w:val="000000"/>
                <w:spacing w:val="3"/>
                <w:shd w:val="solid" w:color="000000" w:fill="000000"/>
                <w:fitText w:val="320" w:id="-694443771"/>
                <w14:textFill>
                  <w14:solidFill>
                    <w14:srgbClr w14:val="000000">
                      <w14:alpha w14:val="100000"/>
                    </w14:srgbClr>
                  </w14:solidFill>
                </w14:textFill>
              </w:rPr>
              <w:t>|</w:t>
            </w:r>
            <w:r w:rsidR="00C933E6" w:rsidRPr="00C933E6">
              <w:rPr>
                <w:vertAlign w:val="superscript"/>
              </w:rPr>
              <w:t>2</w:t>
            </w:r>
          </w:p>
          <w:p w14:paraId="0FB4F0C2" w14:textId="233528C2" w:rsidR="00B760AB" w:rsidRPr="00B760AB" w:rsidRDefault="00B760AB" w:rsidP="00A90F7C">
            <w:pPr>
              <w:pStyle w:val="TableText0"/>
              <w:framePr w:wrap="around"/>
            </w:pPr>
            <w:r w:rsidRPr="00B760AB">
              <w:t xml:space="preserve">2029: </w:t>
            </w:r>
            <w:r w:rsidR="0016738C" w:rsidRPr="0016738C">
              <w:rPr>
                <w:color w:val="000000"/>
                <w:spacing w:val="49"/>
                <w:shd w:val="solid" w:color="000000" w:fill="000000"/>
                <w:fitText w:val="320" w:id="-694443770"/>
                <w14:textFill>
                  <w14:solidFill>
                    <w14:srgbClr w14:val="000000">
                      <w14:alpha w14:val="100000"/>
                    </w14:srgbClr>
                  </w14:solidFill>
                </w14:textFill>
              </w:rPr>
              <w:t>|||</w:t>
            </w:r>
            <w:r w:rsidR="0016738C" w:rsidRPr="0016738C">
              <w:rPr>
                <w:color w:val="000000"/>
                <w:spacing w:val="3"/>
                <w:shd w:val="solid" w:color="000000" w:fill="000000"/>
                <w:fitText w:val="320" w:id="-694443770"/>
                <w14:textFill>
                  <w14:solidFill>
                    <w14:srgbClr w14:val="000000">
                      <w14:alpha w14:val="100000"/>
                    </w14:srgbClr>
                  </w14:solidFill>
                </w14:textFill>
              </w:rPr>
              <w:t>|</w:t>
            </w:r>
            <w:r w:rsidR="00C933E6" w:rsidRPr="00C933E6">
              <w:rPr>
                <w:vertAlign w:val="superscript"/>
              </w:rPr>
              <w:t>2</w:t>
            </w:r>
          </w:p>
          <w:p w14:paraId="6B16CA15" w14:textId="66D280EE" w:rsidR="00B760AB" w:rsidRPr="00B760AB" w:rsidRDefault="00B760AB" w:rsidP="001A77AA">
            <w:pPr>
              <w:pStyle w:val="Tabletext8ptCentered"/>
              <w:keepNext w:val="0"/>
              <w:rPr>
                <w:rFonts w:ascii="Arial Narrow" w:eastAsiaTheme="majorEastAsia" w:hAnsi="Arial Narrow" w:cstheme="majorBidi"/>
                <w:bCs/>
                <w:sz w:val="20"/>
                <w:szCs w:val="20"/>
                <w:lang w:eastAsia="en-AU"/>
              </w:rPr>
            </w:pPr>
            <w:r w:rsidRPr="00B760AB">
              <w:rPr>
                <w:rFonts w:ascii="Arial Narrow" w:hAnsi="Arial Narrow"/>
                <w:sz w:val="20"/>
                <w:szCs w:val="20"/>
              </w:rPr>
              <w:t xml:space="preserve">2030: </w:t>
            </w:r>
            <w:r w:rsidR="0016738C" w:rsidRPr="0016738C">
              <w:rPr>
                <w:rFonts w:ascii="Arial Narrow" w:hAnsi="Arial Narrow"/>
                <w:color w:val="000000"/>
                <w:spacing w:val="49"/>
                <w:sz w:val="20"/>
                <w:szCs w:val="20"/>
                <w:shd w:val="solid" w:color="000000" w:fill="000000"/>
                <w:fitText w:val="320" w:id="-694443769"/>
                <w14:textFill>
                  <w14:solidFill>
                    <w14:srgbClr w14:val="000000">
                      <w14:alpha w14:val="100000"/>
                    </w14:srgbClr>
                  </w14:solidFill>
                </w14:textFill>
              </w:rPr>
              <w:t>|||</w:t>
            </w:r>
            <w:r w:rsidR="0016738C" w:rsidRPr="0016738C">
              <w:rPr>
                <w:rFonts w:ascii="Arial Narrow" w:hAnsi="Arial Narrow"/>
                <w:color w:val="000000"/>
                <w:spacing w:val="3"/>
                <w:sz w:val="20"/>
                <w:szCs w:val="20"/>
                <w:shd w:val="solid" w:color="000000" w:fill="000000"/>
                <w:fitText w:val="320" w:id="-694443769"/>
                <w14:textFill>
                  <w14:solidFill>
                    <w14:srgbClr w14:val="000000">
                      <w14:alpha w14:val="100000"/>
                    </w14:srgbClr>
                  </w14:solidFill>
                </w14:textFill>
              </w:rPr>
              <w:t>|</w:t>
            </w:r>
            <w:r w:rsidR="00C933E6" w:rsidRPr="00C933E6">
              <w:rPr>
                <w:vertAlign w:val="superscript"/>
              </w:rPr>
              <w:t>2</w:t>
            </w:r>
          </w:p>
        </w:tc>
        <w:tc>
          <w:tcPr>
            <w:tcW w:w="2126" w:type="dxa"/>
          </w:tcPr>
          <w:p w14:paraId="25107802" w14:textId="4DC34E93" w:rsidR="00B760AB" w:rsidRPr="00B760AB" w:rsidRDefault="00B760AB" w:rsidP="00A90F7C">
            <w:pPr>
              <w:pStyle w:val="TableText0"/>
              <w:framePr w:wrap="around"/>
            </w:pPr>
            <w:r w:rsidRPr="00B760AB">
              <w:t xml:space="preserve">Assuming 21.43 scripts per patient in </w:t>
            </w:r>
            <w:r w:rsidR="000A34CF">
              <w:t>1L</w:t>
            </w:r>
            <w:r w:rsidRPr="00B760AB">
              <w:t>, based on a duration of 14.78 months and three weekly administration and a 99.4% compliance (based on compliance in JUPITER-02)</w:t>
            </w:r>
          </w:p>
          <w:p w14:paraId="64537A31" w14:textId="285688ED" w:rsidR="00B760AB" w:rsidRPr="00B760AB" w:rsidRDefault="00B760AB" w:rsidP="001A77AA">
            <w:pPr>
              <w:keepLines/>
              <w:widowControl w:val="0"/>
              <w:jc w:val="left"/>
              <w:rPr>
                <w:rFonts w:ascii="Arial Narrow" w:hAnsi="Arial Narrow"/>
                <w:sz w:val="20"/>
                <w:szCs w:val="20"/>
              </w:rPr>
            </w:pPr>
            <w:r w:rsidRPr="00B760AB">
              <w:rPr>
                <w:rFonts w:ascii="Arial Narrow" w:hAnsi="Arial Narrow"/>
                <w:sz w:val="20"/>
                <w:szCs w:val="20"/>
              </w:rPr>
              <w:t>Assuming 7.95 scripts per patient in 2L, based on a duration of 16 weeks and fortnightly administration and a 99.4% compliance (based on compliance in JUPITER-02)</w:t>
            </w:r>
          </w:p>
        </w:tc>
        <w:tc>
          <w:tcPr>
            <w:tcW w:w="4202" w:type="dxa"/>
          </w:tcPr>
          <w:p w14:paraId="71839FA9" w14:textId="78A8E98C" w:rsidR="00B760AB" w:rsidRPr="00B760AB" w:rsidRDefault="00B760AB" w:rsidP="001A77AA">
            <w:pPr>
              <w:pStyle w:val="FooterTableFigure"/>
              <w:spacing w:after="0"/>
              <w:jc w:val="left"/>
              <w:rPr>
                <w:rFonts w:eastAsiaTheme="majorEastAsia" w:cstheme="majorBidi"/>
                <w:bCs/>
                <w:i/>
                <w:iCs/>
                <w:snapToGrid/>
                <w:sz w:val="20"/>
                <w:szCs w:val="20"/>
              </w:rPr>
            </w:pPr>
            <w:r w:rsidRPr="00A83DE1">
              <w:rPr>
                <w:iCs/>
                <w:sz w:val="20"/>
                <w:szCs w:val="20"/>
              </w:rPr>
              <w:t xml:space="preserve">It was unclear </w:t>
            </w:r>
            <w:r w:rsidR="00907EEF" w:rsidRPr="00A83DE1">
              <w:rPr>
                <w:iCs/>
                <w:sz w:val="20"/>
                <w:szCs w:val="20"/>
              </w:rPr>
              <w:t>i</w:t>
            </w:r>
            <w:r w:rsidRPr="00A83DE1">
              <w:rPr>
                <w:iCs/>
                <w:sz w:val="20"/>
                <w:szCs w:val="20"/>
              </w:rPr>
              <w:t>f it was appropriate to use the compliance rate from JUPITER-02, which was in the 1L setting, to inform compliance in the 2L setting. Nonetheless given the high compliance rate this was likely to be reasonable.</w:t>
            </w:r>
            <w:r w:rsidRPr="00B760AB">
              <w:rPr>
                <w:sz w:val="20"/>
                <w:szCs w:val="20"/>
              </w:rPr>
              <w:t xml:space="preserve"> </w:t>
            </w:r>
          </w:p>
        </w:tc>
      </w:tr>
      <w:tr w:rsidR="00B760AB" w:rsidRPr="00546BEB" w14:paraId="70F3F9AF" w14:textId="77777777">
        <w:tc>
          <w:tcPr>
            <w:tcW w:w="9017" w:type="dxa"/>
            <w:gridSpan w:val="4"/>
          </w:tcPr>
          <w:p w14:paraId="69EE2AFC" w14:textId="40DDA10A" w:rsidR="00B760AB" w:rsidRPr="00B760AB" w:rsidRDefault="00B760AB" w:rsidP="001A77AA">
            <w:pPr>
              <w:pStyle w:val="FooterTableFigure"/>
              <w:spacing w:after="0"/>
              <w:jc w:val="left"/>
              <w:rPr>
                <w:rFonts w:eastAsiaTheme="majorEastAsia" w:cstheme="majorBidi"/>
                <w:b/>
                <w:snapToGrid/>
                <w:sz w:val="20"/>
                <w:szCs w:val="20"/>
              </w:rPr>
            </w:pPr>
            <w:r w:rsidRPr="00B760AB">
              <w:rPr>
                <w:rFonts w:eastAsiaTheme="majorEastAsia" w:cstheme="majorBidi"/>
                <w:b/>
                <w:snapToGrid/>
                <w:sz w:val="20"/>
                <w:szCs w:val="20"/>
              </w:rPr>
              <w:t xml:space="preserve">Costs </w:t>
            </w:r>
          </w:p>
        </w:tc>
      </w:tr>
      <w:tr w:rsidR="00B760AB" w:rsidRPr="00A83DE1" w14:paraId="20583BE0" w14:textId="77777777" w:rsidTr="00604EDD">
        <w:tc>
          <w:tcPr>
            <w:tcW w:w="1413" w:type="dxa"/>
          </w:tcPr>
          <w:p w14:paraId="40678BAE" w14:textId="23105F40"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lastRenderedPageBreak/>
              <w:t>Toripalimab</w:t>
            </w:r>
          </w:p>
        </w:tc>
        <w:tc>
          <w:tcPr>
            <w:tcW w:w="1276" w:type="dxa"/>
          </w:tcPr>
          <w:p w14:paraId="4622DB70" w14:textId="37837F24" w:rsidR="00B760AB" w:rsidRPr="00A83DE1" w:rsidRDefault="00B760AB" w:rsidP="00A90F7C">
            <w:pPr>
              <w:pStyle w:val="TableText0"/>
              <w:framePr w:wrap="around"/>
            </w:pPr>
            <w:r w:rsidRPr="00A83DE1">
              <w:t>AEMP: $</w:t>
            </w:r>
            <w:r w:rsidR="0016738C" w:rsidRPr="0016738C">
              <w:rPr>
                <w:color w:val="000000"/>
                <w:spacing w:val="53"/>
                <w:shd w:val="solid" w:color="000000" w:fill="000000"/>
                <w:fitText w:val="330" w:id="-694443768"/>
                <w14:textFill>
                  <w14:solidFill>
                    <w14:srgbClr w14:val="000000">
                      <w14:alpha w14:val="100000"/>
                    </w14:srgbClr>
                  </w14:solidFill>
                </w14:textFill>
              </w:rPr>
              <w:t>|||</w:t>
            </w:r>
            <w:r w:rsidR="0016738C" w:rsidRPr="0016738C">
              <w:rPr>
                <w:color w:val="000000"/>
                <w:spacing w:val="1"/>
                <w:shd w:val="solid" w:color="000000" w:fill="000000"/>
                <w:fitText w:val="330" w:id="-694443768"/>
                <w14:textFill>
                  <w14:solidFill>
                    <w14:srgbClr w14:val="000000">
                      <w14:alpha w14:val="100000"/>
                    </w14:srgbClr>
                  </w14:solidFill>
                </w14:textFill>
              </w:rPr>
              <w:t>|</w:t>
            </w:r>
          </w:p>
          <w:p w14:paraId="42493293" w14:textId="1A6767C8" w:rsidR="00B760AB" w:rsidRPr="00A83DE1" w:rsidRDefault="00B760AB" w:rsidP="00A90F7C">
            <w:pPr>
              <w:pStyle w:val="TableText0"/>
              <w:framePr w:wrap="around"/>
            </w:pPr>
            <w:r w:rsidRPr="00A83DE1">
              <w:t>DPMQ (public): $</w:t>
            </w:r>
            <w:r w:rsidR="0016738C" w:rsidRPr="0016738C">
              <w:rPr>
                <w:color w:val="000000"/>
                <w:spacing w:val="53"/>
                <w:shd w:val="solid" w:color="000000" w:fill="000000"/>
                <w:fitText w:val="330" w:id="-694443767"/>
                <w14:textFill>
                  <w14:solidFill>
                    <w14:srgbClr w14:val="000000">
                      <w14:alpha w14:val="100000"/>
                    </w14:srgbClr>
                  </w14:solidFill>
                </w14:textFill>
              </w:rPr>
              <w:t>|||</w:t>
            </w:r>
            <w:r w:rsidR="0016738C" w:rsidRPr="0016738C">
              <w:rPr>
                <w:color w:val="000000"/>
                <w:spacing w:val="1"/>
                <w:shd w:val="solid" w:color="000000" w:fill="000000"/>
                <w:fitText w:val="330" w:id="-694443767"/>
                <w14:textFill>
                  <w14:solidFill>
                    <w14:srgbClr w14:val="000000">
                      <w14:alpha w14:val="100000"/>
                    </w14:srgbClr>
                  </w14:solidFill>
                </w14:textFill>
              </w:rPr>
              <w:t>|</w:t>
            </w:r>
          </w:p>
          <w:p w14:paraId="0D2617E8" w14:textId="77777777" w:rsidR="00B760AB" w:rsidRPr="00A83DE1" w:rsidRDefault="00B760AB" w:rsidP="00A90F7C">
            <w:pPr>
              <w:pStyle w:val="TableText0"/>
              <w:framePr w:wrap="around"/>
            </w:pPr>
            <w:r w:rsidRPr="00A83DE1">
              <w:t>DPMQ (private):</w:t>
            </w:r>
          </w:p>
          <w:p w14:paraId="5F666A8D" w14:textId="4F6937AF" w:rsidR="00B760AB" w:rsidRPr="00A83DE1" w:rsidRDefault="00B760AB" w:rsidP="001A77AA">
            <w:pPr>
              <w:pStyle w:val="Tabletext8ptCentered"/>
              <w:keepNext w:val="0"/>
              <w:rPr>
                <w:rFonts w:ascii="Arial Narrow" w:eastAsiaTheme="majorEastAsia" w:hAnsi="Arial Narrow" w:cstheme="majorBidi"/>
                <w:bCs/>
                <w:sz w:val="20"/>
                <w:szCs w:val="20"/>
                <w:lang w:eastAsia="en-AU"/>
              </w:rPr>
            </w:pPr>
            <w:r w:rsidRPr="00A83DE1">
              <w:rPr>
                <w:rFonts w:ascii="Arial Narrow" w:hAnsi="Arial Narrow"/>
                <w:sz w:val="20"/>
                <w:szCs w:val="20"/>
              </w:rPr>
              <w:t>$</w:t>
            </w:r>
            <w:r w:rsidR="0016738C" w:rsidRPr="0016738C">
              <w:rPr>
                <w:rFonts w:ascii="Arial Narrow" w:hAnsi="Arial Narrow"/>
                <w:color w:val="000000"/>
                <w:spacing w:val="53"/>
                <w:sz w:val="20"/>
                <w:szCs w:val="20"/>
                <w:shd w:val="solid" w:color="000000" w:fill="000000"/>
                <w:fitText w:val="330" w:id="-694443766"/>
                <w14:textFill>
                  <w14:solidFill>
                    <w14:srgbClr w14:val="000000">
                      <w14:alpha w14:val="100000"/>
                    </w14:srgbClr>
                  </w14:solidFill>
                </w14:textFill>
              </w:rPr>
              <w:t>|||</w:t>
            </w:r>
            <w:r w:rsidR="0016738C" w:rsidRPr="0016738C">
              <w:rPr>
                <w:rFonts w:ascii="Arial Narrow" w:hAnsi="Arial Narrow"/>
                <w:color w:val="000000"/>
                <w:spacing w:val="1"/>
                <w:sz w:val="20"/>
                <w:szCs w:val="20"/>
                <w:shd w:val="solid" w:color="000000" w:fill="000000"/>
                <w:fitText w:val="330" w:id="-694443766"/>
                <w14:textFill>
                  <w14:solidFill>
                    <w14:srgbClr w14:val="000000">
                      <w14:alpha w14:val="100000"/>
                    </w14:srgbClr>
                  </w14:solidFill>
                </w14:textFill>
              </w:rPr>
              <w:t>|</w:t>
            </w:r>
          </w:p>
        </w:tc>
        <w:tc>
          <w:tcPr>
            <w:tcW w:w="2126" w:type="dxa"/>
          </w:tcPr>
          <w:p w14:paraId="771282FA" w14:textId="24BE0E14"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Proposed pricing</w:t>
            </w:r>
          </w:p>
        </w:tc>
        <w:tc>
          <w:tcPr>
            <w:tcW w:w="4202" w:type="dxa"/>
          </w:tcPr>
          <w:p w14:paraId="1C37B645" w14:textId="16D71FF3" w:rsidR="00B760AB" w:rsidRPr="00A83DE1" w:rsidRDefault="00B760AB" w:rsidP="001A77AA">
            <w:pPr>
              <w:pStyle w:val="FooterTableFigure"/>
              <w:spacing w:after="0"/>
              <w:jc w:val="left"/>
              <w:rPr>
                <w:rFonts w:eastAsiaTheme="majorEastAsia" w:cstheme="majorBidi"/>
                <w:bCs/>
                <w:iCs/>
                <w:snapToGrid/>
                <w:sz w:val="20"/>
                <w:szCs w:val="20"/>
              </w:rPr>
            </w:pPr>
          </w:p>
        </w:tc>
      </w:tr>
      <w:tr w:rsidR="00B760AB" w:rsidRPr="00A83DE1" w14:paraId="090E7B5C" w14:textId="77777777" w:rsidTr="00604EDD">
        <w:tc>
          <w:tcPr>
            <w:tcW w:w="1413" w:type="dxa"/>
          </w:tcPr>
          <w:p w14:paraId="4B8F6971" w14:textId="1E4658DC"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Patient copayment</w:t>
            </w:r>
          </w:p>
        </w:tc>
        <w:tc>
          <w:tcPr>
            <w:tcW w:w="1276" w:type="dxa"/>
          </w:tcPr>
          <w:p w14:paraId="0BCBBA7B" w14:textId="77777777" w:rsidR="00B760AB" w:rsidRPr="00A83DE1" w:rsidRDefault="00B760AB" w:rsidP="00A90F7C">
            <w:pPr>
              <w:pStyle w:val="TableText0"/>
              <w:framePr w:wrap="around"/>
            </w:pPr>
            <w:r w:rsidRPr="00A83DE1">
              <w:t>PBS: $19.02</w:t>
            </w:r>
          </w:p>
          <w:p w14:paraId="57CCE5DF" w14:textId="042B8C4A" w:rsidR="00B760AB" w:rsidRPr="00A83DE1" w:rsidRDefault="00B760AB" w:rsidP="001A77AA">
            <w:pPr>
              <w:pStyle w:val="Tabletext8ptCentered"/>
              <w:keepNext w:val="0"/>
              <w:rPr>
                <w:rFonts w:ascii="Arial Narrow" w:eastAsiaTheme="majorEastAsia" w:hAnsi="Arial Narrow" w:cstheme="majorBidi"/>
                <w:bCs/>
                <w:sz w:val="20"/>
                <w:szCs w:val="20"/>
                <w:lang w:eastAsia="en-AU"/>
              </w:rPr>
            </w:pPr>
            <w:r w:rsidRPr="00A83DE1">
              <w:rPr>
                <w:rFonts w:ascii="Arial Narrow" w:hAnsi="Arial Narrow"/>
                <w:sz w:val="20"/>
                <w:szCs w:val="20"/>
              </w:rPr>
              <w:t>RPBS: $6.57</w:t>
            </w:r>
          </w:p>
        </w:tc>
        <w:tc>
          <w:tcPr>
            <w:tcW w:w="2126" w:type="dxa"/>
          </w:tcPr>
          <w:p w14:paraId="6A9B8356" w14:textId="6EA36262"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 xml:space="preserve">Based on </w:t>
            </w:r>
            <w:r w:rsidR="000F1E6E" w:rsidRPr="00A83DE1">
              <w:rPr>
                <w:rFonts w:ascii="Arial Narrow" w:hAnsi="Arial Narrow"/>
                <w:sz w:val="20"/>
                <w:szCs w:val="20"/>
              </w:rPr>
              <w:t>utilisation</w:t>
            </w:r>
            <w:r w:rsidRPr="00A83DE1">
              <w:rPr>
                <w:rFonts w:ascii="Arial Narrow" w:hAnsi="Arial Narrow"/>
                <w:sz w:val="20"/>
                <w:szCs w:val="20"/>
              </w:rPr>
              <w:t xml:space="preserve"> of cisplatin (PBS item 4319H and 7224F) and gemcitabine (PBS items 4439P and 7246J) Between Jan-Dec 2024</w:t>
            </w:r>
          </w:p>
        </w:tc>
        <w:tc>
          <w:tcPr>
            <w:tcW w:w="4202" w:type="dxa"/>
          </w:tcPr>
          <w:p w14:paraId="6B0A6696" w14:textId="5995DC9F" w:rsidR="00B760AB" w:rsidRPr="00A83DE1" w:rsidRDefault="00B760AB" w:rsidP="001A77AA">
            <w:pPr>
              <w:pStyle w:val="FooterTableFigure"/>
              <w:spacing w:after="0"/>
              <w:jc w:val="left"/>
              <w:rPr>
                <w:rFonts w:eastAsiaTheme="majorEastAsia" w:cstheme="majorBidi"/>
                <w:bCs/>
                <w:iCs/>
                <w:snapToGrid/>
                <w:sz w:val="20"/>
                <w:szCs w:val="20"/>
              </w:rPr>
            </w:pPr>
            <w:r w:rsidRPr="00A83DE1">
              <w:rPr>
                <w:iCs/>
                <w:sz w:val="20"/>
                <w:szCs w:val="20"/>
              </w:rPr>
              <w:t xml:space="preserve">Listing for cisplatin and gemcitabine were not specific for RM-NPC so there may be some uncertainty in the distribution of beneficiary types in RM-NPC. However given the relative high cost of toripalimab compared to the copayment amounts, this was unlikely to lead to a tangible difference. </w:t>
            </w:r>
          </w:p>
        </w:tc>
      </w:tr>
      <w:tr w:rsidR="00B760AB" w:rsidRPr="00A83DE1" w14:paraId="593F2EA1" w14:textId="77777777" w:rsidTr="00604EDD">
        <w:tc>
          <w:tcPr>
            <w:tcW w:w="1413" w:type="dxa"/>
          </w:tcPr>
          <w:p w14:paraId="44C597BF" w14:textId="483EE30B"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MBS costs</w:t>
            </w:r>
          </w:p>
        </w:tc>
        <w:tc>
          <w:tcPr>
            <w:tcW w:w="1276" w:type="dxa"/>
          </w:tcPr>
          <w:p w14:paraId="6B5B653B" w14:textId="2F990B5E" w:rsidR="00B760AB" w:rsidRPr="00A83DE1" w:rsidRDefault="00B760AB" w:rsidP="00A90F7C">
            <w:pPr>
              <w:pStyle w:val="TableText0"/>
              <w:framePr w:wrap="around"/>
            </w:pPr>
            <w:r w:rsidRPr="00A83DE1">
              <w:t>$123.05 per administration of toripalimab</w:t>
            </w:r>
          </w:p>
        </w:tc>
        <w:tc>
          <w:tcPr>
            <w:tcW w:w="2126" w:type="dxa"/>
          </w:tcPr>
          <w:p w14:paraId="2C478963" w14:textId="1D55E972" w:rsidR="00B760AB" w:rsidRPr="00A83DE1" w:rsidRDefault="00B760AB" w:rsidP="001A77AA">
            <w:pPr>
              <w:keepLines/>
              <w:widowControl w:val="0"/>
              <w:jc w:val="left"/>
              <w:rPr>
                <w:rFonts w:ascii="Arial Narrow" w:hAnsi="Arial Narrow"/>
                <w:sz w:val="20"/>
                <w:szCs w:val="20"/>
              </w:rPr>
            </w:pPr>
            <w:r w:rsidRPr="00A83DE1">
              <w:rPr>
                <w:rFonts w:ascii="Arial Narrow" w:hAnsi="Arial Narrow"/>
                <w:sz w:val="20"/>
                <w:szCs w:val="20"/>
              </w:rPr>
              <w:t>MBS item 13950, with 80% rebate assumed in the base case.</w:t>
            </w:r>
          </w:p>
        </w:tc>
        <w:tc>
          <w:tcPr>
            <w:tcW w:w="4202" w:type="dxa"/>
          </w:tcPr>
          <w:p w14:paraId="4F6E65AB" w14:textId="5CEA5A01" w:rsidR="00B760AB" w:rsidRPr="00A83DE1" w:rsidRDefault="00B760AB" w:rsidP="001A77AA">
            <w:pPr>
              <w:keepLines/>
              <w:widowControl w:val="0"/>
              <w:jc w:val="left"/>
              <w:rPr>
                <w:rFonts w:ascii="Arial Narrow" w:hAnsi="Arial Narrow"/>
                <w:iCs/>
                <w:sz w:val="20"/>
                <w:szCs w:val="20"/>
              </w:rPr>
            </w:pPr>
            <w:r w:rsidRPr="00A83DE1">
              <w:rPr>
                <w:rFonts w:ascii="Arial Narrow" w:hAnsi="Arial Narrow"/>
                <w:iCs/>
                <w:sz w:val="20"/>
                <w:szCs w:val="20"/>
              </w:rPr>
              <w:t>Applied to each toripalimab script with no offsets. However</w:t>
            </w:r>
            <w:r w:rsidR="000A34CF" w:rsidRPr="00A83DE1">
              <w:rPr>
                <w:rFonts w:ascii="Arial Narrow" w:hAnsi="Arial Narrow"/>
                <w:iCs/>
                <w:sz w:val="20"/>
                <w:szCs w:val="20"/>
              </w:rPr>
              <w:t>,</w:t>
            </w:r>
            <w:r w:rsidRPr="00A83DE1">
              <w:rPr>
                <w:rFonts w:ascii="Arial Narrow" w:hAnsi="Arial Narrow"/>
                <w:iCs/>
                <w:sz w:val="20"/>
                <w:szCs w:val="20"/>
              </w:rPr>
              <w:t xml:space="preserve"> given that toripalimab would be administered with chemotherapy for six cycles in </w:t>
            </w:r>
            <w:r w:rsidR="000A34CF" w:rsidRPr="00A83DE1">
              <w:rPr>
                <w:rFonts w:ascii="Arial Narrow" w:hAnsi="Arial Narrow"/>
                <w:iCs/>
                <w:sz w:val="20"/>
                <w:szCs w:val="20"/>
              </w:rPr>
              <w:t>1L</w:t>
            </w:r>
            <w:r w:rsidRPr="00A83DE1">
              <w:rPr>
                <w:rFonts w:ascii="Arial Narrow" w:hAnsi="Arial Narrow"/>
                <w:iCs/>
                <w:sz w:val="20"/>
                <w:szCs w:val="20"/>
              </w:rPr>
              <w:t xml:space="preserve">, the MBS costs </w:t>
            </w:r>
            <w:r w:rsidR="00786259" w:rsidRPr="00A83DE1">
              <w:rPr>
                <w:rFonts w:ascii="Arial Narrow" w:hAnsi="Arial Narrow"/>
                <w:iCs/>
                <w:sz w:val="20"/>
                <w:szCs w:val="20"/>
              </w:rPr>
              <w:t>were</w:t>
            </w:r>
            <w:r w:rsidRPr="00A83DE1">
              <w:rPr>
                <w:rFonts w:ascii="Arial Narrow" w:hAnsi="Arial Narrow"/>
                <w:iCs/>
                <w:sz w:val="20"/>
                <w:szCs w:val="20"/>
              </w:rPr>
              <w:t xml:space="preserve"> overestimated in the submission. </w:t>
            </w:r>
            <w:r w:rsidR="00011CA0">
              <w:rPr>
                <w:rFonts w:ascii="Arial Narrow" w:hAnsi="Arial Narrow"/>
                <w:iCs/>
                <w:sz w:val="20"/>
                <w:szCs w:val="20"/>
              </w:rPr>
              <w:t>This was corrected in the revised estimates provided in the PSCR.</w:t>
            </w:r>
          </w:p>
        </w:tc>
      </w:tr>
    </w:tbl>
    <w:p w14:paraId="5BD73548" w14:textId="2FD1D959" w:rsidR="008E25DF" w:rsidRDefault="008E25DF" w:rsidP="008E25DF">
      <w:pPr>
        <w:pStyle w:val="TableFigNotes18"/>
        <w:spacing w:before="0" w:after="0" w:line="240" w:lineRule="auto"/>
        <w:rPr>
          <w:rStyle w:val="CommentReference"/>
          <w:b w:val="0"/>
          <w:snapToGrid w:val="0"/>
          <w:sz w:val="18"/>
          <w:szCs w:val="18"/>
        </w:rPr>
      </w:pPr>
      <w:r w:rsidRPr="00AB5A6F">
        <w:rPr>
          <w:rStyle w:val="CommentReference"/>
          <w:b w:val="0"/>
          <w:snapToGrid w:val="0"/>
          <w:sz w:val="18"/>
          <w:szCs w:val="18"/>
        </w:rPr>
        <w:t>Source: Table 4-1, of the submission</w:t>
      </w:r>
      <w:r w:rsidRPr="00FC32A8">
        <w:rPr>
          <w:rStyle w:val="CommentReference"/>
          <w:b w:val="0"/>
          <w:snapToGrid w:val="0"/>
          <w:sz w:val="18"/>
          <w:szCs w:val="18"/>
        </w:rPr>
        <w:t xml:space="preserve">; Excel workbook ‘Attachment 4.1- Toripalimab budget impact model’; </w:t>
      </w:r>
    </w:p>
    <w:p w14:paraId="01EE4803" w14:textId="77777777" w:rsidR="007D139F" w:rsidRDefault="008E25DF" w:rsidP="007D139F">
      <w:pPr>
        <w:pStyle w:val="TableFigNotes18"/>
        <w:spacing w:after="0"/>
        <w:rPr>
          <w:rStyle w:val="CommentReference"/>
          <w:b w:val="0"/>
          <w:snapToGrid w:val="0"/>
          <w:sz w:val="18"/>
          <w:szCs w:val="18"/>
        </w:rPr>
      </w:pPr>
      <w:r w:rsidRPr="00FC32A8">
        <w:rPr>
          <w:rStyle w:val="CommentReference"/>
          <w:b w:val="0"/>
          <w:snapToGrid w:val="0"/>
          <w:sz w:val="18"/>
          <w:szCs w:val="18"/>
        </w:rPr>
        <w:t>AEMP</w:t>
      </w:r>
      <w:r>
        <w:rPr>
          <w:rStyle w:val="CommentReference"/>
          <w:b w:val="0"/>
          <w:snapToGrid w:val="0"/>
          <w:sz w:val="18"/>
          <w:szCs w:val="18"/>
        </w:rPr>
        <w:t>, A</w:t>
      </w:r>
      <w:r w:rsidRPr="00FC32A8">
        <w:rPr>
          <w:rStyle w:val="CommentReference"/>
          <w:b w:val="0"/>
          <w:snapToGrid w:val="0"/>
          <w:sz w:val="18"/>
          <w:szCs w:val="18"/>
        </w:rPr>
        <w:t xml:space="preserve">pproved ex-manufacturer price; </w:t>
      </w:r>
      <w:r>
        <w:rPr>
          <w:rStyle w:val="CommentReference"/>
          <w:b w:val="0"/>
          <w:snapToGrid w:val="0"/>
          <w:sz w:val="18"/>
          <w:szCs w:val="18"/>
        </w:rPr>
        <w:t xml:space="preserve">AIHW, Australian Institute of Health and Welfare; </w:t>
      </w:r>
      <w:r w:rsidRPr="00FC32A8">
        <w:rPr>
          <w:rStyle w:val="CommentReference"/>
          <w:b w:val="0"/>
          <w:snapToGrid w:val="0"/>
          <w:sz w:val="18"/>
          <w:szCs w:val="18"/>
        </w:rPr>
        <w:t>DPMQ</w:t>
      </w:r>
      <w:r>
        <w:rPr>
          <w:rStyle w:val="CommentReference"/>
          <w:b w:val="0"/>
          <w:snapToGrid w:val="0"/>
          <w:sz w:val="18"/>
          <w:szCs w:val="18"/>
        </w:rPr>
        <w:t xml:space="preserve">, </w:t>
      </w:r>
      <w:r w:rsidRPr="00FC32A8">
        <w:rPr>
          <w:rStyle w:val="CommentReference"/>
          <w:b w:val="0"/>
          <w:snapToGrid w:val="0"/>
          <w:sz w:val="18"/>
          <w:szCs w:val="18"/>
        </w:rPr>
        <w:t>dispensed price for maximum quantity; ECOG</w:t>
      </w:r>
      <w:r>
        <w:rPr>
          <w:rStyle w:val="CommentReference"/>
          <w:b w:val="0"/>
          <w:snapToGrid w:val="0"/>
          <w:sz w:val="18"/>
          <w:szCs w:val="18"/>
        </w:rPr>
        <w:t>,</w:t>
      </w:r>
      <w:r w:rsidRPr="00FC32A8">
        <w:rPr>
          <w:rStyle w:val="CommentReference"/>
          <w:b w:val="0"/>
          <w:snapToGrid w:val="0"/>
          <w:sz w:val="18"/>
          <w:szCs w:val="18"/>
        </w:rPr>
        <w:t xml:space="preserve"> </w:t>
      </w:r>
      <w:r w:rsidRPr="00FC32A8">
        <w:rPr>
          <w:rStyle w:val="CommentReference"/>
          <w:b w:val="0"/>
          <w:sz w:val="18"/>
          <w:szCs w:val="18"/>
        </w:rPr>
        <w:t>Eastern Cooperative Oncology Group</w:t>
      </w:r>
      <w:r>
        <w:rPr>
          <w:rStyle w:val="CommentReference"/>
          <w:b w:val="0"/>
          <w:sz w:val="18"/>
          <w:szCs w:val="18"/>
        </w:rPr>
        <w:t>;</w:t>
      </w:r>
      <w:r w:rsidRPr="0021491B">
        <w:rPr>
          <w:rStyle w:val="CommentReference"/>
          <w:b w:val="0"/>
          <w:snapToGrid w:val="0"/>
          <w:sz w:val="18"/>
          <w:szCs w:val="18"/>
        </w:rPr>
        <w:t xml:space="preserve"> </w:t>
      </w:r>
      <w:r>
        <w:rPr>
          <w:rStyle w:val="CommentReference"/>
          <w:b w:val="0"/>
          <w:snapToGrid w:val="0"/>
          <w:sz w:val="18"/>
          <w:szCs w:val="18"/>
        </w:rPr>
        <w:t xml:space="preserve">OS, overall survival; </w:t>
      </w:r>
      <w:r w:rsidRPr="00FC32A8">
        <w:rPr>
          <w:rStyle w:val="CommentReference"/>
          <w:b w:val="0"/>
          <w:snapToGrid w:val="0"/>
          <w:sz w:val="18"/>
          <w:szCs w:val="18"/>
        </w:rPr>
        <w:t>RM-NPC</w:t>
      </w:r>
      <w:r>
        <w:rPr>
          <w:rStyle w:val="CommentReference"/>
          <w:b w:val="0"/>
          <w:snapToGrid w:val="0"/>
          <w:sz w:val="18"/>
          <w:szCs w:val="18"/>
        </w:rPr>
        <w:t xml:space="preserve">: </w:t>
      </w:r>
      <w:r w:rsidRPr="00FC32A8">
        <w:rPr>
          <w:rStyle w:val="CommentReference"/>
          <w:b w:val="0"/>
          <w:snapToGrid w:val="0"/>
          <w:sz w:val="18"/>
          <w:szCs w:val="18"/>
        </w:rPr>
        <w:t>recurrent or metastatic nasopharyngeal carcinoma</w:t>
      </w:r>
      <w:r>
        <w:rPr>
          <w:rStyle w:val="CommentReference"/>
          <w:b w:val="0"/>
          <w:snapToGrid w:val="0"/>
          <w:sz w:val="18"/>
          <w:szCs w:val="18"/>
        </w:rPr>
        <w:t>;</w:t>
      </w:r>
      <w:r w:rsidRPr="0021491B">
        <w:rPr>
          <w:rStyle w:val="CommentReference"/>
          <w:b w:val="0"/>
          <w:snapToGrid w:val="0"/>
          <w:sz w:val="18"/>
          <w:szCs w:val="18"/>
        </w:rPr>
        <w:t xml:space="preserve"> </w:t>
      </w:r>
      <w:r w:rsidRPr="00FC32A8">
        <w:rPr>
          <w:rStyle w:val="CommentReference"/>
          <w:b w:val="0"/>
          <w:snapToGrid w:val="0"/>
          <w:sz w:val="18"/>
          <w:szCs w:val="18"/>
        </w:rPr>
        <w:t>WHO: World Health Organization</w:t>
      </w:r>
      <w:r w:rsidR="003D4983">
        <w:rPr>
          <w:rStyle w:val="CommentReference"/>
          <w:b w:val="0"/>
          <w:snapToGrid w:val="0"/>
          <w:sz w:val="18"/>
          <w:szCs w:val="18"/>
        </w:rPr>
        <w:t>; 1L, first-line; 2</w:t>
      </w:r>
      <w:r w:rsidR="004C68FE">
        <w:rPr>
          <w:rStyle w:val="CommentReference"/>
          <w:b w:val="0"/>
          <w:snapToGrid w:val="0"/>
          <w:sz w:val="18"/>
          <w:szCs w:val="18"/>
        </w:rPr>
        <w:t>L:</w:t>
      </w:r>
      <w:r w:rsidR="003D4983">
        <w:rPr>
          <w:rStyle w:val="CommentReference"/>
          <w:b w:val="0"/>
          <w:snapToGrid w:val="0"/>
          <w:sz w:val="18"/>
          <w:szCs w:val="18"/>
        </w:rPr>
        <w:t xml:space="preserve"> second-line; ToT</w:t>
      </w:r>
      <w:r w:rsidR="00C50FC2">
        <w:rPr>
          <w:rStyle w:val="CommentReference"/>
          <w:b w:val="0"/>
          <w:snapToGrid w:val="0"/>
          <w:sz w:val="18"/>
          <w:szCs w:val="18"/>
        </w:rPr>
        <w:t>:</w:t>
      </w:r>
      <w:r w:rsidR="003D4983">
        <w:rPr>
          <w:rStyle w:val="CommentReference"/>
          <w:b w:val="0"/>
          <w:snapToGrid w:val="0"/>
          <w:sz w:val="18"/>
          <w:szCs w:val="18"/>
        </w:rPr>
        <w:t>, time on treatment</w:t>
      </w:r>
      <w:r w:rsidR="00A204D4">
        <w:rPr>
          <w:rStyle w:val="CommentReference"/>
          <w:b w:val="0"/>
          <w:snapToGrid w:val="0"/>
          <w:sz w:val="18"/>
          <w:szCs w:val="18"/>
        </w:rPr>
        <w:t>; OS, overall survival; KM, Kaplan Meier</w:t>
      </w:r>
      <w:r w:rsidR="001E14EE">
        <w:rPr>
          <w:rStyle w:val="CommentReference"/>
          <w:b w:val="0"/>
          <w:snapToGrid w:val="0"/>
          <w:sz w:val="18"/>
          <w:szCs w:val="18"/>
        </w:rPr>
        <w:t>, MBS, Medicare Benefits Schedule</w:t>
      </w:r>
      <w:r w:rsidR="007D139F">
        <w:rPr>
          <w:rStyle w:val="CommentReference"/>
          <w:b w:val="0"/>
          <w:snapToGrid w:val="0"/>
          <w:sz w:val="18"/>
          <w:szCs w:val="18"/>
        </w:rPr>
        <w:t xml:space="preserve"> </w:t>
      </w:r>
    </w:p>
    <w:p w14:paraId="740A069D" w14:textId="77777777" w:rsidR="00497395" w:rsidRDefault="007D139F" w:rsidP="00497395">
      <w:pPr>
        <w:pStyle w:val="TableFigNotes18"/>
        <w:rPr>
          <w:szCs w:val="18"/>
        </w:rPr>
      </w:pPr>
      <w:r w:rsidRPr="007D139F">
        <w:rPr>
          <w:szCs w:val="18"/>
        </w:rPr>
        <w:t>The redacted values correspond to the following ranges</w:t>
      </w:r>
      <w:r w:rsidR="00497395">
        <w:rPr>
          <w:szCs w:val="18"/>
        </w:rPr>
        <w:t xml:space="preserve"> </w:t>
      </w:r>
      <w:bookmarkStart w:id="55" w:name="_Hlk113629054"/>
    </w:p>
    <w:p w14:paraId="28E4FB8A" w14:textId="27FF8585" w:rsidR="00497395" w:rsidRPr="00497395" w:rsidRDefault="00497395" w:rsidP="00497395">
      <w:pPr>
        <w:pStyle w:val="TableFigNotes18"/>
        <w:rPr>
          <w:szCs w:val="18"/>
        </w:rPr>
      </w:pPr>
      <w:r w:rsidRPr="00497395">
        <w:rPr>
          <w:szCs w:val="18"/>
          <w:vertAlign w:val="superscript"/>
        </w:rPr>
        <w:t>1</w:t>
      </w:r>
      <w:r>
        <w:rPr>
          <w:szCs w:val="18"/>
        </w:rPr>
        <w:t xml:space="preserve"> </w:t>
      </w:r>
      <w:r w:rsidRPr="00497395">
        <w:rPr>
          <w:szCs w:val="18"/>
        </w:rPr>
        <w:t>&lt; 500</w:t>
      </w:r>
    </w:p>
    <w:p w14:paraId="739292C7" w14:textId="015F53F4" w:rsidR="00497395" w:rsidRPr="00497395" w:rsidRDefault="00497395" w:rsidP="00497395">
      <w:pPr>
        <w:pStyle w:val="TableFigNotes18"/>
        <w:spacing w:after="0"/>
        <w:rPr>
          <w:szCs w:val="18"/>
        </w:rPr>
      </w:pPr>
      <w:bookmarkStart w:id="56" w:name="_Hlk113629046"/>
      <w:bookmarkEnd w:id="55"/>
      <w:r w:rsidRPr="00497395">
        <w:rPr>
          <w:szCs w:val="18"/>
          <w:vertAlign w:val="superscript"/>
        </w:rPr>
        <w:t>2</w:t>
      </w:r>
      <w:r>
        <w:rPr>
          <w:szCs w:val="18"/>
        </w:rPr>
        <w:t xml:space="preserve"> </w:t>
      </w:r>
      <w:r w:rsidRPr="00497395">
        <w:rPr>
          <w:szCs w:val="18"/>
        </w:rPr>
        <w:t>500 to &lt; 5,000</w:t>
      </w:r>
    </w:p>
    <w:bookmarkEnd w:id="56"/>
    <w:p w14:paraId="06DA7248" w14:textId="05FED2D5" w:rsidR="008E25DF" w:rsidRDefault="00C334FA" w:rsidP="00C334FA">
      <w:pPr>
        <w:pStyle w:val="3-BodyText"/>
        <w:rPr>
          <w:lang w:eastAsia="en-US"/>
        </w:rPr>
      </w:pPr>
      <w:r>
        <w:t xml:space="preserve">The estimated net financial impact of toripalimab is presented in </w:t>
      </w:r>
      <w:r>
        <w:fldChar w:fldCharType="begin"/>
      </w:r>
      <w:r>
        <w:instrText xml:space="preserve"> REF _Ref104805295 \h </w:instrText>
      </w:r>
      <w:r>
        <w:fldChar w:fldCharType="separate"/>
      </w:r>
      <w:r w:rsidR="002C005D" w:rsidRPr="0098262F">
        <w:t xml:space="preserve">Table </w:t>
      </w:r>
      <w:r w:rsidR="002C005D">
        <w:rPr>
          <w:noProof/>
        </w:rPr>
        <w:t>14</w:t>
      </w:r>
      <w:r>
        <w:fldChar w:fldCharType="end"/>
      </w:r>
      <w:r>
        <w:t>.</w:t>
      </w:r>
    </w:p>
    <w:p w14:paraId="38EC053C" w14:textId="48EF7D94" w:rsidR="00C25D9C" w:rsidRDefault="00E16AD8" w:rsidP="00B84C33">
      <w:pPr>
        <w:pStyle w:val="Caption"/>
        <w:rPr>
          <w:rStyle w:val="CommentReference"/>
          <w:b/>
          <w:szCs w:val="24"/>
        </w:rPr>
      </w:pPr>
      <w:bookmarkStart w:id="57" w:name="_Ref104805295"/>
      <w:r w:rsidRPr="0098262F">
        <w:t xml:space="preserve">Table </w:t>
      </w:r>
      <w:r w:rsidR="000B117D">
        <w:fldChar w:fldCharType="begin"/>
      </w:r>
      <w:r w:rsidR="000B117D">
        <w:instrText xml:space="preserve"> SEQ Table \* ARABIC </w:instrText>
      </w:r>
      <w:r w:rsidR="000B117D">
        <w:fldChar w:fldCharType="separate"/>
      </w:r>
      <w:r w:rsidR="002C005D">
        <w:rPr>
          <w:noProof/>
        </w:rPr>
        <w:t>14</w:t>
      </w:r>
      <w:r w:rsidR="000B117D">
        <w:rPr>
          <w:noProof/>
        </w:rPr>
        <w:fldChar w:fldCharType="end"/>
      </w:r>
      <w:bookmarkEnd w:id="57"/>
      <w:r w:rsidRPr="0098262F">
        <w:t>:</w:t>
      </w:r>
      <w:r w:rsidR="002A2F50" w:rsidRPr="0098262F">
        <w:rPr>
          <w:rStyle w:val="CommentReference"/>
          <w:b/>
          <w:szCs w:val="24"/>
        </w:rPr>
        <w:t xml:space="preserve"> Estimated use and financial implications</w:t>
      </w:r>
      <w:r w:rsidR="00B82B71">
        <w:rPr>
          <w:rStyle w:val="CommentReference"/>
          <w:b/>
          <w:szCs w:val="24"/>
        </w:rPr>
        <w:t xml:space="preserve"> (using price proposed in the submission)</w:t>
      </w:r>
    </w:p>
    <w:tbl>
      <w:tblPr>
        <w:tblStyle w:val="TableGrid"/>
        <w:tblW w:w="0" w:type="auto"/>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C334FA" w:rsidRPr="00C334FA" w14:paraId="29CFB599" w14:textId="77777777">
        <w:tc>
          <w:tcPr>
            <w:tcW w:w="2405" w:type="dxa"/>
          </w:tcPr>
          <w:p w14:paraId="4927A28A" w14:textId="77777777" w:rsidR="00C334FA" w:rsidRPr="00C334FA" w:rsidRDefault="00C334FA" w:rsidP="00B84C33">
            <w:pPr>
              <w:keepNext/>
              <w:jc w:val="left"/>
              <w:rPr>
                <w:rFonts w:ascii="Arial Narrow" w:hAnsi="Arial Narrow"/>
                <w:sz w:val="20"/>
                <w:szCs w:val="20"/>
              </w:rPr>
            </w:pPr>
          </w:p>
        </w:tc>
        <w:tc>
          <w:tcPr>
            <w:tcW w:w="1102" w:type="dxa"/>
          </w:tcPr>
          <w:p w14:paraId="1093698B" w14:textId="6345E971" w:rsidR="00C334FA" w:rsidRPr="00C334FA" w:rsidRDefault="00C334FA" w:rsidP="00B84C33">
            <w:pPr>
              <w:keepNext/>
              <w:jc w:val="center"/>
              <w:rPr>
                <w:rFonts w:ascii="Arial Narrow" w:hAnsi="Arial Narrow"/>
                <w:b/>
                <w:bCs/>
                <w:sz w:val="20"/>
                <w:szCs w:val="20"/>
              </w:rPr>
            </w:pPr>
            <w:r w:rsidRPr="00C334FA">
              <w:rPr>
                <w:rFonts w:ascii="Arial Narrow" w:hAnsi="Arial Narrow"/>
                <w:b/>
                <w:bCs/>
                <w:sz w:val="20"/>
                <w:szCs w:val="20"/>
              </w:rPr>
              <w:t>Year 1</w:t>
            </w:r>
          </w:p>
        </w:tc>
        <w:tc>
          <w:tcPr>
            <w:tcW w:w="1102" w:type="dxa"/>
          </w:tcPr>
          <w:p w14:paraId="0244B212" w14:textId="0C19869F" w:rsidR="00C334FA" w:rsidRPr="00C334FA" w:rsidRDefault="00C334FA" w:rsidP="00B84C33">
            <w:pPr>
              <w:keepNext/>
              <w:jc w:val="center"/>
              <w:rPr>
                <w:rFonts w:ascii="Arial Narrow" w:hAnsi="Arial Narrow"/>
                <w:b/>
                <w:bCs/>
                <w:sz w:val="20"/>
                <w:szCs w:val="20"/>
              </w:rPr>
            </w:pPr>
            <w:r w:rsidRPr="00C334FA">
              <w:rPr>
                <w:rFonts w:ascii="Arial Narrow" w:hAnsi="Arial Narrow"/>
                <w:b/>
                <w:bCs/>
                <w:sz w:val="20"/>
                <w:szCs w:val="20"/>
              </w:rPr>
              <w:t>Year 2</w:t>
            </w:r>
          </w:p>
        </w:tc>
        <w:tc>
          <w:tcPr>
            <w:tcW w:w="1102" w:type="dxa"/>
          </w:tcPr>
          <w:p w14:paraId="20701556" w14:textId="4A4E2AD2" w:rsidR="00C334FA" w:rsidRPr="00C334FA" w:rsidRDefault="00C334FA" w:rsidP="00B84C33">
            <w:pPr>
              <w:keepNext/>
              <w:jc w:val="center"/>
              <w:rPr>
                <w:rFonts w:ascii="Arial Narrow" w:hAnsi="Arial Narrow"/>
                <w:b/>
                <w:bCs/>
                <w:sz w:val="20"/>
                <w:szCs w:val="20"/>
              </w:rPr>
            </w:pPr>
            <w:r w:rsidRPr="00C334FA">
              <w:rPr>
                <w:rFonts w:ascii="Arial Narrow" w:hAnsi="Arial Narrow"/>
                <w:b/>
                <w:bCs/>
                <w:sz w:val="20"/>
                <w:szCs w:val="20"/>
              </w:rPr>
              <w:t>Year 3</w:t>
            </w:r>
          </w:p>
        </w:tc>
        <w:tc>
          <w:tcPr>
            <w:tcW w:w="1102" w:type="dxa"/>
          </w:tcPr>
          <w:p w14:paraId="06EF51F3" w14:textId="33CDA8CF" w:rsidR="00C334FA" w:rsidRPr="00C334FA" w:rsidRDefault="00C334FA" w:rsidP="00B84C33">
            <w:pPr>
              <w:keepNext/>
              <w:jc w:val="center"/>
              <w:rPr>
                <w:rFonts w:ascii="Arial Narrow" w:hAnsi="Arial Narrow"/>
                <w:b/>
                <w:bCs/>
                <w:sz w:val="20"/>
                <w:szCs w:val="20"/>
              </w:rPr>
            </w:pPr>
            <w:r w:rsidRPr="00C334FA">
              <w:rPr>
                <w:rFonts w:ascii="Arial Narrow" w:hAnsi="Arial Narrow"/>
                <w:b/>
                <w:bCs/>
                <w:sz w:val="20"/>
                <w:szCs w:val="20"/>
              </w:rPr>
              <w:t>Year 4</w:t>
            </w:r>
          </w:p>
        </w:tc>
        <w:tc>
          <w:tcPr>
            <w:tcW w:w="1102" w:type="dxa"/>
          </w:tcPr>
          <w:p w14:paraId="26278942" w14:textId="73D1E3F7" w:rsidR="00C334FA" w:rsidRPr="00C334FA" w:rsidRDefault="00C334FA" w:rsidP="00B84C33">
            <w:pPr>
              <w:keepNext/>
              <w:jc w:val="center"/>
              <w:rPr>
                <w:rFonts w:ascii="Arial Narrow" w:hAnsi="Arial Narrow"/>
                <w:b/>
                <w:bCs/>
                <w:sz w:val="20"/>
                <w:szCs w:val="20"/>
              </w:rPr>
            </w:pPr>
            <w:r w:rsidRPr="00C334FA">
              <w:rPr>
                <w:rFonts w:ascii="Arial Narrow" w:hAnsi="Arial Narrow"/>
                <w:b/>
                <w:bCs/>
                <w:sz w:val="20"/>
                <w:szCs w:val="20"/>
              </w:rPr>
              <w:t>Year 5</w:t>
            </w:r>
          </w:p>
        </w:tc>
        <w:tc>
          <w:tcPr>
            <w:tcW w:w="1102" w:type="dxa"/>
          </w:tcPr>
          <w:p w14:paraId="55C9625F" w14:textId="5623619B" w:rsidR="00C334FA" w:rsidRPr="00C334FA" w:rsidRDefault="00C334FA" w:rsidP="00B84C33">
            <w:pPr>
              <w:keepNext/>
              <w:jc w:val="center"/>
              <w:rPr>
                <w:rFonts w:ascii="Arial Narrow" w:hAnsi="Arial Narrow"/>
                <w:b/>
                <w:bCs/>
                <w:sz w:val="20"/>
                <w:szCs w:val="20"/>
              </w:rPr>
            </w:pPr>
            <w:r w:rsidRPr="00C334FA">
              <w:rPr>
                <w:rFonts w:ascii="Arial Narrow" w:hAnsi="Arial Narrow"/>
                <w:b/>
                <w:bCs/>
                <w:sz w:val="20"/>
                <w:szCs w:val="20"/>
              </w:rPr>
              <w:t>Year 6</w:t>
            </w:r>
          </w:p>
        </w:tc>
      </w:tr>
      <w:tr w:rsidR="00C334FA" w:rsidRPr="00C334FA" w14:paraId="6267219C" w14:textId="77777777" w:rsidTr="00C334FA">
        <w:tc>
          <w:tcPr>
            <w:tcW w:w="9017" w:type="dxa"/>
            <w:gridSpan w:val="7"/>
            <w:vAlign w:val="center"/>
          </w:tcPr>
          <w:p w14:paraId="034753D1" w14:textId="7FF7C45B" w:rsidR="00C334FA" w:rsidRPr="00C334FA" w:rsidRDefault="00C334FA" w:rsidP="00B84C33">
            <w:pPr>
              <w:keepNext/>
              <w:jc w:val="left"/>
              <w:rPr>
                <w:rFonts w:ascii="Arial Narrow" w:hAnsi="Arial Narrow"/>
                <w:b/>
                <w:bCs/>
                <w:sz w:val="20"/>
                <w:szCs w:val="20"/>
              </w:rPr>
            </w:pPr>
            <w:r w:rsidRPr="00C334FA">
              <w:rPr>
                <w:rFonts w:ascii="Arial Narrow" w:hAnsi="Arial Narrow"/>
                <w:b/>
                <w:bCs/>
                <w:sz w:val="20"/>
                <w:szCs w:val="20"/>
              </w:rPr>
              <w:t>Estimated extent of use</w:t>
            </w:r>
          </w:p>
        </w:tc>
      </w:tr>
      <w:tr w:rsidR="00C334FA" w:rsidRPr="00C334FA" w14:paraId="336D6637" w14:textId="77777777">
        <w:tc>
          <w:tcPr>
            <w:tcW w:w="2405" w:type="dxa"/>
            <w:vAlign w:val="center"/>
          </w:tcPr>
          <w:p w14:paraId="29814FB7" w14:textId="0692CA65"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Number of patients treated 1L</w:t>
            </w:r>
          </w:p>
        </w:tc>
        <w:tc>
          <w:tcPr>
            <w:tcW w:w="1102" w:type="dxa"/>
            <w:vAlign w:val="center"/>
          </w:tcPr>
          <w:p w14:paraId="60DBFB7E" w14:textId="48FFA690"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5"/>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5"/>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5"/>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724BECB5" w14:textId="4327B599"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4"/>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4"/>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4"/>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65C4D715" w14:textId="1BE0577B"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3"/>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3"/>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3"/>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4B7C403B" w14:textId="0ABF0C8D"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2"/>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2"/>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2"/>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78B8FE15" w14:textId="624C1CA3"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1"/>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1"/>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1"/>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6BF865FC" w14:textId="75DAAD24"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0"/>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0"/>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0"/>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r>
      <w:tr w:rsidR="00C334FA" w:rsidRPr="00C334FA" w14:paraId="0A3DB5C1" w14:textId="77777777">
        <w:tc>
          <w:tcPr>
            <w:tcW w:w="2405" w:type="dxa"/>
            <w:vAlign w:val="center"/>
          </w:tcPr>
          <w:p w14:paraId="06F71497" w14:textId="2FE5D53F"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Number of patients treated 2L</w:t>
            </w:r>
          </w:p>
        </w:tc>
        <w:tc>
          <w:tcPr>
            <w:tcW w:w="1102" w:type="dxa"/>
            <w:vAlign w:val="center"/>
          </w:tcPr>
          <w:p w14:paraId="4FDD98B5" w14:textId="159075C5"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6"/>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6"/>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6"/>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033825E8" w14:textId="78092378"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5"/>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5"/>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5"/>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1C12FA11" w14:textId="18AEC6E9"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4"/>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4"/>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4"/>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1F102E47" w14:textId="14EFB458"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3"/>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3"/>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3"/>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4ACC2AF1" w14:textId="4E230196"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2"/>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2"/>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2"/>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c>
          <w:tcPr>
            <w:tcW w:w="1102" w:type="dxa"/>
            <w:vAlign w:val="center"/>
          </w:tcPr>
          <w:p w14:paraId="15982E87" w14:textId="5F26B534"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1"/>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1"/>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1"/>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1</w:t>
            </w:r>
          </w:p>
        </w:tc>
      </w:tr>
      <w:tr w:rsidR="00C334FA" w:rsidRPr="00C334FA" w14:paraId="6151CCE1" w14:textId="77777777">
        <w:tc>
          <w:tcPr>
            <w:tcW w:w="2405" w:type="dxa"/>
            <w:vAlign w:val="center"/>
          </w:tcPr>
          <w:p w14:paraId="7C72763D" w14:textId="4F2A3B9C"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Number of scripts dispensed</w:t>
            </w:r>
          </w:p>
        </w:tc>
        <w:tc>
          <w:tcPr>
            <w:tcW w:w="1102" w:type="dxa"/>
          </w:tcPr>
          <w:p w14:paraId="4E2F0D27" w14:textId="365B8A68"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70"/>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70"/>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70"/>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2</w:t>
            </w:r>
          </w:p>
        </w:tc>
        <w:tc>
          <w:tcPr>
            <w:tcW w:w="1102" w:type="dxa"/>
          </w:tcPr>
          <w:p w14:paraId="7E1868E8" w14:textId="583A8081"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9"/>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9"/>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9"/>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2</w:t>
            </w:r>
          </w:p>
        </w:tc>
        <w:tc>
          <w:tcPr>
            <w:tcW w:w="1102" w:type="dxa"/>
          </w:tcPr>
          <w:p w14:paraId="097D8106" w14:textId="1874FA7D"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8"/>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8"/>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8"/>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2</w:t>
            </w:r>
          </w:p>
        </w:tc>
        <w:tc>
          <w:tcPr>
            <w:tcW w:w="1102" w:type="dxa"/>
          </w:tcPr>
          <w:p w14:paraId="2ECB76A8" w14:textId="35FCA5B9"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7"/>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7"/>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7"/>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2</w:t>
            </w:r>
          </w:p>
        </w:tc>
        <w:tc>
          <w:tcPr>
            <w:tcW w:w="1102" w:type="dxa"/>
          </w:tcPr>
          <w:p w14:paraId="4E93DCB4" w14:textId="586178FD"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6"/>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6"/>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6"/>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2</w:t>
            </w:r>
          </w:p>
        </w:tc>
        <w:tc>
          <w:tcPr>
            <w:tcW w:w="1102" w:type="dxa"/>
          </w:tcPr>
          <w:p w14:paraId="1986BEC8" w14:textId="2DA7DE78"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765"/>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765"/>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765"/>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2</w:t>
            </w:r>
          </w:p>
        </w:tc>
      </w:tr>
      <w:tr w:rsidR="00C334FA" w:rsidRPr="00C334FA" w14:paraId="1616F1A3" w14:textId="77777777" w:rsidTr="00C334FA">
        <w:tc>
          <w:tcPr>
            <w:tcW w:w="9017" w:type="dxa"/>
            <w:gridSpan w:val="7"/>
            <w:vAlign w:val="center"/>
          </w:tcPr>
          <w:p w14:paraId="3B786DBE" w14:textId="43B40BC5" w:rsidR="00C334FA" w:rsidRPr="00C334FA" w:rsidRDefault="00C334FA" w:rsidP="00B84C33">
            <w:pPr>
              <w:keepNext/>
              <w:jc w:val="left"/>
              <w:rPr>
                <w:rFonts w:ascii="Arial Narrow" w:hAnsi="Arial Narrow"/>
                <w:b/>
                <w:bCs/>
                <w:sz w:val="20"/>
                <w:szCs w:val="20"/>
              </w:rPr>
            </w:pPr>
            <w:r w:rsidRPr="00C334FA">
              <w:rPr>
                <w:rFonts w:ascii="Arial Narrow" w:hAnsi="Arial Narrow"/>
                <w:b/>
                <w:bCs/>
                <w:sz w:val="20"/>
                <w:szCs w:val="20"/>
              </w:rPr>
              <w:t>Estimated financial implications of toripalimab</w:t>
            </w:r>
          </w:p>
        </w:tc>
      </w:tr>
      <w:tr w:rsidR="00C334FA" w:rsidRPr="00C334FA" w14:paraId="43B02924" w14:textId="77777777">
        <w:tc>
          <w:tcPr>
            <w:tcW w:w="2405" w:type="dxa"/>
            <w:vAlign w:val="center"/>
          </w:tcPr>
          <w:p w14:paraId="0940A501" w14:textId="3FBFCFFB"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Cost to PBS/RPBS less copayments</w:t>
            </w:r>
          </w:p>
        </w:tc>
        <w:tc>
          <w:tcPr>
            <w:tcW w:w="1102" w:type="dxa"/>
            <w:vAlign w:val="center"/>
          </w:tcPr>
          <w:p w14:paraId="1006BFFA" w14:textId="5EBE7AEA"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20"/>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20"/>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20"/>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vAlign w:val="center"/>
          </w:tcPr>
          <w:p w14:paraId="6DFF9E87" w14:textId="2A7AB106"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9"/>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9"/>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9"/>
                <w14:textFill>
                  <w14:solidFill>
                    <w14:srgbClr w14:val="000000">
                      <w14:alpha w14:val="100000"/>
                    </w14:srgbClr>
                  </w14:solidFill>
                </w14:textFill>
              </w:rPr>
              <w:t xml:space="preserve">　</w:t>
            </w:r>
            <w:r w:rsidR="00A30D21" w:rsidRPr="00A30D21">
              <w:rPr>
                <w:rFonts w:ascii="Arial Narrow" w:hAnsi="Arial Narrow"/>
                <w:sz w:val="20"/>
                <w:szCs w:val="20"/>
                <w:vertAlign w:val="superscript"/>
              </w:rPr>
              <w:t>4</w:t>
            </w:r>
          </w:p>
        </w:tc>
        <w:tc>
          <w:tcPr>
            <w:tcW w:w="1102" w:type="dxa"/>
            <w:vAlign w:val="center"/>
          </w:tcPr>
          <w:p w14:paraId="0271908A" w14:textId="34B089CD"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8"/>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8"/>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8"/>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59C2BC66" w14:textId="7E10D804"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7"/>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7"/>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7"/>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1EC26CBA" w14:textId="306F9ACE"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6"/>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6"/>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6"/>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23D1D39E" w14:textId="0639F7B6"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5"/>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5"/>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5"/>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r>
      <w:tr w:rsidR="00C334FA" w:rsidRPr="00C334FA" w14:paraId="48C54F0B" w14:textId="77777777" w:rsidTr="00C334FA">
        <w:tc>
          <w:tcPr>
            <w:tcW w:w="9017" w:type="dxa"/>
            <w:gridSpan w:val="7"/>
            <w:vAlign w:val="center"/>
          </w:tcPr>
          <w:p w14:paraId="0743A2B3" w14:textId="531E4C4C" w:rsidR="00C334FA" w:rsidRPr="00C334FA" w:rsidRDefault="00C334FA" w:rsidP="00B84C33">
            <w:pPr>
              <w:keepNext/>
              <w:jc w:val="left"/>
              <w:rPr>
                <w:rFonts w:ascii="Arial Narrow" w:hAnsi="Arial Narrow"/>
                <w:b/>
                <w:bCs/>
                <w:sz w:val="20"/>
                <w:szCs w:val="20"/>
              </w:rPr>
            </w:pPr>
            <w:r w:rsidRPr="00C334FA">
              <w:rPr>
                <w:rFonts w:ascii="Arial Narrow" w:hAnsi="Arial Narrow"/>
                <w:b/>
                <w:bCs/>
                <w:sz w:val="20"/>
                <w:szCs w:val="20"/>
              </w:rPr>
              <w:t>Net financial implications</w:t>
            </w:r>
          </w:p>
        </w:tc>
      </w:tr>
      <w:tr w:rsidR="00C334FA" w:rsidRPr="00C334FA" w14:paraId="3AE526A9" w14:textId="77777777">
        <w:tc>
          <w:tcPr>
            <w:tcW w:w="2405" w:type="dxa"/>
            <w:vAlign w:val="center"/>
          </w:tcPr>
          <w:p w14:paraId="547644AB" w14:textId="16AD1BDD"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Net cost to PBS/RPBS</w:t>
            </w:r>
          </w:p>
        </w:tc>
        <w:tc>
          <w:tcPr>
            <w:tcW w:w="1102" w:type="dxa"/>
            <w:vAlign w:val="center"/>
          </w:tcPr>
          <w:p w14:paraId="58352EA2" w14:textId="3AB27F62"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4"/>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4"/>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4"/>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vAlign w:val="center"/>
          </w:tcPr>
          <w:p w14:paraId="0B4AE6E1" w14:textId="5EE0177E"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3"/>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3"/>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3"/>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5387FA0A" w14:textId="777E61E3"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2"/>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2"/>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2"/>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2290233B" w14:textId="09DDB38E"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1"/>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1"/>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1"/>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0EA460DC" w14:textId="3417032E"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10"/>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10"/>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10"/>
                <w14:textFill>
                  <w14:solidFill>
                    <w14:srgbClr w14:val="000000">
                      <w14:alpha w14:val="100000"/>
                    </w14:srgbClr>
                  </w14:solidFill>
                </w14:textFill>
              </w:rPr>
              <w:t xml:space="preserve">　</w:t>
            </w:r>
            <w:r w:rsidR="004C52D6" w:rsidRPr="00A30D21">
              <w:rPr>
                <w:rFonts w:ascii="Arial Narrow" w:hAnsi="Arial Narrow"/>
                <w:sz w:val="20"/>
                <w:szCs w:val="20"/>
                <w:vertAlign w:val="superscript"/>
              </w:rPr>
              <w:t>4</w:t>
            </w:r>
          </w:p>
        </w:tc>
        <w:tc>
          <w:tcPr>
            <w:tcW w:w="1102" w:type="dxa"/>
            <w:vAlign w:val="center"/>
          </w:tcPr>
          <w:p w14:paraId="532483E7" w14:textId="47605E32"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09"/>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09"/>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09"/>
                <w14:textFill>
                  <w14:solidFill>
                    <w14:srgbClr w14:val="000000">
                      <w14:alpha w14:val="100000"/>
                    </w14:srgbClr>
                  </w14:solidFill>
                </w14:textFill>
              </w:rPr>
              <w:t xml:space="preserve">　</w:t>
            </w:r>
            <w:r w:rsidR="009B0D31" w:rsidRPr="00A30D21">
              <w:rPr>
                <w:rFonts w:ascii="Arial Narrow" w:hAnsi="Arial Narrow"/>
                <w:sz w:val="20"/>
                <w:szCs w:val="20"/>
                <w:vertAlign w:val="superscript"/>
              </w:rPr>
              <w:t>4</w:t>
            </w:r>
          </w:p>
        </w:tc>
      </w:tr>
      <w:tr w:rsidR="00C334FA" w:rsidRPr="00C334FA" w14:paraId="37C115F1" w14:textId="77777777">
        <w:tc>
          <w:tcPr>
            <w:tcW w:w="2405" w:type="dxa"/>
            <w:vAlign w:val="center"/>
          </w:tcPr>
          <w:p w14:paraId="0408F0E6" w14:textId="662B3DD2"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Net cost to MBS</w:t>
            </w:r>
          </w:p>
        </w:tc>
        <w:tc>
          <w:tcPr>
            <w:tcW w:w="1102" w:type="dxa"/>
          </w:tcPr>
          <w:p w14:paraId="660E5050" w14:textId="7724FE89"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08"/>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08"/>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08"/>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tcPr>
          <w:p w14:paraId="4E2C0612" w14:textId="21E14544"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07"/>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07"/>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07"/>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tcPr>
          <w:p w14:paraId="09F1C7CB" w14:textId="13BEF4D8"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06"/>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06"/>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06"/>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tcPr>
          <w:p w14:paraId="1B8A75C3" w14:textId="600A5044"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05"/>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05"/>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05"/>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tcPr>
          <w:p w14:paraId="29D48A77" w14:textId="569EF58D"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04"/>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04"/>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04"/>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tcPr>
          <w:p w14:paraId="59D0BBCA" w14:textId="54E4DB1F"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color w:val="000000"/>
                <w:w w:val="15"/>
                <w:sz w:val="20"/>
                <w:szCs w:val="20"/>
                <w:shd w:val="solid" w:color="000000" w:fill="000000"/>
                <w:fitText w:val="60" w:id="-694443520"/>
                <w14:textFill>
                  <w14:solidFill>
                    <w14:srgbClr w14:val="000000">
                      <w14:alpha w14:val="100000"/>
                    </w14:srgbClr>
                  </w14:solidFill>
                </w14:textFill>
              </w:rPr>
              <w:t xml:space="preserve">　</w:t>
            </w:r>
            <w:r w:rsidRPr="0016738C">
              <w:rPr>
                <w:rFonts w:ascii="Arial Narrow" w:hAnsi="Arial Narrow"/>
                <w:color w:val="000000"/>
                <w:w w:val="15"/>
                <w:sz w:val="20"/>
                <w:szCs w:val="20"/>
                <w:shd w:val="solid" w:color="000000" w:fill="000000"/>
                <w:fitText w:val="60" w:id="-694443520"/>
                <w14:textFill>
                  <w14:solidFill>
                    <w14:srgbClr w14:val="000000">
                      <w14:alpha w14:val="100000"/>
                    </w14:srgbClr>
                  </w14:solidFill>
                </w14:textFill>
              </w:rPr>
              <w:t>|</w:t>
            </w:r>
            <w:r w:rsidRPr="0016738C">
              <w:rPr>
                <w:rFonts w:ascii="Arial Narrow" w:hAnsi="Arial Narrow" w:hint="eastAsia"/>
                <w:color w:val="000000"/>
                <w:spacing w:val="-5"/>
                <w:w w:val="15"/>
                <w:sz w:val="20"/>
                <w:szCs w:val="20"/>
                <w:shd w:val="solid" w:color="000000" w:fill="000000"/>
                <w:fitText w:val="60" w:id="-694443520"/>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r>
      <w:tr w:rsidR="00C334FA" w:rsidRPr="00C334FA" w14:paraId="0F3EE3DB" w14:textId="77777777">
        <w:tc>
          <w:tcPr>
            <w:tcW w:w="2405" w:type="dxa"/>
            <w:vAlign w:val="center"/>
          </w:tcPr>
          <w:p w14:paraId="05738510" w14:textId="7CFD6ED6" w:rsidR="00C334FA" w:rsidRPr="00C334FA" w:rsidRDefault="00C334FA" w:rsidP="00B84C33">
            <w:pPr>
              <w:keepNext/>
              <w:jc w:val="left"/>
              <w:rPr>
                <w:rFonts w:ascii="Arial Narrow" w:hAnsi="Arial Narrow"/>
                <w:sz w:val="20"/>
                <w:szCs w:val="20"/>
              </w:rPr>
            </w:pPr>
            <w:r w:rsidRPr="00C334FA">
              <w:rPr>
                <w:rFonts w:ascii="Arial Narrow" w:hAnsi="Arial Narrow"/>
                <w:sz w:val="20"/>
                <w:szCs w:val="20"/>
              </w:rPr>
              <w:t>Net cost to PBS/RPBS/MBS</w:t>
            </w:r>
          </w:p>
        </w:tc>
        <w:tc>
          <w:tcPr>
            <w:tcW w:w="1102" w:type="dxa"/>
            <w:vAlign w:val="center"/>
          </w:tcPr>
          <w:p w14:paraId="3BC4675E" w14:textId="0FF616A0"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b/>
                <w:bCs/>
                <w:color w:val="000000"/>
                <w:w w:val="22"/>
                <w:sz w:val="20"/>
                <w:szCs w:val="20"/>
                <w:shd w:val="solid" w:color="000000" w:fill="000000"/>
                <w:fitText w:val="100" w:id="-694443519"/>
                <w14:textFill>
                  <w14:solidFill>
                    <w14:srgbClr w14:val="000000">
                      <w14:alpha w14:val="100000"/>
                    </w14:srgbClr>
                  </w14:solidFill>
                </w14:textFill>
              </w:rPr>
              <w:t xml:space="preserve">　</w:t>
            </w:r>
            <w:r w:rsidRPr="0016738C">
              <w:rPr>
                <w:rFonts w:ascii="Arial Narrow" w:hAnsi="Arial Narrow"/>
                <w:b/>
                <w:bCs/>
                <w:color w:val="000000"/>
                <w:w w:val="22"/>
                <w:sz w:val="20"/>
                <w:szCs w:val="20"/>
                <w:shd w:val="solid" w:color="000000" w:fill="000000"/>
                <w:fitText w:val="100" w:id="-694443519"/>
                <w14:textFill>
                  <w14:solidFill>
                    <w14:srgbClr w14:val="000000">
                      <w14:alpha w14:val="100000"/>
                    </w14:srgbClr>
                  </w14:solidFill>
                </w14:textFill>
              </w:rPr>
              <w:t>|</w:t>
            </w:r>
            <w:r w:rsidRPr="0016738C">
              <w:rPr>
                <w:rFonts w:ascii="Arial Narrow" w:hAnsi="Arial Narrow" w:hint="eastAsia"/>
                <w:b/>
                <w:bCs/>
                <w:color w:val="000000"/>
                <w:spacing w:val="2"/>
                <w:w w:val="22"/>
                <w:sz w:val="20"/>
                <w:szCs w:val="20"/>
                <w:shd w:val="solid" w:color="000000" w:fill="000000"/>
                <w:fitText w:val="100" w:id="-694443519"/>
                <w14:textFill>
                  <w14:solidFill>
                    <w14:srgbClr w14:val="000000">
                      <w14:alpha w14:val="100000"/>
                    </w14:srgbClr>
                  </w14:solidFill>
                </w14:textFill>
              </w:rPr>
              <w:t xml:space="preserve">　</w:t>
            </w:r>
            <w:r w:rsidR="009B2AC5" w:rsidRPr="009B2AC5">
              <w:rPr>
                <w:rFonts w:ascii="Arial Narrow" w:hAnsi="Arial Narrow"/>
                <w:sz w:val="20"/>
                <w:szCs w:val="20"/>
                <w:vertAlign w:val="superscript"/>
              </w:rPr>
              <w:t>3</w:t>
            </w:r>
          </w:p>
        </w:tc>
        <w:tc>
          <w:tcPr>
            <w:tcW w:w="1102" w:type="dxa"/>
            <w:vAlign w:val="center"/>
          </w:tcPr>
          <w:p w14:paraId="78BE4F98" w14:textId="7AEE7C57"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b/>
                <w:bCs/>
                <w:color w:val="000000"/>
                <w:w w:val="22"/>
                <w:sz w:val="20"/>
                <w:szCs w:val="20"/>
                <w:shd w:val="solid" w:color="000000" w:fill="000000"/>
                <w:fitText w:val="100" w:id="-694443518"/>
                <w14:textFill>
                  <w14:solidFill>
                    <w14:srgbClr w14:val="000000">
                      <w14:alpha w14:val="100000"/>
                    </w14:srgbClr>
                  </w14:solidFill>
                </w14:textFill>
              </w:rPr>
              <w:t xml:space="preserve">　</w:t>
            </w:r>
            <w:r w:rsidRPr="0016738C">
              <w:rPr>
                <w:rFonts w:ascii="Arial Narrow" w:hAnsi="Arial Narrow"/>
                <w:b/>
                <w:bCs/>
                <w:color w:val="000000"/>
                <w:w w:val="22"/>
                <w:sz w:val="20"/>
                <w:szCs w:val="20"/>
                <w:shd w:val="solid" w:color="000000" w:fill="000000"/>
                <w:fitText w:val="100" w:id="-694443518"/>
                <w14:textFill>
                  <w14:solidFill>
                    <w14:srgbClr w14:val="000000">
                      <w14:alpha w14:val="100000"/>
                    </w14:srgbClr>
                  </w14:solidFill>
                </w14:textFill>
              </w:rPr>
              <w:t>|</w:t>
            </w:r>
            <w:r w:rsidRPr="0016738C">
              <w:rPr>
                <w:rFonts w:ascii="Arial Narrow" w:hAnsi="Arial Narrow" w:hint="eastAsia"/>
                <w:b/>
                <w:bCs/>
                <w:color w:val="000000"/>
                <w:spacing w:val="2"/>
                <w:w w:val="22"/>
                <w:sz w:val="20"/>
                <w:szCs w:val="20"/>
                <w:shd w:val="solid" w:color="000000" w:fill="000000"/>
                <w:fitText w:val="100" w:id="-694443518"/>
                <w14:textFill>
                  <w14:solidFill>
                    <w14:srgbClr w14:val="000000">
                      <w14:alpha w14:val="100000"/>
                    </w14:srgbClr>
                  </w14:solidFill>
                </w14:textFill>
              </w:rPr>
              <w:t xml:space="preserve">　</w:t>
            </w:r>
            <w:r w:rsidR="009B0D31" w:rsidRPr="00A30D21">
              <w:rPr>
                <w:rFonts w:ascii="Arial Narrow" w:hAnsi="Arial Narrow"/>
                <w:sz w:val="20"/>
                <w:szCs w:val="20"/>
                <w:vertAlign w:val="superscript"/>
              </w:rPr>
              <w:t>4</w:t>
            </w:r>
          </w:p>
        </w:tc>
        <w:tc>
          <w:tcPr>
            <w:tcW w:w="1102" w:type="dxa"/>
            <w:vAlign w:val="center"/>
          </w:tcPr>
          <w:p w14:paraId="3800813E" w14:textId="607E84D8"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b/>
                <w:bCs/>
                <w:color w:val="000000"/>
                <w:w w:val="22"/>
                <w:sz w:val="20"/>
                <w:szCs w:val="20"/>
                <w:shd w:val="solid" w:color="000000" w:fill="000000"/>
                <w:fitText w:val="100" w:id="-694443517"/>
                <w14:textFill>
                  <w14:solidFill>
                    <w14:srgbClr w14:val="000000">
                      <w14:alpha w14:val="100000"/>
                    </w14:srgbClr>
                  </w14:solidFill>
                </w14:textFill>
              </w:rPr>
              <w:t xml:space="preserve">　</w:t>
            </w:r>
            <w:r w:rsidRPr="0016738C">
              <w:rPr>
                <w:rFonts w:ascii="Arial Narrow" w:hAnsi="Arial Narrow"/>
                <w:b/>
                <w:bCs/>
                <w:color w:val="000000"/>
                <w:w w:val="22"/>
                <w:sz w:val="20"/>
                <w:szCs w:val="20"/>
                <w:shd w:val="solid" w:color="000000" w:fill="000000"/>
                <w:fitText w:val="100" w:id="-694443517"/>
                <w14:textFill>
                  <w14:solidFill>
                    <w14:srgbClr w14:val="000000">
                      <w14:alpha w14:val="100000"/>
                    </w14:srgbClr>
                  </w14:solidFill>
                </w14:textFill>
              </w:rPr>
              <w:t>|</w:t>
            </w:r>
            <w:r w:rsidRPr="0016738C">
              <w:rPr>
                <w:rFonts w:ascii="Arial Narrow" w:hAnsi="Arial Narrow" w:hint="eastAsia"/>
                <w:b/>
                <w:bCs/>
                <w:color w:val="000000"/>
                <w:spacing w:val="2"/>
                <w:w w:val="22"/>
                <w:sz w:val="20"/>
                <w:szCs w:val="20"/>
                <w:shd w:val="solid" w:color="000000" w:fill="000000"/>
                <w:fitText w:val="100" w:id="-694443517"/>
                <w14:textFill>
                  <w14:solidFill>
                    <w14:srgbClr w14:val="000000">
                      <w14:alpha w14:val="100000"/>
                    </w14:srgbClr>
                  </w14:solidFill>
                </w14:textFill>
              </w:rPr>
              <w:t xml:space="preserve">　</w:t>
            </w:r>
            <w:r w:rsidR="009B0D31" w:rsidRPr="00A30D21">
              <w:rPr>
                <w:rFonts w:ascii="Arial Narrow" w:hAnsi="Arial Narrow"/>
                <w:sz w:val="20"/>
                <w:szCs w:val="20"/>
                <w:vertAlign w:val="superscript"/>
              </w:rPr>
              <w:t>4</w:t>
            </w:r>
          </w:p>
        </w:tc>
        <w:tc>
          <w:tcPr>
            <w:tcW w:w="1102" w:type="dxa"/>
            <w:vAlign w:val="center"/>
          </w:tcPr>
          <w:p w14:paraId="066AE74B" w14:textId="5599A81A"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b/>
                <w:bCs/>
                <w:color w:val="000000"/>
                <w:w w:val="22"/>
                <w:sz w:val="20"/>
                <w:szCs w:val="20"/>
                <w:shd w:val="solid" w:color="000000" w:fill="000000"/>
                <w:fitText w:val="100" w:id="-694443516"/>
                <w14:textFill>
                  <w14:solidFill>
                    <w14:srgbClr w14:val="000000">
                      <w14:alpha w14:val="100000"/>
                    </w14:srgbClr>
                  </w14:solidFill>
                </w14:textFill>
              </w:rPr>
              <w:t xml:space="preserve">　</w:t>
            </w:r>
            <w:r w:rsidRPr="0016738C">
              <w:rPr>
                <w:rFonts w:ascii="Arial Narrow" w:hAnsi="Arial Narrow"/>
                <w:b/>
                <w:bCs/>
                <w:color w:val="000000"/>
                <w:w w:val="22"/>
                <w:sz w:val="20"/>
                <w:szCs w:val="20"/>
                <w:shd w:val="solid" w:color="000000" w:fill="000000"/>
                <w:fitText w:val="100" w:id="-694443516"/>
                <w14:textFill>
                  <w14:solidFill>
                    <w14:srgbClr w14:val="000000">
                      <w14:alpha w14:val="100000"/>
                    </w14:srgbClr>
                  </w14:solidFill>
                </w14:textFill>
              </w:rPr>
              <w:t>|</w:t>
            </w:r>
            <w:r w:rsidRPr="0016738C">
              <w:rPr>
                <w:rFonts w:ascii="Arial Narrow" w:hAnsi="Arial Narrow" w:hint="eastAsia"/>
                <w:b/>
                <w:bCs/>
                <w:color w:val="000000"/>
                <w:spacing w:val="2"/>
                <w:w w:val="22"/>
                <w:sz w:val="20"/>
                <w:szCs w:val="20"/>
                <w:shd w:val="solid" w:color="000000" w:fill="000000"/>
                <w:fitText w:val="100" w:id="-694443516"/>
                <w14:textFill>
                  <w14:solidFill>
                    <w14:srgbClr w14:val="000000">
                      <w14:alpha w14:val="100000"/>
                    </w14:srgbClr>
                  </w14:solidFill>
                </w14:textFill>
              </w:rPr>
              <w:t xml:space="preserve">　</w:t>
            </w:r>
            <w:r w:rsidR="009B0D31" w:rsidRPr="00A30D21">
              <w:rPr>
                <w:rFonts w:ascii="Arial Narrow" w:hAnsi="Arial Narrow"/>
                <w:sz w:val="20"/>
                <w:szCs w:val="20"/>
                <w:vertAlign w:val="superscript"/>
              </w:rPr>
              <w:t>4</w:t>
            </w:r>
          </w:p>
        </w:tc>
        <w:tc>
          <w:tcPr>
            <w:tcW w:w="1102" w:type="dxa"/>
            <w:vAlign w:val="center"/>
          </w:tcPr>
          <w:p w14:paraId="4E37CB76" w14:textId="1A34851D" w:rsidR="00C334FA" w:rsidRPr="00AF238E" w:rsidRDefault="0016738C" w:rsidP="00B84C33">
            <w:pPr>
              <w:keepNext/>
              <w:jc w:val="center"/>
              <w:rPr>
                <w:rFonts w:ascii="Arial Narrow" w:hAnsi="Arial Narrow"/>
                <w:sz w:val="20"/>
                <w:szCs w:val="20"/>
                <w:highlight w:val="darkGray"/>
              </w:rPr>
            </w:pPr>
            <w:r w:rsidRPr="0016738C">
              <w:rPr>
                <w:rFonts w:ascii="Arial Narrow" w:hAnsi="Arial Narrow" w:hint="eastAsia"/>
                <w:b/>
                <w:bCs/>
                <w:color w:val="000000"/>
                <w:w w:val="22"/>
                <w:sz w:val="20"/>
                <w:szCs w:val="20"/>
                <w:shd w:val="solid" w:color="000000" w:fill="000000"/>
                <w:fitText w:val="100" w:id="-694443515"/>
                <w14:textFill>
                  <w14:solidFill>
                    <w14:srgbClr w14:val="000000">
                      <w14:alpha w14:val="100000"/>
                    </w14:srgbClr>
                  </w14:solidFill>
                </w14:textFill>
              </w:rPr>
              <w:t xml:space="preserve">　</w:t>
            </w:r>
            <w:r w:rsidRPr="0016738C">
              <w:rPr>
                <w:rFonts w:ascii="Arial Narrow" w:hAnsi="Arial Narrow"/>
                <w:b/>
                <w:bCs/>
                <w:color w:val="000000"/>
                <w:w w:val="22"/>
                <w:sz w:val="20"/>
                <w:szCs w:val="20"/>
                <w:shd w:val="solid" w:color="000000" w:fill="000000"/>
                <w:fitText w:val="100" w:id="-694443515"/>
                <w14:textFill>
                  <w14:solidFill>
                    <w14:srgbClr w14:val="000000">
                      <w14:alpha w14:val="100000"/>
                    </w14:srgbClr>
                  </w14:solidFill>
                </w14:textFill>
              </w:rPr>
              <w:t>|</w:t>
            </w:r>
            <w:r w:rsidRPr="0016738C">
              <w:rPr>
                <w:rFonts w:ascii="Arial Narrow" w:hAnsi="Arial Narrow" w:hint="eastAsia"/>
                <w:b/>
                <w:bCs/>
                <w:color w:val="000000"/>
                <w:spacing w:val="2"/>
                <w:w w:val="22"/>
                <w:sz w:val="20"/>
                <w:szCs w:val="20"/>
                <w:shd w:val="solid" w:color="000000" w:fill="000000"/>
                <w:fitText w:val="100" w:id="-694443515"/>
                <w14:textFill>
                  <w14:solidFill>
                    <w14:srgbClr w14:val="000000">
                      <w14:alpha w14:val="100000"/>
                    </w14:srgbClr>
                  </w14:solidFill>
                </w14:textFill>
              </w:rPr>
              <w:t xml:space="preserve">　</w:t>
            </w:r>
            <w:r w:rsidR="009B0D31" w:rsidRPr="00A30D21">
              <w:rPr>
                <w:rFonts w:ascii="Arial Narrow" w:hAnsi="Arial Narrow"/>
                <w:sz w:val="20"/>
                <w:szCs w:val="20"/>
                <w:vertAlign w:val="superscript"/>
              </w:rPr>
              <w:t>4</w:t>
            </w:r>
          </w:p>
        </w:tc>
        <w:tc>
          <w:tcPr>
            <w:tcW w:w="1102" w:type="dxa"/>
            <w:vAlign w:val="center"/>
          </w:tcPr>
          <w:p w14:paraId="4D8555F1" w14:textId="4067E1E3" w:rsidR="00C334FA" w:rsidRPr="00AF238E" w:rsidRDefault="0016738C" w:rsidP="00B84C33">
            <w:pPr>
              <w:keepNext/>
              <w:jc w:val="center"/>
              <w:rPr>
                <w:rFonts w:ascii="Arial Narrow" w:hAnsi="Arial Narrow"/>
                <w:sz w:val="20"/>
                <w:szCs w:val="20"/>
                <w:highlight w:val="darkGray"/>
              </w:rPr>
            </w:pPr>
            <w:r>
              <w:rPr>
                <w:rFonts w:ascii="Arial Narrow" w:hAnsi="Arial Narrow" w:hint="eastAsia"/>
                <w:b/>
                <w:bCs/>
                <w:color w:val="000000"/>
                <w:w w:val="22"/>
                <w:sz w:val="20"/>
                <w:szCs w:val="20"/>
                <w:shd w:val="solid" w:color="000000" w:fill="000000"/>
                <w:fitText w:val="100" w:id="-694443514"/>
                <w14:textFill>
                  <w14:solidFill>
                    <w14:srgbClr w14:val="000000">
                      <w14:alpha w14:val="100000"/>
                    </w14:srgbClr>
                  </w14:solidFill>
                </w14:textFill>
              </w:rPr>
              <w:t xml:space="preserve">　</w:t>
            </w:r>
            <w:r>
              <w:rPr>
                <w:rFonts w:ascii="Arial Narrow" w:hAnsi="Arial Narrow"/>
                <w:b/>
                <w:bCs/>
                <w:color w:val="000000"/>
                <w:w w:val="22"/>
                <w:sz w:val="20"/>
                <w:szCs w:val="20"/>
                <w:shd w:val="solid" w:color="000000" w:fill="000000"/>
                <w:fitText w:val="100" w:id="-694443514"/>
                <w14:textFill>
                  <w14:solidFill>
                    <w14:srgbClr w14:val="000000">
                      <w14:alpha w14:val="100000"/>
                    </w14:srgbClr>
                  </w14:solidFill>
                </w14:textFill>
              </w:rPr>
              <w:t>|</w:t>
            </w:r>
            <w:r>
              <w:rPr>
                <w:rFonts w:ascii="Arial Narrow" w:hAnsi="Arial Narrow" w:hint="eastAsia"/>
                <w:b/>
                <w:bCs/>
                <w:color w:val="000000"/>
                <w:spacing w:val="2"/>
                <w:w w:val="22"/>
                <w:sz w:val="20"/>
                <w:szCs w:val="20"/>
                <w:shd w:val="solid" w:color="000000" w:fill="000000"/>
                <w:fitText w:val="100" w:id="-694443514"/>
                <w14:textFill>
                  <w14:solidFill>
                    <w14:srgbClr w14:val="000000">
                      <w14:alpha w14:val="100000"/>
                    </w14:srgbClr>
                  </w14:solidFill>
                </w14:textFill>
              </w:rPr>
              <w:t xml:space="preserve">　</w:t>
            </w:r>
            <w:r w:rsidR="009B0D31" w:rsidRPr="00A30D21">
              <w:rPr>
                <w:rFonts w:ascii="Arial Narrow" w:hAnsi="Arial Narrow"/>
                <w:sz w:val="20"/>
                <w:szCs w:val="20"/>
                <w:vertAlign w:val="superscript"/>
              </w:rPr>
              <w:t>4</w:t>
            </w:r>
          </w:p>
        </w:tc>
      </w:tr>
    </w:tbl>
    <w:p w14:paraId="7BCE0C92" w14:textId="374AFBA1" w:rsidR="007D4798" w:rsidRDefault="007D4798" w:rsidP="007D4798">
      <w:pPr>
        <w:pStyle w:val="TableFigNotes18"/>
        <w:spacing w:before="0" w:after="0" w:line="240" w:lineRule="auto"/>
        <w:rPr>
          <w:rFonts w:ascii="Arial Narrow" w:hAnsi="Arial Narrow"/>
          <w:sz w:val="18"/>
          <w:szCs w:val="18"/>
        </w:rPr>
      </w:pPr>
      <w:r w:rsidRPr="00A82354">
        <w:rPr>
          <w:rFonts w:ascii="Arial Narrow" w:hAnsi="Arial Narrow"/>
          <w:sz w:val="18"/>
          <w:szCs w:val="18"/>
        </w:rPr>
        <w:t xml:space="preserve">Source: </w:t>
      </w:r>
      <w:r w:rsidR="001E14EE">
        <w:rPr>
          <w:rFonts w:ascii="Arial Narrow" w:hAnsi="Arial Narrow"/>
          <w:sz w:val="18"/>
          <w:szCs w:val="18"/>
        </w:rPr>
        <w:t>c</w:t>
      </w:r>
      <w:r w:rsidR="00D77F20">
        <w:rPr>
          <w:rFonts w:ascii="Arial Narrow" w:hAnsi="Arial Narrow"/>
          <w:sz w:val="18"/>
          <w:szCs w:val="18"/>
        </w:rPr>
        <w:t>ompiled during the evaluation</w:t>
      </w:r>
      <w:r>
        <w:rPr>
          <w:rFonts w:ascii="Arial Narrow" w:hAnsi="Arial Narrow"/>
          <w:sz w:val="18"/>
          <w:szCs w:val="18"/>
        </w:rPr>
        <w:t xml:space="preserve">. </w:t>
      </w:r>
    </w:p>
    <w:p w14:paraId="2FBAF65F" w14:textId="77777777" w:rsidR="009B2AC5" w:rsidRDefault="007D4798" w:rsidP="009B2AC5">
      <w:pPr>
        <w:pStyle w:val="TableFigNotes18"/>
      </w:pPr>
      <w:r w:rsidRPr="00A82354">
        <w:rPr>
          <w:rFonts w:ascii="Arial Narrow" w:hAnsi="Arial Narrow"/>
          <w:sz w:val="18"/>
          <w:szCs w:val="18"/>
        </w:rPr>
        <w:t>PBS, Pharmaceutical Benefits Scheme; RPBS, Repatriation Schedule of Pharmaceutical Benefits</w:t>
      </w:r>
      <w:r w:rsidR="00D77F20">
        <w:rPr>
          <w:rFonts w:ascii="Arial Narrow" w:hAnsi="Arial Narrow"/>
          <w:sz w:val="18"/>
          <w:szCs w:val="18"/>
        </w:rPr>
        <w:t>, MBS, Medicare Benefits Schedule</w:t>
      </w:r>
      <w:r w:rsidR="009B2AC5" w:rsidRPr="009B2AC5">
        <w:t xml:space="preserve"> </w:t>
      </w:r>
    </w:p>
    <w:p w14:paraId="2FF8D72B" w14:textId="43410072" w:rsidR="009B2AC5" w:rsidRPr="009B2AC5" w:rsidRDefault="009B2AC5" w:rsidP="009B2AC5">
      <w:pPr>
        <w:pStyle w:val="TableFigNotes18"/>
        <w:rPr>
          <w:rFonts w:ascii="Arial Narrow" w:hAnsi="Arial Narrow"/>
          <w:sz w:val="18"/>
          <w:szCs w:val="18"/>
        </w:rPr>
      </w:pPr>
      <w:r w:rsidRPr="009B2AC5">
        <w:rPr>
          <w:rFonts w:ascii="Arial Narrow" w:hAnsi="Arial Narrow"/>
          <w:sz w:val="18"/>
          <w:szCs w:val="18"/>
        </w:rPr>
        <w:t xml:space="preserve">The redacted values correspond to the following ranges </w:t>
      </w:r>
    </w:p>
    <w:p w14:paraId="78635E5D" w14:textId="77777777" w:rsidR="009B2AC5" w:rsidRPr="009B2AC5" w:rsidRDefault="009B2AC5" w:rsidP="009B2AC5">
      <w:pPr>
        <w:pStyle w:val="TableFigNotes18"/>
        <w:rPr>
          <w:rFonts w:ascii="Arial Narrow" w:hAnsi="Arial Narrow"/>
          <w:sz w:val="18"/>
          <w:szCs w:val="18"/>
        </w:rPr>
      </w:pPr>
      <w:r w:rsidRPr="00DD72B4">
        <w:rPr>
          <w:rFonts w:ascii="Arial Narrow" w:hAnsi="Arial Narrow"/>
          <w:sz w:val="18"/>
          <w:szCs w:val="18"/>
          <w:vertAlign w:val="superscript"/>
        </w:rPr>
        <w:t xml:space="preserve">1 </w:t>
      </w:r>
      <w:r w:rsidRPr="009B2AC5">
        <w:rPr>
          <w:rFonts w:ascii="Arial Narrow" w:hAnsi="Arial Narrow"/>
          <w:sz w:val="18"/>
          <w:szCs w:val="18"/>
        </w:rPr>
        <w:t>&lt; 500</w:t>
      </w:r>
    </w:p>
    <w:p w14:paraId="4AA20CAF" w14:textId="77777777" w:rsidR="00DD72B4" w:rsidRDefault="009B2AC5" w:rsidP="00DD72B4">
      <w:pPr>
        <w:pStyle w:val="TableFigNotes18"/>
        <w:rPr>
          <w:rFonts w:ascii="Arial Narrow" w:hAnsi="Arial Narrow"/>
          <w:sz w:val="18"/>
          <w:szCs w:val="18"/>
        </w:rPr>
      </w:pPr>
      <w:r w:rsidRPr="00DD72B4">
        <w:rPr>
          <w:rFonts w:ascii="Arial Narrow" w:hAnsi="Arial Narrow"/>
          <w:sz w:val="18"/>
          <w:szCs w:val="18"/>
          <w:vertAlign w:val="superscript"/>
        </w:rPr>
        <w:t>2</w:t>
      </w:r>
      <w:r w:rsidRPr="009B2AC5">
        <w:rPr>
          <w:rFonts w:ascii="Arial Narrow" w:hAnsi="Arial Narrow"/>
          <w:sz w:val="18"/>
          <w:szCs w:val="18"/>
        </w:rPr>
        <w:t xml:space="preserve"> 500 to &lt; 5,000</w:t>
      </w:r>
      <w:r w:rsidR="00DD72B4">
        <w:rPr>
          <w:rFonts w:ascii="Arial Narrow" w:hAnsi="Arial Narrow"/>
          <w:sz w:val="18"/>
          <w:szCs w:val="18"/>
        </w:rPr>
        <w:t xml:space="preserve"> </w:t>
      </w:r>
    </w:p>
    <w:p w14:paraId="4C98F384" w14:textId="281500B3" w:rsidR="00DD72B4" w:rsidRPr="00DD72B4" w:rsidRDefault="00DD72B4" w:rsidP="00DD72B4">
      <w:pPr>
        <w:pStyle w:val="TableFigNotes18"/>
        <w:rPr>
          <w:rFonts w:ascii="Arial Narrow" w:hAnsi="Arial Narrow"/>
          <w:sz w:val="18"/>
          <w:szCs w:val="18"/>
        </w:rPr>
      </w:pPr>
      <w:r w:rsidRPr="00DD72B4">
        <w:rPr>
          <w:rFonts w:ascii="Arial Narrow" w:hAnsi="Arial Narrow"/>
          <w:sz w:val="18"/>
          <w:szCs w:val="18"/>
          <w:vertAlign w:val="superscript"/>
        </w:rPr>
        <w:t>3</w:t>
      </w:r>
      <w:r>
        <w:rPr>
          <w:rFonts w:ascii="Arial Narrow" w:hAnsi="Arial Narrow"/>
          <w:sz w:val="18"/>
          <w:szCs w:val="18"/>
        </w:rPr>
        <w:t xml:space="preserve"> </w:t>
      </w:r>
      <w:r w:rsidRPr="00DD72B4">
        <w:rPr>
          <w:rFonts w:ascii="Arial Narrow" w:hAnsi="Arial Narrow"/>
          <w:sz w:val="18"/>
          <w:szCs w:val="18"/>
        </w:rPr>
        <w:t>$0 to &lt; $10 million</w:t>
      </w:r>
    </w:p>
    <w:p w14:paraId="2AC53620" w14:textId="5DAE74E1" w:rsidR="007D4798" w:rsidRDefault="00DD72B4" w:rsidP="00DD72B4">
      <w:pPr>
        <w:pStyle w:val="TableFigNotes18"/>
        <w:spacing w:before="0" w:after="0" w:line="240" w:lineRule="auto"/>
        <w:rPr>
          <w:rFonts w:ascii="Arial Narrow" w:hAnsi="Arial Narrow"/>
          <w:sz w:val="18"/>
          <w:szCs w:val="18"/>
        </w:rPr>
      </w:pPr>
      <w:r w:rsidRPr="00DD72B4">
        <w:rPr>
          <w:rFonts w:ascii="Arial Narrow" w:hAnsi="Arial Narrow"/>
          <w:sz w:val="18"/>
          <w:szCs w:val="18"/>
          <w:vertAlign w:val="superscript"/>
        </w:rPr>
        <w:t xml:space="preserve">4 </w:t>
      </w:r>
      <w:r w:rsidRPr="00DD72B4">
        <w:rPr>
          <w:rFonts w:ascii="Arial Narrow" w:hAnsi="Arial Narrow"/>
          <w:sz w:val="18"/>
          <w:szCs w:val="18"/>
        </w:rPr>
        <w:t>$10 million to &lt; $20 million</w:t>
      </w:r>
    </w:p>
    <w:p w14:paraId="2E9AE35C" w14:textId="77777777" w:rsidR="00D803C9" w:rsidRPr="00D803C9" w:rsidRDefault="00D803C9" w:rsidP="00D803C9">
      <w:pPr>
        <w:pStyle w:val="BodyText"/>
        <w:rPr>
          <w:lang w:eastAsia="en-US"/>
        </w:rPr>
      </w:pPr>
    </w:p>
    <w:p w14:paraId="15400871" w14:textId="14C26188" w:rsidR="00C334FA" w:rsidRPr="00997737" w:rsidRDefault="00C334FA" w:rsidP="00C334FA">
      <w:pPr>
        <w:rPr>
          <w:rFonts w:ascii="Arial Narrow" w:hAnsi="Arial Narrow"/>
          <w:sz w:val="20"/>
          <w:szCs w:val="20"/>
        </w:rPr>
      </w:pPr>
    </w:p>
    <w:p w14:paraId="75586731" w14:textId="2CFCFFFE" w:rsidR="00CB1CD2" w:rsidRPr="0098262F" w:rsidRDefault="000902D9" w:rsidP="00CB1CD2">
      <w:pPr>
        <w:pStyle w:val="3-BodyText"/>
        <w:rPr>
          <w:color w:val="0066FF"/>
        </w:rPr>
      </w:pPr>
      <w:r w:rsidRPr="0098262F">
        <w:lastRenderedPageBreak/>
        <w:t xml:space="preserve">The total cost to the PBS/RPBS of listing </w:t>
      </w:r>
      <w:r w:rsidR="00CB1CD2">
        <w:t>toripalimab</w:t>
      </w:r>
      <w:r w:rsidRPr="0098262F">
        <w:t xml:space="preserve"> was estimated </w:t>
      </w:r>
      <w:r w:rsidR="00A05C32" w:rsidRPr="0098262F">
        <w:t>to be</w:t>
      </w:r>
      <w:r w:rsidRPr="0098262F">
        <w:t xml:space="preserve"> $</w:t>
      </w:r>
      <w:r w:rsidR="009B0D31" w:rsidRPr="009B0D31">
        <w:t>10 million to &lt; $20 million</w:t>
      </w:r>
      <w:r w:rsidR="009B0D31" w:rsidRPr="009B0D31" w:rsidDel="009B0D31">
        <w:t xml:space="preserve"> </w:t>
      </w:r>
      <w:r w:rsidRPr="0098262F">
        <w:t xml:space="preserve">in Year 6, and a total of </w:t>
      </w:r>
      <w:r w:rsidR="00CB1CD2">
        <w:t>$</w:t>
      </w:r>
      <w:r w:rsidR="00DC09C9" w:rsidRPr="00DC09C9">
        <w:t>70 million to &lt; $80 million</w:t>
      </w:r>
      <w:r w:rsidR="00DC09C9" w:rsidRPr="00DC09C9" w:rsidDel="00DC09C9">
        <w:t xml:space="preserve"> </w:t>
      </w:r>
      <w:r w:rsidR="00CB1CD2">
        <w:t xml:space="preserve">over the first six years of listing. </w:t>
      </w:r>
    </w:p>
    <w:p w14:paraId="3879DB32" w14:textId="6A34E230" w:rsidR="00CB1CD2" w:rsidRPr="00A83DE1" w:rsidRDefault="00CB1CD2" w:rsidP="00CB1CD2">
      <w:pPr>
        <w:pStyle w:val="3-BodyText"/>
        <w:rPr>
          <w:iCs/>
        </w:rPr>
      </w:pPr>
      <w:bookmarkStart w:id="58" w:name="_Ref193965370"/>
      <w:r w:rsidRPr="00A83DE1">
        <w:rPr>
          <w:iCs/>
        </w:rPr>
        <w:t>The financial estimates were overall uncertain, as:</w:t>
      </w:r>
      <w:bookmarkEnd w:id="58"/>
    </w:p>
    <w:p w14:paraId="4EC55EDC" w14:textId="5EBBD8DE" w:rsidR="00CB1CD2" w:rsidRPr="000D757C" w:rsidRDefault="00CB1CD2" w:rsidP="000D757C">
      <w:pPr>
        <w:pStyle w:val="ListParagraph"/>
        <w:numPr>
          <w:ilvl w:val="1"/>
          <w:numId w:val="8"/>
        </w:numPr>
        <w:ind w:left="1276" w:hanging="283"/>
        <w:jc w:val="both"/>
        <w:rPr>
          <w:iCs/>
        </w:rPr>
      </w:pPr>
      <w:r w:rsidRPr="000D757C">
        <w:rPr>
          <w:iCs/>
        </w:rPr>
        <w:t>The number of prevalent patients was likely underestimated as the prevalent population of patients are not included in the prevalent pool after one year</w:t>
      </w:r>
      <w:r w:rsidR="00B46270">
        <w:rPr>
          <w:iCs/>
        </w:rPr>
        <w:t xml:space="preserve"> which will underestimate the number of treated 2L patients</w:t>
      </w:r>
      <w:r w:rsidRPr="000D757C">
        <w:rPr>
          <w:iCs/>
        </w:rPr>
        <w:t>.</w:t>
      </w:r>
      <w:r w:rsidR="00433583">
        <w:rPr>
          <w:iCs/>
        </w:rPr>
        <w:t xml:space="preserve"> The PBAC </w:t>
      </w:r>
      <w:r w:rsidR="00152A35">
        <w:rPr>
          <w:iCs/>
        </w:rPr>
        <w:t xml:space="preserve">agreed with the evaluation that the number of prevalent patients was likely underestimated but </w:t>
      </w:r>
      <w:r w:rsidR="00AB65E5">
        <w:rPr>
          <w:iCs/>
        </w:rPr>
        <w:t xml:space="preserve">considered it was not likely to have a large impact on the utilisation as </w:t>
      </w:r>
      <w:r w:rsidR="003A2505">
        <w:rPr>
          <w:iCs/>
        </w:rPr>
        <w:t>the number of patients appropriate for second line treatment with toripalimab was likely to be small and reducing over time</w:t>
      </w:r>
      <w:r w:rsidR="002B4E33">
        <w:rPr>
          <w:iCs/>
        </w:rPr>
        <w:t xml:space="preserve">. </w:t>
      </w:r>
      <w:r w:rsidR="003A2505">
        <w:rPr>
          <w:iCs/>
        </w:rPr>
        <w:t xml:space="preserve"> </w:t>
      </w:r>
    </w:p>
    <w:p w14:paraId="4232C964" w14:textId="77777777" w:rsidR="00CB1CD2" w:rsidRPr="00A83DE1" w:rsidRDefault="00CB1CD2" w:rsidP="002F1F51">
      <w:pPr>
        <w:pStyle w:val="BodyText"/>
        <w:numPr>
          <w:ilvl w:val="1"/>
          <w:numId w:val="8"/>
        </w:numPr>
        <w:spacing w:after="120"/>
        <w:ind w:left="1276" w:hanging="283"/>
        <w:jc w:val="both"/>
        <w:rPr>
          <w:iCs/>
        </w:rPr>
      </w:pPr>
      <w:r w:rsidRPr="00A83DE1">
        <w:rPr>
          <w:iCs/>
        </w:rPr>
        <w:t>The Surveillance, Epidemiology and End Results (SEER) data from Qu 2020 which was relied upon to inform the proportion diagnosed with metastatic disease was based on a US cohort and may not be directly applicable to Australia; and</w:t>
      </w:r>
    </w:p>
    <w:p w14:paraId="3164E535" w14:textId="7067C421" w:rsidR="00CB1CD2" w:rsidRPr="00A83DE1" w:rsidRDefault="00CB1CD2" w:rsidP="002F1F51">
      <w:pPr>
        <w:pStyle w:val="BodyText"/>
        <w:numPr>
          <w:ilvl w:val="1"/>
          <w:numId w:val="8"/>
        </w:numPr>
        <w:spacing w:after="120"/>
        <w:ind w:left="1276" w:hanging="283"/>
        <w:jc w:val="both"/>
        <w:rPr>
          <w:iCs/>
        </w:rPr>
      </w:pPr>
      <w:r w:rsidRPr="00A83DE1">
        <w:rPr>
          <w:iCs/>
        </w:rPr>
        <w:t xml:space="preserve">The assumption </w:t>
      </w:r>
      <w:r w:rsidR="00142006">
        <w:rPr>
          <w:iCs/>
        </w:rPr>
        <w:t xml:space="preserve">that </w:t>
      </w:r>
      <w:r w:rsidRPr="00A83DE1">
        <w:rPr>
          <w:iCs/>
        </w:rPr>
        <w:t>15</w:t>
      </w:r>
      <w:r w:rsidR="00142006">
        <w:rPr>
          <w:iCs/>
        </w:rPr>
        <w:t xml:space="preserve">% of incident </w:t>
      </w:r>
      <w:r w:rsidR="00C564EF">
        <w:rPr>
          <w:iCs/>
        </w:rPr>
        <w:t xml:space="preserve">NPC patients have recurrent or metastatic disease </w:t>
      </w:r>
      <w:r w:rsidR="00C928EB">
        <w:rPr>
          <w:iCs/>
        </w:rPr>
        <w:t xml:space="preserve">within 12 months was </w:t>
      </w:r>
      <w:r w:rsidRPr="00A83DE1">
        <w:rPr>
          <w:iCs/>
        </w:rPr>
        <w:t xml:space="preserve">based on Lee 2015 </w:t>
      </w:r>
      <w:r w:rsidR="009D468D">
        <w:rPr>
          <w:iCs/>
        </w:rPr>
        <w:t xml:space="preserve">and </w:t>
      </w:r>
      <w:r w:rsidRPr="00A83DE1">
        <w:rPr>
          <w:iCs/>
        </w:rPr>
        <w:t xml:space="preserve">was uncertain as the source could not be verified. </w:t>
      </w:r>
    </w:p>
    <w:p w14:paraId="15AE9E1E" w14:textId="52DD3753" w:rsidR="00315C73" w:rsidRDefault="00315C73" w:rsidP="00CB1CD2">
      <w:pPr>
        <w:pStyle w:val="3-BodyText"/>
      </w:pPr>
      <w:r>
        <w:t>The evaluation also noted the financial estimates were uncertain due to the following factors, which were corrected in the PSCR</w:t>
      </w:r>
      <w:r w:rsidR="001D5CBD">
        <w:t>: duration of 1L therapy</w:t>
      </w:r>
      <w:r w:rsidR="00281CDF">
        <w:t xml:space="preserve"> lower than in the economic model</w:t>
      </w:r>
      <w:r w:rsidR="004D0DDA">
        <w:t xml:space="preserve">, </w:t>
      </w:r>
      <w:r w:rsidR="008274C5">
        <w:t xml:space="preserve">no </w:t>
      </w:r>
      <w:r w:rsidR="004D0DDA">
        <w:t>adjustment for WHO/ECOG performance status</w:t>
      </w:r>
      <w:r w:rsidR="00960590">
        <w:t xml:space="preserve">, </w:t>
      </w:r>
      <w:r w:rsidR="008274C5">
        <w:t xml:space="preserve">no cost </w:t>
      </w:r>
      <w:r w:rsidR="00961782">
        <w:t>offset</w:t>
      </w:r>
      <w:r w:rsidR="008274C5">
        <w:t xml:space="preserve"> included</w:t>
      </w:r>
      <w:r w:rsidR="00961782">
        <w:t xml:space="preserve"> for infusion costs for patients on 1L chemotherapy</w:t>
      </w:r>
      <w:r w:rsidR="00701C40">
        <w:t>.</w:t>
      </w:r>
    </w:p>
    <w:p w14:paraId="2DC66AE9" w14:textId="11C973C4" w:rsidR="000C04CB" w:rsidRPr="004927FF" w:rsidRDefault="000C04CB" w:rsidP="00CB1CD2">
      <w:pPr>
        <w:pStyle w:val="3-BodyText"/>
      </w:pPr>
      <w:r w:rsidRPr="004927FF">
        <w:t>Revised financial estimates</w:t>
      </w:r>
      <w:r w:rsidR="006B6BEC" w:rsidRPr="004927FF">
        <w:t xml:space="preserve"> </w:t>
      </w:r>
      <w:r w:rsidR="001445E7" w:rsidRPr="004927FF">
        <w:t>based on a 5% annual growth rate, a duration of treatment consistent with the economic model</w:t>
      </w:r>
      <w:r w:rsidR="009E4670" w:rsidRPr="004927FF">
        <w:t xml:space="preserve"> (15.53 months)</w:t>
      </w:r>
      <w:r w:rsidR="007D7759" w:rsidRPr="004927FF">
        <w:t xml:space="preserve">, </w:t>
      </w:r>
      <w:r w:rsidR="001F6F64" w:rsidRPr="004927FF">
        <w:t xml:space="preserve">removing the double counting of </w:t>
      </w:r>
      <w:r w:rsidR="00B46182" w:rsidRPr="004927FF">
        <w:t xml:space="preserve">administration costs for </w:t>
      </w:r>
      <w:r w:rsidR="007D7759" w:rsidRPr="004927FF">
        <w:t xml:space="preserve">6 cycles </w:t>
      </w:r>
      <w:r w:rsidR="001F6F64" w:rsidRPr="004927FF">
        <w:t xml:space="preserve">with toripalimab as discussed in </w:t>
      </w:r>
      <w:r w:rsidR="0095540C" w:rsidRPr="004927FF">
        <w:t xml:space="preserve">Table 13 and </w:t>
      </w:r>
      <w:r w:rsidR="001F6F64" w:rsidRPr="004927FF">
        <w:t>para 6.52</w:t>
      </w:r>
      <w:r w:rsidR="007D7759" w:rsidRPr="004927FF">
        <w:t>, and an ECOG status of 0-2 for 97.2% of patients</w:t>
      </w:r>
      <w:r w:rsidR="004F0CBF" w:rsidRPr="004927FF">
        <w:t xml:space="preserve"> were presented in the PSCR</w:t>
      </w:r>
      <w:r w:rsidR="002B4193" w:rsidRPr="004927FF">
        <w:t xml:space="preserve">, with the sponsor agreeing that </w:t>
      </w:r>
      <w:r w:rsidR="00994400" w:rsidRPr="004927FF">
        <w:t xml:space="preserve">changes proposed in the evaluation </w:t>
      </w:r>
      <w:r w:rsidR="00AE1F72" w:rsidRPr="004927FF">
        <w:t xml:space="preserve">to these parameters </w:t>
      </w:r>
      <w:r w:rsidR="00994400" w:rsidRPr="004927FF">
        <w:t>were</w:t>
      </w:r>
      <w:r w:rsidR="00FB4297" w:rsidRPr="004927FF">
        <w:t xml:space="preserve"> reasonable</w:t>
      </w:r>
      <w:r w:rsidR="007D7759" w:rsidRPr="004927FF">
        <w:t xml:space="preserve">. This increased </w:t>
      </w:r>
      <w:r w:rsidR="006B6BEC" w:rsidRPr="004927FF">
        <w:t xml:space="preserve">the net cost to the PBS/RPBS by </w:t>
      </w:r>
      <w:r w:rsidR="00EA540F" w:rsidRPr="004927FF">
        <w:t>a</w:t>
      </w:r>
      <w:r w:rsidR="00324572" w:rsidRPr="004927FF">
        <w:t>pproximately</w:t>
      </w:r>
      <w:r w:rsidR="00EA540F" w:rsidRPr="004927FF">
        <w:t xml:space="preserve"> 10%</w:t>
      </w:r>
      <w:r w:rsidR="00ED695F" w:rsidRPr="004927FF">
        <w:t xml:space="preserve"> to </w:t>
      </w:r>
      <w:r w:rsidR="00AF1D7F" w:rsidRPr="004927FF">
        <w:t>$</w:t>
      </w:r>
      <w:r w:rsidR="00752349" w:rsidRPr="00752349">
        <w:t>10 million to &lt; $20 million</w:t>
      </w:r>
      <w:r w:rsidR="00752349" w:rsidRPr="00752349" w:rsidDel="00752349">
        <w:t xml:space="preserve"> </w:t>
      </w:r>
      <w:r w:rsidR="00ED695F" w:rsidRPr="004927FF">
        <w:t>in Year 6</w:t>
      </w:r>
      <w:r w:rsidR="002A3585">
        <w:t xml:space="preserve"> and </w:t>
      </w:r>
      <w:r w:rsidR="002A3585" w:rsidRPr="0098262F">
        <w:t xml:space="preserve">a total of </w:t>
      </w:r>
      <w:r w:rsidR="002A3585">
        <w:t>$</w:t>
      </w:r>
      <w:r w:rsidR="009A5B5C" w:rsidRPr="009A5B5C">
        <w:t>70 million to &lt; $80 million</w:t>
      </w:r>
      <w:r w:rsidR="009A5B5C" w:rsidRPr="009A5B5C" w:rsidDel="009A5B5C">
        <w:t xml:space="preserve"> </w:t>
      </w:r>
      <w:r w:rsidR="002A3585">
        <w:t>over the first six years of listing</w:t>
      </w:r>
      <w:r w:rsidR="00EA540F" w:rsidRPr="004927FF">
        <w:t>.</w:t>
      </w:r>
      <w:r w:rsidR="00E34F96" w:rsidRPr="004927FF">
        <w:t xml:space="preserve"> </w:t>
      </w:r>
    </w:p>
    <w:p w14:paraId="2238DEE9" w14:textId="437E22F8" w:rsidR="00576972" w:rsidRPr="0098262F" w:rsidRDefault="00576972" w:rsidP="00606FBA">
      <w:pPr>
        <w:pStyle w:val="4-SubsectionHeading"/>
      </w:pPr>
      <w:bookmarkStart w:id="59" w:name="_Toc22897648"/>
      <w:bookmarkStart w:id="60" w:name="_Toc188361228"/>
      <w:r w:rsidRPr="0098262F">
        <w:t>Quality Use of Medicines</w:t>
      </w:r>
      <w:bookmarkEnd w:id="59"/>
      <w:bookmarkEnd w:id="60"/>
    </w:p>
    <w:p w14:paraId="38BD0AEF" w14:textId="3D6AEEE8" w:rsidR="00576972" w:rsidRPr="008B2CC1" w:rsidRDefault="0011373F" w:rsidP="00606FBA">
      <w:pPr>
        <w:pStyle w:val="3-BodyText"/>
        <w:rPr>
          <w:color w:val="0066FF"/>
        </w:rPr>
      </w:pPr>
      <w:r>
        <w:t>The sponsor stated that they were</w:t>
      </w:r>
      <w:r w:rsidRPr="00F62F9F">
        <w:t xml:space="preserve"> committed to achieving optimal outcomes for patients with RM-NPC treated with toripalimab</w:t>
      </w:r>
      <w:r>
        <w:t>, actively involved in educational activities and post-marketing surveillance</w:t>
      </w:r>
      <w:r w:rsidRPr="00F62F9F">
        <w:t>.</w:t>
      </w:r>
      <w:r>
        <w:t xml:space="preserve"> </w:t>
      </w:r>
    </w:p>
    <w:p w14:paraId="67DEF951" w14:textId="77777777" w:rsidR="00D62F93" w:rsidRPr="00C33D30" w:rsidRDefault="00D62F93" w:rsidP="00D62F93">
      <w:pPr>
        <w:ind w:firstLine="709"/>
        <w:rPr>
          <w:rFonts w:asciiTheme="minorHAnsi" w:hAnsiTheme="minorHAnsi"/>
          <w:i/>
        </w:rPr>
      </w:pPr>
      <w:bookmarkStart w:id="61" w:name="_Hlk76375324"/>
      <w:r w:rsidRPr="00C33D30">
        <w:rPr>
          <w:rFonts w:asciiTheme="minorHAnsi" w:hAnsiTheme="minorHAnsi"/>
          <w:i/>
        </w:rPr>
        <w:t>For more detail on PBAC’s view, see section 7 PBAC outcome.</w:t>
      </w:r>
    </w:p>
    <w:p w14:paraId="404816E9" w14:textId="77777777" w:rsidR="008F0B3C" w:rsidRPr="008F0B3C" w:rsidRDefault="008F0B3C" w:rsidP="008F0B3C">
      <w:pPr>
        <w:keepNext/>
        <w:numPr>
          <w:ilvl w:val="0"/>
          <w:numId w:val="1"/>
        </w:numPr>
        <w:spacing w:before="240" w:after="120"/>
        <w:jc w:val="left"/>
        <w:outlineLvl w:val="0"/>
        <w:rPr>
          <w:rFonts w:asciiTheme="minorHAnsi" w:hAnsiTheme="minorHAnsi"/>
          <w:b/>
          <w:snapToGrid w:val="0"/>
          <w:sz w:val="32"/>
          <w:szCs w:val="32"/>
        </w:rPr>
      </w:pPr>
      <w:bookmarkStart w:id="62" w:name="_Hlk76381249"/>
      <w:bookmarkStart w:id="63" w:name="_Hlk76377955"/>
      <w:bookmarkEnd w:id="61"/>
      <w:r w:rsidRPr="008F0B3C">
        <w:rPr>
          <w:rFonts w:asciiTheme="minorHAnsi" w:hAnsiTheme="minorHAnsi"/>
          <w:b/>
          <w:snapToGrid w:val="0"/>
          <w:sz w:val="32"/>
          <w:szCs w:val="32"/>
        </w:rPr>
        <w:t>PBAC Outcome</w:t>
      </w:r>
    </w:p>
    <w:p w14:paraId="57C4C2C0" w14:textId="36811622" w:rsidR="008F0B3C" w:rsidRPr="00C52754" w:rsidRDefault="008F0B3C">
      <w:pPr>
        <w:pStyle w:val="3-BodyText"/>
        <w:widowControl w:val="0"/>
        <w:spacing w:after="120"/>
        <w:rPr>
          <w:snapToGrid w:val="0"/>
          <w:lang w:val="en-GB" w:eastAsia="en-US"/>
        </w:rPr>
      </w:pPr>
      <w:r w:rsidRPr="00B61ACE">
        <w:rPr>
          <w:snapToGrid w:val="0"/>
          <w:lang w:val="en-GB" w:eastAsia="en-US"/>
        </w:rPr>
        <w:t xml:space="preserve">The PBAC recommended the </w:t>
      </w:r>
      <w:r w:rsidR="00326229">
        <w:rPr>
          <w:snapToGrid w:val="0"/>
          <w:lang w:val="en-GB" w:eastAsia="en-US"/>
        </w:rPr>
        <w:t>Authority Required</w:t>
      </w:r>
      <w:r w:rsidR="009C6E6D">
        <w:rPr>
          <w:snapToGrid w:val="0"/>
          <w:lang w:val="en-GB" w:eastAsia="en-US"/>
        </w:rPr>
        <w:t xml:space="preserve"> (STREAMLINED)</w:t>
      </w:r>
      <w:r w:rsidR="00326229">
        <w:rPr>
          <w:snapToGrid w:val="0"/>
          <w:lang w:val="en-GB" w:eastAsia="en-US"/>
        </w:rPr>
        <w:t xml:space="preserve"> </w:t>
      </w:r>
      <w:r w:rsidRPr="00B61ACE">
        <w:rPr>
          <w:snapToGrid w:val="0"/>
          <w:lang w:val="en-GB" w:eastAsia="en-US"/>
        </w:rPr>
        <w:t xml:space="preserve">listing of </w:t>
      </w:r>
      <w:r w:rsidR="00780BB3" w:rsidRPr="00B61ACE">
        <w:rPr>
          <w:snapToGrid w:val="0"/>
          <w:lang w:val="en-GB" w:eastAsia="en-US"/>
        </w:rPr>
        <w:t>toripalimab</w:t>
      </w:r>
      <w:r w:rsidR="00F6210C" w:rsidRPr="00F6210C">
        <w:t xml:space="preserve"> </w:t>
      </w:r>
      <w:r w:rsidR="00F6210C">
        <w:t>for the treatment of recurrent or metastatic nasopharyngeal carcinoma (RM-NPC)</w:t>
      </w:r>
      <w:r w:rsidR="00B61ACE">
        <w:t xml:space="preserve"> </w:t>
      </w:r>
      <w:r w:rsidRPr="00B61ACE">
        <w:rPr>
          <w:snapToGrid w:val="0"/>
          <w:lang w:val="en-GB" w:eastAsia="en-US"/>
        </w:rPr>
        <w:t>on the basis that it should be available only under special arrangements under Section 100</w:t>
      </w:r>
      <w:r w:rsidR="004A1C4E" w:rsidRPr="00B61ACE">
        <w:rPr>
          <w:snapToGrid w:val="0"/>
          <w:lang w:val="en-GB" w:eastAsia="en-US"/>
        </w:rPr>
        <w:t xml:space="preserve"> (Efficient Funding of Chemotherapy Program</w:t>
      </w:r>
      <w:r w:rsidR="0096111F">
        <w:rPr>
          <w:snapToGrid w:val="0"/>
          <w:lang w:val="en-GB" w:eastAsia="en-US"/>
        </w:rPr>
        <w:t xml:space="preserve"> (EFC)</w:t>
      </w:r>
      <w:r w:rsidR="004A1C4E" w:rsidRPr="00B61ACE">
        <w:rPr>
          <w:snapToGrid w:val="0"/>
          <w:lang w:val="en-GB" w:eastAsia="en-US"/>
        </w:rPr>
        <w:t>)</w:t>
      </w:r>
      <w:r w:rsidRPr="00B61ACE">
        <w:rPr>
          <w:snapToGrid w:val="0"/>
          <w:lang w:val="en-GB" w:eastAsia="en-US"/>
        </w:rPr>
        <w:t xml:space="preserve">.  </w:t>
      </w:r>
      <w:r w:rsidR="00FD5963">
        <w:t xml:space="preserve">The PBAC considered it </w:t>
      </w:r>
      <w:r w:rsidR="00FD5963">
        <w:lastRenderedPageBreak/>
        <w:t xml:space="preserve">reasonable for toripalimab to be available for patients in the first- and second-line setting. The PBAC recognised there was a high clinical need for additional treatment options for patients with this </w:t>
      </w:r>
      <w:r w:rsidR="00276810">
        <w:t xml:space="preserve">condition. The PBAC considered the evidence presented demonstrated a progression-free and overall survival (OS) benefit </w:t>
      </w:r>
      <w:r w:rsidR="0060449A">
        <w:t xml:space="preserve">for toripalimab given in combination with </w:t>
      </w:r>
      <w:r w:rsidR="00D8584A">
        <w:t>cisplatin and gemcitabine (Cis+Gem)</w:t>
      </w:r>
      <w:r w:rsidR="00C03A28">
        <w:t xml:space="preserve"> </w:t>
      </w:r>
      <w:r w:rsidR="00276810">
        <w:t>over the comparator (Cis+Gem</w:t>
      </w:r>
      <w:r w:rsidR="00C03A28">
        <w:t xml:space="preserve"> alone</w:t>
      </w:r>
      <w:r w:rsidR="000271EB">
        <w:t>)</w:t>
      </w:r>
      <w:r w:rsidR="000047D3">
        <w:t xml:space="preserve"> </w:t>
      </w:r>
      <w:r w:rsidR="000047D3" w:rsidRPr="00E61B05">
        <w:t xml:space="preserve">but </w:t>
      </w:r>
      <w:r w:rsidR="00C52754">
        <w:t xml:space="preserve">that </w:t>
      </w:r>
      <w:r w:rsidR="000047D3" w:rsidRPr="00E61B05">
        <w:t xml:space="preserve">the magnitude of benefit </w:t>
      </w:r>
      <w:r w:rsidR="0063074A">
        <w:t xml:space="preserve">in the Australian population likely to be treated </w:t>
      </w:r>
      <w:r w:rsidR="000047D3" w:rsidRPr="00E61B05">
        <w:t>was uncertain</w:t>
      </w:r>
      <w:r w:rsidR="00276810">
        <w:t>.</w:t>
      </w:r>
      <w:r w:rsidR="000047D3">
        <w:t xml:space="preserve"> The PBAC considered toripalimab would be cost-effective with an incremental cost-effectiveness ratio (ICER) </w:t>
      </w:r>
      <w:r w:rsidR="00E80F0E">
        <w:t>in the range of $</w:t>
      </w:r>
      <w:r w:rsidR="004C2BC6" w:rsidRPr="004C2BC6">
        <w:t xml:space="preserve">55,000 to &lt; $75,000 </w:t>
      </w:r>
      <w:r w:rsidR="00E80F0E">
        <w:t>to</w:t>
      </w:r>
      <w:r w:rsidR="00B268E1">
        <w:t xml:space="preserve"> </w:t>
      </w:r>
      <w:r w:rsidR="000047D3">
        <w:t>$</w:t>
      </w:r>
      <w:r w:rsidR="00167B4C" w:rsidRPr="00167B4C">
        <w:t xml:space="preserve">55,000 to &lt; $75,000 </w:t>
      </w:r>
      <w:r w:rsidR="000047D3">
        <w:t>per quality adjusted life year (QALY) gained.</w:t>
      </w:r>
    </w:p>
    <w:p w14:paraId="0B97B18E" w14:textId="637D5FD8" w:rsidR="00C52754" w:rsidRPr="00E03E07" w:rsidRDefault="00C52754">
      <w:pPr>
        <w:pStyle w:val="3-BodyText"/>
        <w:widowControl w:val="0"/>
        <w:spacing w:after="120"/>
        <w:rPr>
          <w:snapToGrid w:val="0"/>
          <w:lang w:val="en-GB" w:eastAsia="en-US"/>
        </w:rPr>
      </w:pPr>
      <w:r>
        <w:t xml:space="preserve">The PBAC considered there was a </w:t>
      </w:r>
      <w:r w:rsidR="007A112A">
        <w:t xml:space="preserve">high </w:t>
      </w:r>
      <w:r>
        <w:t>clinical need for a</w:t>
      </w:r>
      <w:r w:rsidR="00B22F2E">
        <w:t>n additional treatment for patients with RM-</w:t>
      </w:r>
      <w:r w:rsidR="006527EF">
        <w:t>NPC and</w:t>
      </w:r>
      <w:r w:rsidR="005319A5">
        <w:t xml:space="preserve"> noted the consumer comments </w:t>
      </w:r>
      <w:r w:rsidR="009B396E">
        <w:t xml:space="preserve">from </w:t>
      </w:r>
      <w:r w:rsidR="009A52A9">
        <w:t xml:space="preserve">two organisations, including the Medical Oncology Group of Australia who </w:t>
      </w:r>
      <w:r w:rsidR="005319A5">
        <w:t xml:space="preserve">were supportive of </w:t>
      </w:r>
      <w:r w:rsidR="004338B0">
        <w:t>the</w:t>
      </w:r>
      <w:r w:rsidR="005319A5">
        <w:t xml:space="preserve"> listing</w:t>
      </w:r>
      <w:r w:rsidR="007E6665">
        <w:t xml:space="preserve">, designating </w:t>
      </w:r>
      <w:r w:rsidR="009A52A9">
        <w:t xml:space="preserve">the listing of </w:t>
      </w:r>
      <w:r w:rsidR="007E6665">
        <w:t>toripalimab as high priority</w:t>
      </w:r>
      <w:r w:rsidR="005319A5">
        <w:t>.</w:t>
      </w:r>
    </w:p>
    <w:p w14:paraId="69BA77BF" w14:textId="3AF6C803" w:rsidR="00D434CC" w:rsidRPr="00D434CC" w:rsidRDefault="00D434CC">
      <w:pPr>
        <w:pStyle w:val="3-BodyText"/>
        <w:widowControl w:val="0"/>
        <w:spacing w:after="120"/>
        <w:rPr>
          <w:snapToGrid w:val="0"/>
          <w:lang w:val="en-GB" w:eastAsia="en-US"/>
        </w:rPr>
      </w:pPr>
      <w:r>
        <w:rPr>
          <w:snapToGrid w:val="0"/>
          <w:lang w:val="en-GB" w:eastAsia="en-US"/>
        </w:rPr>
        <w:t xml:space="preserve">The </w:t>
      </w:r>
      <w:r w:rsidRPr="00F01016">
        <w:rPr>
          <w:snapToGrid w:val="0"/>
          <w:lang w:val="en-GB" w:eastAsia="en-US"/>
        </w:rPr>
        <w:t xml:space="preserve">PBAC noted that toripalimab in combination with Cis+Gem was listed as a preferred first-line </w:t>
      </w:r>
      <w:r w:rsidR="005744F4">
        <w:rPr>
          <w:snapToGrid w:val="0"/>
          <w:lang w:val="en-GB" w:eastAsia="en-US"/>
        </w:rPr>
        <w:t xml:space="preserve">(1L) </w:t>
      </w:r>
      <w:r w:rsidRPr="00F01016">
        <w:rPr>
          <w:snapToGrid w:val="0"/>
          <w:lang w:val="en-GB" w:eastAsia="en-US"/>
        </w:rPr>
        <w:t xml:space="preserve">regimen </w:t>
      </w:r>
      <w:r>
        <w:rPr>
          <w:snapToGrid w:val="0"/>
          <w:lang w:val="en-GB" w:eastAsia="en-US"/>
        </w:rPr>
        <w:t xml:space="preserve">for patients with recurrent, unresectable, oligometastatic or metastatic cancer of the nasopharynx that was not amenable to surgery or radiotherapy, </w:t>
      </w:r>
      <w:r w:rsidRPr="00F01016">
        <w:rPr>
          <w:snapToGrid w:val="0"/>
          <w:lang w:val="en-GB" w:eastAsia="en-US"/>
        </w:rPr>
        <w:t>in the National Comprehensive Can</w:t>
      </w:r>
      <w:r w:rsidR="00C018DE">
        <w:rPr>
          <w:snapToGrid w:val="0"/>
          <w:lang w:val="en-GB" w:eastAsia="en-US"/>
        </w:rPr>
        <w:t>c</w:t>
      </w:r>
      <w:r w:rsidRPr="00F01016">
        <w:rPr>
          <w:snapToGrid w:val="0"/>
          <w:lang w:val="en-GB" w:eastAsia="en-US"/>
        </w:rPr>
        <w:t xml:space="preserve">er Network (NCCN) guidelines version 2.2025, and as a subsequent second-line </w:t>
      </w:r>
      <w:r w:rsidR="005744F4">
        <w:rPr>
          <w:snapToGrid w:val="0"/>
          <w:lang w:val="en-GB" w:eastAsia="en-US"/>
        </w:rPr>
        <w:t xml:space="preserve">(2L) </w:t>
      </w:r>
      <w:r w:rsidRPr="00F01016">
        <w:rPr>
          <w:snapToGrid w:val="0"/>
          <w:lang w:val="en-GB" w:eastAsia="en-US"/>
        </w:rPr>
        <w:t>therapy for patients who experienced disease progression on or after platinum-containing therapy.</w:t>
      </w:r>
    </w:p>
    <w:p w14:paraId="10533A8B" w14:textId="18CC4543" w:rsidR="00CE5163" w:rsidRPr="00CE5163" w:rsidRDefault="00D444EE">
      <w:pPr>
        <w:pStyle w:val="3-BodyText"/>
        <w:widowControl w:val="0"/>
        <w:spacing w:after="120"/>
        <w:rPr>
          <w:snapToGrid w:val="0"/>
          <w:lang w:val="en-GB" w:eastAsia="en-US"/>
        </w:rPr>
      </w:pPr>
      <w:bookmarkStart w:id="64" w:name="_Ref193887034"/>
      <w:r>
        <w:t xml:space="preserve">With regards to the requested </w:t>
      </w:r>
      <w:r w:rsidR="00CE5163">
        <w:t>restriction, the</w:t>
      </w:r>
      <w:r w:rsidR="00E03E07">
        <w:t xml:space="preserve"> PBAC considered that</w:t>
      </w:r>
      <w:r w:rsidR="00CE5163">
        <w:t>:</w:t>
      </w:r>
      <w:bookmarkEnd w:id="64"/>
    </w:p>
    <w:p w14:paraId="072DF0A2" w14:textId="328E867A" w:rsidR="000A12D3" w:rsidRPr="000A12D3" w:rsidRDefault="00A402B6" w:rsidP="000A12D3">
      <w:pPr>
        <w:pStyle w:val="3-BodyText"/>
        <w:widowControl w:val="0"/>
        <w:numPr>
          <w:ilvl w:val="0"/>
          <w:numId w:val="25"/>
        </w:numPr>
        <w:spacing w:after="120"/>
        <w:rPr>
          <w:snapToGrid w:val="0"/>
          <w:lang w:val="en-GB" w:eastAsia="en-US"/>
        </w:rPr>
      </w:pPr>
      <w:r>
        <w:t xml:space="preserve">a streamlined authority listing would be reasonable and consistent with the listing for other </w:t>
      </w:r>
      <w:r w:rsidR="00B073C1">
        <w:t>PD</w:t>
      </w:r>
      <w:r w:rsidR="0019752C">
        <w:t>-1</w:t>
      </w:r>
      <w:r w:rsidR="00B073C1">
        <w:t>/PD-L1 inhibitors</w:t>
      </w:r>
      <w:r w:rsidR="00296F92">
        <w:t xml:space="preserve">, </w:t>
      </w:r>
    </w:p>
    <w:p w14:paraId="67F48704" w14:textId="5C62F68E" w:rsidR="000A12D3" w:rsidRPr="00493ADB" w:rsidRDefault="00B073C1">
      <w:pPr>
        <w:pStyle w:val="3-BodyText"/>
        <w:widowControl w:val="0"/>
        <w:numPr>
          <w:ilvl w:val="0"/>
          <w:numId w:val="25"/>
        </w:numPr>
        <w:spacing w:after="120"/>
        <w:rPr>
          <w:snapToGrid w:val="0"/>
          <w:lang w:val="en-GB" w:eastAsia="en-US"/>
        </w:rPr>
      </w:pPr>
      <w:r>
        <w:t xml:space="preserve">a </w:t>
      </w:r>
      <w:r w:rsidR="00841959">
        <w:t>line agnostic listing</w:t>
      </w:r>
      <w:r>
        <w:t xml:space="preserve"> would be </w:t>
      </w:r>
      <w:r w:rsidR="00C2775D">
        <w:t>reasonable</w:t>
      </w:r>
      <w:r>
        <w:t xml:space="preserve">, </w:t>
      </w:r>
      <w:r w:rsidR="00C514B0">
        <w:t xml:space="preserve">noting that the TGA had approved registration of toripalimab for </w:t>
      </w:r>
      <w:r w:rsidR="0058395C">
        <w:t xml:space="preserve">patients in the first- and second-line setting (see paragraph 2.1), </w:t>
      </w:r>
      <w:r w:rsidR="00493ADB">
        <w:t xml:space="preserve">and that </w:t>
      </w:r>
      <w:r w:rsidR="00296F7A">
        <w:t>it would be appropriate to combine the listing</w:t>
      </w:r>
      <w:r w:rsidR="0069235C">
        <w:t>s</w:t>
      </w:r>
      <w:r w:rsidR="00296F7A">
        <w:t xml:space="preserve"> to cover </w:t>
      </w:r>
      <w:r w:rsidR="00920A7C">
        <w:t>first- and second-line</w:t>
      </w:r>
      <w:r w:rsidR="0069235C">
        <w:t xml:space="preserve"> use in the one restriction</w:t>
      </w:r>
      <w:r w:rsidR="000A12D3">
        <w:t>,</w:t>
      </w:r>
    </w:p>
    <w:p w14:paraId="7B68FE52" w14:textId="37289DAC" w:rsidR="00353D3D" w:rsidRPr="00353D3D" w:rsidRDefault="00E80F0E" w:rsidP="000A12D3">
      <w:pPr>
        <w:pStyle w:val="3-BodyText"/>
        <w:widowControl w:val="0"/>
        <w:numPr>
          <w:ilvl w:val="0"/>
          <w:numId w:val="25"/>
        </w:numPr>
        <w:spacing w:after="120"/>
        <w:rPr>
          <w:snapToGrid w:val="0"/>
          <w:lang w:val="en-GB" w:eastAsia="en-US"/>
        </w:rPr>
      </w:pPr>
      <w:r>
        <w:rPr>
          <w:snapToGrid w:val="0"/>
          <w:lang w:val="en-GB" w:eastAsia="en-US"/>
        </w:rPr>
        <w:t xml:space="preserve">seven </w:t>
      </w:r>
      <w:r w:rsidR="00353D3D">
        <w:rPr>
          <w:snapToGrid w:val="0"/>
          <w:lang w:val="en-GB" w:eastAsia="en-US"/>
        </w:rPr>
        <w:t>repeats</w:t>
      </w:r>
      <w:r w:rsidR="00805794">
        <w:rPr>
          <w:snapToGrid w:val="0"/>
          <w:lang w:val="en-GB" w:eastAsia="en-US"/>
        </w:rPr>
        <w:t xml:space="preserve"> would be </w:t>
      </w:r>
      <w:r w:rsidR="00353D3D">
        <w:rPr>
          <w:snapToGrid w:val="0"/>
          <w:lang w:val="en-GB" w:eastAsia="en-US"/>
        </w:rPr>
        <w:t xml:space="preserve">appropriate, noting that </w:t>
      </w:r>
      <w:r w:rsidR="00484E98">
        <w:rPr>
          <w:snapToGrid w:val="0"/>
          <w:lang w:val="en-GB" w:eastAsia="en-US"/>
        </w:rPr>
        <w:t xml:space="preserve">this would </w:t>
      </w:r>
      <w:r w:rsidR="005A1C89">
        <w:rPr>
          <w:snapToGrid w:val="0"/>
          <w:lang w:val="en-GB" w:eastAsia="en-US"/>
        </w:rPr>
        <w:t>provide</w:t>
      </w:r>
      <w:r w:rsidR="00A823AD">
        <w:rPr>
          <w:snapToGrid w:val="0"/>
          <w:lang w:val="en-GB" w:eastAsia="en-US"/>
        </w:rPr>
        <w:t xml:space="preserve"> a sufficient quantity for 24 weeks </w:t>
      </w:r>
      <w:r w:rsidR="00FC3598">
        <w:rPr>
          <w:snapToGrid w:val="0"/>
          <w:lang w:val="en-GB" w:eastAsia="en-US"/>
        </w:rPr>
        <w:t xml:space="preserve">of treatment </w:t>
      </w:r>
      <w:r w:rsidR="00A823AD">
        <w:rPr>
          <w:snapToGrid w:val="0"/>
          <w:lang w:val="en-GB" w:eastAsia="en-US"/>
        </w:rPr>
        <w:t xml:space="preserve">in the </w:t>
      </w:r>
      <w:r w:rsidR="004B085B">
        <w:rPr>
          <w:snapToGrid w:val="0"/>
          <w:lang w:val="en-GB" w:eastAsia="en-US"/>
        </w:rPr>
        <w:t>1</w:t>
      </w:r>
      <w:r w:rsidR="00A823AD">
        <w:rPr>
          <w:snapToGrid w:val="0"/>
          <w:lang w:val="en-GB" w:eastAsia="en-US"/>
        </w:rPr>
        <w:t xml:space="preserve">L setting and 16 weeks </w:t>
      </w:r>
      <w:r w:rsidR="00FC3598">
        <w:rPr>
          <w:snapToGrid w:val="0"/>
          <w:lang w:val="en-GB" w:eastAsia="en-US"/>
        </w:rPr>
        <w:t xml:space="preserve">of treatment </w:t>
      </w:r>
      <w:r w:rsidR="00A823AD">
        <w:rPr>
          <w:snapToGrid w:val="0"/>
          <w:lang w:val="en-GB" w:eastAsia="en-US"/>
        </w:rPr>
        <w:t xml:space="preserve">in the </w:t>
      </w:r>
      <w:r w:rsidR="004B085B">
        <w:rPr>
          <w:snapToGrid w:val="0"/>
          <w:lang w:val="en-GB" w:eastAsia="en-US"/>
        </w:rPr>
        <w:t>2L setting</w:t>
      </w:r>
      <w:r w:rsidR="004F418D" w:rsidRPr="004F418D">
        <w:rPr>
          <w:snapToGrid w:val="0"/>
          <w:lang w:val="en-GB" w:eastAsia="en-US"/>
        </w:rPr>
        <w:t xml:space="preserve"> </w:t>
      </w:r>
      <w:r w:rsidR="004F418D">
        <w:rPr>
          <w:snapToGrid w:val="0"/>
          <w:lang w:val="en-GB" w:eastAsia="en-US"/>
        </w:rPr>
        <w:t>at the recommended doses</w:t>
      </w:r>
      <w:r w:rsidR="00A04018">
        <w:rPr>
          <w:snapToGrid w:val="0"/>
          <w:lang w:val="en-GB" w:eastAsia="en-US"/>
        </w:rPr>
        <w:t>,</w:t>
      </w:r>
    </w:p>
    <w:p w14:paraId="207EDD89" w14:textId="18E664D8" w:rsidR="002D3D3E" w:rsidRPr="00AF6D24" w:rsidRDefault="00FA4896" w:rsidP="00AC3E00">
      <w:pPr>
        <w:pStyle w:val="3-BodyText"/>
        <w:widowControl w:val="0"/>
        <w:numPr>
          <w:ilvl w:val="0"/>
          <w:numId w:val="25"/>
        </w:numPr>
        <w:spacing w:after="120"/>
        <w:rPr>
          <w:snapToGrid w:val="0"/>
          <w:lang w:val="en-GB" w:eastAsia="en-US"/>
        </w:rPr>
      </w:pPr>
      <w:r>
        <w:t xml:space="preserve">while patients weighing more than 80 kg would require a dose of more than the maximum amount of 240 mg of toripalimab in the 2L setting, the </w:t>
      </w:r>
      <w:r w:rsidRPr="00110F72">
        <w:rPr>
          <w:rFonts w:cs="Calibri"/>
        </w:rPr>
        <w:t xml:space="preserve">administrative advice </w:t>
      </w:r>
      <w:r>
        <w:rPr>
          <w:rFonts w:cs="Calibri"/>
        </w:rPr>
        <w:t>that the sponsor proposed, which stated that</w:t>
      </w:r>
      <w:r w:rsidRPr="00110F72">
        <w:rPr>
          <w:rFonts w:cs="Calibri"/>
        </w:rPr>
        <w:t xml:space="preserve"> prescribers should request the appropriate number of vials for a single dose based on the patient’s weight </w:t>
      </w:r>
      <w:r>
        <w:rPr>
          <w:rFonts w:cs="Calibri"/>
        </w:rPr>
        <w:t>in the 2L setting, would not be required.</w:t>
      </w:r>
      <w:r w:rsidRPr="00110F72">
        <w:t xml:space="preserve"> </w:t>
      </w:r>
      <w:r>
        <w:t xml:space="preserve">The PBAC noted that due to the EFC algorithm, prescribers are expected to prescribe the dose in mg </w:t>
      </w:r>
      <w:r>
        <w:rPr>
          <w:rFonts w:cs="Calibri"/>
        </w:rPr>
        <w:t>according to</w:t>
      </w:r>
      <w:r w:rsidRPr="00110F72">
        <w:rPr>
          <w:rFonts w:cs="Calibri"/>
        </w:rPr>
        <w:t xml:space="preserve"> the patient’s weight </w:t>
      </w:r>
      <w:r>
        <w:t>and pharmacists upon dispensing would be directed to the specific number of vials required to make up the final dose</w:t>
      </w:r>
      <w:r w:rsidR="00E00E18">
        <w:t>.</w:t>
      </w:r>
      <w:r w:rsidR="00E00E18" w:rsidRPr="00E00E18">
        <w:t xml:space="preserve"> </w:t>
      </w:r>
      <w:r w:rsidR="00B35BC8">
        <w:t>The PBAC further noted that a</w:t>
      </w:r>
      <w:r w:rsidR="00E00E18" w:rsidRPr="00E00E18">
        <w:t xml:space="preserve"> prescriber instruction</w:t>
      </w:r>
      <w:r w:rsidR="00E00E18">
        <w:t xml:space="preserve"> has been</w:t>
      </w:r>
      <w:r w:rsidR="00E00E18" w:rsidRPr="00E00E18">
        <w:t xml:space="preserve"> added to clarify that prescribers can request </w:t>
      </w:r>
      <w:r w:rsidR="00B35BC8">
        <w:t xml:space="preserve">an </w:t>
      </w:r>
      <w:r w:rsidR="00E00E18" w:rsidRPr="00E00E18">
        <w:t>increase in the maximum amount if needed according to the patient’s body w</w:t>
      </w:r>
      <w:r w:rsidR="00B35BC8">
        <w:t>e</w:t>
      </w:r>
      <w:r w:rsidR="00E00E18" w:rsidRPr="00E00E18">
        <w:t>ight in the 2L setting</w:t>
      </w:r>
      <w:r w:rsidR="002D3D3E">
        <w:t>,</w:t>
      </w:r>
      <w:r>
        <w:t xml:space="preserve"> </w:t>
      </w:r>
    </w:p>
    <w:p w14:paraId="17916349" w14:textId="7DE01A58" w:rsidR="007873CF" w:rsidRPr="000A12D3" w:rsidRDefault="007873CF" w:rsidP="007873CF">
      <w:pPr>
        <w:pStyle w:val="3-BodyText"/>
        <w:widowControl w:val="0"/>
        <w:numPr>
          <w:ilvl w:val="0"/>
          <w:numId w:val="25"/>
        </w:numPr>
        <w:spacing w:after="120"/>
        <w:rPr>
          <w:snapToGrid w:val="0"/>
          <w:lang w:val="en-GB" w:eastAsia="en-US"/>
        </w:rPr>
      </w:pPr>
      <w:r>
        <w:lastRenderedPageBreak/>
        <w:t>it would be appropriate to add the clinical criteri</w:t>
      </w:r>
      <w:r w:rsidR="00DB7F1E">
        <w:t>on</w:t>
      </w:r>
      <w:r>
        <w:t xml:space="preserve"> that the condition must not be amenable to salvage surgery or radiotherapy, noting that this was in line with the enrolment criteria in the key JUPITER-02 trial a</w:t>
      </w:r>
      <w:r w:rsidR="00A53FB1">
        <w:t xml:space="preserve">nd in line with the </w:t>
      </w:r>
      <w:r>
        <w:t xml:space="preserve">NCCN </w:t>
      </w:r>
      <w:r w:rsidR="009B459E">
        <w:t xml:space="preserve">guidelines </w:t>
      </w:r>
      <w:r w:rsidR="008708D0">
        <w:t>version 2.2025</w:t>
      </w:r>
      <w:r>
        <w:t>,</w:t>
      </w:r>
    </w:p>
    <w:p w14:paraId="35534ECC" w14:textId="107B247F" w:rsidR="009954B2" w:rsidRPr="00671C99" w:rsidRDefault="0081771C" w:rsidP="000A12D3">
      <w:pPr>
        <w:pStyle w:val="3-BodyText"/>
        <w:widowControl w:val="0"/>
        <w:numPr>
          <w:ilvl w:val="0"/>
          <w:numId w:val="25"/>
        </w:numPr>
        <w:spacing w:after="120"/>
        <w:rPr>
          <w:snapToGrid w:val="0"/>
          <w:lang w:val="en-GB" w:eastAsia="en-US"/>
        </w:rPr>
      </w:pPr>
      <w:r w:rsidRPr="002E71EB">
        <w:t>it w</w:t>
      </w:r>
      <w:r w:rsidR="007374A1">
        <w:t>ould be</w:t>
      </w:r>
      <w:r w:rsidRPr="002E71EB">
        <w:t xml:space="preserve"> reasonable </w:t>
      </w:r>
      <w:r w:rsidR="005153E0">
        <w:t>for</w:t>
      </w:r>
      <w:r w:rsidRPr="002E71EB">
        <w:t xml:space="preserve"> the clinical criteria to allow patients with </w:t>
      </w:r>
      <w:r w:rsidR="009954B2" w:rsidRPr="002E71EB">
        <w:t xml:space="preserve">a WHO </w:t>
      </w:r>
      <w:r w:rsidRPr="002E71EB">
        <w:t xml:space="preserve">performance status </w:t>
      </w:r>
      <w:r w:rsidR="009954B2" w:rsidRPr="002E71EB">
        <w:t xml:space="preserve">score </w:t>
      </w:r>
      <w:r w:rsidRPr="002E71EB">
        <w:t xml:space="preserve">of </w:t>
      </w:r>
      <w:r w:rsidR="00A2172F">
        <w:t xml:space="preserve">no higher than </w:t>
      </w:r>
      <w:r w:rsidRPr="002E71EB">
        <w:t>2 to access toripalimab</w:t>
      </w:r>
      <w:r w:rsidR="005153E0">
        <w:t xml:space="preserve"> as requested</w:t>
      </w:r>
      <w:r w:rsidR="00CF5C73" w:rsidRPr="002E71EB">
        <w:t xml:space="preserve">, </w:t>
      </w:r>
    </w:p>
    <w:p w14:paraId="7672B5CA" w14:textId="56D0A931" w:rsidR="00671C99" w:rsidRPr="00514A01" w:rsidRDefault="00671C99" w:rsidP="000A12D3">
      <w:pPr>
        <w:pStyle w:val="3-BodyText"/>
        <w:widowControl w:val="0"/>
        <w:numPr>
          <w:ilvl w:val="0"/>
          <w:numId w:val="25"/>
        </w:numPr>
        <w:spacing w:after="120"/>
        <w:rPr>
          <w:snapToGrid w:val="0"/>
          <w:lang w:val="en-GB" w:eastAsia="en-US"/>
        </w:rPr>
      </w:pPr>
      <w:r>
        <w:t xml:space="preserve">the clinical criteria should include a statement to preclude patients who received prior treatment with a PD-1/PD-L1 inhibitor </w:t>
      </w:r>
      <w:r w:rsidR="00182589">
        <w:t xml:space="preserve">for this condition </w:t>
      </w:r>
      <w:r>
        <w:t>from receiving treatment with toripalimab,</w:t>
      </w:r>
    </w:p>
    <w:p w14:paraId="3CBFB0A5" w14:textId="60726A40" w:rsidR="00514A01" w:rsidRDefault="00514A01" w:rsidP="000A12D3">
      <w:pPr>
        <w:pStyle w:val="3-BodyText"/>
        <w:widowControl w:val="0"/>
        <w:numPr>
          <w:ilvl w:val="0"/>
          <w:numId w:val="25"/>
        </w:numPr>
        <w:spacing w:after="120"/>
        <w:rPr>
          <w:snapToGrid w:val="0"/>
          <w:lang w:val="en-GB" w:eastAsia="en-US"/>
        </w:rPr>
      </w:pPr>
      <w:r>
        <w:rPr>
          <w:snapToGrid w:val="0"/>
          <w:lang w:val="en-GB" w:eastAsia="en-US"/>
        </w:rPr>
        <w:t xml:space="preserve">it would not be necessary to specify the </w:t>
      </w:r>
      <w:r w:rsidR="00345F90">
        <w:rPr>
          <w:snapToGrid w:val="0"/>
          <w:lang w:val="en-GB" w:eastAsia="en-US"/>
        </w:rPr>
        <w:t>chemotherapy agents that would need to be used (</w:t>
      </w:r>
      <w:r w:rsidRPr="00514A01">
        <w:rPr>
          <w:snapToGrid w:val="0"/>
          <w:lang w:val="en-GB" w:eastAsia="en-US"/>
        </w:rPr>
        <w:t>‘in combination with platinum-based chemotherapy’</w:t>
      </w:r>
      <w:r w:rsidR="00345F90">
        <w:rPr>
          <w:snapToGrid w:val="0"/>
          <w:lang w:val="en-GB" w:eastAsia="en-US"/>
        </w:rPr>
        <w:t>) for first-line use,</w:t>
      </w:r>
    </w:p>
    <w:p w14:paraId="77771BCD" w14:textId="65EC6729" w:rsidR="00603B06" w:rsidRPr="0029274C" w:rsidRDefault="00603B06" w:rsidP="000A12D3">
      <w:pPr>
        <w:pStyle w:val="3-BodyText"/>
        <w:widowControl w:val="0"/>
        <w:numPr>
          <w:ilvl w:val="0"/>
          <w:numId w:val="25"/>
        </w:numPr>
        <w:spacing w:after="120"/>
        <w:rPr>
          <w:snapToGrid w:val="0"/>
          <w:lang w:val="en-GB" w:eastAsia="en-US"/>
        </w:rPr>
      </w:pPr>
      <w:r>
        <w:rPr>
          <w:snapToGrid w:val="0"/>
          <w:lang w:val="en-GB" w:eastAsia="en-US"/>
        </w:rPr>
        <w:t xml:space="preserve">it would be appropriate to simplify the </w:t>
      </w:r>
      <w:r w:rsidR="001177DB">
        <w:rPr>
          <w:snapToGrid w:val="0"/>
          <w:lang w:val="en-GB" w:eastAsia="en-US"/>
        </w:rPr>
        <w:t xml:space="preserve">stopping rule criteria </w:t>
      </w:r>
      <w:r w:rsidR="00C41A81">
        <w:rPr>
          <w:snapToGrid w:val="0"/>
          <w:lang w:val="en-GB" w:eastAsia="en-US"/>
        </w:rPr>
        <w:t xml:space="preserve">(noting that the recommended treatment duration is until disease progression, unacceptable toxicity or up to 24 months) </w:t>
      </w:r>
      <w:r w:rsidR="001177DB">
        <w:rPr>
          <w:snapToGrid w:val="0"/>
          <w:lang w:val="en-GB" w:eastAsia="en-US"/>
        </w:rPr>
        <w:t>by including the following wording, “</w:t>
      </w:r>
      <w:r w:rsidR="002D42AE" w:rsidRPr="002D42AE">
        <w:rPr>
          <w:rStyle w:val="cf01"/>
          <w:rFonts w:asciiTheme="minorHAnsi" w:hAnsiTheme="minorHAnsi" w:cstheme="minorHAnsi"/>
          <w:sz w:val="24"/>
          <w:szCs w:val="24"/>
        </w:rPr>
        <w:t xml:space="preserve">Patient must not be undergoing treatment with this drug as a PBS benefit where the treatment duration extends beyond the following, whichever comes first: (i) disease progression despite treatment with this drug, (ii) 24 </w:t>
      </w:r>
      <w:r w:rsidR="00245ED5">
        <w:rPr>
          <w:rStyle w:val="cf01"/>
          <w:rFonts w:asciiTheme="minorHAnsi" w:hAnsiTheme="minorHAnsi" w:cstheme="minorHAnsi"/>
          <w:sz w:val="24"/>
          <w:szCs w:val="24"/>
        </w:rPr>
        <w:t xml:space="preserve">cumulative </w:t>
      </w:r>
      <w:r w:rsidR="002D42AE" w:rsidRPr="002D42AE">
        <w:rPr>
          <w:rStyle w:val="cf01"/>
          <w:rFonts w:asciiTheme="minorHAnsi" w:hAnsiTheme="minorHAnsi" w:cstheme="minorHAnsi"/>
          <w:sz w:val="24"/>
          <w:szCs w:val="24"/>
        </w:rPr>
        <w:t>months from treatment initiation; annotate any remaining repeat prescriptions with the word 'cancelled' where this occurs”</w:t>
      </w:r>
      <w:r w:rsidR="002D42AE">
        <w:rPr>
          <w:rStyle w:val="cf01"/>
          <w:rFonts w:asciiTheme="minorHAnsi" w:hAnsiTheme="minorHAnsi" w:cstheme="minorHAnsi"/>
          <w:sz w:val="24"/>
          <w:szCs w:val="24"/>
        </w:rPr>
        <w:t>,</w:t>
      </w:r>
    </w:p>
    <w:p w14:paraId="7CD41E6E" w14:textId="104C3D94" w:rsidR="00E03E07" w:rsidRPr="00C933F8" w:rsidRDefault="00671C99" w:rsidP="005A2B50">
      <w:pPr>
        <w:pStyle w:val="ListParagraph"/>
        <w:widowControl w:val="0"/>
        <w:numPr>
          <w:ilvl w:val="0"/>
          <w:numId w:val="25"/>
        </w:numPr>
        <w:jc w:val="both"/>
        <w:rPr>
          <w:lang w:val="en-GB" w:eastAsia="en-US"/>
        </w:rPr>
      </w:pPr>
      <w:r>
        <w:t xml:space="preserve">and </w:t>
      </w:r>
      <w:r w:rsidR="00973FFA">
        <w:t xml:space="preserve">the restriction should include </w:t>
      </w:r>
      <w:r w:rsidR="001658C4">
        <w:t>an</w:t>
      </w:r>
      <w:r w:rsidR="00973FFA">
        <w:t xml:space="preserve"> </w:t>
      </w:r>
      <w:r w:rsidR="00697AD8">
        <w:t>a</w:t>
      </w:r>
      <w:r w:rsidR="00973FFA">
        <w:t xml:space="preserve">dministrative </w:t>
      </w:r>
      <w:r w:rsidR="00697AD8">
        <w:t>a</w:t>
      </w:r>
      <w:r w:rsidR="009E3EE8">
        <w:t>d</w:t>
      </w:r>
      <w:r w:rsidR="00973FFA">
        <w:t>vice to reflect that</w:t>
      </w:r>
      <w:r w:rsidR="00CF5C73">
        <w:t xml:space="preserve"> </w:t>
      </w:r>
      <w:r w:rsidR="00193C4D">
        <w:t xml:space="preserve">toripalimab </w:t>
      </w:r>
      <w:r w:rsidR="004858BD">
        <w:t xml:space="preserve">will be listed with </w:t>
      </w:r>
      <w:r w:rsidR="00CF5C73">
        <w:t xml:space="preserve">a Special Pricing </w:t>
      </w:r>
      <w:r w:rsidR="002E71EB">
        <w:t>Arrangement</w:t>
      </w:r>
      <w:r w:rsidR="005120C1">
        <w:t xml:space="preserve">. </w:t>
      </w:r>
    </w:p>
    <w:p w14:paraId="27C0D27C" w14:textId="13405919" w:rsidR="00F01016" w:rsidRDefault="00302096" w:rsidP="00302096">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T</w:t>
      </w:r>
      <w:r w:rsidR="008B5B57" w:rsidRPr="00F01016">
        <w:rPr>
          <w:rFonts w:asciiTheme="minorHAnsi" w:hAnsiTheme="minorHAnsi"/>
          <w:snapToGrid w:val="0"/>
          <w:lang w:val="en-GB" w:eastAsia="en-US"/>
        </w:rPr>
        <w:t xml:space="preserve">he </w:t>
      </w:r>
      <w:r w:rsidR="004338B0">
        <w:rPr>
          <w:rFonts w:asciiTheme="minorHAnsi" w:hAnsiTheme="minorHAnsi"/>
          <w:snapToGrid w:val="0"/>
          <w:lang w:val="en-GB" w:eastAsia="en-US"/>
        </w:rPr>
        <w:t xml:space="preserve">PBAC </w:t>
      </w:r>
      <w:r w:rsidR="007E572D">
        <w:rPr>
          <w:rFonts w:asciiTheme="minorHAnsi" w:hAnsiTheme="minorHAnsi"/>
          <w:snapToGrid w:val="0"/>
          <w:lang w:val="en-GB" w:eastAsia="en-US"/>
        </w:rPr>
        <w:t xml:space="preserve">considered the nominated comparator, </w:t>
      </w:r>
      <w:r w:rsidR="007017F5">
        <w:rPr>
          <w:rFonts w:asciiTheme="minorHAnsi" w:hAnsiTheme="minorHAnsi"/>
          <w:snapToGrid w:val="0"/>
          <w:lang w:val="en-GB" w:eastAsia="en-US"/>
        </w:rPr>
        <w:t xml:space="preserve">platinum-containing doublet </w:t>
      </w:r>
      <w:r w:rsidR="007E572D">
        <w:rPr>
          <w:rFonts w:asciiTheme="minorHAnsi" w:hAnsiTheme="minorHAnsi"/>
          <w:snapToGrid w:val="0"/>
          <w:lang w:val="en-GB" w:eastAsia="en-US"/>
        </w:rPr>
        <w:t xml:space="preserve">chemotherapy (represented in the clinical trial evidence by </w:t>
      </w:r>
      <w:r w:rsidR="006227A7">
        <w:rPr>
          <w:rFonts w:asciiTheme="minorHAnsi" w:hAnsiTheme="minorHAnsi"/>
          <w:snapToGrid w:val="0"/>
          <w:lang w:val="en-GB" w:eastAsia="en-US"/>
        </w:rPr>
        <w:t>Cis+Gem</w:t>
      </w:r>
      <w:r w:rsidR="00A70426">
        <w:rPr>
          <w:rFonts w:asciiTheme="minorHAnsi" w:hAnsiTheme="minorHAnsi"/>
          <w:snapToGrid w:val="0"/>
          <w:lang w:val="en-GB" w:eastAsia="en-US"/>
        </w:rPr>
        <w:t>)</w:t>
      </w:r>
      <w:r w:rsidR="006227A7">
        <w:rPr>
          <w:rFonts w:asciiTheme="minorHAnsi" w:hAnsiTheme="minorHAnsi"/>
          <w:snapToGrid w:val="0"/>
          <w:lang w:val="en-GB" w:eastAsia="en-US"/>
        </w:rPr>
        <w:t xml:space="preserve"> was an appropriate comparator</w:t>
      </w:r>
      <w:r w:rsidR="003B0945">
        <w:rPr>
          <w:rFonts w:asciiTheme="minorHAnsi" w:hAnsiTheme="minorHAnsi"/>
          <w:snapToGrid w:val="0"/>
          <w:lang w:val="en-GB" w:eastAsia="en-US"/>
        </w:rPr>
        <w:t xml:space="preserve"> </w:t>
      </w:r>
      <w:r w:rsidR="00EF3F1F">
        <w:rPr>
          <w:rFonts w:asciiTheme="minorHAnsi" w:hAnsiTheme="minorHAnsi"/>
          <w:snapToGrid w:val="0"/>
          <w:lang w:val="en-GB" w:eastAsia="en-US"/>
        </w:rPr>
        <w:t>in the first-line setting</w:t>
      </w:r>
      <w:r w:rsidR="003B0945">
        <w:rPr>
          <w:rFonts w:asciiTheme="minorHAnsi" w:hAnsiTheme="minorHAnsi"/>
          <w:snapToGrid w:val="0"/>
          <w:lang w:val="en-GB" w:eastAsia="en-US"/>
        </w:rPr>
        <w:t>.</w:t>
      </w:r>
      <w:r w:rsidR="00453A3C" w:rsidRPr="00453A3C">
        <w:t xml:space="preserve"> </w:t>
      </w:r>
      <w:r w:rsidR="00B41A28">
        <w:t xml:space="preserve">The PBAC noted that while in the second-line setting, </w:t>
      </w:r>
      <w:r w:rsidR="00453A3C" w:rsidRPr="00453A3C">
        <w:rPr>
          <w:rFonts w:asciiTheme="minorHAnsi" w:hAnsiTheme="minorHAnsi"/>
          <w:snapToGrid w:val="0"/>
          <w:lang w:val="en-GB" w:eastAsia="en-US"/>
        </w:rPr>
        <w:t>single-agent chemotherapy</w:t>
      </w:r>
      <w:r w:rsidR="00B41A28">
        <w:rPr>
          <w:rFonts w:asciiTheme="minorHAnsi" w:hAnsiTheme="minorHAnsi"/>
          <w:snapToGrid w:val="0"/>
          <w:lang w:val="en-GB" w:eastAsia="en-US"/>
        </w:rPr>
        <w:t xml:space="preserve"> was nominated as the comparator, the submission did not present comparative clinical evidence that enabled the efficacy and safety of toripalimab against single-agent chemotherapy to be determined. </w:t>
      </w:r>
    </w:p>
    <w:p w14:paraId="4EA56B32" w14:textId="65A3EF0C" w:rsidR="003B38AC" w:rsidRPr="00447403" w:rsidRDefault="00A95EB8" w:rsidP="003B38AC">
      <w:pPr>
        <w:pStyle w:val="3-BodyText"/>
      </w:pPr>
      <w:r w:rsidRPr="004905F2">
        <w:rPr>
          <w:snapToGrid w:val="0"/>
          <w:lang w:val="en-GB" w:eastAsia="en-US"/>
        </w:rPr>
        <w:t>In the first-line setting</w:t>
      </w:r>
      <w:r w:rsidR="00930055">
        <w:rPr>
          <w:snapToGrid w:val="0"/>
          <w:lang w:val="en-GB" w:eastAsia="en-US"/>
        </w:rPr>
        <w:t xml:space="preserve"> where patients had not had prior systemic therapy</w:t>
      </w:r>
      <w:r w:rsidRPr="004905F2">
        <w:rPr>
          <w:snapToGrid w:val="0"/>
          <w:lang w:val="en-GB" w:eastAsia="en-US"/>
        </w:rPr>
        <w:t>, the PBAC noted that the submission</w:t>
      </w:r>
      <w:r w:rsidR="00AF31DE">
        <w:rPr>
          <w:snapToGrid w:val="0"/>
          <w:lang w:val="en-GB" w:eastAsia="en-US"/>
        </w:rPr>
        <w:t xml:space="preserve"> </w:t>
      </w:r>
      <w:r w:rsidR="003B38AC">
        <w:rPr>
          <w:snapToGrid w:val="0"/>
          <w:lang w:val="en-GB" w:eastAsia="en-US"/>
        </w:rPr>
        <w:t>was based on the JUPITER-02 trial</w:t>
      </w:r>
      <w:r w:rsidR="00B85A58">
        <w:rPr>
          <w:snapToGrid w:val="0"/>
          <w:lang w:val="en-GB" w:eastAsia="en-US"/>
        </w:rPr>
        <w:t>, a randomised</w:t>
      </w:r>
      <w:r w:rsidR="00AF7431">
        <w:rPr>
          <w:snapToGrid w:val="0"/>
          <w:lang w:val="en-GB" w:eastAsia="en-US"/>
        </w:rPr>
        <w:t xml:space="preserve"> double-blind phase III trial comparing toripalimab </w:t>
      </w:r>
      <w:r w:rsidR="00C505EC">
        <w:rPr>
          <w:snapToGrid w:val="0"/>
          <w:lang w:val="en-GB" w:eastAsia="en-US"/>
        </w:rPr>
        <w:t>240 mg every 3 weeks</w:t>
      </w:r>
      <w:r w:rsidR="00CD5918">
        <w:rPr>
          <w:snapToGrid w:val="0"/>
          <w:lang w:val="en-GB" w:eastAsia="en-US"/>
        </w:rPr>
        <w:t xml:space="preserve"> </w:t>
      </w:r>
      <w:r w:rsidR="00AF7431">
        <w:rPr>
          <w:snapToGrid w:val="0"/>
          <w:lang w:val="en-GB" w:eastAsia="en-US"/>
        </w:rPr>
        <w:t>(N</w:t>
      </w:r>
      <w:r w:rsidR="00142C0C">
        <w:rPr>
          <w:snapToGrid w:val="0"/>
          <w:lang w:val="en-GB" w:eastAsia="en-US"/>
        </w:rPr>
        <w:t>=</w:t>
      </w:r>
      <w:r w:rsidR="00AF7431">
        <w:rPr>
          <w:snapToGrid w:val="0"/>
          <w:lang w:val="en-GB" w:eastAsia="en-US"/>
        </w:rPr>
        <w:t>146)</w:t>
      </w:r>
      <w:r w:rsidR="003B38AC">
        <w:rPr>
          <w:snapToGrid w:val="0"/>
          <w:lang w:val="en-GB" w:eastAsia="en-US"/>
        </w:rPr>
        <w:t xml:space="preserve"> </w:t>
      </w:r>
      <w:r w:rsidR="00626333">
        <w:t>to placebo</w:t>
      </w:r>
      <w:r w:rsidR="00FD3409">
        <w:t xml:space="preserve"> (N=143)</w:t>
      </w:r>
      <w:r w:rsidR="001D5E87">
        <w:t xml:space="preserve">, </w:t>
      </w:r>
      <w:r w:rsidR="003B38AC" w:rsidRPr="00447403">
        <w:t xml:space="preserve">in combination with Cis+Gem </w:t>
      </w:r>
      <w:r w:rsidR="001D5E87">
        <w:t>for up to 6 cycles</w:t>
      </w:r>
      <w:r w:rsidR="009D3103">
        <w:t xml:space="preserve"> and then as monotherapy</w:t>
      </w:r>
      <w:r w:rsidR="00FD3409">
        <w:t xml:space="preserve"> in patients with RM-NPC</w:t>
      </w:r>
      <w:r w:rsidR="003F6937">
        <w:t>. The PBAC noted that toripalimab</w:t>
      </w:r>
      <w:r w:rsidR="001D5E87">
        <w:t xml:space="preserve"> </w:t>
      </w:r>
      <w:r w:rsidR="003B38AC" w:rsidRPr="00447403">
        <w:t>reduc</w:t>
      </w:r>
      <w:r w:rsidR="003F6937">
        <w:t>ed</w:t>
      </w:r>
      <w:r w:rsidR="003B38AC" w:rsidRPr="00447403">
        <w:t xml:space="preserve"> the risk of progression or death by </w:t>
      </w:r>
      <w:r w:rsidR="00894CA4" w:rsidRPr="00447403">
        <w:t xml:space="preserve">48% at </w:t>
      </w:r>
      <w:r w:rsidR="00B92CA0">
        <w:t>the f</w:t>
      </w:r>
      <w:r w:rsidR="00112F17">
        <w:t>irst data cutoff point (</w:t>
      </w:r>
      <w:r w:rsidR="00894CA4" w:rsidRPr="00447403">
        <w:t>DCO1</w:t>
      </w:r>
      <w:r w:rsidR="00112F17">
        <w:t>) when the trial was unblinded</w:t>
      </w:r>
      <w:r w:rsidR="00894CA4" w:rsidRPr="00447403">
        <w:t xml:space="preserve"> (HR=0.52; 95% CI: 0.359, 0.740; p=0.0003)</w:t>
      </w:r>
      <w:r w:rsidR="004A4F39">
        <w:t xml:space="preserve">, with median PFS </w:t>
      </w:r>
      <w:r w:rsidR="00D80099">
        <w:t xml:space="preserve">being higher in patients treated with toripalimab </w:t>
      </w:r>
      <w:r w:rsidR="008677BF">
        <w:t xml:space="preserve">(11.7 months) </w:t>
      </w:r>
      <w:r w:rsidR="00D80099">
        <w:t xml:space="preserve">compared to placebo </w:t>
      </w:r>
      <w:r w:rsidR="00ED62FF">
        <w:t>(8.2 months)</w:t>
      </w:r>
      <w:r w:rsidR="003B38AC" w:rsidRPr="00447403">
        <w:t xml:space="preserve">. The </w:t>
      </w:r>
      <w:r w:rsidR="00205EBC">
        <w:t xml:space="preserve">PBAC </w:t>
      </w:r>
      <w:r w:rsidR="008677BF">
        <w:t>noted that median PFS increase</w:t>
      </w:r>
      <w:r w:rsidR="00AE1FEF">
        <w:t xml:space="preserve">d to 21.4 months at </w:t>
      </w:r>
      <w:r w:rsidR="00E765DE">
        <w:t>data cutoff 2</w:t>
      </w:r>
      <w:r w:rsidR="008677BF">
        <w:t xml:space="preserve"> for </w:t>
      </w:r>
      <w:r w:rsidR="008E2CC0">
        <w:t>patients who remained on toripalimab</w:t>
      </w:r>
      <w:r w:rsidR="006B5192">
        <w:t xml:space="preserve"> and </w:t>
      </w:r>
      <w:r w:rsidR="003B38AC" w:rsidRPr="00447403">
        <w:t>considered the improvement to be clinically meaningful.</w:t>
      </w:r>
      <w:r w:rsidR="00EB54F0">
        <w:t xml:space="preserve"> The PBAC noted that the results for OS suggested a benefit </w:t>
      </w:r>
      <w:r w:rsidR="00EB54F0" w:rsidRPr="00D64EF7">
        <w:t>for toripalimab</w:t>
      </w:r>
      <w:r w:rsidR="00EB54F0">
        <w:t xml:space="preserve">, with the risk of death being reduced by </w:t>
      </w:r>
      <w:r w:rsidR="00EB54F0" w:rsidRPr="00D64EF7">
        <w:t>37% (HR=0.63; 95% CI: 0.446, 0.891</w:t>
      </w:r>
      <w:r w:rsidR="00EB54F0">
        <w:t>)</w:t>
      </w:r>
      <w:r w:rsidR="00A4528E">
        <w:t>, with median OS not being reached in patients treated with toripalimab</w:t>
      </w:r>
      <w:r w:rsidR="00470954">
        <w:t xml:space="preserve"> </w:t>
      </w:r>
      <w:r w:rsidR="00470954">
        <w:lastRenderedPageBreak/>
        <w:t>compared to 33.7 months for the placebo arm</w:t>
      </w:r>
      <w:r w:rsidR="00EB54F0">
        <w:t>.</w:t>
      </w:r>
      <w:r w:rsidR="00700F25">
        <w:t xml:space="preserve"> </w:t>
      </w:r>
      <w:r w:rsidR="008E3AF9">
        <w:rPr>
          <w:snapToGrid w:val="0"/>
          <w:lang w:val="en-GB" w:eastAsia="en-US"/>
        </w:rPr>
        <w:t>T</w:t>
      </w:r>
      <w:r w:rsidR="00700F25" w:rsidRPr="0045767C">
        <w:rPr>
          <w:snapToGrid w:val="0"/>
          <w:lang w:val="en-GB" w:eastAsia="en-US"/>
        </w:rPr>
        <w:t>he PBAC considered that the claim that toripalimab in combination with chemotherapy has superior comparative effectiveness compared to standard of care chemotherapy to be supported in population</w:t>
      </w:r>
      <w:r w:rsidR="00FB6957">
        <w:rPr>
          <w:snapToGrid w:val="0"/>
          <w:lang w:val="en-GB" w:eastAsia="en-US"/>
        </w:rPr>
        <w:t xml:space="preserve"> with predominantly non-keratinising </w:t>
      </w:r>
      <w:r w:rsidR="008C21D3">
        <w:rPr>
          <w:snapToGrid w:val="0"/>
          <w:lang w:val="en-GB" w:eastAsia="en-US"/>
        </w:rPr>
        <w:t>NPC</w:t>
      </w:r>
      <w:r w:rsidR="00700F25" w:rsidRPr="0045767C">
        <w:rPr>
          <w:snapToGrid w:val="0"/>
          <w:lang w:val="en-GB" w:eastAsia="en-US"/>
        </w:rPr>
        <w:t>.</w:t>
      </w:r>
    </w:p>
    <w:p w14:paraId="4D991D7C" w14:textId="0B491477" w:rsidR="000C6C0E" w:rsidRDefault="00326336">
      <w:pPr>
        <w:widowControl w:val="0"/>
        <w:numPr>
          <w:ilvl w:val="1"/>
          <w:numId w:val="1"/>
        </w:numPr>
        <w:spacing w:after="120"/>
        <w:rPr>
          <w:rFonts w:asciiTheme="minorHAnsi" w:hAnsiTheme="minorHAnsi"/>
          <w:snapToGrid w:val="0"/>
          <w:lang w:val="en-GB" w:eastAsia="en-US"/>
        </w:rPr>
      </w:pPr>
      <w:r w:rsidRPr="004905F2">
        <w:rPr>
          <w:rFonts w:asciiTheme="minorHAnsi" w:hAnsiTheme="minorHAnsi"/>
          <w:snapToGrid w:val="0"/>
          <w:lang w:val="en-GB" w:eastAsia="en-US"/>
        </w:rPr>
        <w:t xml:space="preserve">The PBAC noted that JUPITER-02 was conducted in </w:t>
      </w:r>
      <w:r w:rsidR="00C30D00">
        <w:rPr>
          <w:rFonts w:asciiTheme="minorHAnsi" w:hAnsiTheme="minorHAnsi"/>
          <w:snapToGrid w:val="0"/>
          <w:lang w:val="en-GB" w:eastAsia="en-US"/>
        </w:rPr>
        <w:t>China, Taiwan and Singapore</w:t>
      </w:r>
      <w:r w:rsidR="004C4A00" w:rsidRPr="004905F2">
        <w:rPr>
          <w:rFonts w:asciiTheme="minorHAnsi" w:hAnsiTheme="minorHAnsi"/>
          <w:snapToGrid w:val="0"/>
          <w:lang w:val="en-GB" w:eastAsia="en-US"/>
        </w:rPr>
        <w:t xml:space="preserve">, </w:t>
      </w:r>
      <w:r w:rsidR="00C30D00">
        <w:rPr>
          <w:rFonts w:asciiTheme="minorHAnsi" w:hAnsiTheme="minorHAnsi"/>
          <w:snapToGrid w:val="0"/>
          <w:lang w:val="en-GB" w:eastAsia="en-US"/>
        </w:rPr>
        <w:t>and that</w:t>
      </w:r>
      <w:r w:rsidRPr="004905F2">
        <w:rPr>
          <w:rFonts w:asciiTheme="minorHAnsi" w:hAnsiTheme="minorHAnsi"/>
          <w:snapToGrid w:val="0"/>
          <w:lang w:val="en-GB" w:eastAsia="en-US"/>
        </w:rPr>
        <w:t xml:space="preserve"> </w:t>
      </w:r>
      <w:r w:rsidR="005664BF" w:rsidRPr="004905F2">
        <w:rPr>
          <w:rFonts w:asciiTheme="minorHAnsi" w:hAnsiTheme="minorHAnsi"/>
          <w:snapToGrid w:val="0"/>
          <w:lang w:val="en-GB" w:eastAsia="en-US"/>
        </w:rPr>
        <w:t>&gt;97%</w:t>
      </w:r>
      <w:r w:rsidRPr="004905F2">
        <w:rPr>
          <w:rFonts w:asciiTheme="minorHAnsi" w:hAnsiTheme="minorHAnsi"/>
          <w:snapToGrid w:val="0"/>
          <w:lang w:val="en-GB" w:eastAsia="en-US"/>
        </w:rPr>
        <w:t xml:space="preserve"> of patients had non-keratinising RM-NPC</w:t>
      </w:r>
      <w:r w:rsidR="00BE55C7" w:rsidRPr="004905F2">
        <w:rPr>
          <w:rFonts w:asciiTheme="minorHAnsi" w:hAnsiTheme="minorHAnsi"/>
          <w:snapToGrid w:val="0"/>
          <w:lang w:val="en-GB" w:eastAsia="en-US"/>
        </w:rPr>
        <w:t>. The PBAC noted that in Western countries such as Australi</w:t>
      </w:r>
      <w:r w:rsidR="00B016E9" w:rsidRPr="004905F2">
        <w:rPr>
          <w:rFonts w:asciiTheme="minorHAnsi" w:hAnsiTheme="minorHAnsi"/>
          <w:snapToGrid w:val="0"/>
          <w:lang w:val="en-GB" w:eastAsia="en-US"/>
        </w:rPr>
        <w:t>a</w:t>
      </w:r>
      <w:r w:rsidR="00BE55C7" w:rsidRPr="004905F2">
        <w:rPr>
          <w:rFonts w:asciiTheme="minorHAnsi" w:hAnsiTheme="minorHAnsi"/>
          <w:snapToGrid w:val="0"/>
          <w:lang w:val="en-GB" w:eastAsia="en-US"/>
        </w:rPr>
        <w:t xml:space="preserve">, the incidence </w:t>
      </w:r>
      <w:r w:rsidR="00BD1F09">
        <w:rPr>
          <w:rFonts w:asciiTheme="minorHAnsi" w:hAnsiTheme="minorHAnsi"/>
          <w:snapToGrid w:val="0"/>
          <w:lang w:val="en-GB" w:eastAsia="en-US"/>
        </w:rPr>
        <w:t xml:space="preserve">of </w:t>
      </w:r>
      <w:r w:rsidR="00005A96">
        <w:rPr>
          <w:rFonts w:asciiTheme="minorHAnsi" w:hAnsiTheme="minorHAnsi"/>
          <w:snapToGrid w:val="0"/>
          <w:lang w:val="en-GB" w:eastAsia="en-US"/>
        </w:rPr>
        <w:t xml:space="preserve">the </w:t>
      </w:r>
      <w:r w:rsidR="00005A96" w:rsidRPr="00BB4DAB">
        <w:t xml:space="preserve">keratinising squamous cell variant </w:t>
      </w:r>
      <w:r w:rsidR="004F7258">
        <w:rPr>
          <w:rFonts w:asciiTheme="minorHAnsi" w:hAnsiTheme="minorHAnsi"/>
          <w:snapToGrid w:val="0"/>
          <w:lang w:val="en-GB" w:eastAsia="en-US"/>
        </w:rPr>
        <w:t>i</w:t>
      </w:r>
      <w:r w:rsidR="00BE55C7" w:rsidRPr="004905F2">
        <w:rPr>
          <w:rFonts w:asciiTheme="minorHAnsi" w:hAnsiTheme="minorHAnsi"/>
          <w:snapToGrid w:val="0"/>
          <w:lang w:val="en-GB" w:eastAsia="en-US"/>
        </w:rPr>
        <w:t>s higher than in JUPITER-02</w:t>
      </w:r>
      <w:r w:rsidR="00802C1F">
        <w:rPr>
          <w:rFonts w:asciiTheme="minorHAnsi" w:hAnsiTheme="minorHAnsi"/>
          <w:snapToGrid w:val="0"/>
          <w:lang w:val="en-GB" w:eastAsia="en-US"/>
        </w:rPr>
        <w:t xml:space="preserve"> (</w:t>
      </w:r>
      <w:r w:rsidR="00181FBA">
        <w:rPr>
          <w:rFonts w:asciiTheme="minorHAnsi" w:hAnsiTheme="minorHAnsi"/>
          <w:snapToGrid w:val="0"/>
          <w:lang w:val="en-GB" w:eastAsia="en-US"/>
        </w:rPr>
        <w:t>~</w:t>
      </w:r>
      <w:r w:rsidR="00802C1F">
        <w:rPr>
          <w:rFonts w:asciiTheme="minorHAnsi" w:hAnsiTheme="minorHAnsi"/>
          <w:snapToGrid w:val="0"/>
          <w:lang w:val="en-GB" w:eastAsia="en-US"/>
        </w:rPr>
        <w:t xml:space="preserve">25% vs </w:t>
      </w:r>
      <w:r w:rsidR="00181FBA">
        <w:rPr>
          <w:rFonts w:asciiTheme="minorHAnsi" w:hAnsiTheme="minorHAnsi"/>
          <w:snapToGrid w:val="0"/>
          <w:lang w:val="en-GB" w:eastAsia="en-US"/>
        </w:rPr>
        <w:t>&lt;</w:t>
      </w:r>
      <w:r w:rsidR="00802C1F">
        <w:rPr>
          <w:rFonts w:asciiTheme="minorHAnsi" w:hAnsiTheme="minorHAnsi"/>
          <w:snapToGrid w:val="0"/>
          <w:lang w:val="en-GB" w:eastAsia="en-US"/>
        </w:rPr>
        <w:t>3%)</w:t>
      </w:r>
      <w:r w:rsidR="002709A3">
        <w:rPr>
          <w:rFonts w:asciiTheme="minorHAnsi" w:hAnsiTheme="minorHAnsi"/>
          <w:snapToGrid w:val="0"/>
          <w:lang w:val="en-GB" w:eastAsia="en-US"/>
        </w:rPr>
        <w:t xml:space="preserve">. The PBAC considered that </w:t>
      </w:r>
      <w:r w:rsidR="006F43FB">
        <w:rPr>
          <w:rFonts w:asciiTheme="minorHAnsi" w:hAnsiTheme="minorHAnsi"/>
          <w:snapToGrid w:val="0"/>
          <w:lang w:val="en-GB" w:eastAsia="en-US"/>
        </w:rPr>
        <w:t>as the prognosis is worse for</w:t>
      </w:r>
      <w:r w:rsidR="004F7258">
        <w:rPr>
          <w:rFonts w:asciiTheme="minorHAnsi" w:hAnsiTheme="minorHAnsi"/>
          <w:snapToGrid w:val="0"/>
          <w:lang w:val="en-GB" w:eastAsia="en-US"/>
        </w:rPr>
        <w:t xml:space="preserve"> patients </w:t>
      </w:r>
      <w:r w:rsidR="00894F8C">
        <w:rPr>
          <w:rFonts w:asciiTheme="minorHAnsi" w:hAnsiTheme="minorHAnsi"/>
          <w:snapToGrid w:val="0"/>
          <w:lang w:val="en-GB" w:eastAsia="en-US"/>
        </w:rPr>
        <w:t xml:space="preserve">with keratinising NPC </w:t>
      </w:r>
      <w:r w:rsidR="004F7258">
        <w:rPr>
          <w:rFonts w:asciiTheme="minorHAnsi" w:hAnsiTheme="minorHAnsi"/>
          <w:snapToGrid w:val="0"/>
          <w:lang w:val="en-GB" w:eastAsia="en-US"/>
        </w:rPr>
        <w:t xml:space="preserve">(see paragraph </w:t>
      </w:r>
      <w:r w:rsidR="00005A96">
        <w:rPr>
          <w:rFonts w:asciiTheme="minorHAnsi" w:hAnsiTheme="minorHAnsi"/>
          <w:snapToGrid w:val="0"/>
          <w:lang w:val="en-GB" w:eastAsia="en-US"/>
        </w:rPr>
        <w:t>4</w:t>
      </w:r>
      <w:r w:rsidR="00C11946">
        <w:rPr>
          <w:rFonts w:asciiTheme="minorHAnsi" w:hAnsiTheme="minorHAnsi"/>
          <w:snapToGrid w:val="0"/>
          <w:lang w:val="en-GB" w:eastAsia="en-US"/>
        </w:rPr>
        <w:t>.3</w:t>
      </w:r>
      <w:r w:rsidR="00DD32E3">
        <w:rPr>
          <w:rFonts w:asciiTheme="minorHAnsi" w:hAnsiTheme="minorHAnsi"/>
          <w:snapToGrid w:val="0"/>
          <w:lang w:val="en-GB" w:eastAsia="en-US"/>
        </w:rPr>
        <w:t>)</w:t>
      </w:r>
      <w:r w:rsidR="006F43FB">
        <w:rPr>
          <w:rFonts w:asciiTheme="minorHAnsi" w:hAnsiTheme="minorHAnsi"/>
          <w:snapToGrid w:val="0"/>
          <w:lang w:val="en-GB" w:eastAsia="en-US"/>
        </w:rPr>
        <w:t xml:space="preserve"> th</w:t>
      </w:r>
      <w:r w:rsidR="00AE32A9" w:rsidRPr="004905F2">
        <w:rPr>
          <w:rFonts w:asciiTheme="minorHAnsi" w:hAnsiTheme="minorHAnsi"/>
          <w:snapToGrid w:val="0"/>
          <w:lang w:val="en-GB" w:eastAsia="en-US"/>
        </w:rPr>
        <w:t xml:space="preserve">e magnitude of the clinical benefit in </w:t>
      </w:r>
      <w:r w:rsidR="00E13A5B">
        <w:rPr>
          <w:rFonts w:asciiTheme="minorHAnsi" w:hAnsiTheme="minorHAnsi"/>
          <w:snapToGrid w:val="0"/>
          <w:lang w:val="en-GB" w:eastAsia="en-US"/>
        </w:rPr>
        <w:t xml:space="preserve">a population </w:t>
      </w:r>
      <w:r w:rsidR="009C2FF0">
        <w:rPr>
          <w:rFonts w:asciiTheme="minorHAnsi" w:hAnsiTheme="minorHAnsi"/>
          <w:snapToGrid w:val="0"/>
          <w:lang w:val="en-GB" w:eastAsia="en-US"/>
        </w:rPr>
        <w:t xml:space="preserve">where more patients have keratinising NPC </w:t>
      </w:r>
      <w:r w:rsidR="00E13A5B">
        <w:rPr>
          <w:rFonts w:asciiTheme="minorHAnsi" w:hAnsiTheme="minorHAnsi"/>
          <w:snapToGrid w:val="0"/>
          <w:lang w:val="en-GB" w:eastAsia="en-US"/>
        </w:rPr>
        <w:t xml:space="preserve">to be unclear, and thus the magnitude of the clinical benefit in </w:t>
      </w:r>
      <w:r w:rsidR="00AE32A9" w:rsidRPr="004905F2">
        <w:rPr>
          <w:rFonts w:asciiTheme="minorHAnsi" w:hAnsiTheme="minorHAnsi"/>
          <w:snapToGrid w:val="0"/>
          <w:lang w:val="en-GB" w:eastAsia="en-US"/>
        </w:rPr>
        <w:t xml:space="preserve">an Australian population </w:t>
      </w:r>
      <w:r w:rsidR="00E17DE5">
        <w:rPr>
          <w:rFonts w:asciiTheme="minorHAnsi" w:hAnsiTheme="minorHAnsi"/>
          <w:snapToGrid w:val="0"/>
          <w:lang w:val="en-GB" w:eastAsia="en-US"/>
        </w:rPr>
        <w:t>to be</w:t>
      </w:r>
      <w:r w:rsidR="00AE32A9" w:rsidRPr="004905F2">
        <w:rPr>
          <w:rFonts w:asciiTheme="minorHAnsi" w:hAnsiTheme="minorHAnsi"/>
          <w:snapToGrid w:val="0"/>
          <w:lang w:val="en-GB" w:eastAsia="en-US"/>
        </w:rPr>
        <w:t xml:space="preserve"> unc</w:t>
      </w:r>
      <w:r w:rsidR="00E13A5B">
        <w:rPr>
          <w:rFonts w:asciiTheme="minorHAnsi" w:hAnsiTheme="minorHAnsi"/>
          <w:snapToGrid w:val="0"/>
          <w:lang w:val="en-GB" w:eastAsia="en-US"/>
        </w:rPr>
        <w:t>ertain</w:t>
      </w:r>
      <w:r w:rsidR="00AE32A9" w:rsidRPr="004905F2">
        <w:rPr>
          <w:rFonts w:asciiTheme="minorHAnsi" w:hAnsiTheme="minorHAnsi"/>
          <w:snapToGrid w:val="0"/>
          <w:lang w:val="en-GB" w:eastAsia="en-US"/>
        </w:rPr>
        <w:t xml:space="preserve">.  </w:t>
      </w:r>
    </w:p>
    <w:p w14:paraId="61B90BEE" w14:textId="6DF20A9D" w:rsidR="00B4156F" w:rsidRPr="005664BF" w:rsidRDefault="005664BF">
      <w:pPr>
        <w:pStyle w:val="3-BodyText"/>
        <w:widowControl w:val="0"/>
        <w:spacing w:after="120"/>
        <w:rPr>
          <w:snapToGrid w:val="0"/>
          <w:lang w:val="en-GB" w:eastAsia="en-US"/>
        </w:rPr>
      </w:pPr>
      <w:r w:rsidRPr="005664BF">
        <w:rPr>
          <w:rFonts w:eastAsia="Times New Roman" w:cs="Arial"/>
          <w:snapToGrid w:val="0"/>
          <w:szCs w:val="24"/>
          <w:lang w:val="en-GB" w:eastAsia="en-US"/>
        </w:rPr>
        <w:t xml:space="preserve">In the </w:t>
      </w:r>
      <w:r w:rsidR="001D1C1F">
        <w:rPr>
          <w:rFonts w:eastAsia="Times New Roman" w:cs="Arial"/>
          <w:snapToGrid w:val="0"/>
          <w:szCs w:val="24"/>
          <w:lang w:val="en-GB" w:eastAsia="en-US"/>
        </w:rPr>
        <w:t>2L</w:t>
      </w:r>
      <w:r w:rsidRPr="005664BF">
        <w:rPr>
          <w:rFonts w:eastAsia="Times New Roman" w:cs="Arial"/>
          <w:snapToGrid w:val="0"/>
          <w:szCs w:val="24"/>
          <w:lang w:val="en-GB" w:eastAsia="en-US"/>
        </w:rPr>
        <w:t xml:space="preserve"> setting, the PBAC noted that the submission </w:t>
      </w:r>
      <w:r w:rsidR="00997493">
        <w:rPr>
          <w:rFonts w:eastAsia="Times New Roman" w:cs="Arial"/>
          <w:snapToGrid w:val="0"/>
          <w:szCs w:val="24"/>
          <w:lang w:val="en-GB" w:eastAsia="en-US"/>
        </w:rPr>
        <w:t xml:space="preserve">presented </w:t>
      </w:r>
      <w:r w:rsidRPr="005664BF">
        <w:rPr>
          <w:rFonts w:eastAsia="Times New Roman" w:cs="Arial"/>
          <w:snapToGrid w:val="0"/>
          <w:szCs w:val="24"/>
          <w:lang w:val="en-GB" w:eastAsia="en-US"/>
        </w:rPr>
        <w:t xml:space="preserve">data </w:t>
      </w:r>
      <w:r w:rsidR="00041D1C">
        <w:rPr>
          <w:rFonts w:eastAsia="Times New Roman" w:cs="Arial"/>
          <w:snapToGrid w:val="0"/>
          <w:szCs w:val="24"/>
          <w:lang w:val="en-GB" w:eastAsia="en-US"/>
        </w:rPr>
        <w:t>on patients treated with toripalimab at a dose of 3 mg/kg every 2 weeks</w:t>
      </w:r>
      <w:r w:rsidR="007F6CF0">
        <w:rPr>
          <w:rFonts w:eastAsia="Times New Roman" w:cs="Arial"/>
          <w:snapToGrid w:val="0"/>
          <w:szCs w:val="24"/>
          <w:lang w:val="en-GB" w:eastAsia="en-US"/>
        </w:rPr>
        <w:t xml:space="preserve"> </w:t>
      </w:r>
      <w:r w:rsidRPr="005664BF">
        <w:rPr>
          <w:rFonts w:eastAsia="Times New Roman" w:cs="Arial"/>
          <w:snapToGrid w:val="0"/>
          <w:szCs w:val="24"/>
          <w:lang w:val="en-GB" w:eastAsia="en-US"/>
        </w:rPr>
        <w:t xml:space="preserve">from POLARIS-02, </w:t>
      </w:r>
      <w:r w:rsidR="00EE7F77" w:rsidRPr="005664BF">
        <w:rPr>
          <w:rFonts w:eastAsia="Times New Roman" w:cs="Arial"/>
          <w:snapToGrid w:val="0"/>
          <w:szCs w:val="24"/>
          <w:lang w:val="en-GB" w:eastAsia="en-US"/>
        </w:rPr>
        <w:t xml:space="preserve">a </w:t>
      </w:r>
      <w:r w:rsidR="00EE7F77">
        <w:rPr>
          <w:rFonts w:eastAsia="Times New Roman" w:cs="Arial"/>
          <w:snapToGrid w:val="0"/>
          <w:szCs w:val="24"/>
          <w:lang w:val="en-GB" w:eastAsia="en-US"/>
        </w:rPr>
        <w:t>phase</w:t>
      </w:r>
      <w:r w:rsidR="007C4A54">
        <w:rPr>
          <w:rFonts w:eastAsia="Times New Roman" w:cs="Arial"/>
          <w:snapToGrid w:val="0"/>
          <w:szCs w:val="24"/>
          <w:lang w:val="en-GB" w:eastAsia="en-US"/>
        </w:rPr>
        <w:t xml:space="preserve"> II single arm </w:t>
      </w:r>
      <w:r w:rsidRPr="005664BF">
        <w:rPr>
          <w:rFonts w:eastAsia="Times New Roman" w:cs="Arial"/>
          <w:snapToGrid w:val="0"/>
          <w:szCs w:val="24"/>
          <w:lang w:val="en-GB" w:eastAsia="en-US"/>
        </w:rPr>
        <w:t>study that enrolled patient</w:t>
      </w:r>
      <w:r w:rsidR="006D315F">
        <w:rPr>
          <w:rFonts w:eastAsia="Times New Roman" w:cs="Arial"/>
          <w:snapToGrid w:val="0"/>
          <w:szCs w:val="24"/>
          <w:lang w:val="en-GB" w:eastAsia="en-US"/>
        </w:rPr>
        <w:t>s</w:t>
      </w:r>
      <w:r w:rsidRPr="005664BF">
        <w:rPr>
          <w:rFonts w:eastAsia="Times New Roman" w:cs="Arial"/>
          <w:snapToGrid w:val="0"/>
          <w:szCs w:val="24"/>
          <w:lang w:val="en-GB" w:eastAsia="en-US"/>
        </w:rPr>
        <w:t xml:space="preserve"> </w:t>
      </w:r>
      <w:r w:rsidR="0070110B">
        <w:rPr>
          <w:rFonts w:eastAsia="Times New Roman" w:cs="Arial"/>
          <w:snapToGrid w:val="0"/>
          <w:szCs w:val="24"/>
          <w:lang w:val="en-GB" w:eastAsia="en-US"/>
        </w:rPr>
        <w:t xml:space="preserve">(N=192) </w:t>
      </w:r>
      <w:r w:rsidRPr="005664BF">
        <w:rPr>
          <w:rFonts w:eastAsia="Times New Roman" w:cs="Arial"/>
          <w:snapToGrid w:val="0"/>
          <w:szCs w:val="24"/>
          <w:lang w:val="en-GB" w:eastAsia="en-US"/>
        </w:rPr>
        <w:t xml:space="preserve">with predominantly (95.8%) non-keratinising </w:t>
      </w:r>
      <w:r w:rsidR="00BC2358">
        <w:rPr>
          <w:rFonts w:eastAsia="Times New Roman" w:cs="Arial"/>
          <w:snapToGrid w:val="0"/>
          <w:szCs w:val="24"/>
          <w:lang w:val="en-GB" w:eastAsia="en-US"/>
        </w:rPr>
        <w:t xml:space="preserve">refractory (second-line or second-line plus) </w:t>
      </w:r>
      <w:r w:rsidR="00E17DE5">
        <w:rPr>
          <w:rFonts w:eastAsia="Times New Roman" w:cs="Arial"/>
          <w:snapToGrid w:val="0"/>
          <w:szCs w:val="24"/>
          <w:lang w:val="en-GB" w:eastAsia="en-US"/>
        </w:rPr>
        <w:t>RM-</w:t>
      </w:r>
      <w:r w:rsidRPr="005664BF">
        <w:rPr>
          <w:rFonts w:eastAsia="Times New Roman" w:cs="Arial"/>
          <w:snapToGrid w:val="0"/>
          <w:szCs w:val="24"/>
          <w:lang w:val="en-GB" w:eastAsia="en-US"/>
        </w:rPr>
        <w:t>NPC</w:t>
      </w:r>
      <w:r w:rsidR="00831066">
        <w:rPr>
          <w:rFonts w:eastAsia="Times New Roman" w:cs="Arial"/>
          <w:snapToGrid w:val="0"/>
          <w:szCs w:val="24"/>
          <w:lang w:val="en-GB" w:eastAsia="en-US"/>
        </w:rPr>
        <w:t xml:space="preserve">. </w:t>
      </w:r>
      <w:r w:rsidR="0078750A">
        <w:rPr>
          <w:rFonts w:eastAsia="Times New Roman" w:cs="Arial"/>
          <w:snapToGrid w:val="0"/>
          <w:szCs w:val="24"/>
          <w:lang w:val="en-GB" w:eastAsia="en-US"/>
        </w:rPr>
        <w:t xml:space="preserve">The PBAC noted the </w:t>
      </w:r>
      <w:r w:rsidR="00B81D3D">
        <w:rPr>
          <w:rFonts w:eastAsia="Times New Roman" w:cs="Arial"/>
          <w:snapToGrid w:val="0"/>
          <w:szCs w:val="24"/>
          <w:lang w:val="en-GB" w:eastAsia="en-US"/>
        </w:rPr>
        <w:t xml:space="preserve">objective response rate was 20.5% with a median duration of response of 14.9 months.  </w:t>
      </w:r>
      <w:r w:rsidR="00831066">
        <w:rPr>
          <w:rFonts w:eastAsia="Times New Roman" w:cs="Arial"/>
          <w:snapToGrid w:val="0"/>
          <w:szCs w:val="24"/>
          <w:lang w:val="en-GB" w:eastAsia="en-US"/>
        </w:rPr>
        <w:t xml:space="preserve">The PBAC </w:t>
      </w:r>
      <w:r w:rsidR="007F6CF0">
        <w:rPr>
          <w:rFonts w:eastAsia="Times New Roman" w:cs="Arial"/>
          <w:snapToGrid w:val="0"/>
          <w:szCs w:val="24"/>
          <w:lang w:val="en-GB" w:eastAsia="en-US"/>
        </w:rPr>
        <w:t xml:space="preserve">considered </w:t>
      </w:r>
      <w:r w:rsidR="001E383F">
        <w:rPr>
          <w:rFonts w:eastAsia="Times New Roman" w:cs="Arial"/>
          <w:snapToGrid w:val="0"/>
          <w:szCs w:val="24"/>
          <w:lang w:val="en-GB" w:eastAsia="en-US"/>
        </w:rPr>
        <w:t xml:space="preserve">that, while uncertain, </w:t>
      </w:r>
      <w:r w:rsidR="007F6CF0">
        <w:rPr>
          <w:rFonts w:eastAsia="Times New Roman" w:cs="Arial"/>
          <w:snapToGrid w:val="0"/>
          <w:szCs w:val="24"/>
          <w:lang w:val="en-GB" w:eastAsia="en-US"/>
        </w:rPr>
        <w:t>the clinical claim that toripalimab provide</w:t>
      </w:r>
      <w:r w:rsidR="001E383F">
        <w:rPr>
          <w:rFonts w:eastAsia="Times New Roman" w:cs="Arial"/>
          <w:snapToGrid w:val="0"/>
          <w:szCs w:val="24"/>
          <w:lang w:val="en-GB" w:eastAsia="en-US"/>
        </w:rPr>
        <w:t>d</w:t>
      </w:r>
      <w:r w:rsidR="00A7209D" w:rsidRPr="005664BF">
        <w:rPr>
          <w:snapToGrid w:val="0"/>
          <w:lang w:val="en-GB" w:eastAsia="en-US"/>
        </w:rPr>
        <w:t xml:space="preserve"> a clinically meaningful treatment response and duration of response</w:t>
      </w:r>
      <w:r w:rsidR="007F6CF0">
        <w:rPr>
          <w:snapToGrid w:val="0"/>
          <w:lang w:val="en-GB" w:eastAsia="en-US"/>
        </w:rPr>
        <w:t xml:space="preserve"> in patients who have previously progressed on chemotherapy </w:t>
      </w:r>
      <w:r w:rsidR="00414497">
        <w:rPr>
          <w:snapToGrid w:val="0"/>
          <w:lang w:val="en-GB" w:eastAsia="en-US"/>
        </w:rPr>
        <w:t xml:space="preserve">was </w:t>
      </w:r>
      <w:r w:rsidR="00C91BE6">
        <w:rPr>
          <w:snapToGrid w:val="0"/>
          <w:lang w:val="en-GB" w:eastAsia="en-US"/>
        </w:rPr>
        <w:t xml:space="preserve">likely </w:t>
      </w:r>
      <w:r w:rsidR="007F6CF0">
        <w:rPr>
          <w:snapToGrid w:val="0"/>
          <w:lang w:val="en-GB" w:eastAsia="en-US"/>
        </w:rPr>
        <w:t>to be reasonable</w:t>
      </w:r>
      <w:r w:rsidR="00C60B91">
        <w:rPr>
          <w:snapToGrid w:val="0"/>
          <w:lang w:val="en-GB" w:eastAsia="en-US"/>
        </w:rPr>
        <w:t>, noting the high clinical need for additional treatment options in this population</w:t>
      </w:r>
      <w:r w:rsidR="00D61C78" w:rsidRPr="005664BF">
        <w:rPr>
          <w:snapToGrid w:val="0"/>
          <w:lang w:val="en-GB" w:eastAsia="en-US"/>
        </w:rPr>
        <w:t xml:space="preserve">. </w:t>
      </w:r>
      <w:r w:rsidR="004D73EB" w:rsidRPr="005664BF">
        <w:rPr>
          <w:snapToGrid w:val="0"/>
          <w:lang w:val="en-GB" w:eastAsia="en-US"/>
        </w:rPr>
        <w:t xml:space="preserve">The PBAC considered that </w:t>
      </w:r>
      <w:r w:rsidR="00E466DE" w:rsidRPr="005664BF">
        <w:rPr>
          <w:snapToGrid w:val="0"/>
          <w:lang w:val="en-GB" w:eastAsia="en-US"/>
        </w:rPr>
        <w:t>the number of pat</w:t>
      </w:r>
      <w:r w:rsidR="004D73EB" w:rsidRPr="005664BF">
        <w:rPr>
          <w:snapToGrid w:val="0"/>
          <w:lang w:val="en-GB" w:eastAsia="en-US"/>
        </w:rPr>
        <w:t xml:space="preserve">ients </w:t>
      </w:r>
      <w:r w:rsidR="00E466DE" w:rsidRPr="005664BF">
        <w:rPr>
          <w:snapToGrid w:val="0"/>
          <w:lang w:val="en-GB" w:eastAsia="en-US"/>
        </w:rPr>
        <w:t xml:space="preserve">who would be eligible for </w:t>
      </w:r>
      <w:r w:rsidR="00EB390B">
        <w:rPr>
          <w:snapToGrid w:val="0"/>
          <w:lang w:val="en-GB" w:eastAsia="en-US"/>
        </w:rPr>
        <w:t>2L</w:t>
      </w:r>
      <w:r w:rsidR="00E466DE" w:rsidRPr="005664BF">
        <w:rPr>
          <w:snapToGrid w:val="0"/>
          <w:lang w:val="en-GB" w:eastAsia="en-US"/>
        </w:rPr>
        <w:t xml:space="preserve"> toripalimab would </w:t>
      </w:r>
      <w:r w:rsidR="00B447E3">
        <w:rPr>
          <w:snapToGrid w:val="0"/>
          <w:lang w:val="en-GB" w:eastAsia="en-US"/>
        </w:rPr>
        <w:t xml:space="preserve">be low and would </w:t>
      </w:r>
      <w:r w:rsidR="00E466DE" w:rsidRPr="005664BF">
        <w:rPr>
          <w:snapToGrid w:val="0"/>
          <w:lang w:val="en-GB" w:eastAsia="en-US"/>
        </w:rPr>
        <w:t>decline over time</w:t>
      </w:r>
      <w:r w:rsidR="00E0608C">
        <w:rPr>
          <w:snapToGrid w:val="0"/>
          <w:lang w:val="en-GB" w:eastAsia="en-US"/>
        </w:rPr>
        <w:t xml:space="preserve">, noting the high </w:t>
      </w:r>
      <w:r w:rsidR="002A48D9">
        <w:rPr>
          <w:snapToGrid w:val="0"/>
          <w:lang w:val="en-GB" w:eastAsia="en-US"/>
        </w:rPr>
        <w:t xml:space="preserve">expected </w:t>
      </w:r>
      <w:r w:rsidR="00E0608C">
        <w:rPr>
          <w:snapToGrid w:val="0"/>
          <w:lang w:val="en-GB" w:eastAsia="en-US"/>
        </w:rPr>
        <w:t>uptake in the 1L treatment setting and retreatment would not be</w:t>
      </w:r>
      <w:r w:rsidR="00E95593">
        <w:rPr>
          <w:snapToGrid w:val="0"/>
          <w:lang w:val="en-GB" w:eastAsia="en-US"/>
        </w:rPr>
        <w:t xml:space="preserve"> permitted</w:t>
      </w:r>
      <w:r w:rsidR="00E0608C">
        <w:rPr>
          <w:snapToGrid w:val="0"/>
          <w:lang w:val="en-GB" w:eastAsia="en-US"/>
        </w:rPr>
        <w:t xml:space="preserve"> (see paragraph </w:t>
      </w:r>
      <w:r w:rsidR="00E0608C">
        <w:rPr>
          <w:snapToGrid w:val="0"/>
          <w:lang w:val="en-GB" w:eastAsia="en-US"/>
        </w:rPr>
        <w:fldChar w:fldCharType="begin"/>
      </w:r>
      <w:r w:rsidR="00E0608C">
        <w:rPr>
          <w:snapToGrid w:val="0"/>
          <w:lang w:val="en-GB" w:eastAsia="en-US"/>
        </w:rPr>
        <w:instrText xml:space="preserve"> REF _Ref193887034 \r \h </w:instrText>
      </w:r>
      <w:r w:rsidR="00E0608C">
        <w:rPr>
          <w:snapToGrid w:val="0"/>
          <w:lang w:val="en-GB" w:eastAsia="en-US"/>
        </w:rPr>
      </w:r>
      <w:r w:rsidR="00E0608C">
        <w:rPr>
          <w:snapToGrid w:val="0"/>
          <w:lang w:val="en-GB" w:eastAsia="en-US"/>
        </w:rPr>
        <w:fldChar w:fldCharType="separate"/>
      </w:r>
      <w:r w:rsidR="002C005D">
        <w:rPr>
          <w:snapToGrid w:val="0"/>
          <w:lang w:val="en-GB" w:eastAsia="en-US"/>
        </w:rPr>
        <w:t>7.4</w:t>
      </w:r>
      <w:r w:rsidR="00E0608C">
        <w:rPr>
          <w:snapToGrid w:val="0"/>
          <w:lang w:val="en-GB" w:eastAsia="en-US"/>
        </w:rPr>
        <w:fldChar w:fldCharType="end"/>
      </w:r>
      <w:r w:rsidR="00E0608C">
        <w:rPr>
          <w:snapToGrid w:val="0"/>
          <w:lang w:val="en-GB" w:eastAsia="en-US"/>
        </w:rPr>
        <w:t>)</w:t>
      </w:r>
      <w:r w:rsidR="00C91BE6">
        <w:rPr>
          <w:snapToGrid w:val="0"/>
          <w:lang w:val="en-GB" w:eastAsia="en-US"/>
        </w:rPr>
        <w:t xml:space="preserve">. </w:t>
      </w:r>
    </w:p>
    <w:p w14:paraId="4C5D6BE5" w14:textId="2415017F" w:rsidR="007E0090" w:rsidRDefault="007E0090" w:rsidP="00C35141">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the claim </w:t>
      </w:r>
      <w:r w:rsidR="00976B1F">
        <w:rPr>
          <w:rFonts w:asciiTheme="minorHAnsi" w:hAnsiTheme="minorHAnsi"/>
          <w:snapToGrid w:val="0"/>
          <w:lang w:val="en-GB" w:eastAsia="en-US"/>
        </w:rPr>
        <w:t xml:space="preserve">of non-inferior </w:t>
      </w:r>
      <w:r w:rsidR="001C625A">
        <w:rPr>
          <w:rFonts w:asciiTheme="minorHAnsi" w:hAnsiTheme="minorHAnsi"/>
          <w:snapToGrid w:val="0"/>
          <w:lang w:val="en-GB" w:eastAsia="en-US"/>
        </w:rPr>
        <w:t xml:space="preserve">safety of toripalimab versus standard of care chemotherapy </w:t>
      </w:r>
      <w:r w:rsidR="00B45713">
        <w:rPr>
          <w:rFonts w:asciiTheme="minorHAnsi" w:hAnsiTheme="minorHAnsi"/>
          <w:snapToGrid w:val="0"/>
          <w:lang w:val="en-GB" w:eastAsia="en-US"/>
        </w:rPr>
        <w:t xml:space="preserve">in the first-line RM-NPC setting </w:t>
      </w:r>
      <w:r w:rsidR="00D100F7">
        <w:rPr>
          <w:rFonts w:asciiTheme="minorHAnsi" w:hAnsiTheme="minorHAnsi"/>
          <w:snapToGrid w:val="0"/>
          <w:lang w:val="en-GB" w:eastAsia="en-US"/>
        </w:rPr>
        <w:t>was not adequately supported</w:t>
      </w:r>
      <w:r w:rsidR="00B45713">
        <w:rPr>
          <w:rFonts w:asciiTheme="minorHAnsi" w:hAnsiTheme="minorHAnsi"/>
          <w:snapToGrid w:val="0"/>
          <w:lang w:val="en-GB" w:eastAsia="en-US"/>
        </w:rPr>
        <w:t xml:space="preserve">. The PBAC noted that patients in the toripalimab arm of JUPITER-02 experienced </w:t>
      </w:r>
      <w:r w:rsidR="003558E9">
        <w:rPr>
          <w:rFonts w:asciiTheme="minorHAnsi" w:hAnsiTheme="minorHAnsi"/>
          <w:snapToGrid w:val="0"/>
          <w:lang w:val="en-GB" w:eastAsia="en-US"/>
        </w:rPr>
        <w:t xml:space="preserve">over twice as many immune related adverse events </w:t>
      </w:r>
      <w:r w:rsidR="00992792">
        <w:rPr>
          <w:rFonts w:asciiTheme="minorHAnsi" w:hAnsiTheme="minorHAnsi"/>
          <w:snapToGrid w:val="0"/>
          <w:lang w:val="en-GB" w:eastAsia="en-US"/>
        </w:rPr>
        <w:t xml:space="preserve">(irAEs) </w:t>
      </w:r>
      <w:r w:rsidR="00E02294">
        <w:rPr>
          <w:rFonts w:asciiTheme="minorHAnsi" w:hAnsiTheme="minorHAnsi"/>
          <w:snapToGrid w:val="0"/>
          <w:lang w:val="en-GB" w:eastAsia="en-US"/>
        </w:rPr>
        <w:t>and a higher number of treatment emergent adverse events (TEAEs) that led to treatment discontinuation</w:t>
      </w:r>
      <w:r w:rsidR="00FE0BFF">
        <w:rPr>
          <w:rFonts w:asciiTheme="minorHAnsi" w:hAnsiTheme="minorHAnsi"/>
          <w:snapToGrid w:val="0"/>
          <w:lang w:val="en-GB" w:eastAsia="en-US"/>
        </w:rPr>
        <w:t xml:space="preserve"> compared to the placebo ar</w:t>
      </w:r>
      <w:r w:rsidR="00747720">
        <w:rPr>
          <w:rFonts w:asciiTheme="minorHAnsi" w:hAnsiTheme="minorHAnsi"/>
          <w:snapToGrid w:val="0"/>
          <w:lang w:val="en-GB" w:eastAsia="en-US"/>
        </w:rPr>
        <w:t>m</w:t>
      </w:r>
      <w:r w:rsidR="004410E5">
        <w:rPr>
          <w:rFonts w:asciiTheme="minorHAnsi" w:hAnsiTheme="minorHAnsi"/>
          <w:snapToGrid w:val="0"/>
          <w:lang w:val="en-GB" w:eastAsia="en-US"/>
        </w:rPr>
        <w:t>.</w:t>
      </w:r>
      <w:r w:rsidR="000D3B85">
        <w:rPr>
          <w:rFonts w:asciiTheme="minorHAnsi" w:hAnsiTheme="minorHAnsi"/>
          <w:snapToGrid w:val="0"/>
          <w:lang w:val="en-GB" w:eastAsia="en-US"/>
        </w:rPr>
        <w:t xml:space="preserve"> The PBAC noted the safety profile of toripalimab was similar to </w:t>
      </w:r>
      <w:r w:rsidR="00205ADD">
        <w:rPr>
          <w:rFonts w:asciiTheme="minorHAnsi" w:hAnsiTheme="minorHAnsi"/>
          <w:snapToGrid w:val="0"/>
          <w:lang w:val="en-GB" w:eastAsia="en-US"/>
        </w:rPr>
        <w:t xml:space="preserve">that of other PD-(L) inhibitors.  </w:t>
      </w:r>
    </w:p>
    <w:p w14:paraId="51D64129" w14:textId="5ABD7CD5" w:rsidR="00E16C4B" w:rsidRDefault="000641B2" w:rsidP="2CEDF8CC">
      <w:pPr>
        <w:widowControl w:val="0"/>
        <w:numPr>
          <w:ilvl w:val="1"/>
          <w:numId w:val="1"/>
        </w:numPr>
        <w:spacing w:after="120"/>
        <w:rPr>
          <w:rFonts w:asciiTheme="minorHAnsi" w:hAnsiTheme="minorHAnsi"/>
          <w:snapToGrid w:val="0"/>
          <w:lang w:val="en-GB" w:eastAsia="en-US"/>
        </w:rPr>
      </w:pPr>
      <w:bookmarkStart w:id="65" w:name="_Ref193965185"/>
      <w:r w:rsidRPr="2CEDF8CC">
        <w:rPr>
          <w:rFonts w:asciiTheme="minorHAnsi" w:hAnsiTheme="minorHAnsi"/>
          <w:snapToGrid w:val="0"/>
          <w:lang w:val="en-GB" w:eastAsia="en-US"/>
        </w:rPr>
        <w:t xml:space="preserve">The submission presented a cost-utility analysis to support the cost-effectiveness of toripalimab </w:t>
      </w:r>
      <w:r w:rsidR="000901B3" w:rsidRPr="2CEDF8CC">
        <w:rPr>
          <w:rFonts w:asciiTheme="minorHAnsi" w:hAnsiTheme="minorHAnsi"/>
          <w:snapToGrid w:val="0"/>
          <w:lang w:val="en-GB" w:eastAsia="en-US"/>
        </w:rPr>
        <w:t>commenced in combination with platinum-doublet chemotherapy versus platinum-doublet chemotherapy alone in the first-line treatment of patients with RM-NPC</w:t>
      </w:r>
      <w:r w:rsidR="0093749E" w:rsidRPr="2CEDF8CC">
        <w:rPr>
          <w:rFonts w:asciiTheme="minorHAnsi" w:hAnsiTheme="minorHAnsi"/>
          <w:snapToGrid w:val="0"/>
          <w:lang w:val="en-GB" w:eastAsia="en-US"/>
        </w:rPr>
        <w:t>. The PBAC noted that t</w:t>
      </w:r>
      <w:r w:rsidR="00333DD3" w:rsidRPr="2CEDF8CC">
        <w:rPr>
          <w:rFonts w:asciiTheme="minorHAnsi" w:hAnsiTheme="minorHAnsi"/>
          <w:snapToGrid w:val="0"/>
          <w:lang w:val="en-GB" w:eastAsia="en-US"/>
        </w:rPr>
        <w:t xml:space="preserve">he economic </w:t>
      </w:r>
      <w:r w:rsidR="00513413" w:rsidRPr="2CEDF8CC">
        <w:rPr>
          <w:rFonts w:asciiTheme="minorHAnsi" w:hAnsiTheme="minorHAnsi"/>
          <w:snapToGrid w:val="0"/>
          <w:lang w:val="en-GB" w:eastAsia="en-US"/>
        </w:rPr>
        <w:t>model reported</w:t>
      </w:r>
      <w:r w:rsidR="00333DD3" w:rsidRPr="2CEDF8CC">
        <w:rPr>
          <w:rFonts w:asciiTheme="minorHAnsi" w:hAnsiTheme="minorHAnsi"/>
          <w:snapToGrid w:val="0"/>
          <w:lang w:val="en-GB" w:eastAsia="en-US"/>
        </w:rPr>
        <w:t xml:space="preserve"> an ICER of </w:t>
      </w:r>
      <w:r w:rsidR="00497F33" w:rsidRPr="2CEDF8CC">
        <w:rPr>
          <w:rFonts w:asciiTheme="minorHAnsi" w:hAnsiTheme="minorHAnsi"/>
          <w:snapToGrid w:val="0"/>
          <w:lang w:val="en-GB" w:eastAsia="en-US"/>
        </w:rPr>
        <w:t>$</w:t>
      </w:r>
      <w:r w:rsidR="00D60956" w:rsidRPr="00D60956">
        <w:rPr>
          <w:rFonts w:asciiTheme="minorHAnsi" w:hAnsiTheme="minorHAnsi"/>
          <w:snapToGrid w:val="0"/>
          <w:lang w:val="en-GB" w:eastAsia="en-US"/>
        </w:rPr>
        <w:t>155,000 to &lt; $255,000</w:t>
      </w:r>
      <w:r w:rsidR="00BB5693">
        <w:rPr>
          <w:rFonts w:asciiTheme="minorHAnsi" w:hAnsiTheme="minorHAnsi"/>
          <w:snapToGrid w:val="0"/>
          <w:lang w:val="en-GB" w:eastAsia="en-US"/>
        </w:rPr>
        <w:t xml:space="preserve"> </w:t>
      </w:r>
      <w:r w:rsidR="00333DD3" w:rsidRPr="2CEDF8CC">
        <w:rPr>
          <w:rFonts w:asciiTheme="minorHAnsi" w:hAnsiTheme="minorHAnsi"/>
          <w:snapToGrid w:val="0"/>
          <w:lang w:val="en-GB" w:eastAsia="en-US"/>
        </w:rPr>
        <w:t xml:space="preserve">per QALY gained. </w:t>
      </w:r>
      <w:r w:rsidR="00841F47" w:rsidRPr="2CEDF8CC">
        <w:rPr>
          <w:rFonts w:asciiTheme="minorHAnsi" w:hAnsiTheme="minorHAnsi"/>
          <w:snapToGrid w:val="0"/>
          <w:lang w:val="en-GB" w:eastAsia="en-US"/>
        </w:rPr>
        <w:t xml:space="preserve">The PBAC noted </w:t>
      </w:r>
      <w:r w:rsidR="00A61B64" w:rsidRPr="2CEDF8CC">
        <w:rPr>
          <w:rFonts w:asciiTheme="minorHAnsi" w:hAnsiTheme="minorHAnsi"/>
          <w:snapToGrid w:val="0"/>
          <w:lang w:val="en-GB" w:eastAsia="en-US"/>
        </w:rPr>
        <w:t xml:space="preserve">the base case model assumed a time horizon of 35 years </w:t>
      </w:r>
      <w:r w:rsidR="007345E3" w:rsidRPr="2CEDF8CC">
        <w:rPr>
          <w:rFonts w:asciiTheme="minorHAnsi" w:hAnsiTheme="minorHAnsi"/>
          <w:snapToGrid w:val="0"/>
          <w:lang w:val="en-GB" w:eastAsia="en-US"/>
        </w:rPr>
        <w:t xml:space="preserve">and agreed with the </w:t>
      </w:r>
      <w:r w:rsidR="00AA37C2" w:rsidRPr="2CEDF8CC">
        <w:rPr>
          <w:rFonts w:asciiTheme="minorHAnsi" w:hAnsiTheme="minorHAnsi"/>
          <w:snapToGrid w:val="0"/>
          <w:lang w:val="en-GB" w:eastAsia="en-US"/>
        </w:rPr>
        <w:t>evaluation that this was optimistic and uncertain in the context of</w:t>
      </w:r>
      <w:r w:rsidR="00FE3DCD" w:rsidRPr="2CEDF8CC">
        <w:rPr>
          <w:rFonts w:asciiTheme="minorHAnsi" w:hAnsiTheme="minorHAnsi"/>
          <w:snapToGrid w:val="0"/>
          <w:lang w:val="en-GB" w:eastAsia="en-US"/>
        </w:rPr>
        <w:t xml:space="preserve"> the </w:t>
      </w:r>
      <w:r w:rsidR="00717138" w:rsidRPr="2CEDF8CC">
        <w:rPr>
          <w:rFonts w:asciiTheme="minorHAnsi" w:hAnsiTheme="minorHAnsi"/>
          <w:snapToGrid w:val="0"/>
          <w:lang w:val="en-GB" w:eastAsia="en-US"/>
        </w:rPr>
        <w:t xml:space="preserve">prognosis of this population and the </w:t>
      </w:r>
      <w:r w:rsidR="00FE3DCD" w:rsidRPr="2CEDF8CC">
        <w:rPr>
          <w:rFonts w:asciiTheme="minorHAnsi" w:hAnsiTheme="minorHAnsi"/>
          <w:snapToGrid w:val="0"/>
          <w:lang w:val="en-GB" w:eastAsia="en-US"/>
        </w:rPr>
        <w:t xml:space="preserve">length of follow up of JUPITER-02 (median </w:t>
      </w:r>
      <w:r w:rsidR="000F6FC7" w:rsidRPr="2CEDF8CC">
        <w:rPr>
          <w:rFonts w:asciiTheme="minorHAnsi" w:hAnsiTheme="minorHAnsi"/>
          <w:snapToGrid w:val="0"/>
          <w:lang w:val="en-GB" w:eastAsia="en-US"/>
        </w:rPr>
        <w:t>36.7 months</w:t>
      </w:r>
      <w:r w:rsidR="008827AC" w:rsidRPr="2CEDF8CC">
        <w:rPr>
          <w:rFonts w:asciiTheme="minorHAnsi" w:hAnsiTheme="minorHAnsi"/>
          <w:snapToGrid w:val="0"/>
          <w:lang w:val="en-GB" w:eastAsia="en-US"/>
        </w:rPr>
        <w:t xml:space="preserve"> for OS</w:t>
      </w:r>
      <w:r w:rsidR="000F6FC7" w:rsidRPr="2CEDF8CC">
        <w:rPr>
          <w:rFonts w:asciiTheme="minorHAnsi" w:hAnsiTheme="minorHAnsi"/>
          <w:snapToGrid w:val="0"/>
          <w:lang w:val="en-GB" w:eastAsia="en-US"/>
        </w:rPr>
        <w:t>)</w:t>
      </w:r>
      <w:r w:rsidR="00FE3DCD" w:rsidRPr="2CEDF8CC">
        <w:rPr>
          <w:rFonts w:asciiTheme="minorHAnsi" w:hAnsiTheme="minorHAnsi"/>
          <w:snapToGrid w:val="0"/>
          <w:lang w:val="en-GB" w:eastAsia="en-US"/>
        </w:rPr>
        <w:t>.</w:t>
      </w:r>
      <w:r w:rsidR="000F6FC7" w:rsidRPr="2CEDF8CC">
        <w:rPr>
          <w:rFonts w:asciiTheme="minorHAnsi" w:hAnsiTheme="minorHAnsi"/>
          <w:snapToGrid w:val="0"/>
          <w:lang w:val="en-GB" w:eastAsia="en-US"/>
        </w:rPr>
        <w:t xml:space="preserve"> </w:t>
      </w:r>
      <w:bookmarkEnd w:id="65"/>
      <w:r w:rsidR="00BE0741" w:rsidRPr="00BE0741">
        <w:rPr>
          <w:rFonts w:asciiTheme="minorHAnsi" w:hAnsiTheme="minorHAnsi"/>
          <w:snapToGrid w:val="0"/>
          <w:lang w:val="en-GB" w:eastAsia="en-US"/>
        </w:rPr>
        <w:t xml:space="preserve">The PBAC considered a respecified model as outlined by the ESC in paragraph </w:t>
      </w:r>
      <w:r w:rsidR="00BE0741" w:rsidRPr="00BE0741">
        <w:rPr>
          <w:rFonts w:asciiTheme="minorHAnsi" w:hAnsiTheme="minorHAnsi"/>
          <w:snapToGrid w:val="0"/>
          <w:lang w:val="en-GB" w:eastAsia="en-US"/>
        </w:rPr>
        <w:fldChar w:fldCharType="begin"/>
      </w:r>
      <w:r w:rsidR="00BE0741" w:rsidRPr="00BE0741">
        <w:rPr>
          <w:rFonts w:asciiTheme="minorHAnsi" w:hAnsiTheme="minorHAnsi"/>
          <w:snapToGrid w:val="0"/>
          <w:lang w:val="en-GB" w:eastAsia="en-US"/>
        </w:rPr>
        <w:instrText xml:space="preserve"> REF _Ref193799609 \r \h </w:instrText>
      </w:r>
      <w:r w:rsidR="00BE0741" w:rsidRPr="00BE0741">
        <w:rPr>
          <w:rFonts w:asciiTheme="minorHAnsi" w:hAnsiTheme="minorHAnsi"/>
          <w:snapToGrid w:val="0"/>
          <w:lang w:val="en-GB" w:eastAsia="en-US"/>
        </w:rPr>
      </w:r>
      <w:r w:rsidR="00BE0741" w:rsidRPr="00BE0741">
        <w:rPr>
          <w:rFonts w:asciiTheme="minorHAnsi" w:hAnsiTheme="minorHAnsi"/>
          <w:snapToGrid w:val="0"/>
          <w:lang w:val="en-GB" w:eastAsia="en-US"/>
        </w:rPr>
        <w:fldChar w:fldCharType="separate"/>
      </w:r>
      <w:r w:rsidR="002C005D">
        <w:rPr>
          <w:rFonts w:asciiTheme="minorHAnsi" w:hAnsiTheme="minorHAnsi"/>
          <w:snapToGrid w:val="0"/>
          <w:lang w:val="en-GB" w:eastAsia="en-US"/>
        </w:rPr>
        <w:t>6.52</w:t>
      </w:r>
      <w:r w:rsidR="00BE0741" w:rsidRPr="00BE0741">
        <w:rPr>
          <w:rFonts w:asciiTheme="minorHAnsi" w:hAnsiTheme="minorHAnsi"/>
          <w:snapToGrid w:val="0"/>
          <w:lang w:val="en-GB" w:eastAsia="en-US"/>
        </w:rPr>
        <w:fldChar w:fldCharType="end"/>
      </w:r>
      <w:r w:rsidR="00BE0741" w:rsidRPr="00BE0741">
        <w:rPr>
          <w:rFonts w:asciiTheme="minorHAnsi" w:hAnsiTheme="minorHAnsi"/>
          <w:snapToGrid w:val="0"/>
          <w:lang w:val="en-GB" w:eastAsia="en-US"/>
        </w:rPr>
        <w:t xml:space="preserve"> with a 10-year time horizon would provide a reasonable basis to consider the cost-effectiveness of </w:t>
      </w:r>
      <w:r w:rsidR="00BE0741" w:rsidRPr="00BE0741">
        <w:rPr>
          <w:rFonts w:asciiTheme="minorHAnsi" w:hAnsiTheme="minorHAnsi"/>
          <w:snapToGrid w:val="0"/>
          <w:lang w:val="en-GB" w:eastAsia="en-US"/>
        </w:rPr>
        <w:lastRenderedPageBreak/>
        <w:t>toripalimab. The PBAC noted the ICER using the respecified model was $</w:t>
      </w:r>
      <w:r w:rsidR="008A751D" w:rsidRPr="008A751D">
        <w:rPr>
          <w:rFonts w:asciiTheme="minorHAnsi" w:hAnsiTheme="minorHAnsi"/>
          <w:snapToGrid w:val="0"/>
          <w:lang w:val="en-GB" w:eastAsia="en-US"/>
        </w:rPr>
        <w:t>255,000 to &lt; $355,000</w:t>
      </w:r>
      <w:r w:rsidR="00C410F5">
        <w:rPr>
          <w:rFonts w:asciiTheme="minorHAnsi" w:hAnsiTheme="minorHAnsi"/>
          <w:snapToGrid w:val="0"/>
          <w:lang w:val="en-GB" w:eastAsia="en-US"/>
        </w:rPr>
        <w:t xml:space="preserve"> </w:t>
      </w:r>
      <w:r w:rsidR="00BE0741" w:rsidRPr="00BE0741">
        <w:rPr>
          <w:rFonts w:asciiTheme="minorHAnsi" w:hAnsiTheme="minorHAnsi"/>
          <w:snapToGrid w:val="0"/>
          <w:lang w:val="en-GB" w:eastAsia="en-US"/>
        </w:rPr>
        <w:t>per QALY using the price proposed in the submission and $</w:t>
      </w:r>
      <w:r w:rsidR="00087758" w:rsidRPr="00087758">
        <w:rPr>
          <w:rFonts w:asciiTheme="minorHAnsi" w:hAnsiTheme="minorHAnsi"/>
          <w:snapToGrid w:val="0"/>
          <w:lang w:val="en-GB" w:eastAsia="en-US"/>
        </w:rPr>
        <w:t>155,000 to &lt; $255,000</w:t>
      </w:r>
      <w:r w:rsidR="00C410F5">
        <w:rPr>
          <w:rFonts w:asciiTheme="minorHAnsi" w:hAnsiTheme="minorHAnsi"/>
          <w:snapToGrid w:val="0"/>
          <w:lang w:val="en-GB" w:eastAsia="en-US"/>
        </w:rPr>
        <w:t xml:space="preserve"> </w:t>
      </w:r>
      <w:r w:rsidR="00BE0741" w:rsidRPr="00BE0741">
        <w:rPr>
          <w:rFonts w:asciiTheme="minorHAnsi" w:hAnsiTheme="minorHAnsi"/>
          <w:snapToGrid w:val="0"/>
          <w:lang w:val="en-GB" w:eastAsia="en-US"/>
        </w:rPr>
        <w:t xml:space="preserve">per QALY using the price proposed in the pre-PBAC response (see paragraph </w:t>
      </w:r>
      <w:r w:rsidR="00BE0741" w:rsidRPr="00BE0741">
        <w:rPr>
          <w:rFonts w:asciiTheme="minorHAnsi" w:hAnsiTheme="minorHAnsi"/>
          <w:snapToGrid w:val="0"/>
          <w:lang w:val="en-GB" w:eastAsia="en-US"/>
        </w:rPr>
        <w:fldChar w:fldCharType="begin"/>
      </w:r>
      <w:r w:rsidR="00BE0741" w:rsidRPr="00BE0741">
        <w:rPr>
          <w:rFonts w:asciiTheme="minorHAnsi" w:hAnsiTheme="minorHAnsi"/>
          <w:snapToGrid w:val="0"/>
          <w:lang w:val="en-GB" w:eastAsia="en-US"/>
        </w:rPr>
        <w:instrText xml:space="preserve"> REF _Ref193896049 \r \h </w:instrText>
      </w:r>
      <w:r w:rsidR="00BE0741" w:rsidRPr="00BE0741">
        <w:rPr>
          <w:rFonts w:asciiTheme="minorHAnsi" w:hAnsiTheme="minorHAnsi"/>
          <w:snapToGrid w:val="0"/>
          <w:lang w:val="en-GB" w:eastAsia="en-US"/>
        </w:rPr>
      </w:r>
      <w:r w:rsidR="00BE0741" w:rsidRPr="00BE0741">
        <w:rPr>
          <w:rFonts w:asciiTheme="minorHAnsi" w:hAnsiTheme="minorHAnsi"/>
          <w:snapToGrid w:val="0"/>
          <w:lang w:val="en-GB" w:eastAsia="en-US"/>
        </w:rPr>
        <w:fldChar w:fldCharType="separate"/>
      </w:r>
      <w:r w:rsidR="002C005D">
        <w:rPr>
          <w:rFonts w:asciiTheme="minorHAnsi" w:hAnsiTheme="minorHAnsi"/>
          <w:snapToGrid w:val="0"/>
          <w:lang w:val="en-GB" w:eastAsia="en-US"/>
        </w:rPr>
        <w:t>3.1</w:t>
      </w:r>
      <w:r w:rsidR="00BE0741" w:rsidRPr="00BE0741">
        <w:rPr>
          <w:rFonts w:asciiTheme="minorHAnsi" w:hAnsiTheme="minorHAnsi"/>
          <w:snapToGrid w:val="0"/>
          <w:lang w:val="en-GB" w:eastAsia="en-US"/>
        </w:rPr>
        <w:fldChar w:fldCharType="end"/>
      </w:r>
      <w:r w:rsidR="00BE0741" w:rsidRPr="00BE0741">
        <w:rPr>
          <w:rFonts w:asciiTheme="minorHAnsi" w:hAnsiTheme="minorHAnsi"/>
          <w:snapToGrid w:val="0"/>
          <w:lang w:val="en-GB" w:eastAsia="en-US"/>
        </w:rPr>
        <w:t xml:space="preserve">).  The PBAC considered toripalimab would be cost-effective with an ICER of </w:t>
      </w:r>
      <w:r w:rsidR="00003695">
        <w:rPr>
          <w:rFonts w:asciiTheme="minorHAnsi" w:hAnsiTheme="minorHAnsi"/>
          <w:snapToGrid w:val="0"/>
          <w:lang w:val="en-GB" w:eastAsia="en-US"/>
        </w:rPr>
        <w:t>between $</w:t>
      </w:r>
      <w:r w:rsidR="008B7173" w:rsidRPr="008B7173">
        <w:rPr>
          <w:rFonts w:asciiTheme="minorHAnsi" w:hAnsiTheme="minorHAnsi"/>
          <w:snapToGrid w:val="0"/>
          <w:lang w:val="en-GB" w:eastAsia="en-US"/>
        </w:rPr>
        <w:t xml:space="preserve">55,000 to &lt; $75,000 </w:t>
      </w:r>
      <w:r w:rsidR="00003695">
        <w:rPr>
          <w:rFonts w:asciiTheme="minorHAnsi" w:hAnsiTheme="minorHAnsi"/>
          <w:snapToGrid w:val="0"/>
          <w:lang w:val="en-GB" w:eastAsia="en-US"/>
        </w:rPr>
        <w:t xml:space="preserve">and </w:t>
      </w:r>
      <w:r w:rsidR="00BE0741" w:rsidRPr="00BE0741">
        <w:rPr>
          <w:rFonts w:asciiTheme="minorHAnsi" w:hAnsiTheme="minorHAnsi"/>
          <w:snapToGrid w:val="0"/>
          <w:lang w:val="en-GB" w:eastAsia="en-US"/>
        </w:rPr>
        <w:t>$</w:t>
      </w:r>
      <w:r w:rsidR="008B7173" w:rsidRPr="008B7173">
        <w:rPr>
          <w:rFonts w:asciiTheme="minorHAnsi" w:hAnsiTheme="minorHAnsi"/>
          <w:snapToGrid w:val="0"/>
          <w:lang w:val="en-GB" w:eastAsia="en-US"/>
        </w:rPr>
        <w:t xml:space="preserve">55,000 to &lt; $75,000 </w:t>
      </w:r>
      <w:r w:rsidR="00BE0741" w:rsidRPr="00BE0741">
        <w:rPr>
          <w:rFonts w:asciiTheme="minorHAnsi" w:hAnsiTheme="minorHAnsi"/>
          <w:snapToGrid w:val="0"/>
          <w:lang w:val="en-GB" w:eastAsia="en-US"/>
        </w:rPr>
        <w:t>per QALY consistent with other similar considerations.</w:t>
      </w:r>
    </w:p>
    <w:p w14:paraId="4CA8AC00" w14:textId="4ABA770B" w:rsidR="00621B44" w:rsidRDefault="00621B44">
      <w:pPr>
        <w:widowControl w:val="0"/>
        <w:numPr>
          <w:ilvl w:val="1"/>
          <w:numId w:val="1"/>
        </w:numPr>
        <w:spacing w:after="120"/>
        <w:rPr>
          <w:rFonts w:asciiTheme="minorHAnsi" w:hAnsiTheme="minorHAnsi"/>
          <w:snapToGrid w:val="0"/>
          <w:lang w:val="en-GB" w:eastAsia="en-US"/>
        </w:rPr>
      </w:pPr>
      <w:r w:rsidRPr="00621B44">
        <w:rPr>
          <w:rFonts w:asciiTheme="minorHAnsi" w:hAnsiTheme="minorHAnsi"/>
          <w:snapToGrid w:val="0"/>
          <w:lang w:val="en-GB" w:eastAsia="en-US"/>
        </w:rPr>
        <w:t xml:space="preserve">The PBAC noted the submission had used an epidemiological approach to estimate the net cost of listing toripalimab on the PBS/RPBS/MBS and that the financial estimates were based on the published price of toripalimab. </w:t>
      </w:r>
      <w:r w:rsidR="00583D6F">
        <w:rPr>
          <w:rFonts w:asciiTheme="minorHAnsi" w:hAnsiTheme="minorHAnsi"/>
          <w:snapToGrid w:val="0"/>
          <w:lang w:val="en-GB" w:eastAsia="en-US"/>
        </w:rPr>
        <w:t>The PBAC noted there w</w:t>
      </w:r>
      <w:r w:rsidR="001C4E7D">
        <w:rPr>
          <w:rFonts w:asciiTheme="minorHAnsi" w:hAnsiTheme="minorHAnsi"/>
          <w:snapToGrid w:val="0"/>
          <w:lang w:val="en-GB" w:eastAsia="en-US"/>
        </w:rPr>
        <w:t>ere</w:t>
      </w:r>
      <w:r w:rsidR="00583D6F">
        <w:rPr>
          <w:rFonts w:asciiTheme="minorHAnsi" w:hAnsiTheme="minorHAnsi"/>
          <w:snapToGrid w:val="0"/>
          <w:lang w:val="en-GB" w:eastAsia="en-US"/>
        </w:rPr>
        <w:t xml:space="preserve"> some outstanding uncertainties regarding the financial estimates (as outlined in paragraph </w:t>
      </w:r>
      <w:r w:rsidR="00CD2F94">
        <w:rPr>
          <w:rFonts w:asciiTheme="minorHAnsi" w:hAnsiTheme="minorHAnsi"/>
          <w:snapToGrid w:val="0"/>
          <w:lang w:val="en-GB" w:eastAsia="en-US"/>
        </w:rPr>
        <w:fldChar w:fldCharType="begin"/>
      </w:r>
      <w:r w:rsidR="00CD2F94">
        <w:rPr>
          <w:rFonts w:asciiTheme="minorHAnsi" w:hAnsiTheme="minorHAnsi"/>
          <w:snapToGrid w:val="0"/>
          <w:lang w:val="en-GB" w:eastAsia="en-US"/>
        </w:rPr>
        <w:instrText xml:space="preserve"> REF _Ref193965370 \r \h </w:instrText>
      </w:r>
      <w:r w:rsidR="00CD2F94">
        <w:rPr>
          <w:rFonts w:asciiTheme="minorHAnsi" w:hAnsiTheme="minorHAnsi"/>
          <w:snapToGrid w:val="0"/>
          <w:lang w:val="en-GB" w:eastAsia="en-US"/>
        </w:rPr>
      </w:r>
      <w:r w:rsidR="00CD2F94">
        <w:rPr>
          <w:rFonts w:asciiTheme="minorHAnsi" w:hAnsiTheme="minorHAnsi"/>
          <w:snapToGrid w:val="0"/>
          <w:lang w:val="en-GB" w:eastAsia="en-US"/>
        </w:rPr>
        <w:fldChar w:fldCharType="separate"/>
      </w:r>
      <w:r w:rsidR="002C005D">
        <w:rPr>
          <w:rFonts w:asciiTheme="minorHAnsi" w:hAnsiTheme="minorHAnsi"/>
          <w:snapToGrid w:val="0"/>
          <w:lang w:val="en-GB" w:eastAsia="en-US"/>
        </w:rPr>
        <w:t>6.60</w:t>
      </w:r>
      <w:r w:rsidR="00CD2F94">
        <w:rPr>
          <w:rFonts w:asciiTheme="minorHAnsi" w:hAnsiTheme="minorHAnsi"/>
          <w:snapToGrid w:val="0"/>
          <w:lang w:val="en-GB" w:eastAsia="en-US"/>
        </w:rPr>
        <w:fldChar w:fldCharType="end"/>
      </w:r>
      <w:r w:rsidR="00CD2F94">
        <w:rPr>
          <w:rFonts w:asciiTheme="minorHAnsi" w:hAnsiTheme="minorHAnsi"/>
          <w:snapToGrid w:val="0"/>
          <w:lang w:val="en-GB" w:eastAsia="en-US"/>
        </w:rPr>
        <w:t xml:space="preserve">) but considered that, on balance, </w:t>
      </w:r>
      <w:r w:rsidR="00AB3AD9">
        <w:rPr>
          <w:rFonts w:asciiTheme="minorHAnsi" w:hAnsiTheme="minorHAnsi"/>
          <w:snapToGrid w:val="0"/>
          <w:lang w:val="en-GB" w:eastAsia="en-US"/>
        </w:rPr>
        <w:t>the estimated financial implication</w:t>
      </w:r>
      <w:r w:rsidR="002E6313">
        <w:rPr>
          <w:rFonts w:asciiTheme="minorHAnsi" w:hAnsiTheme="minorHAnsi"/>
          <w:snapToGrid w:val="0"/>
          <w:lang w:val="en-GB" w:eastAsia="en-US"/>
        </w:rPr>
        <w:t>s</w:t>
      </w:r>
      <w:r w:rsidR="00AB3AD9">
        <w:rPr>
          <w:rFonts w:asciiTheme="minorHAnsi" w:hAnsiTheme="minorHAnsi"/>
          <w:snapToGrid w:val="0"/>
          <w:lang w:val="en-GB" w:eastAsia="en-US"/>
        </w:rPr>
        <w:t xml:space="preserve"> of listing toripalimab would be reasonable with the following amendments:</w:t>
      </w:r>
    </w:p>
    <w:p w14:paraId="68FB8AF4" w14:textId="09F9BE72" w:rsidR="00AB3AD9" w:rsidRDefault="00AB3AD9" w:rsidP="00A064CF">
      <w:pPr>
        <w:pStyle w:val="ListParagraph"/>
        <w:widowControl w:val="0"/>
        <w:numPr>
          <w:ilvl w:val="0"/>
          <w:numId w:val="33"/>
        </w:numPr>
        <w:jc w:val="both"/>
        <w:rPr>
          <w:lang w:val="en-GB" w:eastAsia="en-US"/>
        </w:rPr>
      </w:pPr>
      <w:r>
        <w:rPr>
          <w:lang w:val="en-GB" w:eastAsia="en-US"/>
        </w:rPr>
        <w:t>A</w:t>
      </w:r>
      <w:r w:rsidR="00D47028">
        <w:rPr>
          <w:lang w:val="en-GB" w:eastAsia="en-US"/>
        </w:rPr>
        <w:t>n annual</w:t>
      </w:r>
      <w:r>
        <w:rPr>
          <w:lang w:val="en-GB" w:eastAsia="en-US"/>
        </w:rPr>
        <w:t xml:space="preserve"> growth rate in incident cases of 5% as proposed in the PSCR;</w:t>
      </w:r>
    </w:p>
    <w:p w14:paraId="724A69C2" w14:textId="2F72A104" w:rsidR="00AB3AD9" w:rsidRDefault="003543BC" w:rsidP="00A064CF">
      <w:pPr>
        <w:pStyle w:val="ListParagraph"/>
        <w:widowControl w:val="0"/>
        <w:numPr>
          <w:ilvl w:val="0"/>
          <w:numId w:val="33"/>
        </w:numPr>
        <w:jc w:val="both"/>
        <w:rPr>
          <w:lang w:val="en-GB" w:eastAsia="en-US"/>
        </w:rPr>
      </w:pPr>
      <w:r>
        <w:rPr>
          <w:lang w:val="en-GB" w:eastAsia="en-US"/>
        </w:rPr>
        <w:t>Assuming 90% of patients would have a WHO performance status of no greater than 2;</w:t>
      </w:r>
    </w:p>
    <w:p w14:paraId="720191AC" w14:textId="77777777" w:rsidR="00CD2F94" w:rsidRDefault="003543BC" w:rsidP="00A064CF">
      <w:pPr>
        <w:pStyle w:val="ListParagraph"/>
        <w:widowControl w:val="0"/>
        <w:numPr>
          <w:ilvl w:val="0"/>
          <w:numId w:val="33"/>
        </w:numPr>
        <w:jc w:val="both"/>
        <w:rPr>
          <w:lang w:val="en-GB" w:eastAsia="en-US"/>
        </w:rPr>
      </w:pPr>
      <w:r>
        <w:rPr>
          <w:lang w:val="en-GB" w:eastAsia="en-US"/>
        </w:rPr>
        <w:t xml:space="preserve">Correction to the </w:t>
      </w:r>
      <w:r w:rsidR="0019148A">
        <w:rPr>
          <w:lang w:val="en-GB" w:eastAsia="en-US"/>
        </w:rPr>
        <w:t>MBS administration offsets as proposed in the PSCR;</w:t>
      </w:r>
      <w:r w:rsidR="002615C3">
        <w:rPr>
          <w:lang w:val="en-GB" w:eastAsia="en-US"/>
        </w:rPr>
        <w:t xml:space="preserve"> </w:t>
      </w:r>
    </w:p>
    <w:p w14:paraId="0F60ABDF" w14:textId="247DC8CC" w:rsidR="003543BC" w:rsidRDefault="00CD2F94" w:rsidP="00A064CF">
      <w:pPr>
        <w:pStyle w:val="ListParagraph"/>
        <w:widowControl w:val="0"/>
        <w:numPr>
          <w:ilvl w:val="0"/>
          <w:numId w:val="33"/>
        </w:numPr>
        <w:jc w:val="both"/>
        <w:rPr>
          <w:lang w:val="en-GB" w:eastAsia="en-US"/>
        </w:rPr>
      </w:pPr>
      <w:r>
        <w:rPr>
          <w:lang w:val="en-GB" w:eastAsia="en-US"/>
        </w:rPr>
        <w:t xml:space="preserve">Revised treatment duration to be consistent with the economic model as proposed in the PSCR; </w:t>
      </w:r>
      <w:r w:rsidR="002615C3">
        <w:rPr>
          <w:lang w:val="en-GB" w:eastAsia="en-US"/>
        </w:rPr>
        <w:t>and</w:t>
      </w:r>
    </w:p>
    <w:p w14:paraId="22B759B0" w14:textId="383996A3" w:rsidR="0019148A" w:rsidRPr="00AB3AD9" w:rsidRDefault="002615C3" w:rsidP="00A064CF">
      <w:pPr>
        <w:pStyle w:val="ListParagraph"/>
        <w:widowControl w:val="0"/>
        <w:numPr>
          <w:ilvl w:val="0"/>
          <w:numId w:val="33"/>
        </w:numPr>
        <w:jc w:val="both"/>
        <w:rPr>
          <w:lang w:val="en-GB" w:eastAsia="en-US"/>
        </w:rPr>
      </w:pPr>
      <w:r>
        <w:rPr>
          <w:lang w:val="en-GB" w:eastAsia="en-US"/>
        </w:rPr>
        <w:t xml:space="preserve">Revised price as required in paragraph </w:t>
      </w:r>
      <w:r>
        <w:rPr>
          <w:lang w:val="en-GB" w:eastAsia="en-US"/>
        </w:rPr>
        <w:fldChar w:fldCharType="begin"/>
      </w:r>
      <w:r>
        <w:rPr>
          <w:lang w:val="en-GB" w:eastAsia="en-US"/>
        </w:rPr>
        <w:instrText xml:space="preserve"> REF _Ref193965185 \r \h </w:instrText>
      </w:r>
      <w:r w:rsidR="00A064CF">
        <w:rPr>
          <w:lang w:val="en-GB" w:eastAsia="en-US"/>
        </w:rPr>
        <w:instrText xml:space="preserve"> \* MERGEFORMAT </w:instrText>
      </w:r>
      <w:r>
        <w:rPr>
          <w:lang w:val="en-GB" w:eastAsia="en-US"/>
        </w:rPr>
      </w:r>
      <w:r>
        <w:rPr>
          <w:lang w:val="en-GB" w:eastAsia="en-US"/>
        </w:rPr>
        <w:fldChar w:fldCharType="separate"/>
      </w:r>
      <w:r w:rsidR="002C005D">
        <w:rPr>
          <w:lang w:val="en-GB" w:eastAsia="en-US"/>
        </w:rPr>
        <w:t>7.10</w:t>
      </w:r>
      <w:r>
        <w:rPr>
          <w:lang w:val="en-GB" w:eastAsia="en-US"/>
        </w:rPr>
        <w:fldChar w:fldCharType="end"/>
      </w:r>
      <w:r>
        <w:rPr>
          <w:lang w:val="en-GB" w:eastAsia="en-US"/>
        </w:rPr>
        <w:t>.</w:t>
      </w:r>
    </w:p>
    <w:p w14:paraId="2E503AE4" w14:textId="3AD97905" w:rsidR="004465EA" w:rsidRPr="00261D38" w:rsidRDefault="004465EA" w:rsidP="004465EA">
      <w:pPr>
        <w:pStyle w:val="3-BodyText"/>
        <w:rPr>
          <w:bCs/>
          <w:snapToGrid w:val="0"/>
          <w:lang w:val="en-GB" w:eastAsia="en-US"/>
        </w:rPr>
      </w:pPr>
      <w:r w:rsidRPr="00261D38">
        <w:rPr>
          <w:snapToGrid w:val="0"/>
          <w:lang w:val="en-GB" w:eastAsia="en-US"/>
        </w:rPr>
        <w:t xml:space="preserve">The PBAC recommended that </w:t>
      </w:r>
      <w:r>
        <w:rPr>
          <w:bCs/>
          <w:snapToGrid w:val="0"/>
          <w:lang w:val="en-GB" w:eastAsia="en-US"/>
        </w:rPr>
        <w:t>toripali</w:t>
      </w:r>
      <w:r w:rsidRPr="00261D38">
        <w:rPr>
          <w:bCs/>
          <w:snapToGrid w:val="0"/>
          <w:lang w:val="en-GB" w:eastAsia="en-US"/>
        </w:rPr>
        <w:t>mab</w:t>
      </w:r>
      <w:r w:rsidRPr="00261D38">
        <w:rPr>
          <w:snapToGrid w:val="0"/>
          <w:lang w:val="en-GB" w:eastAsia="en-US"/>
        </w:rPr>
        <w:t xml:space="preserve"> should not be treated as interchangeable with any other drugs.</w:t>
      </w:r>
    </w:p>
    <w:p w14:paraId="52E7552D" w14:textId="0CC9046C" w:rsidR="008F0B3C" w:rsidRDefault="008F0B3C" w:rsidP="005B0F23">
      <w:pPr>
        <w:widowControl w:val="0"/>
        <w:numPr>
          <w:ilvl w:val="1"/>
          <w:numId w:val="1"/>
        </w:numPr>
        <w:spacing w:after="120"/>
        <w:rPr>
          <w:rFonts w:asciiTheme="minorHAnsi" w:hAnsiTheme="minorHAnsi"/>
          <w:bCs/>
          <w:snapToGrid w:val="0"/>
          <w:lang w:val="en-GB"/>
        </w:rPr>
      </w:pPr>
      <w:r w:rsidRPr="008F0B3C">
        <w:rPr>
          <w:rFonts w:asciiTheme="minorHAnsi" w:hAnsiTheme="minorHAnsi"/>
          <w:bCs/>
          <w:snapToGrid w:val="0"/>
          <w:lang w:val="en-GB" w:eastAsia="en-US"/>
        </w:rPr>
        <w:t xml:space="preserve">The PBAC advised that </w:t>
      </w:r>
      <w:r w:rsidR="00C341F0">
        <w:rPr>
          <w:rFonts w:asciiTheme="minorHAnsi" w:hAnsiTheme="minorHAnsi"/>
          <w:bCs/>
          <w:snapToGrid w:val="0"/>
          <w:lang w:val="en-GB" w:eastAsia="en-US"/>
        </w:rPr>
        <w:t xml:space="preserve">toripalimab </w:t>
      </w:r>
      <w:r w:rsidRPr="008F0B3C">
        <w:rPr>
          <w:rFonts w:asciiTheme="minorHAnsi" w:hAnsiTheme="minorHAnsi"/>
          <w:bCs/>
          <w:snapToGrid w:val="0"/>
          <w:lang w:val="en-GB" w:eastAsia="en-US"/>
        </w:rPr>
        <w:t xml:space="preserve">is </w:t>
      </w:r>
      <w:r w:rsidR="00C341F0">
        <w:rPr>
          <w:rFonts w:asciiTheme="minorHAnsi" w:hAnsiTheme="minorHAnsi"/>
          <w:bCs/>
          <w:snapToGrid w:val="0"/>
          <w:lang w:val="en-GB" w:eastAsia="en-US"/>
        </w:rPr>
        <w:t xml:space="preserve">not </w:t>
      </w:r>
      <w:r w:rsidRPr="008F0B3C">
        <w:rPr>
          <w:rFonts w:asciiTheme="minorHAnsi" w:hAnsiTheme="minorHAnsi"/>
          <w:bCs/>
          <w:snapToGrid w:val="0"/>
          <w:lang w:val="en-GB" w:eastAsia="en-US"/>
        </w:rPr>
        <w:t>suitable</w:t>
      </w:r>
      <w:r w:rsidR="005B0F23">
        <w:rPr>
          <w:rFonts w:asciiTheme="minorHAnsi" w:hAnsiTheme="minorHAnsi"/>
          <w:bCs/>
          <w:snapToGrid w:val="0"/>
          <w:lang w:val="en-GB" w:eastAsia="en-US"/>
        </w:rPr>
        <w:t xml:space="preserve"> </w:t>
      </w:r>
      <w:r w:rsidRPr="008F0B3C">
        <w:rPr>
          <w:rFonts w:asciiTheme="minorHAnsi" w:hAnsiTheme="minorHAnsi"/>
          <w:bCs/>
          <w:snapToGrid w:val="0"/>
          <w:lang w:val="en-GB" w:eastAsia="en-US"/>
        </w:rPr>
        <w:t xml:space="preserve">for prescribing by nurse practitioners. </w:t>
      </w:r>
    </w:p>
    <w:p w14:paraId="0289C4FB" w14:textId="058243CC" w:rsidR="008D33BB" w:rsidRPr="008F0B3C" w:rsidRDefault="008D33BB" w:rsidP="005B0F23">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eastAsia="en-US"/>
        </w:rPr>
        <w:t>The PBAC advised that the Early Supply Rule should not apply.</w:t>
      </w:r>
      <w:r w:rsidR="00621B69" w:rsidRPr="00621B69">
        <w:rPr>
          <w:rFonts w:cs="Calibri"/>
          <w:lang w:val="en-US"/>
        </w:rPr>
        <w:t xml:space="preserve"> </w:t>
      </w:r>
    </w:p>
    <w:p w14:paraId="63BA03E0" w14:textId="628CC30B" w:rsidR="00FC46B5" w:rsidRPr="001E7592" w:rsidRDefault="008F0B3C" w:rsidP="00FC46B5">
      <w:pPr>
        <w:pStyle w:val="3-BodyText"/>
        <w:spacing w:before="0" w:after="120"/>
        <w:rPr>
          <w:b/>
          <w:lang w:val="en-GB"/>
        </w:rPr>
      </w:pPr>
      <w:r w:rsidRPr="002A12EB">
        <w:rPr>
          <w:rFonts w:cstheme="minorHAnsi"/>
          <w:lang w:val="en-GB" w:eastAsia="en-US"/>
        </w:rPr>
        <w:t xml:space="preserve">The PBAC found that the criteria prescribed by the </w:t>
      </w:r>
      <w:r w:rsidRPr="002A12EB">
        <w:rPr>
          <w:rFonts w:cstheme="minorHAnsi"/>
          <w:i/>
          <w:lang w:val="en-GB" w:eastAsia="en-US"/>
        </w:rPr>
        <w:t>National Health (Pharmaceuticals and Vaccines – Cost Recovery) Regulations 2022</w:t>
      </w:r>
      <w:r w:rsidRPr="002A12EB">
        <w:rPr>
          <w:rFonts w:cstheme="minorHAnsi"/>
          <w:lang w:val="en-GB" w:eastAsia="en-US"/>
        </w:rPr>
        <w:t xml:space="preserve"> for Pricing Pathway A were not met. </w:t>
      </w:r>
      <w:r w:rsidR="00FC46B5" w:rsidRPr="00D121C5">
        <w:rPr>
          <w:lang w:val="en-GB"/>
        </w:rPr>
        <w:t>Specifically</w:t>
      </w:r>
      <w:r w:rsidR="005D6307">
        <w:rPr>
          <w:lang w:val="en-GB"/>
        </w:rPr>
        <w:t>,</w:t>
      </w:r>
      <w:r w:rsidR="00FC46B5" w:rsidRPr="00D121C5">
        <w:rPr>
          <w:lang w:val="en-GB"/>
        </w:rPr>
        <w:t xml:space="preserve"> the PBAC found that in the circumstances of its recommendation for </w:t>
      </w:r>
      <w:r w:rsidR="005E65B2">
        <w:rPr>
          <w:lang w:val="en-GB"/>
        </w:rPr>
        <w:t>toripalim</w:t>
      </w:r>
      <w:r w:rsidR="00FC46B5">
        <w:rPr>
          <w:lang w:val="en-GB"/>
        </w:rPr>
        <w:t>ab</w:t>
      </w:r>
      <w:r w:rsidR="00FC46B5" w:rsidRPr="00D121C5">
        <w:rPr>
          <w:lang w:val="en-GB"/>
        </w:rPr>
        <w:t>:</w:t>
      </w:r>
    </w:p>
    <w:p w14:paraId="7233A487" w14:textId="61792DE2" w:rsidR="00FC46B5" w:rsidRDefault="00FC46B5" w:rsidP="00FC46B5">
      <w:pPr>
        <w:pStyle w:val="3-BodyText"/>
        <w:numPr>
          <w:ilvl w:val="1"/>
          <w:numId w:val="23"/>
        </w:numPr>
        <w:ind w:left="1134"/>
        <w:rPr>
          <w:lang w:val="en-GB"/>
        </w:rPr>
      </w:pPr>
      <w:r>
        <w:rPr>
          <w:lang w:val="en-GB"/>
        </w:rPr>
        <w:t xml:space="preserve">The treatment is expected to provide a substantial improvement in </w:t>
      </w:r>
      <w:r w:rsidR="00F54157">
        <w:rPr>
          <w:lang w:val="en-GB"/>
        </w:rPr>
        <w:t>OS and PFS</w:t>
      </w:r>
      <w:r>
        <w:rPr>
          <w:lang w:val="en-GB"/>
        </w:rPr>
        <w:t xml:space="preserve"> compared to </w:t>
      </w:r>
      <w:r w:rsidR="00EA5396">
        <w:rPr>
          <w:lang w:val="en-GB"/>
        </w:rPr>
        <w:t>Cis+Gem</w:t>
      </w:r>
      <w:r w:rsidR="00467B0D">
        <w:rPr>
          <w:lang w:val="en-GB"/>
        </w:rPr>
        <w:t xml:space="preserve"> in an Asian population</w:t>
      </w:r>
      <w:r w:rsidR="00137C25">
        <w:rPr>
          <w:lang w:val="en-GB"/>
        </w:rPr>
        <w:t>, however the magnitude of benefit in</w:t>
      </w:r>
      <w:r w:rsidR="0054375B">
        <w:rPr>
          <w:lang w:val="en-GB"/>
        </w:rPr>
        <w:t xml:space="preserve"> a</w:t>
      </w:r>
      <w:r w:rsidR="00137C25">
        <w:rPr>
          <w:lang w:val="en-GB"/>
        </w:rPr>
        <w:t xml:space="preserve"> non-Asian population </w:t>
      </w:r>
      <w:r w:rsidR="0054375B">
        <w:rPr>
          <w:lang w:val="en-GB"/>
        </w:rPr>
        <w:t>with a high proportion of keratinised NPC is unclear</w:t>
      </w:r>
      <w:r>
        <w:rPr>
          <w:lang w:val="en-GB"/>
        </w:rPr>
        <w:t>;</w:t>
      </w:r>
    </w:p>
    <w:p w14:paraId="423BCE6C" w14:textId="1C8C0530" w:rsidR="00FC46B5" w:rsidRDefault="00FC46B5" w:rsidP="00FC46B5">
      <w:pPr>
        <w:pStyle w:val="3-BodyText"/>
        <w:numPr>
          <w:ilvl w:val="1"/>
          <w:numId w:val="23"/>
        </w:numPr>
        <w:ind w:left="1134"/>
        <w:rPr>
          <w:lang w:val="en-GB"/>
        </w:rPr>
      </w:pPr>
      <w:r>
        <w:rPr>
          <w:lang w:val="en-GB"/>
        </w:rPr>
        <w:t>The treatment is not expected to address an urgent clinical need because alternative therapies (</w:t>
      </w:r>
      <w:r w:rsidR="008676C8">
        <w:rPr>
          <w:lang w:val="en-GB"/>
        </w:rPr>
        <w:t>Cis-Gem</w:t>
      </w:r>
      <w:r>
        <w:rPr>
          <w:lang w:val="en-GB"/>
        </w:rPr>
        <w:t>) are PBS listed;</w:t>
      </w:r>
    </w:p>
    <w:p w14:paraId="0B6AD6FC" w14:textId="77777777" w:rsidR="00FC46B5" w:rsidRPr="00140FEC" w:rsidRDefault="00FC46B5" w:rsidP="00FC46B5">
      <w:pPr>
        <w:pStyle w:val="3-BodyText"/>
        <w:numPr>
          <w:ilvl w:val="1"/>
          <w:numId w:val="23"/>
        </w:numPr>
        <w:ind w:left="1134"/>
        <w:rPr>
          <w:lang w:val="en-GB"/>
        </w:rPr>
      </w:pPr>
      <w:r w:rsidRPr="00140FEC">
        <w:rPr>
          <w:rFonts w:cstheme="minorHAnsi"/>
          <w:szCs w:val="28"/>
        </w:rPr>
        <w:t>It was not necessary to make a finding in relation to whether it would be in the public interest for the subsequent pricing application to be progressed under Pricing Pathway A because one or more of the preceding tests had failed.</w:t>
      </w:r>
    </w:p>
    <w:p w14:paraId="0897D0DC" w14:textId="731C4196" w:rsidR="008F0B3C" w:rsidRPr="008F0B3C" w:rsidRDefault="008F0B3C" w:rsidP="00C35141">
      <w:pPr>
        <w:widowControl w:val="0"/>
        <w:numPr>
          <w:ilvl w:val="1"/>
          <w:numId w:val="1"/>
        </w:numPr>
        <w:spacing w:after="120"/>
        <w:rPr>
          <w:rFonts w:asciiTheme="minorHAnsi" w:hAnsiTheme="minorHAnsi"/>
          <w:bCs/>
          <w:snapToGrid w:val="0"/>
          <w:lang w:val="en-GB" w:eastAsia="en-US"/>
        </w:rPr>
      </w:pPr>
      <w:r w:rsidRPr="008F0B3C">
        <w:rPr>
          <w:rFonts w:asciiTheme="minorHAnsi" w:hAnsiTheme="minorHAnsi"/>
          <w:bCs/>
          <w:snapToGrid w:val="0"/>
          <w:lang w:val="en-GB" w:eastAsia="en-US"/>
        </w:rPr>
        <w:lastRenderedPageBreak/>
        <w:t>The PBAC noted that this submission is not eligible for an Independent Review</w:t>
      </w:r>
      <w:r w:rsidR="002F1F51">
        <w:rPr>
          <w:rFonts w:asciiTheme="minorHAnsi" w:hAnsiTheme="minorHAnsi"/>
          <w:bCs/>
          <w:snapToGrid w:val="0"/>
          <w:lang w:val="en-GB" w:eastAsia="en-US"/>
        </w:rPr>
        <w:t xml:space="preserve"> as it received a positive recommendation.</w:t>
      </w:r>
      <w:r w:rsidRPr="008F0B3C">
        <w:rPr>
          <w:rFonts w:asciiTheme="minorHAnsi" w:hAnsiTheme="minorHAnsi"/>
          <w:bCs/>
          <w:snapToGrid w:val="0"/>
          <w:lang w:val="en-GB" w:eastAsia="en-US"/>
        </w:rPr>
        <w:t xml:space="preserve"> </w:t>
      </w:r>
    </w:p>
    <w:p w14:paraId="43344D61" w14:textId="77777777" w:rsidR="008F0B3C" w:rsidRPr="008F0B3C" w:rsidRDefault="008F0B3C" w:rsidP="00C35141">
      <w:pPr>
        <w:spacing w:before="240"/>
        <w:rPr>
          <w:rFonts w:asciiTheme="minorHAnsi" w:hAnsiTheme="minorHAnsi"/>
          <w:b/>
          <w:bCs/>
          <w:snapToGrid w:val="0"/>
          <w:lang w:val="en-GB" w:eastAsia="en-US"/>
        </w:rPr>
      </w:pPr>
      <w:r w:rsidRPr="008F0B3C">
        <w:rPr>
          <w:rFonts w:asciiTheme="minorHAnsi" w:hAnsiTheme="minorHAnsi"/>
          <w:b/>
          <w:bCs/>
          <w:snapToGrid w:val="0"/>
          <w:lang w:val="en-GB" w:eastAsia="en-US"/>
        </w:rPr>
        <w:t>Outcome:</w:t>
      </w:r>
    </w:p>
    <w:p w14:paraId="48896AB0" w14:textId="37C2E103" w:rsidR="008F0B3C" w:rsidRPr="008F0B3C" w:rsidRDefault="008F0B3C" w:rsidP="00C35141">
      <w:pPr>
        <w:spacing w:after="120"/>
        <w:rPr>
          <w:rFonts w:asciiTheme="minorHAnsi" w:hAnsiTheme="minorHAnsi"/>
          <w:bCs/>
          <w:snapToGrid w:val="0"/>
          <w:lang w:val="en-GB" w:eastAsia="en-US"/>
        </w:rPr>
      </w:pPr>
      <w:r w:rsidRPr="008F0B3C">
        <w:rPr>
          <w:rFonts w:asciiTheme="minorHAnsi" w:hAnsiTheme="minorHAnsi"/>
          <w:bCs/>
          <w:snapToGrid w:val="0"/>
          <w:lang w:val="en-GB" w:eastAsia="en-US"/>
        </w:rPr>
        <w:t>Recommended</w:t>
      </w:r>
    </w:p>
    <w:p w14:paraId="5ACEC3B8" w14:textId="77777777" w:rsidR="008F0B3C" w:rsidRPr="008F0B3C" w:rsidRDefault="008F0B3C" w:rsidP="00C35141">
      <w:pPr>
        <w:widowControl w:val="0"/>
        <w:spacing w:after="120"/>
        <w:rPr>
          <w:rFonts w:asciiTheme="minorHAnsi" w:hAnsiTheme="minorHAnsi"/>
          <w:b/>
          <w:bCs/>
          <w:snapToGrid w:val="0"/>
          <w:lang w:eastAsia="en-US"/>
        </w:rPr>
      </w:pPr>
    </w:p>
    <w:bookmarkEnd w:id="62"/>
    <w:p w14:paraId="5689E0CE" w14:textId="0F874E7C" w:rsidR="008F0B3C" w:rsidRPr="008F0B3C" w:rsidRDefault="008F0B3C" w:rsidP="008F0B3C">
      <w:pPr>
        <w:keepNext/>
        <w:numPr>
          <w:ilvl w:val="0"/>
          <w:numId w:val="1"/>
        </w:numPr>
        <w:spacing w:before="240" w:after="120"/>
        <w:jc w:val="left"/>
        <w:outlineLvl w:val="0"/>
        <w:rPr>
          <w:rFonts w:asciiTheme="minorHAnsi" w:hAnsiTheme="minorHAnsi"/>
          <w:b/>
          <w:snapToGrid w:val="0"/>
          <w:sz w:val="32"/>
          <w:szCs w:val="32"/>
        </w:rPr>
      </w:pPr>
      <w:r w:rsidRPr="008F0B3C">
        <w:rPr>
          <w:rFonts w:asciiTheme="minorHAnsi" w:hAnsiTheme="minorHAnsi"/>
          <w:b/>
          <w:snapToGrid w:val="0"/>
          <w:sz w:val="32"/>
          <w:szCs w:val="32"/>
        </w:rPr>
        <w:t>Recommended listing</w:t>
      </w:r>
    </w:p>
    <w:p w14:paraId="417C586D" w14:textId="23C48F45" w:rsidR="0002206C" w:rsidRDefault="007009E5" w:rsidP="008F0B3C">
      <w:pPr>
        <w:widowControl w:val="0"/>
        <w:numPr>
          <w:ilvl w:val="1"/>
          <w:numId w:val="1"/>
        </w:numPr>
        <w:spacing w:after="120"/>
        <w:contextualSpacing/>
        <w:jc w:val="left"/>
        <w:rPr>
          <w:rFonts w:asciiTheme="minorHAnsi" w:hAnsiTheme="minorHAnsi"/>
          <w:bCs/>
          <w:snapToGrid w:val="0"/>
          <w:lang w:eastAsia="en-US"/>
        </w:rPr>
      </w:pPr>
      <w:r>
        <w:rPr>
          <w:rFonts w:asciiTheme="minorHAnsi" w:hAnsiTheme="minorHAnsi"/>
          <w:bCs/>
          <w:snapToGrid w:val="0"/>
          <w:lang w:eastAsia="en-US"/>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2527"/>
        <w:gridCol w:w="1623"/>
        <w:gridCol w:w="1623"/>
        <w:gridCol w:w="1831"/>
      </w:tblGrid>
      <w:tr w:rsidR="00605A56" w:rsidRPr="00FC6D26" w14:paraId="4743C883" w14:textId="77777777" w:rsidTr="00B21F88">
        <w:trPr>
          <w:cantSplit/>
          <w:trHeight w:val="355"/>
        </w:trPr>
        <w:tc>
          <w:tcPr>
            <w:tcW w:w="3940" w:type="dxa"/>
            <w:gridSpan w:val="3"/>
          </w:tcPr>
          <w:p w14:paraId="7BF6B0F5" w14:textId="77777777" w:rsidR="00605A56" w:rsidRPr="00FC6D26" w:rsidRDefault="00605A56" w:rsidP="00B21F88">
            <w:pPr>
              <w:pStyle w:val="3-BodyText"/>
              <w:numPr>
                <w:ilvl w:val="0"/>
                <w:numId w:val="0"/>
              </w:numPr>
              <w:spacing w:before="0" w:after="0"/>
              <w:jc w:val="left"/>
              <w:rPr>
                <w:rFonts w:ascii="Arial Narrow" w:hAnsi="Arial Narrow"/>
                <w:b/>
                <w:bCs/>
                <w:sz w:val="20"/>
                <w:szCs w:val="20"/>
              </w:rPr>
            </w:pPr>
            <w:r w:rsidRPr="00FC6D26">
              <w:rPr>
                <w:rFonts w:ascii="Arial Narrow" w:hAnsi="Arial Narrow"/>
                <w:b/>
                <w:bCs/>
                <w:sz w:val="20"/>
                <w:szCs w:val="20"/>
              </w:rPr>
              <w:t>MEDICINAL PRODUCT</w:t>
            </w:r>
          </w:p>
          <w:p w14:paraId="46233D71" w14:textId="32A7B963" w:rsidR="00013B6B" w:rsidRPr="00FC6D26" w:rsidRDefault="00013B6B" w:rsidP="00B21F88">
            <w:pPr>
              <w:pStyle w:val="3-BodyText"/>
              <w:numPr>
                <w:ilvl w:val="0"/>
                <w:numId w:val="0"/>
              </w:numPr>
              <w:spacing w:before="0" w:after="0"/>
              <w:jc w:val="left"/>
              <w:rPr>
                <w:rFonts w:ascii="Arial Narrow" w:hAnsi="Arial Narrow"/>
                <w:b/>
                <w:bCs/>
                <w:sz w:val="20"/>
                <w:szCs w:val="20"/>
              </w:rPr>
            </w:pPr>
            <w:r w:rsidRPr="00FC6D26">
              <w:rPr>
                <w:rFonts w:ascii="Arial Narrow" w:hAnsi="Arial Narrow"/>
                <w:b/>
                <w:bCs/>
                <w:sz w:val="20"/>
                <w:szCs w:val="20"/>
              </w:rPr>
              <w:t>Form</w:t>
            </w:r>
          </w:p>
        </w:tc>
        <w:tc>
          <w:tcPr>
            <w:tcW w:w="1623" w:type="dxa"/>
            <w:vAlign w:val="center"/>
          </w:tcPr>
          <w:p w14:paraId="50F8E813" w14:textId="50D26ED8" w:rsidR="00605A56" w:rsidRPr="00FC6D26" w:rsidRDefault="00605A56" w:rsidP="00C55197">
            <w:pPr>
              <w:keepLines/>
              <w:rPr>
                <w:rFonts w:ascii="Arial Narrow" w:hAnsi="Arial Narrow"/>
                <w:b/>
                <w:sz w:val="20"/>
                <w:szCs w:val="20"/>
              </w:rPr>
            </w:pPr>
            <w:r w:rsidRPr="00FC6D26">
              <w:rPr>
                <w:rFonts w:ascii="Arial Narrow" w:hAnsi="Arial Narrow"/>
                <w:b/>
                <w:sz w:val="20"/>
                <w:szCs w:val="20"/>
              </w:rPr>
              <w:t>PBS item code</w:t>
            </w:r>
          </w:p>
          <w:p w14:paraId="77EC1171" w14:textId="77777777" w:rsidR="00605A56" w:rsidRPr="00FC6D26" w:rsidRDefault="00605A56" w:rsidP="000014E8">
            <w:pPr>
              <w:keepLines/>
              <w:jc w:val="center"/>
              <w:rPr>
                <w:rFonts w:ascii="Arial Narrow" w:hAnsi="Arial Narrow"/>
                <w:b/>
                <w:sz w:val="20"/>
                <w:szCs w:val="20"/>
              </w:rPr>
            </w:pPr>
          </w:p>
        </w:tc>
        <w:tc>
          <w:tcPr>
            <w:tcW w:w="1623" w:type="dxa"/>
            <w:vAlign w:val="center"/>
          </w:tcPr>
          <w:p w14:paraId="36661583" w14:textId="77777777" w:rsidR="00605A56" w:rsidRPr="00FC6D26" w:rsidRDefault="00605A56" w:rsidP="000014E8">
            <w:pPr>
              <w:keepLines/>
              <w:jc w:val="center"/>
              <w:rPr>
                <w:rFonts w:ascii="Arial Narrow" w:hAnsi="Arial Narrow"/>
                <w:b/>
                <w:sz w:val="20"/>
                <w:szCs w:val="20"/>
              </w:rPr>
            </w:pPr>
            <w:r w:rsidRPr="00FC6D26">
              <w:rPr>
                <w:rFonts w:ascii="Arial Narrow" w:hAnsi="Arial Narrow"/>
                <w:b/>
                <w:sz w:val="20"/>
                <w:szCs w:val="20"/>
              </w:rPr>
              <w:t>Max. Amount</w:t>
            </w:r>
          </w:p>
          <w:p w14:paraId="05540701" w14:textId="77777777" w:rsidR="00605A56" w:rsidRPr="00FC6D26" w:rsidRDefault="00605A56" w:rsidP="000014E8">
            <w:pPr>
              <w:keepLines/>
              <w:jc w:val="center"/>
              <w:rPr>
                <w:rFonts w:ascii="Arial Narrow" w:hAnsi="Arial Narrow"/>
                <w:b/>
                <w:sz w:val="20"/>
                <w:szCs w:val="20"/>
              </w:rPr>
            </w:pPr>
          </w:p>
        </w:tc>
        <w:tc>
          <w:tcPr>
            <w:tcW w:w="1831" w:type="dxa"/>
          </w:tcPr>
          <w:p w14:paraId="039D5EA0" w14:textId="77777777" w:rsidR="00605A56" w:rsidRPr="00FC6D26" w:rsidRDefault="00605A56" w:rsidP="00B21F88">
            <w:pPr>
              <w:keepLines/>
              <w:jc w:val="center"/>
              <w:rPr>
                <w:rFonts w:ascii="Arial Narrow" w:hAnsi="Arial Narrow"/>
                <w:b/>
                <w:sz w:val="20"/>
                <w:szCs w:val="20"/>
              </w:rPr>
            </w:pPr>
            <w:r w:rsidRPr="00FC6D26">
              <w:rPr>
                <w:rFonts w:ascii="Arial Narrow" w:hAnsi="Arial Narrow"/>
                <w:b/>
                <w:sz w:val="20"/>
                <w:szCs w:val="20"/>
              </w:rPr>
              <w:t>№.of Rpts</w:t>
            </w:r>
          </w:p>
        </w:tc>
      </w:tr>
      <w:tr w:rsidR="00605A56" w:rsidRPr="00FC6D26" w14:paraId="3C659B5F" w14:textId="77777777" w:rsidTr="00123FB9">
        <w:trPr>
          <w:cantSplit/>
          <w:trHeight w:val="20"/>
        </w:trPr>
        <w:tc>
          <w:tcPr>
            <w:tcW w:w="3940" w:type="dxa"/>
            <w:gridSpan w:val="3"/>
            <w:vAlign w:val="center"/>
          </w:tcPr>
          <w:p w14:paraId="0E701FC3" w14:textId="77777777" w:rsidR="00605A56" w:rsidRPr="00FC6D26" w:rsidRDefault="00605A56">
            <w:pPr>
              <w:keepNext/>
              <w:rPr>
                <w:rFonts w:ascii="Arial Narrow" w:hAnsi="Arial Narrow"/>
                <w:sz w:val="20"/>
                <w:szCs w:val="20"/>
              </w:rPr>
            </w:pPr>
            <w:r w:rsidRPr="00FC6D26">
              <w:rPr>
                <w:rFonts w:ascii="Arial Narrow" w:hAnsi="Arial Narrow"/>
                <w:sz w:val="20"/>
                <w:szCs w:val="20"/>
              </w:rPr>
              <w:t>TORIPALIMAB</w:t>
            </w:r>
          </w:p>
          <w:p w14:paraId="7E7F2AF7" w14:textId="77777777" w:rsidR="00605A56" w:rsidRPr="00FC6D26" w:rsidRDefault="00605A56">
            <w:pPr>
              <w:keepLines/>
              <w:rPr>
                <w:rFonts w:ascii="Arial Narrow" w:hAnsi="Arial Narrow"/>
                <w:b/>
                <w:bCs/>
                <w:sz w:val="20"/>
                <w:szCs w:val="20"/>
              </w:rPr>
            </w:pPr>
            <w:r w:rsidRPr="00FC6D26">
              <w:rPr>
                <w:rFonts w:ascii="Arial Narrow" w:hAnsi="Arial Narrow"/>
                <w:sz w:val="20"/>
                <w:szCs w:val="20"/>
              </w:rPr>
              <w:t>Injection</w:t>
            </w:r>
          </w:p>
        </w:tc>
        <w:tc>
          <w:tcPr>
            <w:tcW w:w="1623" w:type="dxa"/>
            <w:vAlign w:val="center"/>
          </w:tcPr>
          <w:p w14:paraId="6FA04F99" w14:textId="77777777" w:rsidR="00605A56" w:rsidRPr="00FC6D26" w:rsidRDefault="00605A56">
            <w:pPr>
              <w:keepLines/>
              <w:jc w:val="center"/>
              <w:rPr>
                <w:rFonts w:ascii="Arial Narrow" w:hAnsi="Arial Narrow"/>
                <w:b/>
                <w:sz w:val="20"/>
                <w:szCs w:val="20"/>
              </w:rPr>
            </w:pPr>
            <w:r w:rsidRPr="00FC6D26">
              <w:rPr>
                <w:rFonts w:ascii="Arial Narrow" w:hAnsi="Arial Narrow"/>
                <w:sz w:val="20"/>
                <w:szCs w:val="20"/>
              </w:rPr>
              <w:t>NEW (Public)</w:t>
            </w:r>
            <w:r w:rsidRPr="00FC6D26">
              <w:rPr>
                <w:rFonts w:ascii="Arial Narrow" w:hAnsi="Arial Narrow"/>
                <w:sz w:val="20"/>
                <w:szCs w:val="20"/>
              </w:rPr>
              <w:br/>
              <w:t>NEW (Private)</w:t>
            </w:r>
          </w:p>
        </w:tc>
        <w:tc>
          <w:tcPr>
            <w:tcW w:w="1623" w:type="dxa"/>
            <w:vAlign w:val="center"/>
          </w:tcPr>
          <w:p w14:paraId="741A82CF" w14:textId="77777777" w:rsidR="00605A56" w:rsidRPr="00FC6D26" w:rsidRDefault="00605A56">
            <w:pPr>
              <w:keepLines/>
              <w:jc w:val="center"/>
              <w:rPr>
                <w:rFonts w:ascii="Arial Narrow" w:hAnsi="Arial Narrow"/>
                <w:b/>
                <w:sz w:val="20"/>
                <w:szCs w:val="20"/>
              </w:rPr>
            </w:pPr>
            <w:r w:rsidRPr="00FC6D26">
              <w:rPr>
                <w:rFonts w:ascii="Arial Narrow" w:hAnsi="Arial Narrow"/>
                <w:sz w:val="20"/>
                <w:szCs w:val="20"/>
              </w:rPr>
              <w:t>240 mg</w:t>
            </w:r>
          </w:p>
        </w:tc>
        <w:tc>
          <w:tcPr>
            <w:tcW w:w="1831" w:type="dxa"/>
            <w:vAlign w:val="center"/>
          </w:tcPr>
          <w:p w14:paraId="3819447F" w14:textId="6C21D78D" w:rsidR="00605A56" w:rsidRPr="00FC6D26" w:rsidRDefault="009112E6">
            <w:pPr>
              <w:keepLines/>
              <w:jc w:val="center"/>
              <w:rPr>
                <w:rFonts w:ascii="Arial Narrow" w:hAnsi="Arial Narrow"/>
                <w:b/>
                <w:sz w:val="20"/>
                <w:szCs w:val="20"/>
              </w:rPr>
            </w:pPr>
            <w:r w:rsidRPr="00FC6D26">
              <w:rPr>
                <w:rFonts w:ascii="Arial Narrow" w:hAnsi="Arial Narrow"/>
                <w:sz w:val="20"/>
                <w:szCs w:val="20"/>
              </w:rPr>
              <w:t>7</w:t>
            </w:r>
          </w:p>
        </w:tc>
      </w:tr>
      <w:tr w:rsidR="00605A56" w:rsidRPr="00FC6D26" w14:paraId="0CA4A84B" w14:textId="77777777" w:rsidTr="00123FB9">
        <w:trPr>
          <w:cantSplit/>
          <w:trHeight w:val="20"/>
        </w:trPr>
        <w:tc>
          <w:tcPr>
            <w:tcW w:w="9017" w:type="dxa"/>
            <w:gridSpan w:val="6"/>
            <w:vAlign w:val="center"/>
          </w:tcPr>
          <w:p w14:paraId="2106602F" w14:textId="77777777" w:rsidR="00605A56" w:rsidRPr="00FC6D26" w:rsidRDefault="00605A56">
            <w:pPr>
              <w:keepLines/>
              <w:rPr>
                <w:rFonts w:ascii="Arial Narrow" w:hAnsi="Arial Narrow"/>
                <w:b/>
                <w:bCs/>
                <w:color w:val="FF0000"/>
                <w:sz w:val="20"/>
                <w:szCs w:val="20"/>
              </w:rPr>
            </w:pPr>
            <w:r w:rsidRPr="00FC6D26">
              <w:rPr>
                <w:rFonts w:ascii="Arial Narrow" w:hAnsi="Arial Narrow"/>
                <w:b/>
                <w:bCs/>
                <w:sz w:val="20"/>
                <w:szCs w:val="20"/>
              </w:rPr>
              <w:t xml:space="preserve">Available brands </w:t>
            </w:r>
          </w:p>
        </w:tc>
      </w:tr>
      <w:tr w:rsidR="00605A56" w:rsidRPr="00FC6D26" w14:paraId="283A36B7" w14:textId="77777777" w:rsidTr="00123FB9">
        <w:trPr>
          <w:cantSplit/>
          <w:trHeight w:val="20"/>
        </w:trPr>
        <w:tc>
          <w:tcPr>
            <w:tcW w:w="9017" w:type="dxa"/>
            <w:gridSpan w:val="6"/>
            <w:vAlign w:val="center"/>
          </w:tcPr>
          <w:p w14:paraId="23D90816" w14:textId="77777777" w:rsidR="00605A56" w:rsidRPr="00FC6D26" w:rsidRDefault="00605A56">
            <w:pPr>
              <w:keepNext/>
              <w:rPr>
                <w:rFonts w:ascii="Arial Narrow" w:hAnsi="Arial Narrow"/>
                <w:sz w:val="20"/>
                <w:szCs w:val="20"/>
              </w:rPr>
            </w:pPr>
            <w:r w:rsidRPr="00FC6D26">
              <w:rPr>
                <w:rFonts w:ascii="Arial Narrow" w:hAnsi="Arial Narrow"/>
                <w:sz w:val="20"/>
                <w:szCs w:val="20"/>
              </w:rPr>
              <w:t>Zytorvi</w:t>
            </w:r>
          </w:p>
          <w:p w14:paraId="5817E85E" w14:textId="77777777" w:rsidR="00605A56" w:rsidRPr="00FC6D26" w:rsidRDefault="00605A56">
            <w:pPr>
              <w:keepLines/>
              <w:rPr>
                <w:rFonts w:ascii="Arial Narrow" w:hAnsi="Arial Narrow"/>
                <w:color w:val="FF0000"/>
                <w:sz w:val="20"/>
                <w:szCs w:val="20"/>
              </w:rPr>
            </w:pPr>
            <w:r w:rsidRPr="00FC6D26">
              <w:rPr>
                <w:rFonts w:ascii="Arial Narrow" w:hAnsi="Arial Narrow"/>
                <w:sz w:val="20"/>
                <w:szCs w:val="20"/>
              </w:rPr>
              <w:t>toripalimab 240 mg/6 mL injection, 6 mL vial</w:t>
            </w:r>
          </w:p>
        </w:tc>
      </w:tr>
      <w:tr w:rsidR="00605A56" w:rsidRPr="00FC6D26" w14:paraId="4AF64360" w14:textId="77777777" w:rsidTr="00123FB9">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5C51D8C7" w14:textId="77777777" w:rsidR="00605A56" w:rsidRPr="00FC6D26" w:rsidRDefault="00605A56">
            <w:pPr>
              <w:rPr>
                <w:rFonts w:ascii="Arial Narrow" w:hAnsi="Arial Narrow"/>
                <w:sz w:val="20"/>
                <w:szCs w:val="20"/>
              </w:rPr>
            </w:pPr>
          </w:p>
        </w:tc>
      </w:tr>
      <w:tr w:rsidR="00605A56" w:rsidRPr="00FC6D26" w14:paraId="6D104D53" w14:textId="77777777" w:rsidTr="00745929">
        <w:tblPrEx>
          <w:tblCellMar>
            <w:top w:w="15" w:type="dxa"/>
            <w:bottom w:w="15" w:type="dxa"/>
          </w:tblCellMar>
          <w:tblLook w:val="04A0" w:firstRow="1" w:lastRow="0" w:firstColumn="1" w:lastColumn="0" w:noHBand="0" w:noVBand="1"/>
        </w:tblPrEx>
        <w:trPr>
          <w:trHeight w:val="20"/>
        </w:trPr>
        <w:tc>
          <w:tcPr>
            <w:tcW w:w="1413" w:type="dxa"/>
            <w:gridSpan w:val="2"/>
            <w:vMerge w:val="restart"/>
            <w:tcBorders>
              <w:top w:val="single" w:sz="4" w:space="0" w:color="auto"/>
              <w:left w:val="single" w:sz="4" w:space="0" w:color="auto"/>
              <w:right w:val="single" w:sz="4" w:space="0" w:color="auto"/>
            </w:tcBorders>
          </w:tcPr>
          <w:p w14:paraId="6483A818" w14:textId="77777777" w:rsidR="00605A56" w:rsidRPr="00FC6D26" w:rsidRDefault="00605A56">
            <w:pPr>
              <w:jc w:val="center"/>
              <w:rPr>
                <w:rFonts w:ascii="Arial Narrow" w:hAnsi="Arial Narrow"/>
                <w:sz w:val="20"/>
                <w:szCs w:val="20"/>
              </w:rPr>
            </w:pPr>
            <w:r w:rsidRPr="00FC6D26">
              <w:rPr>
                <w:rFonts w:ascii="Arial Narrow" w:hAnsi="Arial Narrow"/>
                <w:b/>
                <w:sz w:val="20"/>
                <w:szCs w:val="20"/>
              </w:rPr>
              <w:t>Concept ID</w:t>
            </w:r>
          </w:p>
          <w:p w14:paraId="29D481FA" w14:textId="77777777" w:rsidR="00605A56" w:rsidRPr="00FC6D26" w:rsidRDefault="00605A56">
            <w:pPr>
              <w:jc w:val="center"/>
              <w:rPr>
                <w:rFonts w:ascii="Arial Narrow" w:hAnsi="Arial Narrow"/>
                <w:b/>
                <w:sz w:val="20"/>
                <w:szCs w:val="20"/>
              </w:rPr>
            </w:pPr>
          </w:p>
        </w:tc>
        <w:tc>
          <w:tcPr>
            <w:tcW w:w="7604" w:type="dxa"/>
            <w:gridSpan w:val="4"/>
            <w:tcBorders>
              <w:top w:val="single" w:sz="4" w:space="0" w:color="auto"/>
              <w:left w:val="single" w:sz="4" w:space="0" w:color="auto"/>
              <w:bottom w:val="single" w:sz="4" w:space="0" w:color="auto"/>
              <w:right w:val="single" w:sz="4" w:space="0" w:color="auto"/>
            </w:tcBorders>
            <w:vAlign w:val="center"/>
          </w:tcPr>
          <w:p w14:paraId="588B24D1" w14:textId="77777777" w:rsidR="00605A56" w:rsidRPr="00FC6D26" w:rsidRDefault="00605A56">
            <w:pPr>
              <w:keepLines/>
              <w:rPr>
                <w:rFonts w:ascii="Arial Narrow" w:hAnsi="Arial Narrow"/>
                <w:sz w:val="20"/>
                <w:szCs w:val="20"/>
              </w:rPr>
            </w:pPr>
            <w:r w:rsidRPr="00FC6D26">
              <w:rPr>
                <w:rFonts w:ascii="Arial Narrow" w:hAnsi="Arial Narrow"/>
                <w:b/>
                <w:sz w:val="20"/>
                <w:szCs w:val="20"/>
              </w:rPr>
              <w:t>Category / Program:</w:t>
            </w:r>
            <w:r w:rsidRPr="00FC6D26">
              <w:rPr>
                <w:rFonts w:ascii="Arial Narrow" w:hAnsi="Arial Narrow"/>
                <w:sz w:val="20"/>
                <w:szCs w:val="20"/>
              </w:rPr>
              <w:t xml:space="preserve"> </w:t>
            </w:r>
            <w:r w:rsidRPr="00FC6D26">
              <w:rPr>
                <w:rFonts w:ascii="Arial Narrow" w:hAnsi="Arial Narrow"/>
                <w:sz w:val="20"/>
                <w:szCs w:val="20"/>
              </w:rPr>
              <w:fldChar w:fldCharType="begin">
                <w:ffData>
                  <w:name w:val=""/>
                  <w:enabled/>
                  <w:calcOnExit w:val="0"/>
                  <w:checkBox>
                    <w:sizeAuto/>
                    <w:default w:val="1"/>
                  </w:checkBox>
                </w:ffData>
              </w:fldChar>
            </w:r>
            <w:r w:rsidRPr="00FC6D26">
              <w:rPr>
                <w:rFonts w:ascii="Arial Narrow" w:hAnsi="Arial Narrow"/>
                <w:sz w:val="20"/>
                <w:szCs w:val="20"/>
              </w:rPr>
              <w:instrText xml:space="preserve"> FORMCHECKBOX </w:instrText>
            </w:r>
            <w:r w:rsidRPr="00FC6D26">
              <w:rPr>
                <w:rFonts w:ascii="Arial Narrow" w:hAnsi="Arial Narrow"/>
                <w:sz w:val="20"/>
                <w:szCs w:val="20"/>
              </w:rPr>
            </w:r>
            <w:r w:rsidRPr="00FC6D26">
              <w:rPr>
                <w:rFonts w:ascii="Arial Narrow" w:hAnsi="Arial Narrow"/>
                <w:sz w:val="20"/>
                <w:szCs w:val="20"/>
              </w:rPr>
              <w:fldChar w:fldCharType="separate"/>
            </w:r>
            <w:r w:rsidRPr="00FC6D26">
              <w:rPr>
                <w:rFonts w:ascii="Arial Narrow" w:hAnsi="Arial Narrow"/>
                <w:sz w:val="20"/>
                <w:szCs w:val="20"/>
              </w:rPr>
              <w:fldChar w:fldCharType="end"/>
            </w:r>
            <w:r w:rsidRPr="00FC6D26">
              <w:rPr>
                <w:rFonts w:ascii="Arial Narrow" w:eastAsia="Calibri" w:hAnsi="Arial Narrow"/>
                <w:sz w:val="20"/>
                <w:szCs w:val="20"/>
              </w:rPr>
              <w:t xml:space="preserve">Section 100 – Efficient Funding of Chemotherapy – Public / Private </w:t>
            </w:r>
          </w:p>
        </w:tc>
      </w:tr>
      <w:tr w:rsidR="00605A56" w:rsidRPr="00FC6D26" w14:paraId="3CD32F00" w14:textId="77777777" w:rsidTr="00745929">
        <w:tblPrEx>
          <w:tblCellMar>
            <w:top w:w="15" w:type="dxa"/>
            <w:bottom w:w="15" w:type="dxa"/>
          </w:tblCellMar>
          <w:tblLook w:val="04A0" w:firstRow="1" w:lastRow="0" w:firstColumn="1" w:lastColumn="0" w:noHBand="0" w:noVBand="1"/>
        </w:tblPrEx>
        <w:trPr>
          <w:trHeight w:val="20"/>
        </w:trPr>
        <w:tc>
          <w:tcPr>
            <w:tcW w:w="1413" w:type="dxa"/>
            <w:gridSpan w:val="2"/>
            <w:vMerge/>
            <w:tcBorders>
              <w:left w:val="single" w:sz="4" w:space="0" w:color="auto"/>
              <w:right w:val="single" w:sz="4" w:space="0" w:color="auto"/>
            </w:tcBorders>
          </w:tcPr>
          <w:p w14:paraId="25735C78" w14:textId="77777777" w:rsidR="00605A56" w:rsidRPr="00FC6D26" w:rsidRDefault="00605A56">
            <w:pPr>
              <w:jc w:val="center"/>
              <w:rPr>
                <w:rFonts w:ascii="Arial Narrow" w:hAnsi="Arial Narrow"/>
                <w:sz w:val="20"/>
                <w:szCs w:val="20"/>
              </w:rPr>
            </w:pPr>
          </w:p>
        </w:tc>
        <w:tc>
          <w:tcPr>
            <w:tcW w:w="7604" w:type="dxa"/>
            <w:gridSpan w:val="4"/>
            <w:tcBorders>
              <w:top w:val="single" w:sz="4" w:space="0" w:color="auto"/>
              <w:left w:val="single" w:sz="4" w:space="0" w:color="auto"/>
              <w:bottom w:val="single" w:sz="4" w:space="0" w:color="auto"/>
              <w:right w:val="single" w:sz="4" w:space="0" w:color="auto"/>
            </w:tcBorders>
            <w:vAlign w:val="center"/>
          </w:tcPr>
          <w:p w14:paraId="55AF300C" w14:textId="77777777" w:rsidR="00605A56" w:rsidRPr="00FC6D26" w:rsidRDefault="00605A56">
            <w:pPr>
              <w:keepLines/>
              <w:rPr>
                <w:rFonts w:ascii="Arial Narrow" w:hAnsi="Arial Narrow"/>
                <w:sz w:val="20"/>
                <w:szCs w:val="20"/>
              </w:rPr>
            </w:pPr>
            <w:r w:rsidRPr="00FC6D26">
              <w:rPr>
                <w:rFonts w:ascii="Arial Narrow" w:hAnsi="Arial Narrow"/>
                <w:b/>
                <w:sz w:val="20"/>
                <w:szCs w:val="20"/>
              </w:rPr>
              <w:t xml:space="preserve">Prescriber type: </w:t>
            </w:r>
            <w:r w:rsidRPr="00FC6D26">
              <w:rPr>
                <w:rFonts w:ascii="Arial Narrow" w:hAnsi="Arial Narrow"/>
                <w:sz w:val="20"/>
                <w:szCs w:val="20"/>
              </w:rPr>
              <w:fldChar w:fldCharType="begin">
                <w:ffData>
                  <w:name w:val=""/>
                  <w:enabled/>
                  <w:calcOnExit w:val="0"/>
                  <w:checkBox>
                    <w:sizeAuto/>
                    <w:default w:val="1"/>
                  </w:checkBox>
                </w:ffData>
              </w:fldChar>
            </w:r>
            <w:r w:rsidRPr="00FC6D26">
              <w:rPr>
                <w:rFonts w:ascii="Arial Narrow" w:hAnsi="Arial Narrow"/>
                <w:sz w:val="20"/>
                <w:szCs w:val="20"/>
              </w:rPr>
              <w:instrText xml:space="preserve"> FORMCHECKBOX </w:instrText>
            </w:r>
            <w:r w:rsidRPr="00FC6D26">
              <w:rPr>
                <w:rFonts w:ascii="Arial Narrow" w:hAnsi="Arial Narrow"/>
                <w:sz w:val="20"/>
                <w:szCs w:val="20"/>
              </w:rPr>
            </w:r>
            <w:r w:rsidRPr="00FC6D26">
              <w:rPr>
                <w:rFonts w:ascii="Arial Narrow" w:hAnsi="Arial Narrow"/>
                <w:sz w:val="20"/>
                <w:szCs w:val="20"/>
              </w:rPr>
              <w:fldChar w:fldCharType="separate"/>
            </w:r>
            <w:r w:rsidRPr="00FC6D26">
              <w:rPr>
                <w:rFonts w:ascii="Arial Narrow" w:hAnsi="Arial Narrow"/>
                <w:sz w:val="20"/>
                <w:szCs w:val="20"/>
              </w:rPr>
              <w:fldChar w:fldCharType="end"/>
            </w:r>
            <w:r w:rsidRPr="00FC6D26">
              <w:rPr>
                <w:rFonts w:ascii="Arial Narrow" w:hAnsi="Arial Narrow"/>
                <w:sz w:val="20"/>
                <w:szCs w:val="20"/>
              </w:rPr>
              <w:t>Medical Practitioners</w:t>
            </w:r>
          </w:p>
        </w:tc>
      </w:tr>
      <w:tr w:rsidR="00605A56" w:rsidRPr="00FC6D26" w14:paraId="635935B6" w14:textId="77777777" w:rsidTr="00745929">
        <w:tblPrEx>
          <w:tblCellMar>
            <w:top w:w="15" w:type="dxa"/>
            <w:bottom w:w="15" w:type="dxa"/>
          </w:tblCellMar>
          <w:tblLook w:val="04A0" w:firstRow="1" w:lastRow="0" w:firstColumn="1" w:lastColumn="0" w:noHBand="0" w:noVBand="1"/>
        </w:tblPrEx>
        <w:trPr>
          <w:trHeight w:val="20"/>
        </w:trPr>
        <w:tc>
          <w:tcPr>
            <w:tcW w:w="1413" w:type="dxa"/>
            <w:gridSpan w:val="2"/>
            <w:vMerge/>
            <w:tcBorders>
              <w:left w:val="single" w:sz="4" w:space="0" w:color="auto"/>
              <w:right w:val="single" w:sz="4" w:space="0" w:color="auto"/>
            </w:tcBorders>
          </w:tcPr>
          <w:p w14:paraId="0CBEE965" w14:textId="77777777" w:rsidR="00605A56" w:rsidRPr="00FC6D26" w:rsidRDefault="00605A56">
            <w:pPr>
              <w:jc w:val="center"/>
              <w:rPr>
                <w:rFonts w:ascii="Arial Narrow" w:hAnsi="Arial Narrow"/>
                <w:sz w:val="20"/>
                <w:szCs w:val="20"/>
              </w:rPr>
            </w:pPr>
          </w:p>
        </w:tc>
        <w:tc>
          <w:tcPr>
            <w:tcW w:w="7604" w:type="dxa"/>
            <w:gridSpan w:val="4"/>
            <w:tcBorders>
              <w:top w:val="single" w:sz="4" w:space="0" w:color="auto"/>
              <w:left w:val="single" w:sz="4" w:space="0" w:color="auto"/>
              <w:bottom w:val="single" w:sz="4" w:space="0" w:color="auto"/>
              <w:right w:val="single" w:sz="4" w:space="0" w:color="auto"/>
            </w:tcBorders>
            <w:vAlign w:val="center"/>
          </w:tcPr>
          <w:p w14:paraId="130C8BBB" w14:textId="77777777" w:rsidR="00605A56" w:rsidRPr="00FC6D26" w:rsidRDefault="00605A56">
            <w:pPr>
              <w:keepLines/>
              <w:rPr>
                <w:rFonts w:ascii="Arial Narrow" w:eastAsia="Calibri" w:hAnsi="Arial Narrow"/>
                <w:color w:val="FF0000"/>
                <w:sz w:val="20"/>
                <w:szCs w:val="20"/>
              </w:rPr>
            </w:pPr>
            <w:r w:rsidRPr="00FC6D26">
              <w:rPr>
                <w:rFonts w:ascii="Arial Narrow" w:hAnsi="Arial Narrow"/>
                <w:b/>
                <w:sz w:val="20"/>
                <w:szCs w:val="20"/>
              </w:rPr>
              <w:t xml:space="preserve">Benefit type: </w:t>
            </w:r>
            <w:r w:rsidRPr="00FC6D26">
              <w:rPr>
                <w:rFonts w:ascii="Arial Narrow" w:hAnsi="Arial Narrow"/>
                <w:sz w:val="20"/>
                <w:szCs w:val="20"/>
              </w:rPr>
              <w:fldChar w:fldCharType="begin">
                <w:ffData>
                  <w:name w:val=""/>
                  <w:enabled/>
                  <w:calcOnExit w:val="0"/>
                  <w:checkBox>
                    <w:sizeAuto/>
                    <w:default w:val="1"/>
                  </w:checkBox>
                </w:ffData>
              </w:fldChar>
            </w:r>
            <w:r w:rsidRPr="00FC6D26">
              <w:rPr>
                <w:rFonts w:ascii="Arial Narrow" w:hAnsi="Arial Narrow"/>
                <w:sz w:val="20"/>
                <w:szCs w:val="20"/>
              </w:rPr>
              <w:instrText xml:space="preserve"> FORMCHECKBOX </w:instrText>
            </w:r>
            <w:r w:rsidRPr="00FC6D26">
              <w:rPr>
                <w:rFonts w:ascii="Arial Narrow" w:hAnsi="Arial Narrow"/>
                <w:sz w:val="20"/>
                <w:szCs w:val="20"/>
              </w:rPr>
            </w:r>
            <w:r w:rsidRPr="00FC6D26">
              <w:rPr>
                <w:rFonts w:ascii="Arial Narrow" w:hAnsi="Arial Narrow"/>
                <w:sz w:val="20"/>
                <w:szCs w:val="20"/>
              </w:rPr>
              <w:fldChar w:fldCharType="separate"/>
            </w:r>
            <w:r w:rsidRPr="00FC6D26">
              <w:rPr>
                <w:rFonts w:ascii="Arial Narrow" w:hAnsi="Arial Narrow"/>
                <w:sz w:val="20"/>
                <w:szCs w:val="20"/>
              </w:rPr>
              <w:fldChar w:fldCharType="end"/>
            </w:r>
            <w:r w:rsidRPr="00FC6D26">
              <w:rPr>
                <w:rFonts w:ascii="Arial Narrow" w:eastAsia="Calibri" w:hAnsi="Arial Narrow"/>
                <w:sz w:val="20"/>
                <w:szCs w:val="20"/>
              </w:rPr>
              <w:t>Authority Required (Streamlined) [new code]</w:t>
            </w:r>
          </w:p>
        </w:tc>
      </w:tr>
      <w:tr w:rsidR="001B3AC5" w:rsidRPr="00FC6D26" w14:paraId="0696BB29" w14:textId="77777777" w:rsidTr="00745929">
        <w:tblPrEx>
          <w:tblCellMar>
            <w:top w:w="15" w:type="dxa"/>
            <w:bottom w:w="15" w:type="dxa"/>
          </w:tblCellMar>
          <w:tblLook w:val="04A0" w:firstRow="1" w:lastRow="0" w:firstColumn="1" w:lastColumn="0" w:noHBand="0" w:noVBand="1"/>
        </w:tblPrEx>
        <w:trPr>
          <w:trHeight w:val="20"/>
        </w:trPr>
        <w:tc>
          <w:tcPr>
            <w:tcW w:w="704" w:type="dxa"/>
            <w:vMerge w:val="restart"/>
            <w:tcBorders>
              <w:left w:val="single" w:sz="4" w:space="0" w:color="auto"/>
              <w:right w:val="single" w:sz="4" w:space="0" w:color="auto"/>
            </w:tcBorders>
            <w:textDirection w:val="btLr"/>
            <w:vAlign w:val="center"/>
          </w:tcPr>
          <w:p w14:paraId="3D54776F" w14:textId="77979FA4" w:rsidR="001B3AC5" w:rsidRPr="00FC6D26" w:rsidRDefault="001B3AC5" w:rsidP="001B3AC5">
            <w:pPr>
              <w:ind w:left="113" w:right="113"/>
              <w:jc w:val="center"/>
              <w:rPr>
                <w:rFonts w:ascii="Arial Narrow" w:hAnsi="Arial Narrow"/>
                <w:sz w:val="20"/>
                <w:szCs w:val="20"/>
              </w:rPr>
            </w:pPr>
            <w:r w:rsidRPr="00FC6D26">
              <w:rPr>
                <w:rFonts w:ascii="Arial Narrow" w:hAnsi="Arial Narrow"/>
                <w:color w:val="333333"/>
                <w:sz w:val="20"/>
                <w:szCs w:val="20"/>
              </w:rPr>
              <w:t>Prescribing rule level:</w:t>
            </w:r>
          </w:p>
        </w:tc>
        <w:tc>
          <w:tcPr>
            <w:tcW w:w="709" w:type="dxa"/>
            <w:tcBorders>
              <w:left w:val="single" w:sz="4" w:space="0" w:color="auto"/>
              <w:right w:val="single" w:sz="4" w:space="0" w:color="auto"/>
            </w:tcBorders>
            <w:vAlign w:val="center"/>
          </w:tcPr>
          <w:p w14:paraId="4CE23202" w14:textId="217F8517" w:rsidR="001B3AC5" w:rsidRPr="00FC6D26" w:rsidRDefault="001B3AC5" w:rsidP="00123FB9">
            <w:pPr>
              <w:jc w:val="center"/>
              <w:rPr>
                <w:rFonts w:ascii="Arial Narrow" w:hAnsi="Arial Narrow"/>
                <w:sz w:val="20"/>
                <w:szCs w:val="20"/>
              </w:rPr>
            </w:pPr>
          </w:p>
        </w:tc>
        <w:tc>
          <w:tcPr>
            <w:tcW w:w="7604" w:type="dxa"/>
            <w:gridSpan w:val="4"/>
            <w:tcBorders>
              <w:top w:val="single" w:sz="4" w:space="0" w:color="auto"/>
              <w:left w:val="single" w:sz="4" w:space="0" w:color="auto"/>
              <w:bottom w:val="single" w:sz="4" w:space="0" w:color="auto"/>
              <w:right w:val="single" w:sz="4" w:space="0" w:color="auto"/>
            </w:tcBorders>
            <w:vAlign w:val="center"/>
          </w:tcPr>
          <w:p w14:paraId="1CA54B79" w14:textId="77777777" w:rsidR="001B3AC5" w:rsidRPr="00FC6D26" w:rsidRDefault="001B3AC5">
            <w:pPr>
              <w:keepLines/>
              <w:rPr>
                <w:rFonts w:ascii="Arial Narrow" w:hAnsi="Arial Narrow"/>
                <w:b/>
                <w:bCs/>
                <w:sz w:val="20"/>
                <w:szCs w:val="20"/>
              </w:rPr>
            </w:pPr>
            <w:r w:rsidRPr="00FC6D26">
              <w:rPr>
                <w:rFonts w:ascii="Arial Narrow" w:hAnsi="Arial Narrow"/>
                <w:b/>
                <w:bCs/>
                <w:sz w:val="20"/>
                <w:szCs w:val="20"/>
              </w:rPr>
              <w:t>Administrative Advice:</w:t>
            </w:r>
          </w:p>
          <w:p w14:paraId="25399B3C" w14:textId="77777777" w:rsidR="001B3AC5" w:rsidRPr="00FC6D26" w:rsidRDefault="001B3AC5">
            <w:pPr>
              <w:rPr>
                <w:rFonts w:ascii="Arial Narrow" w:hAnsi="Arial Narrow"/>
                <w:sz w:val="20"/>
                <w:szCs w:val="20"/>
              </w:rPr>
            </w:pPr>
            <w:r w:rsidRPr="00FC6D26">
              <w:rPr>
                <w:rFonts w:ascii="Arial Narrow" w:hAnsi="Arial Narrow"/>
                <w:sz w:val="20"/>
                <w:szCs w:val="20"/>
              </w:rPr>
              <w:t>No increase in the maximum number of repeats may be authorised.</w:t>
            </w:r>
          </w:p>
          <w:p w14:paraId="0C4D2525" w14:textId="77777777" w:rsidR="00745929" w:rsidRPr="00FC6D26" w:rsidRDefault="00745929">
            <w:pPr>
              <w:rPr>
                <w:rFonts w:ascii="Arial Narrow" w:hAnsi="Arial Narrow"/>
                <w:color w:val="333333"/>
                <w:sz w:val="20"/>
                <w:szCs w:val="20"/>
              </w:rPr>
            </w:pPr>
          </w:p>
        </w:tc>
      </w:tr>
      <w:tr w:rsidR="001B3AC5" w:rsidRPr="00FC6D26" w14:paraId="630EBE5C" w14:textId="77777777" w:rsidTr="00745929">
        <w:tblPrEx>
          <w:tblCellMar>
            <w:top w:w="15" w:type="dxa"/>
            <w:bottom w:w="15" w:type="dxa"/>
          </w:tblCellMar>
          <w:tblLook w:val="04A0" w:firstRow="1" w:lastRow="0" w:firstColumn="1" w:lastColumn="0" w:noHBand="0" w:noVBand="1"/>
        </w:tblPrEx>
        <w:trPr>
          <w:trHeight w:val="20"/>
        </w:trPr>
        <w:tc>
          <w:tcPr>
            <w:tcW w:w="704" w:type="dxa"/>
            <w:vMerge/>
            <w:tcBorders>
              <w:left w:val="single" w:sz="4" w:space="0" w:color="auto"/>
              <w:bottom w:val="single" w:sz="4" w:space="0" w:color="auto"/>
              <w:right w:val="single" w:sz="4" w:space="0" w:color="auto"/>
            </w:tcBorders>
          </w:tcPr>
          <w:p w14:paraId="0A2092DA" w14:textId="77777777" w:rsidR="001B3AC5" w:rsidRPr="00FC6D26" w:rsidRDefault="001B3AC5" w:rsidP="00123FB9">
            <w:pPr>
              <w:jc w:val="center"/>
              <w:rPr>
                <w:rFonts w:ascii="Arial Narrow" w:hAnsi="Arial Narrow"/>
                <w:color w:val="333333"/>
                <w:sz w:val="20"/>
                <w:szCs w:val="20"/>
              </w:rPr>
            </w:pPr>
          </w:p>
        </w:tc>
        <w:tc>
          <w:tcPr>
            <w:tcW w:w="709" w:type="dxa"/>
            <w:tcBorders>
              <w:left w:val="single" w:sz="4" w:space="0" w:color="auto"/>
              <w:bottom w:val="single" w:sz="4" w:space="0" w:color="auto"/>
              <w:right w:val="single" w:sz="4" w:space="0" w:color="auto"/>
            </w:tcBorders>
          </w:tcPr>
          <w:p w14:paraId="4CA8B74E" w14:textId="34218BF6" w:rsidR="001B3AC5" w:rsidRPr="00FC6D26" w:rsidRDefault="001B3AC5" w:rsidP="00123FB9">
            <w:pPr>
              <w:jc w:val="center"/>
              <w:rPr>
                <w:rFonts w:ascii="Arial Narrow" w:hAnsi="Arial Narrow"/>
                <w:color w:val="333333"/>
                <w:sz w:val="20"/>
                <w:szCs w:val="20"/>
              </w:rPr>
            </w:pPr>
          </w:p>
        </w:tc>
        <w:tc>
          <w:tcPr>
            <w:tcW w:w="7604" w:type="dxa"/>
            <w:gridSpan w:val="4"/>
            <w:tcBorders>
              <w:top w:val="single" w:sz="4" w:space="0" w:color="auto"/>
              <w:left w:val="single" w:sz="4" w:space="0" w:color="auto"/>
              <w:bottom w:val="single" w:sz="4" w:space="0" w:color="auto"/>
              <w:right w:val="single" w:sz="4" w:space="0" w:color="auto"/>
            </w:tcBorders>
          </w:tcPr>
          <w:p w14:paraId="0F658F14" w14:textId="77777777" w:rsidR="001B3AC5" w:rsidRPr="00FC6D26" w:rsidRDefault="001B3AC5" w:rsidP="00123FB9">
            <w:pPr>
              <w:keepLines/>
              <w:rPr>
                <w:rFonts w:ascii="Arial Narrow" w:hAnsi="Arial Narrow"/>
                <w:b/>
                <w:bCs/>
                <w:sz w:val="20"/>
                <w:szCs w:val="20"/>
              </w:rPr>
            </w:pPr>
            <w:r w:rsidRPr="00FC6D26">
              <w:rPr>
                <w:rFonts w:ascii="Arial Narrow" w:hAnsi="Arial Narrow"/>
                <w:b/>
                <w:bCs/>
                <w:sz w:val="20"/>
                <w:szCs w:val="20"/>
              </w:rPr>
              <w:t>Administrative Advice:</w:t>
            </w:r>
          </w:p>
          <w:p w14:paraId="7F8D1941" w14:textId="1F8B85D2" w:rsidR="00745929" w:rsidRPr="00FC6D26" w:rsidRDefault="001B3AC5" w:rsidP="00123FB9">
            <w:pPr>
              <w:keepLines/>
              <w:rPr>
                <w:rFonts w:ascii="Arial Narrow" w:hAnsi="Arial Narrow"/>
                <w:b/>
                <w:bCs/>
                <w:sz w:val="20"/>
                <w:szCs w:val="20"/>
              </w:rPr>
            </w:pPr>
            <w:r w:rsidRPr="00FC6D26">
              <w:rPr>
                <w:rFonts w:ascii="Arial Narrow" w:hAnsi="Arial Narrow"/>
                <w:sz w:val="20"/>
                <w:szCs w:val="20"/>
              </w:rPr>
              <w:t xml:space="preserve"> Special Pricing Arrangements apply.</w:t>
            </w:r>
          </w:p>
        </w:tc>
      </w:tr>
      <w:tr w:rsidR="00605A56" w:rsidRPr="00FC6D26" w14:paraId="21F6419B" w14:textId="77777777" w:rsidTr="00745929">
        <w:tblPrEx>
          <w:tblCellMar>
            <w:top w:w="15" w:type="dxa"/>
            <w:bottom w:w="15" w:type="dxa"/>
          </w:tblCellMar>
          <w:tblLook w:val="04A0" w:firstRow="1" w:lastRow="0" w:firstColumn="1" w:lastColumn="0" w:noHBand="0" w:noVBand="1"/>
        </w:tblPrEx>
        <w:trPr>
          <w:trHeight w:val="20"/>
        </w:trPr>
        <w:tc>
          <w:tcPr>
            <w:tcW w:w="1413" w:type="dxa"/>
            <w:gridSpan w:val="2"/>
            <w:tcBorders>
              <w:left w:val="single" w:sz="4" w:space="0" w:color="auto"/>
              <w:bottom w:val="single" w:sz="4" w:space="0" w:color="auto"/>
              <w:right w:val="single" w:sz="4" w:space="0" w:color="auto"/>
            </w:tcBorders>
            <w:shd w:val="clear" w:color="auto" w:fill="BFBFBF" w:themeFill="background1" w:themeFillShade="BF"/>
          </w:tcPr>
          <w:p w14:paraId="5F96C8A4" w14:textId="77777777" w:rsidR="00605A56" w:rsidRPr="00FC6D26" w:rsidRDefault="00605A56">
            <w:pPr>
              <w:jc w:val="center"/>
              <w:rPr>
                <w:rFonts w:ascii="Arial Narrow" w:hAnsi="Arial Narrow"/>
                <w:color w:val="333333"/>
                <w:sz w:val="20"/>
                <w:szCs w:val="20"/>
              </w:rPr>
            </w:pPr>
          </w:p>
        </w:tc>
        <w:tc>
          <w:tcPr>
            <w:tcW w:w="760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9C36FC" w14:textId="77777777" w:rsidR="00605A56" w:rsidRPr="00FC6D26" w:rsidRDefault="00605A56">
            <w:pPr>
              <w:keepLines/>
              <w:rPr>
                <w:rFonts w:ascii="Arial Narrow" w:hAnsi="Arial Narrow"/>
                <w:b/>
                <w:bCs/>
                <w:sz w:val="20"/>
                <w:szCs w:val="20"/>
              </w:rPr>
            </w:pPr>
            <w:r w:rsidRPr="00FC6D26">
              <w:rPr>
                <w:rFonts w:ascii="Arial Narrow" w:hAnsi="Arial Narrow"/>
                <w:b/>
                <w:sz w:val="20"/>
                <w:szCs w:val="20"/>
              </w:rPr>
              <w:t xml:space="preserve">Restriction Summary [new1] / Treatment of Concept: [new1A] </w:t>
            </w:r>
          </w:p>
        </w:tc>
      </w:tr>
      <w:tr w:rsidR="00605A56" w:rsidRPr="00FC6D26" w14:paraId="06B8BD5E" w14:textId="77777777" w:rsidTr="00DE6793">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7F3FABE6" w14:textId="06033696" w:rsidR="00605A56" w:rsidRPr="00FC6D26" w:rsidRDefault="00605A56">
            <w:pPr>
              <w:keepLines/>
              <w:jc w:val="center"/>
              <w:rPr>
                <w:rFonts w:ascii="Arial Narrow" w:hAnsi="Arial Narrow"/>
                <w:color w:val="333333"/>
                <w:sz w:val="20"/>
                <w:szCs w:val="20"/>
              </w:rPr>
            </w:pPr>
          </w:p>
        </w:tc>
        <w:tc>
          <w:tcPr>
            <w:tcW w:w="7604" w:type="dxa"/>
            <w:gridSpan w:val="4"/>
            <w:vAlign w:val="center"/>
            <w:hideMark/>
          </w:tcPr>
          <w:p w14:paraId="48B29987" w14:textId="77777777" w:rsidR="00605A56" w:rsidRPr="00FC6D26" w:rsidRDefault="00605A56">
            <w:pPr>
              <w:keepLines/>
              <w:rPr>
                <w:rFonts w:ascii="Arial Narrow" w:hAnsi="Arial Narrow"/>
                <w:i/>
                <w:iCs/>
                <w:color w:val="333333"/>
                <w:sz w:val="20"/>
                <w:szCs w:val="20"/>
              </w:rPr>
            </w:pPr>
            <w:r w:rsidRPr="00FC6D26">
              <w:rPr>
                <w:rFonts w:ascii="Arial Narrow" w:hAnsi="Arial Narrow"/>
                <w:b/>
                <w:bCs/>
                <w:color w:val="333333"/>
                <w:sz w:val="20"/>
                <w:szCs w:val="20"/>
              </w:rPr>
              <w:t>Indication:</w:t>
            </w:r>
            <w:r w:rsidRPr="00FC6D26">
              <w:rPr>
                <w:rFonts w:ascii="Arial Narrow" w:hAnsi="Arial Narrow"/>
                <w:color w:val="333333"/>
                <w:sz w:val="20"/>
                <w:szCs w:val="20"/>
              </w:rPr>
              <w:t xml:space="preserve"> Recurrent or metastatic nasopharyngeal carcinoma </w:t>
            </w:r>
          </w:p>
        </w:tc>
      </w:tr>
      <w:tr w:rsidR="00605A56" w:rsidRPr="00FC6D26" w14:paraId="334891CF" w14:textId="77777777" w:rsidTr="00DE6793">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78457325" w14:textId="4451C047" w:rsidR="00605A56" w:rsidRPr="00FC6D26" w:rsidRDefault="00605A56">
            <w:pPr>
              <w:jc w:val="center"/>
              <w:rPr>
                <w:rFonts w:ascii="Arial Narrow" w:hAnsi="Arial Narrow"/>
                <w:color w:val="333333"/>
                <w:sz w:val="20"/>
                <w:szCs w:val="20"/>
              </w:rPr>
            </w:pPr>
          </w:p>
        </w:tc>
        <w:tc>
          <w:tcPr>
            <w:tcW w:w="7604" w:type="dxa"/>
            <w:gridSpan w:val="4"/>
            <w:vAlign w:val="center"/>
            <w:hideMark/>
          </w:tcPr>
          <w:p w14:paraId="1B5F54E5" w14:textId="77777777" w:rsidR="00605A56" w:rsidRPr="00FC6D26" w:rsidRDefault="00605A56">
            <w:pPr>
              <w:rPr>
                <w:rFonts w:ascii="Arial Narrow" w:hAnsi="Arial Narrow"/>
                <w:sz w:val="20"/>
                <w:szCs w:val="20"/>
              </w:rPr>
            </w:pPr>
            <w:r w:rsidRPr="00FC6D26">
              <w:rPr>
                <w:rFonts w:ascii="Arial Narrow" w:hAnsi="Arial Narrow"/>
                <w:b/>
                <w:bCs/>
                <w:color w:val="333333"/>
                <w:sz w:val="20"/>
                <w:szCs w:val="20"/>
              </w:rPr>
              <w:t xml:space="preserve">Clinical criteria: </w:t>
            </w:r>
          </w:p>
        </w:tc>
      </w:tr>
      <w:tr w:rsidR="00605A56" w:rsidRPr="00FC6D26" w14:paraId="3CACB7AE" w14:textId="77777777" w:rsidTr="00DE6793">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020E8A05" w14:textId="0F4A4EF2" w:rsidR="00605A56" w:rsidRPr="00FC6D26" w:rsidRDefault="00605A56">
            <w:pPr>
              <w:jc w:val="center"/>
              <w:rPr>
                <w:rFonts w:ascii="Arial Narrow" w:hAnsi="Arial Narrow"/>
                <w:iCs/>
                <w:color w:val="333333"/>
                <w:sz w:val="20"/>
                <w:szCs w:val="20"/>
              </w:rPr>
            </w:pPr>
          </w:p>
        </w:tc>
        <w:tc>
          <w:tcPr>
            <w:tcW w:w="7604" w:type="dxa"/>
            <w:gridSpan w:val="4"/>
            <w:vAlign w:val="center"/>
            <w:hideMark/>
          </w:tcPr>
          <w:p w14:paraId="02D190CD" w14:textId="77777777" w:rsidR="00605A56" w:rsidRPr="00FC6D26" w:rsidRDefault="00605A56">
            <w:pPr>
              <w:rPr>
                <w:rFonts w:ascii="Arial Narrow" w:hAnsi="Arial Narrow"/>
                <w:iCs/>
                <w:color w:val="333333"/>
                <w:sz w:val="20"/>
                <w:szCs w:val="20"/>
              </w:rPr>
            </w:pPr>
            <w:r w:rsidRPr="00FC6D26">
              <w:rPr>
                <w:rFonts w:ascii="Arial Narrow" w:hAnsi="Arial Narrow"/>
                <w:iCs/>
                <w:color w:val="333333"/>
                <w:sz w:val="20"/>
                <w:szCs w:val="20"/>
              </w:rPr>
              <w:t>Patient must have a WHO performance status of no higher than 2.</w:t>
            </w:r>
          </w:p>
        </w:tc>
      </w:tr>
      <w:tr w:rsidR="00605A56" w:rsidRPr="00FC6D26" w14:paraId="4139EFA1"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tcPr>
          <w:p w14:paraId="490F6952" w14:textId="77777777" w:rsidR="00605A56" w:rsidRPr="00FC6D26" w:rsidRDefault="00605A56">
            <w:pPr>
              <w:jc w:val="center"/>
              <w:rPr>
                <w:rFonts w:ascii="Arial Narrow" w:hAnsi="Arial Narrow"/>
                <w:iCs/>
                <w:color w:val="333333"/>
                <w:sz w:val="20"/>
                <w:szCs w:val="20"/>
              </w:rPr>
            </w:pPr>
          </w:p>
        </w:tc>
        <w:tc>
          <w:tcPr>
            <w:tcW w:w="7604" w:type="dxa"/>
            <w:gridSpan w:val="4"/>
            <w:vAlign w:val="center"/>
          </w:tcPr>
          <w:p w14:paraId="6F483C30" w14:textId="77777777" w:rsidR="00605A56" w:rsidRPr="00FC6D26" w:rsidRDefault="00605A56">
            <w:pPr>
              <w:rPr>
                <w:rFonts w:ascii="Arial Narrow" w:hAnsi="Arial Narrow"/>
                <w:iCs/>
                <w:color w:val="333333"/>
                <w:sz w:val="20"/>
                <w:szCs w:val="20"/>
              </w:rPr>
            </w:pPr>
            <w:r w:rsidRPr="00FC6D26">
              <w:rPr>
                <w:rFonts w:ascii="Arial Narrow" w:hAnsi="Arial Narrow" w:cs="Arial Narrow"/>
                <w:b/>
                <w:bCs/>
                <w:iCs/>
                <w:sz w:val="20"/>
                <w:szCs w:val="20"/>
              </w:rPr>
              <w:t>AND</w:t>
            </w:r>
          </w:p>
        </w:tc>
      </w:tr>
      <w:tr w:rsidR="00605A56" w:rsidRPr="00FC6D26" w14:paraId="3FE4B9E3"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66AAC66F" w14:textId="30C343A6" w:rsidR="00605A56" w:rsidRPr="00FC6D26" w:rsidRDefault="00605A56">
            <w:pPr>
              <w:jc w:val="center"/>
              <w:rPr>
                <w:rFonts w:ascii="Arial Narrow" w:hAnsi="Arial Narrow"/>
                <w:sz w:val="20"/>
                <w:szCs w:val="20"/>
              </w:rPr>
            </w:pPr>
          </w:p>
        </w:tc>
        <w:tc>
          <w:tcPr>
            <w:tcW w:w="7604" w:type="dxa"/>
            <w:gridSpan w:val="4"/>
            <w:vAlign w:val="center"/>
          </w:tcPr>
          <w:p w14:paraId="408B6D16" w14:textId="77777777" w:rsidR="00605A56" w:rsidRPr="00FC6D26" w:rsidRDefault="00605A56">
            <w:pPr>
              <w:rPr>
                <w:rFonts w:ascii="Arial Narrow" w:hAnsi="Arial Narrow" w:cs="Arial Narrow"/>
                <w:b/>
                <w:bCs/>
                <w:sz w:val="20"/>
                <w:szCs w:val="20"/>
              </w:rPr>
            </w:pPr>
            <w:r w:rsidRPr="00FC6D26">
              <w:rPr>
                <w:rFonts w:ascii="Arial Narrow" w:hAnsi="Arial Narrow"/>
                <w:b/>
                <w:bCs/>
                <w:sz w:val="20"/>
                <w:szCs w:val="20"/>
              </w:rPr>
              <w:t xml:space="preserve">Clinical criteria: </w:t>
            </w:r>
          </w:p>
        </w:tc>
      </w:tr>
      <w:tr w:rsidR="00605A56" w:rsidRPr="00FC6D26" w14:paraId="369DB061"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44BC0B96" w14:textId="4E0717D0" w:rsidR="00605A56" w:rsidRPr="00FC6D26" w:rsidRDefault="00605A56">
            <w:pPr>
              <w:jc w:val="center"/>
              <w:rPr>
                <w:rFonts w:ascii="Arial Narrow" w:hAnsi="Arial Narrow"/>
                <w:sz w:val="20"/>
                <w:szCs w:val="20"/>
              </w:rPr>
            </w:pPr>
          </w:p>
        </w:tc>
        <w:tc>
          <w:tcPr>
            <w:tcW w:w="7604" w:type="dxa"/>
            <w:gridSpan w:val="4"/>
            <w:vAlign w:val="center"/>
          </w:tcPr>
          <w:p w14:paraId="7D155653" w14:textId="77777777" w:rsidR="00605A56" w:rsidRPr="00FC6D26" w:rsidRDefault="00605A56">
            <w:pPr>
              <w:rPr>
                <w:rFonts w:ascii="Arial Narrow" w:hAnsi="Arial Narrow" w:cs="Arial Narrow"/>
                <w:b/>
                <w:bCs/>
                <w:sz w:val="20"/>
                <w:szCs w:val="20"/>
              </w:rPr>
            </w:pPr>
            <w:r w:rsidRPr="00FC6D26">
              <w:rPr>
                <w:rFonts w:ascii="Arial Narrow" w:hAnsi="Arial Narrow"/>
                <w:sz w:val="20"/>
                <w:szCs w:val="20"/>
              </w:rPr>
              <w:t>The condition must not be amenable to salvage surgery or radiotherapy.</w:t>
            </w:r>
          </w:p>
        </w:tc>
      </w:tr>
      <w:tr w:rsidR="00605A56" w:rsidRPr="00FC6D26" w14:paraId="461304A2"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tcPr>
          <w:p w14:paraId="5A844763" w14:textId="77777777" w:rsidR="00605A56" w:rsidRPr="00FC6D26" w:rsidRDefault="00605A56">
            <w:pPr>
              <w:jc w:val="center"/>
              <w:rPr>
                <w:rFonts w:ascii="Arial Narrow" w:hAnsi="Arial Narrow"/>
                <w:iCs/>
                <w:color w:val="333333"/>
                <w:sz w:val="20"/>
                <w:szCs w:val="20"/>
              </w:rPr>
            </w:pPr>
          </w:p>
        </w:tc>
        <w:tc>
          <w:tcPr>
            <w:tcW w:w="7604" w:type="dxa"/>
            <w:gridSpan w:val="4"/>
            <w:vAlign w:val="center"/>
          </w:tcPr>
          <w:p w14:paraId="1FB38C1D" w14:textId="77777777" w:rsidR="00605A56" w:rsidRPr="00FC6D26" w:rsidRDefault="00605A56">
            <w:pPr>
              <w:rPr>
                <w:rFonts w:ascii="Arial Narrow" w:hAnsi="Arial Narrow" w:cs="Arial Narrow"/>
                <w:b/>
                <w:bCs/>
                <w:iCs/>
                <w:sz w:val="20"/>
                <w:szCs w:val="20"/>
              </w:rPr>
            </w:pPr>
            <w:r w:rsidRPr="00FC6D26">
              <w:rPr>
                <w:rFonts w:ascii="Arial Narrow" w:hAnsi="Arial Narrow" w:cs="Arial Narrow"/>
                <w:b/>
                <w:bCs/>
                <w:iCs/>
                <w:sz w:val="20"/>
                <w:szCs w:val="20"/>
              </w:rPr>
              <w:t>AND</w:t>
            </w:r>
          </w:p>
        </w:tc>
      </w:tr>
      <w:tr w:rsidR="00605A56" w:rsidRPr="00FC6D26" w14:paraId="4426C91E"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tcPr>
          <w:p w14:paraId="62A59B5B" w14:textId="01295E9B" w:rsidR="00605A56" w:rsidRPr="00FC6D26" w:rsidRDefault="00605A56">
            <w:pPr>
              <w:jc w:val="center"/>
              <w:rPr>
                <w:rFonts w:ascii="Arial Narrow" w:hAnsi="Arial Narrow"/>
                <w:iCs/>
                <w:color w:val="333333"/>
                <w:sz w:val="20"/>
                <w:szCs w:val="20"/>
              </w:rPr>
            </w:pPr>
          </w:p>
        </w:tc>
        <w:tc>
          <w:tcPr>
            <w:tcW w:w="7604" w:type="dxa"/>
            <w:gridSpan w:val="4"/>
            <w:vAlign w:val="center"/>
          </w:tcPr>
          <w:p w14:paraId="0645F077" w14:textId="77777777" w:rsidR="00605A56" w:rsidRPr="00FC6D26" w:rsidRDefault="00605A56">
            <w:pPr>
              <w:rPr>
                <w:rFonts w:ascii="Arial Narrow" w:hAnsi="Arial Narrow"/>
                <w:iCs/>
                <w:color w:val="333333"/>
                <w:sz w:val="20"/>
                <w:szCs w:val="20"/>
              </w:rPr>
            </w:pPr>
            <w:r w:rsidRPr="00FC6D26">
              <w:rPr>
                <w:rFonts w:ascii="Arial Narrow" w:hAnsi="Arial Narrow"/>
                <w:b/>
                <w:bCs/>
                <w:color w:val="333333"/>
                <w:sz w:val="20"/>
                <w:szCs w:val="20"/>
              </w:rPr>
              <w:t>Clinical criteria:</w:t>
            </w:r>
          </w:p>
        </w:tc>
      </w:tr>
      <w:tr w:rsidR="00605A56" w:rsidRPr="00FC6D26" w14:paraId="76B3DB8A"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1EFE4D1B" w14:textId="2B1F2432" w:rsidR="00605A56" w:rsidRPr="00FC6D26" w:rsidRDefault="00605A56">
            <w:pPr>
              <w:jc w:val="center"/>
              <w:rPr>
                <w:rFonts w:ascii="Arial Narrow" w:hAnsi="Arial Narrow"/>
                <w:color w:val="333333"/>
                <w:sz w:val="20"/>
                <w:szCs w:val="20"/>
              </w:rPr>
            </w:pPr>
          </w:p>
        </w:tc>
        <w:tc>
          <w:tcPr>
            <w:tcW w:w="7604" w:type="dxa"/>
            <w:gridSpan w:val="4"/>
            <w:vAlign w:val="center"/>
          </w:tcPr>
          <w:p w14:paraId="1CE0CA0B" w14:textId="77777777" w:rsidR="00605A56" w:rsidRPr="00FC6D26" w:rsidRDefault="00605A56">
            <w:pPr>
              <w:rPr>
                <w:rFonts w:ascii="Arial Narrow" w:hAnsi="Arial Narrow"/>
                <w:color w:val="333333"/>
                <w:sz w:val="20"/>
                <w:szCs w:val="20"/>
              </w:rPr>
            </w:pPr>
            <w:r w:rsidRPr="00FC6D26">
              <w:rPr>
                <w:rFonts w:ascii="Arial Narrow" w:eastAsia="Arial Narrow" w:hAnsi="Arial Narrow" w:cs="Arial Narrow"/>
                <w:color w:val="333333"/>
                <w:sz w:val="20"/>
                <w:szCs w:val="20"/>
              </w:rPr>
              <w:t>Patient must not have received prior treatment with a programmed cell death-1 (PD-1) inhibitor or a programmed cell death ligand-1 (PD-L1) inhibitor for this condition.</w:t>
            </w:r>
          </w:p>
        </w:tc>
      </w:tr>
      <w:tr w:rsidR="00605A56" w:rsidRPr="00FC6D26" w14:paraId="467D4390"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tcPr>
          <w:p w14:paraId="6CFA2B46" w14:textId="64BC5B5E" w:rsidR="00605A56" w:rsidRPr="00FC6D26" w:rsidRDefault="00605A56">
            <w:pPr>
              <w:keepNext/>
              <w:jc w:val="center"/>
              <w:rPr>
                <w:rFonts w:ascii="Arial Narrow" w:hAnsi="Arial Narrow"/>
                <w:color w:val="FF0000"/>
                <w:sz w:val="20"/>
                <w:szCs w:val="20"/>
              </w:rPr>
            </w:pPr>
          </w:p>
        </w:tc>
        <w:tc>
          <w:tcPr>
            <w:tcW w:w="7604" w:type="dxa"/>
            <w:gridSpan w:val="4"/>
            <w:vAlign w:val="center"/>
            <w:hideMark/>
          </w:tcPr>
          <w:p w14:paraId="545B1D3B" w14:textId="77777777" w:rsidR="00605A56" w:rsidRPr="00FC6D26" w:rsidRDefault="00605A56">
            <w:pPr>
              <w:keepNext/>
              <w:rPr>
                <w:rFonts w:ascii="Arial Narrow" w:hAnsi="Arial Narrow"/>
                <w:color w:val="333333"/>
                <w:sz w:val="20"/>
                <w:szCs w:val="20"/>
              </w:rPr>
            </w:pPr>
            <w:r w:rsidRPr="00FC6D26">
              <w:rPr>
                <w:rFonts w:ascii="Arial Narrow" w:hAnsi="Arial Narrow"/>
                <w:b/>
                <w:bCs/>
                <w:color w:val="333333"/>
                <w:sz w:val="20"/>
                <w:szCs w:val="20"/>
              </w:rPr>
              <w:t>Treatment criteria:</w:t>
            </w:r>
          </w:p>
        </w:tc>
      </w:tr>
      <w:tr w:rsidR="00605A56" w:rsidRPr="00FC6D26" w14:paraId="74CEE81C"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4E95D111" w14:textId="290A1C40" w:rsidR="00605A56" w:rsidRPr="00FC6D26" w:rsidRDefault="00605A56">
            <w:pPr>
              <w:jc w:val="center"/>
              <w:rPr>
                <w:rFonts w:ascii="Arial Narrow" w:hAnsi="Arial Narrow"/>
                <w:color w:val="333333"/>
                <w:sz w:val="20"/>
                <w:szCs w:val="20"/>
              </w:rPr>
            </w:pPr>
          </w:p>
        </w:tc>
        <w:tc>
          <w:tcPr>
            <w:tcW w:w="7604" w:type="dxa"/>
            <w:gridSpan w:val="4"/>
            <w:vAlign w:val="center"/>
            <w:hideMark/>
          </w:tcPr>
          <w:p w14:paraId="64824646" w14:textId="77777777" w:rsidR="00605A56" w:rsidRPr="00FC6D26" w:rsidRDefault="00605A56">
            <w:pPr>
              <w:autoSpaceDE w:val="0"/>
              <w:autoSpaceDN w:val="0"/>
              <w:adjustRightInd w:val="0"/>
              <w:rPr>
                <w:rFonts w:ascii="Arial Narrow" w:hAnsi="Arial Narrow" w:cs="Arial Narrow"/>
                <w:color w:val="FF0000"/>
                <w:sz w:val="20"/>
                <w:szCs w:val="20"/>
              </w:rPr>
            </w:pPr>
            <w:r w:rsidRPr="00FC6D26">
              <w:rPr>
                <w:rFonts w:ascii="Arial Narrow" w:hAnsi="Arial Narrow"/>
                <w:sz w:val="20"/>
                <w:szCs w:val="20"/>
              </w:rPr>
              <w:t xml:space="preserve">The treatment must be commenced in combination with platinum-based </w:t>
            </w:r>
            <w:r w:rsidRPr="00FC6D26">
              <w:rPr>
                <w:rFonts w:ascii="Arial Narrow" w:eastAsia="Arial Narrow" w:hAnsi="Arial Narrow" w:cs="Arial Narrow"/>
                <w:color w:val="333333"/>
                <w:sz w:val="20"/>
                <w:szCs w:val="20"/>
              </w:rPr>
              <w:t xml:space="preserve">chemotherapy (PBC) where the patient has not previously received systemic therapy for this condition in the metastatic setting, </w:t>
            </w:r>
            <w:r w:rsidRPr="00FC6D26">
              <w:rPr>
                <w:rFonts w:ascii="Arial Narrow" w:eastAsia="Arial Narrow" w:hAnsi="Arial Narrow" w:cs="Arial Narrow"/>
                <w:color w:val="000000" w:themeColor="text1"/>
                <w:sz w:val="20"/>
                <w:szCs w:val="20"/>
              </w:rPr>
              <w:t xml:space="preserve">(i.e. used in combination with PBC for 6 cycles in the first line setting unless intolerance/contraindication is confirmed) </w:t>
            </w:r>
            <w:r w:rsidRPr="00FC6D26">
              <w:rPr>
                <w:rFonts w:ascii="Arial Narrow" w:eastAsia="Arial Narrow" w:hAnsi="Arial Narrow" w:cs="Arial Narrow"/>
                <w:b/>
                <w:bCs/>
                <w:color w:val="333333"/>
                <w:sz w:val="20"/>
                <w:szCs w:val="20"/>
              </w:rPr>
              <w:t>OR</w:t>
            </w:r>
          </w:p>
        </w:tc>
      </w:tr>
      <w:tr w:rsidR="00605A56" w:rsidRPr="00FC6D26" w14:paraId="789919A7"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vAlign w:val="center"/>
          </w:tcPr>
          <w:p w14:paraId="79D48C1A" w14:textId="77777777" w:rsidR="00605A56" w:rsidRPr="00FC6D26" w:rsidRDefault="00605A56">
            <w:pPr>
              <w:jc w:val="center"/>
              <w:rPr>
                <w:rFonts w:ascii="Arial Narrow" w:hAnsi="Arial Narrow"/>
                <w:color w:val="FF0000"/>
                <w:sz w:val="20"/>
                <w:szCs w:val="20"/>
              </w:rPr>
            </w:pPr>
          </w:p>
        </w:tc>
        <w:tc>
          <w:tcPr>
            <w:tcW w:w="7604" w:type="dxa"/>
            <w:gridSpan w:val="4"/>
            <w:vAlign w:val="center"/>
          </w:tcPr>
          <w:p w14:paraId="6A0FBB80" w14:textId="77777777" w:rsidR="00605A56" w:rsidRPr="00FC6D26" w:rsidRDefault="00605A56">
            <w:pPr>
              <w:autoSpaceDE w:val="0"/>
              <w:autoSpaceDN w:val="0"/>
              <w:adjustRightInd w:val="0"/>
              <w:rPr>
                <w:rFonts w:ascii="Arial Narrow" w:hAnsi="Arial Narrow" w:cs="Arial Narrow"/>
                <w:color w:val="FF0000"/>
                <w:sz w:val="20"/>
                <w:szCs w:val="20"/>
              </w:rPr>
            </w:pPr>
            <w:r w:rsidRPr="00FC6D26">
              <w:rPr>
                <w:rFonts w:ascii="Arial Narrow" w:eastAsia="Arial Narrow" w:hAnsi="Arial Narrow" w:cs="Arial Narrow"/>
                <w:color w:val="333333"/>
                <w:sz w:val="20"/>
                <w:szCs w:val="20"/>
              </w:rPr>
              <w:t>The treatment must be the sole PBS subsidised therapy at the time of treatment initiation where the condition has progressed following treatment with PBC, (</w:t>
            </w:r>
            <w:r w:rsidRPr="00FC6D26">
              <w:rPr>
                <w:rFonts w:ascii="Arial Narrow" w:eastAsia="Arial Narrow" w:hAnsi="Arial Narrow" w:cs="Arial Narrow"/>
                <w:color w:val="000000" w:themeColor="text1"/>
                <w:sz w:val="20"/>
                <w:szCs w:val="20"/>
              </w:rPr>
              <w:t>i.e. used as monotherapy in the second line setting).</w:t>
            </w:r>
          </w:p>
        </w:tc>
      </w:tr>
      <w:tr w:rsidR="00605A56" w:rsidRPr="00FC6D26" w14:paraId="09A2852C"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tcPr>
          <w:p w14:paraId="247A1B0C" w14:textId="77777777" w:rsidR="00605A56" w:rsidRPr="00FC6D26" w:rsidRDefault="00605A56">
            <w:pPr>
              <w:jc w:val="center"/>
              <w:rPr>
                <w:rFonts w:ascii="Arial Narrow" w:hAnsi="Arial Narrow"/>
                <w:color w:val="FF0000"/>
                <w:sz w:val="20"/>
                <w:szCs w:val="20"/>
              </w:rPr>
            </w:pPr>
          </w:p>
        </w:tc>
        <w:tc>
          <w:tcPr>
            <w:tcW w:w="7604" w:type="dxa"/>
            <w:gridSpan w:val="4"/>
            <w:vAlign w:val="center"/>
          </w:tcPr>
          <w:p w14:paraId="7B6C6D1A" w14:textId="77777777" w:rsidR="00605A56" w:rsidRPr="00FC6D26" w:rsidRDefault="00605A56">
            <w:pPr>
              <w:autoSpaceDE w:val="0"/>
              <w:autoSpaceDN w:val="0"/>
              <w:adjustRightInd w:val="0"/>
              <w:rPr>
                <w:rFonts w:ascii="Arial Narrow" w:hAnsi="Arial Narrow" w:cs="Arial Narrow"/>
                <w:b/>
                <w:bCs/>
                <w:iCs/>
                <w:color w:val="FF0000"/>
                <w:sz w:val="20"/>
                <w:szCs w:val="20"/>
              </w:rPr>
            </w:pPr>
            <w:r w:rsidRPr="00FC6D26">
              <w:rPr>
                <w:rFonts w:ascii="Arial Narrow" w:hAnsi="Arial Narrow" w:cs="Arial Narrow"/>
                <w:b/>
                <w:bCs/>
                <w:iCs/>
                <w:sz w:val="20"/>
                <w:szCs w:val="20"/>
              </w:rPr>
              <w:t>AND</w:t>
            </w:r>
          </w:p>
        </w:tc>
      </w:tr>
      <w:tr w:rsidR="00605A56" w:rsidRPr="00FC6D26" w14:paraId="1F997A44" w14:textId="77777777" w:rsidTr="00745929">
        <w:tblPrEx>
          <w:tblCellMar>
            <w:top w:w="15" w:type="dxa"/>
            <w:bottom w:w="15" w:type="dxa"/>
          </w:tblCellMar>
          <w:tblLook w:val="04A0" w:firstRow="1" w:lastRow="0" w:firstColumn="1" w:lastColumn="0" w:noHBand="0" w:noVBand="1"/>
        </w:tblPrEx>
        <w:trPr>
          <w:cantSplit/>
          <w:trHeight w:val="20"/>
        </w:trPr>
        <w:tc>
          <w:tcPr>
            <w:tcW w:w="1413" w:type="dxa"/>
            <w:gridSpan w:val="2"/>
          </w:tcPr>
          <w:p w14:paraId="3ADB8CE0" w14:textId="7D5F79D0" w:rsidR="00605A56" w:rsidRPr="00FC6D26" w:rsidRDefault="00605A56">
            <w:pPr>
              <w:jc w:val="center"/>
              <w:rPr>
                <w:rFonts w:ascii="Arial Narrow" w:hAnsi="Arial Narrow"/>
                <w:color w:val="FF0000"/>
                <w:sz w:val="20"/>
                <w:szCs w:val="20"/>
              </w:rPr>
            </w:pPr>
          </w:p>
        </w:tc>
        <w:tc>
          <w:tcPr>
            <w:tcW w:w="7604" w:type="dxa"/>
            <w:gridSpan w:val="4"/>
            <w:vAlign w:val="center"/>
          </w:tcPr>
          <w:p w14:paraId="13B84771" w14:textId="77777777" w:rsidR="00605A56" w:rsidRPr="00FC6D26" w:rsidRDefault="00605A56">
            <w:pPr>
              <w:autoSpaceDE w:val="0"/>
              <w:autoSpaceDN w:val="0"/>
              <w:adjustRightInd w:val="0"/>
              <w:rPr>
                <w:rFonts w:ascii="Arial Narrow" w:hAnsi="Arial Narrow" w:cs="Arial Narrow"/>
                <w:iCs/>
                <w:color w:val="FF0000"/>
                <w:sz w:val="20"/>
                <w:szCs w:val="20"/>
              </w:rPr>
            </w:pPr>
            <w:r w:rsidRPr="00FC6D26">
              <w:rPr>
                <w:rFonts w:ascii="Arial Narrow" w:hAnsi="Arial Narrow"/>
                <w:b/>
                <w:bCs/>
                <w:color w:val="333333"/>
                <w:sz w:val="20"/>
                <w:szCs w:val="20"/>
              </w:rPr>
              <w:t>Treatment criteria:</w:t>
            </w:r>
          </w:p>
        </w:tc>
      </w:tr>
      <w:tr w:rsidR="00EB4939" w:rsidRPr="00FC6D26" w14:paraId="66B5C0C0" w14:textId="77777777" w:rsidTr="00EB4939">
        <w:tblPrEx>
          <w:tblCellMar>
            <w:top w:w="15" w:type="dxa"/>
            <w:bottom w:w="15" w:type="dxa"/>
          </w:tblCellMar>
          <w:tblLook w:val="04A0" w:firstRow="1" w:lastRow="0" w:firstColumn="1" w:lastColumn="0" w:noHBand="0" w:noVBand="1"/>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tcPr>
          <w:p w14:paraId="6ACA944D" w14:textId="54356DDD" w:rsidR="00EB4939" w:rsidRPr="00FC6D26" w:rsidRDefault="00EB4939" w:rsidP="00BC31F1">
            <w:pPr>
              <w:jc w:val="center"/>
              <w:rPr>
                <w:rFonts w:ascii="Arial Narrow" w:hAnsi="Arial Narrow"/>
                <w:color w:val="333333"/>
                <w:sz w:val="20"/>
                <w:szCs w:val="20"/>
              </w:rPr>
            </w:pPr>
          </w:p>
        </w:tc>
        <w:tc>
          <w:tcPr>
            <w:tcW w:w="7604" w:type="dxa"/>
            <w:gridSpan w:val="4"/>
            <w:tcBorders>
              <w:top w:val="single" w:sz="4" w:space="0" w:color="auto"/>
              <w:left w:val="single" w:sz="4" w:space="0" w:color="auto"/>
              <w:bottom w:val="single" w:sz="4" w:space="0" w:color="auto"/>
              <w:right w:val="single" w:sz="4" w:space="0" w:color="auto"/>
            </w:tcBorders>
            <w:vAlign w:val="center"/>
          </w:tcPr>
          <w:p w14:paraId="78A82C3B" w14:textId="77777777" w:rsidR="00EB4939" w:rsidRPr="00FC6D26" w:rsidRDefault="00EB4939" w:rsidP="00BC31F1">
            <w:pPr>
              <w:autoSpaceDE w:val="0"/>
              <w:autoSpaceDN w:val="0"/>
              <w:adjustRightInd w:val="0"/>
              <w:rPr>
                <w:rFonts w:ascii="Arial Narrow" w:hAnsi="Arial Narrow"/>
                <w:color w:val="333333"/>
                <w:sz w:val="20"/>
                <w:szCs w:val="20"/>
              </w:rPr>
            </w:pPr>
            <w:r w:rsidRPr="00FC6D26">
              <w:rPr>
                <w:rFonts w:ascii="Arial Narrow" w:hAnsi="Arial Narrow"/>
                <w:color w:val="333333"/>
                <w:sz w:val="20"/>
                <w:szCs w:val="20"/>
              </w:rPr>
              <w:t>Patient must not be undergoing treatment with this drug as a PBS benefit where the treatment duration extends beyond the following, whichever comes first: (i) disease progression despite treatment with this drug, (ii) 24 cumulative months from treatment initiation; annotate any remaining repeat prescriptions with the word 'cancelled' where this occurs.</w:t>
            </w:r>
          </w:p>
        </w:tc>
      </w:tr>
      <w:tr w:rsidR="00EB4939" w:rsidRPr="00FC6D26" w14:paraId="78DD91DA" w14:textId="77777777" w:rsidTr="00EB4939">
        <w:tblPrEx>
          <w:tblCellMar>
            <w:top w:w="15" w:type="dxa"/>
            <w:bottom w:w="15" w:type="dxa"/>
          </w:tblCellMar>
          <w:tblLook w:val="04A0" w:firstRow="1" w:lastRow="0" w:firstColumn="1" w:lastColumn="0" w:noHBand="0" w:noVBand="1"/>
        </w:tblPrEx>
        <w:trPr>
          <w:cantSplit/>
          <w:trHeight w:val="20"/>
        </w:trPr>
        <w:tc>
          <w:tcPr>
            <w:tcW w:w="1413" w:type="dxa"/>
            <w:gridSpan w:val="2"/>
            <w:tcBorders>
              <w:top w:val="single" w:sz="4" w:space="0" w:color="auto"/>
              <w:left w:val="single" w:sz="4" w:space="0" w:color="auto"/>
              <w:bottom w:val="single" w:sz="4" w:space="0" w:color="auto"/>
              <w:right w:val="single" w:sz="4" w:space="0" w:color="auto"/>
            </w:tcBorders>
          </w:tcPr>
          <w:p w14:paraId="4026B247" w14:textId="1D9FB0CE" w:rsidR="00EB4939" w:rsidRPr="00FC6D26" w:rsidRDefault="00EB4939" w:rsidP="00BC31F1">
            <w:pPr>
              <w:jc w:val="center"/>
              <w:rPr>
                <w:rFonts w:ascii="Arial Narrow" w:hAnsi="Arial Narrow"/>
                <w:color w:val="333333"/>
                <w:sz w:val="20"/>
                <w:szCs w:val="20"/>
              </w:rPr>
            </w:pPr>
          </w:p>
        </w:tc>
        <w:tc>
          <w:tcPr>
            <w:tcW w:w="7604" w:type="dxa"/>
            <w:gridSpan w:val="4"/>
            <w:tcBorders>
              <w:top w:val="single" w:sz="4" w:space="0" w:color="auto"/>
              <w:left w:val="single" w:sz="4" w:space="0" w:color="auto"/>
              <w:bottom w:val="single" w:sz="4" w:space="0" w:color="auto"/>
              <w:right w:val="single" w:sz="4" w:space="0" w:color="auto"/>
            </w:tcBorders>
            <w:vAlign w:val="center"/>
          </w:tcPr>
          <w:p w14:paraId="27922C94" w14:textId="77777777" w:rsidR="00EB4939" w:rsidRPr="00FC6D26" w:rsidRDefault="00EB4939" w:rsidP="00BC31F1">
            <w:pPr>
              <w:autoSpaceDE w:val="0"/>
              <w:autoSpaceDN w:val="0"/>
              <w:adjustRightInd w:val="0"/>
              <w:rPr>
                <w:rFonts w:ascii="Arial Narrow" w:hAnsi="Arial Narrow"/>
                <w:b/>
                <w:bCs/>
                <w:color w:val="333333"/>
                <w:sz w:val="20"/>
                <w:szCs w:val="20"/>
              </w:rPr>
            </w:pPr>
            <w:r w:rsidRPr="00FC6D26">
              <w:rPr>
                <w:rFonts w:ascii="Arial Narrow" w:hAnsi="Arial Narrow"/>
                <w:b/>
                <w:bCs/>
                <w:color w:val="333333"/>
                <w:sz w:val="20"/>
                <w:szCs w:val="20"/>
              </w:rPr>
              <w:t>Prescribing instructions:</w:t>
            </w:r>
          </w:p>
          <w:p w14:paraId="2DC4FAFD" w14:textId="77777777" w:rsidR="00EB4939" w:rsidRPr="00FC6D26" w:rsidRDefault="00EB4939" w:rsidP="00BC31F1">
            <w:pPr>
              <w:autoSpaceDE w:val="0"/>
              <w:autoSpaceDN w:val="0"/>
              <w:adjustRightInd w:val="0"/>
              <w:rPr>
                <w:rFonts w:ascii="Arial Narrow" w:hAnsi="Arial Narrow"/>
                <w:color w:val="333333"/>
                <w:sz w:val="20"/>
                <w:szCs w:val="20"/>
              </w:rPr>
            </w:pPr>
            <w:r w:rsidRPr="00FC6D26">
              <w:rPr>
                <w:rFonts w:ascii="Arial Narrow" w:hAnsi="Arial Narrow"/>
                <w:color w:val="333333"/>
                <w:sz w:val="20"/>
                <w:szCs w:val="20"/>
              </w:rPr>
              <w:t>An increase above the listed maximum amount may only be requested when a dose of 3 mg/kg every two weeks is prescribed in the second line setting.</w:t>
            </w:r>
          </w:p>
        </w:tc>
      </w:tr>
    </w:tbl>
    <w:p w14:paraId="56D6758A" w14:textId="2D61C17C" w:rsidR="007009E5" w:rsidRDefault="007009E5" w:rsidP="008F0B3C">
      <w:pPr>
        <w:widowControl w:val="0"/>
        <w:spacing w:after="120"/>
        <w:rPr>
          <w:rFonts w:asciiTheme="minorHAnsi" w:hAnsiTheme="minorHAnsi"/>
          <w:bCs/>
          <w:snapToGrid w:val="0"/>
          <w:lang w:eastAsia="en-US"/>
        </w:rPr>
      </w:pPr>
    </w:p>
    <w:p w14:paraId="17718139" w14:textId="7AE167C3" w:rsidR="00974A31" w:rsidRDefault="008F0B3C" w:rsidP="0010690E">
      <w:pPr>
        <w:spacing w:before="120" w:after="120"/>
        <w:rPr>
          <w:rFonts w:asciiTheme="minorHAnsi" w:hAnsiTheme="minorHAnsi"/>
          <w:b/>
          <w:i/>
          <w:iCs/>
          <w:snapToGrid w:val="0"/>
          <w:lang w:val="en-GB" w:eastAsia="en-US"/>
        </w:rPr>
      </w:pPr>
      <w:r w:rsidRPr="008F0B3C">
        <w:rPr>
          <w:rFonts w:asciiTheme="minorHAnsi" w:hAnsiTheme="minorHAnsi"/>
          <w:b/>
          <w:i/>
          <w:iCs/>
          <w:snapToGrid w:val="0"/>
          <w:lang w:val="en-GB" w:eastAsia="en-US"/>
        </w:rPr>
        <w:t>Th</w:t>
      </w:r>
      <w:r w:rsidR="005512F8">
        <w:rPr>
          <w:rFonts w:asciiTheme="minorHAnsi" w:hAnsiTheme="minorHAnsi"/>
          <w:b/>
          <w:i/>
          <w:iCs/>
          <w:snapToGrid w:val="0"/>
          <w:lang w:val="en-GB" w:eastAsia="en-US"/>
        </w:rPr>
        <w:t>is</w:t>
      </w:r>
      <w:r w:rsidRPr="008F0B3C">
        <w:rPr>
          <w:rFonts w:asciiTheme="minorHAnsi" w:hAnsiTheme="minorHAnsi"/>
          <w:b/>
          <w:i/>
          <w:iCs/>
          <w:snapToGrid w:val="0"/>
          <w:lang w:val="en-GB" w:eastAsia="en-US"/>
        </w:rPr>
        <w:t xml:space="preserve"> restriction may be subject to further review. Should there be any changes made to the restriction the sponsor will be informed.</w:t>
      </w:r>
      <w:bookmarkEnd w:id="63"/>
    </w:p>
    <w:p w14:paraId="295DD3B7" w14:textId="77777777" w:rsidR="009423CD" w:rsidRPr="009423CD" w:rsidRDefault="009423CD" w:rsidP="009423CD">
      <w:pPr>
        <w:keepNext/>
        <w:numPr>
          <w:ilvl w:val="0"/>
          <w:numId w:val="1"/>
        </w:numPr>
        <w:spacing w:before="240" w:after="120"/>
        <w:jc w:val="left"/>
        <w:outlineLvl w:val="0"/>
        <w:rPr>
          <w:rFonts w:asciiTheme="minorHAnsi" w:hAnsiTheme="minorHAnsi"/>
          <w:b/>
          <w:snapToGrid w:val="0"/>
          <w:sz w:val="32"/>
          <w:szCs w:val="32"/>
        </w:rPr>
      </w:pPr>
      <w:r w:rsidRPr="009423CD">
        <w:rPr>
          <w:rFonts w:asciiTheme="minorHAnsi" w:hAnsiTheme="minorHAnsi"/>
          <w:b/>
          <w:snapToGrid w:val="0"/>
          <w:sz w:val="32"/>
          <w:szCs w:val="32"/>
        </w:rPr>
        <w:t>Context for Decision</w:t>
      </w:r>
    </w:p>
    <w:p w14:paraId="0F8FDB0A" w14:textId="77777777" w:rsidR="009423CD" w:rsidRPr="009423CD" w:rsidRDefault="009423CD" w:rsidP="009423CD">
      <w:pPr>
        <w:spacing w:after="120"/>
        <w:ind w:left="720"/>
        <w:rPr>
          <w:rFonts w:asciiTheme="minorHAnsi" w:hAnsiTheme="minorHAnsi"/>
          <w:bCs/>
          <w:lang w:val="en-GB"/>
        </w:rPr>
      </w:pPr>
      <w:r w:rsidRPr="009423CD">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CD2D405" w14:textId="77777777" w:rsidR="009423CD" w:rsidRPr="009423CD" w:rsidRDefault="009423CD" w:rsidP="009423CD">
      <w:pPr>
        <w:keepNext/>
        <w:numPr>
          <w:ilvl w:val="0"/>
          <w:numId w:val="1"/>
        </w:numPr>
        <w:spacing w:before="240" w:after="120"/>
        <w:jc w:val="left"/>
        <w:outlineLvl w:val="0"/>
        <w:rPr>
          <w:rFonts w:asciiTheme="minorHAnsi" w:hAnsiTheme="minorHAnsi"/>
          <w:b/>
          <w:snapToGrid w:val="0"/>
          <w:sz w:val="32"/>
          <w:szCs w:val="32"/>
        </w:rPr>
      </w:pPr>
      <w:r w:rsidRPr="009423CD">
        <w:rPr>
          <w:rFonts w:asciiTheme="minorHAnsi" w:hAnsiTheme="minorHAnsi"/>
          <w:b/>
          <w:snapToGrid w:val="0"/>
          <w:sz w:val="32"/>
          <w:szCs w:val="32"/>
        </w:rPr>
        <w:t>Sponsor’s Comment</w:t>
      </w:r>
    </w:p>
    <w:p w14:paraId="2B5DF555" w14:textId="0D1682A0" w:rsidR="000268D7" w:rsidRDefault="000268D7" w:rsidP="009423CD">
      <w:pPr>
        <w:spacing w:after="120" w:line="276" w:lineRule="auto"/>
        <w:ind w:left="720"/>
        <w:rPr>
          <w:rFonts w:asciiTheme="minorHAnsi" w:eastAsiaTheme="minorHAnsi" w:hAnsiTheme="minorHAnsi"/>
          <w:bCs/>
          <w:szCs w:val="22"/>
          <w:lang w:val="en-GB" w:eastAsia="en-US"/>
        </w:rPr>
      </w:pPr>
      <w:r w:rsidRPr="000268D7">
        <w:rPr>
          <w:rFonts w:asciiTheme="minorHAnsi" w:eastAsiaTheme="minorHAnsi" w:hAnsiTheme="minorHAnsi"/>
          <w:bCs/>
          <w:szCs w:val="22"/>
          <w:lang w:val="en-GB" w:eastAsia="en-US"/>
        </w:rPr>
        <w:t>Dr Reddy’s Laboratories Australia welcomes the positive recommendation made by PBAC and the acknowledgement of high clinical unmet need for RM-NPC. Dr Reddy’s Laboratories Australia looks forward to working with PBAC and the Department of Health to help facilitate access to Toripalimab on the PBS at the earliest available opportunity</w:t>
      </w:r>
      <w:r>
        <w:rPr>
          <w:rFonts w:asciiTheme="minorHAnsi" w:eastAsiaTheme="minorHAnsi" w:hAnsiTheme="minorHAnsi"/>
          <w:bCs/>
          <w:szCs w:val="22"/>
          <w:lang w:val="en-GB" w:eastAsia="en-US"/>
        </w:rPr>
        <w:t>.</w:t>
      </w:r>
    </w:p>
    <w:p w14:paraId="4FEAA6E6" w14:textId="0069BC15" w:rsidR="009423CD" w:rsidRPr="0010690E" w:rsidRDefault="009423CD" w:rsidP="000268D7">
      <w:pPr>
        <w:spacing w:before="120" w:after="120"/>
        <w:ind w:firstLine="720"/>
        <w:rPr>
          <w:rFonts w:asciiTheme="minorHAnsi" w:hAnsiTheme="minorHAnsi"/>
          <w:b/>
          <w:i/>
          <w:iCs/>
          <w:snapToGrid w:val="0"/>
          <w:lang w:val="en-GB" w:eastAsia="en-US"/>
        </w:rPr>
      </w:pPr>
    </w:p>
    <w:sectPr w:rsidR="009423CD" w:rsidRPr="0010690E" w:rsidSect="00C46FFF">
      <w:headerReference w:type="default" r:id="rId17"/>
      <w:footerReference w:type="defaul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F124" w14:textId="77777777" w:rsidR="00015C94" w:rsidRDefault="00015C94" w:rsidP="00124A51">
      <w:r>
        <w:separator/>
      </w:r>
    </w:p>
    <w:p w14:paraId="4064D5BC" w14:textId="77777777" w:rsidR="00015C94" w:rsidRDefault="00015C94"/>
  </w:endnote>
  <w:endnote w:type="continuationSeparator" w:id="0">
    <w:p w14:paraId="78E2570F" w14:textId="77777777" w:rsidR="00015C94" w:rsidRDefault="00015C94" w:rsidP="00124A51">
      <w:r>
        <w:continuationSeparator/>
      </w:r>
    </w:p>
    <w:p w14:paraId="1E32D9C1" w14:textId="77777777" w:rsidR="00015C94" w:rsidRDefault="00015C94"/>
  </w:endnote>
  <w:endnote w:type="continuationNotice" w:id="1">
    <w:p w14:paraId="517E6E2D" w14:textId="77777777" w:rsidR="00015C94" w:rsidRDefault="0001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007B" w14:textId="77777777" w:rsidR="00EA3862" w:rsidRDefault="00EA3862" w:rsidP="00EA3862">
    <w:pPr>
      <w:pStyle w:val="PageFooter"/>
    </w:pPr>
  </w:p>
  <w:p w14:paraId="4803D9FA" w14:textId="3BA41C6F" w:rsidR="00EA3862" w:rsidRPr="007C1CD9" w:rsidRDefault="00000000" w:rsidP="00EA3862">
    <w:pPr>
      <w:pStyle w:val="PageFooter"/>
    </w:pPr>
    <w:sdt>
      <w:sdtPr>
        <w:id w:val="1318391951"/>
        <w:docPartObj>
          <w:docPartGallery w:val="Page Numbers (Bottom of Page)"/>
          <w:docPartUnique/>
        </w:docPartObj>
      </w:sdtPr>
      <w:sdtEndPr>
        <w:rPr>
          <w:noProof/>
        </w:rPr>
      </w:sdtEndPr>
      <w:sdtContent>
        <w:r w:rsidR="00EA3862">
          <w:fldChar w:fldCharType="begin"/>
        </w:r>
        <w:r w:rsidR="00EA3862">
          <w:instrText xml:space="preserve"> PAGE   \* MERGEFORMAT </w:instrText>
        </w:r>
        <w:r w:rsidR="00EA3862">
          <w:fldChar w:fldCharType="separate"/>
        </w:r>
        <w:r w:rsidR="00EA3862">
          <w:t>ii</w:t>
        </w:r>
        <w:r w:rsidR="00EA386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F374C" w14:textId="77777777" w:rsidR="00015C94" w:rsidRDefault="00015C94" w:rsidP="00124A51">
      <w:r>
        <w:separator/>
      </w:r>
    </w:p>
    <w:p w14:paraId="6AA9554B" w14:textId="77777777" w:rsidR="00015C94" w:rsidRDefault="00015C94"/>
  </w:footnote>
  <w:footnote w:type="continuationSeparator" w:id="0">
    <w:p w14:paraId="38110613" w14:textId="77777777" w:rsidR="00015C94" w:rsidRDefault="00015C94" w:rsidP="00124A51">
      <w:r>
        <w:continuationSeparator/>
      </w:r>
    </w:p>
    <w:p w14:paraId="0022CC11" w14:textId="77777777" w:rsidR="00015C94" w:rsidRDefault="00015C94"/>
  </w:footnote>
  <w:footnote w:type="continuationNotice" w:id="1">
    <w:p w14:paraId="30FB1E3C" w14:textId="77777777" w:rsidR="00015C94" w:rsidRDefault="00015C94"/>
  </w:footnote>
  <w:footnote w:id="2">
    <w:p w14:paraId="65A43590" w14:textId="77777777" w:rsidR="00B90E36" w:rsidRDefault="00B90E36" w:rsidP="00B90E36">
      <w:pPr>
        <w:pStyle w:val="FootnoteText"/>
      </w:pPr>
      <w:r>
        <w:rPr>
          <w:rStyle w:val="FootnoteReference"/>
        </w:rPr>
        <w:footnoteRef/>
      </w:r>
      <w:r>
        <w:t xml:space="preserve"> </w:t>
      </w:r>
      <w:r w:rsidRPr="00D4434F">
        <w:t xml:space="preserve">Murakami N, Mori T, Kubo Y, Yoshimoto S, Ito K, Honma Y, Ueno T, Kobayashi K, Okamoto H, Boku N, Takahashi K, Inaba K, Okuma K, Igaki H, Nakayama Y, Itami J. Prognostic impact of immunohistopathologic features in definitive radiation therapy for nasopharyngeal cancer patients. </w:t>
      </w:r>
      <w:r w:rsidRPr="00D4434F">
        <w:rPr>
          <w:i/>
          <w:iCs/>
        </w:rPr>
        <w:t>J Radiat Res</w:t>
      </w:r>
      <w:r w:rsidRPr="00D4434F">
        <w:t>. 2020 Jan 23;61(1):161-168. doi: 10.1093/jrr/rrz071. PMID: 31822892; PMCID: PMC6976734.</w:t>
      </w:r>
    </w:p>
  </w:footnote>
  <w:footnote w:id="3">
    <w:p w14:paraId="67A7C3FB" w14:textId="77777777" w:rsidR="00B90E36" w:rsidRDefault="00B90E36" w:rsidP="00B90E36">
      <w:pPr>
        <w:pStyle w:val="FootnoteText"/>
      </w:pPr>
      <w:r>
        <w:rPr>
          <w:rStyle w:val="FootnoteReference"/>
        </w:rPr>
        <w:footnoteRef/>
      </w:r>
      <w:r>
        <w:t xml:space="preserve"> </w:t>
      </w:r>
      <w:r w:rsidRPr="00D35AE5">
        <w:t xml:space="preserve">Reddy SP, Raslan WF, Gooneratne S, Kathuria S, Marks JE. Prognostic significance of keratinization in nasopharyngeal carcinoma. </w:t>
      </w:r>
      <w:r w:rsidRPr="00D35AE5">
        <w:rPr>
          <w:i/>
          <w:iCs/>
        </w:rPr>
        <w:t>Am J Otolaryngol</w:t>
      </w:r>
      <w:r w:rsidRPr="00D35AE5">
        <w:t>. 1995 Mar-Apr;16(2):103-8. doi: 10.1016/0196-0709(95)90040-3. PMID: 7540805.</w:t>
      </w:r>
    </w:p>
  </w:footnote>
  <w:footnote w:id="4">
    <w:p w14:paraId="2A1658E4" w14:textId="77777777" w:rsidR="00B90E36" w:rsidRDefault="00B90E36" w:rsidP="00B90E36">
      <w:pPr>
        <w:pStyle w:val="FootnoteText"/>
      </w:pPr>
      <w:r>
        <w:rPr>
          <w:rStyle w:val="FootnoteReference"/>
        </w:rPr>
        <w:footnoteRef/>
      </w:r>
      <w:r>
        <w:t xml:space="preserve"> </w:t>
      </w:r>
      <w:r w:rsidRPr="00D4434F">
        <w:t xml:space="preserve">Wu SG, Lian CL, Wang J, Zhang WW, Sun JY, Lin Q, He ZY. The effect of histological subtypes on survival outcome in nasopharyngeal carcinoma after extensive follow up. </w:t>
      </w:r>
      <w:r w:rsidRPr="00D4434F">
        <w:rPr>
          <w:i/>
          <w:iCs/>
        </w:rPr>
        <w:t>Ann Transl Med</w:t>
      </w:r>
      <w:r w:rsidRPr="00D4434F">
        <w:t>. 2019 Dec;7(23):768. doi: 10.21037/atm.2019.11.75. PMID: 32042784; PMCID: PMC6989997.</w:t>
      </w:r>
    </w:p>
  </w:footnote>
  <w:footnote w:id="5">
    <w:p w14:paraId="5346E18D" w14:textId="23309FD0" w:rsidR="008F7A62" w:rsidRPr="0007167F" w:rsidRDefault="008F7A62">
      <w:pPr>
        <w:pStyle w:val="FootnoteText"/>
        <w:rPr>
          <w:sz w:val="18"/>
          <w:szCs w:val="18"/>
        </w:rPr>
      </w:pPr>
      <w:r w:rsidRPr="0007167F">
        <w:rPr>
          <w:rStyle w:val="FootnoteReference"/>
          <w:sz w:val="18"/>
          <w:szCs w:val="18"/>
        </w:rPr>
        <w:footnoteRef/>
      </w:r>
      <w:r w:rsidRPr="0007167F">
        <w:rPr>
          <w:sz w:val="18"/>
          <w:szCs w:val="18"/>
        </w:rPr>
        <w:t xml:space="preserve"> </w:t>
      </w:r>
      <w:r w:rsidRPr="0007167F">
        <w:rPr>
          <w:rFonts w:asciiTheme="minorHAnsi" w:hAnsiTheme="minorHAnsi"/>
          <w:bCs/>
          <w:snapToGrid w:val="0"/>
          <w:sz w:val="18"/>
          <w:szCs w:val="18"/>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C956" w14:textId="7029F65E" w:rsidR="00EA3862" w:rsidRPr="004A23B5" w:rsidRDefault="00DA2731" w:rsidP="004A23B5">
    <w:pPr>
      <w:pStyle w:val="Header"/>
      <w:rPr>
        <w:rFonts w:asciiTheme="minorHAnsi" w:hAnsiTheme="minorHAnsi"/>
        <w:color w:val="808080"/>
      </w:rPr>
    </w:pPr>
    <w:r w:rsidRPr="00DA2731">
      <w:rPr>
        <w:rFonts w:asciiTheme="minorHAnsi" w:hAnsiTheme="minorHAnsi"/>
        <w:color w:val="808080"/>
      </w:rPr>
      <w:t xml:space="preserve">Public Summary Document </w:t>
    </w:r>
    <w:r w:rsidR="004A23B5">
      <w:rPr>
        <w:rFonts w:asciiTheme="minorHAnsi" w:hAnsiTheme="minorHAnsi"/>
        <w:color w:val="808080"/>
      </w:rPr>
      <w:t xml:space="preserve">– </w:t>
    </w:r>
    <w:r w:rsidR="00EA3862">
      <w:rPr>
        <w:rFonts w:asciiTheme="minorHAnsi" w:hAnsiTheme="minorHAnsi"/>
        <w:color w:val="808080"/>
      </w:rPr>
      <w:t xml:space="preserve">March 2025 </w:t>
    </w:r>
    <w:r w:rsidR="00EA3862" w:rsidRPr="00195452">
      <w:rPr>
        <w:rFonts w:asciiTheme="minorHAnsi" w:hAnsiTheme="minorHAnsi"/>
        <w:color w:val="808080"/>
      </w:rPr>
      <w:t>PBAC Meeting</w:t>
    </w:r>
  </w:p>
  <w:p w14:paraId="446AA837" w14:textId="77777777" w:rsidR="00EA3862" w:rsidRDefault="00EA3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04482"/>
    <w:multiLevelType w:val="hybridMultilevel"/>
    <w:tmpl w:val="EC24C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E5559"/>
    <w:multiLevelType w:val="multilevel"/>
    <w:tmpl w:val="C5DC3EBE"/>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3" w15:restartNumberingAfterBreak="0">
    <w:nsid w:val="11F16B6F"/>
    <w:multiLevelType w:val="hybridMultilevel"/>
    <w:tmpl w:val="AFE8D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740B96"/>
    <w:multiLevelType w:val="hybridMultilevel"/>
    <w:tmpl w:val="35C64C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665C81"/>
    <w:multiLevelType w:val="multilevel"/>
    <w:tmpl w:val="777AE040"/>
    <w:lvl w:ilvl="0">
      <w:start w:val="1"/>
      <w:numFmt w:val="decimal"/>
      <w:lvlText w:val="%1"/>
      <w:lvlJc w:val="left"/>
      <w:pPr>
        <w:ind w:left="720" w:hanging="720"/>
      </w:pPr>
      <w:rPr>
        <w:rFonts w:hint="default"/>
        <w:b/>
      </w:rPr>
    </w:lvl>
    <w:lvl w:ilvl="1">
      <w:start w:val="1"/>
      <w:numFmt w:val="lowerLetter"/>
      <w:lvlText w:val="%2)"/>
      <w:lvlJc w:val="left"/>
      <w:pPr>
        <w:ind w:left="1494"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A3001"/>
    <w:multiLevelType w:val="hybridMultilevel"/>
    <w:tmpl w:val="B944E4F2"/>
    <w:lvl w:ilvl="0" w:tplc="BBBCBAFE">
      <w:start w:val="1"/>
      <w:numFmt w:val="bullet"/>
      <w:lvlText w:val=""/>
      <w:lvlJc w:val="left"/>
      <w:pPr>
        <w:ind w:left="720" w:hanging="360"/>
      </w:pPr>
      <w:rPr>
        <w:rFonts w:ascii="Symbol" w:hAnsi="Symbol"/>
      </w:rPr>
    </w:lvl>
    <w:lvl w:ilvl="1" w:tplc="23EC8CDC">
      <w:start w:val="1"/>
      <w:numFmt w:val="bullet"/>
      <w:lvlText w:val=""/>
      <w:lvlJc w:val="left"/>
      <w:pPr>
        <w:ind w:left="720" w:hanging="360"/>
      </w:pPr>
      <w:rPr>
        <w:rFonts w:ascii="Symbol" w:hAnsi="Symbol"/>
      </w:rPr>
    </w:lvl>
    <w:lvl w:ilvl="2" w:tplc="4D5E8F02">
      <w:start w:val="1"/>
      <w:numFmt w:val="bullet"/>
      <w:lvlText w:val=""/>
      <w:lvlJc w:val="left"/>
      <w:pPr>
        <w:ind w:left="720" w:hanging="360"/>
      </w:pPr>
      <w:rPr>
        <w:rFonts w:ascii="Symbol" w:hAnsi="Symbol"/>
      </w:rPr>
    </w:lvl>
    <w:lvl w:ilvl="3" w:tplc="AF48EF34">
      <w:start w:val="1"/>
      <w:numFmt w:val="bullet"/>
      <w:lvlText w:val=""/>
      <w:lvlJc w:val="left"/>
      <w:pPr>
        <w:ind w:left="720" w:hanging="360"/>
      </w:pPr>
      <w:rPr>
        <w:rFonts w:ascii="Symbol" w:hAnsi="Symbol"/>
      </w:rPr>
    </w:lvl>
    <w:lvl w:ilvl="4" w:tplc="300A768A">
      <w:start w:val="1"/>
      <w:numFmt w:val="bullet"/>
      <w:lvlText w:val=""/>
      <w:lvlJc w:val="left"/>
      <w:pPr>
        <w:ind w:left="720" w:hanging="360"/>
      </w:pPr>
      <w:rPr>
        <w:rFonts w:ascii="Symbol" w:hAnsi="Symbol"/>
      </w:rPr>
    </w:lvl>
    <w:lvl w:ilvl="5" w:tplc="E81293C2">
      <w:start w:val="1"/>
      <w:numFmt w:val="bullet"/>
      <w:lvlText w:val=""/>
      <w:lvlJc w:val="left"/>
      <w:pPr>
        <w:ind w:left="720" w:hanging="360"/>
      </w:pPr>
      <w:rPr>
        <w:rFonts w:ascii="Symbol" w:hAnsi="Symbol"/>
      </w:rPr>
    </w:lvl>
    <w:lvl w:ilvl="6" w:tplc="23A25E22">
      <w:start w:val="1"/>
      <w:numFmt w:val="bullet"/>
      <w:lvlText w:val=""/>
      <w:lvlJc w:val="left"/>
      <w:pPr>
        <w:ind w:left="720" w:hanging="360"/>
      </w:pPr>
      <w:rPr>
        <w:rFonts w:ascii="Symbol" w:hAnsi="Symbol"/>
      </w:rPr>
    </w:lvl>
    <w:lvl w:ilvl="7" w:tplc="AE429FC4">
      <w:start w:val="1"/>
      <w:numFmt w:val="bullet"/>
      <w:lvlText w:val=""/>
      <w:lvlJc w:val="left"/>
      <w:pPr>
        <w:ind w:left="720" w:hanging="360"/>
      </w:pPr>
      <w:rPr>
        <w:rFonts w:ascii="Symbol" w:hAnsi="Symbol"/>
      </w:rPr>
    </w:lvl>
    <w:lvl w:ilvl="8" w:tplc="8C88DFBA">
      <w:start w:val="1"/>
      <w:numFmt w:val="bullet"/>
      <w:lvlText w:val=""/>
      <w:lvlJc w:val="left"/>
      <w:pPr>
        <w:ind w:left="720" w:hanging="360"/>
      </w:pPr>
      <w:rPr>
        <w:rFonts w:ascii="Symbol" w:hAnsi="Symbol"/>
      </w:rPr>
    </w:lvl>
  </w:abstractNum>
  <w:abstractNum w:abstractNumId="7" w15:restartNumberingAfterBreak="0">
    <w:nsid w:val="1ED9218C"/>
    <w:multiLevelType w:val="hybridMultilevel"/>
    <w:tmpl w:val="50C05A5A"/>
    <w:lvl w:ilvl="0" w:tplc="8B5CAA34">
      <w:start w:val="1"/>
      <w:numFmt w:val="bullet"/>
      <w:lvlText w:val=""/>
      <w:lvlJc w:val="left"/>
      <w:pPr>
        <w:ind w:left="720" w:hanging="360"/>
      </w:pPr>
      <w:rPr>
        <w:rFonts w:ascii="Symbol" w:hAnsi="Symbol"/>
      </w:rPr>
    </w:lvl>
    <w:lvl w:ilvl="1" w:tplc="05888B1E">
      <w:start w:val="1"/>
      <w:numFmt w:val="bullet"/>
      <w:lvlText w:val=""/>
      <w:lvlJc w:val="left"/>
      <w:pPr>
        <w:ind w:left="720" w:hanging="360"/>
      </w:pPr>
      <w:rPr>
        <w:rFonts w:ascii="Symbol" w:hAnsi="Symbol"/>
      </w:rPr>
    </w:lvl>
    <w:lvl w:ilvl="2" w:tplc="832EEEFA">
      <w:start w:val="1"/>
      <w:numFmt w:val="bullet"/>
      <w:lvlText w:val=""/>
      <w:lvlJc w:val="left"/>
      <w:pPr>
        <w:ind w:left="720" w:hanging="360"/>
      </w:pPr>
      <w:rPr>
        <w:rFonts w:ascii="Symbol" w:hAnsi="Symbol"/>
      </w:rPr>
    </w:lvl>
    <w:lvl w:ilvl="3" w:tplc="9EC0D5AE">
      <w:start w:val="1"/>
      <w:numFmt w:val="bullet"/>
      <w:lvlText w:val=""/>
      <w:lvlJc w:val="left"/>
      <w:pPr>
        <w:ind w:left="720" w:hanging="360"/>
      </w:pPr>
      <w:rPr>
        <w:rFonts w:ascii="Symbol" w:hAnsi="Symbol"/>
      </w:rPr>
    </w:lvl>
    <w:lvl w:ilvl="4" w:tplc="FF3C2AF8">
      <w:start w:val="1"/>
      <w:numFmt w:val="bullet"/>
      <w:lvlText w:val=""/>
      <w:lvlJc w:val="left"/>
      <w:pPr>
        <w:ind w:left="720" w:hanging="360"/>
      </w:pPr>
      <w:rPr>
        <w:rFonts w:ascii="Symbol" w:hAnsi="Symbol"/>
      </w:rPr>
    </w:lvl>
    <w:lvl w:ilvl="5" w:tplc="DDE2C398">
      <w:start w:val="1"/>
      <w:numFmt w:val="bullet"/>
      <w:lvlText w:val=""/>
      <w:lvlJc w:val="left"/>
      <w:pPr>
        <w:ind w:left="720" w:hanging="360"/>
      </w:pPr>
      <w:rPr>
        <w:rFonts w:ascii="Symbol" w:hAnsi="Symbol"/>
      </w:rPr>
    </w:lvl>
    <w:lvl w:ilvl="6" w:tplc="572454F0">
      <w:start w:val="1"/>
      <w:numFmt w:val="bullet"/>
      <w:lvlText w:val=""/>
      <w:lvlJc w:val="left"/>
      <w:pPr>
        <w:ind w:left="720" w:hanging="360"/>
      </w:pPr>
      <w:rPr>
        <w:rFonts w:ascii="Symbol" w:hAnsi="Symbol"/>
      </w:rPr>
    </w:lvl>
    <w:lvl w:ilvl="7" w:tplc="E190F372">
      <w:start w:val="1"/>
      <w:numFmt w:val="bullet"/>
      <w:lvlText w:val=""/>
      <w:lvlJc w:val="left"/>
      <w:pPr>
        <w:ind w:left="720" w:hanging="360"/>
      </w:pPr>
      <w:rPr>
        <w:rFonts w:ascii="Symbol" w:hAnsi="Symbol"/>
      </w:rPr>
    </w:lvl>
    <w:lvl w:ilvl="8" w:tplc="062AEE7E">
      <w:start w:val="1"/>
      <w:numFmt w:val="bullet"/>
      <w:lvlText w:val=""/>
      <w:lvlJc w:val="left"/>
      <w:pPr>
        <w:ind w:left="720" w:hanging="360"/>
      </w:pPr>
      <w:rPr>
        <w:rFonts w:ascii="Symbol" w:hAnsi="Symbol"/>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07527A"/>
    <w:multiLevelType w:val="hybridMultilevel"/>
    <w:tmpl w:val="CCD0C3F2"/>
    <w:lvl w:ilvl="0" w:tplc="A92C859E">
      <w:start w:val="1"/>
      <w:numFmt w:val="bullet"/>
      <w:lvlText w:val=""/>
      <w:lvlJc w:val="left"/>
      <w:pPr>
        <w:ind w:left="720" w:hanging="360"/>
      </w:pPr>
      <w:rPr>
        <w:rFonts w:ascii="Symbol" w:hAnsi="Symbol"/>
      </w:rPr>
    </w:lvl>
    <w:lvl w:ilvl="1" w:tplc="6E0A0442">
      <w:start w:val="1"/>
      <w:numFmt w:val="bullet"/>
      <w:lvlText w:val=""/>
      <w:lvlJc w:val="left"/>
      <w:pPr>
        <w:ind w:left="720" w:hanging="360"/>
      </w:pPr>
      <w:rPr>
        <w:rFonts w:ascii="Symbol" w:hAnsi="Symbol"/>
      </w:rPr>
    </w:lvl>
    <w:lvl w:ilvl="2" w:tplc="B792FF92">
      <w:start w:val="1"/>
      <w:numFmt w:val="bullet"/>
      <w:lvlText w:val=""/>
      <w:lvlJc w:val="left"/>
      <w:pPr>
        <w:ind w:left="720" w:hanging="360"/>
      </w:pPr>
      <w:rPr>
        <w:rFonts w:ascii="Symbol" w:hAnsi="Symbol"/>
      </w:rPr>
    </w:lvl>
    <w:lvl w:ilvl="3" w:tplc="08029F58">
      <w:start w:val="1"/>
      <w:numFmt w:val="bullet"/>
      <w:lvlText w:val=""/>
      <w:lvlJc w:val="left"/>
      <w:pPr>
        <w:ind w:left="720" w:hanging="360"/>
      </w:pPr>
      <w:rPr>
        <w:rFonts w:ascii="Symbol" w:hAnsi="Symbol"/>
      </w:rPr>
    </w:lvl>
    <w:lvl w:ilvl="4" w:tplc="974267A8">
      <w:start w:val="1"/>
      <w:numFmt w:val="bullet"/>
      <w:lvlText w:val=""/>
      <w:lvlJc w:val="left"/>
      <w:pPr>
        <w:ind w:left="720" w:hanging="360"/>
      </w:pPr>
      <w:rPr>
        <w:rFonts w:ascii="Symbol" w:hAnsi="Symbol"/>
      </w:rPr>
    </w:lvl>
    <w:lvl w:ilvl="5" w:tplc="058E5BA2">
      <w:start w:val="1"/>
      <w:numFmt w:val="bullet"/>
      <w:lvlText w:val=""/>
      <w:lvlJc w:val="left"/>
      <w:pPr>
        <w:ind w:left="720" w:hanging="360"/>
      </w:pPr>
      <w:rPr>
        <w:rFonts w:ascii="Symbol" w:hAnsi="Symbol"/>
      </w:rPr>
    </w:lvl>
    <w:lvl w:ilvl="6" w:tplc="D794C6C6">
      <w:start w:val="1"/>
      <w:numFmt w:val="bullet"/>
      <w:lvlText w:val=""/>
      <w:lvlJc w:val="left"/>
      <w:pPr>
        <w:ind w:left="720" w:hanging="360"/>
      </w:pPr>
      <w:rPr>
        <w:rFonts w:ascii="Symbol" w:hAnsi="Symbol"/>
      </w:rPr>
    </w:lvl>
    <w:lvl w:ilvl="7" w:tplc="228843AC">
      <w:start w:val="1"/>
      <w:numFmt w:val="bullet"/>
      <w:lvlText w:val=""/>
      <w:lvlJc w:val="left"/>
      <w:pPr>
        <w:ind w:left="720" w:hanging="360"/>
      </w:pPr>
      <w:rPr>
        <w:rFonts w:ascii="Symbol" w:hAnsi="Symbol"/>
      </w:rPr>
    </w:lvl>
    <w:lvl w:ilvl="8" w:tplc="8D6CF618">
      <w:start w:val="1"/>
      <w:numFmt w:val="bullet"/>
      <w:lvlText w:val=""/>
      <w:lvlJc w:val="left"/>
      <w:pPr>
        <w:ind w:left="720" w:hanging="360"/>
      </w:pPr>
      <w:rPr>
        <w:rFonts w:ascii="Symbol" w:hAnsi="Symbol"/>
      </w:rPr>
    </w:lvl>
  </w:abstractNum>
  <w:abstractNum w:abstractNumId="10" w15:restartNumberingAfterBreak="0">
    <w:nsid w:val="281D0C82"/>
    <w:multiLevelType w:val="hybridMultilevel"/>
    <w:tmpl w:val="EEF60584"/>
    <w:lvl w:ilvl="0" w:tplc="02942592">
      <w:start w:val="1"/>
      <w:numFmt w:val="bullet"/>
      <w:lvlText w:val=""/>
      <w:lvlJc w:val="left"/>
      <w:pPr>
        <w:ind w:left="720" w:hanging="360"/>
      </w:pPr>
      <w:rPr>
        <w:rFonts w:ascii="Symbol" w:hAnsi="Symbol"/>
      </w:rPr>
    </w:lvl>
    <w:lvl w:ilvl="1" w:tplc="D4E279A0">
      <w:start w:val="1"/>
      <w:numFmt w:val="bullet"/>
      <w:lvlText w:val=""/>
      <w:lvlJc w:val="left"/>
      <w:pPr>
        <w:ind w:left="720" w:hanging="360"/>
      </w:pPr>
      <w:rPr>
        <w:rFonts w:ascii="Symbol" w:hAnsi="Symbol"/>
      </w:rPr>
    </w:lvl>
    <w:lvl w:ilvl="2" w:tplc="54C44296">
      <w:start w:val="1"/>
      <w:numFmt w:val="bullet"/>
      <w:lvlText w:val=""/>
      <w:lvlJc w:val="left"/>
      <w:pPr>
        <w:ind w:left="720" w:hanging="360"/>
      </w:pPr>
      <w:rPr>
        <w:rFonts w:ascii="Symbol" w:hAnsi="Symbol"/>
      </w:rPr>
    </w:lvl>
    <w:lvl w:ilvl="3" w:tplc="EDECF4DE">
      <w:start w:val="1"/>
      <w:numFmt w:val="bullet"/>
      <w:lvlText w:val=""/>
      <w:lvlJc w:val="left"/>
      <w:pPr>
        <w:ind w:left="720" w:hanging="360"/>
      </w:pPr>
      <w:rPr>
        <w:rFonts w:ascii="Symbol" w:hAnsi="Symbol"/>
      </w:rPr>
    </w:lvl>
    <w:lvl w:ilvl="4" w:tplc="6AAE165C">
      <w:start w:val="1"/>
      <w:numFmt w:val="bullet"/>
      <w:lvlText w:val=""/>
      <w:lvlJc w:val="left"/>
      <w:pPr>
        <w:ind w:left="720" w:hanging="360"/>
      </w:pPr>
      <w:rPr>
        <w:rFonts w:ascii="Symbol" w:hAnsi="Symbol"/>
      </w:rPr>
    </w:lvl>
    <w:lvl w:ilvl="5" w:tplc="0EE6C854">
      <w:start w:val="1"/>
      <w:numFmt w:val="bullet"/>
      <w:lvlText w:val=""/>
      <w:lvlJc w:val="left"/>
      <w:pPr>
        <w:ind w:left="720" w:hanging="360"/>
      </w:pPr>
      <w:rPr>
        <w:rFonts w:ascii="Symbol" w:hAnsi="Symbol"/>
      </w:rPr>
    </w:lvl>
    <w:lvl w:ilvl="6" w:tplc="D5F84990">
      <w:start w:val="1"/>
      <w:numFmt w:val="bullet"/>
      <w:lvlText w:val=""/>
      <w:lvlJc w:val="left"/>
      <w:pPr>
        <w:ind w:left="720" w:hanging="360"/>
      </w:pPr>
      <w:rPr>
        <w:rFonts w:ascii="Symbol" w:hAnsi="Symbol"/>
      </w:rPr>
    </w:lvl>
    <w:lvl w:ilvl="7" w:tplc="9F643402">
      <w:start w:val="1"/>
      <w:numFmt w:val="bullet"/>
      <w:lvlText w:val=""/>
      <w:lvlJc w:val="left"/>
      <w:pPr>
        <w:ind w:left="720" w:hanging="360"/>
      </w:pPr>
      <w:rPr>
        <w:rFonts w:ascii="Symbol" w:hAnsi="Symbol"/>
      </w:rPr>
    </w:lvl>
    <w:lvl w:ilvl="8" w:tplc="AF04BA1E">
      <w:start w:val="1"/>
      <w:numFmt w:val="bullet"/>
      <w:lvlText w:val=""/>
      <w:lvlJc w:val="left"/>
      <w:pPr>
        <w:ind w:left="720" w:hanging="360"/>
      </w:pPr>
      <w:rPr>
        <w:rFonts w:ascii="Symbol" w:hAnsi="Symbol"/>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C4083A"/>
    <w:multiLevelType w:val="hybridMultilevel"/>
    <w:tmpl w:val="9D10FAD6"/>
    <w:lvl w:ilvl="0" w:tplc="A7D04044">
      <w:start w:val="1"/>
      <w:numFmt w:val="bullet"/>
      <w:lvlText w:val="•"/>
      <w:lvlJc w:val="left"/>
      <w:pPr>
        <w:tabs>
          <w:tab w:val="num" w:pos="720"/>
        </w:tabs>
        <w:ind w:left="720" w:hanging="360"/>
      </w:pPr>
      <w:rPr>
        <w:rFonts w:ascii="Arial" w:hAnsi="Arial" w:hint="default"/>
      </w:rPr>
    </w:lvl>
    <w:lvl w:ilvl="1" w:tplc="F698B126">
      <w:start w:val="1"/>
      <w:numFmt w:val="bullet"/>
      <w:lvlText w:val="•"/>
      <w:lvlJc w:val="left"/>
      <w:pPr>
        <w:tabs>
          <w:tab w:val="num" w:pos="1440"/>
        </w:tabs>
        <w:ind w:left="1440" w:hanging="360"/>
      </w:pPr>
      <w:rPr>
        <w:rFonts w:ascii="Arial" w:hAnsi="Arial" w:hint="default"/>
      </w:rPr>
    </w:lvl>
    <w:lvl w:ilvl="2" w:tplc="92426F26" w:tentative="1">
      <w:start w:val="1"/>
      <w:numFmt w:val="bullet"/>
      <w:lvlText w:val="•"/>
      <w:lvlJc w:val="left"/>
      <w:pPr>
        <w:tabs>
          <w:tab w:val="num" w:pos="2160"/>
        </w:tabs>
        <w:ind w:left="2160" w:hanging="360"/>
      </w:pPr>
      <w:rPr>
        <w:rFonts w:ascii="Arial" w:hAnsi="Arial" w:hint="default"/>
      </w:rPr>
    </w:lvl>
    <w:lvl w:ilvl="3" w:tplc="74E84BF6" w:tentative="1">
      <w:start w:val="1"/>
      <w:numFmt w:val="bullet"/>
      <w:lvlText w:val="•"/>
      <w:lvlJc w:val="left"/>
      <w:pPr>
        <w:tabs>
          <w:tab w:val="num" w:pos="2880"/>
        </w:tabs>
        <w:ind w:left="2880" w:hanging="360"/>
      </w:pPr>
      <w:rPr>
        <w:rFonts w:ascii="Arial" w:hAnsi="Arial" w:hint="default"/>
      </w:rPr>
    </w:lvl>
    <w:lvl w:ilvl="4" w:tplc="695A1298" w:tentative="1">
      <w:start w:val="1"/>
      <w:numFmt w:val="bullet"/>
      <w:lvlText w:val="•"/>
      <w:lvlJc w:val="left"/>
      <w:pPr>
        <w:tabs>
          <w:tab w:val="num" w:pos="3600"/>
        </w:tabs>
        <w:ind w:left="3600" w:hanging="360"/>
      </w:pPr>
      <w:rPr>
        <w:rFonts w:ascii="Arial" w:hAnsi="Arial" w:hint="default"/>
      </w:rPr>
    </w:lvl>
    <w:lvl w:ilvl="5" w:tplc="8EFAB40E" w:tentative="1">
      <w:start w:val="1"/>
      <w:numFmt w:val="bullet"/>
      <w:lvlText w:val="•"/>
      <w:lvlJc w:val="left"/>
      <w:pPr>
        <w:tabs>
          <w:tab w:val="num" w:pos="4320"/>
        </w:tabs>
        <w:ind w:left="4320" w:hanging="360"/>
      </w:pPr>
      <w:rPr>
        <w:rFonts w:ascii="Arial" w:hAnsi="Arial" w:hint="default"/>
      </w:rPr>
    </w:lvl>
    <w:lvl w:ilvl="6" w:tplc="2D5A26C4" w:tentative="1">
      <w:start w:val="1"/>
      <w:numFmt w:val="bullet"/>
      <w:lvlText w:val="•"/>
      <w:lvlJc w:val="left"/>
      <w:pPr>
        <w:tabs>
          <w:tab w:val="num" w:pos="5040"/>
        </w:tabs>
        <w:ind w:left="5040" w:hanging="360"/>
      </w:pPr>
      <w:rPr>
        <w:rFonts w:ascii="Arial" w:hAnsi="Arial" w:hint="default"/>
      </w:rPr>
    </w:lvl>
    <w:lvl w:ilvl="7" w:tplc="7F7C4B98" w:tentative="1">
      <w:start w:val="1"/>
      <w:numFmt w:val="bullet"/>
      <w:lvlText w:val="•"/>
      <w:lvlJc w:val="left"/>
      <w:pPr>
        <w:tabs>
          <w:tab w:val="num" w:pos="5760"/>
        </w:tabs>
        <w:ind w:left="5760" w:hanging="360"/>
      </w:pPr>
      <w:rPr>
        <w:rFonts w:ascii="Arial" w:hAnsi="Arial" w:hint="default"/>
      </w:rPr>
    </w:lvl>
    <w:lvl w:ilvl="8" w:tplc="56D6AD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4A14704"/>
    <w:multiLevelType w:val="hybridMultilevel"/>
    <w:tmpl w:val="4CE0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8BD62308"/>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66190"/>
    <w:multiLevelType w:val="multilevel"/>
    <w:tmpl w:val="D9F0758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50475DC"/>
    <w:multiLevelType w:val="hybridMultilevel"/>
    <w:tmpl w:val="74DA5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4A68C6"/>
    <w:multiLevelType w:val="hybridMultilevel"/>
    <w:tmpl w:val="6D909148"/>
    <w:lvl w:ilvl="0" w:tplc="E9D65AAA">
      <w:start w:val="1"/>
      <w:numFmt w:val="bullet"/>
      <w:lvlText w:val="•"/>
      <w:lvlJc w:val="left"/>
      <w:pPr>
        <w:tabs>
          <w:tab w:val="num" w:pos="720"/>
        </w:tabs>
        <w:ind w:left="720" w:hanging="360"/>
      </w:pPr>
      <w:rPr>
        <w:rFonts w:ascii="Arial" w:hAnsi="Arial" w:hint="default"/>
      </w:rPr>
    </w:lvl>
    <w:lvl w:ilvl="1" w:tplc="A6E061C2" w:tentative="1">
      <w:start w:val="1"/>
      <w:numFmt w:val="bullet"/>
      <w:lvlText w:val="•"/>
      <w:lvlJc w:val="left"/>
      <w:pPr>
        <w:tabs>
          <w:tab w:val="num" w:pos="1440"/>
        </w:tabs>
        <w:ind w:left="1440" w:hanging="360"/>
      </w:pPr>
      <w:rPr>
        <w:rFonts w:ascii="Arial" w:hAnsi="Arial" w:hint="default"/>
      </w:rPr>
    </w:lvl>
    <w:lvl w:ilvl="2" w:tplc="E1F4E6D0" w:tentative="1">
      <w:start w:val="1"/>
      <w:numFmt w:val="bullet"/>
      <w:lvlText w:val="•"/>
      <w:lvlJc w:val="left"/>
      <w:pPr>
        <w:tabs>
          <w:tab w:val="num" w:pos="2160"/>
        </w:tabs>
        <w:ind w:left="2160" w:hanging="360"/>
      </w:pPr>
      <w:rPr>
        <w:rFonts w:ascii="Arial" w:hAnsi="Arial" w:hint="default"/>
      </w:rPr>
    </w:lvl>
    <w:lvl w:ilvl="3" w:tplc="73449B9C" w:tentative="1">
      <w:start w:val="1"/>
      <w:numFmt w:val="bullet"/>
      <w:lvlText w:val="•"/>
      <w:lvlJc w:val="left"/>
      <w:pPr>
        <w:tabs>
          <w:tab w:val="num" w:pos="2880"/>
        </w:tabs>
        <w:ind w:left="2880" w:hanging="360"/>
      </w:pPr>
      <w:rPr>
        <w:rFonts w:ascii="Arial" w:hAnsi="Arial" w:hint="default"/>
      </w:rPr>
    </w:lvl>
    <w:lvl w:ilvl="4" w:tplc="1F742434" w:tentative="1">
      <w:start w:val="1"/>
      <w:numFmt w:val="bullet"/>
      <w:lvlText w:val="•"/>
      <w:lvlJc w:val="left"/>
      <w:pPr>
        <w:tabs>
          <w:tab w:val="num" w:pos="3600"/>
        </w:tabs>
        <w:ind w:left="3600" w:hanging="360"/>
      </w:pPr>
      <w:rPr>
        <w:rFonts w:ascii="Arial" w:hAnsi="Arial" w:hint="default"/>
      </w:rPr>
    </w:lvl>
    <w:lvl w:ilvl="5" w:tplc="6750E654" w:tentative="1">
      <w:start w:val="1"/>
      <w:numFmt w:val="bullet"/>
      <w:lvlText w:val="•"/>
      <w:lvlJc w:val="left"/>
      <w:pPr>
        <w:tabs>
          <w:tab w:val="num" w:pos="4320"/>
        </w:tabs>
        <w:ind w:left="4320" w:hanging="360"/>
      </w:pPr>
      <w:rPr>
        <w:rFonts w:ascii="Arial" w:hAnsi="Arial" w:hint="default"/>
      </w:rPr>
    </w:lvl>
    <w:lvl w:ilvl="6" w:tplc="AB4E4132" w:tentative="1">
      <w:start w:val="1"/>
      <w:numFmt w:val="bullet"/>
      <w:lvlText w:val="•"/>
      <w:lvlJc w:val="left"/>
      <w:pPr>
        <w:tabs>
          <w:tab w:val="num" w:pos="5040"/>
        </w:tabs>
        <w:ind w:left="5040" w:hanging="360"/>
      </w:pPr>
      <w:rPr>
        <w:rFonts w:ascii="Arial" w:hAnsi="Arial" w:hint="default"/>
      </w:rPr>
    </w:lvl>
    <w:lvl w:ilvl="7" w:tplc="8FC01A82" w:tentative="1">
      <w:start w:val="1"/>
      <w:numFmt w:val="bullet"/>
      <w:lvlText w:val="•"/>
      <w:lvlJc w:val="left"/>
      <w:pPr>
        <w:tabs>
          <w:tab w:val="num" w:pos="5760"/>
        </w:tabs>
        <w:ind w:left="5760" w:hanging="360"/>
      </w:pPr>
      <w:rPr>
        <w:rFonts w:ascii="Arial" w:hAnsi="Arial" w:hint="default"/>
      </w:rPr>
    </w:lvl>
    <w:lvl w:ilvl="8" w:tplc="3624658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206EE8"/>
    <w:multiLevelType w:val="hybridMultilevel"/>
    <w:tmpl w:val="FE8849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16422E7"/>
    <w:multiLevelType w:val="hybridMultilevel"/>
    <w:tmpl w:val="3D14749A"/>
    <w:lvl w:ilvl="0" w:tplc="B808BEE0">
      <w:start w:val="1"/>
      <w:numFmt w:val="bullet"/>
      <w:lvlText w:val=""/>
      <w:lvlJc w:val="left"/>
      <w:pPr>
        <w:ind w:left="720" w:hanging="360"/>
      </w:pPr>
      <w:rPr>
        <w:rFonts w:ascii="Symbol" w:hAnsi="Symbol"/>
      </w:rPr>
    </w:lvl>
    <w:lvl w:ilvl="1" w:tplc="48A8D47E">
      <w:start w:val="1"/>
      <w:numFmt w:val="bullet"/>
      <w:lvlText w:val=""/>
      <w:lvlJc w:val="left"/>
      <w:pPr>
        <w:ind w:left="720" w:hanging="360"/>
      </w:pPr>
      <w:rPr>
        <w:rFonts w:ascii="Symbol" w:hAnsi="Symbol"/>
      </w:rPr>
    </w:lvl>
    <w:lvl w:ilvl="2" w:tplc="645234B6">
      <w:start w:val="1"/>
      <w:numFmt w:val="bullet"/>
      <w:lvlText w:val=""/>
      <w:lvlJc w:val="left"/>
      <w:pPr>
        <w:ind w:left="720" w:hanging="360"/>
      </w:pPr>
      <w:rPr>
        <w:rFonts w:ascii="Symbol" w:hAnsi="Symbol"/>
      </w:rPr>
    </w:lvl>
    <w:lvl w:ilvl="3" w:tplc="9C12EB70">
      <w:start w:val="1"/>
      <w:numFmt w:val="bullet"/>
      <w:lvlText w:val=""/>
      <w:lvlJc w:val="left"/>
      <w:pPr>
        <w:ind w:left="720" w:hanging="360"/>
      </w:pPr>
      <w:rPr>
        <w:rFonts w:ascii="Symbol" w:hAnsi="Symbol"/>
      </w:rPr>
    </w:lvl>
    <w:lvl w:ilvl="4" w:tplc="AF1E893A">
      <w:start w:val="1"/>
      <w:numFmt w:val="bullet"/>
      <w:lvlText w:val=""/>
      <w:lvlJc w:val="left"/>
      <w:pPr>
        <w:ind w:left="720" w:hanging="360"/>
      </w:pPr>
      <w:rPr>
        <w:rFonts w:ascii="Symbol" w:hAnsi="Symbol"/>
      </w:rPr>
    </w:lvl>
    <w:lvl w:ilvl="5" w:tplc="21E4B498">
      <w:start w:val="1"/>
      <w:numFmt w:val="bullet"/>
      <w:lvlText w:val=""/>
      <w:lvlJc w:val="left"/>
      <w:pPr>
        <w:ind w:left="720" w:hanging="360"/>
      </w:pPr>
      <w:rPr>
        <w:rFonts w:ascii="Symbol" w:hAnsi="Symbol"/>
      </w:rPr>
    </w:lvl>
    <w:lvl w:ilvl="6" w:tplc="D3AE7C40">
      <w:start w:val="1"/>
      <w:numFmt w:val="bullet"/>
      <w:lvlText w:val=""/>
      <w:lvlJc w:val="left"/>
      <w:pPr>
        <w:ind w:left="720" w:hanging="360"/>
      </w:pPr>
      <w:rPr>
        <w:rFonts w:ascii="Symbol" w:hAnsi="Symbol"/>
      </w:rPr>
    </w:lvl>
    <w:lvl w:ilvl="7" w:tplc="36FA6FA2">
      <w:start w:val="1"/>
      <w:numFmt w:val="bullet"/>
      <w:lvlText w:val=""/>
      <w:lvlJc w:val="left"/>
      <w:pPr>
        <w:ind w:left="720" w:hanging="360"/>
      </w:pPr>
      <w:rPr>
        <w:rFonts w:ascii="Symbol" w:hAnsi="Symbol"/>
      </w:rPr>
    </w:lvl>
    <w:lvl w:ilvl="8" w:tplc="231EBBC8">
      <w:start w:val="1"/>
      <w:numFmt w:val="bullet"/>
      <w:lvlText w:val=""/>
      <w:lvlJc w:val="left"/>
      <w:pPr>
        <w:ind w:left="720" w:hanging="360"/>
      </w:pPr>
      <w:rPr>
        <w:rFonts w:ascii="Symbol" w:hAnsi="Symbol"/>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D2645C"/>
    <w:multiLevelType w:val="hybridMultilevel"/>
    <w:tmpl w:val="824E83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07230FD"/>
    <w:multiLevelType w:val="hybridMultilevel"/>
    <w:tmpl w:val="32E274A2"/>
    <w:lvl w:ilvl="0" w:tplc="DFB6E438">
      <w:start w:val="1"/>
      <w:numFmt w:val="bullet"/>
      <w:lvlText w:val=""/>
      <w:lvlJc w:val="left"/>
      <w:pPr>
        <w:ind w:left="720" w:hanging="360"/>
      </w:pPr>
      <w:rPr>
        <w:rFonts w:ascii="Symbol" w:hAnsi="Symbol"/>
      </w:rPr>
    </w:lvl>
    <w:lvl w:ilvl="1" w:tplc="EE966E88">
      <w:start w:val="1"/>
      <w:numFmt w:val="bullet"/>
      <w:lvlText w:val=""/>
      <w:lvlJc w:val="left"/>
      <w:pPr>
        <w:ind w:left="720" w:hanging="360"/>
      </w:pPr>
      <w:rPr>
        <w:rFonts w:ascii="Symbol" w:hAnsi="Symbol"/>
      </w:rPr>
    </w:lvl>
    <w:lvl w:ilvl="2" w:tplc="EB1297B0">
      <w:start w:val="1"/>
      <w:numFmt w:val="bullet"/>
      <w:lvlText w:val=""/>
      <w:lvlJc w:val="left"/>
      <w:pPr>
        <w:ind w:left="720" w:hanging="360"/>
      </w:pPr>
      <w:rPr>
        <w:rFonts w:ascii="Symbol" w:hAnsi="Symbol"/>
      </w:rPr>
    </w:lvl>
    <w:lvl w:ilvl="3" w:tplc="D42AF566">
      <w:start w:val="1"/>
      <w:numFmt w:val="bullet"/>
      <w:lvlText w:val=""/>
      <w:lvlJc w:val="left"/>
      <w:pPr>
        <w:ind w:left="720" w:hanging="360"/>
      </w:pPr>
      <w:rPr>
        <w:rFonts w:ascii="Symbol" w:hAnsi="Symbol"/>
      </w:rPr>
    </w:lvl>
    <w:lvl w:ilvl="4" w:tplc="D9703230">
      <w:start w:val="1"/>
      <w:numFmt w:val="bullet"/>
      <w:lvlText w:val=""/>
      <w:lvlJc w:val="left"/>
      <w:pPr>
        <w:ind w:left="720" w:hanging="360"/>
      </w:pPr>
      <w:rPr>
        <w:rFonts w:ascii="Symbol" w:hAnsi="Symbol"/>
      </w:rPr>
    </w:lvl>
    <w:lvl w:ilvl="5" w:tplc="E33E5D2C">
      <w:start w:val="1"/>
      <w:numFmt w:val="bullet"/>
      <w:lvlText w:val=""/>
      <w:lvlJc w:val="left"/>
      <w:pPr>
        <w:ind w:left="720" w:hanging="360"/>
      </w:pPr>
      <w:rPr>
        <w:rFonts w:ascii="Symbol" w:hAnsi="Symbol"/>
      </w:rPr>
    </w:lvl>
    <w:lvl w:ilvl="6" w:tplc="ECF62178">
      <w:start w:val="1"/>
      <w:numFmt w:val="bullet"/>
      <w:lvlText w:val=""/>
      <w:lvlJc w:val="left"/>
      <w:pPr>
        <w:ind w:left="720" w:hanging="360"/>
      </w:pPr>
      <w:rPr>
        <w:rFonts w:ascii="Symbol" w:hAnsi="Symbol"/>
      </w:rPr>
    </w:lvl>
    <w:lvl w:ilvl="7" w:tplc="5ED80F9A">
      <w:start w:val="1"/>
      <w:numFmt w:val="bullet"/>
      <w:lvlText w:val=""/>
      <w:lvlJc w:val="left"/>
      <w:pPr>
        <w:ind w:left="720" w:hanging="360"/>
      </w:pPr>
      <w:rPr>
        <w:rFonts w:ascii="Symbol" w:hAnsi="Symbol"/>
      </w:rPr>
    </w:lvl>
    <w:lvl w:ilvl="8" w:tplc="0164B348">
      <w:start w:val="1"/>
      <w:numFmt w:val="bullet"/>
      <w:lvlText w:val=""/>
      <w:lvlJc w:val="left"/>
      <w:pPr>
        <w:ind w:left="720" w:hanging="360"/>
      </w:pPr>
      <w:rPr>
        <w:rFonts w:ascii="Symbol" w:hAnsi="Symbol"/>
      </w:rPr>
    </w:lvl>
  </w:abstractNum>
  <w:abstractNum w:abstractNumId="2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C272B"/>
    <w:multiLevelType w:val="hybridMultilevel"/>
    <w:tmpl w:val="5EDEF24A"/>
    <w:lvl w:ilvl="0" w:tplc="0C090001">
      <w:start w:val="1"/>
      <w:numFmt w:val="bullet"/>
      <w:lvlText w:val=""/>
      <w:lvlJc w:val="left"/>
      <w:pPr>
        <w:ind w:left="1790" w:hanging="360"/>
      </w:pPr>
      <w:rPr>
        <w:rFonts w:ascii="Symbol" w:hAnsi="Symbol" w:hint="default"/>
      </w:rPr>
    </w:lvl>
    <w:lvl w:ilvl="1" w:tplc="01DA733E">
      <w:numFmt w:val="bullet"/>
      <w:lvlText w:val="-"/>
      <w:lvlJc w:val="left"/>
      <w:pPr>
        <w:ind w:left="2160" w:hanging="36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B826CB1"/>
    <w:multiLevelType w:val="hybridMultilevel"/>
    <w:tmpl w:val="E6A03A0C"/>
    <w:lvl w:ilvl="0" w:tplc="0C09000F">
      <w:start w:val="1"/>
      <w:numFmt w:val="decimal"/>
      <w:lvlText w:val="%1."/>
      <w:lvlJc w:val="left"/>
      <w:pPr>
        <w:ind w:left="360" w:hanging="360"/>
      </w:pPr>
      <w:rPr>
        <w:rFonts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16186631">
    <w:abstractNumId w:val="28"/>
  </w:num>
  <w:num w:numId="2" w16cid:durableId="917793048">
    <w:abstractNumId w:val="15"/>
  </w:num>
  <w:num w:numId="3" w16cid:durableId="263461728">
    <w:abstractNumId w:val="0"/>
  </w:num>
  <w:num w:numId="4" w16cid:durableId="139346788">
    <w:abstractNumId w:val="29"/>
  </w:num>
  <w:num w:numId="5" w16cid:durableId="220360847">
    <w:abstractNumId w:val="26"/>
  </w:num>
  <w:num w:numId="6" w16cid:durableId="268196418">
    <w:abstractNumId w:val="13"/>
  </w:num>
  <w:num w:numId="7" w16cid:durableId="1048839230">
    <w:abstractNumId w:val="28"/>
  </w:num>
  <w:num w:numId="8" w16cid:durableId="153880832">
    <w:abstractNumId w:val="1"/>
  </w:num>
  <w:num w:numId="9" w16cid:durableId="165216580">
    <w:abstractNumId w:val="16"/>
  </w:num>
  <w:num w:numId="10" w16cid:durableId="553154524">
    <w:abstractNumId w:val="2"/>
  </w:num>
  <w:num w:numId="11" w16cid:durableId="1597860954">
    <w:abstractNumId w:val="3"/>
  </w:num>
  <w:num w:numId="12" w16cid:durableId="383722830">
    <w:abstractNumId w:val="22"/>
  </w:num>
  <w:num w:numId="13" w16cid:durableId="946814047">
    <w:abstractNumId w:val="6"/>
  </w:num>
  <w:num w:numId="14" w16cid:durableId="1241716949">
    <w:abstractNumId w:val="9"/>
  </w:num>
  <w:num w:numId="15" w16cid:durableId="1204560958">
    <w:abstractNumId w:val="10"/>
  </w:num>
  <w:num w:numId="16" w16cid:durableId="2016566400">
    <w:abstractNumId w:val="7"/>
  </w:num>
  <w:num w:numId="17" w16cid:durableId="408699874">
    <w:abstractNumId w:val="21"/>
  </w:num>
  <w:num w:numId="18" w16cid:durableId="1979457665">
    <w:abstractNumId w:val="11"/>
  </w:num>
  <w:num w:numId="19" w16cid:durableId="2038313566">
    <w:abstractNumId w:val="8"/>
  </w:num>
  <w:num w:numId="20" w16cid:durableId="129744317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997201">
    <w:abstractNumId w:val="27"/>
  </w:num>
  <w:num w:numId="22" w16cid:durableId="1835298056">
    <w:abstractNumId w:val="23"/>
  </w:num>
  <w:num w:numId="23" w16cid:durableId="30808757">
    <w:abstractNumId w:val="5"/>
  </w:num>
  <w:num w:numId="24" w16cid:durableId="2142067242">
    <w:abstractNumId w:val="24"/>
  </w:num>
  <w:num w:numId="25" w16cid:durableId="1121530800">
    <w:abstractNumId w:val="4"/>
  </w:num>
  <w:num w:numId="26" w16cid:durableId="1480073663">
    <w:abstractNumId w:val="17"/>
  </w:num>
  <w:num w:numId="27" w16cid:durableId="875772269">
    <w:abstractNumId w:val="20"/>
  </w:num>
  <w:num w:numId="28" w16cid:durableId="736130310">
    <w:abstractNumId w:val="25"/>
  </w:num>
  <w:num w:numId="29" w16cid:durableId="89741885">
    <w:abstractNumId w:val="12"/>
  </w:num>
  <w:num w:numId="30" w16cid:durableId="1477451293">
    <w:abstractNumId w:val="30"/>
  </w:num>
  <w:num w:numId="31" w16cid:durableId="1013993149">
    <w:abstractNumId w:val="18"/>
  </w:num>
  <w:num w:numId="32" w16cid:durableId="711687601">
    <w:abstractNumId w:val="14"/>
  </w:num>
  <w:num w:numId="33" w16cid:durableId="11516029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4DB"/>
    <w:rsid w:val="00000790"/>
    <w:rsid w:val="00000B9B"/>
    <w:rsid w:val="00000D96"/>
    <w:rsid w:val="0000110B"/>
    <w:rsid w:val="000014E8"/>
    <w:rsid w:val="00001C46"/>
    <w:rsid w:val="00001EF5"/>
    <w:rsid w:val="000028DC"/>
    <w:rsid w:val="00002B54"/>
    <w:rsid w:val="00003289"/>
    <w:rsid w:val="00003336"/>
    <w:rsid w:val="00003499"/>
    <w:rsid w:val="00003695"/>
    <w:rsid w:val="000037FC"/>
    <w:rsid w:val="000039B7"/>
    <w:rsid w:val="00003B7A"/>
    <w:rsid w:val="0000420D"/>
    <w:rsid w:val="00004586"/>
    <w:rsid w:val="000047D3"/>
    <w:rsid w:val="0000563F"/>
    <w:rsid w:val="000056B9"/>
    <w:rsid w:val="00005A6F"/>
    <w:rsid w:val="00005A96"/>
    <w:rsid w:val="00005B2E"/>
    <w:rsid w:val="00005C02"/>
    <w:rsid w:val="0000639A"/>
    <w:rsid w:val="00006549"/>
    <w:rsid w:val="00006558"/>
    <w:rsid w:val="00006B1E"/>
    <w:rsid w:val="00007485"/>
    <w:rsid w:val="00007C60"/>
    <w:rsid w:val="00007E93"/>
    <w:rsid w:val="00010214"/>
    <w:rsid w:val="0001031D"/>
    <w:rsid w:val="00010361"/>
    <w:rsid w:val="00010406"/>
    <w:rsid w:val="0001091B"/>
    <w:rsid w:val="00010976"/>
    <w:rsid w:val="00010C98"/>
    <w:rsid w:val="0001145F"/>
    <w:rsid w:val="0001174E"/>
    <w:rsid w:val="00011CA0"/>
    <w:rsid w:val="000123E3"/>
    <w:rsid w:val="00012D54"/>
    <w:rsid w:val="00013247"/>
    <w:rsid w:val="00013482"/>
    <w:rsid w:val="00013949"/>
    <w:rsid w:val="00013B08"/>
    <w:rsid w:val="00013B6B"/>
    <w:rsid w:val="00013BC9"/>
    <w:rsid w:val="00014220"/>
    <w:rsid w:val="00014A1D"/>
    <w:rsid w:val="00015112"/>
    <w:rsid w:val="000151E4"/>
    <w:rsid w:val="00015307"/>
    <w:rsid w:val="0001564D"/>
    <w:rsid w:val="00015740"/>
    <w:rsid w:val="00015886"/>
    <w:rsid w:val="00015C94"/>
    <w:rsid w:val="00015E4F"/>
    <w:rsid w:val="00016212"/>
    <w:rsid w:val="000162EF"/>
    <w:rsid w:val="00016790"/>
    <w:rsid w:val="00016B6F"/>
    <w:rsid w:val="000173C4"/>
    <w:rsid w:val="000178EB"/>
    <w:rsid w:val="00017A2E"/>
    <w:rsid w:val="00017A70"/>
    <w:rsid w:val="00017A80"/>
    <w:rsid w:val="00017E48"/>
    <w:rsid w:val="00017F6F"/>
    <w:rsid w:val="000207C9"/>
    <w:rsid w:val="0002120F"/>
    <w:rsid w:val="000214A9"/>
    <w:rsid w:val="00021820"/>
    <w:rsid w:val="00021A7D"/>
    <w:rsid w:val="00021B7C"/>
    <w:rsid w:val="00021E8B"/>
    <w:rsid w:val="0002206C"/>
    <w:rsid w:val="0002225F"/>
    <w:rsid w:val="0002275E"/>
    <w:rsid w:val="00022926"/>
    <w:rsid w:val="00022BCA"/>
    <w:rsid w:val="00022FA4"/>
    <w:rsid w:val="00023530"/>
    <w:rsid w:val="00023700"/>
    <w:rsid w:val="00023763"/>
    <w:rsid w:val="00023CC2"/>
    <w:rsid w:val="00023F7F"/>
    <w:rsid w:val="000245E1"/>
    <w:rsid w:val="0002464F"/>
    <w:rsid w:val="000249DE"/>
    <w:rsid w:val="00024A9B"/>
    <w:rsid w:val="00024EB5"/>
    <w:rsid w:val="000256F9"/>
    <w:rsid w:val="00025EE5"/>
    <w:rsid w:val="000264CC"/>
    <w:rsid w:val="00026880"/>
    <w:rsid w:val="000268D7"/>
    <w:rsid w:val="00026D38"/>
    <w:rsid w:val="000271EB"/>
    <w:rsid w:val="000274B8"/>
    <w:rsid w:val="00027717"/>
    <w:rsid w:val="00027908"/>
    <w:rsid w:val="00027D75"/>
    <w:rsid w:val="00027D82"/>
    <w:rsid w:val="00027EF9"/>
    <w:rsid w:val="0003073F"/>
    <w:rsid w:val="00030B70"/>
    <w:rsid w:val="00030F7D"/>
    <w:rsid w:val="000310FF"/>
    <w:rsid w:val="00031262"/>
    <w:rsid w:val="00031A25"/>
    <w:rsid w:val="00031A32"/>
    <w:rsid w:val="00031D2F"/>
    <w:rsid w:val="00032B6D"/>
    <w:rsid w:val="00032E72"/>
    <w:rsid w:val="0003363E"/>
    <w:rsid w:val="00033794"/>
    <w:rsid w:val="00033863"/>
    <w:rsid w:val="000339F6"/>
    <w:rsid w:val="00033E8F"/>
    <w:rsid w:val="00033FF3"/>
    <w:rsid w:val="000349EB"/>
    <w:rsid w:val="0003526B"/>
    <w:rsid w:val="00035711"/>
    <w:rsid w:val="00035B6C"/>
    <w:rsid w:val="00035DC0"/>
    <w:rsid w:val="00036046"/>
    <w:rsid w:val="00036405"/>
    <w:rsid w:val="00036829"/>
    <w:rsid w:val="0003748C"/>
    <w:rsid w:val="00037F4E"/>
    <w:rsid w:val="0004058F"/>
    <w:rsid w:val="00040895"/>
    <w:rsid w:val="00040BBC"/>
    <w:rsid w:val="00040E8D"/>
    <w:rsid w:val="000410A0"/>
    <w:rsid w:val="00041D1C"/>
    <w:rsid w:val="000423F8"/>
    <w:rsid w:val="000433E2"/>
    <w:rsid w:val="000435EE"/>
    <w:rsid w:val="00043B8D"/>
    <w:rsid w:val="00043C37"/>
    <w:rsid w:val="00044C90"/>
    <w:rsid w:val="00045017"/>
    <w:rsid w:val="000454C9"/>
    <w:rsid w:val="00045590"/>
    <w:rsid w:val="00045A2B"/>
    <w:rsid w:val="00046565"/>
    <w:rsid w:val="000465A1"/>
    <w:rsid w:val="00046653"/>
    <w:rsid w:val="00046747"/>
    <w:rsid w:val="0004698F"/>
    <w:rsid w:val="00046A1D"/>
    <w:rsid w:val="00046D64"/>
    <w:rsid w:val="000472E9"/>
    <w:rsid w:val="000477C3"/>
    <w:rsid w:val="000479DD"/>
    <w:rsid w:val="000500B8"/>
    <w:rsid w:val="0005035B"/>
    <w:rsid w:val="000508C2"/>
    <w:rsid w:val="00050E3E"/>
    <w:rsid w:val="00050F3C"/>
    <w:rsid w:val="0005103B"/>
    <w:rsid w:val="00051435"/>
    <w:rsid w:val="0005199A"/>
    <w:rsid w:val="000527D4"/>
    <w:rsid w:val="00052E82"/>
    <w:rsid w:val="000530BD"/>
    <w:rsid w:val="000539D0"/>
    <w:rsid w:val="000541D3"/>
    <w:rsid w:val="0005441D"/>
    <w:rsid w:val="000545F1"/>
    <w:rsid w:val="00054621"/>
    <w:rsid w:val="000546D7"/>
    <w:rsid w:val="00054A5B"/>
    <w:rsid w:val="00054A8D"/>
    <w:rsid w:val="00054CA9"/>
    <w:rsid w:val="00054D35"/>
    <w:rsid w:val="000555E4"/>
    <w:rsid w:val="00055E0C"/>
    <w:rsid w:val="00055EAE"/>
    <w:rsid w:val="00055EE2"/>
    <w:rsid w:val="00056584"/>
    <w:rsid w:val="00056992"/>
    <w:rsid w:val="00056D8B"/>
    <w:rsid w:val="00056ECF"/>
    <w:rsid w:val="00056F0C"/>
    <w:rsid w:val="0005739F"/>
    <w:rsid w:val="0006003C"/>
    <w:rsid w:val="00060107"/>
    <w:rsid w:val="000604DF"/>
    <w:rsid w:val="00060736"/>
    <w:rsid w:val="00060B37"/>
    <w:rsid w:val="00061BD3"/>
    <w:rsid w:val="00061D39"/>
    <w:rsid w:val="00062324"/>
    <w:rsid w:val="00063181"/>
    <w:rsid w:val="00063AAD"/>
    <w:rsid w:val="00063B2A"/>
    <w:rsid w:val="00063B39"/>
    <w:rsid w:val="00063CB9"/>
    <w:rsid w:val="000641B2"/>
    <w:rsid w:val="00064CE7"/>
    <w:rsid w:val="000652C6"/>
    <w:rsid w:val="000653B5"/>
    <w:rsid w:val="00065769"/>
    <w:rsid w:val="00065998"/>
    <w:rsid w:val="000661C6"/>
    <w:rsid w:val="00066360"/>
    <w:rsid w:val="00066AF8"/>
    <w:rsid w:val="00066E94"/>
    <w:rsid w:val="00067716"/>
    <w:rsid w:val="00067C0D"/>
    <w:rsid w:val="00067E88"/>
    <w:rsid w:val="000706AD"/>
    <w:rsid w:val="00070A61"/>
    <w:rsid w:val="00071162"/>
    <w:rsid w:val="00071228"/>
    <w:rsid w:val="00071248"/>
    <w:rsid w:val="00071358"/>
    <w:rsid w:val="00071443"/>
    <w:rsid w:val="0007167F"/>
    <w:rsid w:val="0007176B"/>
    <w:rsid w:val="000719DD"/>
    <w:rsid w:val="000720B9"/>
    <w:rsid w:val="000723C9"/>
    <w:rsid w:val="00073581"/>
    <w:rsid w:val="000737F7"/>
    <w:rsid w:val="0007389E"/>
    <w:rsid w:val="00073E92"/>
    <w:rsid w:val="00073F54"/>
    <w:rsid w:val="0007412C"/>
    <w:rsid w:val="00074642"/>
    <w:rsid w:val="00074696"/>
    <w:rsid w:val="0007485B"/>
    <w:rsid w:val="00074D16"/>
    <w:rsid w:val="00074EAC"/>
    <w:rsid w:val="00074EB8"/>
    <w:rsid w:val="000756FA"/>
    <w:rsid w:val="00075D8C"/>
    <w:rsid w:val="00075E29"/>
    <w:rsid w:val="00076628"/>
    <w:rsid w:val="0007672F"/>
    <w:rsid w:val="00076A03"/>
    <w:rsid w:val="00076B54"/>
    <w:rsid w:val="000774F0"/>
    <w:rsid w:val="00077D5A"/>
    <w:rsid w:val="00080446"/>
    <w:rsid w:val="00080909"/>
    <w:rsid w:val="00080939"/>
    <w:rsid w:val="00080A0B"/>
    <w:rsid w:val="00080BE1"/>
    <w:rsid w:val="00080FD9"/>
    <w:rsid w:val="0008126B"/>
    <w:rsid w:val="000812CA"/>
    <w:rsid w:val="00081331"/>
    <w:rsid w:val="00081981"/>
    <w:rsid w:val="00081E63"/>
    <w:rsid w:val="00082017"/>
    <w:rsid w:val="00082100"/>
    <w:rsid w:val="0008258D"/>
    <w:rsid w:val="00082BFA"/>
    <w:rsid w:val="00082DA4"/>
    <w:rsid w:val="0008320A"/>
    <w:rsid w:val="0008377F"/>
    <w:rsid w:val="00083B11"/>
    <w:rsid w:val="00083E99"/>
    <w:rsid w:val="000843C8"/>
    <w:rsid w:val="000846F5"/>
    <w:rsid w:val="00084FA8"/>
    <w:rsid w:val="000856C5"/>
    <w:rsid w:val="00085AAE"/>
    <w:rsid w:val="00085AC4"/>
    <w:rsid w:val="00085C31"/>
    <w:rsid w:val="000860B9"/>
    <w:rsid w:val="00087758"/>
    <w:rsid w:val="00087770"/>
    <w:rsid w:val="00087DBF"/>
    <w:rsid w:val="00087F6E"/>
    <w:rsid w:val="000901B3"/>
    <w:rsid w:val="000902D9"/>
    <w:rsid w:val="0009030C"/>
    <w:rsid w:val="00090C7E"/>
    <w:rsid w:val="00090E39"/>
    <w:rsid w:val="000911AC"/>
    <w:rsid w:val="00091CB4"/>
    <w:rsid w:val="0009220E"/>
    <w:rsid w:val="00092600"/>
    <w:rsid w:val="0009262B"/>
    <w:rsid w:val="00092677"/>
    <w:rsid w:val="00092AB4"/>
    <w:rsid w:val="00092B0F"/>
    <w:rsid w:val="00092CDB"/>
    <w:rsid w:val="00092F1E"/>
    <w:rsid w:val="00093310"/>
    <w:rsid w:val="0009445C"/>
    <w:rsid w:val="00094686"/>
    <w:rsid w:val="0009484F"/>
    <w:rsid w:val="0009486B"/>
    <w:rsid w:val="00094F53"/>
    <w:rsid w:val="00095200"/>
    <w:rsid w:val="00095AD4"/>
    <w:rsid w:val="00095FE5"/>
    <w:rsid w:val="00096154"/>
    <w:rsid w:val="00096284"/>
    <w:rsid w:val="000964A7"/>
    <w:rsid w:val="0009655F"/>
    <w:rsid w:val="000968FB"/>
    <w:rsid w:val="000979A7"/>
    <w:rsid w:val="00097D2D"/>
    <w:rsid w:val="000A0B4A"/>
    <w:rsid w:val="000A0D93"/>
    <w:rsid w:val="000A12D3"/>
    <w:rsid w:val="000A12E2"/>
    <w:rsid w:val="000A1588"/>
    <w:rsid w:val="000A1BC0"/>
    <w:rsid w:val="000A1C37"/>
    <w:rsid w:val="000A1D0D"/>
    <w:rsid w:val="000A2058"/>
    <w:rsid w:val="000A209B"/>
    <w:rsid w:val="000A253A"/>
    <w:rsid w:val="000A2AE8"/>
    <w:rsid w:val="000A2F9E"/>
    <w:rsid w:val="000A33E3"/>
    <w:rsid w:val="000A34CF"/>
    <w:rsid w:val="000A34F7"/>
    <w:rsid w:val="000A356F"/>
    <w:rsid w:val="000A3A5C"/>
    <w:rsid w:val="000A3AE7"/>
    <w:rsid w:val="000A3E47"/>
    <w:rsid w:val="000A3EEC"/>
    <w:rsid w:val="000A41AE"/>
    <w:rsid w:val="000A4631"/>
    <w:rsid w:val="000A4E4E"/>
    <w:rsid w:val="000A4FA8"/>
    <w:rsid w:val="000A522B"/>
    <w:rsid w:val="000A5A22"/>
    <w:rsid w:val="000A5DD6"/>
    <w:rsid w:val="000A6039"/>
    <w:rsid w:val="000A638E"/>
    <w:rsid w:val="000A6661"/>
    <w:rsid w:val="000A7453"/>
    <w:rsid w:val="000A7473"/>
    <w:rsid w:val="000A78C6"/>
    <w:rsid w:val="000A7CE9"/>
    <w:rsid w:val="000A7D08"/>
    <w:rsid w:val="000B0121"/>
    <w:rsid w:val="000B0670"/>
    <w:rsid w:val="000B0AFF"/>
    <w:rsid w:val="000B0E75"/>
    <w:rsid w:val="000B1080"/>
    <w:rsid w:val="000B117D"/>
    <w:rsid w:val="000B12A9"/>
    <w:rsid w:val="000B224B"/>
    <w:rsid w:val="000B253F"/>
    <w:rsid w:val="000B2C69"/>
    <w:rsid w:val="000B2DCB"/>
    <w:rsid w:val="000B2E61"/>
    <w:rsid w:val="000B30BD"/>
    <w:rsid w:val="000B3648"/>
    <w:rsid w:val="000B374F"/>
    <w:rsid w:val="000B3CE2"/>
    <w:rsid w:val="000B408D"/>
    <w:rsid w:val="000B430D"/>
    <w:rsid w:val="000B513E"/>
    <w:rsid w:val="000B59D2"/>
    <w:rsid w:val="000B5C69"/>
    <w:rsid w:val="000B5CE0"/>
    <w:rsid w:val="000B5FDA"/>
    <w:rsid w:val="000B67B8"/>
    <w:rsid w:val="000B6CAC"/>
    <w:rsid w:val="000B718D"/>
    <w:rsid w:val="000B73CE"/>
    <w:rsid w:val="000B7612"/>
    <w:rsid w:val="000B78AE"/>
    <w:rsid w:val="000B7DDB"/>
    <w:rsid w:val="000C0012"/>
    <w:rsid w:val="000C0279"/>
    <w:rsid w:val="000C04CB"/>
    <w:rsid w:val="000C0A3B"/>
    <w:rsid w:val="000C1263"/>
    <w:rsid w:val="000C1454"/>
    <w:rsid w:val="000C2099"/>
    <w:rsid w:val="000C2280"/>
    <w:rsid w:val="000C26DB"/>
    <w:rsid w:val="000C2777"/>
    <w:rsid w:val="000C2B8C"/>
    <w:rsid w:val="000C2F09"/>
    <w:rsid w:val="000C2F8E"/>
    <w:rsid w:val="000C317D"/>
    <w:rsid w:val="000C325E"/>
    <w:rsid w:val="000C34D8"/>
    <w:rsid w:val="000C3859"/>
    <w:rsid w:val="000C3DF9"/>
    <w:rsid w:val="000C41D9"/>
    <w:rsid w:val="000C4CF2"/>
    <w:rsid w:val="000C4D6C"/>
    <w:rsid w:val="000C50AB"/>
    <w:rsid w:val="000C5133"/>
    <w:rsid w:val="000C5490"/>
    <w:rsid w:val="000C5819"/>
    <w:rsid w:val="000C6261"/>
    <w:rsid w:val="000C62AD"/>
    <w:rsid w:val="000C631F"/>
    <w:rsid w:val="000C6491"/>
    <w:rsid w:val="000C6713"/>
    <w:rsid w:val="000C6A93"/>
    <w:rsid w:val="000C6C0E"/>
    <w:rsid w:val="000C6DA6"/>
    <w:rsid w:val="000C7E7B"/>
    <w:rsid w:val="000C7F81"/>
    <w:rsid w:val="000D0236"/>
    <w:rsid w:val="000D066C"/>
    <w:rsid w:val="000D0A54"/>
    <w:rsid w:val="000D0BB8"/>
    <w:rsid w:val="000D126D"/>
    <w:rsid w:val="000D1340"/>
    <w:rsid w:val="000D174E"/>
    <w:rsid w:val="000D1A54"/>
    <w:rsid w:val="000D1BFC"/>
    <w:rsid w:val="000D1CF7"/>
    <w:rsid w:val="000D1D5D"/>
    <w:rsid w:val="000D1FC7"/>
    <w:rsid w:val="000D21CF"/>
    <w:rsid w:val="000D23D2"/>
    <w:rsid w:val="000D281A"/>
    <w:rsid w:val="000D2848"/>
    <w:rsid w:val="000D300A"/>
    <w:rsid w:val="000D30CC"/>
    <w:rsid w:val="000D31B0"/>
    <w:rsid w:val="000D326A"/>
    <w:rsid w:val="000D33F4"/>
    <w:rsid w:val="000D3B85"/>
    <w:rsid w:val="000D496E"/>
    <w:rsid w:val="000D4B09"/>
    <w:rsid w:val="000D51FB"/>
    <w:rsid w:val="000D57DD"/>
    <w:rsid w:val="000D5A72"/>
    <w:rsid w:val="000D606D"/>
    <w:rsid w:val="000D6BB9"/>
    <w:rsid w:val="000D6CD7"/>
    <w:rsid w:val="000D6F3A"/>
    <w:rsid w:val="000D7175"/>
    <w:rsid w:val="000D757C"/>
    <w:rsid w:val="000D7DA4"/>
    <w:rsid w:val="000E0341"/>
    <w:rsid w:val="000E0640"/>
    <w:rsid w:val="000E0D96"/>
    <w:rsid w:val="000E0E2E"/>
    <w:rsid w:val="000E135D"/>
    <w:rsid w:val="000E1612"/>
    <w:rsid w:val="000E1A44"/>
    <w:rsid w:val="000E1BB1"/>
    <w:rsid w:val="000E2D50"/>
    <w:rsid w:val="000E2F82"/>
    <w:rsid w:val="000E35D5"/>
    <w:rsid w:val="000E370D"/>
    <w:rsid w:val="000E3FB3"/>
    <w:rsid w:val="000E405B"/>
    <w:rsid w:val="000E40D4"/>
    <w:rsid w:val="000E4204"/>
    <w:rsid w:val="000E424A"/>
    <w:rsid w:val="000E457A"/>
    <w:rsid w:val="000E4AB8"/>
    <w:rsid w:val="000E5E3F"/>
    <w:rsid w:val="000E5F89"/>
    <w:rsid w:val="000E663F"/>
    <w:rsid w:val="000E7064"/>
    <w:rsid w:val="000E7ED6"/>
    <w:rsid w:val="000F00BA"/>
    <w:rsid w:val="000F02B8"/>
    <w:rsid w:val="000F039F"/>
    <w:rsid w:val="000F06C8"/>
    <w:rsid w:val="000F1E6E"/>
    <w:rsid w:val="000F2154"/>
    <w:rsid w:val="000F215D"/>
    <w:rsid w:val="000F22CE"/>
    <w:rsid w:val="000F243F"/>
    <w:rsid w:val="000F2BA0"/>
    <w:rsid w:val="000F316A"/>
    <w:rsid w:val="000F3601"/>
    <w:rsid w:val="000F3779"/>
    <w:rsid w:val="000F3C74"/>
    <w:rsid w:val="000F3E2F"/>
    <w:rsid w:val="000F4865"/>
    <w:rsid w:val="000F4BB8"/>
    <w:rsid w:val="000F4FA9"/>
    <w:rsid w:val="000F53FB"/>
    <w:rsid w:val="000F555C"/>
    <w:rsid w:val="000F6666"/>
    <w:rsid w:val="000F6A51"/>
    <w:rsid w:val="000F6C01"/>
    <w:rsid w:val="000F6FC7"/>
    <w:rsid w:val="000F7127"/>
    <w:rsid w:val="000F72D8"/>
    <w:rsid w:val="000F7B54"/>
    <w:rsid w:val="00100060"/>
    <w:rsid w:val="001000B3"/>
    <w:rsid w:val="00100557"/>
    <w:rsid w:val="00100873"/>
    <w:rsid w:val="00100BB3"/>
    <w:rsid w:val="00100F8A"/>
    <w:rsid w:val="00102023"/>
    <w:rsid w:val="0010211C"/>
    <w:rsid w:val="0010279A"/>
    <w:rsid w:val="00102F65"/>
    <w:rsid w:val="0010304C"/>
    <w:rsid w:val="0010452E"/>
    <w:rsid w:val="001048D7"/>
    <w:rsid w:val="00104F83"/>
    <w:rsid w:val="001051C7"/>
    <w:rsid w:val="00105566"/>
    <w:rsid w:val="00105AB3"/>
    <w:rsid w:val="00105AE2"/>
    <w:rsid w:val="00105B02"/>
    <w:rsid w:val="00105D37"/>
    <w:rsid w:val="001060C6"/>
    <w:rsid w:val="0010659F"/>
    <w:rsid w:val="0010690E"/>
    <w:rsid w:val="00106B32"/>
    <w:rsid w:val="00106B80"/>
    <w:rsid w:val="00106B97"/>
    <w:rsid w:val="00107965"/>
    <w:rsid w:val="00107B8E"/>
    <w:rsid w:val="001101B2"/>
    <w:rsid w:val="0011032E"/>
    <w:rsid w:val="001106D5"/>
    <w:rsid w:val="00110C19"/>
    <w:rsid w:val="001110DD"/>
    <w:rsid w:val="001119C9"/>
    <w:rsid w:val="00112BFB"/>
    <w:rsid w:val="00112F17"/>
    <w:rsid w:val="0011348B"/>
    <w:rsid w:val="0011373F"/>
    <w:rsid w:val="00113C27"/>
    <w:rsid w:val="00113D86"/>
    <w:rsid w:val="00113DAF"/>
    <w:rsid w:val="00114976"/>
    <w:rsid w:val="0011499F"/>
    <w:rsid w:val="00114DB9"/>
    <w:rsid w:val="00115093"/>
    <w:rsid w:val="00115982"/>
    <w:rsid w:val="00116280"/>
    <w:rsid w:val="0011686A"/>
    <w:rsid w:val="00116A86"/>
    <w:rsid w:val="00116C53"/>
    <w:rsid w:val="00117257"/>
    <w:rsid w:val="001177DB"/>
    <w:rsid w:val="0012017B"/>
    <w:rsid w:val="001204CD"/>
    <w:rsid w:val="0012115E"/>
    <w:rsid w:val="001211E9"/>
    <w:rsid w:val="001215E3"/>
    <w:rsid w:val="00121799"/>
    <w:rsid w:val="00121A1D"/>
    <w:rsid w:val="001222FC"/>
    <w:rsid w:val="00122366"/>
    <w:rsid w:val="00122AAE"/>
    <w:rsid w:val="00122E71"/>
    <w:rsid w:val="00122F32"/>
    <w:rsid w:val="001234AE"/>
    <w:rsid w:val="00123902"/>
    <w:rsid w:val="00123E5B"/>
    <w:rsid w:val="00123FB9"/>
    <w:rsid w:val="001243CA"/>
    <w:rsid w:val="00124A51"/>
    <w:rsid w:val="00124B85"/>
    <w:rsid w:val="00125A72"/>
    <w:rsid w:val="00126475"/>
    <w:rsid w:val="00126621"/>
    <w:rsid w:val="001266C4"/>
    <w:rsid w:val="00126B1D"/>
    <w:rsid w:val="0012710C"/>
    <w:rsid w:val="00127890"/>
    <w:rsid w:val="00127B7D"/>
    <w:rsid w:val="00130177"/>
    <w:rsid w:val="001301E9"/>
    <w:rsid w:val="001304F6"/>
    <w:rsid w:val="00130583"/>
    <w:rsid w:val="0013153A"/>
    <w:rsid w:val="001315B9"/>
    <w:rsid w:val="00131D82"/>
    <w:rsid w:val="001321E0"/>
    <w:rsid w:val="0013234E"/>
    <w:rsid w:val="00132B22"/>
    <w:rsid w:val="00132CBE"/>
    <w:rsid w:val="00132E7C"/>
    <w:rsid w:val="00133D36"/>
    <w:rsid w:val="00133EAB"/>
    <w:rsid w:val="00133EDC"/>
    <w:rsid w:val="001346DB"/>
    <w:rsid w:val="00134CAD"/>
    <w:rsid w:val="0013515C"/>
    <w:rsid w:val="0013537B"/>
    <w:rsid w:val="00135726"/>
    <w:rsid w:val="00135D56"/>
    <w:rsid w:val="00135F40"/>
    <w:rsid w:val="00136037"/>
    <w:rsid w:val="0013608E"/>
    <w:rsid w:val="00137259"/>
    <w:rsid w:val="001372C4"/>
    <w:rsid w:val="00137645"/>
    <w:rsid w:val="00137770"/>
    <w:rsid w:val="00137C25"/>
    <w:rsid w:val="00137F63"/>
    <w:rsid w:val="0014000C"/>
    <w:rsid w:val="0014015A"/>
    <w:rsid w:val="00140435"/>
    <w:rsid w:val="00140BAA"/>
    <w:rsid w:val="00140E99"/>
    <w:rsid w:val="00141B7F"/>
    <w:rsid w:val="00141C41"/>
    <w:rsid w:val="00141D3A"/>
    <w:rsid w:val="00142006"/>
    <w:rsid w:val="001424E6"/>
    <w:rsid w:val="00142ACF"/>
    <w:rsid w:val="00142C0C"/>
    <w:rsid w:val="0014381C"/>
    <w:rsid w:val="00143D3B"/>
    <w:rsid w:val="00143F67"/>
    <w:rsid w:val="001445E7"/>
    <w:rsid w:val="00144DC1"/>
    <w:rsid w:val="00144F74"/>
    <w:rsid w:val="00145234"/>
    <w:rsid w:val="001453F7"/>
    <w:rsid w:val="00145540"/>
    <w:rsid w:val="001456B0"/>
    <w:rsid w:val="001457E8"/>
    <w:rsid w:val="00145AA2"/>
    <w:rsid w:val="0014633A"/>
    <w:rsid w:val="001467DD"/>
    <w:rsid w:val="00146FBB"/>
    <w:rsid w:val="00147017"/>
    <w:rsid w:val="001477D9"/>
    <w:rsid w:val="00147AA6"/>
    <w:rsid w:val="00147C45"/>
    <w:rsid w:val="00147ECF"/>
    <w:rsid w:val="00150480"/>
    <w:rsid w:val="00151CB5"/>
    <w:rsid w:val="001526A6"/>
    <w:rsid w:val="00152A35"/>
    <w:rsid w:val="0015313E"/>
    <w:rsid w:val="001536F2"/>
    <w:rsid w:val="00153880"/>
    <w:rsid w:val="00153D33"/>
    <w:rsid w:val="00154315"/>
    <w:rsid w:val="001547AB"/>
    <w:rsid w:val="001553CF"/>
    <w:rsid w:val="001553EF"/>
    <w:rsid w:val="00155AD4"/>
    <w:rsid w:val="001561E6"/>
    <w:rsid w:val="001567F7"/>
    <w:rsid w:val="00156A4F"/>
    <w:rsid w:val="00156BCE"/>
    <w:rsid w:val="00156F8F"/>
    <w:rsid w:val="00156FE6"/>
    <w:rsid w:val="00157130"/>
    <w:rsid w:val="001576B1"/>
    <w:rsid w:val="001600C7"/>
    <w:rsid w:val="00160387"/>
    <w:rsid w:val="0016047B"/>
    <w:rsid w:val="001608AE"/>
    <w:rsid w:val="00160A4C"/>
    <w:rsid w:val="00160AD6"/>
    <w:rsid w:val="00160F74"/>
    <w:rsid w:val="00160FFE"/>
    <w:rsid w:val="00161169"/>
    <w:rsid w:val="00161271"/>
    <w:rsid w:val="001613C7"/>
    <w:rsid w:val="001615E3"/>
    <w:rsid w:val="00161797"/>
    <w:rsid w:val="00161880"/>
    <w:rsid w:val="00162288"/>
    <w:rsid w:val="00162730"/>
    <w:rsid w:val="00162744"/>
    <w:rsid w:val="00162913"/>
    <w:rsid w:val="00162936"/>
    <w:rsid w:val="00163100"/>
    <w:rsid w:val="00163E36"/>
    <w:rsid w:val="00163EB6"/>
    <w:rsid w:val="00163EFF"/>
    <w:rsid w:val="00163F66"/>
    <w:rsid w:val="001640FC"/>
    <w:rsid w:val="0016478E"/>
    <w:rsid w:val="00164880"/>
    <w:rsid w:val="00164CE4"/>
    <w:rsid w:val="00164F64"/>
    <w:rsid w:val="001658C4"/>
    <w:rsid w:val="00165931"/>
    <w:rsid w:val="00165CF3"/>
    <w:rsid w:val="00165EC4"/>
    <w:rsid w:val="001661FB"/>
    <w:rsid w:val="001662D0"/>
    <w:rsid w:val="00166BB0"/>
    <w:rsid w:val="001671A0"/>
    <w:rsid w:val="0016738C"/>
    <w:rsid w:val="0016765D"/>
    <w:rsid w:val="0016767F"/>
    <w:rsid w:val="00167B4C"/>
    <w:rsid w:val="0017002A"/>
    <w:rsid w:val="001702B0"/>
    <w:rsid w:val="00170516"/>
    <w:rsid w:val="00170827"/>
    <w:rsid w:val="00170D3B"/>
    <w:rsid w:val="00171D3F"/>
    <w:rsid w:val="00171E49"/>
    <w:rsid w:val="00172148"/>
    <w:rsid w:val="00172178"/>
    <w:rsid w:val="0017299C"/>
    <w:rsid w:val="00172BB3"/>
    <w:rsid w:val="0017329B"/>
    <w:rsid w:val="0017339B"/>
    <w:rsid w:val="00173565"/>
    <w:rsid w:val="0017370C"/>
    <w:rsid w:val="00173A08"/>
    <w:rsid w:val="00173ADA"/>
    <w:rsid w:val="00173B07"/>
    <w:rsid w:val="00174CA6"/>
    <w:rsid w:val="001751FA"/>
    <w:rsid w:val="0017535E"/>
    <w:rsid w:val="001757DB"/>
    <w:rsid w:val="00175E36"/>
    <w:rsid w:val="0017716F"/>
    <w:rsid w:val="00177613"/>
    <w:rsid w:val="0017780D"/>
    <w:rsid w:val="00177E0E"/>
    <w:rsid w:val="00180C96"/>
    <w:rsid w:val="001815CF"/>
    <w:rsid w:val="0018188F"/>
    <w:rsid w:val="00181964"/>
    <w:rsid w:val="00181C10"/>
    <w:rsid w:val="00181C64"/>
    <w:rsid w:val="00181D9C"/>
    <w:rsid w:val="00181FBA"/>
    <w:rsid w:val="0018203E"/>
    <w:rsid w:val="0018216F"/>
    <w:rsid w:val="00182589"/>
    <w:rsid w:val="00182906"/>
    <w:rsid w:val="00182A1C"/>
    <w:rsid w:val="00182DDF"/>
    <w:rsid w:val="00182FC2"/>
    <w:rsid w:val="001830A0"/>
    <w:rsid w:val="001837FF"/>
    <w:rsid w:val="00183D28"/>
    <w:rsid w:val="001844D5"/>
    <w:rsid w:val="00184656"/>
    <w:rsid w:val="00184B0E"/>
    <w:rsid w:val="00184FE9"/>
    <w:rsid w:val="0018528F"/>
    <w:rsid w:val="0018637D"/>
    <w:rsid w:val="00186814"/>
    <w:rsid w:val="00186CB4"/>
    <w:rsid w:val="001870EC"/>
    <w:rsid w:val="001871BE"/>
    <w:rsid w:val="0018752F"/>
    <w:rsid w:val="001875F6"/>
    <w:rsid w:val="00190EDC"/>
    <w:rsid w:val="00191101"/>
    <w:rsid w:val="0019148A"/>
    <w:rsid w:val="00191613"/>
    <w:rsid w:val="00193838"/>
    <w:rsid w:val="00193A7D"/>
    <w:rsid w:val="00193AE6"/>
    <w:rsid w:val="00193C4D"/>
    <w:rsid w:val="00194A90"/>
    <w:rsid w:val="00194AD8"/>
    <w:rsid w:val="00194B34"/>
    <w:rsid w:val="00194B53"/>
    <w:rsid w:val="00194CAF"/>
    <w:rsid w:val="00194F25"/>
    <w:rsid w:val="00194FFD"/>
    <w:rsid w:val="0019516D"/>
    <w:rsid w:val="00195222"/>
    <w:rsid w:val="00195452"/>
    <w:rsid w:val="00195724"/>
    <w:rsid w:val="001964D8"/>
    <w:rsid w:val="001964EE"/>
    <w:rsid w:val="0019689F"/>
    <w:rsid w:val="0019752C"/>
    <w:rsid w:val="00197592"/>
    <w:rsid w:val="001975D8"/>
    <w:rsid w:val="001977D5"/>
    <w:rsid w:val="001A03AD"/>
    <w:rsid w:val="001A0512"/>
    <w:rsid w:val="001A0582"/>
    <w:rsid w:val="001A0F7F"/>
    <w:rsid w:val="001A1054"/>
    <w:rsid w:val="001A12FC"/>
    <w:rsid w:val="001A1439"/>
    <w:rsid w:val="001A16D1"/>
    <w:rsid w:val="001A178E"/>
    <w:rsid w:val="001A18D5"/>
    <w:rsid w:val="001A1996"/>
    <w:rsid w:val="001A2088"/>
    <w:rsid w:val="001A2288"/>
    <w:rsid w:val="001A2D66"/>
    <w:rsid w:val="001A2DDB"/>
    <w:rsid w:val="001A3106"/>
    <w:rsid w:val="001A43FA"/>
    <w:rsid w:val="001A47C5"/>
    <w:rsid w:val="001A4A0A"/>
    <w:rsid w:val="001A4B0C"/>
    <w:rsid w:val="001A4E5F"/>
    <w:rsid w:val="001A50E3"/>
    <w:rsid w:val="001A53F1"/>
    <w:rsid w:val="001A58FE"/>
    <w:rsid w:val="001A59E1"/>
    <w:rsid w:val="001A59FB"/>
    <w:rsid w:val="001A5E9E"/>
    <w:rsid w:val="001A5F07"/>
    <w:rsid w:val="001A632D"/>
    <w:rsid w:val="001A6354"/>
    <w:rsid w:val="001A6366"/>
    <w:rsid w:val="001A69CB"/>
    <w:rsid w:val="001A6ECE"/>
    <w:rsid w:val="001A77AA"/>
    <w:rsid w:val="001A787B"/>
    <w:rsid w:val="001A79DE"/>
    <w:rsid w:val="001A7AE8"/>
    <w:rsid w:val="001B0D5C"/>
    <w:rsid w:val="001B1C6F"/>
    <w:rsid w:val="001B1CA3"/>
    <w:rsid w:val="001B1F69"/>
    <w:rsid w:val="001B204E"/>
    <w:rsid w:val="001B217A"/>
    <w:rsid w:val="001B2372"/>
    <w:rsid w:val="001B255B"/>
    <w:rsid w:val="001B2D48"/>
    <w:rsid w:val="001B2D54"/>
    <w:rsid w:val="001B30F0"/>
    <w:rsid w:val="001B3443"/>
    <w:rsid w:val="001B3AC5"/>
    <w:rsid w:val="001B3D45"/>
    <w:rsid w:val="001B3E17"/>
    <w:rsid w:val="001B409D"/>
    <w:rsid w:val="001B436E"/>
    <w:rsid w:val="001B4B79"/>
    <w:rsid w:val="001B4BD0"/>
    <w:rsid w:val="001B4D20"/>
    <w:rsid w:val="001B51EC"/>
    <w:rsid w:val="001B55B8"/>
    <w:rsid w:val="001B55F8"/>
    <w:rsid w:val="001B5E42"/>
    <w:rsid w:val="001B63F6"/>
    <w:rsid w:val="001B6472"/>
    <w:rsid w:val="001B7D30"/>
    <w:rsid w:val="001B7E0E"/>
    <w:rsid w:val="001B7F84"/>
    <w:rsid w:val="001C0105"/>
    <w:rsid w:val="001C078D"/>
    <w:rsid w:val="001C2A2C"/>
    <w:rsid w:val="001C2A9B"/>
    <w:rsid w:val="001C38CE"/>
    <w:rsid w:val="001C3DD6"/>
    <w:rsid w:val="001C4183"/>
    <w:rsid w:val="001C4299"/>
    <w:rsid w:val="001C44F0"/>
    <w:rsid w:val="001C4874"/>
    <w:rsid w:val="001C4A27"/>
    <w:rsid w:val="001C4DA0"/>
    <w:rsid w:val="001C4E7D"/>
    <w:rsid w:val="001C50A7"/>
    <w:rsid w:val="001C5133"/>
    <w:rsid w:val="001C51CF"/>
    <w:rsid w:val="001C576E"/>
    <w:rsid w:val="001C592D"/>
    <w:rsid w:val="001C5B34"/>
    <w:rsid w:val="001C5F94"/>
    <w:rsid w:val="001C625A"/>
    <w:rsid w:val="001C6755"/>
    <w:rsid w:val="001C67C0"/>
    <w:rsid w:val="001C6ACA"/>
    <w:rsid w:val="001C6C71"/>
    <w:rsid w:val="001C6D4C"/>
    <w:rsid w:val="001C6E66"/>
    <w:rsid w:val="001C6F22"/>
    <w:rsid w:val="001C71F0"/>
    <w:rsid w:val="001C72D2"/>
    <w:rsid w:val="001C7939"/>
    <w:rsid w:val="001C7D7A"/>
    <w:rsid w:val="001C7EF6"/>
    <w:rsid w:val="001D04CB"/>
    <w:rsid w:val="001D077E"/>
    <w:rsid w:val="001D1100"/>
    <w:rsid w:val="001D131E"/>
    <w:rsid w:val="001D1391"/>
    <w:rsid w:val="001D15FD"/>
    <w:rsid w:val="001D1B86"/>
    <w:rsid w:val="001D1C1F"/>
    <w:rsid w:val="001D25D7"/>
    <w:rsid w:val="001D30B1"/>
    <w:rsid w:val="001D32DD"/>
    <w:rsid w:val="001D3A3C"/>
    <w:rsid w:val="001D3DEC"/>
    <w:rsid w:val="001D490F"/>
    <w:rsid w:val="001D4FD3"/>
    <w:rsid w:val="001D5095"/>
    <w:rsid w:val="001D50B2"/>
    <w:rsid w:val="001D538A"/>
    <w:rsid w:val="001D54F2"/>
    <w:rsid w:val="001D5C9D"/>
    <w:rsid w:val="001D5CBD"/>
    <w:rsid w:val="001D5E87"/>
    <w:rsid w:val="001D6053"/>
    <w:rsid w:val="001D68B5"/>
    <w:rsid w:val="001D6C82"/>
    <w:rsid w:val="001D6CAA"/>
    <w:rsid w:val="001D6DEF"/>
    <w:rsid w:val="001D6F47"/>
    <w:rsid w:val="001D71F4"/>
    <w:rsid w:val="001D7412"/>
    <w:rsid w:val="001D74BD"/>
    <w:rsid w:val="001D7645"/>
    <w:rsid w:val="001D76CA"/>
    <w:rsid w:val="001D7F9E"/>
    <w:rsid w:val="001E14EE"/>
    <w:rsid w:val="001E1880"/>
    <w:rsid w:val="001E18CF"/>
    <w:rsid w:val="001E1E86"/>
    <w:rsid w:val="001E238E"/>
    <w:rsid w:val="001E240D"/>
    <w:rsid w:val="001E2483"/>
    <w:rsid w:val="001E262C"/>
    <w:rsid w:val="001E2B1E"/>
    <w:rsid w:val="001E2CFF"/>
    <w:rsid w:val="001E2E73"/>
    <w:rsid w:val="001E2F24"/>
    <w:rsid w:val="001E30D4"/>
    <w:rsid w:val="001E3287"/>
    <w:rsid w:val="001E34DF"/>
    <w:rsid w:val="001E383F"/>
    <w:rsid w:val="001E449D"/>
    <w:rsid w:val="001E4564"/>
    <w:rsid w:val="001E486E"/>
    <w:rsid w:val="001E4A0A"/>
    <w:rsid w:val="001E4C6A"/>
    <w:rsid w:val="001E5234"/>
    <w:rsid w:val="001E52EB"/>
    <w:rsid w:val="001E5630"/>
    <w:rsid w:val="001E61D2"/>
    <w:rsid w:val="001E6C05"/>
    <w:rsid w:val="001E6EEB"/>
    <w:rsid w:val="001E740C"/>
    <w:rsid w:val="001E75D4"/>
    <w:rsid w:val="001E76F7"/>
    <w:rsid w:val="001E79C6"/>
    <w:rsid w:val="001E7DCD"/>
    <w:rsid w:val="001F0613"/>
    <w:rsid w:val="001F0ADF"/>
    <w:rsid w:val="001F0B46"/>
    <w:rsid w:val="001F0C61"/>
    <w:rsid w:val="001F0FF5"/>
    <w:rsid w:val="001F1235"/>
    <w:rsid w:val="001F1476"/>
    <w:rsid w:val="001F1752"/>
    <w:rsid w:val="001F1CB3"/>
    <w:rsid w:val="001F1E21"/>
    <w:rsid w:val="001F2B85"/>
    <w:rsid w:val="001F3037"/>
    <w:rsid w:val="001F3396"/>
    <w:rsid w:val="001F34A4"/>
    <w:rsid w:val="001F389A"/>
    <w:rsid w:val="001F38B5"/>
    <w:rsid w:val="001F3AAD"/>
    <w:rsid w:val="001F3BB4"/>
    <w:rsid w:val="001F3D71"/>
    <w:rsid w:val="001F3DF3"/>
    <w:rsid w:val="001F3E45"/>
    <w:rsid w:val="001F3F52"/>
    <w:rsid w:val="001F4081"/>
    <w:rsid w:val="001F4358"/>
    <w:rsid w:val="001F5176"/>
    <w:rsid w:val="001F5318"/>
    <w:rsid w:val="001F57D8"/>
    <w:rsid w:val="001F58FA"/>
    <w:rsid w:val="001F5FA9"/>
    <w:rsid w:val="001F6195"/>
    <w:rsid w:val="001F63CC"/>
    <w:rsid w:val="001F6609"/>
    <w:rsid w:val="001F6B7C"/>
    <w:rsid w:val="001F6F64"/>
    <w:rsid w:val="001F7361"/>
    <w:rsid w:val="001F7B8C"/>
    <w:rsid w:val="001F7E88"/>
    <w:rsid w:val="002007CA"/>
    <w:rsid w:val="002007DE"/>
    <w:rsid w:val="00200C4A"/>
    <w:rsid w:val="00200F1E"/>
    <w:rsid w:val="002011B0"/>
    <w:rsid w:val="00201316"/>
    <w:rsid w:val="0020156B"/>
    <w:rsid w:val="00201725"/>
    <w:rsid w:val="0020194D"/>
    <w:rsid w:val="002023DD"/>
    <w:rsid w:val="00203181"/>
    <w:rsid w:val="0020356A"/>
    <w:rsid w:val="00203783"/>
    <w:rsid w:val="0020385F"/>
    <w:rsid w:val="0020479E"/>
    <w:rsid w:val="002049EB"/>
    <w:rsid w:val="00204AEE"/>
    <w:rsid w:val="00204B68"/>
    <w:rsid w:val="00205357"/>
    <w:rsid w:val="002053AD"/>
    <w:rsid w:val="002056AF"/>
    <w:rsid w:val="00205ADD"/>
    <w:rsid w:val="00205EBC"/>
    <w:rsid w:val="00206562"/>
    <w:rsid w:val="00206753"/>
    <w:rsid w:val="002068A0"/>
    <w:rsid w:val="00206F0D"/>
    <w:rsid w:val="00207021"/>
    <w:rsid w:val="0020732F"/>
    <w:rsid w:val="00207651"/>
    <w:rsid w:val="00207708"/>
    <w:rsid w:val="00207D00"/>
    <w:rsid w:val="002104AE"/>
    <w:rsid w:val="002105C1"/>
    <w:rsid w:val="00210753"/>
    <w:rsid w:val="002108BF"/>
    <w:rsid w:val="0021095E"/>
    <w:rsid w:val="00210A12"/>
    <w:rsid w:val="00210D68"/>
    <w:rsid w:val="00210F7B"/>
    <w:rsid w:val="002113BC"/>
    <w:rsid w:val="002116FD"/>
    <w:rsid w:val="00211E2B"/>
    <w:rsid w:val="00212523"/>
    <w:rsid w:val="0021334B"/>
    <w:rsid w:val="00213EF5"/>
    <w:rsid w:val="00213FDC"/>
    <w:rsid w:val="002143DB"/>
    <w:rsid w:val="0021454F"/>
    <w:rsid w:val="00214831"/>
    <w:rsid w:val="002148F5"/>
    <w:rsid w:val="0021490E"/>
    <w:rsid w:val="002157C0"/>
    <w:rsid w:val="002159A6"/>
    <w:rsid w:val="00216269"/>
    <w:rsid w:val="0021638C"/>
    <w:rsid w:val="00216B7D"/>
    <w:rsid w:val="00216BAA"/>
    <w:rsid w:val="00216BF5"/>
    <w:rsid w:val="00216D4A"/>
    <w:rsid w:val="002170A9"/>
    <w:rsid w:val="00217554"/>
    <w:rsid w:val="00217777"/>
    <w:rsid w:val="00217A06"/>
    <w:rsid w:val="00217A6E"/>
    <w:rsid w:val="00217AB0"/>
    <w:rsid w:val="00217DFF"/>
    <w:rsid w:val="00220236"/>
    <w:rsid w:val="002202C4"/>
    <w:rsid w:val="00221366"/>
    <w:rsid w:val="002213AB"/>
    <w:rsid w:val="00221403"/>
    <w:rsid w:val="002219E0"/>
    <w:rsid w:val="002238FE"/>
    <w:rsid w:val="002239DA"/>
    <w:rsid w:val="00223B49"/>
    <w:rsid w:val="00223C5E"/>
    <w:rsid w:val="00223C9B"/>
    <w:rsid w:val="00223D5A"/>
    <w:rsid w:val="00223DD8"/>
    <w:rsid w:val="00224DD4"/>
    <w:rsid w:val="00224E51"/>
    <w:rsid w:val="0022518D"/>
    <w:rsid w:val="002259EF"/>
    <w:rsid w:val="00225B03"/>
    <w:rsid w:val="00225F9E"/>
    <w:rsid w:val="00226579"/>
    <w:rsid w:val="0022676A"/>
    <w:rsid w:val="0022681C"/>
    <w:rsid w:val="00226F52"/>
    <w:rsid w:val="00226FB1"/>
    <w:rsid w:val="0022704C"/>
    <w:rsid w:val="00227194"/>
    <w:rsid w:val="00227278"/>
    <w:rsid w:val="002278A0"/>
    <w:rsid w:val="00227EA5"/>
    <w:rsid w:val="00227ED8"/>
    <w:rsid w:val="002301CD"/>
    <w:rsid w:val="00230236"/>
    <w:rsid w:val="00230300"/>
    <w:rsid w:val="002306A8"/>
    <w:rsid w:val="002309CC"/>
    <w:rsid w:val="00231446"/>
    <w:rsid w:val="0023196D"/>
    <w:rsid w:val="00231BA9"/>
    <w:rsid w:val="0023209F"/>
    <w:rsid w:val="00232889"/>
    <w:rsid w:val="00232902"/>
    <w:rsid w:val="00232936"/>
    <w:rsid w:val="00232D9C"/>
    <w:rsid w:val="00233C01"/>
    <w:rsid w:val="00233CD5"/>
    <w:rsid w:val="00233D31"/>
    <w:rsid w:val="00233E9F"/>
    <w:rsid w:val="00233EFE"/>
    <w:rsid w:val="00233FFA"/>
    <w:rsid w:val="0023413C"/>
    <w:rsid w:val="002343BC"/>
    <w:rsid w:val="002346F0"/>
    <w:rsid w:val="00234C87"/>
    <w:rsid w:val="00234E73"/>
    <w:rsid w:val="00235081"/>
    <w:rsid w:val="002352C9"/>
    <w:rsid w:val="0023576E"/>
    <w:rsid w:val="0023580D"/>
    <w:rsid w:val="00235EA9"/>
    <w:rsid w:val="0023629D"/>
    <w:rsid w:val="002363F5"/>
    <w:rsid w:val="002367A5"/>
    <w:rsid w:val="002370C7"/>
    <w:rsid w:val="00237128"/>
    <w:rsid w:val="00237255"/>
    <w:rsid w:val="00237338"/>
    <w:rsid w:val="00237AE3"/>
    <w:rsid w:val="00237CD9"/>
    <w:rsid w:val="002401DB"/>
    <w:rsid w:val="0024042C"/>
    <w:rsid w:val="00240B14"/>
    <w:rsid w:val="00240DC8"/>
    <w:rsid w:val="002411F8"/>
    <w:rsid w:val="002415DD"/>
    <w:rsid w:val="0024193C"/>
    <w:rsid w:val="00241B46"/>
    <w:rsid w:val="002424AF"/>
    <w:rsid w:val="002432E7"/>
    <w:rsid w:val="0024369B"/>
    <w:rsid w:val="002436CA"/>
    <w:rsid w:val="002436D8"/>
    <w:rsid w:val="0024384F"/>
    <w:rsid w:val="002439AE"/>
    <w:rsid w:val="002439DC"/>
    <w:rsid w:val="00243B15"/>
    <w:rsid w:val="00243FF9"/>
    <w:rsid w:val="002440A7"/>
    <w:rsid w:val="00244105"/>
    <w:rsid w:val="002441D2"/>
    <w:rsid w:val="00244297"/>
    <w:rsid w:val="00244DC8"/>
    <w:rsid w:val="00244F21"/>
    <w:rsid w:val="00245327"/>
    <w:rsid w:val="0024589D"/>
    <w:rsid w:val="002458BA"/>
    <w:rsid w:val="00245B22"/>
    <w:rsid w:val="00245C68"/>
    <w:rsid w:val="00245CE9"/>
    <w:rsid w:val="00245ED5"/>
    <w:rsid w:val="0024636C"/>
    <w:rsid w:val="002465B4"/>
    <w:rsid w:val="00246A82"/>
    <w:rsid w:val="002472C6"/>
    <w:rsid w:val="0024752A"/>
    <w:rsid w:val="002476DC"/>
    <w:rsid w:val="00247925"/>
    <w:rsid w:val="00247BF3"/>
    <w:rsid w:val="00247CB1"/>
    <w:rsid w:val="00250084"/>
    <w:rsid w:val="0025043B"/>
    <w:rsid w:val="00251006"/>
    <w:rsid w:val="00251BDF"/>
    <w:rsid w:val="00251C68"/>
    <w:rsid w:val="00251D05"/>
    <w:rsid w:val="00251DFF"/>
    <w:rsid w:val="00251F1E"/>
    <w:rsid w:val="00251F27"/>
    <w:rsid w:val="002524D5"/>
    <w:rsid w:val="002524FB"/>
    <w:rsid w:val="00252621"/>
    <w:rsid w:val="00252DA7"/>
    <w:rsid w:val="002532F8"/>
    <w:rsid w:val="00253A41"/>
    <w:rsid w:val="00253B1D"/>
    <w:rsid w:val="002542C4"/>
    <w:rsid w:val="00254AAB"/>
    <w:rsid w:val="00254C77"/>
    <w:rsid w:val="00254DCF"/>
    <w:rsid w:val="00254F2A"/>
    <w:rsid w:val="0025534B"/>
    <w:rsid w:val="00255527"/>
    <w:rsid w:val="00255BB7"/>
    <w:rsid w:val="00255F41"/>
    <w:rsid w:val="002562E5"/>
    <w:rsid w:val="002564A2"/>
    <w:rsid w:val="00256608"/>
    <w:rsid w:val="00256C18"/>
    <w:rsid w:val="002571EA"/>
    <w:rsid w:val="00257541"/>
    <w:rsid w:val="002578A1"/>
    <w:rsid w:val="002578A6"/>
    <w:rsid w:val="00257A39"/>
    <w:rsid w:val="00257AC4"/>
    <w:rsid w:val="00257BA5"/>
    <w:rsid w:val="00257BBE"/>
    <w:rsid w:val="00257F32"/>
    <w:rsid w:val="00260622"/>
    <w:rsid w:val="00260716"/>
    <w:rsid w:val="00260C07"/>
    <w:rsid w:val="002615C3"/>
    <w:rsid w:val="00261AD0"/>
    <w:rsid w:val="00261EEF"/>
    <w:rsid w:val="0026230F"/>
    <w:rsid w:val="002626B6"/>
    <w:rsid w:val="002629A7"/>
    <w:rsid w:val="00262A1A"/>
    <w:rsid w:val="00262A87"/>
    <w:rsid w:val="0026350C"/>
    <w:rsid w:val="002639B2"/>
    <w:rsid w:val="00263D77"/>
    <w:rsid w:val="00264196"/>
    <w:rsid w:val="00264334"/>
    <w:rsid w:val="002645D0"/>
    <w:rsid w:val="002646FD"/>
    <w:rsid w:val="002649F3"/>
    <w:rsid w:val="00264D26"/>
    <w:rsid w:val="002650F9"/>
    <w:rsid w:val="00265898"/>
    <w:rsid w:val="00265EDD"/>
    <w:rsid w:val="002661BA"/>
    <w:rsid w:val="002661D6"/>
    <w:rsid w:val="002662FC"/>
    <w:rsid w:val="00266383"/>
    <w:rsid w:val="002669DB"/>
    <w:rsid w:val="00266ABD"/>
    <w:rsid w:val="00266BC4"/>
    <w:rsid w:val="00266F6B"/>
    <w:rsid w:val="00267642"/>
    <w:rsid w:val="00267AEA"/>
    <w:rsid w:val="00267DA4"/>
    <w:rsid w:val="002700E6"/>
    <w:rsid w:val="002709A3"/>
    <w:rsid w:val="00270D5B"/>
    <w:rsid w:val="00271289"/>
    <w:rsid w:val="00271806"/>
    <w:rsid w:val="00271A5C"/>
    <w:rsid w:val="00271E28"/>
    <w:rsid w:val="00272145"/>
    <w:rsid w:val="002723F3"/>
    <w:rsid w:val="0027294B"/>
    <w:rsid w:val="0027296E"/>
    <w:rsid w:val="00273BB4"/>
    <w:rsid w:val="00273EB4"/>
    <w:rsid w:val="00273ED7"/>
    <w:rsid w:val="00273FC4"/>
    <w:rsid w:val="002742A5"/>
    <w:rsid w:val="00274682"/>
    <w:rsid w:val="002746ED"/>
    <w:rsid w:val="00274A5E"/>
    <w:rsid w:val="00274B5F"/>
    <w:rsid w:val="00275158"/>
    <w:rsid w:val="0027539A"/>
    <w:rsid w:val="002756C7"/>
    <w:rsid w:val="00275BBE"/>
    <w:rsid w:val="00275C5A"/>
    <w:rsid w:val="002762EB"/>
    <w:rsid w:val="0027633B"/>
    <w:rsid w:val="002763D9"/>
    <w:rsid w:val="00276810"/>
    <w:rsid w:val="00276F59"/>
    <w:rsid w:val="00281014"/>
    <w:rsid w:val="00281CDF"/>
    <w:rsid w:val="0028220C"/>
    <w:rsid w:val="00282935"/>
    <w:rsid w:val="002830BC"/>
    <w:rsid w:val="002832A7"/>
    <w:rsid w:val="002835EC"/>
    <w:rsid w:val="00283766"/>
    <w:rsid w:val="00283D3C"/>
    <w:rsid w:val="00283DF9"/>
    <w:rsid w:val="002841B6"/>
    <w:rsid w:val="00284295"/>
    <w:rsid w:val="002844C0"/>
    <w:rsid w:val="002852F7"/>
    <w:rsid w:val="00285587"/>
    <w:rsid w:val="00285B10"/>
    <w:rsid w:val="00285BCE"/>
    <w:rsid w:val="00285DB1"/>
    <w:rsid w:val="00285E67"/>
    <w:rsid w:val="00286049"/>
    <w:rsid w:val="0028616F"/>
    <w:rsid w:val="0028665D"/>
    <w:rsid w:val="00286A3C"/>
    <w:rsid w:val="00286DA7"/>
    <w:rsid w:val="00287000"/>
    <w:rsid w:val="00287AAA"/>
    <w:rsid w:val="00287F4E"/>
    <w:rsid w:val="0029039B"/>
    <w:rsid w:val="0029047D"/>
    <w:rsid w:val="0029061E"/>
    <w:rsid w:val="00291177"/>
    <w:rsid w:val="00291673"/>
    <w:rsid w:val="00291CDA"/>
    <w:rsid w:val="0029270E"/>
    <w:rsid w:val="0029274C"/>
    <w:rsid w:val="0029294A"/>
    <w:rsid w:val="0029327B"/>
    <w:rsid w:val="00293C47"/>
    <w:rsid w:val="00293C8E"/>
    <w:rsid w:val="00293FB9"/>
    <w:rsid w:val="00293FDD"/>
    <w:rsid w:val="00294D2A"/>
    <w:rsid w:val="00296230"/>
    <w:rsid w:val="002965F2"/>
    <w:rsid w:val="00296A0C"/>
    <w:rsid w:val="00296C12"/>
    <w:rsid w:val="00296D6E"/>
    <w:rsid w:val="00296E03"/>
    <w:rsid w:val="00296F7A"/>
    <w:rsid w:val="00296F92"/>
    <w:rsid w:val="0029764E"/>
    <w:rsid w:val="002A038A"/>
    <w:rsid w:val="002A04CE"/>
    <w:rsid w:val="002A0619"/>
    <w:rsid w:val="002A0975"/>
    <w:rsid w:val="002A119B"/>
    <w:rsid w:val="002A12EB"/>
    <w:rsid w:val="002A14AB"/>
    <w:rsid w:val="002A1A9B"/>
    <w:rsid w:val="002A1F90"/>
    <w:rsid w:val="002A2223"/>
    <w:rsid w:val="002A2633"/>
    <w:rsid w:val="002A2A53"/>
    <w:rsid w:val="002A2ADE"/>
    <w:rsid w:val="002A2C29"/>
    <w:rsid w:val="002A2F50"/>
    <w:rsid w:val="002A2FC0"/>
    <w:rsid w:val="002A3352"/>
    <w:rsid w:val="002A3585"/>
    <w:rsid w:val="002A3753"/>
    <w:rsid w:val="002A3D73"/>
    <w:rsid w:val="002A3DAD"/>
    <w:rsid w:val="002A48D9"/>
    <w:rsid w:val="002A4A9E"/>
    <w:rsid w:val="002A4AE5"/>
    <w:rsid w:val="002A4F81"/>
    <w:rsid w:val="002A54AB"/>
    <w:rsid w:val="002A56BE"/>
    <w:rsid w:val="002A5A31"/>
    <w:rsid w:val="002A5C4E"/>
    <w:rsid w:val="002A5C7A"/>
    <w:rsid w:val="002A5DE6"/>
    <w:rsid w:val="002A643B"/>
    <w:rsid w:val="002A6C62"/>
    <w:rsid w:val="002A6CD2"/>
    <w:rsid w:val="002A6E0D"/>
    <w:rsid w:val="002A7113"/>
    <w:rsid w:val="002A73A4"/>
    <w:rsid w:val="002A7704"/>
    <w:rsid w:val="002A7943"/>
    <w:rsid w:val="002A7ADB"/>
    <w:rsid w:val="002B0414"/>
    <w:rsid w:val="002B05A1"/>
    <w:rsid w:val="002B0791"/>
    <w:rsid w:val="002B082D"/>
    <w:rsid w:val="002B095B"/>
    <w:rsid w:val="002B09A4"/>
    <w:rsid w:val="002B0BB5"/>
    <w:rsid w:val="002B1477"/>
    <w:rsid w:val="002B1C1F"/>
    <w:rsid w:val="002B26A3"/>
    <w:rsid w:val="002B2C49"/>
    <w:rsid w:val="002B3136"/>
    <w:rsid w:val="002B3BC1"/>
    <w:rsid w:val="002B40A5"/>
    <w:rsid w:val="002B4193"/>
    <w:rsid w:val="002B432F"/>
    <w:rsid w:val="002B4548"/>
    <w:rsid w:val="002B45A1"/>
    <w:rsid w:val="002B494F"/>
    <w:rsid w:val="002B4A7A"/>
    <w:rsid w:val="002B4E33"/>
    <w:rsid w:val="002B53C6"/>
    <w:rsid w:val="002B58C2"/>
    <w:rsid w:val="002B5959"/>
    <w:rsid w:val="002B59A7"/>
    <w:rsid w:val="002B62B3"/>
    <w:rsid w:val="002B6442"/>
    <w:rsid w:val="002B6754"/>
    <w:rsid w:val="002B6CCE"/>
    <w:rsid w:val="002B6D5E"/>
    <w:rsid w:val="002B6E7E"/>
    <w:rsid w:val="002B7356"/>
    <w:rsid w:val="002B74C3"/>
    <w:rsid w:val="002B78B4"/>
    <w:rsid w:val="002B791D"/>
    <w:rsid w:val="002B7EA4"/>
    <w:rsid w:val="002B7FBD"/>
    <w:rsid w:val="002C005D"/>
    <w:rsid w:val="002C0E34"/>
    <w:rsid w:val="002C0E5C"/>
    <w:rsid w:val="002C1111"/>
    <w:rsid w:val="002C14B9"/>
    <w:rsid w:val="002C19B8"/>
    <w:rsid w:val="002C1ED2"/>
    <w:rsid w:val="002C2510"/>
    <w:rsid w:val="002C2775"/>
    <w:rsid w:val="002C27C1"/>
    <w:rsid w:val="002C290B"/>
    <w:rsid w:val="002C2A84"/>
    <w:rsid w:val="002C3254"/>
    <w:rsid w:val="002C3430"/>
    <w:rsid w:val="002C36E3"/>
    <w:rsid w:val="002C3858"/>
    <w:rsid w:val="002C3CB4"/>
    <w:rsid w:val="002C407A"/>
    <w:rsid w:val="002C4F9A"/>
    <w:rsid w:val="002C5099"/>
    <w:rsid w:val="002C5889"/>
    <w:rsid w:val="002C5AEB"/>
    <w:rsid w:val="002C6452"/>
    <w:rsid w:val="002C6A81"/>
    <w:rsid w:val="002C6B9C"/>
    <w:rsid w:val="002C6DF1"/>
    <w:rsid w:val="002C70C2"/>
    <w:rsid w:val="002C71CE"/>
    <w:rsid w:val="002C73E6"/>
    <w:rsid w:val="002C74D0"/>
    <w:rsid w:val="002C767B"/>
    <w:rsid w:val="002C785F"/>
    <w:rsid w:val="002C7C21"/>
    <w:rsid w:val="002D0256"/>
    <w:rsid w:val="002D05DB"/>
    <w:rsid w:val="002D08F8"/>
    <w:rsid w:val="002D0CF3"/>
    <w:rsid w:val="002D13E3"/>
    <w:rsid w:val="002D1450"/>
    <w:rsid w:val="002D16FE"/>
    <w:rsid w:val="002D18A7"/>
    <w:rsid w:val="002D2667"/>
    <w:rsid w:val="002D29E4"/>
    <w:rsid w:val="002D2CD2"/>
    <w:rsid w:val="002D39D8"/>
    <w:rsid w:val="002D3AB7"/>
    <w:rsid w:val="002D3BCA"/>
    <w:rsid w:val="002D3D3E"/>
    <w:rsid w:val="002D3F4E"/>
    <w:rsid w:val="002D42AE"/>
    <w:rsid w:val="002D4730"/>
    <w:rsid w:val="002D538C"/>
    <w:rsid w:val="002D577C"/>
    <w:rsid w:val="002D63CD"/>
    <w:rsid w:val="002D6FC8"/>
    <w:rsid w:val="002D6FF7"/>
    <w:rsid w:val="002D713E"/>
    <w:rsid w:val="002D7566"/>
    <w:rsid w:val="002D7832"/>
    <w:rsid w:val="002D7C1A"/>
    <w:rsid w:val="002D7C1F"/>
    <w:rsid w:val="002E07DB"/>
    <w:rsid w:val="002E0804"/>
    <w:rsid w:val="002E09F9"/>
    <w:rsid w:val="002E1071"/>
    <w:rsid w:val="002E111E"/>
    <w:rsid w:val="002E15B9"/>
    <w:rsid w:val="002E1682"/>
    <w:rsid w:val="002E1884"/>
    <w:rsid w:val="002E19AB"/>
    <w:rsid w:val="002E1B26"/>
    <w:rsid w:val="002E200E"/>
    <w:rsid w:val="002E2158"/>
    <w:rsid w:val="002E2222"/>
    <w:rsid w:val="002E2532"/>
    <w:rsid w:val="002E2BB7"/>
    <w:rsid w:val="002E3A45"/>
    <w:rsid w:val="002E3F78"/>
    <w:rsid w:val="002E401D"/>
    <w:rsid w:val="002E4348"/>
    <w:rsid w:val="002E4D62"/>
    <w:rsid w:val="002E4F02"/>
    <w:rsid w:val="002E585D"/>
    <w:rsid w:val="002E588D"/>
    <w:rsid w:val="002E596B"/>
    <w:rsid w:val="002E628E"/>
    <w:rsid w:val="002E6313"/>
    <w:rsid w:val="002E6C93"/>
    <w:rsid w:val="002E71EB"/>
    <w:rsid w:val="002E7722"/>
    <w:rsid w:val="002E7829"/>
    <w:rsid w:val="002E7975"/>
    <w:rsid w:val="002E7C47"/>
    <w:rsid w:val="002E7DFA"/>
    <w:rsid w:val="002E7F37"/>
    <w:rsid w:val="002F0173"/>
    <w:rsid w:val="002F039F"/>
    <w:rsid w:val="002F0429"/>
    <w:rsid w:val="002F049F"/>
    <w:rsid w:val="002F0689"/>
    <w:rsid w:val="002F07BA"/>
    <w:rsid w:val="002F0DA9"/>
    <w:rsid w:val="002F1014"/>
    <w:rsid w:val="002F138F"/>
    <w:rsid w:val="002F15C3"/>
    <w:rsid w:val="002F15FF"/>
    <w:rsid w:val="002F1B92"/>
    <w:rsid w:val="002F1CF8"/>
    <w:rsid w:val="002F1D33"/>
    <w:rsid w:val="002F1E3B"/>
    <w:rsid w:val="002F1F51"/>
    <w:rsid w:val="002F26F8"/>
    <w:rsid w:val="002F2969"/>
    <w:rsid w:val="002F2BFE"/>
    <w:rsid w:val="002F2F6B"/>
    <w:rsid w:val="002F3072"/>
    <w:rsid w:val="002F3350"/>
    <w:rsid w:val="002F38F6"/>
    <w:rsid w:val="002F3992"/>
    <w:rsid w:val="002F4357"/>
    <w:rsid w:val="002F43E9"/>
    <w:rsid w:val="002F43F2"/>
    <w:rsid w:val="002F4D4E"/>
    <w:rsid w:val="002F53BB"/>
    <w:rsid w:val="002F5942"/>
    <w:rsid w:val="002F5BBA"/>
    <w:rsid w:val="002F636E"/>
    <w:rsid w:val="002F643C"/>
    <w:rsid w:val="002F6452"/>
    <w:rsid w:val="002F71C0"/>
    <w:rsid w:val="002F74F1"/>
    <w:rsid w:val="002F75E7"/>
    <w:rsid w:val="002F77F2"/>
    <w:rsid w:val="002F7889"/>
    <w:rsid w:val="002F797E"/>
    <w:rsid w:val="00300B5D"/>
    <w:rsid w:val="00300BA4"/>
    <w:rsid w:val="00300E1C"/>
    <w:rsid w:val="00301017"/>
    <w:rsid w:val="0030155F"/>
    <w:rsid w:val="00301B01"/>
    <w:rsid w:val="00302096"/>
    <w:rsid w:val="00302334"/>
    <w:rsid w:val="00302BF3"/>
    <w:rsid w:val="00302DB3"/>
    <w:rsid w:val="00303517"/>
    <w:rsid w:val="003035D1"/>
    <w:rsid w:val="0030433A"/>
    <w:rsid w:val="003049D0"/>
    <w:rsid w:val="00304A90"/>
    <w:rsid w:val="00305005"/>
    <w:rsid w:val="0030587B"/>
    <w:rsid w:val="00306550"/>
    <w:rsid w:val="003069EB"/>
    <w:rsid w:val="00306D98"/>
    <w:rsid w:val="00306F05"/>
    <w:rsid w:val="0030761F"/>
    <w:rsid w:val="0030786C"/>
    <w:rsid w:val="0031011B"/>
    <w:rsid w:val="0031031A"/>
    <w:rsid w:val="00310518"/>
    <w:rsid w:val="0031058A"/>
    <w:rsid w:val="0031097E"/>
    <w:rsid w:val="00310981"/>
    <w:rsid w:val="00310B96"/>
    <w:rsid w:val="00310D3F"/>
    <w:rsid w:val="0031156E"/>
    <w:rsid w:val="003115C7"/>
    <w:rsid w:val="00311CAD"/>
    <w:rsid w:val="00311D9B"/>
    <w:rsid w:val="00311DD1"/>
    <w:rsid w:val="003124D9"/>
    <w:rsid w:val="00312594"/>
    <w:rsid w:val="00312F37"/>
    <w:rsid w:val="003130CE"/>
    <w:rsid w:val="003130F2"/>
    <w:rsid w:val="00313B7F"/>
    <w:rsid w:val="00313C22"/>
    <w:rsid w:val="00313D36"/>
    <w:rsid w:val="00314730"/>
    <w:rsid w:val="00314C14"/>
    <w:rsid w:val="00315285"/>
    <w:rsid w:val="0031536C"/>
    <w:rsid w:val="00315498"/>
    <w:rsid w:val="0031564A"/>
    <w:rsid w:val="003157D5"/>
    <w:rsid w:val="00315C73"/>
    <w:rsid w:val="00315C75"/>
    <w:rsid w:val="00316474"/>
    <w:rsid w:val="003170F8"/>
    <w:rsid w:val="003171DE"/>
    <w:rsid w:val="003175C5"/>
    <w:rsid w:val="00317919"/>
    <w:rsid w:val="00317EF9"/>
    <w:rsid w:val="003209D0"/>
    <w:rsid w:val="00320DA9"/>
    <w:rsid w:val="00321032"/>
    <w:rsid w:val="00321134"/>
    <w:rsid w:val="0032151B"/>
    <w:rsid w:val="003215C5"/>
    <w:rsid w:val="00321626"/>
    <w:rsid w:val="00321881"/>
    <w:rsid w:val="00321946"/>
    <w:rsid w:val="0032196E"/>
    <w:rsid w:val="00321FCA"/>
    <w:rsid w:val="00322107"/>
    <w:rsid w:val="00322355"/>
    <w:rsid w:val="003227A2"/>
    <w:rsid w:val="00322846"/>
    <w:rsid w:val="003228B0"/>
    <w:rsid w:val="00322BFB"/>
    <w:rsid w:val="00322D5C"/>
    <w:rsid w:val="003232AE"/>
    <w:rsid w:val="003232C3"/>
    <w:rsid w:val="0032341B"/>
    <w:rsid w:val="00323425"/>
    <w:rsid w:val="00323DD0"/>
    <w:rsid w:val="00324572"/>
    <w:rsid w:val="003245BD"/>
    <w:rsid w:val="00324A4A"/>
    <w:rsid w:val="00324B55"/>
    <w:rsid w:val="0032547B"/>
    <w:rsid w:val="003259F8"/>
    <w:rsid w:val="00325B21"/>
    <w:rsid w:val="00326229"/>
    <w:rsid w:val="00326336"/>
    <w:rsid w:val="00326DA7"/>
    <w:rsid w:val="00326F38"/>
    <w:rsid w:val="003270E4"/>
    <w:rsid w:val="00327167"/>
    <w:rsid w:val="003277EC"/>
    <w:rsid w:val="00327EE4"/>
    <w:rsid w:val="00330220"/>
    <w:rsid w:val="00330918"/>
    <w:rsid w:val="00330DAA"/>
    <w:rsid w:val="00330F5C"/>
    <w:rsid w:val="0033108E"/>
    <w:rsid w:val="00331235"/>
    <w:rsid w:val="0033162F"/>
    <w:rsid w:val="00332619"/>
    <w:rsid w:val="003328A5"/>
    <w:rsid w:val="00332960"/>
    <w:rsid w:val="00332F7B"/>
    <w:rsid w:val="0033334B"/>
    <w:rsid w:val="00333847"/>
    <w:rsid w:val="00333DD3"/>
    <w:rsid w:val="003346C6"/>
    <w:rsid w:val="003347A2"/>
    <w:rsid w:val="0033517A"/>
    <w:rsid w:val="00335A3D"/>
    <w:rsid w:val="00335B76"/>
    <w:rsid w:val="00335FF7"/>
    <w:rsid w:val="00336443"/>
    <w:rsid w:val="003366C9"/>
    <w:rsid w:val="00336E13"/>
    <w:rsid w:val="003371B0"/>
    <w:rsid w:val="00340092"/>
    <w:rsid w:val="00340147"/>
    <w:rsid w:val="003406D2"/>
    <w:rsid w:val="003406DB"/>
    <w:rsid w:val="003409B9"/>
    <w:rsid w:val="00340DF1"/>
    <w:rsid w:val="00341793"/>
    <w:rsid w:val="00341EAF"/>
    <w:rsid w:val="00341F0E"/>
    <w:rsid w:val="00341F89"/>
    <w:rsid w:val="003426BE"/>
    <w:rsid w:val="00342D04"/>
    <w:rsid w:val="00342FE7"/>
    <w:rsid w:val="00343043"/>
    <w:rsid w:val="0034313C"/>
    <w:rsid w:val="00343563"/>
    <w:rsid w:val="003446C5"/>
    <w:rsid w:val="00344A41"/>
    <w:rsid w:val="00344C51"/>
    <w:rsid w:val="00344DF0"/>
    <w:rsid w:val="00344F9C"/>
    <w:rsid w:val="00345F90"/>
    <w:rsid w:val="003460BB"/>
    <w:rsid w:val="00346209"/>
    <w:rsid w:val="00346A17"/>
    <w:rsid w:val="00346BE3"/>
    <w:rsid w:val="003470F5"/>
    <w:rsid w:val="0034718E"/>
    <w:rsid w:val="0034721C"/>
    <w:rsid w:val="0034763C"/>
    <w:rsid w:val="00347874"/>
    <w:rsid w:val="00350022"/>
    <w:rsid w:val="003510D1"/>
    <w:rsid w:val="003515C3"/>
    <w:rsid w:val="003517A0"/>
    <w:rsid w:val="003517F9"/>
    <w:rsid w:val="003519E4"/>
    <w:rsid w:val="00351BA9"/>
    <w:rsid w:val="00352731"/>
    <w:rsid w:val="00352E62"/>
    <w:rsid w:val="0035347E"/>
    <w:rsid w:val="00353D3D"/>
    <w:rsid w:val="003543BC"/>
    <w:rsid w:val="00354704"/>
    <w:rsid w:val="00354F64"/>
    <w:rsid w:val="003556E1"/>
    <w:rsid w:val="003558E9"/>
    <w:rsid w:val="0035620E"/>
    <w:rsid w:val="00356694"/>
    <w:rsid w:val="00356990"/>
    <w:rsid w:val="00356BE4"/>
    <w:rsid w:val="00356BFE"/>
    <w:rsid w:val="00356D1E"/>
    <w:rsid w:val="00356FF8"/>
    <w:rsid w:val="00357158"/>
    <w:rsid w:val="003572DF"/>
    <w:rsid w:val="003575BE"/>
    <w:rsid w:val="00357773"/>
    <w:rsid w:val="003579D1"/>
    <w:rsid w:val="00360136"/>
    <w:rsid w:val="00360345"/>
    <w:rsid w:val="003605B8"/>
    <w:rsid w:val="00360AC0"/>
    <w:rsid w:val="00360EA4"/>
    <w:rsid w:val="00360EF2"/>
    <w:rsid w:val="00361914"/>
    <w:rsid w:val="00361A05"/>
    <w:rsid w:val="00361CFC"/>
    <w:rsid w:val="0036211A"/>
    <w:rsid w:val="003624C4"/>
    <w:rsid w:val="00362718"/>
    <w:rsid w:val="00362B34"/>
    <w:rsid w:val="0036305B"/>
    <w:rsid w:val="00363179"/>
    <w:rsid w:val="00363347"/>
    <w:rsid w:val="0036348A"/>
    <w:rsid w:val="00363B00"/>
    <w:rsid w:val="003648F4"/>
    <w:rsid w:val="003654AC"/>
    <w:rsid w:val="00366192"/>
    <w:rsid w:val="003664BB"/>
    <w:rsid w:val="003665F4"/>
    <w:rsid w:val="00366B3E"/>
    <w:rsid w:val="00366C3C"/>
    <w:rsid w:val="00366CBB"/>
    <w:rsid w:val="0036715B"/>
    <w:rsid w:val="003672A6"/>
    <w:rsid w:val="0036731F"/>
    <w:rsid w:val="00367376"/>
    <w:rsid w:val="003676A7"/>
    <w:rsid w:val="00367C13"/>
    <w:rsid w:val="0037001D"/>
    <w:rsid w:val="003710CF"/>
    <w:rsid w:val="00371304"/>
    <w:rsid w:val="003722B0"/>
    <w:rsid w:val="003722E7"/>
    <w:rsid w:val="003728E7"/>
    <w:rsid w:val="00372972"/>
    <w:rsid w:val="00372BC6"/>
    <w:rsid w:val="003731F1"/>
    <w:rsid w:val="0037358A"/>
    <w:rsid w:val="00373ACC"/>
    <w:rsid w:val="003740DB"/>
    <w:rsid w:val="00374444"/>
    <w:rsid w:val="00374CCE"/>
    <w:rsid w:val="003750F6"/>
    <w:rsid w:val="00375348"/>
    <w:rsid w:val="003758A6"/>
    <w:rsid w:val="00375937"/>
    <w:rsid w:val="00375B60"/>
    <w:rsid w:val="00375C54"/>
    <w:rsid w:val="00375C61"/>
    <w:rsid w:val="00375FDB"/>
    <w:rsid w:val="003760FC"/>
    <w:rsid w:val="003763B0"/>
    <w:rsid w:val="00376868"/>
    <w:rsid w:val="00376ADA"/>
    <w:rsid w:val="00376BE3"/>
    <w:rsid w:val="00376EB1"/>
    <w:rsid w:val="00377276"/>
    <w:rsid w:val="00377C93"/>
    <w:rsid w:val="00377DB3"/>
    <w:rsid w:val="003810E7"/>
    <w:rsid w:val="0038114E"/>
    <w:rsid w:val="00381808"/>
    <w:rsid w:val="00381EE1"/>
    <w:rsid w:val="00382772"/>
    <w:rsid w:val="00382E84"/>
    <w:rsid w:val="00382ED8"/>
    <w:rsid w:val="00382FE0"/>
    <w:rsid w:val="0038365C"/>
    <w:rsid w:val="0038369B"/>
    <w:rsid w:val="00383878"/>
    <w:rsid w:val="00383B5E"/>
    <w:rsid w:val="00383B78"/>
    <w:rsid w:val="0038418B"/>
    <w:rsid w:val="003841EE"/>
    <w:rsid w:val="00384682"/>
    <w:rsid w:val="00384C31"/>
    <w:rsid w:val="00384DBB"/>
    <w:rsid w:val="003850F6"/>
    <w:rsid w:val="00385301"/>
    <w:rsid w:val="00385A9D"/>
    <w:rsid w:val="003864C0"/>
    <w:rsid w:val="003865CE"/>
    <w:rsid w:val="00386A78"/>
    <w:rsid w:val="00387121"/>
    <w:rsid w:val="003900CD"/>
    <w:rsid w:val="003902B1"/>
    <w:rsid w:val="00390D30"/>
    <w:rsid w:val="0039179C"/>
    <w:rsid w:val="00391ACF"/>
    <w:rsid w:val="00391F86"/>
    <w:rsid w:val="0039257D"/>
    <w:rsid w:val="00392A9F"/>
    <w:rsid w:val="00392C67"/>
    <w:rsid w:val="0039317F"/>
    <w:rsid w:val="0039361A"/>
    <w:rsid w:val="003936FF"/>
    <w:rsid w:val="00393966"/>
    <w:rsid w:val="00394381"/>
    <w:rsid w:val="003945F7"/>
    <w:rsid w:val="00394ECA"/>
    <w:rsid w:val="00394F84"/>
    <w:rsid w:val="003950AB"/>
    <w:rsid w:val="00395991"/>
    <w:rsid w:val="00395CD1"/>
    <w:rsid w:val="0039631A"/>
    <w:rsid w:val="00396896"/>
    <w:rsid w:val="00396FD0"/>
    <w:rsid w:val="00397440"/>
    <w:rsid w:val="003978BF"/>
    <w:rsid w:val="00397946"/>
    <w:rsid w:val="003A08B4"/>
    <w:rsid w:val="003A0C90"/>
    <w:rsid w:val="003A0DB7"/>
    <w:rsid w:val="003A124C"/>
    <w:rsid w:val="003A14F8"/>
    <w:rsid w:val="003A175D"/>
    <w:rsid w:val="003A1A7A"/>
    <w:rsid w:val="003A20BD"/>
    <w:rsid w:val="003A2392"/>
    <w:rsid w:val="003A2505"/>
    <w:rsid w:val="003A2526"/>
    <w:rsid w:val="003A2831"/>
    <w:rsid w:val="003A2A88"/>
    <w:rsid w:val="003A343E"/>
    <w:rsid w:val="003A3711"/>
    <w:rsid w:val="003A3807"/>
    <w:rsid w:val="003A3CB6"/>
    <w:rsid w:val="003A3ED1"/>
    <w:rsid w:val="003A44DB"/>
    <w:rsid w:val="003A48D2"/>
    <w:rsid w:val="003A4B24"/>
    <w:rsid w:val="003A4C14"/>
    <w:rsid w:val="003A4D72"/>
    <w:rsid w:val="003A4EAB"/>
    <w:rsid w:val="003A511B"/>
    <w:rsid w:val="003A5850"/>
    <w:rsid w:val="003A60C1"/>
    <w:rsid w:val="003A616A"/>
    <w:rsid w:val="003A664D"/>
    <w:rsid w:val="003A6904"/>
    <w:rsid w:val="003A6BB2"/>
    <w:rsid w:val="003A7392"/>
    <w:rsid w:val="003A7850"/>
    <w:rsid w:val="003B0271"/>
    <w:rsid w:val="003B0945"/>
    <w:rsid w:val="003B0BC8"/>
    <w:rsid w:val="003B0CB8"/>
    <w:rsid w:val="003B116C"/>
    <w:rsid w:val="003B1447"/>
    <w:rsid w:val="003B14D7"/>
    <w:rsid w:val="003B1E91"/>
    <w:rsid w:val="003B2154"/>
    <w:rsid w:val="003B2461"/>
    <w:rsid w:val="003B2D5D"/>
    <w:rsid w:val="003B3088"/>
    <w:rsid w:val="003B38AC"/>
    <w:rsid w:val="003B38B8"/>
    <w:rsid w:val="003B3971"/>
    <w:rsid w:val="003B39AE"/>
    <w:rsid w:val="003B46F8"/>
    <w:rsid w:val="003B4856"/>
    <w:rsid w:val="003B55D1"/>
    <w:rsid w:val="003B5B61"/>
    <w:rsid w:val="003B5D38"/>
    <w:rsid w:val="003B7910"/>
    <w:rsid w:val="003C0D19"/>
    <w:rsid w:val="003C10A7"/>
    <w:rsid w:val="003C10BE"/>
    <w:rsid w:val="003C14EB"/>
    <w:rsid w:val="003C1654"/>
    <w:rsid w:val="003C175C"/>
    <w:rsid w:val="003C1802"/>
    <w:rsid w:val="003C195A"/>
    <w:rsid w:val="003C1AB2"/>
    <w:rsid w:val="003C1BF9"/>
    <w:rsid w:val="003C1F27"/>
    <w:rsid w:val="003C2DA0"/>
    <w:rsid w:val="003C2F6F"/>
    <w:rsid w:val="003C2FBB"/>
    <w:rsid w:val="003C3390"/>
    <w:rsid w:val="003C35F6"/>
    <w:rsid w:val="003C391C"/>
    <w:rsid w:val="003C42D1"/>
    <w:rsid w:val="003C4385"/>
    <w:rsid w:val="003C45B2"/>
    <w:rsid w:val="003C53B4"/>
    <w:rsid w:val="003C5542"/>
    <w:rsid w:val="003C6353"/>
    <w:rsid w:val="003C6893"/>
    <w:rsid w:val="003C6BFC"/>
    <w:rsid w:val="003C6E55"/>
    <w:rsid w:val="003C70C3"/>
    <w:rsid w:val="003C7C15"/>
    <w:rsid w:val="003C7D19"/>
    <w:rsid w:val="003C7D2F"/>
    <w:rsid w:val="003D0081"/>
    <w:rsid w:val="003D008F"/>
    <w:rsid w:val="003D0247"/>
    <w:rsid w:val="003D0537"/>
    <w:rsid w:val="003D06F2"/>
    <w:rsid w:val="003D0B5D"/>
    <w:rsid w:val="003D0BAB"/>
    <w:rsid w:val="003D0C5A"/>
    <w:rsid w:val="003D1828"/>
    <w:rsid w:val="003D1C35"/>
    <w:rsid w:val="003D1DE4"/>
    <w:rsid w:val="003D1E75"/>
    <w:rsid w:val="003D1E9A"/>
    <w:rsid w:val="003D2422"/>
    <w:rsid w:val="003D2DA4"/>
    <w:rsid w:val="003D3138"/>
    <w:rsid w:val="003D39A1"/>
    <w:rsid w:val="003D3FBF"/>
    <w:rsid w:val="003D40D1"/>
    <w:rsid w:val="003D419D"/>
    <w:rsid w:val="003D489B"/>
    <w:rsid w:val="003D4983"/>
    <w:rsid w:val="003D4A30"/>
    <w:rsid w:val="003D4D80"/>
    <w:rsid w:val="003D5123"/>
    <w:rsid w:val="003D5875"/>
    <w:rsid w:val="003D5888"/>
    <w:rsid w:val="003D5CD4"/>
    <w:rsid w:val="003D5E12"/>
    <w:rsid w:val="003D6594"/>
    <w:rsid w:val="003D66D1"/>
    <w:rsid w:val="003D67D5"/>
    <w:rsid w:val="003D6864"/>
    <w:rsid w:val="003D68C1"/>
    <w:rsid w:val="003D714F"/>
    <w:rsid w:val="003D71EB"/>
    <w:rsid w:val="003D7452"/>
    <w:rsid w:val="003D79BB"/>
    <w:rsid w:val="003D7C98"/>
    <w:rsid w:val="003D7D9D"/>
    <w:rsid w:val="003D7ECA"/>
    <w:rsid w:val="003E0018"/>
    <w:rsid w:val="003E02E3"/>
    <w:rsid w:val="003E0543"/>
    <w:rsid w:val="003E0724"/>
    <w:rsid w:val="003E132D"/>
    <w:rsid w:val="003E1383"/>
    <w:rsid w:val="003E1D84"/>
    <w:rsid w:val="003E1E22"/>
    <w:rsid w:val="003E223C"/>
    <w:rsid w:val="003E2678"/>
    <w:rsid w:val="003E2D34"/>
    <w:rsid w:val="003E3216"/>
    <w:rsid w:val="003E3367"/>
    <w:rsid w:val="003E3645"/>
    <w:rsid w:val="003E397E"/>
    <w:rsid w:val="003E399E"/>
    <w:rsid w:val="003E3FB4"/>
    <w:rsid w:val="003E43A0"/>
    <w:rsid w:val="003E46B5"/>
    <w:rsid w:val="003E46BD"/>
    <w:rsid w:val="003E48DF"/>
    <w:rsid w:val="003E4C08"/>
    <w:rsid w:val="003E4EA2"/>
    <w:rsid w:val="003E50DD"/>
    <w:rsid w:val="003E5245"/>
    <w:rsid w:val="003E5603"/>
    <w:rsid w:val="003E5FC7"/>
    <w:rsid w:val="003E622D"/>
    <w:rsid w:val="003E6A71"/>
    <w:rsid w:val="003E70B8"/>
    <w:rsid w:val="003E7422"/>
    <w:rsid w:val="003E744E"/>
    <w:rsid w:val="003E747C"/>
    <w:rsid w:val="003E749E"/>
    <w:rsid w:val="003E7590"/>
    <w:rsid w:val="003E7C44"/>
    <w:rsid w:val="003EE236"/>
    <w:rsid w:val="003F017C"/>
    <w:rsid w:val="003F058C"/>
    <w:rsid w:val="003F0AAE"/>
    <w:rsid w:val="003F1AA4"/>
    <w:rsid w:val="003F1EF9"/>
    <w:rsid w:val="003F2C10"/>
    <w:rsid w:val="003F3B26"/>
    <w:rsid w:val="003F3F49"/>
    <w:rsid w:val="003F3F82"/>
    <w:rsid w:val="003F4156"/>
    <w:rsid w:val="003F46B4"/>
    <w:rsid w:val="003F4A05"/>
    <w:rsid w:val="003F4AA6"/>
    <w:rsid w:val="003F5590"/>
    <w:rsid w:val="003F57F5"/>
    <w:rsid w:val="003F5A99"/>
    <w:rsid w:val="003F5ADF"/>
    <w:rsid w:val="003F6231"/>
    <w:rsid w:val="003F6792"/>
    <w:rsid w:val="003F6937"/>
    <w:rsid w:val="003F735A"/>
    <w:rsid w:val="003F77E9"/>
    <w:rsid w:val="003F7D0A"/>
    <w:rsid w:val="003F7DB4"/>
    <w:rsid w:val="00400323"/>
    <w:rsid w:val="00400855"/>
    <w:rsid w:val="00400B29"/>
    <w:rsid w:val="00400B87"/>
    <w:rsid w:val="00400FEB"/>
    <w:rsid w:val="00401F84"/>
    <w:rsid w:val="00402758"/>
    <w:rsid w:val="00402812"/>
    <w:rsid w:val="004029F1"/>
    <w:rsid w:val="00403EB6"/>
    <w:rsid w:val="00403ED5"/>
    <w:rsid w:val="00403F11"/>
    <w:rsid w:val="00404B7E"/>
    <w:rsid w:val="0040504B"/>
    <w:rsid w:val="004052AC"/>
    <w:rsid w:val="004052F9"/>
    <w:rsid w:val="004059F4"/>
    <w:rsid w:val="00406203"/>
    <w:rsid w:val="00406E98"/>
    <w:rsid w:val="004079BD"/>
    <w:rsid w:val="00407FE5"/>
    <w:rsid w:val="004101B0"/>
    <w:rsid w:val="00410326"/>
    <w:rsid w:val="00410708"/>
    <w:rsid w:val="004109CE"/>
    <w:rsid w:val="00410C02"/>
    <w:rsid w:val="00410E1C"/>
    <w:rsid w:val="00410EC7"/>
    <w:rsid w:val="00411076"/>
    <w:rsid w:val="00411306"/>
    <w:rsid w:val="00411612"/>
    <w:rsid w:val="00411AD6"/>
    <w:rsid w:val="00411B39"/>
    <w:rsid w:val="00411BDB"/>
    <w:rsid w:val="00411EA6"/>
    <w:rsid w:val="0041211C"/>
    <w:rsid w:val="00412501"/>
    <w:rsid w:val="004127A7"/>
    <w:rsid w:val="004128F3"/>
    <w:rsid w:val="004129F2"/>
    <w:rsid w:val="004129F8"/>
    <w:rsid w:val="00412B4C"/>
    <w:rsid w:val="00412C00"/>
    <w:rsid w:val="00412DAB"/>
    <w:rsid w:val="0041306A"/>
    <w:rsid w:val="004134A0"/>
    <w:rsid w:val="004136CF"/>
    <w:rsid w:val="00413A1E"/>
    <w:rsid w:val="00413FD8"/>
    <w:rsid w:val="00414064"/>
    <w:rsid w:val="00414476"/>
    <w:rsid w:val="00414497"/>
    <w:rsid w:val="00414692"/>
    <w:rsid w:val="00414C2E"/>
    <w:rsid w:val="004151CF"/>
    <w:rsid w:val="004151EA"/>
    <w:rsid w:val="00415218"/>
    <w:rsid w:val="00415AAA"/>
    <w:rsid w:val="00415DC3"/>
    <w:rsid w:val="00415DE8"/>
    <w:rsid w:val="0041614B"/>
    <w:rsid w:val="0041625B"/>
    <w:rsid w:val="004162AB"/>
    <w:rsid w:val="00416364"/>
    <w:rsid w:val="00416A9F"/>
    <w:rsid w:val="00416C8E"/>
    <w:rsid w:val="00417024"/>
    <w:rsid w:val="00420228"/>
    <w:rsid w:val="004203E3"/>
    <w:rsid w:val="0042047F"/>
    <w:rsid w:val="004207CC"/>
    <w:rsid w:val="00420AA6"/>
    <w:rsid w:val="00420B9F"/>
    <w:rsid w:val="00420D90"/>
    <w:rsid w:val="00421152"/>
    <w:rsid w:val="004217A7"/>
    <w:rsid w:val="0042192C"/>
    <w:rsid w:val="00422260"/>
    <w:rsid w:val="00422980"/>
    <w:rsid w:val="004231BD"/>
    <w:rsid w:val="00423BA5"/>
    <w:rsid w:val="0042413F"/>
    <w:rsid w:val="0042447B"/>
    <w:rsid w:val="0042575F"/>
    <w:rsid w:val="004259AA"/>
    <w:rsid w:val="004259FF"/>
    <w:rsid w:val="00425A5E"/>
    <w:rsid w:val="004260AB"/>
    <w:rsid w:val="00426702"/>
    <w:rsid w:val="004268F8"/>
    <w:rsid w:val="00427781"/>
    <w:rsid w:val="00427EDC"/>
    <w:rsid w:val="00427F91"/>
    <w:rsid w:val="0043046B"/>
    <w:rsid w:val="00430C64"/>
    <w:rsid w:val="004316A3"/>
    <w:rsid w:val="00431941"/>
    <w:rsid w:val="004319F8"/>
    <w:rsid w:val="00431BBC"/>
    <w:rsid w:val="00431E55"/>
    <w:rsid w:val="00431E82"/>
    <w:rsid w:val="004321F6"/>
    <w:rsid w:val="004328D7"/>
    <w:rsid w:val="00432A3D"/>
    <w:rsid w:val="00433044"/>
    <w:rsid w:val="00433583"/>
    <w:rsid w:val="00433688"/>
    <w:rsid w:val="004336A8"/>
    <w:rsid w:val="00433764"/>
    <w:rsid w:val="004338B0"/>
    <w:rsid w:val="00433AA9"/>
    <w:rsid w:val="00434088"/>
    <w:rsid w:val="00434758"/>
    <w:rsid w:val="0043488B"/>
    <w:rsid w:val="00434A49"/>
    <w:rsid w:val="00435A51"/>
    <w:rsid w:val="00435D14"/>
    <w:rsid w:val="00435FC4"/>
    <w:rsid w:val="00436C96"/>
    <w:rsid w:val="00436E87"/>
    <w:rsid w:val="004375B9"/>
    <w:rsid w:val="00437A05"/>
    <w:rsid w:val="00437F55"/>
    <w:rsid w:val="00437FA3"/>
    <w:rsid w:val="004400AE"/>
    <w:rsid w:val="00440B66"/>
    <w:rsid w:val="004410E5"/>
    <w:rsid w:val="004421EC"/>
    <w:rsid w:val="004423B3"/>
    <w:rsid w:val="00442747"/>
    <w:rsid w:val="004428D0"/>
    <w:rsid w:val="004434F4"/>
    <w:rsid w:val="00443769"/>
    <w:rsid w:val="00443ECE"/>
    <w:rsid w:val="00444185"/>
    <w:rsid w:val="004443A7"/>
    <w:rsid w:val="0044442C"/>
    <w:rsid w:val="00445608"/>
    <w:rsid w:val="00445941"/>
    <w:rsid w:val="00445993"/>
    <w:rsid w:val="00445ACB"/>
    <w:rsid w:val="00445E10"/>
    <w:rsid w:val="00445F0E"/>
    <w:rsid w:val="004464EB"/>
    <w:rsid w:val="004465EA"/>
    <w:rsid w:val="00446A5D"/>
    <w:rsid w:val="00446EF2"/>
    <w:rsid w:val="00447403"/>
    <w:rsid w:val="00447759"/>
    <w:rsid w:val="00447BDC"/>
    <w:rsid w:val="00447C82"/>
    <w:rsid w:val="00447D26"/>
    <w:rsid w:val="00447DFC"/>
    <w:rsid w:val="00450E94"/>
    <w:rsid w:val="00451D1F"/>
    <w:rsid w:val="0045213C"/>
    <w:rsid w:val="004526C3"/>
    <w:rsid w:val="00452BAA"/>
    <w:rsid w:val="00453865"/>
    <w:rsid w:val="00453A3C"/>
    <w:rsid w:val="00453C24"/>
    <w:rsid w:val="00453EF9"/>
    <w:rsid w:val="0045433A"/>
    <w:rsid w:val="00454860"/>
    <w:rsid w:val="00454921"/>
    <w:rsid w:val="00454966"/>
    <w:rsid w:val="00455A78"/>
    <w:rsid w:val="00455D45"/>
    <w:rsid w:val="00455EF0"/>
    <w:rsid w:val="00455F39"/>
    <w:rsid w:val="00457069"/>
    <w:rsid w:val="0045721F"/>
    <w:rsid w:val="0045767C"/>
    <w:rsid w:val="00460170"/>
    <w:rsid w:val="0046020D"/>
    <w:rsid w:val="004602B4"/>
    <w:rsid w:val="00461262"/>
    <w:rsid w:val="00461429"/>
    <w:rsid w:val="004614A9"/>
    <w:rsid w:val="00462AF3"/>
    <w:rsid w:val="004636F1"/>
    <w:rsid w:val="004637EF"/>
    <w:rsid w:val="00463892"/>
    <w:rsid w:val="00463B48"/>
    <w:rsid w:val="00463DDA"/>
    <w:rsid w:val="00464595"/>
    <w:rsid w:val="00464FB0"/>
    <w:rsid w:val="004658B5"/>
    <w:rsid w:val="00465BC0"/>
    <w:rsid w:val="00465DF6"/>
    <w:rsid w:val="0046650B"/>
    <w:rsid w:val="0046682C"/>
    <w:rsid w:val="004673CC"/>
    <w:rsid w:val="00467B0D"/>
    <w:rsid w:val="00467CE4"/>
    <w:rsid w:val="00467D36"/>
    <w:rsid w:val="00467D78"/>
    <w:rsid w:val="0047021A"/>
    <w:rsid w:val="00470927"/>
    <w:rsid w:val="00470954"/>
    <w:rsid w:val="004713BA"/>
    <w:rsid w:val="004715C4"/>
    <w:rsid w:val="00471EA5"/>
    <w:rsid w:val="004721FE"/>
    <w:rsid w:val="004722AD"/>
    <w:rsid w:val="00472366"/>
    <w:rsid w:val="004729B7"/>
    <w:rsid w:val="00472A79"/>
    <w:rsid w:val="00472CBF"/>
    <w:rsid w:val="00472D3A"/>
    <w:rsid w:val="00472E24"/>
    <w:rsid w:val="00473BB6"/>
    <w:rsid w:val="00473E3B"/>
    <w:rsid w:val="00473F19"/>
    <w:rsid w:val="004749BA"/>
    <w:rsid w:val="00475107"/>
    <w:rsid w:val="00475E22"/>
    <w:rsid w:val="00476740"/>
    <w:rsid w:val="00476A74"/>
    <w:rsid w:val="00476B4C"/>
    <w:rsid w:val="00476D52"/>
    <w:rsid w:val="00476F81"/>
    <w:rsid w:val="0047744A"/>
    <w:rsid w:val="004774E9"/>
    <w:rsid w:val="00477508"/>
    <w:rsid w:val="00477F43"/>
    <w:rsid w:val="00480451"/>
    <w:rsid w:val="0048088E"/>
    <w:rsid w:val="00480C5A"/>
    <w:rsid w:val="00480F2B"/>
    <w:rsid w:val="00480F2D"/>
    <w:rsid w:val="004814EE"/>
    <w:rsid w:val="00481D03"/>
    <w:rsid w:val="0048260A"/>
    <w:rsid w:val="00482720"/>
    <w:rsid w:val="0048283A"/>
    <w:rsid w:val="00482F85"/>
    <w:rsid w:val="00482FE1"/>
    <w:rsid w:val="004835E7"/>
    <w:rsid w:val="00483BFC"/>
    <w:rsid w:val="004840EF"/>
    <w:rsid w:val="0048449A"/>
    <w:rsid w:val="00484609"/>
    <w:rsid w:val="00484E98"/>
    <w:rsid w:val="004858BD"/>
    <w:rsid w:val="004859E1"/>
    <w:rsid w:val="00485CC6"/>
    <w:rsid w:val="00486501"/>
    <w:rsid w:val="00486598"/>
    <w:rsid w:val="004865A3"/>
    <w:rsid w:val="004867E2"/>
    <w:rsid w:val="00486DB0"/>
    <w:rsid w:val="00486F6D"/>
    <w:rsid w:val="004872B8"/>
    <w:rsid w:val="0048735B"/>
    <w:rsid w:val="004905F2"/>
    <w:rsid w:val="00490B17"/>
    <w:rsid w:val="00491114"/>
    <w:rsid w:val="00491B3A"/>
    <w:rsid w:val="00491FF7"/>
    <w:rsid w:val="00492026"/>
    <w:rsid w:val="004927FF"/>
    <w:rsid w:val="00492CFD"/>
    <w:rsid w:val="00492D68"/>
    <w:rsid w:val="00492E6B"/>
    <w:rsid w:val="00493659"/>
    <w:rsid w:val="00493ADB"/>
    <w:rsid w:val="00493C5E"/>
    <w:rsid w:val="00493F08"/>
    <w:rsid w:val="00494207"/>
    <w:rsid w:val="00494729"/>
    <w:rsid w:val="00494862"/>
    <w:rsid w:val="00494DD5"/>
    <w:rsid w:val="0049503B"/>
    <w:rsid w:val="004953C3"/>
    <w:rsid w:val="00495674"/>
    <w:rsid w:val="004956AC"/>
    <w:rsid w:val="00495A19"/>
    <w:rsid w:val="00495DDA"/>
    <w:rsid w:val="00495EB5"/>
    <w:rsid w:val="004962D2"/>
    <w:rsid w:val="004969B2"/>
    <w:rsid w:val="00496A3F"/>
    <w:rsid w:val="00496B5D"/>
    <w:rsid w:val="00496DD3"/>
    <w:rsid w:val="00496DD5"/>
    <w:rsid w:val="0049716A"/>
    <w:rsid w:val="00497395"/>
    <w:rsid w:val="00497477"/>
    <w:rsid w:val="00497F29"/>
    <w:rsid w:val="00497F33"/>
    <w:rsid w:val="004A00B4"/>
    <w:rsid w:val="004A09E0"/>
    <w:rsid w:val="004A0B19"/>
    <w:rsid w:val="004A0B1F"/>
    <w:rsid w:val="004A0D4A"/>
    <w:rsid w:val="004A0DA1"/>
    <w:rsid w:val="004A13D6"/>
    <w:rsid w:val="004A1C4E"/>
    <w:rsid w:val="004A20B0"/>
    <w:rsid w:val="004A221A"/>
    <w:rsid w:val="004A2350"/>
    <w:rsid w:val="004A23B5"/>
    <w:rsid w:val="004A2586"/>
    <w:rsid w:val="004A2EC1"/>
    <w:rsid w:val="004A331B"/>
    <w:rsid w:val="004A35C9"/>
    <w:rsid w:val="004A374B"/>
    <w:rsid w:val="004A3DD9"/>
    <w:rsid w:val="004A3E63"/>
    <w:rsid w:val="004A40E4"/>
    <w:rsid w:val="004A4291"/>
    <w:rsid w:val="004A429B"/>
    <w:rsid w:val="004A4B97"/>
    <w:rsid w:val="004A4F39"/>
    <w:rsid w:val="004A4FD5"/>
    <w:rsid w:val="004A5255"/>
    <w:rsid w:val="004A52E9"/>
    <w:rsid w:val="004A6040"/>
    <w:rsid w:val="004A6113"/>
    <w:rsid w:val="004A6597"/>
    <w:rsid w:val="004A67E5"/>
    <w:rsid w:val="004A7352"/>
    <w:rsid w:val="004A7848"/>
    <w:rsid w:val="004A793B"/>
    <w:rsid w:val="004A7E14"/>
    <w:rsid w:val="004B0407"/>
    <w:rsid w:val="004B085B"/>
    <w:rsid w:val="004B0B72"/>
    <w:rsid w:val="004B0E33"/>
    <w:rsid w:val="004B1088"/>
    <w:rsid w:val="004B19C3"/>
    <w:rsid w:val="004B1CB4"/>
    <w:rsid w:val="004B28E0"/>
    <w:rsid w:val="004B2CD0"/>
    <w:rsid w:val="004B2F18"/>
    <w:rsid w:val="004B3DDB"/>
    <w:rsid w:val="004B3EBB"/>
    <w:rsid w:val="004B3EBE"/>
    <w:rsid w:val="004B44FD"/>
    <w:rsid w:val="004B4568"/>
    <w:rsid w:val="004B45D2"/>
    <w:rsid w:val="004B4FED"/>
    <w:rsid w:val="004B545E"/>
    <w:rsid w:val="004B564B"/>
    <w:rsid w:val="004B5AE2"/>
    <w:rsid w:val="004B5CFC"/>
    <w:rsid w:val="004B5D1C"/>
    <w:rsid w:val="004B5DC4"/>
    <w:rsid w:val="004B5F8E"/>
    <w:rsid w:val="004B69F0"/>
    <w:rsid w:val="004B6B81"/>
    <w:rsid w:val="004B6BD9"/>
    <w:rsid w:val="004B6F79"/>
    <w:rsid w:val="004B72DE"/>
    <w:rsid w:val="004B7721"/>
    <w:rsid w:val="004B774D"/>
    <w:rsid w:val="004B7814"/>
    <w:rsid w:val="004B7AD8"/>
    <w:rsid w:val="004B7ED5"/>
    <w:rsid w:val="004C0889"/>
    <w:rsid w:val="004C0BF8"/>
    <w:rsid w:val="004C218A"/>
    <w:rsid w:val="004C21D5"/>
    <w:rsid w:val="004C23D8"/>
    <w:rsid w:val="004C2607"/>
    <w:rsid w:val="004C2AC2"/>
    <w:rsid w:val="004C2BC6"/>
    <w:rsid w:val="004C2CDA"/>
    <w:rsid w:val="004C3B02"/>
    <w:rsid w:val="004C40E6"/>
    <w:rsid w:val="004C413D"/>
    <w:rsid w:val="004C4A00"/>
    <w:rsid w:val="004C4AED"/>
    <w:rsid w:val="004C52AB"/>
    <w:rsid w:val="004C52D6"/>
    <w:rsid w:val="004C57AA"/>
    <w:rsid w:val="004C5E6C"/>
    <w:rsid w:val="004C606E"/>
    <w:rsid w:val="004C60A6"/>
    <w:rsid w:val="004C65E9"/>
    <w:rsid w:val="004C660C"/>
    <w:rsid w:val="004C68FE"/>
    <w:rsid w:val="004C6B58"/>
    <w:rsid w:val="004C6B71"/>
    <w:rsid w:val="004C6E4D"/>
    <w:rsid w:val="004C6EBC"/>
    <w:rsid w:val="004C7232"/>
    <w:rsid w:val="004C7F79"/>
    <w:rsid w:val="004D062F"/>
    <w:rsid w:val="004D0DDA"/>
    <w:rsid w:val="004D144A"/>
    <w:rsid w:val="004D1E67"/>
    <w:rsid w:val="004D2C2D"/>
    <w:rsid w:val="004D2F32"/>
    <w:rsid w:val="004D33FF"/>
    <w:rsid w:val="004D3459"/>
    <w:rsid w:val="004D3544"/>
    <w:rsid w:val="004D3C5C"/>
    <w:rsid w:val="004D44C0"/>
    <w:rsid w:val="004D4867"/>
    <w:rsid w:val="004D49F6"/>
    <w:rsid w:val="004D4ED5"/>
    <w:rsid w:val="004D544E"/>
    <w:rsid w:val="004D548E"/>
    <w:rsid w:val="004D5FC6"/>
    <w:rsid w:val="004D61C5"/>
    <w:rsid w:val="004D623E"/>
    <w:rsid w:val="004D6462"/>
    <w:rsid w:val="004D68E8"/>
    <w:rsid w:val="004D68E9"/>
    <w:rsid w:val="004D69B5"/>
    <w:rsid w:val="004D7136"/>
    <w:rsid w:val="004D7227"/>
    <w:rsid w:val="004D73EB"/>
    <w:rsid w:val="004D7433"/>
    <w:rsid w:val="004D7B5E"/>
    <w:rsid w:val="004E0E7F"/>
    <w:rsid w:val="004E0EB8"/>
    <w:rsid w:val="004E0FE9"/>
    <w:rsid w:val="004E18E9"/>
    <w:rsid w:val="004E1BA7"/>
    <w:rsid w:val="004E1C95"/>
    <w:rsid w:val="004E1F1E"/>
    <w:rsid w:val="004E1F90"/>
    <w:rsid w:val="004E2591"/>
    <w:rsid w:val="004E29C4"/>
    <w:rsid w:val="004E2ADC"/>
    <w:rsid w:val="004E2BED"/>
    <w:rsid w:val="004E32CA"/>
    <w:rsid w:val="004E3887"/>
    <w:rsid w:val="004E3C0B"/>
    <w:rsid w:val="004E3DB6"/>
    <w:rsid w:val="004E43B2"/>
    <w:rsid w:val="004E4CE0"/>
    <w:rsid w:val="004E6935"/>
    <w:rsid w:val="004E741B"/>
    <w:rsid w:val="004E741E"/>
    <w:rsid w:val="004E7B58"/>
    <w:rsid w:val="004F0851"/>
    <w:rsid w:val="004F0913"/>
    <w:rsid w:val="004F0969"/>
    <w:rsid w:val="004F0AA2"/>
    <w:rsid w:val="004F0CBF"/>
    <w:rsid w:val="004F166A"/>
    <w:rsid w:val="004F1D02"/>
    <w:rsid w:val="004F20D2"/>
    <w:rsid w:val="004F213F"/>
    <w:rsid w:val="004F2679"/>
    <w:rsid w:val="004F2719"/>
    <w:rsid w:val="004F2B46"/>
    <w:rsid w:val="004F2F21"/>
    <w:rsid w:val="004F3229"/>
    <w:rsid w:val="004F3B9F"/>
    <w:rsid w:val="004F3DE5"/>
    <w:rsid w:val="004F40B6"/>
    <w:rsid w:val="004F418D"/>
    <w:rsid w:val="004F4661"/>
    <w:rsid w:val="004F5C41"/>
    <w:rsid w:val="004F5D30"/>
    <w:rsid w:val="004F5FDC"/>
    <w:rsid w:val="004F6913"/>
    <w:rsid w:val="004F6C71"/>
    <w:rsid w:val="004F7258"/>
    <w:rsid w:val="004F74C6"/>
    <w:rsid w:val="004F7865"/>
    <w:rsid w:val="00500066"/>
    <w:rsid w:val="00500BEA"/>
    <w:rsid w:val="00500DE6"/>
    <w:rsid w:val="00501011"/>
    <w:rsid w:val="0050174E"/>
    <w:rsid w:val="00501854"/>
    <w:rsid w:val="005018A7"/>
    <w:rsid w:val="00501CD2"/>
    <w:rsid w:val="0050203B"/>
    <w:rsid w:val="005020D0"/>
    <w:rsid w:val="0050219B"/>
    <w:rsid w:val="0050226C"/>
    <w:rsid w:val="00502A48"/>
    <w:rsid w:val="00502CDE"/>
    <w:rsid w:val="00502CE2"/>
    <w:rsid w:val="00503031"/>
    <w:rsid w:val="005030CF"/>
    <w:rsid w:val="005034DB"/>
    <w:rsid w:val="00503989"/>
    <w:rsid w:val="005039AC"/>
    <w:rsid w:val="00503AF3"/>
    <w:rsid w:val="00503F17"/>
    <w:rsid w:val="00503F3A"/>
    <w:rsid w:val="00504603"/>
    <w:rsid w:val="005048C8"/>
    <w:rsid w:val="00505571"/>
    <w:rsid w:val="005058CC"/>
    <w:rsid w:val="00505C58"/>
    <w:rsid w:val="00505CBA"/>
    <w:rsid w:val="00505F42"/>
    <w:rsid w:val="00506928"/>
    <w:rsid w:val="00506C48"/>
    <w:rsid w:val="00506E5C"/>
    <w:rsid w:val="00506F31"/>
    <w:rsid w:val="0050745E"/>
    <w:rsid w:val="005077EF"/>
    <w:rsid w:val="00510AFA"/>
    <w:rsid w:val="00510B2C"/>
    <w:rsid w:val="00511006"/>
    <w:rsid w:val="00511A52"/>
    <w:rsid w:val="00511AD5"/>
    <w:rsid w:val="00511D0D"/>
    <w:rsid w:val="00511DC7"/>
    <w:rsid w:val="005120C1"/>
    <w:rsid w:val="005121A1"/>
    <w:rsid w:val="005127B5"/>
    <w:rsid w:val="00512C48"/>
    <w:rsid w:val="00512F1C"/>
    <w:rsid w:val="00513364"/>
    <w:rsid w:val="00513413"/>
    <w:rsid w:val="00513567"/>
    <w:rsid w:val="0051388D"/>
    <w:rsid w:val="00513FDD"/>
    <w:rsid w:val="005142C5"/>
    <w:rsid w:val="00514533"/>
    <w:rsid w:val="00514662"/>
    <w:rsid w:val="00514A01"/>
    <w:rsid w:val="00514B1F"/>
    <w:rsid w:val="0051501B"/>
    <w:rsid w:val="005152B5"/>
    <w:rsid w:val="005153E0"/>
    <w:rsid w:val="00515715"/>
    <w:rsid w:val="00515886"/>
    <w:rsid w:val="00515F3D"/>
    <w:rsid w:val="00516100"/>
    <w:rsid w:val="005161EE"/>
    <w:rsid w:val="00516717"/>
    <w:rsid w:val="005167FD"/>
    <w:rsid w:val="005168CF"/>
    <w:rsid w:val="00516D14"/>
    <w:rsid w:val="00516E97"/>
    <w:rsid w:val="00517756"/>
    <w:rsid w:val="005179B4"/>
    <w:rsid w:val="00517E3B"/>
    <w:rsid w:val="00517ED0"/>
    <w:rsid w:val="00517F71"/>
    <w:rsid w:val="005202A2"/>
    <w:rsid w:val="005208CF"/>
    <w:rsid w:val="0052123C"/>
    <w:rsid w:val="00521319"/>
    <w:rsid w:val="00521D11"/>
    <w:rsid w:val="00521F7C"/>
    <w:rsid w:val="00521F94"/>
    <w:rsid w:val="005221CF"/>
    <w:rsid w:val="00522AEB"/>
    <w:rsid w:val="00522BC8"/>
    <w:rsid w:val="0052364B"/>
    <w:rsid w:val="00523A78"/>
    <w:rsid w:val="00523B51"/>
    <w:rsid w:val="00523C28"/>
    <w:rsid w:val="00523CA6"/>
    <w:rsid w:val="00523EC8"/>
    <w:rsid w:val="00524A05"/>
    <w:rsid w:val="00524DEC"/>
    <w:rsid w:val="00524E54"/>
    <w:rsid w:val="00525E9D"/>
    <w:rsid w:val="00525F6D"/>
    <w:rsid w:val="0052605A"/>
    <w:rsid w:val="00526D1C"/>
    <w:rsid w:val="0052709F"/>
    <w:rsid w:val="005275EE"/>
    <w:rsid w:val="00527818"/>
    <w:rsid w:val="0053008A"/>
    <w:rsid w:val="005301F9"/>
    <w:rsid w:val="00530295"/>
    <w:rsid w:val="00530350"/>
    <w:rsid w:val="005304BA"/>
    <w:rsid w:val="00530AA2"/>
    <w:rsid w:val="00530B4B"/>
    <w:rsid w:val="005315C5"/>
    <w:rsid w:val="0053162E"/>
    <w:rsid w:val="005316F0"/>
    <w:rsid w:val="0053176B"/>
    <w:rsid w:val="005319A5"/>
    <w:rsid w:val="00531B97"/>
    <w:rsid w:val="00532983"/>
    <w:rsid w:val="005332CE"/>
    <w:rsid w:val="005339B7"/>
    <w:rsid w:val="00533FA2"/>
    <w:rsid w:val="005341B3"/>
    <w:rsid w:val="00534CE8"/>
    <w:rsid w:val="00534D73"/>
    <w:rsid w:val="005351C3"/>
    <w:rsid w:val="00535437"/>
    <w:rsid w:val="0053544B"/>
    <w:rsid w:val="00535574"/>
    <w:rsid w:val="005356B5"/>
    <w:rsid w:val="00536722"/>
    <w:rsid w:val="00536EBA"/>
    <w:rsid w:val="00536F42"/>
    <w:rsid w:val="00537182"/>
    <w:rsid w:val="005375F9"/>
    <w:rsid w:val="00537652"/>
    <w:rsid w:val="00537A19"/>
    <w:rsid w:val="00537C00"/>
    <w:rsid w:val="005408AB"/>
    <w:rsid w:val="00540BBB"/>
    <w:rsid w:val="00540E77"/>
    <w:rsid w:val="005412D0"/>
    <w:rsid w:val="00541EC1"/>
    <w:rsid w:val="00541EDD"/>
    <w:rsid w:val="00541F21"/>
    <w:rsid w:val="0054208F"/>
    <w:rsid w:val="005424F0"/>
    <w:rsid w:val="00542743"/>
    <w:rsid w:val="00542C2D"/>
    <w:rsid w:val="0054318A"/>
    <w:rsid w:val="0054375B"/>
    <w:rsid w:val="00544087"/>
    <w:rsid w:val="0054429D"/>
    <w:rsid w:val="005448CB"/>
    <w:rsid w:val="00545765"/>
    <w:rsid w:val="00545B29"/>
    <w:rsid w:val="00546BEB"/>
    <w:rsid w:val="00546CAB"/>
    <w:rsid w:val="00546CB3"/>
    <w:rsid w:val="00546E83"/>
    <w:rsid w:val="00546FBB"/>
    <w:rsid w:val="0054723E"/>
    <w:rsid w:val="005475DC"/>
    <w:rsid w:val="005478BD"/>
    <w:rsid w:val="005479E3"/>
    <w:rsid w:val="00547B0A"/>
    <w:rsid w:val="00547FFD"/>
    <w:rsid w:val="005504E5"/>
    <w:rsid w:val="00550753"/>
    <w:rsid w:val="005512F8"/>
    <w:rsid w:val="0055168D"/>
    <w:rsid w:val="00551985"/>
    <w:rsid w:val="00551B68"/>
    <w:rsid w:val="00551CFB"/>
    <w:rsid w:val="00552238"/>
    <w:rsid w:val="0055258D"/>
    <w:rsid w:val="0055267E"/>
    <w:rsid w:val="00552BD3"/>
    <w:rsid w:val="00552D33"/>
    <w:rsid w:val="00552D5A"/>
    <w:rsid w:val="005532A0"/>
    <w:rsid w:val="00553735"/>
    <w:rsid w:val="00554B95"/>
    <w:rsid w:val="00554F25"/>
    <w:rsid w:val="00554F37"/>
    <w:rsid w:val="00555109"/>
    <w:rsid w:val="0055572E"/>
    <w:rsid w:val="00555831"/>
    <w:rsid w:val="00555A66"/>
    <w:rsid w:val="00556B35"/>
    <w:rsid w:val="00556C25"/>
    <w:rsid w:val="005571E8"/>
    <w:rsid w:val="0055741A"/>
    <w:rsid w:val="005574D1"/>
    <w:rsid w:val="005575CF"/>
    <w:rsid w:val="0055786A"/>
    <w:rsid w:val="0055797F"/>
    <w:rsid w:val="0056077B"/>
    <w:rsid w:val="0056084E"/>
    <w:rsid w:val="005611B7"/>
    <w:rsid w:val="005613E3"/>
    <w:rsid w:val="00561456"/>
    <w:rsid w:val="0056174C"/>
    <w:rsid w:val="005618D4"/>
    <w:rsid w:val="00561C0E"/>
    <w:rsid w:val="00561D62"/>
    <w:rsid w:val="00562813"/>
    <w:rsid w:val="00562904"/>
    <w:rsid w:val="005629D4"/>
    <w:rsid w:val="00563E06"/>
    <w:rsid w:val="00563F15"/>
    <w:rsid w:val="00564035"/>
    <w:rsid w:val="00564711"/>
    <w:rsid w:val="00564867"/>
    <w:rsid w:val="0056503A"/>
    <w:rsid w:val="005658AE"/>
    <w:rsid w:val="00565C79"/>
    <w:rsid w:val="00565DF0"/>
    <w:rsid w:val="00565FBC"/>
    <w:rsid w:val="005664BF"/>
    <w:rsid w:val="0056696F"/>
    <w:rsid w:val="00566DBE"/>
    <w:rsid w:val="00567892"/>
    <w:rsid w:val="0057080F"/>
    <w:rsid w:val="00571055"/>
    <w:rsid w:val="00571532"/>
    <w:rsid w:val="00571B9F"/>
    <w:rsid w:val="00571BBC"/>
    <w:rsid w:val="00572269"/>
    <w:rsid w:val="0057244A"/>
    <w:rsid w:val="00572F13"/>
    <w:rsid w:val="00572F26"/>
    <w:rsid w:val="00572F78"/>
    <w:rsid w:val="00573965"/>
    <w:rsid w:val="00573FF5"/>
    <w:rsid w:val="005744F4"/>
    <w:rsid w:val="00574558"/>
    <w:rsid w:val="005745FA"/>
    <w:rsid w:val="00574B1F"/>
    <w:rsid w:val="005750C5"/>
    <w:rsid w:val="005752DE"/>
    <w:rsid w:val="005753BA"/>
    <w:rsid w:val="00575768"/>
    <w:rsid w:val="00575D60"/>
    <w:rsid w:val="00575D8D"/>
    <w:rsid w:val="00575F50"/>
    <w:rsid w:val="005760C7"/>
    <w:rsid w:val="005765C5"/>
    <w:rsid w:val="00576748"/>
    <w:rsid w:val="00576972"/>
    <w:rsid w:val="00577030"/>
    <w:rsid w:val="00577248"/>
    <w:rsid w:val="005775F9"/>
    <w:rsid w:val="00577942"/>
    <w:rsid w:val="00580686"/>
    <w:rsid w:val="00580ED2"/>
    <w:rsid w:val="00580FFE"/>
    <w:rsid w:val="00581023"/>
    <w:rsid w:val="005819F2"/>
    <w:rsid w:val="00581AD9"/>
    <w:rsid w:val="00581FDD"/>
    <w:rsid w:val="0058211C"/>
    <w:rsid w:val="00582C26"/>
    <w:rsid w:val="00582FD5"/>
    <w:rsid w:val="00583699"/>
    <w:rsid w:val="0058382C"/>
    <w:rsid w:val="0058395C"/>
    <w:rsid w:val="00583D6F"/>
    <w:rsid w:val="0058454D"/>
    <w:rsid w:val="00584698"/>
    <w:rsid w:val="00584EDD"/>
    <w:rsid w:val="00585093"/>
    <w:rsid w:val="00585171"/>
    <w:rsid w:val="00585CDD"/>
    <w:rsid w:val="005866C0"/>
    <w:rsid w:val="00586755"/>
    <w:rsid w:val="00586D20"/>
    <w:rsid w:val="00586EB6"/>
    <w:rsid w:val="00587058"/>
    <w:rsid w:val="005873C5"/>
    <w:rsid w:val="00587B7C"/>
    <w:rsid w:val="00587DA9"/>
    <w:rsid w:val="005901D5"/>
    <w:rsid w:val="005904DD"/>
    <w:rsid w:val="00590B49"/>
    <w:rsid w:val="00591197"/>
    <w:rsid w:val="00591957"/>
    <w:rsid w:val="00591E11"/>
    <w:rsid w:val="00592064"/>
    <w:rsid w:val="005922A3"/>
    <w:rsid w:val="00592FA5"/>
    <w:rsid w:val="00593123"/>
    <w:rsid w:val="0059399A"/>
    <w:rsid w:val="005939E9"/>
    <w:rsid w:val="00593A97"/>
    <w:rsid w:val="00593C4E"/>
    <w:rsid w:val="005949E8"/>
    <w:rsid w:val="00594D97"/>
    <w:rsid w:val="0059534A"/>
    <w:rsid w:val="00595402"/>
    <w:rsid w:val="00595CA0"/>
    <w:rsid w:val="00595E5E"/>
    <w:rsid w:val="00596006"/>
    <w:rsid w:val="0059660A"/>
    <w:rsid w:val="0059664B"/>
    <w:rsid w:val="00596991"/>
    <w:rsid w:val="005975DC"/>
    <w:rsid w:val="00597BF9"/>
    <w:rsid w:val="005A00F8"/>
    <w:rsid w:val="005A04F3"/>
    <w:rsid w:val="005A0C11"/>
    <w:rsid w:val="005A0F4A"/>
    <w:rsid w:val="005A12E3"/>
    <w:rsid w:val="005A1B2F"/>
    <w:rsid w:val="005A1C89"/>
    <w:rsid w:val="005A1E49"/>
    <w:rsid w:val="005A2207"/>
    <w:rsid w:val="005A236B"/>
    <w:rsid w:val="005A2B9D"/>
    <w:rsid w:val="005A309A"/>
    <w:rsid w:val="005A317A"/>
    <w:rsid w:val="005A373D"/>
    <w:rsid w:val="005A399D"/>
    <w:rsid w:val="005A3AEE"/>
    <w:rsid w:val="005A3E3C"/>
    <w:rsid w:val="005A4047"/>
    <w:rsid w:val="005A4181"/>
    <w:rsid w:val="005A5239"/>
    <w:rsid w:val="005A56C5"/>
    <w:rsid w:val="005A59F0"/>
    <w:rsid w:val="005A6070"/>
    <w:rsid w:val="005A6202"/>
    <w:rsid w:val="005A6631"/>
    <w:rsid w:val="005A6D30"/>
    <w:rsid w:val="005A711A"/>
    <w:rsid w:val="005A723A"/>
    <w:rsid w:val="005A743F"/>
    <w:rsid w:val="005A7856"/>
    <w:rsid w:val="005A7B68"/>
    <w:rsid w:val="005B0244"/>
    <w:rsid w:val="005B02FC"/>
    <w:rsid w:val="005B058D"/>
    <w:rsid w:val="005B0624"/>
    <w:rsid w:val="005B081F"/>
    <w:rsid w:val="005B0B58"/>
    <w:rsid w:val="005B0D8B"/>
    <w:rsid w:val="005B0E56"/>
    <w:rsid w:val="005B0F23"/>
    <w:rsid w:val="005B1296"/>
    <w:rsid w:val="005B177F"/>
    <w:rsid w:val="005B1AD2"/>
    <w:rsid w:val="005B1E06"/>
    <w:rsid w:val="005B2187"/>
    <w:rsid w:val="005B238F"/>
    <w:rsid w:val="005B23A9"/>
    <w:rsid w:val="005B26D7"/>
    <w:rsid w:val="005B2A43"/>
    <w:rsid w:val="005B3F39"/>
    <w:rsid w:val="005B4089"/>
    <w:rsid w:val="005B42B9"/>
    <w:rsid w:val="005B4E53"/>
    <w:rsid w:val="005B4FF6"/>
    <w:rsid w:val="005B5857"/>
    <w:rsid w:val="005B59BD"/>
    <w:rsid w:val="005B5E17"/>
    <w:rsid w:val="005B60D0"/>
    <w:rsid w:val="005B6899"/>
    <w:rsid w:val="005B6E8D"/>
    <w:rsid w:val="005B744F"/>
    <w:rsid w:val="005B7D09"/>
    <w:rsid w:val="005B7E69"/>
    <w:rsid w:val="005C01F1"/>
    <w:rsid w:val="005C131E"/>
    <w:rsid w:val="005C19C4"/>
    <w:rsid w:val="005C1B83"/>
    <w:rsid w:val="005C1CC5"/>
    <w:rsid w:val="005C2412"/>
    <w:rsid w:val="005C25FF"/>
    <w:rsid w:val="005C2BF4"/>
    <w:rsid w:val="005C2D55"/>
    <w:rsid w:val="005C3051"/>
    <w:rsid w:val="005C346B"/>
    <w:rsid w:val="005C46DF"/>
    <w:rsid w:val="005C478E"/>
    <w:rsid w:val="005C4D16"/>
    <w:rsid w:val="005C4EC1"/>
    <w:rsid w:val="005C4FC6"/>
    <w:rsid w:val="005C5133"/>
    <w:rsid w:val="005C5316"/>
    <w:rsid w:val="005C5ABC"/>
    <w:rsid w:val="005C5BE9"/>
    <w:rsid w:val="005C5EB4"/>
    <w:rsid w:val="005C639E"/>
    <w:rsid w:val="005C65F2"/>
    <w:rsid w:val="005C6992"/>
    <w:rsid w:val="005C69E4"/>
    <w:rsid w:val="005C783D"/>
    <w:rsid w:val="005D03E6"/>
    <w:rsid w:val="005D044D"/>
    <w:rsid w:val="005D0886"/>
    <w:rsid w:val="005D0ABD"/>
    <w:rsid w:val="005D0B63"/>
    <w:rsid w:val="005D0F68"/>
    <w:rsid w:val="005D10D2"/>
    <w:rsid w:val="005D12AE"/>
    <w:rsid w:val="005D18AD"/>
    <w:rsid w:val="005D1E06"/>
    <w:rsid w:val="005D2019"/>
    <w:rsid w:val="005D2561"/>
    <w:rsid w:val="005D26B4"/>
    <w:rsid w:val="005D30AC"/>
    <w:rsid w:val="005D3692"/>
    <w:rsid w:val="005D3BB2"/>
    <w:rsid w:val="005D3D0E"/>
    <w:rsid w:val="005D3DC5"/>
    <w:rsid w:val="005D4D19"/>
    <w:rsid w:val="005D4D6A"/>
    <w:rsid w:val="005D51CC"/>
    <w:rsid w:val="005D59EF"/>
    <w:rsid w:val="005D6307"/>
    <w:rsid w:val="005D660C"/>
    <w:rsid w:val="005D676B"/>
    <w:rsid w:val="005D67A2"/>
    <w:rsid w:val="005D6CC1"/>
    <w:rsid w:val="005D7F96"/>
    <w:rsid w:val="005E01A6"/>
    <w:rsid w:val="005E03A3"/>
    <w:rsid w:val="005E03D4"/>
    <w:rsid w:val="005E08C8"/>
    <w:rsid w:val="005E0F99"/>
    <w:rsid w:val="005E110B"/>
    <w:rsid w:val="005E110F"/>
    <w:rsid w:val="005E11A5"/>
    <w:rsid w:val="005E1458"/>
    <w:rsid w:val="005E161B"/>
    <w:rsid w:val="005E1894"/>
    <w:rsid w:val="005E18FB"/>
    <w:rsid w:val="005E1995"/>
    <w:rsid w:val="005E1A66"/>
    <w:rsid w:val="005E2100"/>
    <w:rsid w:val="005E24AC"/>
    <w:rsid w:val="005E2985"/>
    <w:rsid w:val="005E3476"/>
    <w:rsid w:val="005E39B1"/>
    <w:rsid w:val="005E3FA0"/>
    <w:rsid w:val="005E4616"/>
    <w:rsid w:val="005E4997"/>
    <w:rsid w:val="005E50C5"/>
    <w:rsid w:val="005E5F59"/>
    <w:rsid w:val="005E62F2"/>
    <w:rsid w:val="005E6492"/>
    <w:rsid w:val="005E65B2"/>
    <w:rsid w:val="005E6CBC"/>
    <w:rsid w:val="005E72FF"/>
    <w:rsid w:val="005E73C0"/>
    <w:rsid w:val="005E746A"/>
    <w:rsid w:val="005E75CC"/>
    <w:rsid w:val="005F01BB"/>
    <w:rsid w:val="005F067D"/>
    <w:rsid w:val="005F06F2"/>
    <w:rsid w:val="005F07ED"/>
    <w:rsid w:val="005F11BB"/>
    <w:rsid w:val="005F11FE"/>
    <w:rsid w:val="005F16E6"/>
    <w:rsid w:val="005F1C39"/>
    <w:rsid w:val="005F2102"/>
    <w:rsid w:val="005F21E2"/>
    <w:rsid w:val="005F2706"/>
    <w:rsid w:val="005F2830"/>
    <w:rsid w:val="005F2F2B"/>
    <w:rsid w:val="005F36E4"/>
    <w:rsid w:val="005F3E6D"/>
    <w:rsid w:val="005F45FC"/>
    <w:rsid w:val="005F537B"/>
    <w:rsid w:val="005F5B10"/>
    <w:rsid w:val="005F6730"/>
    <w:rsid w:val="005F6A8F"/>
    <w:rsid w:val="005F6BB7"/>
    <w:rsid w:val="005F74FD"/>
    <w:rsid w:val="005F7588"/>
    <w:rsid w:val="005F7845"/>
    <w:rsid w:val="005F7C97"/>
    <w:rsid w:val="005F7D3B"/>
    <w:rsid w:val="006001A4"/>
    <w:rsid w:val="00600966"/>
    <w:rsid w:val="00601356"/>
    <w:rsid w:val="006015FD"/>
    <w:rsid w:val="006017AA"/>
    <w:rsid w:val="00601EE9"/>
    <w:rsid w:val="00602276"/>
    <w:rsid w:val="00602354"/>
    <w:rsid w:val="006025EA"/>
    <w:rsid w:val="006028C9"/>
    <w:rsid w:val="006028D3"/>
    <w:rsid w:val="00602C10"/>
    <w:rsid w:val="0060397C"/>
    <w:rsid w:val="00603B06"/>
    <w:rsid w:val="00603DB9"/>
    <w:rsid w:val="00603F42"/>
    <w:rsid w:val="0060449A"/>
    <w:rsid w:val="00604CFF"/>
    <w:rsid w:val="00604EDD"/>
    <w:rsid w:val="0060510B"/>
    <w:rsid w:val="00605A0F"/>
    <w:rsid w:val="00605A56"/>
    <w:rsid w:val="00605BC4"/>
    <w:rsid w:val="006060F7"/>
    <w:rsid w:val="006069EF"/>
    <w:rsid w:val="00606FBA"/>
    <w:rsid w:val="00607451"/>
    <w:rsid w:val="0060759D"/>
    <w:rsid w:val="00607669"/>
    <w:rsid w:val="006076F4"/>
    <w:rsid w:val="00607AFD"/>
    <w:rsid w:val="00610101"/>
    <w:rsid w:val="0061028C"/>
    <w:rsid w:val="00611575"/>
    <w:rsid w:val="006116A6"/>
    <w:rsid w:val="00611ACC"/>
    <w:rsid w:val="00611B12"/>
    <w:rsid w:val="00611EAA"/>
    <w:rsid w:val="00612398"/>
    <w:rsid w:val="00612452"/>
    <w:rsid w:val="006125FD"/>
    <w:rsid w:val="00612C34"/>
    <w:rsid w:val="00612ED8"/>
    <w:rsid w:val="00612F97"/>
    <w:rsid w:val="0061345D"/>
    <w:rsid w:val="006137D4"/>
    <w:rsid w:val="00613850"/>
    <w:rsid w:val="00613A80"/>
    <w:rsid w:val="00614008"/>
    <w:rsid w:val="006142A6"/>
    <w:rsid w:val="006142B0"/>
    <w:rsid w:val="00614CDB"/>
    <w:rsid w:val="00615137"/>
    <w:rsid w:val="006153E6"/>
    <w:rsid w:val="0061549B"/>
    <w:rsid w:val="00615AD7"/>
    <w:rsid w:val="00615D25"/>
    <w:rsid w:val="00615EBC"/>
    <w:rsid w:val="006160FB"/>
    <w:rsid w:val="0061649A"/>
    <w:rsid w:val="0061658A"/>
    <w:rsid w:val="006166E0"/>
    <w:rsid w:val="00616802"/>
    <w:rsid w:val="00617149"/>
    <w:rsid w:val="006174E3"/>
    <w:rsid w:val="00617670"/>
    <w:rsid w:val="00617A4F"/>
    <w:rsid w:val="00617E12"/>
    <w:rsid w:val="00620338"/>
    <w:rsid w:val="00620C25"/>
    <w:rsid w:val="00620E91"/>
    <w:rsid w:val="006211B1"/>
    <w:rsid w:val="00621210"/>
    <w:rsid w:val="00621477"/>
    <w:rsid w:val="0062150F"/>
    <w:rsid w:val="00621ADA"/>
    <w:rsid w:val="00621B44"/>
    <w:rsid w:val="00621B69"/>
    <w:rsid w:val="00621E1A"/>
    <w:rsid w:val="00621F3C"/>
    <w:rsid w:val="006227A7"/>
    <w:rsid w:val="0062393E"/>
    <w:rsid w:val="00623C5F"/>
    <w:rsid w:val="00623D6B"/>
    <w:rsid w:val="00623F7B"/>
    <w:rsid w:val="00624573"/>
    <w:rsid w:val="00624AA9"/>
    <w:rsid w:val="00624BD4"/>
    <w:rsid w:val="00625322"/>
    <w:rsid w:val="0062597B"/>
    <w:rsid w:val="00625FE5"/>
    <w:rsid w:val="00626333"/>
    <w:rsid w:val="00626638"/>
    <w:rsid w:val="00626A04"/>
    <w:rsid w:val="00626C62"/>
    <w:rsid w:val="0062725A"/>
    <w:rsid w:val="0063074A"/>
    <w:rsid w:val="006307AB"/>
    <w:rsid w:val="006312AB"/>
    <w:rsid w:val="0063158F"/>
    <w:rsid w:val="00631BEE"/>
    <w:rsid w:val="00631D6B"/>
    <w:rsid w:val="00631DDD"/>
    <w:rsid w:val="00632183"/>
    <w:rsid w:val="0063238F"/>
    <w:rsid w:val="00632569"/>
    <w:rsid w:val="00632C20"/>
    <w:rsid w:val="006330A1"/>
    <w:rsid w:val="006333F2"/>
    <w:rsid w:val="00633546"/>
    <w:rsid w:val="0063439D"/>
    <w:rsid w:val="0063479F"/>
    <w:rsid w:val="00634EDD"/>
    <w:rsid w:val="006353F0"/>
    <w:rsid w:val="0063562A"/>
    <w:rsid w:val="006357B5"/>
    <w:rsid w:val="006357F8"/>
    <w:rsid w:val="0063596D"/>
    <w:rsid w:val="00635BF2"/>
    <w:rsid w:val="00635F63"/>
    <w:rsid w:val="006364A1"/>
    <w:rsid w:val="0063678E"/>
    <w:rsid w:val="0063745D"/>
    <w:rsid w:val="006376C0"/>
    <w:rsid w:val="006379FA"/>
    <w:rsid w:val="00637BFD"/>
    <w:rsid w:val="00637C5C"/>
    <w:rsid w:val="00640017"/>
    <w:rsid w:val="00640191"/>
    <w:rsid w:val="006402B5"/>
    <w:rsid w:val="00641C4E"/>
    <w:rsid w:val="00641FB3"/>
    <w:rsid w:val="0064266A"/>
    <w:rsid w:val="00642A02"/>
    <w:rsid w:val="00642D0F"/>
    <w:rsid w:val="006431AC"/>
    <w:rsid w:val="006439D4"/>
    <w:rsid w:val="006440B3"/>
    <w:rsid w:val="0064434C"/>
    <w:rsid w:val="0064437F"/>
    <w:rsid w:val="00644800"/>
    <w:rsid w:val="0064559D"/>
    <w:rsid w:val="00645D1A"/>
    <w:rsid w:val="00646430"/>
    <w:rsid w:val="0064649E"/>
    <w:rsid w:val="006465D4"/>
    <w:rsid w:val="00646CB7"/>
    <w:rsid w:val="006471CC"/>
    <w:rsid w:val="006472FE"/>
    <w:rsid w:val="00647A29"/>
    <w:rsid w:val="0065003C"/>
    <w:rsid w:val="00650650"/>
    <w:rsid w:val="0065079F"/>
    <w:rsid w:val="00650A36"/>
    <w:rsid w:val="00650FBF"/>
    <w:rsid w:val="0065129E"/>
    <w:rsid w:val="0065131F"/>
    <w:rsid w:val="006516C2"/>
    <w:rsid w:val="00651898"/>
    <w:rsid w:val="006519E3"/>
    <w:rsid w:val="006527EF"/>
    <w:rsid w:val="00652A28"/>
    <w:rsid w:val="0065379F"/>
    <w:rsid w:val="0065422D"/>
    <w:rsid w:val="0065486D"/>
    <w:rsid w:val="00654C36"/>
    <w:rsid w:val="00654EFF"/>
    <w:rsid w:val="00655728"/>
    <w:rsid w:val="00655A55"/>
    <w:rsid w:val="00655F1F"/>
    <w:rsid w:val="00655FD4"/>
    <w:rsid w:val="00656188"/>
    <w:rsid w:val="006562E5"/>
    <w:rsid w:val="0065664E"/>
    <w:rsid w:val="00656909"/>
    <w:rsid w:val="00656EBB"/>
    <w:rsid w:val="0065715A"/>
    <w:rsid w:val="006573AD"/>
    <w:rsid w:val="0066005C"/>
    <w:rsid w:val="00660378"/>
    <w:rsid w:val="006603ED"/>
    <w:rsid w:val="0066069D"/>
    <w:rsid w:val="006610F1"/>
    <w:rsid w:val="00661225"/>
    <w:rsid w:val="00661B5D"/>
    <w:rsid w:val="00661C6B"/>
    <w:rsid w:val="0066222B"/>
    <w:rsid w:val="00662318"/>
    <w:rsid w:val="00662396"/>
    <w:rsid w:val="00662A36"/>
    <w:rsid w:val="00662D3E"/>
    <w:rsid w:val="00662E18"/>
    <w:rsid w:val="006631D1"/>
    <w:rsid w:val="00663DC8"/>
    <w:rsid w:val="00664164"/>
    <w:rsid w:val="00664759"/>
    <w:rsid w:val="00664ACD"/>
    <w:rsid w:val="0066513D"/>
    <w:rsid w:val="006652A0"/>
    <w:rsid w:val="00665F09"/>
    <w:rsid w:val="00666101"/>
    <w:rsid w:val="00666C28"/>
    <w:rsid w:val="0066733E"/>
    <w:rsid w:val="006678E3"/>
    <w:rsid w:val="00667BE3"/>
    <w:rsid w:val="00667BE4"/>
    <w:rsid w:val="00667D91"/>
    <w:rsid w:val="0067031C"/>
    <w:rsid w:val="00670402"/>
    <w:rsid w:val="00670B2E"/>
    <w:rsid w:val="00670E66"/>
    <w:rsid w:val="00670FBF"/>
    <w:rsid w:val="00671004"/>
    <w:rsid w:val="006714B5"/>
    <w:rsid w:val="00671B85"/>
    <w:rsid w:val="00671C99"/>
    <w:rsid w:val="00671D4D"/>
    <w:rsid w:val="00671FA5"/>
    <w:rsid w:val="00672524"/>
    <w:rsid w:val="00672646"/>
    <w:rsid w:val="00673798"/>
    <w:rsid w:val="00673A44"/>
    <w:rsid w:val="00673C2D"/>
    <w:rsid w:val="00673F0D"/>
    <w:rsid w:val="00674018"/>
    <w:rsid w:val="006748BC"/>
    <w:rsid w:val="00674B2A"/>
    <w:rsid w:val="00674C71"/>
    <w:rsid w:val="00674E42"/>
    <w:rsid w:val="00674E59"/>
    <w:rsid w:val="0067614F"/>
    <w:rsid w:val="00676563"/>
    <w:rsid w:val="00676665"/>
    <w:rsid w:val="00676FEE"/>
    <w:rsid w:val="00677296"/>
    <w:rsid w:val="006772E9"/>
    <w:rsid w:val="00677D0F"/>
    <w:rsid w:val="006804B8"/>
    <w:rsid w:val="006807FE"/>
    <w:rsid w:val="00680D20"/>
    <w:rsid w:val="00680EC7"/>
    <w:rsid w:val="006810A0"/>
    <w:rsid w:val="006813CE"/>
    <w:rsid w:val="006813F8"/>
    <w:rsid w:val="00681546"/>
    <w:rsid w:val="006817E5"/>
    <w:rsid w:val="0068196B"/>
    <w:rsid w:val="00681B76"/>
    <w:rsid w:val="00681E6D"/>
    <w:rsid w:val="00682112"/>
    <w:rsid w:val="006828CD"/>
    <w:rsid w:val="00682A19"/>
    <w:rsid w:val="00682BA6"/>
    <w:rsid w:val="00682C1B"/>
    <w:rsid w:val="00682DB9"/>
    <w:rsid w:val="00683039"/>
    <w:rsid w:val="006834DB"/>
    <w:rsid w:val="006834F0"/>
    <w:rsid w:val="00683B8F"/>
    <w:rsid w:val="00683FC3"/>
    <w:rsid w:val="0068407D"/>
    <w:rsid w:val="00684254"/>
    <w:rsid w:val="00684271"/>
    <w:rsid w:val="00684339"/>
    <w:rsid w:val="00685B83"/>
    <w:rsid w:val="00685FA4"/>
    <w:rsid w:val="00686957"/>
    <w:rsid w:val="006872BA"/>
    <w:rsid w:val="006877FB"/>
    <w:rsid w:val="00687C01"/>
    <w:rsid w:val="00687EDD"/>
    <w:rsid w:val="00690646"/>
    <w:rsid w:val="00690795"/>
    <w:rsid w:val="00691648"/>
    <w:rsid w:val="006917D7"/>
    <w:rsid w:val="00691EFE"/>
    <w:rsid w:val="00691F70"/>
    <w:rsid w:val="0069235C"/>
    <w:rsid w:val="00692442"/>
    <w:rsid w:val="00692CB8"/>
    <w:rsid w:val="006937FD"/>
    <w:rsid w:val="006941C3"/>
    <w:rsid w:val="0069434C"/>
    <w:rsid w:val="0069456F"/>
    <w:rsid w:val="00694E81"/>
    <w:rsid w:val="00694F44"/>
    <w:rsid w:val="006961FA"/>
    <w:rsid w:val="0069642B"/>
    <w:rsid w:val="00696EF9"/>
    <w:rsid w:val="00696F44"/>
    <w:rsid w:val="00696F51"/>
    <w:rsid w:val="00697234"/>
    <w:rsid w:val="00697632"/>
    <w:rsid w:val="006979A5"/>
    <w:rsid w:val="00697AD8"/>
    <w:rsid w:val="00697E00"/>
    <w:rsid w:val="006A016F"/>
    <w:rsid w:val="006A09F0"/>
    <w:rsid w:val="006A0C66"/>
    <w:rsid w:val="006A0DF7"/>
    <w:rsid w:val="006A0E2E"/>
    <w:rsid w:val="006A1446"/>
    <w:rsid w:val="006A15C4"/>
    <w:rsid w:val="006A15E8"/>
    <w:rsid w:val="006A17B7"/>
    <w:rsid w:val="006A194D"/>
    <w:rsid w:val="006A1DB0"/>
    <w:rsid w:val="006A2BC7"/>
    <w:rsid w:val="006A2C4D"/>
    <w:rsid w:val="006A3FBA"/>
    <w:rsid w:val="006A4321"/>
    <w:rsid w:val="006A43D9"/>
    <w:rsid w:val="006A4EE4"/>
    <w:rsid w:val="006A559F"/>
    <w:rsid w:val="006A5B43"/>
    <w:rsid w:val="006A5FAD"/>
    <w:rsid w:val="006A6B63"/>
    <w:rsid w:val="006A6B99"/>
    <w:rsid w:val="006A6D11"/>
    <w:rsid w:val="006A7DA5"/>
    <w:rsid w:val="006A7E5F"/>
    <w:rsid w:val="006A7F26"/>
    <w:rsid w:val="006B007A"/>
    <w:rsid w:val="006B0717"/>
    <w:rsid w:val="006B095B"/>
    <w:rsid w:val="006B0EE4"/>
    <w:rsid w:val="006B150B"/>
    <w:rsid w:val="006B16A9"/>
    <w:rsid w:val="006B1A39"/>
    <w:rsid w:val="006B1CB3"/>
    <w:rsid w:val="006B206A"/>
    <w:rsid w:val="006B261B"/>
    <w:rsid w:val="006B28CE"/>
    <w:rsid w:val="006B2C34"/>
    <w:rsid w:val="006B2C90"/>
    <w:rsid w:val="006B2E80"/>
    <w:rsid w:val="006B2FB1"/>
    <w:rsid w:val="006B3280"/>
    <w:rsid w:val="006B35E6"/>
    <w:rsid w:val="006B36AB"/>
    <w:rsid w:val="006B372C"/>
    <w:rsid w:val="006B375A"/>
    <w:rsid w:val="006B3FFA"/>
    <w:rsid w:val="006B42B0"/>
    <w:rsid w:val="006B42CD"/>
    <w:rsid w:val="006B465A"/>
    <w:rsid w:val="006B4866"/>
    <w:rsid w:val="006B4C89"/>
    <w:rsid w:val="006B50D5"/>
    <w:rsid w:val="006B5192"/>
    <w:rsid w:val="006B5465"/>
    <w:rsid w:val="006B6395"/>
    <w:rsid w:val="006B66A3"/>
    <w:rsid w:val="006B6BEC"/>
    <w:rsid w:val="006B6DD0"/>
    <w:rsid w:val="006B7262"/>
    <w:rsid w:val="006B7F65"/>
    <w:rsid w:val="006C0399"/>
    <w:rsid w:val="006C0760"/>
    <w:rsid w:val="006C0F59"/>
    <w:rsid w:val="006C11B2"/>
    <w:rsid w:val="006C1FA3"/>
    <w:rsid w:val="006C2A8E"/>
    <w:rsid w:val="006C2BF2"/>
    <w:rsid w:val="006C2E02"/>
    <w:rsid w:val="006C3255"/>
    <w:rsid w:val="006C3BAC"/>
    <w:rsid w:val="006C3F26"/>
    <w:rsid w:val="006C4504"/>
    <w:rsid w:val="006C5385"/>
    <w:rsid w:val="006C55CB"/>
    <w:rsid w:val="006C598A"/>
    <w:rsid w:val="006C5EAD"/>
    <w:rsid w:val="006C5ED4"/>
    <w:rsid w:val="006C61FF"/>
    <w:rsid w:val="006C66A7"/>
    <w:rsid w:val="006C66D8"/>
    <w:rsid w:val="006C6DAF"/>
    <w:rsid w:val="006D0695"/>
    <w:rsid w:val="006D0C8B"/>
    <w:rsid w:val="006D0D17"/>
    <w:rsid w:val="006D113C"/>
    <w:rsid w:val="006D19A2"/>
    <w:rsid w:val="006D19FA"/>
    <w:rsid w:val="006D1A47"/>
    <w:rsid w:val="006D1CA0"/>
    <w:rsid w:val="006D2088"/>
    <w:rsid w:val="006D20B8"/>
    <w:rsid w:val="006D251E"/>
    <w:rsid w:val="006D26B3"/>
    <w:rsid w:val="006D28B9"/>
    <w:rsid w:val="006D2B92"/>
    <w:rsid w:val="006D3115"/>
    <w:rsid w:val="006D315F"/>
    <w:rsid w:val="006D31E7"/>
    <w:rsid w:val="006D3626"/>
    <w:rsid w:val="006D3B0E"/>
    <w:rsid w:val="006D3C7D"/>
    <w:rsid w:val="006D414C"/>
    <w:rsid w:val="006D4499"/>
    <w:rsid w:val="006D4659"/>
    <w:rsid w:val="006D4E59"/>
    <w:rsid w:val="006D58EB"/>
    <w:rsid w:val="006D5D5F"/>
    <w:rsid w:val="006D5E2D"/>
    <w:rsid w:val="006D62CC"/>
    <w:rsid w:val="006D62E9"/>
    <w:rsid w:val="006D68FB"/>
    <w:rsid w:val="006D6C61"/>
    <w:rsid w:val="006D73EE"/>
    <w:rsid w:val="006D7AB8"/>
    <w:rsid w:val="006D7FC7"/>
    <w:rsid w:val="006E0F4B"/>
    <w:rsid w:val="006E17EA"/>
    <w:rsid w:val="006E1A72"/>
    <w:rsid w:val="006E278D"/>
    <w:rsid w:val="006E2868"/>
    <w:rsid w:val="006E2BAE"/>
    <w:rsid w:val="006E37F0"/>
    <w:rsid w:val="006E398B"/>
    <w:rsid w:val="006E39EE"/>
    <w:rsid w:val="006E420E"/>
    <w:rsid w:val="006E44FD"/>
    <w:rsid w:val="006E47B3"/>
    <w:rsid w:val="006E49A9"/>
    <w:rsid w:val="006E4AED"/>
    <w:rsid w:val="006E4D6F"/>
    <w:rsid w:val="006E4D9C"/>
    <w:rsid w:val="006E5683"/>
    <w:rsid w:val="006E5DC2"/>
    <w:rsid w:val="006E6108"/>
    <w:rsid w:val="006E62B2"/>
    <w:rsid w:val="006E62CD"/>
    <w:rsid w:val="006E643F"/>
    <w:rsid w:val="006E705A"/>
    <w:rsid w:val="006E7246"/>
    <w:rsid w:val="006E72E2"/>
    <w:rsid w:val="006E72FC"/>
    <w:rsid w:val="006E7B25"/>
    <w:rsid w:val="006E7D45"/>
    <w:rsid w:val="006F0197"/>
    <w:rsid w:val="006F04B6"/>
    <w:rsid w:val="006F1481"/>
    <w:rsid w:val="006F15E9"/>
    <w:rsid w:val="006F163B"/>
    <w:rsid w:val="006F1985"/>
    <w:rsid w:val="006F19E3"/>
    <w:rsid w:val="006F1A43"/>
    <w:rsid w:val="006F1AAC"/>
    <w:rsid w:val="006F1D12"/>
    <w:rsid w:val="006F306C"/>
    <w:rsid w:val="006F3A73"/>
    <w:rsid w:val="006F3A9B"/>
    <w:rsid w:val="006F3B59"/>
    <w:rsid w:val="006F3C7A"/>
    <w:rsid w:val="006F4094"/>
    <w:rsid w:val="006F43FB"/>
    <w:rsid w:val="006F4436"/>
    <w:rsid w:val="006F558A"/>
    <w:rsid w:val="006F5C64"/>
    <w:rsid w:val="006F5E8B"/>
    <w:rsid w:val="006F63A5"/>
    <w:rsid w:val="006F6508"/>
    <w:rsid w:val="006F699D"/>
    <w:rsid w:val="006F6DEF"/>
    <w:rsid w:val="006F7354"/>
    <w:rsid w:val="006F7936"/>
    <w:rsid w:val="006F7A3C"/>
    <w:rsid w:val="006F7F39"/>
    <w:rsid w:val="007009E5"/>
    <w:rsid w:val="00700CEF"/>
    <w:rsid w:val="00700F25"/>
    <w:rsid w:val="00700FED"/>
    <w:rsid w:val="0070110B"/>
    <w:rsid w:val="0070130D"/>
    <w:rsid w:val="0070142B"/>
    <w:rsid w:val="007017F5"/>
    <w:rsid w:val="00701A4A"/>
    <w:rsid w:val="00701C40"/>
    <w:rsid w:val="00702066"/>
    <w:rsid w:val="0070276E"/>
    <w:rsid w:val="00702F8F"/>
    <w:rsid w:val="007030BE"/>
    <w:rsid w:val="0070333B"/>
    <w:rsid w:val="00703412"/>
    <w:rsid w:val="0070373D"/>
    <w:rsid w:val="0070394D"/>
    <w:rsid w:val="00703C8D"/>
    <w:rsid w:val="00704AD8"/>
    <w:rsid w:val="00704D24"/>
    <w:rsid w:val="00704D2E"/>
    <w:rsid w:val="00704D74"/>
    <w:rsid w:val="00704EDE"/>
    <w:rsid w:val="00705065"/>
    <w:rsid w:val="00705328"/>
    <w:rsid w:val="0070691F"/>
    <w:rsid w:val="0070715C"/>
    <w:rsid w:val="00707243"/>
    <w:rsid w:val="00707703"/>
    <w:rsid w:val="00707793"/>
    <w:rsid w:val="007079FC"/>
    <w:rsid w:val="00710360"/>
    <w:rsid w:val="007111B1"/>
    <w:rsid w:val="007113E3"/>
    <w:rsid w:val="00711732"/>
    <w:rsid w:val="00711A36"/>
    <w:rsid w:val="00711C08"/>
    <w:rsid w:val="007125D3"/>
    <w:rsid w:val="00712770"/>
    <w:rsid w:val="007128CC"/>
    <w:rsid w:val="00712DB7"/>
    <w:rsid w:val="00713512"/>
    <w:rsid w:val="00713EA3"/>
    <w:rsid w:val="00714A2E"/>
    <w:rsid w:val="00714C26"/>
    <w:rsid w:val="00714F82"/>
    <w:rsid w:val="0071508E"/>
    <w:rsid w:val="0071529C"/>
    <w:rsid w:val="00715593"/>
    <w:rsid w:val="0071563C"/>
    <w:rsid w:val="007162E5"/>
    <w:rsid w:val="0071637A"/>
    <w:rsid w:val="00716BB1"/>
    <w:rsid w:val="007170DA"/>
    <w:rsid w:val="00717138"/>
    <w:rsid w:val="007172AD"/>
    <w:rsid w:val="00717409"/>
    <w:rsid w:val="007174DC"/>
    <w:rsid w:val="00717546"/>
    <w:rsid w:val="007178EB"/>
    <w:rsid w:val="00717CEC"/>
    <w:rsid w:val="007200AD"/>
    <w:rsid w:val="00720159"/>
    <w:rsid w:val="00720801"/>
    <w:rsid w:val="00720D0E"/>
    <w:rsid w:val="007212B7"/>
    <w:rsid w:val="00721D81"/>
    <w:rsid w:val="007220EE"/>
    <w:rsid w:val="00722434"/>
    <w:rsid w:val="00722B1B"/>
    <w:rsid w:val="00722C63"/>
    <w:rsid w:val="00723526"/>
    <w:rsid w:val="007239C2"/>
    <w:rsid w:val="0072416F"/>
    <w:rsid w:val="00724290"/>
    <w:rsid w:val="00724920"/>
    <w:rsid w:val="00725A99"/>
    <w:rsid w:val="007260DC"/>
    <w:rsid w:val="007260F3"/>
    <w:rsid w:val="007261C0"/>
    <w:rsid w:val="007261C7"/>
    <w:rsid w:val="00726338"/>
    <w:rsid w:val="00727017"/>
    <w:rsid w:val="00727214"/>
    <w:rsid w:val="007272AC"/>
    <w:rsid w:val="00727912"/>
    <w:rsid w:val="007279F4"/>
    <w:rsid w:val="00727C94"/>
    <w:rsid w:val="00730253"/>
    <w:rsid w:val="00730277"/>
    <w:rsid w:val="007302DF"/>
    <w:rsid w:val="007305C2"/>
    <w:rsid w:val="00730A37"/>
    <w:rsid w:val="00730DA4"/>
    <w:rsid w:val="00730DD8"/>
    <w:rsid w:val="00730F66"/>
    <w:rsid w:val="007319FD"/>
    <w:rsid w:val="00731B0A"/>
    <w:rsid w:val="00731EAE"/>
    <w:rsid w:val="0073260A"/>
    <w:rsid w:val="00732E8C"/>
    <w:rsid w:val="00733054"/>
    <w:rsid w:val="00733073"/>
    <w:rsid w:val="00733C19"/>
    <w:rsid w:val="00733F34"/>
    <w:rsid w:val="00733F71"/>
    <w:rsid w:val="00734121"/>
    <w:rsid w:val="007345E3"/>
    <w:rsid w:val="00734896"/>
    <w:rsid w:val="00734D14"/>
    <w:rsid w:val="00735033"/>
    <w:rsid w:val="00735328"/>
    <w:rsid w:val="00735504"/>
    <w:rsid w:val="00735723"/>
    <w:rsid w:val="00735EFB"/>
    <w:rsid w:val="00736413"/>
    <w:rsid w:val="00736624"/>
    <w:rsid w:val="0073685B"/>
    <w:rsid w:val="00737358"/>
    <w:rsid w:val="007374A1"/>
    <w:rsid w:val="00737939"/>
    <w:rsid w:val="00737986"/>
    <w:rsid w:val="00737A2C"/>
    <w:rsid w:val="00741C1E"/>
    <w:rsid w:val="00741E7C"/>
    <w:rsid w:val="00742110"/>
    <w:rsid w:val="00742193"/>
    <w:rsid w:val="00742985"/>
    <w:rsid w:val="007437A3"/>
    <w:rsid w:val="007444D0"/>
    <w:rsid w:val="00744570"/>
    <w:rsid w:val="0074467B"/>
    <w:rsid w:val="007446B7"/>
    <w:rsid w:val="00744840"/>
    <w:rsid w:val="007449BF"/>
    <w:rsid w:val="00744C56"/>
    <w:rsid w:val="00745312"/>
    <w:rsid w:val="0074583A"/>
    <w:rsid w:val="00745929"/>
    <w:rsid w:val="00746345"/>
    <w:rsid w:val="007463FE"/>
    <w:rsid w:val="0074688F"/>
    <w:rsid w:val="00746B39"/>
    <w:rsid w:val="00746BC0"/>
    <w:rsid w:val="00747626"/>
    <w:rsid w:val="00747720"/>
    <w:rsid w:val="00747C4B"/>
    <w:rsid w:val="00747F67"/>
    <w:rsid w:val="00750473"/>
    <w:rsid w:val="007506E5"/>
    <w:rsid w:val="0075078D"/>
    <w:rsid w:val="00750DE4"/>
    <w:rsid w:val="007510B4"/>
    <w:rsid w:val="0075118B"/>
    <w:rsid w:val="007513CA"/>
    <w:rsid w:val="00751C96"/>
    <w:rsid w:val="00752142"/>
    <w:rsid w:val="007522C0"/>
    <w:rsid w:val="00752349"/>
    <w:rsid w:val="0075236A"/>
    <w:rsid w:val="007523F9"/>
    <w:rsid w:val="00752579"/>
    <w:rsid w:val="00752A78"/>
    <w:rsid w:val="00752B5A"/>
    <w:rsid w:val="0075357E"/>
    <w:rsid w:val="00753656"/>
    <w:rsid w:val="00753B29"/>
    <w:rsid w:val="00753DE1"/>
    <w:rsid w:val="0075413E"/>
    <w:rsid w:val="007541F4"/>
    <w:rsid w:val="00754544"/>
    <w:rsid w:val="00754E87"/>
    <w:rsid w:val="007559A5"/>
    <w:rsid w:val="00755AC3"/>
    <w:rsid w:val="00755E80"/>
    <w:rsid w:val="00757058"/>
    <w:rsid w:val="007573E8"/>
    <w:rsid w:val="00757471"/>
    <w:rsid w:val="007575DB"/>
    <w:rsid w:val="0075783D"/>
    <w:rsid w:val="00757993"/>
    <w:rsid w:val="00757E80"/>
    <w:rsid w:val="007606D1"/>
    <w:rsid w:val="007608EF"/>
    <w:rsid w:val="00760C14"/>
    <w:rsid w:val="00760C4E"/>
    <w:rsid w:val="00760EBB"/>
    <w:rsid w:val="00760F9E"/>
    <w:rsid w:val="007616E6"/>
    <w:rsid w:val="00762046"/>
    <w:rsid w:val="0076231E"/>
    <w:rsid w:val="007627BE"/>
    <w:rsid w:val="00762DBB"/>
    <w:rsid w:val="007632D2"/>
    <w:rsid w:val="007632EA"/>
    <w:rsid w:val="007633A1"/>
    <w:rsid w:val="007637A2"/>
    <w:rsid w:val="0076417C"/>
    <w:rsid w:val="00764697"/>
    <w:rsid w:val="0076491A"/>
    <w:rsid w:val="00764F03"/>
    <w:rsid w:val="00765190"/>
    <w:rsid w:val="00765AB8"/>
    <w:rsid w:val="00765B1A"/>
    <w:rsid w:val="00765DC1"/>
    <w:rsid w:val="00765F0A"/>
    <w:rsid w:val="00766861"/>
    <w:rsid w:val="00766E95"/>
    <w:rsid w:val="00766F1C"/>
    <w:rsid w:val="00767B6E"/>
    <w:rsid w:val="00767D44"/>
    <w:rsid w:val="007715B6"/>
    <w:rsid w:val="007721AC"/>
    <w:rsid w:val="00772D27"/>
    <w:rsid w:val="007735D4"/>
    <w:rsid w:val="0077393D"/>
    <w:rsid w:val="00774998"/>
    <w:rsid w:val="007753D5"/>
    <w:rsid w:val="007754B5"/>
    <w:rsid w:val="00775B63"/>
    <w:rsid w:val="00776031"/>
    <w:rsid w:val="00776421"/>
    <w:rsid w:val="00776A29"/>
    <w:rsid w:val="00776ECE"/>
    <w:rsid w:val="00777335"/>
    <w:rsid w:val="00777B04"/>
    <w:rsid w:val="00777B17"/>
    <w:rsid w:val="00777E57"/>
    <w:rsid w:val="007804C4"/>
    <w:rsid w:val="007807EA"/>
    <w:rsid w:val="00780BB3"/>
    <w:rsid w:val="007814A2"/>
    <w:rsid w:val="0078156E"/>
    <w:rsid w:val="00781645"/>
    <w:rsid w:val="00781DEE"/>
    <w:rsid w:val="007821EB"/>
    <w:rsid w:val="0078260D"/>
    <w:rsid w:val="00782D3B"/>
    <w:rsid w:val="00782D76"/>
    <w:rsid w:val="0078394A"/>
    <w:rsid w:val="00783A63"/>
    <w:rsid w:val="00783D55"/>
    <w:rsid w:val="007843F2"/>
    <w:rsid w:val="007846FA"/>
    <w:rsid w:val="007849D8"/>
    <w:rsid w:val="00784EE1"/>
    <w:rsid w:val="0078510C"/>
    <w:rsid w:val="00785A26"/>
    <w:rsid w:val="00785A9F"/>
    <w:rsid w:val="00785E37"/>
    <w:rsid w:val="00786259"/>
    <w:rsid w:val="00786E96"/>
    <w:rsid w:val="00787115"/>
    <w:rsid w:val="007873CF"/>
    <w:rsid w:val="0078750A"/>
    <w:rsid w:val="00787764"/>
    <w:rsid w:val="00787AD3"/>
    <w:rsid w:val="00787BB0"/>
    <w:rsid w:val="00787BFD"/>
    <w:rsid w:val="007901B3"/>
    <w:rsid w:val="007902B2"/>
    <w:rsid w:val="00790510"/>
    <w:rsid w:val="0079071F"/>
    <w:rsid w:val="00790DD1"/>
    <w:rsid w:val="0079104B"/>
    <w:rsid w:val="00791274"/>
    <w:rsid w:val="00791881"/>
    <w:rsid w:val="00791E5E"/>
    <w:rsid w:val="007921A5"/>
    <w:rsid w:val="00792365"/>
    <w:rsid w:val="007925DF"/>
    <w:rsid w:val="00792D65"/>
    <w:rsid w:val="007933C3"/>
    <w:rsid w:val="00793407"/>
    <w:rsid w:val="00793CDF"/>
    <w:rsid w:val="007945E3"/>
    <w:rsid w:val="0079479F"/>
    <w:rsid w:val="007947B0"/>
    <w:rsid w:val="00794BC3"/>
    <w:rsid w:val="00795B5D"/>
    <w:rsid w:val="00796B86"/>
    <w:rsid w:val="007A0579"/>
    <w:rsid w:val="007A073F"/>
    <w:rsid w:val="007A08AA"/>
    <w:rsid w:val="007A09A7"/>
    <w:rsid w:val="007A0A12"/>
    <w:rsid w:val="007A0A8C"/>
    <w:rsid w:val="007A112A"/>
    <w:rsid w:val="007A132D"/>
    <w:rsid w:val="007A1345"/>
    <w:rsid w:val="007A1885"/>
    <w:rsid w:val="007A1BBD"/>
    <w:rsid w:val="007A2AD4"/>
    <w:rsid w:val="007A2B96"/>
    <w:rsid w:val="007A2DDB"/>
    <w:rsid w:val="007A387B"/>
    <w:rsid w:val="007A38FC"/>
    <w:rsid w:val="007A3999"/>
    <w:rsid w:val="007A3C1B"/>
    <w:rsid w:val="007A3DE8"/>
    <w:rsid w:val="007A4253"/>
    <w:rsid w:val="007A42E0"/>
    <w:rsid w:val="007A54EA"/>
    <w:rsid w:val="007A5BCB"/>
    <w:rsid w:val="007A5E40"/>
    <w:rsid w:val="007A6B88"/>
    <w:rsid w:val="007A6D32"/>
    <w:rsid w:val="007A6E8A"/>
    <w:rsid w:val="007A6EDE"/>
    <w:rsid w:val="007A70BA"/>
    <w:rsid w:val="007A7461"/>
    <w:rsid w:val="007B0D68"/>
    <w:rsid w:val="007B163E"/>
    <w:rsid w:val="007B1AD9"/>
    <w:rsid w:val="007B2191"/>
    <w:rsid w:val="007B251D"/>
    <w:rsid w:val="007B2521"/>
    <w:rsid w:val="007B2CE5"/>
    <w:rsid w:val="007B2E27"/>
    <w:rsid w:val="007B3533"/>
    <w:rsid w:val="007B3B14"/>
    <w:rsid w:val="007B415F"/>
    <w:rsid w:val="007B46E9"/>
    <w:rsid w:val="007B4832"/>
    <w:rsid w:val="007B4D2C"/>
    <w:rsid w:val="007B4F58"/>
    <w:rsid w:val="007B528D"/>
    <w:rsid w:val="007B538B"/>
    <w:rsid w:val="007B63CA"/>
    <w:rsid w:val="007B68BA"/>
    <w:rsid w:val="007B71E6"/>
    <w:rsid w:val="007B7252"/>
    <w:rsid w:val="007B77D1"/>
    <w:rsid w:val="007B7A11"/>
    <w:rsid w:val="007B7B90"/>
    <w:rsid w:val="007B7B91"/>
    <w:rsid w:val="007B7F33"/>
    <w:rsid w:val="007B7FF3"/>
    <w:rsid w:val="007C040A"/>
    <w:rsid w:val="007C050F"/>
    <w:rsid w:val="007C0689"/>
    <w:rsid w:val="007C07C7"/>
    <w:rsid w:val="007C0ADD"/>
    <w:rsid w:val="007C0C7B"/>
    <w:rsid w:val="007C0C86"/>
    <w:rsid w:val="007C134A"/>
    <w:rsid w:val="007C1454"/>
    <w:rsid w:val="007C1538"/>
    <w:rsid w:val="007C16AE"/>
    <w:rsid w:val="007C1AB6"/>
    <w:rsid w:val="007C1B95"/>
    <w:rsid w:val="007C1CD9"/>
    <w:rsid w:val="007C2104"/>
    <w:rsid w:val="007C21A0"/>
    <w:rsid w:val="007C32EF"/>
    <w:rsid w:val="007C361D"/>
    <w:rsid w:val="007C4269"/>
    <w:rsid w:val="007C448C"/>
    <w:rsid w:val="007C4A54"/>
    <w:rsid w:val="007C4B84"/>
    <w:rsid w:val="007C4C73"/>
    <w:rsid w:val="007C51E6"/>
    <w:rsid w:val="007C56AB"/>
    <w:rsid w:val="007C64C1"/>
    <w:rsid w:val="007C70FF"/>
    <w:rsid w:val="007C7830"/>
    <w:rsid w:val="007C788C"/>
    <w:rsid w:val="007C7C25"/>
    <w:rsid w:val="007D004F"/>
    <w:rsid w:val="007D0217"/>
    <w:rsid w:val="007D035F"/>
    <w:rsid w:val="007D05A0"/>
    <w:rsid w:val="007D06B2"/>
    <w:rsid w:val="007D0919"/>
    <w:rsid w:val="007D0AAF"/>
    <w:rsid w:val="007D0B38"/>
    <w:rsid w:val="007D0FA9"/>
    <w:rsid w:val="007D139F"/>
    <w:rsid w:val="007D13FB"/>
    <w:rsid w:val="007D16BC"/>
    <w:rsid w:val="007D1877"/>
    <w:rsid w:val="007D2033"/>
    <w:rsid w:val="007D3123"/>
    <w:rsid w:val="007D3130"/>
    <w:rsid w:val="007D4798"/>
    <w:rsid w:val="007D5440"/>
    <w:rsid w:val="007D5D5D"/>
    <w:rsid w:val="007D649B"/>
    <w:rsid w:val="007D65FE"/>
    <w:rsid w:val="007D674D"/>
    <w:rsid w:val="007D69EB"/>
    <w:rsid w:val="007D6C7B"/>
    <w:rsid w:val="007D73E9"/>
    <w:rsid w:val="007D7759"/>
    <w:rsid w:val="007D7F66"/>
    <w:rsid w:val="007E0090"/>
    <w:rsid w:val="007E0734"/>
    <w:rsid w:val="007E07C1"/>
    <w:rsid w:val="007E0956"/>
    <w:rsid w:val="007E128F"/>
    <w:rsid w:val="007E14B4"/>
    <w:rsid w:val="007E15DB"/>
    <w:rsid w:val="007E2391"/>
    <w:rsid w:val="007E2542"/>
    <w:rsid w:val="007E29DA"/>
    <w:rsid w:val="007E2A57"/>
    <w:rsid w:val="007E2B55"/>
    <w:rsid w:val="007E3B46"/>
    <w:rsid w:val="007E3C82"/>
    <w:rsid w:val="007E3E7F"/>
    <w:rsid w:val="007E3F58"/>
    <w:rsid w:val="007E45A0"/>
    <w:rsid w:val="007E48AF"/>
    <w:rsid w:val="007E48EA"/>
    <w:rsid w:val="007E556B"/>
    <w:rsid w:val="007E572D"/>
    <w:rsid w:val="007E62C7"/>
    <w:rsid w:val="007E6665"/>
    <w:rsid w:val="007E67FA"/>
    <w:rsid w:val="007E6A88"/>
    <w:rsid w:val="007E6C30"/>
    <w:rsid w:val="007E7380"/>
    <w:rsid w:val="007E75CF"/>
    <w:rsid w:val="007E7C96"/>
    <w:rsid w:val="007E7CA5"/>
    <w:rsid w:val="007E7E03"/>
    <w:rsid w:val="007E7E8A"/>
    <w:rsid w:val="007F045A"/>
    <w:rsid w:val="007F0E3A"/>
    <w:rsid w:val="007F100D"/>
    <w:rsid w:val="007F1017"/>
    <w:rsid w:val="007F103D"/>
    <w:rsid w:val="007F1372"/>
    <w:rsid w:val="007F3614"/>
    <w:rsid w:val="007F3D78"/>
    <w:rsid w:val="007F4626"/>
    <w:rsid w:val="007F471D"/>
    <w:rsid w:val="007F4730"/>
    <w:rsid w:val="007F47A7"/>
    <w:rsid w:val="007F4A3F"/>
    <w:rsid w:val="007F4A61"/>
    <w:rsid w:val="007F5255"/>
    <w:rsid w:val="007F5265"/>
    <w:rsid w:val="007F55F3"/>
    <w:rsid w:val="007F56CC"/>
    <w:rsid w:val="007F5F31"/>
    <w:rsid w:val="007F61C2"/>
    <w:rsid w:val="007F6221"/>
    <w:rsid w:val="007F6356"/>
    <w:rsid w:val="007F63B1"/>
    <w:rsid w:val="007F6CF0"/>
    <w:rsid w:val="007F6E4B"/>
    <w:rsid w:val="007F6EF4"/>
    <w:rsid w:val="007F799C"/>
    <w:rsid w:val="007F7A93"/>
    <w:rsid w:val="00800017"/>
    <w:rsid w:val="00801CA7"/>
    <w:rsid w:val="00801CB6"/>
    <w:rsid w:val="00801CDE"/>
    <w:rsid w:val="008020DF"/>
    <w:rsid w:val="008024DF"/>
    <w:rsid w:val="00802BA5"/>
    <w:rsid w:val="00802C1F"/>
    <w:rsid w:val="00802DE4"/>
    <w:rsid w:val="00803174"/>
    <w:rsid w:val="008033F0"/>
    <w:rsid w:val="00803462"/>
    <w:rsid w:val="008039AA"/>
    <w:rsid w:val="00803A18"/>
    <w:rsid w:val="008041B8"/>
    <w:rsid w:val="0080420E"/>
    <w:rsid w:val="00804B65"/>
    <w:rsid w:val="00804C56"/>
    <w:rsid w:val="00804D9B"/>
    <w:rsid w:val="00805142"/>
    <w:rsid w:val="0080566B"/>
    <w:rsid w:val="00805794"/>
    <w:rsid w:val="00805FCE"/>
    <w:rsid w:val="00806022"/>
    <w:rsid w:val="00806172"/>
    <w:rsid w:val="00806A12"/>
    <w:rsid w:val="00806B14"/>
    <w:rsid w:val="0080742C"/>
    <w:rsid w:val="00807597"/>
    <w:rsid w:val="0080785B"/>
    <w:rsid w:val="008079A5"/>
    <w:rsid w:val="00807A8B"/>
    <w:rsid w:val="008106BE"/>
    <w:rsid w:val="00810E7C"/>
    <w:rsid w:val="00811383"/>
    <w:rsid w:val="00811514"/>
    <w:rsid w:val="008118B2"/>
    <w:rsid w:val="00811A54"/>
    <w:rsid w:val="00812149"/>
    <w:rsid w:val="0081240A"/>
    <w:rsid w:val="00812508"/>
    <w:rsid w:val="00812687"/>
    <w:rsid w:val="00812A27"/>
    <w:rsid w:val="00812B03"/>
    <w:rsid w:val="00812CAC"/>
    <w:rsid w:val="008132F2"/>
    <w:rsid w:val="008137BE"/>
    <w:rsid w:val="00813BA7"/>
    <w:rsid w:val="00813DA5"/>
    <w:rsid w:val="00813FFB"/>
    <w:rsid w:val="0081438C"/>
    <w:rsid w:val="00814459"/>
    <w:rsid w:val="0081471A"/>
    <w:rsid w:val="00814A42"/>
    <w:rsid w:val="00815243"/>
    <w:rsid w:val="00815818"/>
    <w:rsid w:val="00816045"/>
    <w:rsid w:val="00816361"/>
    <w:rsid w:val="00816643"/>
    <w:rsid w:val="008166EF"/>
    <w:rsid w:val="008169E6"/>
    <w:rsid w:val="00816AA4"/>
    <w:rsid w:val="00816FEF"/>
    <w:rsid w:val="0081771C"/>
    <w:rsid w:val="008177FA"/>
    <w:rsid w:val="00820101"/>
    <w:rsid w:val="00820A8C"/>
    <w:rsid w:val="008215FB"/>
    <w:rsid w:val="008220CC"/>
    <w:rsid w:val="008221FF"/>
    <w:rsid w:val="00823174"/>
    <w:rsid w:val="0082366B"/>
    <w:rsid w:val="008241AE"/>
    <w:rsid w:val="00824602"/>
    <w:rsid w:val="00824A70"/>
    <w:rsid w:val="008250A3"/>
    <w:rsid w:val="00825751"/>
    <w:rsid w:val="00825963"/>
    <w:rsid w:val="00825A3C"/>
    <w:rsid w:val="00825A5A"/>
    <w:rsid w:val="00825D3C"/>
    <w:rsid w:val="008264EB"/>
    <w:rsid w:val="008268A1"/>
    <w:rsid w:val="008268CE"/>
    <w:rsid w:val="00827014"/>
    <w:rsid w:val="0082749C"/>
    <w:rsid w:val="008274C5"/>
    <w:rsid w:val="0082757D"/>
    <w:rsid w:val="0082775D"/>
    <w:rsid w:val="00827C23"/>
    <w:rsid w:val="00827D4E"/>
    <w:rsid w:val="008302A6"/>
    <w:rsid w:val="00830608"/>
    <w:rsid w:val="008307CE"/>
    <w:rsid w:val="00830847"/>
    <w:rsid w:val="00830ECE"/>
    <w:rsid w:val="00831066"/>
    <w:rsid w:val="008319F1"/>
    <w:rsid w:val="00831BF8"/>
    <w:rsid w:val="00832494"/>
    <w:rsid w:val="008328C7"/>
    <w:rsid w:val="00832D48"/>
    <w:rsid w:val="008335DE"/>
    <w:rsid w:val="008338DC"/>
    <w:rsid w:val="00833B05"/>
    <w:rsid w:val="00833DC3"/>
    <w:rsid w:val="008351FA"/>
    <w:rsid w:val="0083551F"/>
    <w:rsid w:val="008362B4"/>
    <w:rsid w:val="008362FB"/>
    <w:rsid w:val="008364AB"/>
    <w:rsid w:val="0083684E"/>
    <w:rsid w:val="008372EF"/>
    <w:rsid w:val="008401DD"/>
    <w:rsid w:val="00840518"/>
    <w:rsid w:val="008406DE"/>
    <w:rsid w:val="00840CA2"/>
    <w:rsid w:val="00840DA0"/>
    <w:rsid w:val="00840E53"/>
    <w:rsid w:val="008415EE"/>
    <w:rsid w:val="00841699"/>
    <w:rsid w:val="00841959"/>
    <w:rsid w:val="00841C48"/>
    <w:rsid w:val="00841C6E"/>
    <w:rsid w:val="00841DEF"/>
    <w:rsid w:val="00841E84"/>
    <w:rsid w:val="00841F47"/>
    <w:rsid w:val="00842EF0"/>
    <w:rsid w:val="00842FD0"/>
    <w:rsid w:val="0084310B"/>
    <w:rsid w:val="00843591"/>
    <w:rsid w:val="0084374F"/>
    <w:rsid w:val="008437A8"/>
    <w:rsid w:val="008445C2"/>
    <w:rsid w:val="00844A22"/>
    <w:rsid w:val="00845205"/>
    <w:rsid w:val="008454E7"/>
    <w:rsid w:val="00845BCE"/>
    <w:rsid w:val="00845C94"/>
    <w:rsid w:val="00845E52"/>
    <w:rsid w:val="008462B4"/>
    <w:rsid w:val="008467A3"/>
    <w:rsid w:val="00846AE5"/>
    <w:rsid w:val="00846E0B"/>
    <w:rsid w:val="00847602"/>
    <w:rsid w:val="008476C0"/>
    <w:rsid w:val="00847703"/>
    <w:rsid w:val="00847DF5"/>
    <w:rsid w:val="00847E50"/>
    <w:rsid w:val="0085017E"/>
    <w:rsid w:val="00850809"/>
    <w:rsid w:val="00850908"/>
    <w:rsid w:val="00850E6B"/>
    <w:rsid w:val="008512A0"/>
    <w:rsid w:val="008513A5"/>
    <w:rsid w:val="008515FA"/>
    <w:rsid w:val="008517F8"/>
    <w:rsid w:val="008519AB"/>
    <w:rsid w:val="00851A91"/>
    <w:rsid w:val="00852260"/>
    <w:rsid w:val="00852529"/>
    <w:rsid w:val="008526CD"/>
    <w:rsid w:val="008526F7"/>
    <w:rsid w:val="0085309D"/>
    <w:rsid w:val="008531A6"/>
    <w:rsid w:val="008535E3"/>
    <w:rsid w:val="00853B16"/>
    <w:rsid w:val="0085414F"/>
    <w:rsid w:val="00854546"/>
    <w:rsid w:val="00856897"/>
    <w:rsid w:val="00856E9A"/>
    <w:rsid w:val="008572E7"/>
    <w:rsid w:val="0085739C"/>
    <w:rsid w:val="008573DE"/>
    <w:rsid w:val="008578C1"/>
    <w:rsid w:val="00857EE9"/>
    <w:rsid w:val="0086075D"/>
    <w:rsid w:val="008611BA"/>
    <w:rsid w:val="008617FB"/>
    <w:rsid w:val="00861815"/>
    <w:rsid w:val="008619CF"/>
    <w:rsid w:val="00861B0C"/>
    <w:rsid w:val="00862502"/>
    <w:rsid w:val="00862CC1"/>
    <w:rsid w:val="008630C7"/>
    <w:rsid w:val="00863A9F"/>
    <w:rsid w:val="0086414C"/>
    <w:rsid w:val="00864188"/>
    <w:rsid w:val="0086425C"/>
    <w:rsid w:val="008642A7"/>
    <w:rsid w:val="008643DC"/>
    <w:rsid w:val="008653EA"/>
    <w:rsid w:val="00865418"/>
    <w:rsid w:val="0086579C"/>
    <w:rsid w:val="008660D4"/>
    <w:rsid w:val="0086622E"/>
    <w:rsid w:val="0086748B"/>
    <w:rsid w:val="008675F7"/>
    <w:rsid w:val="008676C8"/>
    <w:rsid w:val="008676D5"/>
    <w:rsid w:val="00867710"/>
    <w:rsid w:val="008677BF"/>
    <w:rsid w:val="00867DA9"/>
    <w:rsid w:val="0087019B"/>
    <w:rsid w:val="00870390"/>
    <w:rsid w:val="008708B7"/>
    <w:rsid w:val="008708D0"/>
    <w:rsid w:val="00870A48"/>
    <w:rsid w:val="00870D71"/>
    <w:rsid w:val="00870EE7"/>
    <w:rsid w:val="00870FA1"/>
    <w:rsid w:val="008715E2"/>
    <w:rsid w:val="00871BCE"/>
    <w:rsid w:val="00871FA9"/>
    <w:rsid w:val="008724E7"/>
    <w:rsid w:val="0087252A"/>
    <w:rsid w:val="008728E9"/>
    <w:rsid w:val="008730FF"/>
    <w:rsid w:val="008734D7"/>
    <w:rsid w:val="00873B5F"/>
    <w:rsid w:val="008746EC"/>
    <w:rsid w:val="00874F78"/>
    <w:rsid w:val="0087514D"/>
    <w:rsid w:val="0087524B"/>
    <w:rsid w:val="00875443"/>
    <w:rsid w:val="00875818"/>
    <w:rsid w:val="00875ADC"/>
    <w:rsid w:val="00875CF3"/>
    <w:rsid w:val="008765B9"/>
    <w:rsid w:val="0087781A"/>
    <w:rsid w:val="00880737"/>
    <w:rsid w:val="00880C6A"/>
    <w:rsid w:val="00880F4E"/>
    <w:rsid w:val="008816A5"/>
    <w:rsid w:val="00882035"/>
    <w:rsid w:val="00882327"/>
    <w:rsid w:val="0088277C"/>
    <w:rsid w:val="008827AC"/>
    <w:rsid w:val="00882874"/>
    <w:rsid w:val="00882E17"/>
    <w:rsid w:val="00882E3C"/>
    <w:rsid w:val="0088308A"/>
    <w:rsid w:val="00883787"/>
    <w:rsid w:val="00883C78"/>
    <w:rsid w:val="008848F0"/>
    <w:rsid w:val="0088498C"/>
    <w:rsid w:val="008855E4"/>
    <w:rsid w:val="00885CDB"/>
    <w:rsid w:val="008862C6"/>
    <w:rsid w:val="00886352"/>
    <w:rsid w:val="008863DC"/>
    <w:rsid w:val="008868CE"/>
    <w:rsid w:val="00886CD2"/>
    <w:rsid w:val="00886D7F"/>
    <w:rsid w:val="008870C4"/>
    <w:rsid w:val="008873DB"/>
    <w:rsid w:val="00887483"/>
    <w:rsid w:val="008876E4"/>
    <w:rsid w:val="00887F8A"/>
    <w:rsid w:val="008900C0"/>
    <w:rsid w:val="00890DB5"/>
    <w:rsid w:val="00890F02"/>
    <w:rsid w:val="00891241"/>
    <w:rsid w:val="008912BD"/>
    <w:rsid w:val="008914C0"/>
    <w:rsid w:val="0089152A"/>
    <w:rsid w:val="008916C6"/>
    <w:rsid w:val="00891E6F"/>
    <w:rsid w:val="00891E73"/>
    <w:rsid w:val="008921C8"/>
    <w:rsid w:val="0089275D"/>
    <w:rsid w:val="00892A36"/>
    <w:rsid w:val="00892E1A"/>
    <w:rsid w:val="00892EF7"/>
    <w:rsid w:val="00893239"/>
    <w:rsid w:val="00893295"/>
    <w:rsid w:val="00893481"/>
    <w:rsid w:val="00893CAB"/>
    <w:rsid w:val="00893E58"/>
    <w:rsid w:val="0089410D"/>
    <w:rsid w:val="0089420E"/>
    <w:rsid w:val="00894489"/>
    <w:rsid w:val="008946EF"/>
    <w:rsid w:val="0089490E"/>
    <w:rsid w:val="00894BF5"/>
    <w:rsid w:val="00894CA4"/>
    <w:rsid w:val="00894CD6"/>
    <w:rsid w:val="00894D2D"/>
    <w:rsid w:val="00894F8C"/>
    <w:rsid w:val="00895D51"/>
    <w:rsid w:val="008963A5"/>
    <w:rsid w:val="00896D5D"/>
    <w:rsid w:val="00896D6E"/>
    <w:rsid w:val="00896EDE"/>
    <w:rsid w:val="00896FC6"/>
    <w:rsid w:val="00897298"/>
    <w:rsid w:val="00897463"/>
    <w:rsid w:val="008975CD"/>
    <w:rsid w:val="00897940"/>
    <w:rsid w:val="00897E76"/>
    <w:rsid w:val="008A021D"/>
    <w:rsid w:val="008A0315"/>
    <w:rsid w:val="008A0722"/>
    <w:rsid w:val="008A0D19"/>
    <w:rsid w:val="008A1001"/>
    <w:rsid w:val="008A1DF9"/>
    <w:rsid w:val="008A1F66"/>
    <w:rsid w:val="008A217F"/>
    <w:rsid w:val="008A225D"/>
    <w:rsid w:val="008A3158"/>
    <w:rsid w:val="008A3363"/>
    <w:rsid w:val="008A3371"/>
    <w:rsid w:val="008A374A"/>
    <w:rsid w:val="008A3C3E"/>
    <w:rsid w:val="008A42F8"/>
    <w:rsid w:val="008A44F7"/>
    <w:rsid w:val="008A48AE"/>
    <w:rsid w:val="008A49DF"/>
    <w:rsid w:val="008A4A37"/>
    <w:rsid w:val="008A4FF9"/>
    <w:rsid w:val="008A56CE"/>
    <w:rsid w:val="008A5828"/>
    <w:rsid w:val="008A5CEC"/>
    <w:rsid w:val="008A6AD4"/>
    <w:rsid w:val="008A706F"/>
    <w:rsid w:val="008A709C"/>
    <w:rsid w:val="008A71A5"/>
    <w:rsid w:val="008A733C"/>
    <w:rsid w:val="008A751D"/>
    <w:rsid w:val="008A756C"/>
    <w:rsid w:val="008A773F"/>
    <w:rsid w:val="008A79DE"/>
    <w:rsid w:val="008A7AD2"/>
    <w:rsid w:val="008A7D9C"/>
    <w:rsid w:val="008A7F43"/>
    <w:rsid w:val="008B00EC"/>
    <w:rsid w:val="008B110B"/>
    <w:rsid w:val="008B13BC"/>
    <w:rsid w:val="008B1757"/>
    <w:rsid w:val="008B1A0B"/>
    <w:rsid w:val="008B1C33"/>
    <w:rsid w:val="008B1C6E"/>
    <w:rsid w:val="008B2CC1"/>
    <w:rsid w:val="008B3FD1"/>
    <w:rsid w:val="008B44EF"/>
    <w:rsid w:val="008B4513"/>
    <w:rsid w:val="008B4B6F"/>
    <w:rsid w:val="008B5428"/>
    <w:rsid w:val="008B5889"/>
    <w:rsid w:val="008B5B57"/>
    <w:rsid w:val="008B5DED"/>
    <w:rsid w:val="008B61D0"/>
    <w:rsid w:val="008B63DB"/>
    <w:rsid w:val="008B7173"/>
    <w:rsid w:val="008B7367"/>
    <w:rsid w:val="008B777A"/>
    <w:rsid w:val="008B7992"/>
    <w:rsid w:val="008B7BBF"/>
    <w:rsid w:val="008B7D7E"/>
    <w:rsid w:val="008C02E0"/>
    <w:rsid w:val="008C07C0"/>
    <w:rsid w:val="008C0DB9"/>
    <w:rsid w:val="008C0EFB"/>
    <w:rsid w:val="008C1E97"/>
    <w:rsid w:val="008C1F4A"/>
    <w:rsid w:val="008C210D"/>
    <w:rsid w:val="008C21D3"/>
    <w:rsid w:val="008C2AF7"/>
    <w:rsid w:val="008C2B0E"/>
    <w:rsid w:val="008C3231"/>
    <w:rsid w:val="008C37E5"/>
    <w:rsid w:val="008C429B"/>
    <w:rsid w:val="008C44AA"/>
    <w:rsid w:val="008C46A6"/>
    <w:rsid w:val="008C4B6A"/>
    <w:rsid w:val="008C4E7B"/>
    <w:rsid w:val="008C50D7"/>
    <w:rsid w:val="008C5610"/>
    <w:rsid w:val="008C5739"/>
    <w:rsid w:val="008C57DA"/>
    <w:rsid w:val="008C58F9"/>
    <w:rsid w:val="008C607A"/>
    <w:rsid w:val="008C7282"/>
    <w:rsid w:val="008C77A0"/>
    <w:rsid w:val="008C7A57"/>
    <w:rsid w:val="008C7ECB"/>
    <w:rsid w:val="008D0618"/>
    <w:rsid w:val="008D0B3C"/>
    <w:rsid w:val="008D0B52"/>
    <w:rsid w:val="008D0E31"/>
    <w:rsid w:val="008D176A"/>
    <w:rsid w:val="008D19BE"/>
    <w:rsid w:val="008D2217"/>
    <w:rsid w:val="008D282B"/>
    <w:rsid w:val="008D294F"/>
    <w:rsid w:val="008D2BA0"/>
    <w:rsid w:val="008D33BB"/>
    <w:rsid w:val="008D363C"/>
    <w:rsid w:val="008D39C3"/>
    <w:rsid w:val="008D39E5"/>
    <w:rsid w:val="008D3B86"/>
    <w:rsid w:val="008D3C21"/>
    <w:rsid w:val="008D41B0"/>
    <w:rsid w:val="008D43FD"/>
    <w:rsid w:val="008D4489"/>
    <w:rsid w:val="008D44B6"/>
    <w:rsid w:val="008D45F5"/>
    <w:rsid w:val="008D4755"/>
    <w:rsid w:val="008D4C3D"/>
    <w:rsid w:val="008D5521"/>
    <w:rsid w:val="008D5B55"/>
    <w:rsid w:val="008D5B6D"/>
    <w:rsid w:val="008D65EF"/>
    <w:rsid w:val="008D69A8"/>
    <w:rsid w:val="008D6AD5"/>
    <w:rsid w:val="008D743C"/>
    <w:rsid w:val="008D757C"/>
    <w:rsid w:val="008D7F96"/>
    <w:rsid w:val="008E0960"/>
    <w:rsid w:val="008E0D3C"/>
    <w:rsid w:val="008E11E3"/>
    <w:rsid w:val="008E1547"/>
    <w:rsid w:val="008E1B9E"/>
    <w:rsid w:val="008E1C44"/>
    <w:rsid w:val="008E1FC9"/>
    <w:rsid w:val="008E22CB"/>
    <w:rsid w:val="008E2548"/>
    <w:rsid w:val="008E25DF"/>
    <w:rsid w:val="008E2823"/>
    <w:rsid w:val="008E2963"/>
    <w:rsid w:val="008E2A57"/>
    <w:rsid w:val="008E2CC0"/>
    <w:rsid w:val="008E3035"/>
    <w:rsid w:val="008E36A2"/>
    <w:rsid w:val="008E384B"/>
    <w:rsid w:val="008E3863"/>
    <w:rsid w:val="008E387A"/>
    <w:rsid w:val="008E3AF9"/>
    <w:rsid w:val="008E3CEA"/>
    <w:rsid w:val="008E3D43"/>
    <w:rsid w:val="008E426D"/>
    <w:rsid w:val="008E47CB"/>
    <w:rsid w:val="008E4840"/>
    <w:rsid w:val="008E55AB"/>
    <w:rsid w:val="008E5675"/>
    <w:rsid w:val="008E60C6"/>
    <w:rsid w:val="008E6BBC"/>
    <w:rsid w:val="008E6E17"/>
    <w:rsid w:val="008E7CEC"/>
    <w:rsid w:val="008E7EF0"/>
    <w:rsid w:val="008F087C"/>
    <w:rsid w:val="008F0B3C"/>
    <w:rsid w:val="008F120A"/>
    <w:rsid w:val="008F1246"/>
    <w:rsid w:val="008F13E4"/>
    <w:rsid w:val="008F1815"/>
    <w:rsid w:val="008F186D"/>
    <w:rsid w:val="008F1E49"/>
    <w:rsid w:val="008F23B5"/>
    <w:rsid w:val="008F27E0"/>
    <w:rsid w:val="008F29DD"/>
    <w:rsid w:val="008F2B80"/>
    <w:rsid w:val="008F31DA"/>
    <w:rsid w:val="008F33FB"/>
    <w:rsid w:val="008F432B"/>
    <w:rsid w:val="008F48EB"/>
    <w:rsid w:val="008F49D3"/>
    <w:rsid w:val="008F4F0B"/>
    <w:rsid w:val="008F503F"/>
    <w:rsid w:val="008F50D4"/>
    <w:rsid w:val="008F545F"/>
    <w:rsid w:val="008F57CE"/>
    <w:rsid w:val="008F653B"/>
    <w:rsid w:val="008F7771"/>
    <w:rsid w:val="008F7967"/>
    <w:rsid w:val="008F79AA"/>
    <w:rsid w:val="008F7A21"/>
    <w:rsid w:val="008F7A62"/>
    <w:rsid w:val="008F7AC7"/>
    <w:rsid w:val="008F7BEB"/>
    <w:rsid w:val="008F7CFE"/>
    <w:rsid w:val="008F7DAA"/>
    <w:rsid w:val="009000A4"/>
    <w:rsid w:val="009002BA"/>
    <w:rsid w:val="009002DF"/>
    <w:rsid w:val="0090063C"/>
    <w:rsid w:val="0090073E"/>
    <w:rsid w:val="00900C93"/>
    <w:rsid w:val="00900E73"/>
    <w:rsid w:val="009013BE"/>
    <w:rsid w:val="0090169F"/>
    <w:rsid w:val="009016FE"/>
    <w:rsid w:val="0090197B"/>
    <w:rsid w:val="00902352"/>
    <w:rsid w:val="00902CD6"/>
    <w:rsid w:val="00903169"/>
    <w:rsid w:val="009033A3"/>
    <w:rsid w:val="0090357C"/>
    <w:rsid w:val="009035C8"/>
    <w:rsid w:val="00903640"/>
    <w:rsid w:val="009039FC"/>
    <w:rsid w:val="00903D02"/>
    <w:rsid w:val="00903D62"/>
    <w:rsid w:val="009046C4"/>
    <w:rsid w:val="00904852"/>
    <w:rsid w:val="009048D6"/>
    <w:rsid w:val="00905277"/>
    <w:rsid w:val="009062A5"/>
    <w:rsid w:val="0090696F"/>
    <w:rsid w:val="009072FC"/>
    <w:rsid w:val="009075BC"/>
    <w:rsid w:val="00907699"/>
    <w:rsid w:val="0090791B"/>
    <w:rsid w:val="00907B78"/>
    <w:rsid w:val="00907EEF"/>
    <w:rsid w:val="00910FA7"/>
    <w:rsid w:val="00911272"/>
    <w:rsid w:val="00911299"/>
    <w:rsid w:val="009112E6"/>
    <w:rsid w:val="00911339"/>
    <w:rsid w:val="00911453"/>
    <w:rsid w:val="00911E6E"/>
    <w:rsid w:val="00912244"/>
    <w:rsid w:val="00912A28"/>
    <w:rsid w:val="00912E72"/>
    <w:rsid w:val="009135D6"/>
    <w:rsid w:val="009139AB"/>
    <w:rsid w:val="00914406"/>
    <w:rsid w:val="00914419"/>
    <w:rsid w:val="00914A29"/>
    <w:rsid w:val="00914C77"/>
    <w:rsid w:val="00915E75"/>
    <w:rsid w:val="00916374"/>
    <w:rsid w:val="00916BA2"/>
    <w:rsid w:val="00916E69"/>
    <w:rsid w:val="00916FD7"/>
    <w:rsid w:val="00917225"/>
    <w:rsid w:val="00917237"/>
    <w:rsid w:val="009173CF"/>
    <w:rsid w:val="009200DC"/>
    <w:rsid w:val="00920496"/>
    <w:rsid w:val="0092081C"/>
    <w:rsid w:val="009208E0"/>
    <w:rsid w:val="00920A7C"/>
    <w:rsid w:val="00920E40"/>
    <w:rsid w:val="009212C8"/>
    <w:rsid w:val="00921ACB"/>
    <w:rsid w:val="009223A1"/>
    <w:rsid w:val="00922AB6"/>
    <w:rsid w:val="00922B7D"/>
    <w:rsid w:val="00922DC8"/>
    <w:rsid w:val="00923024"/>
    <w:rsid w:val="00923106"/>
    <w:rsid w:val="009231D6"/>
    <w:rsid w:val="009232D9"/>
    <w:rsid w:val="0092369B"/>
    <w:rsid w:val="00923AD3"/>
    <w:rsid w:val="00923F70"/>
    <w:rsid w:val="00924004"/>
    <w:rsid w:val="00924174"/>
    <w:rsid w:val="00924214"/>
    <w:rsid w:val="00924715"/>
    <w:rsid w:val="009249C0"/>
    <w:rsid w:val="00924DA2"/>
    <w:rsid w:val="00925129"/>
    <w:rsid w:val="00925314"/>
    <w:rsid w:val="0092544E"/>
    <w:rsid w:val="0092579E"/>
    <w:rsid w:val="00925970"/>
    <w:rsid w:val="009262CA"/>
    <w:rsid w:val="00927296"/>
    <w:rsid w:val="00930055"/>
    <w:rsid w:val="00930519"/>
    <w:rsid w:val="00930B76"/>
    <w:rsid w:val="00931440"/>
    <w:rsid w:val="009315F8"/>
    <w:rsid w:val="00931BB0"/>
    <w:rsid w:val="00931E17"/>
    <w:rsid w:val="00931E79"/>
    <w:rsid w:val="00932619"/>
    <w:rsid w:val="0093317D"/>
    <w:rsid w:val="009333B6"/>
    <w:rsid w:val="00933774"/>
    <w:rsid w:val="00933FEA"/>
    <w:rsid w:val="009340F5"/>
    <w:rsid w:val="00934158"/>
    <w:rsid w:val="00934279"/>
    <w:rsid w:val="00934988"/>
    <w:rsid w:val="00934B5D"/>
    <w:rsid w:val="009359AF"/>
    <w:rsid w:val="0093619B"/>
    <w:rsid w:val="00936C2B"/>
    <w:rsid w:val="00937089"/>
    <w:rsid w:val="0093739B"/>
    <w:rsid w:val="009373D9"/>
    <w:rsid w:val="0093749E"/>
    <w:rsid w:val="00937629"/>
    <w:rsid w:val="00937C6A"/>
    <w:rsid w:val="00937CB4"/>
    <w:rsid w:val="0094007C"/>
    <w:rsid w:val="0094024D"/>
    <w:rsid w:val="00941220"/>
    <w:rsid w:val="00941C0F"/>
    <w:rsid w:val="009423CD"/>
    <w:rsid w:val="009425ED"/>
    <w:rsid w:val="00943682"/>
    <w:rsid w:val="00943A05"/>
    <w:rsid w:val="00944873"/>
    <w:rsid w:val="00944F8A"/>
    <w:rsid w:val="0094516F"/>
    <w:rsid w:val="0094597A"/>
    <w:rsid w:val="00945B56"/>
    <w:rsid w:val="00946249"/>
    <w:rsid w:val="00946602"/>
    <w:rsid w:val="009469D9"/>
    <w:rsid w:val="00946B83"/>
    <w:rsid w:val="00946E4D"/>
    <w:rsid w:val="00947525"/>
    <w:rsid w:val="00947677"/>
    <w:rsid w:val="00947683"/>
    <w:rsid w:val="00947C2C"/>
    <w:rsid w:val="00950065"/>
    <w:rsid w:val="009510A2"/>
    <w:rsid w:val="00951256"/>
    <w:rsid w:val="009527CE"/>
    <w:rsid w:val="00953257"/>
    <w:rsid w:val="00953626"/>
    <w:rsid w:val="0095436E"/>
    <w:rsid w:val="0095474C"/>
    <w:rsid w:val="00954A57"/>
    <w:rsid w:val="00954E20"/>
    <w:rsid w:val="00954F35"/>
    <w:rsid w:val="009551D5"/>
    <w:rsid w:val="0095540C"/>
    <w:rsid w:val="00955429"/>
    <w:rsid w:val="00955B61"/>
    <w:rsid w:val="0095626F"/>
    <w:rsid w:val="0095644E"/>
    <w:rsid w:val="00956811"/>
    <w:rsid w:val="00956E63"/>
    <w:rsid w:val="009576FA"/>
    <w:rsid w:val="00957D92"/>
    <w:rsid w:val="0096000C"/>
    <w:rsid w:val="00960590"/>
    <w:rsid w:val="00960CF1"/>
    <w:rsid w:val="0096111F"/>
    <w:rsid w:val="00961782"/>
    <w:rsid w:val="00961DFD"/>
    <w:rsid w:val="00962331"/>
    <w:rsid w:val="00962CB9"/>
    <w:rsid w:val="0096371E"/>
    <w:rsid w:val="009641E5"/>
    <w:rsid w:val="00964312"/>
    <w:rsid w:val="0096437E"/>
    <w:rsid w:val="00964BC8"/>
    <w:rsid w:val="00964C53"/>
    <w:rsid w:val="00965209"/>
    <w:rsid w:val="0096529F"/>
    <w:rsid w:val="009652E4"/>
    <w:rsid w:val="00965B8A"/>
    <w:rsid w:val="00965F1A"/>
    <w:rsid w:val="00966278"/>
    <w:rsid w:val="0096653E"/>
    <w:rsid w:val="00966903"/>
    <w:rsid w:val="00966A94"/>
    <w:rsid w:val="00967159"/>
    <w:rsid w:val="00967ADD"/>
    <w:rsid w:val="00967D30"/>
    <w:rsid w:val="00967D9F"/>
    <w:rsid w:val="00967EA9"/>
    <w:rsid w:val="0097071F"/>
    <w:rsid w:val="00970934"/>
    <w:rsid w:val="009709CE"/>
    <w:rsid w:val="00971505"/>
    <w:rsid w:val="009717AC"/>
    <w:rsid w:val="00971895"/>
    <w:rsid w:val="009720B4"/>
    <w:rsid w:val="00972626"/>
    <w:rsid w:val="009726E7"/>
    <w:rsid w:val="00972B20"/>
    <w:rsid w:val="00972E24"/>
    <w:rsid w:val="009731DE"/>
    <w:rsid w:val="009732B5"/>
    <w:rsid w:val="00973377"/>
    <w:rsid w:val="00973FFA"/>
    <w:rsid w:val="0097460E"/>
    <w:rsid w:val="00974A31"/>
    <w:rsid w:val="0097501C"/>
    <w:rsid w:val="009751C1"/>
    <w:rsid w:val="0097544E"/>
    <w:rsid w:val="00975610"/>
    <w:rsid w:val="00975F9B"/>
    <w:rsid w:val="00976726"/>
    <w:rsid w:val="00976904"/>
    <w:rsid w:val="00976AE5"/>
    <w:rsid w:val="00976B1F"/>
    <w:rsid w:val="00976D06"/>
    <w:rsid w:val="009771C3"/>
    <w:rsid w:val="00977DED"/>
    <w:rsid w:val="00980513"/>
    <w:rsid w:val="00980BF7"/>
    <w:rsid w:val="009811F1"/>
    <w:rsid w:val="009815BF"/>
    <w:rsid w:val="00981705"/>
    <w:rsid w:val="0098262F"/>
    <w:rsid w:val="009828BD"/>
    <w:rsid w:val="00982A96"/>
    <w:rsid w:val="00982E1C"/>
    <w:rsid w:val="0098347B"/>
    <w:rsid w:val="00983841"/>
    <w:rsid w:val="00983E57"/>
    <w:rsid w:val="0098488D"/>
    <w:rsid w:val="009849AF"/>
    <w:rsid w:val="00985065"/>
    <w:rsid w:val="0098520A"/>
    <w:rsid w:val="00985DE2"/>
    <w:rsid w:val="0098675D"/>
    <w:rsid w:val="00986860"/>
    <w:rsid w:val="009869EE"/>
    <w:rsid w:val="00986BA8"/>
    <w:rsid w:val="00987454"/>
    <w:rsid w:val="0098770B"/>
    <w:rsid w:val="00987BA4"/>
    <w:rsid w:val="00990AAF"/>
    <w:rsid w:val="00990AB6"/>
    <w:rsid w:val="00990DD5"/>
    <w:rsid w:val="00991B9B"/>
    <w:rsid w:val="00991BBD"/>
    <w:rsid w:val="00991FD5"/>
    <w:rsid w:val="00992486"/>
    <w:rsid w:val="009926E0"/>
    <w:rsid w:val="00992792"/>
    <w:rsid w:val="00992A1D"/>
    <w:rsid w:val="009932B5"/>
    <w:rsid w:val="0099333E"/>
    <w:rsid w:val="009938E0"/>
    <w:rsid w:val="009938E8"/>
    <w:rsid w:val="00994196"/>
    <w:rsid w:val="00994400"/>
    <w:rsid w:val="0099451E"/>
    <w:rsid w:val="00994B73"/>
    <w:rsid w:val="00994C05"/>
    <w:rsid w:val="00994F29"/>
    <w:rsid w:val="009950AC"/>
    <w:rsid w:val="00995332"/>
    <w:rsid w:val="009954B2"/>
    <w:rsid w:val="00995699"/>
    <w:rsid w:val="00995C11"/>
    <w:rsid w:val="009966A8"/>
    <w:rsid w:val="009967E7"/>
    <w:rsid w:val="009968F6"/>
    <w:rsid w:val="00996B1A"/>
    <w:rsid w:val="00997361"/>
    <w:rsid w:val="00997493"/>
    <w:rsid w:val="00997737"/>
    <w:rsid w:val="009977A1"/>
    <w:rsid w:val="00997C07"/>
    <w:rsid w:val="009A039A"/>
    <w:rsid w:val="009A042D"/>
    <w:rsid w:val="009A0523"/>
    <w:rsid w:val="009A1217"/>
    <w:rsid w:val="009A17A9"/>
    <w:rsid w:val="009A18F6"/>
    <w:rsid w:val="009A19E8"/>
    <w:rsid w:val="009A285F"/>
    <w:rsid w:val="009A2C11"/>
    <w:rsid w:val="009A2DCC"/>
    <w:rsid w:val="009A2DE5"/>
    <w:rsid w:val="009A2EBD"/>
    <w:rsid w:val="009A2F98"/>
    <w:rsid w:val="009A37E3"/>
    <w:rsid w:val="009A3F06"/>
    <w:rsid w:val="009A4101"/>
    <w:rsid w:val="009A4279"/>
    <w:rsid w:val="009A42C9"/>
    <w:rsid w:val="009A42EF"/>
    <w:rsid w:val="009A45BF"/>
    <w:rsid w:val="009A52A9"/>
    <w:rsid w:val="009A5ABC"/>
    <w:rsid w:val="009A5B5C"/>
    <w:rsid w:val="009A6A4E"/>
    <w:rsid w:val="009A6B16"/>
    <w:rsid w:val="009A6CAF"/>
    <w:rsid w:val="009A7B3F"/>
    <w:rsid w:val="009A7F10"/>
    <w:rsid w:val="009B030A"/>
    <w:rsid w:val="009B0D31"/>
    <w:rsid w:val="009B0E3C"/>
    <w:rsid w:val="009B1287"/>
    <w:rsid w:val="009B1322"/>
    <w:rsid w:val="009B193E"/>
    <w:rsid w:val="009B1F59"/>
    <w:rsid w:val="009B2554"/>
    <w:rsid w:val="009B26A5"/>
    <w:rsid w:val="009B2967"/>
    <w:rsid w:val="009B29D7"/>
    <w:rsid w:val="009B2A9C"/>
    <w:rsid w:val="009B2AC5"/>
    <w:rsid w:val="009B2AD1"/>
    <w:rsid w:val="009B2C17"/>
    <w:rsid w:val="009B35CD"/>
    <w:rsid w:val="009B35F7"/>
    <w:rsid w:val="009B396E"/>
    <w:rsid w:val="009B39D8"/>
    <w:rsid w:val="009B3DD3"/>
    <w:rsid w:val="009B3E26"/>
    <w:rsid w:val="009B40CE"/>
    <w:rsid w:val="009B41BC"/>
    <w:rsid w:val="009B4383"/>
    <w:rsid w:val="009B459E"/>
    <w:rsid w:val="009B49C9"/>
    <w:rsid w:val="009B4F4B"/>
    <w:rsid w:val="009B61F8"/>
    <w:rsid w:val="009B657E"/>
    <w:rsid w:val="009B74E9"/>
    <w:rsid w:val="009B7689"/>
    <w:rsid w:val="009C0E44"/>
    <w:rsid w:val="009C0EA2"/>
    <w:rsid w:val="009C10D2"/>
    <w:rsid w:val="009C1271"/>
    <w:rsid w:val="009C180D"/>
    <w:rsid w:val="009C1CF6"/>
    <w:rsid w:val="009C262D"/>
    <w:rsid w:val="009C2C5B"/>
    <w:rsid w:val="009C2F29"/>
    <w:rsid w:val="009C2FF0"/>
    <w:rsid w:val="009C316B"/>
    <w:rsid w:val="009C318A"/>
    <w:rsid w:val="009C33E9"/>
    <w:rsid w:val="009C3706"/>
    <w:rsid w:val="009C3A3A"/>
    <w:rsid w:val="009C3B47"/>
    <w:rsid w:val="009C4046"/>
    <w:rsid w:val="009C406E"/>
    <w:rsid w:val="009C426B"/>
    <w:rsid w:val="009C4A97"/>
    <w:rsid w:val="009C4C9A"/>
    <w:rsid w:val="009C526D"/>
    <w:rsid w:val="009C541A"/>
    <w:rsid w:val="009C5F00"/>
    <w:rsid w:val="009C608B"/>
    <w:rsid w:val="009C620A"/>
    <w:rsid w:val="009C6558"/>
    <w:rsid w:val="009C6938"/>
    <w:rsid w:val="009C6B8D"/>
    <w:rsid w:val="009C6CEA"/>
    <w:rsid w:val="009C6E6D"/>
    <w:rsid w:val="009C741B"/>
    <w:rsid w:val="009C7468"/>
    <w:rsid w:val="009C7B85"/>
    <w:rsid w:val="009D0254"/>
    <w:rsid w:val="009D0424"/>
    <w:rsid w:val="009D04D3"/>
    <w:rsid w:val="009D0AF9"/>
    <w:rsid w:val="009D0DB5"/>
    <w:rsid w:val="009D14F9"/>
    <w:rsid w:val="009D1A64"/>
    <w:rsid w:val="009D1B75"/>
    <w:rsid w:val="009D2329"/>
    <w:rsid w:val="009D2476"/>
    <w:rsid w:val="009D2953"/>
    <w:rsid w:val="009D2D8E"/>
    <w:rsid w:val="009D2EB3"/>
    <w:rsid w:val="009D2ED0"/>
    <w:rsid w:val="009D2F80"/>
    <w:rsid w:val="009D3103"/>
    <w:rsid w:val="009D355E"/>
    <w:rsid w:val="009D3A19"/>
    <w:rsid w:val="009D3BAA"/>
    <w:rsid w:val="009D3FDF"/>
    <w:rsid w:val="009D4078"/>
    <w:rsid w:val="009D4096"/>
    <w:rsid w:val="009D4285"/>
    <w:rsid w:val="009D468D"/>
    <w:rsid w:val="009D4C0F"/>
    <w:rsid w:val="009D517E"/>
    <w:rsid w:val="009D537A"/>
    <w:rsid w:val="009D5B91"/>
    <w:rsid w:val="009D6825"/>
    <w:rsid w:val="009D68F9"/>
    <w:rsid w:val="009D6A50"/>
    <w:rsid w:val="009D6E46"/>
    <w:rsid w:val="009D6E8E"/>
    <w:rsid w:val="009D7929"/>
    <w:rsid w:val="009D792E"/>
    <w:rsid w:val="009D79E1"/>
    <w:rsid w:val="009D7A58"/>
    <w:rsid w:val="009E0A9F"/>
    <w:rsid w:val="009E0B54"/>
    <w:rsid w:val="009E0DFE"/>
    <w:rsid w:val="009E261D"/>
    <w:rsid w:val="009E27DE"/>
    <w:rsid w:val="009E28AC"/>
    <w:rsid w:val="009E2C1D"/>
    <w:rsid w:val="009E2EC0"/>
    <w:rsid w:val="009E302C"/>
    <w:rsid w:val="009E31F6"/>
    <w:rsid w:val="009E3817"/>
    <w:rsid w:val="009E3C78"/>
    <w:rsid w:val="009E3EC1"/>
    <w:rsid w:val="009E3EE8"/>
    <w:rsid w:val="009E3F17"/>
    <w:rsid w:val="009E4670"/>
    <w:rsid w:val="009E4C07"/>
    <w:rsid w:val="009E51C8"/>
    <w:rsid w:val="009E51E4"/>
    <w:rsid w:val="009E55D8"/>
    <w:rsid w:val="009E6785"/>
    <w:rsid w:val="009E6870"/>
    <w:rsid w:val="009E7319"/>
    <w:rsid w:val="009E731A"/>
    <w:rsid w:val="009E7560"/>
    <w:rsid w:val="009E76DF"/>
    <w:rsid w:val="009E777F"/>
    <w:rsid w:val="009E7DC6"/>
    <w:rsid w:val="009F007F"/>
    <w:rsid w:val="009F0130"/>
    <w:rsid w:val="009F02C3"/>
    <w:rsid w:val="009F063F"/>
    <w:rsid w:val="009F0E93"/>
    <w:rsid w:val="009F118E"/>
    <w:rsid w:val="009F1489"/>
    <w:rsid w:val="009F1BC7"/>
    <w:rsid w:val="009F1EB8"/>
    <w:rsid w:val="009F2A2D"/>
    <w:rsid w:val="009F2C1A"/>
    <w:rsid w:val="009F2D89"/>
    <w:rsid w:val="009F308C"/>
    <w:rsid w:val="009F34C6"/>
    <w:rsid w:val="009F3B4B"/>
    <w:rsid w:val="009F3F38"/>
    <w:rsid w:val="009F5037"/>
    <w:rsid w:val="009F51F1"/>
    <w:rsid w:val="009F57AB"/>
    <w:rsid w:val="009F5AC9"/>
    <w:rsid w:val="009F6120"/>
    <w:rsid w:val="009F6422"/>
    <w:rsid w:val="009F6A2E"/>
    <w:rsid w:val="009F72B2"/>
    <w:rsid w:val="009F7CFE"/>
    <w:rsid w:val="009F7F23"/>
    <w:rsid w:val="00A00354"/>
    <w:rsid w:val="00A004EC"/>
    <w:rsid w:val="00A0056F"/>
    <w:rsid w:val="00A0065F"/>
    <w:rsid w:val="00A00D76"/>
    <w:rsid w:val="00A00E22"/>
    <w:rsid w:val="00A01184"/>
    <w:rsid w:val="00A01275"/>
    <w:rsid w:val="00A01449"/>
    <w:rsid w:val="00A01980"/>
    <w:rsid w:val="00A01F40"/>
    <w:rsid w:val="00A022F8"/>
    <w:rsid w:val="00A02445"/>
    <w:rsid w:val="00A024CA"/>
    <w:rsid w:val="00A02665"/>
    <w:rsid w:val="00A02AB5"/>
    <w:rsid w:val="00A02FFC"/>
    <w:rsid w:val="00A035E4"/>
    <w:rsid w:val="00A037C2"/>
    <w:rsid w:val="00A03871"/>
    <w:rsid w:val="00A03C9F"/>
    <w:rsid w:val="00A03D43"/>
    <w:rsid w:val="00A03DF8"/>
    <w:rsid w:val="00A03FAF"/>
    <w:rsid w:val="00A04018"/>
    <w:rsid w:val="00A042E6"/>
    <w:rsid w:val="00A04380"/>
    <w:rsid w:val="00A04786"/>
    <w:rsid w:val="00A047FA"/>
    <w:rsid w:val="00A04C5B"/>
    <w:rsid w:val="00A05472"/>
    <w:rsid w:val="00A05C1C"/>
    <w:rsid w:val="00A05C32"/>
    <w:rsid w:val="00A05D85"/>
    <w:rsid w:val="00A064CF"/>
    <w:rsid w:val="00A0653F"/>
    <w:rsid w:val="00A06698"/>
    <w:rsid w:val="00A06F4D"/>
    <w:rsid w:val="00A06FD7"/>
    <w:rsid w:val="00A07205"/>
    <w:rsid w:val="00A072D4"/>
    <w:rsid w:val="00A10108"/>
    <w:rsid w:val="00A10309"/>
    <w:rsid w:val="00A1099A"/>
    <w:rsid w:val="00A1137A"/>
    <w:rsid w:val="00A1170E"/>
    <w:rsid w:val="00A11761"/>
    <w:rsid w:val="00A11CD0"/>
    <w:rsid w:val="00A126BC"/>
    <w:rsid w:val="00A12700"/>
    <w:rsid w:val="00A12ADB"/>
    <w:rsid w:val="00A1305B"/>
    <w:rsid w:val="00A1326A"/>
    <w:rsid w:val="00A13552"/>
    <w:rsid w:val="00A13658"/>
    <w:rsid w:val="00A13948"/>
    <w:rsid w:val="00A13D39"/>
    <w:rsid w:val="00A14279"/>
    <w:rsid w:val="00A1474A"/>
    <w:rsid w:val="00A1555B"/>
    <w:rsid w:val="00A155C5"/>
    <w:rsid w:val="00A15976"/>
    <w:rsid w:val="00A15AF4"/>
    <w:rsid w:val="00A1647B"/>
    <w:rsid w:val="00A16531"/>
    <w:rsid w:val="00A16AD8"/>
    <w:rsid w:val="00A16DE0"/>
    <w:rsid w:val="00A171AD"/>
    <w:rsid w:val="00A174B6"/>
    <w:rsid w:val="00A17924"/>
    <w:rsid w:val="00A17955"/>
    <w:rsid w:val="00A2012C"/>
    <w:rsid w:val="00A20200"/>
    <w:rsid w:val="00A2021E"/>
    <w:rsid w:val="00A202AB"/>
    <w:rsid w:val="00A204D4"/>
    <w:rsid w:val="00A204D9"/>
    <w:rsid w:val="00A2057A"/>
    <w:rsid w:val="00A20863"/>
    <w:rsid w:val="00A208E9"/>
    <w:rsid w:val="00A211DD"/>
    <w:rsid w:val="00A2172F"/>
    <w:rsid w:val="00A21884"/>
    <w:rsid w:val="00A21C95"/>
    <w:rsid w:val="00A21CF3"/>
    <w:rsid w:val="00A220B8"/>
    <w:rsid w:val="00A22F81"/>
    <w:rsid w:val="00A234B5"/>
    <w:rsid w:val="00A23E23"/>
    <w:rsid w:val="00A24149"/>
    <w:rsid w:val="00A2450D"/>
    <w:rsid w:val="00A2452E"/>
    <w:rsid w:val="00A2461B"/>
    <w:rsid w:val="00A247C6"/>
    <w:rsid w:val="00A24813"/>
    <w:rsid w:val="00A25350"/>
    <w:rsid w:val="00A253E7"/>
    <w:rsid w:val="00A25EE6"/>
    <w:rsid w:val="00A25F87"/>
    <w:rsid w:val="00A26266"/>
    <w:rsid w:val="00A2652D"/>
    <w:rsid w:val="00A26546"/>
    <w:rsid w:val="00A266AB"/>
    <w:rsid w:val="00A26732"/>
    <w:rsid w:val="00A26B86"/>
    <w:rsid w:val="00A26E3B"/>
    <w:rsid w:val="00A274D2"/>
    <w:rsid w:val="00A27657"/>
    <w:rsid w:val="00A27704"/>
    <w:rsid w:val="00A2771E"/>
    <w:rsid w:val="00A27AEC"/>
    <w:rsid w:val="00A27B1F"/>
    <w:rsid w:val="00A301B5"/>
    <w:rsid w:val="00A307AB"/>
    <w:rsid w:val="00A30D21"/>
    <w:rsid w:val="00A30E4D"/>
    <w:rsid w:val="00A319DB"/>
    <w:rsid w:val="00A320DB"/>
    <w:rsid w:val="00A3286E"/>
    <w:rsid w:val="00A32974"/>
    <w:rsid w:val="00A32FDA"/>
    <w:rsid w:val="00A33973"/>
    <w:rsid w:val="00A339C6"/>
    <w:rsid w:val="00A34053"/>
    <w:rsid w:val="00A341CA"/>
    <w:rsid w:val="00A34528"/>
    <w:rsid w:val="00A3521D"/>
    <w:rsid w:val="00A3597A"/>
    <w:rsid w:val="00A35ABE"/>
    <w:rsid w:val="00A35D16"/>
    <w:rsid w:val="00A361E7"/>
    <w:rsid w:val="00A366CC"/>
    <w:rsid w:val="00A36718"/>
    <w:rsid w:val="00A3718F"/>
    <w:rsid w:val="00A372E4"/>
    <w:rsid w:val="00A37693"/>
    <w:rsid w:val="00A37BCD"/>
    <w:rsid w:val="00A37DA0"/>
    <w:rsid w:val="00A40179"/>
    <w:rsid w:val="00A402B6"/>
    <w:rsid w:val="00A405B2"/>
    <w:rsid w:val="00A4081B"/>
    <w:rsid w:val="00A40E7D"/>
    <w:rsid w:val="00A415B7"/>
    <w:rsid w:val="00A41689"/>
    <w:rsid w:val="00A417BA"/>
    <w:rsid w:val="00A418C6"/>
    <w:rsid w:val="00A4191E"/>
    <w:rsid w:val="00A41E21"/>
    <w:rsid w:val="00A41F11"/>
    <w:rsid w:val="00A42592"/>
    <w:rsid w:val="00A42639"/>
    <w:rsid w:val="00A426B2"/>
    <w:rsid w:val="00A42775"/>
    <w:rsid w:val="00A42DEB"/>
    <w:rsid w:val="00A43545"/>
    <w:rsid w:val="00A43733"/>
    <w:rsid w:val="00A43C59"/>
    <w:rsid w:val="00A43EFA"/>
    <w:rsid w:val="00A43FA7"/>
    <w:rsid w:val="00A44104"/>
    <w:rsid w:val="00A44285"/>
    <w:rsid w:val="00A44A76"/>
    <w:rsid w:val="00A45074"/>
    <w:rsid w:val="00A4528E"/>
    <w:rsid w:val="00A45341"/>
    <w:rsid w:val="00A45F4F"/>
    <w:rsid w:val="00A467E5"/>
    <w:rsid w:val="00A46D19"/>
    <w:rsid w:val="00A478B4"/>
    <w:rsid w:val="00A47979"/>
    <w:rsid w:val="00A47D55"/>
    <w:rsid w:val="00A47F2D"/>
    <w:rsid w:val="00A5040A"/>
    <w:rsid w:val="00A50ECD"/>
    <w:rsid w:val="00A518F3"/>
    <w:rsid w:val="00A51C00"/>
    <w:rsid w:val="00A52729"/>
    <w:rsid w:val="00A5275A"/>
    <w:rsid w:val="00A52D22"/>
    <w:rsid w:val="00A52F5D"/>
    <w:rsid w:val="00A52F6F"/>
    <w:rsid w:val="00A53675"/>
    <w:rsid w:val="00A53800"/>
    <w:rsid w:val="00A53D18"/>
    <w:rsid w:val="00A53DA4"/>
    <w:rsid w:val="00A53E97"/>
    <w:rsid w:val="00A53F0A"/>
    <w:rsid w:val="00A53FB1"/>
    <w:rsid w:val="00A549A2"/>
    <w:rsid w:val="00A54E84"/>
    <w:rsid w:val="00A55509"/>
    <w:rsid w:val="00A55A56"/>
    <w:rsid w:val="00A55D82"/>
    <w:rsid w:val="00A55F60"/>
    <w:rsid w:val="00A56074"/>
    <w:rsid w:val="00A564D7"/>
    <w:rsid w:val="00A5680A"/>
    <w:rsid w:val="00A56865"/>
    <w:rsid w:val="00A56B01"/>
    <w:rsid w:val="00A56B5E"/>
    <w:rsid w:val="00A56B6A"/>
    <w:rsid w:val="00A56CBD"/>
    <w:rsid w:val="00A56DF3"/>
    <w:rsid w:val="00A576DC"/>
    <w:rsid w:val="00A57867"/>
    <w:rsid w:val="00A578DC"/>
    <w:rsid w:val="00A57E6F"/>
    <w:rsid w:val="00A6009A"/>
    <w:rsid w:val="00A600F7"/>
    <w:rsid w:val="00A60BE5"/>
    <w:rsid w:val="00A60CF6"/>
    <w:rsid w:val="00A6160B"/>
    <w:rsid w:val="00A616CF"/>
    <w:rsid w:val="00A61B64"/>
    <w:rsid w:val="00A626C5"/>
    <w:rsid w:val="00A6273F"/>
    <w:rsid w:val="00A62D1A"/>
    <w:rsid w:val="00A62E48"/>
    <w:rsid w:val="00A62E4C"/>
    <w:rsid w:val="00A6304C"/>
    <w:rsid w:val="00A63455"/>
    <w:rsid w:val="00A640E2"/>
    <w:rsid w:val="00A643FA"/>
    <w:rsid w:val="00A64489"/>
    <w:rsid w:val="00A64A72"/>
    <w:rsid w:val="00A64D65"/>
    <w:rsid w:val="00A64D9B"/>
    <w:rsid w:val="00A64FD2"/>
    <w:rsid w:val="00A65374"/>
    <w:rsid w:val="00A65426"/>
    <w:rsid w:val="00A655D5"/>
    <w:rsid w:val="00A65C1A"/>
    <w:rsid w:val="00A660CB"/>
    <w:rsid w:val="00A66867"/>
    <w:rsid w:val="00A6721A"/>
    <w:rsid w:val="00A6725B"/>
    <w:rsid w:val="00A676C0"/>
    <w:rsid w:val="00A676DE"/>
    <w:rsid w:val="00A67931"/>
    <w:rsid w:val="00A67AB7"/>
    <w:rsid w:val="00A67F41"/>
    <w:rsid w:val="00A67F7E"/>
    <w:rsid w:val="00A70426"/>
    <w:rsid w:val="00A70605"/>
    <w:rsid w:val="00A70B2B"/>
    <w:rsid w:val="00A70CE8"/>
    <w:rsid w:val="00A70F76"/>
    <w:rsid w:val="00A71A0A"/>
    <w:rsid w:val="00A71BA5"/>
    <w:rsid w:val="00A71D4A"/>
    <w:rsid w:val="00A7206A"/>
    <w:rsid w:val="00A7209D"/>
    <w:rsid w:val="00A7251C"/>
    <w:rsid w:val="00A727DE"/>
    <w:rsid w:val="00A72983"/>
    <w:rsid w:val="00A73134"/>
    <w:rsid w:val="00A733B2"/>
    <w:rsid w:val="00A7363C"/>
    <w:rsid w:val="00A7365A"/>
    <w:rsid w:val="00A73C9B"/>
    <w:rsid w:val="00A74556"/>
    <w:rsid w:val="00A74900"/>
    <w:rsid w:val="00A749AE"/>
    <w:rsid w:val="00A74F9D"/>
    <w:rsid w:val="00A74FE2"/>
    <w:rsid w:val="00A753F1"/>
    <w:rsid w:val="00A758D3"/>
    <w:rsid w:val="00A76001"/>
    <w:rsid w:val="00A7699B"/>
    <w:rsid w:val="00A76AD4"/>
    <w:rsid w:val="00A777B2"/>
    <w:rsid w:val="00A77C20"/>
    <w:rsid w:val="00A77DDE"/>
    <w:rsid w:val="00A81438"/>
    <w:rsid w:val="00A816E8"/>
    <w:rsid w:val="00A823AD"/>
    <w:rsid w:val="00A8251A"/>
    <w:rsid w:val="00A825D4"/>
    <w:rsid w:val="00A828F6"/>
    <w:rsid w:val="00A82B17"/>
    <w:rsid w:val="00A82B73"/>
    <w:rsid w:val="00A8300C"/>
    <w:rsid w:val="00A83DE1"/>
    <w:rsid w:val="00A84367"/>
    <w:rsid w:val="00A84A1D"/>
    <w:rsid w:val="00A8563E"/>
    <w:rsid w:val="00A8577C"/>
    <w:rsid w:val="00A85A34"/>
    <w:rsid w:val="00A85AD3"/>
    <w:rsid w:val="00A85CB0"/>
    <w:rsid w:val="00A85DF4"/>
    <w:rsid w:val="00A8614E"/>
    <w:rsid w:val="00A861E7"/>
    <w:rsid w:val="00A862A0"/>
    <w:rsid w:val="00A868A2"/>
    <w:rsid w:val="00A869A3"/>
    <w:rsid w:val="00A86E8B"/>
    <w:rsid w:val="00A87164"/>
    <w:rsid w:val="00A871A9"/>
    <w:rsid w:val="00A87322"/>
    <w:rsid w:val="00A87392"/>
    <w:rsid w:val="00A876B5"/>
    <w:rsid w:val="00A87CF3"/>
    <w:rsid w:val="00A87D0D"/>
    <w:rsid w:val="00A90277"/>
    <w:rsid w:val="00A902C7"/>
    <w:rsid w:val="00A90341"/>
    <w:rsid w:val="00A90347"/>
    <w:rsid w:val="00A9051B"/>
    <w:rsid w:val="00A90559"/>
    <w:rsid w:val="00A9055C"/>
    <w:rsid w:val="00A90809"/>
    <w:rsid w:val="00A90F7C"/>
    <w:rsid w:val="00A91029"/>
    <w:rsid w:val="00A913D8"/>
    <w:rsid w:val="00A914AA"/>
    <w:rsid w:val="00A91FF9"/>
    <w:rsid w:val="00A9236C"/>
    <w:rsid w:val="00A92840"/>
    <w:rsid w:val="00A92BE3"/>
    <w:rsid w:val="00A92E7F"/>
    <w:rsid w:val="00A93072"/>
    <w:rsid w:val="00A9315D"/>
    <w:rsid w:val="00A93339"/>
    <w:rsid w:val="00A938BD"/>
    <w:rsid w:val="00A93953"/>
    <w:rsid w:val="00A9404D"/>
    <w:rsid w:val="00A94241"/>
    <w:rsid w:val="00A94346"/>
    <w:rsid w:val="00A949E8"/>
    <w:rsid w:val="00A94CE3"/>
    <w:rsid w:val="00A95942"/>
    <w:rsid w:val="00A959D8"/>
    <w:rsid w:val="00A95D50"/>
    <w:rsid w:val="00A95EB8"/>
    <w:rsid w:val="00A96126"/>
    <w:rsid w:val="00A96345"/>
    <w:rsid w:val="00A965A9"/>
    <w:rsid w:val="00A975C9"/>
    <w:rsid w:val="00AA004B"/>
    <w:rsid w:val="00AA0EAC"/>
    <w:rsid w:val="00AA113D"/>
    <w:rsid w:val="00AA1443"/>
    <w:rsid w:val="00AA1D78"/>
    <w:rsid w:val="00AA1F26"/>
    <w:rsid w:val="00AA2AEF"/>
    <w:rsid w:val="00AA3593"/>
    <w:rsid w:val="00AA37C2"/>
    <w:rsid w:val="00AA3ADA"/>
    <w:rsid w:val="00AA3D73"/>
    <w:rsid w:val="00AA43BD"/>
    <w:rsid w:val="00AA49D6"/>
    <w:rsid w:val="00AA4B98"/>
    <w:rsid w:val="00AA5415"/>
    <w:rsid w:val="00AA5869"/>
    <w:rsid w:val="00AA58F7"/>
    <w:rsid w:val="00AA6283"/>
    <w:rsid w:val="00AA6BD5"/>
    <w:rsid w:val="00AA6BD8"/>
    <w:rsid w:val="00AA6C7D"/>
    <w:rsid w:val="00AA7492"/>
    <w:rsid w:val="00AA78A7"/>
    <w:rsid w:val="00AA7FD6"/>
    <w:rsid w:val="00AB036A"/>
    <w:rsid w:val="00AB0388"/>
    <w:rsid w:val="00AB042A"/>
    <w:rsid w:val="00AB0476"/>
    <w:rsid w:val="00AB065D"/>
    <w:rsid w:val="00AB06CB"/>
    <w:rsid w:val="00AB0E29"/>
    <w:rsid w:val="00AB11AD"/>
    <w:rsid w:val="00AB19EF"/>
    <w:rsid w:val="00AB1A20"/>
    <w:rsid w:val="00AB2495"/>
    <w:rsid w:val="00AB2976"/>
    <w:rsid w:val="00AB2AD3"/>
    <w:rsid w:val="00AB2D34"/>
    <w:rsid w:val="00AB2DA1"/>
    <w:rsid w:val="00AB3127"/>
    <w:rsid w:val="00AB3252"/>
    <w:rsid w:val="00AB32A2"/>
    <w:rsid w:val="00AB3430"/>
    <w:rsid w:val="00AB345C"/>
    <w:rsid w:val="00AB37B9"/>
    <w:rsid w:val="00AB3AD9"/>
    <w:rsid w:val="00AB3CBD"/>
    <w:rsid w:val="00AB447A"/>
    <w:rsid w:val="00AB4907"/>
    <w:rsid w:val="00AB4AD1"/>
    <w:rsid w:val="00AB514D"/>
    <w:rsid w:val="00AB5166"/>
    <w:rsid w:val="00AB5989"/>
    <w:rsid w:val="00AB5E07"/>
    <w:rsid w:val="00AB65E5"/>
    <w:rsid w:val="00AB746C"/>
    <w:rsid w:val="00AB7736"/>
    <w:rsid w:val="00AB779A"/>
    <w:rsid w:val="00AB79DE"/>
    <w:rsid w:val="00AB7CFA"/>
    <w:rsid w:val="00AB7FEB"/>
    <w:rsid w:val="00AC00D3"/>
    <w:rsid w:val="00AC04F3"/>
    <w:rsid w:val="00AC07A9"/>
    <w:rsid w:val="00AC0D3A"/>
    <w:rsid w:val="00AC0EC9"/>
    <w:rsid w:val="00AC1199"/>
    <w:rsid w:val="00AC23D2"/>
    <w:rsid w:val="00AC2E21"/>
    <w:rsid w:val="00AC38B5"/>
    <w:rsid w:val="00AC3C1A"/>
    <w:rsid w:val="00AC3E00"/>
    <w:rsid w:val="00AC47AA"/>
    <w:rsid w:val="00AC505D"/>
    <w:rsid w:val="00AC5559"/>
    <w:rsid w:val="00AC57CD"/>
    <w:rsid w:val="00AC5ABD"/>
    <w:rsid w:val="00AC5B22"/>
    <w:rsid w:val="00AC5B42"/>
    <w:rsid w:val="00AC5B48"/>
    <w:rsid w:val="00AC63DD"/>
    <w:rsid w:val="00AC695B"/>
    <w:rsid w:val="00AC6A74"/>
    <w:rsid w:val="00AC7411"/>
    <w:rsid w:val="00AC77FC"/>
    <w:rsid w:val="00AC7BF7"/>
    <w:rsid w:val="00AC7E10"/>
    <w:rsid w:val="00AC7E5B"/>
    <w:rsid w:val="00AD06A0"/>
    <w:rsid w:val="00AD06DA"/>
    <w:rsid w:val="00AD0AD9"/>
    <w:rsid w:val="00AD0D12"/>
    <w:rsid w:val="00AD0FD1"/>
    <w:rsid w:val="00AD103D"/>
    <w:rsid w:val="00AD1450"/>
    <w:rsid w:val="00AD156C"/>
    <w:rsid w:val="00AD15E8"/>
    <w:rsid w:val="00AD1D3D"/>
    <w:rsid w:val="00AD216F"/>
    <w:rsid w:val="00AD283E"/>
    <w:rsid w:val="00AD28E2"/>
    <w:rsid w:val="00AD2E7D"/>
    <w:rsid w:val="00AD313D"/>
    <w:rsid w:val="00AD32F0"/>
    <w:rsid w:val="00AD356D"/>
    <w:rsid w:val="00AD397C"/>
    <w:rsid w:val="00AD3C7E"/>
    <w:rsid w:val="00AD456B"/>
    <w:rsid w:val="00AD470F"/>
    <w:rsid w:val="00AD513A"/>
    <w:rsid w:val="00AD5145"/>
    <w:rsid w:val="00AD55B2"/>
    <w:rsid w:val="00AD633A"/>
    <w:rsid w:val="00AD6393"/>
    <w:rsid w:val="00AD6502"/>
    <w:rsid w:val="00AD6CA1"/>
    <w:rsid w:val="00AD6E16"/>
    <w:rsid w:val="00AD6E36"/>
    <w:rsid w:val="00AD70CF"/>
    <w:rsid w:val="00AD72C2"/>
    <w:rsid w:val="00AD74C9"/>
    <w:rsid w:val="00AE0197"/>
    <w:rsid w:val="00AE03C4"/>
    <w:rsid w:val="00AE0695"/>
    <w:rsid w:val="00AE1266"/>
    <w:rsid w:val="00AE1F72"/>
    <w:rsid w:val="00AE1FEF"/>
    <w:rsid w:val="00AE21EC"/>
    <w:rsid w:val="00AE22EC"/>
    <w:rsid w:val="00AE2459"/>
    <w:rsid w:val="00AE274F"/>
    <w:rsid w:val="00AE2975"/>
    <w:rsid w:val="00AE2DDF"/>
    <w:rsid w:val="00AE32A9"/>
    <w:rsid w:val="00AE37B6"/>
    <w:rsid w:val="00AE3D0F"/>
    <w:rsid w:val="00AE3DBB"/>
    <w:rsid w:val="00AE3E7E"/>
    <w:rsid w:val="00AE4D80"/>
    <w:rsid w:val="00AE514D"/>
    <w:rsid w:val="00AE5476"/>
    <w:rsid w:val="00AE56D1"/>
    <w:rsid w:val="00AE5726"/>
    <w:rsid w:val="00AE586D"/>
    <w:rsid w:val="00AE6362"/>
    <w:rsid w:val="00AE6A55"/>
    <w:rsid w:val="00AE6D8C"/>
    <w:rsid w:val="00AE748F"/>
    <w:rsid w:val="00AE7550"/>
    <w:rsid w:val="00AE788B"/>
    <w:rsid w:val="00AE7C2D"/>
    <w:rsid w:val="00AE7C8D"/>
    <w:rsid w:val="00AE7E53"/>
    <w:rsid w:val="00AF005A"/>
    <w:rsid w:val="00AF08FB"/>
    <w:rsid w:val="00AF0D4C"/>
    <w:rsid w:val="00AF1315"/>
    <w:rsid w:val="00AF19BF"/>
    <w:rsid w:val="00AF1D7F"/>
    <w:rsid w:val="00AF21B6"/>
    <w:rsid w:val="00AF238E"/>
    <w:rsid w:val="00AF242C"/>
    <w:rsid w:val="00AF28FF"/>
    <w:rsid w:val="00AF2CAE"/>
    <w:rsid w:val="00AF2DC3"/>
    <w:rsid w:val="00AF2F61"/>
    <w:rsid w:val="00AF31DE"/>
    <w:rsid w:val="00AF349D"/>
    <w:rsid w:val="00AF3F86"/>
    <w:rsid w:val="00AF4782"/>
    <w:rsid w:val="00AF4A2C"/>
    <w:rsid w:val="00AF5929"/>
    <w:rsid w:val="00AF5D2C"/>
    <w:rsid w:val="00AF6D24"/>
    <w:rsid w:val="00AF6EF5"/>
    <w:rsid w:val="00AF71C4"/>
    <w:rsid w:val="00AF7202"/>
    <w:rsid w:val="00AF7431"/>
    <w:rsid w:val="00AF743D"/>
    <w:rsid w:val="00AF76FB"/>
    <w:rsid w:val="00AF7A35"/>
    <w:rsid w:val="00AF7B62"/>
    <w:rsid w:val="00AF7CF4"/>
    <w:rsid w:val="00AF7F5F"/>
    <w:rsid w:val="00B0042A"/>
    <w:rsid w:val="00B00D75"/>
    <w:rsid w:val="00B0141A"/>
    <w:rsid w:val="00B016E9"/>
    <w:rsid w:val="00B01997"/>
    <w:rsid w:val="00B01AC9"/>
    <w:rsid w:val="00B01D12"/>
    <w:rsid w:val="00B01D76"/>
    <w:rsid w:val="00B02514"/>
    <w:rsid w:val="00B0307A"/>
    <w:rsid w:val="00B030A7"/>
    <w:rsid w:val="00B033E5"/>
    <w:rsid w:val="00B03A63"/>
    <w:rsid w:val="00B03B1E"/>
    <w:rsid w:val="00B03CFD"/>
    <w:rsid w:val="00B04096"/>
    <w:rsid w:val="00B046EE"/>
    <w:rsid w:val="00B0494B"/>
    <w:rsid w:val="00B04C0B"/>
    <w:rsid w:val="00B04CBD"/>
    <w:rsid w:val="00B056D0"/>
    <w:rsid w:val="00B05984"/>
    <w:rsid w:val="00B05F74"/>
    <w:rsid w:val="00B05FE4"/>
    <w:rsid w:val="00B061E6"/>
    <w:rsid w:val="00B06239"/>
    <w:rsid w:val="00B06951"/>
    <w:rsid w:val="00B0697D"/>
    <w:rsid w:val="00B06A7F"/>
    <w:rsid w:val="00B073A5"/>
    <w:rsid w:val="00B073C1"/>
    <w:rsid w:val="00B07581"/>
    <w:rsid w:val="00B078EC"/>
    <w:rsid w:val="00B07902"/>
    <w:rsid w:val="00B1025B"/>
    <w:rsid w:val="00B105CA"/>
    <w:rsid w:val="00B10D9C"/>
    <w:rsid w:val="00B11101"/>
    <w:rsid w:val="00B11FCB"/>
    <w:rsid w:val="00B120B4"/>
    <w:rsid w:val="00B125C2"/>
    <w:rsid w:val="00B1268A"/>
    <w:rsid w:val="00B12710"/>
    <w:rsid w:val="00B1278F"/>
    <w:rsid w:val="00B129A4"/>
    <w:rsid w:val="00B13830"/>
    <w:rsid w:val="00B13D68"/>
    <w:rsid w:val="00B14056"/>
    <w:rsid w:val="00B14F69"/>
    <w:rsid w:val="00B154B2"/>
    <w:rsid w:val="00B1560B"/>
    <w:rsid w:val="00B15CDA"/>
    <w:rsid w:val="00B16478"/>
    <w:rsid w:val="00B16DE3"/>
    <w:rsid w:val="00B16E99"/>
    <w:rsid w:val="00B16ED8"/>
    <w:rsid w:val="00B16F8D"/>
    <w:rsid w:val="00B17302"/>
    <w:rsid w:val="00B175BF"/>
    <w:rsid w:val="00B17626"/>
    <w:rsid w:val="00B176C1"/>
    <w:rsid w:val="00B178F6"/>
    <w:rsid w:val="00B17AC7"/>
    <w:rsid w:val="00B201A4"/>
    <w:rsid w:val="00B201D1"/>
    <w:rsid w:val="00B20894"/>
    <w:rsid w:val="00B209AE"/>
    <w:rsid w:val="00B213A6"/>
    <w:rsid w:val="00B21752"/>
    <w:rsid w:val="00B21C16"/>
    <w:rsid w:val="00B21F88"/>
    <w:rsid w:val="00B22064"/>
    <w:rsid w:val="00B22285"/>
    <w:rsid w:val="00B2233A"/>
    <w:rsid w:val="00B225F5"/>
    <w:rsid w:val="00B22E59"/>
    <w:rsid w:val="00B22F2E"/>
    <w:rsid w:val="00B235B0"/>
    <w:rsid w:val="00B23781"/>
    <w:rsid w:val="00B23D63"/>
    <w:rsid w:val="00B2468C"/>
    <w:rsid w:val="00B24836"/>
    <w:rsid w:val="00B24A94"/>
    <w:rsid w:val="00B24DF6"/>
    <w:rsid w:val="00B25245"/>
    <w:rsid w:val="00B25680"/>
    <w:rsid w:val="00B26566"/>
    <w:rsid w:val="00B26853"/>
    <w:rsid w:val="00B268E1"/>
    <w:rsid w:val="00B26EB8"/>
    <w:rsid w:val="00B26F7D"/>
    <w:rsid w:val="00B27300"/>
    <w:rsid w:val="00B27A61"/>
    <w:rsid w:val="00B27E21"/>
    <w:rsid w:val="00B27E2A"/>
    <w:rsid w:val="00B30713"/>
    <w:rsid w:val="00B3098C"/>
    <w:rsid w:val="00B30C17"/>
    <w:rsid w:val="00B30CBB"/>
    <w:rsid w:val="00B30F1E"/>
    <w:rsid w:val="00B32088"/>
    <w:rsid w:val="00B322CB"/>
    <w:rsid w:val="00B328AD"/>
    <w:rsid w:val="00B33159"/>
    <w:rsid w:val="00B3430C"/>
    <w:rsid w:val="00B343CB"/>
    <w:rsid w:val="00B34867"/>
    <w:rsid w:val="00B34FE2"/>
    <w:rsid w:val="00B35031"/>
    <w:rsid w:val="00B35166"/>
    <w:rsid w:val="00B351D6"/>
    <w:rsid w:val="00B3537D"/>
    <w:rsid w:val="00B353BF"/>
    <w:rsid w:val="00B357D8"/>
    <w:rsid w:val="00B35AE7"/>
    <w:rsid w:val="00B35B3E"/>
    <w:rsid w:val="00B35BB5"/>
    <w:rsid w:val="00B35BC8"/>
    <w:rsid w:val="00B360F4"/>
    <w:rsid w:val="00B3691F"/>
    <w:rsid w:val="00B36A00"/>
    <w:rsid w:val="00B37269"/>
    <w:rsid w:val="00B372BB"/>
    <w:rsid w:val="00B37435"/>
    <w:rsid w:val="00B37565"/>
    <w:rsid w:val="00B3787B"/>
    <w:rsid w:val="00B3792B"/>
    <w:rsid w:val="00B37BFC"/>
    <w:rsid w:val="00B40358"/>
    <w:rsid w:val="00B4156F"/>
    <w:rsid w:val="00B41614"/>
    <w:rsid w:val="00B41A28"/>
    <w:rsid w:val="00B42558"/>
    <w:rsid w:val="00B42851"/>
    <w:rsid w:val="00B42F80"/>
    <w:rsid w:val="00B432D9"/>
    <w:rsid w:val="00B433FD"/>
    <w:rsid w:val="00B435CB"/>
    <w:rsid w:val="00B43CFD"/>
    <w:rsid w:val="00B447E3"/>
    <w:rsid w:val="00B44A92"/>
    <w:rsid w:val="00B44C5E"/>
    <w:rsid w:val="00B44E3B"/>
    <w:rsid w:val="00B44FBE"/>
    <w:rsid w:val="00B450ED"/>
    <w:rsid w:val="00B453E8"/>
    <w:rsid w:val="00B45713"/>
    <w:rsid w:val="00B4598B"/>
    <w:rsid w:val="00B459F8"/>
    <w:rsid w:val="00B45C0E"/>
    <w:rsid w:val="00B46182"/>
    <w:rsid w:val="00B46270"/>
    <w:rsid w:val="00B46344"/>
    <w:rsid w:val="00B465EC"/>
    <w:rsid w:val="00B46670"/>
    <w:rsid w:val="00B46677"/>
    <w:rsid w:val="00B46767"/>
    <w:rsid w:val="00B468B0"/>
    <w:rsid w:val="00B46BBF"/>
    <w:rsid w:val="00B47111"/>
    <w:rsid w:val="00B50088"/>
    <w:rsid w:val="00B500D7"/>
    <w:rsid w:val="00B505C8"/>
    <w:rsid w:val="00B505CF"/>
    <w:rsid w:val="00B50DB8"/>
    <w:rsid w:val="00B51174"/>
    <w:rsid w:val="00B51CF9"/>
    <w:rsid w:val="00B51D35"/>
    <w:rsid w:val="00B51DF2"/>
    <w:rsid w:val="00B5308F"/>
    <w:rsid w:val="00B53112"/>
    <w:rsid w:val="00B53654"/>
    <w:rsid w:val="00B53905"/>
    <w:rsid w:val="00B53C9F"/>
    <w:rsid w:val="00B546DB"/>
    <w:rsid w:val="00B54A92"/>
    <w:rsid w:val="00B54B04"/>
    <w:rsid w:val="00B54B5B"/>
    <w:rsid w:val="00B5562E"/>
    <w:rsid w:val="00B55862"/>
    <w:rsid w:val="00B55D65"/>
    <w:rsid w:val="00B55E3A"/>
    <w:rsid w:val="00B55F65"/>
    <w:rsid w:val="00B56189"/>
    <w:rsid w:val="00B56305"/>
    <w:rsid w:val="00B569FD"/>
    <w:rsid w:val="00B57000"/>
    <w:rsid w:val="00B604A8"/>
    <w:rsid w:val="00B60939"/>
    <w:rsid w:val="00B60AFD"/>
    <w:rsid w:val="00B6116B"/>
    <w:rsid w:val="00B612AA"/>
    <w:rsid w:val="00B6161C"/>
    <w:rsid w:val="00B619CF"/>
    <w:rsid w:val="00B61ACE"/>
    <w:rsid w:val="00B61D46"/>
    <w:rsid w:val="00B61E60"/>
    <w:rsid w:val="00B6255A"/>
    <w:rsid w:val="00B62715"/>
    <w:rsid w:val="00B62723"/>
    <w:rsid w:val="00B62981"/>
    <w:rsid w:val="00B62B17"/>
    <w:rsid w:val="00B63114"/>
    <w:rsid w:val="00B63939"/>
    <w:rsid w:val="00B63C95"/>
    <w:rsid w:val="00B64D4A"/>
    <w:rsid w:val="00B6522C"/>
    <w:rsid w:val="00B65533"/>
    <w:rsid w:val="00B65611"/>
    <w:rsid w:val="00B66210"/>
    <w:rsid w:val="00B66816"/>
    <w:rsid w:val="00B66D12"/>
    <w:rsid w:val="00B66FC4"/>
    <w:rsid w:val="00B67EDF"/>
    <w:rsid w:val="00B70012"/>
    <w:rsid w:val="00B7007E"/>
    <w:rsid w:val="00B706A0"/>
    <w:rsid w:val="00B7090E"/>
    <w:rsid w:val="00B70B82"/>
    <w:rsid w:val="00B70E8E"/>
    <w:rsid w:val="00B71420"/>
    <w:rsid w:val="00B7150A"/>
    <w:rsid w:val="00B720EA"/>
    <w:rsid w:val="00B72C61"/>
    <w:rsid w:val="00B7319C"/>
    <w:rsid w:val="00B73A29"/>
    <w:rsid w:val="00B745C8"/>
    <w:rsid w:val="00B749FA"/>
    <w:rsid w:val="00B74B6F"/>
    <w:rsid w:val="00B74D35"/>
    <w:rsid w:val="00B74D4E"/>
    <w:rsid w:val="00B75360"/>
    <w:rsid w:val="00B75CE8"/>
    <w:rsid w:val="00B75E06"/>
    <w:rsid w:val="00B760AB"/>
    <w:rsid w:val="00B76C6C"/>
    <w:rsid w:val="00B76C92"/>
    <w:rsid w:val="00B76F12"/>
    <w:rsid w:val="00B775C2"/>
    <w:rsid w:val="00B77C73"/>
    <w:rsid w:val="00B806DD"/>
    <w:rsid w:val="00B80EFD"/>
    <w:rsid w:val="00B81891"/>
    <w:rsid w:val="00B818A4"/>
    <w:rsid w:val="00B81D3D"/>
    <w:rsid w:val="00B81DFA"/>
    <w:rsid w:val="00B82B09"/>
    <w:rsid w:val="00B82B71"/>
    <w:rsid w:val="00B83179"/>
    <w:rsid w:val="00B83739"/>
    <w:rsid w:val="00B84117"/>
    <w:rsid w:val="00B84350"/>
    <w:rsid w:val="00B84C33"/>
    <w:rsid w:val="00B85147"/>
    <w:rsid w:val="00B858F0"/>
    <w:rsid w:val="00B8598A"/>
    <w:rsid w:val="00B85A58"/>
    <w:rsid w:val="00B85AA2"/>
    <w:rsid w:val="00B8649C"/>
    <w:rsid w:val="00B8695D"/>
    <w:rsid w:val="00B87511"/>
    <w:rsid w:val="00B875D0"/>
    <w:rsid w:val="00B8772D"/>
    <w:rsid w:val="00B87CC0"/>
    <w:rsid w:val="00B87D98"/>
    <w:rsid w:val="00B87EC8"/>
    <w:rsid w:val="00B87F0A"/>
    <w:rsid w:val="00B90199"/>
    <w:rsid w:val="00B901D1"/>
    <w:rsid w:val="00B906F0"/>
    <w:rsid w:val="00B908E1"/>
    <w:rsid w:val="00B90A4C"/>
    <w:rsid w:val="00B90E28"/>
    <w:rsid w:val="00B90E36"/>
    <w:rsid w:val="00B91B93"/>
    <w:rsid w:val="00B924F9"/>
    <w:rsid w:val="00B92B0E"/>
    <w:rsid w:val="00B92B94"/>
    <w:rsid w:val="00B92C91"/>
    <w:rsid w:val="00B92CA0"/>
    <w:rsid w:val="00B92CD5"/>
    <w:rsid w:val="00B92D0B"/>
    <w:rsid w:val="00B9323D"/>
    <w:rsid w:val="00B938E3"/>
    <w:rsid w:val="00B93D5C"/>
    <w:rsid w:val="00B9445A"/>
    <w:rsid w:val="00B946F0"/>
    <w:rsid w:val="00B94945"/>
    <w:rsid w:val="00B94AD7"/>
    <w:rsid w:val="00B94DD6"/>
    <w:rsid w:val="00B9501D"/>
    <w:rsid w:val="00B95E7B"/>
    <w:rsid w:val="00B960AB"/>
    <w:rsid w:val="00B96769"/>
    <w:rsid w:val="00B96E6D"/>
    <w:rsid w:val="00B97541"/>
    <w:rsid w:val="00B977B9"/>
    <w:rsid w:val="00B978E6"/>
    <w:rsid w:val="00B97F55"/>
    <w:rsid w:val="00B97F8D"/>
    <w:rsid w:val="00BA00A8"/>
    <w:rsid w:val="00BA0913"/>
    <w:rsid w:val="00BA0A06"/>
    <w:rsid w:val="00BA23EB"/>
    <w:rsid w:val="00BA24B0"/>
    <w:rsid w:val="00BA2887"/>
    <w:rsid w:val="00BA322D"/>
    <w:rsid w:val="00BA32A5"/>
    <w:rsid w:val="00BA332C"/>
    <w:rsid w:val="00BA3455"/>
    <w:rsid w:val="00BA39C1"/>
    <w:rsid w:val="00BA3B08"/>
    <w:rsid w:val="00BA3C19"/>
    <w:rsid w:val="00BA3C20"/>
    <w:rsid w:val="00BA485B"/>
    <w:rsid w:val="00BA4DC9"/>
    <w:rsid w:val="00BA4F3B"/>
    <w:rsid w:val="00BA5601"/>
    <w:rsid w:val="00BA5668"/>
    <w:rsid w:val="00BA5BFF"/>
    <w:rsid w:val="00BA5C2C"/>
    <w:rsid w:val="00BA62D9"/>
    <w:rsid w:val="00BA63FA"/>
    <w:rsid w:val="00BA6EC7"/>
    <w:rsid w:val="00BA7756"/>
    <w:rsid w:val="00BA791B"/>
    <w:rsid w:val="00BA7A1D"/>
    <w:rsid w:val="00BB0008"/>
    <w:rsid w:val="00BB00B3"/>
    <w:rsid w:val="00BB0701"/>
    <w:rsid w:val="00BB07F6"/>
    <w:rsid w:val="00BB0BDD"/>
    <w:rsid w:val="00BB13EC"/>
    <w:rsid w:val="00BB176C"/>
    <w:rsid w:val="00BB1821"/>
    <w:rsid w:val="00BB1A02"/>
    <w:rsid w:val="00BB1E32"/>
    <w:rsid w:val="00BB1EE7"/>
    <w:rsid w:val="00BB2A73"/>
    <w:rsid w:val="00BB33BB"/>
    <w:rsid w:val="00BB3A45"/>
    <w:rsid w:val="00BB3C33"/>
    <w:rsid w:val="00BB46FE"/>
    <w:rsid w:val="00BB4ACC"/>
    <w:rsid w:val="00BB4C3B"/>
    <w:rsid w:val="00BB4DAB"/>
    <w:rsid w:val="00BB5338"/>
    <w:rsid w:val="00BB5615"/>
    <w:rsid w:val="00BB5693"/>
    <w:rsid w:val="00BB57FA"/>
    <w:rsid w:val="00BB60F5"/>
    <w:rsid w:val="00BB67A6"/>
    <w:rsid w:val="00BB6A5B"/>
    <w:rsid w:val="00BB6BC2"/>
    <w:rsid w:val="00BB703E"/>
    <w:rsid w:val="00BB7152"/>
    <w:rsid w:val="00BB72A5"/>
    <w:rsid w:val="00BB732D"/>
    <w:rsid w:val="00BB7405"/>
    <w:rsid w:val="00BB782A"/>
    <w:rsid w:val="00BB7A76"/>
    <w:rsid w:val="00BB7DED"/>
    <w:rsid w:val="00BC0756"/>
    <w:rsid w:val="00BC0968"/>
    <w:rsid w:val="00BC0A64"/>
    <w:rsid w:val="00BC0E56"/>
    <w:rsid w:val="00BC17F5"/>
    <w:rsid w:val="00BC18FE"/>
    <w:rsid w:val="00BC2358"/>
    <w:rsid w:val="00BC2884"/>
    <w:rsid w:val="00BC28F7"/>
    <w:rsid w:val="00BC2D7F"/>
    <w:rsid w:val="00BC2E26"/>
    <w:rsid w:val="00BC3631"/>
    <w:rsid w:val="00BC3BA9"/>
    <w:rsid w:val="00BC4BF9"/>
    <w:rsid w:val="00BC4D67"/>
    <w:rsid w:val="00BC53A7"/>
    <w:rsid w:val="00BC5623"/>
    <w:rsid w:val="00BC591F"/>
    <w:rsid w:val="00BC6EE3"/>
    <w:rsid w:val="00BC7087"/>
    <w:rsid w:val="00BC70EA"/>
    <w:rsid w:val="00BC7236"/>
    <w:rsid w:val="00BC73B1"/>
    <w:rsid w:val="00BC7D6D"/>
    <w:rsid w:val="00BD0882"/>
    <w:rsid w:val="00BD08AF"/>
    <w:rsid w:val="00BD0EA2"/>
    <w:rsid w:val="00BD17ED"/>
    <w:rsid w:val="00BD1F09"/>
    <w:rsid w:val="00BD1F9C"/>
    <w:rsid w:val="00BD2108"/>
    <w:rsid w:val="00BD2271"/>
    <w:rsid w:val="00BD2844"/>
    <w:rsid w:val="00BD299F"/>
    <w:rsid w:val="00BD29E9"/>
    <w:rsid w:val="00BD2BB6"/>
    <w:rsid w:val="00BD2C68"/>
    <w:rsid w:val="00BD47AA"/>
    <w:rsid w:val="00BD4928"/>
    <w:rsid w:val="00BD4A3D"/>
    <w:rsid w:val="00BD57D9"/>
    <w:rsid w:val="00BD5C41"/>
    <w:rsid w:val="00BD68A3"/>
    <w:rsid w:val="00BD6938"/>
    <w:rsid w:val="00BD695F"/>
    <w:rsid w:val="00BD6C90"/>
    <w:rsid w:val="00BD6CF3"/>
    <w:rsid w:val="00BD6D37"/>
    <w:rsid w:val="00BD6D94"/>
    <w:rsid w:val="00BD6FC0"/>
    <w:rsid w:val="00BD750E"/>
    <w:rsid w:val="00BD763C"/>
    <w:rsid w:val="00BD7754"/>
    <w:rsid w:val="00BD7C5C"/>
    <w:rsid w:val="00BD7F72"/>
    <w:rsid w:val="00BE015E"/>
    <w:rsid w:val="00BE02EE"/>
    <w:rsid w:val="00BE0741"/>
    <w:rsid w:val="00BE0ECA"/>
    <w:rsid w:val="00BE11B3"/>
    <w:rsid w:val="00BE11BE"/>
    <w:rsid w:val="00BE1A1E"/>
    <w:rsid w:val="00BE2180"/>
    <w:rsid w:val="00BE21F2"/>
    <w:rsid w:val="00BE2EB3"/>
    <w:rsid w:val="00BE3621"/>
    <w:rsid w:val="00BE3FA5"/>
    <w:rsid w:val="00BE4275"/>
    <w:rsid w:val="00BE4B0E"/>
    <w:rsid w:val="00BE535E"/>
    <w:rsid w:val="00BE55C7"/>
    <w:rsid w:val="00BE5717"/>
    <w:rsid w:val="00BE606E"/>
    <w:rsid w:val="00BE6820"/>
    <w:rsid w:val="00BE715C"/>
    <w:rsid w:val="00BF00F8"/>
    <w:rsid w:val="00BF0512"/>
    <w:rsid w:val="00BF06AE"/>
    <w:rsid w:val="00BF0ADE"/>
    <w:rsid w:val="00BF0BB3"/>
    <w:rsid w:val="00BF0F95"/>
    <w:rsid w:val="00BF1DB1"/>
    <w:rsid w:val="00BF1E13"/>
    <w:rsid w:val="00BF1E6C"/>
    <w:rsid w:val="00BF2433"/>
    <w:rsid w:val="00BF2688"/>
    <w:rsid w:val="00BF2E6E"/>
    <w:rsid w:val="00BF3FEC"/>
    <w:rsid w:val="00BF4E87"/>
    <w:rsid w:val="00BF5075"/>
    <w:rsid w:val="00BF5461"/>
    <w:rsid w:val="00BF5487"/>
    <w:rsid w:val="00BF56C0"/>
    <w:rsid w:val="00BF56F8"/>
    <w:rsid w:val="00BF5D39"/>
    <w:rsid w:val="00BF61C9"/>
    <w:rsid w:val="00BF6858"/>
    <w:rsid w:val="00BF6C94"/>
    <w:rsid w:val="00BF6F1B"/>
    <w:rsid w:val="00BF756C"/>
    <w:rsid w:val="00BF782D"/>
    <w:rsid w:val="00BF79C9"/>
    <w:rsid w:val="00BF7A61"/>
    <w:rsid w:val="00BF7C50"/>
    <w:rsid w:val="00BF7C9B"/>
    <w:rsid w:val="00BF7E4B"/>
    <w:rsid w:val="00C00249"/>
    <w:rsid w:val="00C00424"/>
    <w:rsid w:val="00C00BB0"/>
    <w:rsid w:val="00C01034"/>
    <w:rsid w:val="00C01215"/>
    <w:rsid w:val="00C013EC"/>
    <w:rsid w:val="00C018DE"/>
    <w:rsid w:val="00C02100"/>
    <w:rsid w:val="00C02389"/>
    <w:rsid w:val="00C0246A"/>
    <w:rsid w:val="00C0275F"/>
    <w:rsid w:val="00C0277D"/>
    <w:rsid w:val="00C0280B"/>
    <w:rsid w:val="00C03451"/>
    <w:rsid w:val="00C0399C"/>
    <w:rsid w:val="00C03A28"/>
    <w:rsid w:val="00C03A9F"/>
    <w:rsid w:val="00C0556C"/>
    <w:rsid w:val="00C0567E"/>
    <w:rsid w:val="00C05CF2"/>
    <w:rsid w:val="00C05E2C"/>
    <w:rsid w:val="00C0607A"/>
    <w:rsid w:val="00C06D1C"/>
    <w:rsid w:val="00C06E78"/>
    <w:rsid w:val="00C073E0"/>
    <w:rsid w:val="00C074F0"/>
    <w:rsid w:val="00C07FB5"/>
    <w:rsid w:val="00C1064F"/>
    <w:rsid w:val="00C10942"/>
    <w:rsid w:val="00C1103A"/>
    <w:rsid w:val="00C1123F"/>
    <w:rsid w:val="00C115DD"/>
    <w:rsid w:val="00C1179F"/>
    <w:rsid w:val="00C11819"/>
    <w:rsid w:val="00C11946"/>
    <w:rsid w:val="00C11C87"/>
    <w:rsid w:val="00C12783"/>
    <w:rsid w:val="00C127B9"/>
    <w:rsid w:val="00C128FA"/>
    <w:rsid w:val="00C12993"/>
    <w:rsid w:val="00C12BA5"/>
    <w:rsid w:val="00C12C14"/>
    <w:rsid w:val="00C12C98"/>
    <w:rsid w:val="00C12D06"/>
    <w:rsid w:val="00C12DCA"/>
    <w:rsid w:val="00C12EDD"/>
    <w:rsid w:val="00C13305"/>
    <w:rsid w:val="00C13337"/>
    <w:rsid w:val="00C1379C"/>
    <w:rsid w:val="00C149F4"/>
    <w:rsid w:val="00C14AE8"/>
    <w:rsid w:val="00C14D81"/>
    <w:rsid w:val="00C1591A"/>
    <w:rsid w:val="00C15A62"/>
    <w:rsid w:val="00C15B91"/>
    <w:rsid w:val="00C15C8E"/>
    <w:rsid w:val="00C15F04"/>
    <w:rsid w:val="00C175FD"/>
    <w:rsid w:val="00C179B3"/>
    <w:rsid w:val="00C17E3F"/>
    <w:rsid w:val="00C200AA"/>
    <w:rsid w:val="00C20353"/>
    <w:rsid w:val="00C2044F"/>
    <w:rsid w:val="00C204A4"/>
    <w:rsid w:val="00C20793"/>
    <w:rsid w:val="00C209CD"/>
    <w:rsid w:val="00C20A8A"/>
    <w:rsid w:val="00C21BE6"/>
    <w:rsid w:val="00C21CD5"/>
    <w:rsid w:val="00C2247E"/>
    <w:rsid w:val="00C2252C"/>
    <w:rsid w:val="00C22DA1"/>
    <w:rsid w:val="00C2331E"/>
    <w:rsid w:val="00C236B6"/>
    <w:rsid w:val="00C236C3"/>
    <w:rsid w:val="00C237ED"/>
    <w:rsid w:val="00C2387A"/>
    <w:rsid w:val="00C239B0"/>
    <w:rsid w:val="00C23AA6"/>
    <w:rsid w:val="00C23AA9"/>
    <w:rsid w:val="00C23EDB"/>
    <w:rsid w:val="00C24324"/>
    <w:rsid w:val="00C24632"/>
    <w:rsid w:val="00C24A50"/>
    <w:rsid w:val="00C24F37"/>
    <w:rsid w:val="00C251B1"/>
    <w:rsid w:val="00C25418"/>
    <w:rsid w:val="00C259E2"/>
    <w:rsid w:val="00C25D4B"/>
    <w:rsid w:val="00C25D9C"/>
    <w:rsid w:val="00C26678"/>
    <w:rsid w:val="00C26713"/>
    <w:rsid w:val="00C26BEA"/>
    <w:rsid w:val="00C27365"/>
    <w:rsid w:val="00C2775D"/>
    <w:rsid w:val="00C2778B"/>
    <w:rsid w:val="00C27E7D"/>
    <w:rsid w:val="00C30362"/>
    <w:rsid w:val="00C30669"/>
    <w:rsid w:val="00C3068B"/>
    <w:rsid w:val="00C308E9"/>
    <w:rsid w:val="00C30A44"/>
    <w:rsid w:val="00C30D00"/>
    <w:rsid w:val="00C30E1D"/>
    <w:rsid w:val="00C3134B"/>
    <w:rsid w:val="00C314C0"/>
    <w:rsid w:val="00C3153D"/>
    <w:rsid w:val="00C31649"/>
    <w:rsid w:val="00C320A4"/>
    <w:rsid w:val="00C32585"/>
    <w:rsid w:val="00C32604"/>
    <w:rsid w:val="00C32D76"/>
    <w:rsid w:val="00C32F50"/>
    <w:rsid w:val="00C32F52"/>
    <w:rsid w:val="00C33465"/>
    <w:rsid w:val="00C334FA"/>
    <w:rsid w:val="00C33563"/>
    <w:rsid w:val="00C33A80"/>
    <w:rsid w:val="00C33E88"/>
    <w:rsid w:val="00C341F0"/>
    <w:rsid w:val="00C34312"/>
    <w:rsid w:val="00C3434C"/>
    <w:rsid w:val="00C3490E"/>
    <w:rsid w:val="00C34F8B"/>
    <w:rsid w:val="00C35069"/>
    <w:rsid w:val="00C35141"/>
    <w:rsid w:val="00C35667"/>
    <w:rsid w:val="00C35867"/>
    <w:rsid w:val="00C35B6A"/>
    <w:rsid w:val="00C35C1D"/>
    <w:rsid w:val="00C35FA8"/>
    <w:rsid w:val="00C3600C"/>
    <w:rsid w:val="00C36775"/>
    <w:rsid w:val="00C36D1B"/>
    <w:rsid w:val="00C40385"/>
    <w:rsid w:val="00C406AF"/>
    <w:rsid w:val="00C406BD"/>
    <w:rsid w:val="00C40BC4"/>
    <w:rsid w:val="00C410F5"/>
    <w:rsid w:val="00C41768"/>
    <w:rsid w:val="00C41A81"/>
    <w:rsid w:val="00C41ACC"/>
    <w:rsid w:val="00C4203B"/>
    <w:rsid w:val="00C42AEE"/>
    <w:rsid w:val="00C42E75"/>
    <w:rsid w:val="00C4307F"/>
    <w:rsid w:val="00C43768"/>
    <w:rsid w:val="00C43858"/>
    <w:rsid w:val="00C439B7"/>
    <w:rsid w:val="00C44670"/>
    <w:rsid w:val="00C44C00"/>
    <w:rsid w:val="00C44F0D"/>
    <w:rsid w:val="00C45452"/>
    <w:rsid w:val="00C455FA"/>
    <w:rsid w:val="00C45706"/>
    <w:rsid w:val="00C45B00"/>
    <w:rsid w:val="00C461E2"/>
    <w:rsid w:val="00C46A24"/>
    <w:rsid w:val="00C46A94"/>
    <w:rsid w:val="00C46FFF"/>
    <w:rsid w:val="00C47061"/>
    <w:rsid w:val="00C4752D"/>
    <w:rsid w:val="00C475AA"/>
    <w:rsid w:val="00C47B60"/>
    <w:rsid w:val="00C47D84"/>
    <w:rsid w:val="00C47DBF"/>
    <w:rsid w:val="00C50103"/>
    <w:rsid w:val="00C505EC"/>
    <w:rsid w:val="00C50E21"/>
    <w:rsid w:val="00C50FC2"/>
    <w:rsid w:val="00C511AD"/>
    <w:rsid w:val="00C514B0"/>
    <w:rsid w:val="00C516E2"/>
    <w:rsid w:val="00C51ADF"/>
    <w:rsid w:val="00C51ED4"/>
    <w:rsid w:val="00C52467"/>
    <w:rsid w:val="00C52754"/>
    <w:rsid w:val="00C527C7"/>
    <w:rsid w:val="00C53C98"/>
    <w:rsid w:val="00C54348"/>
    <w:rsid w:val="00C54496"/>
    <w:rsid w:val="00C5464B"/>
    <w:rsid w:val="00C55197"/>
    <w:rsid w:val="00C555E3"/>
    <w:rsid w:val="00C5589E"/>
    <w:rsid w:val="00C55F38"/>
    <w:rsid w:val="00C5601B"/>
    <w:rsid w:val="00C562B3"/>
    <w:rsid w:val="00C564EF"/>
    <w:rsid w:val="00C56610"/>
    <w:rsid w:val="00C56FCF"/>
    <w:rsid w:val="00C5714C"/>
    <w:rsid w:val="00C572F6"/>
    <w:rsid w:val="00C57B6C"/>
    <w:rsid w:val="00C60007"/>
    <w:rsid w:val="00C60AC0"/>
    <w:rsid w:val="00C60B91"/>
    <w:rsid w:val="00C61818"/>
    <w:rsid w:val="00C61A59"/>
    <w:rsid w:val="00C61E35"/>
    <w:rsid w:val="00C62057"/>
    <w:rsid w:val="00C6210E"/>
    <w:rsid w:val="00C628A6"/>
    <w:rsid w:val="00C63AAC"/>
    <w:rsid w:val="00C63BFE"/>
    <w:rsid w:val="00C64344"/>
    <w:rsid w:val="00C64B2A"/>
    <w:rsid w:val="00C65108"/>
    <w:rsid w:val="00C6547D"/>
    <w:rsid w:val="00C65576"/>
    <w:rsid w:val="00C65845"/>
    <w:rsid w:val="00C65FEB"/>
    <w:rsid w:val="00C66165"/>
    <w:rsid w:val="00C663D4"/>
    <w:rsid w:val="00C66A1C"/>
    <w:rsid w:val="00C671B0"/>
    <w:rsid w:val="00C672C2"/>
    <w:rsid w:val="00C6777E"/>
    <w:rsid w:val="00C677CB"/>
    <w:rsid w:val="00C67924"/>
    <w:rsid w:val="00C67A76"/>
    <w:rsid w:val="00C67D11"/>
    <w:rsid w:val="00C702ED"/>
    <w:rsid w:val="00C7060A"/>
    <w:rsid w:val="00C7095C"/>
    <w:rsid w:val="00C7151A"/>
    <w:rsid w:val="00C717E3"/>
    <w:rsid w:val="00C71C67"/>
    <w:rsid w:val="00C71DCB"/>
    <w:rsid w:val="00C71F4F"/>
    <w:rsid w:val="00C71F60"/>
    <w:rsid w:val="00C72241"/>
    <w:rsid w:val="00C723E1"/>
    <w:rsid w:val="00C7257A"/>
    <w:rsid w:val="00C733D0"/>
    <w:rsid w:val="00C740B7"/>
    <w:rsid w:val="00C74B91"/>
    <w:rsid w:val="00C750C8"/>
    <w:rsid w:val="00C75303"/>
    <w:rsid w:val="00C753A8"/>
    <w:rsid w:val="00C7560F"/>
    <w:rsid w:val="00C75639"/>
    <w:rsid w:val="00C75FB9"/>
    <w:rsid w:val="00C76B3A"/>
    <w:rsid w:val="00C76FE5"/>
    <w:rsid w:val="00C77557"/>
    <w:rsid w:val="00C77731"/>
    <w:rsid w:val="00C778F7"/>
    <w:rsid w:val="00C77AFB"/>
    <w:rsid w:val="00C77C19"/>
    <w:rsid w:val="00C77D71"/>
    <w:rsid w:val="00C80246"/>
    <w:rsid w:val="00C80740"/>
    <w:rsid w:val="00C8074E"/>
    <w:rsid w:val="00C80A0E"/>
    <w:rsid w:val="00C8140A"/>
    <w:rsid w:val="00C81709"/>
    <w:rsid w:val="00C8178C"/>
    <w:rsid w:val="00C81CDE"/>
    <w:rsid w:val="00C8213F"/>
    <w:rsid w:val="00C82A32"/>
    <w:rsid w:val="00C82B6C"/>
    <w:rsid w:val="00C82C59"/>
    <w:rsid w:val="00C8303F"/>
    <w:rsid w:val="00C83074"/>
    <w:rsid w:val="00C83258"/>
    <w:rsid w:val="00C83947"/>
    <w:rsid w:val="00C83960"/>
    <w:rsid w:val="00C83C03"/>
    <w:rsid w:val="00C84530"/>
    <w:rsid w:val="00C8480C"/>
    <w:rsid w:val="00C8483C"/>
    <w:rsid w:val="00C84E9F"/>
    <w:rsid w:val="00C850C5"/>
    <w:rsid w:val="00C85154"/>
    <w:rsid w:val="00C8522C"/>
    <w:rsid w:val="00C8559E"/>
    <w:rsid w:val="00C85A70"/>
    <w:rsid w:val="00C85CD2"/>
    <w:rsid w:val="00C85D73"/>
    <w:rsid w:val="00C86600"/>
    <w:rsid w:val="00C869B6"/>
    <w:rsid w:val="00C86A92"/>
    <w:rsid w:val="00C86C9A"/>
    <w:rsid w:val="00C86FD6"/>
    <w:rsid w:val="00C87154"/>
    <w:rsid w:val="00C8797A"/>
    <w:rsid w:val="00C87ED6"/>
    <w:rsid w:val="00C900B8"/>
    <w:rsid w:val="00C90197"/>
    <w:rsid w:val="00C905F7"/>
    <w:rsid w:val="00C90714"/>
    <w:rsid w:val="00C90C71"/>
    <w:rsid w:val="00C9154E"/>
    <w:rsid w:val="00C9187B"/>
    <w:rsid w:val="00C91B54"/>
    <w:rsid w:val="00C91BE6"/>
    <w:rsid w:val="00C91FD1"/>
    <w:rsid w:val="00C92759"/>
    <w:rsid w:val="00C928EB"/>
    <w:rsid w:val="00C92A3D"/>
    <w:rsid w:val="00C931CF"/>
    <w:rsid w:val="00C93311"/>
    <w:rsid w:val="00C933E6"/>
    <w:rsid w:val="00C933F3"/>
    <w:rsid w:val="00C933F8"/>
    <w:rsid w:val="00C93783"/>
    <w:rsid w:val="00C938CF"/>
    <w:rsid w:val="00C94053"/>
    <w:rsid w:val="00C940D3"/>
    <w:rsid w:val="00C95969"/>
    <w:rsid w:val="00C9624D"/>
    <w:rsid w:val="00C969DA"/>
    <w:rsid w:val="00C96A4E"/>
    <w:rsid w:val="00C96F07"/>
    <w:rsid w:val="00C9772E"/>
    <w:rsid w:val="00C97D3F"/>
    <w:rsid w:val="00C97F4B"/>
    <w:rsid w:val="00CA0332"/>
    <w:rsid w:val="00CA15D3"/>
    <w:rsid w:val="00CA1643"/>
    <w:rsid w:val="00CA1A41"/>
    <w:rsid w:val="00CA1B64"/>
    <w:rsid w:val="00CA226B"/>
    <w:rsid w:val="00CA239A"/>
    <w:rsid w:val="00CA283E"/>
    <w:rsid w:val="00CA2869"/>
    <w:rsid w:val="00CA2C77"/>
    <w:rsid w:val="00CA32E1"/>
    <w:rsid w:val="00CA33F7"/>
    <w:rsid w:val="00CA3527"/>
    <w:rsid w:val="00CA3922"/>
    <w:rsid w:val="00CA3A89"/>
    <w:rsid w:val="00CA444F"/>
    <w:rsid w:val="00CA47AC"/>
    <w:rsid w:val="00CA4B3D"/>
    <w:rsid w:val="00CA4C1B"/>
    <w:rsid w:val="00CA4E7D"/>
    <w:rsid w:val="00CA5245"/>
    <w:rsid w:val="00CA5298"/>
    <w:rsid w:val="00CA5427"/>
    <w:rsid w:val="00CA5574"/>
    <w:rsid w:val="00CA5835"/>
    <w:rsid w:val="00CA67A4"/>
    <w:rsid w:val="00CA6916"/>
    <w:rsid w:val="00CA71F4"/>
    <w:rsid w:val="00CA7550"/>
    <w:rsid w:val="00CA7B09"/>
    <w:rsid w:val="00CA7BAE"/>
    <w:rsid w:val="00CA7ECE"/>
    <w:rsid w:val="00CB0192"/>
    <w:rsid w:val="00CB02BF"/>
    <w:rsid w:val="00CB0CC9"/>
    <w:rsid w:val="00CB12A5"/>
    <w:rsid w:val="00CB1B04"/>
    <w:rsid w:val="00CB1CAC"/>
    <w:rsid w:val="00CB1CD2"/>
    <w:rsid w:val="00CB2766"/>
    <w:rsid w:val="00CB2F2A"/>
    <w:rsid w:val="00CB3918"/>
    <w:rsid w:val="00CB42C5"/>
    <w:rsid w:val="00CB4A00"/>
    <w:rsid w:val="00CB4C19"/>
    <w:rsid w:val="00CB4CC7"/>
    <w:rsid w:val="00CB4FDA"/>
    <w:rsid w:val="00CB51F8"/>
    <w:rsid w:val="00CB55CC"/>
    <w:rsid w:val="00CB5B1A"/>
    <w:rsid w:val="00CB5E47"/>
    <w:rsid w:val="00CB62DD"/>
    <w:rsid w:val="00CB65A3"/>
    <w:rsid w:val="00CB660E"/>
    <w:rsid w:val="00CB68B4"/>
    <w:rsid w:val="00CB6AA3"/>
    <w:rsid w:val="00CB6B22"/>
    <w:rsid w:val="00CB6B39"/>
    <w:rsid w:val="00CB6E01"/>
    <w:rsid w:val="00CB760C"/>
    <w:rsid w:val="00CB7BE1"/>
    <w:rsid w:val="00CB7F5F"/>
    <w:rsid w:val="00CC0015"/>
    <w:rsid w:val="00CC0216"/>
    <w:rsid w:val="00CC0402"/>
    <w:rsid w:val="00CC1293"/>
    <w:rsid w:val="00CC1B39"/>
    <w:rsid w:val="00CC1BD8"/>
    <w:rsid w:val="00CC1BFA"/>
    <w:rsid w:val="00CC2173"/>
    <w:rsid w:val="00CC2D6A"/>
    <w:rsid w:val="00CC2E9F"/>
    <w:rsid w:val="00CC3249"/>
    <w:rsid w:val="00CC35E4"/>
    <w:rsid w:val="00CC35EA"/>
    <w:rsid w:val="00CC35FC"/>
    <w:rsid w:val="00CC3848"/>
    <w:rsid w:val="00CC3CED"/>
    <w:rsid w:val="00CC43B0"/>
    <w:rsid w:val="00CC4600"/>
    <w:rsid w:val="00CC476B"/>
    <w:rsid w:val="00CC4CA2"/>
    <w:rsid w:val="00CC4D4D"/>
    <w:rsid w:val="00CC4F6D"/>
    <w:rsid w:val="00CC5259"/>
    <w:rsid w:val="00CC5EAA"/>
    <w:rsid w:val="00CC5F80"/>
    <w:rsid w:val="00CC65F4"/>
    <w:rsid w:val="00CC6D5E"/>
    <w:rsid w:val="00CC6E1B"/>
    <w:rsid w:val="00CC700C"/>
    <w:rsid w:val="00CC7189"/>
    <w:rsid w:val="00CC7554"/>
    <w:rsid w:val="00CC75D6"/>
    <w:rsid w:val="00CC7F04"/>
    <w:rsid w:val="00CD00F3"/>
    <w:rsid w:val="00CD0200"/>
    <w:rsid w:val="00CD04E6"/>
    <w:rsid w:val="00CD0721"/>
    <w:rsid w:val="00CD1DA8"/>
    <w:rsid w:val="00CD1F87"/>
    <w:rsid w:val="00CD2566"/>
    <w:rsid w:val="00CD29FE"/>
    <w:rsid w:val="00CD2C21"/>
    <w:rsid w:val="00CD2F94"/>
    <w:rsid w:val="00CD302B"/>
    <w:rsid w:val="00CD3154"/>
    <w:rsid w:val="00CD3C39"/>
    <w:rsid w:val="00CD3F77"/>
    <w:rsid w:val="00CD4164"/>
    <w:rsid w:val="00CD46CF"/>
    <w:rsid w:val="00CD4CDE"/>
    <w:rsid w:val="00CD4D52"/>
    <w:rsid w:val="00CD5918"/>
    <w:rsid w:val="00CD5BA7"/>
    <w:rsid w:val="00CD5BE3"/>
    <w:rsid w:val="00CD619A"/>
    <w:rsid w:val="00CD6262"/>
    <w:rsid w:val="00CD67A6"/>
    <w:rsid w:val="00CD6ADC"/>
    <w:rsid w:val="00CD6D4E"/>
    <w:rsid w:val="00CD7193"/>
    <w:rsid w:val="00CD71C9"/>
    <w:rsid w:val="00CD7F43"/>
    <w:rsid w:val="00CE00C9"/>
    <w:rsid w:val="00CE03A9"/>
    <w:rsid w:val="00CE0EB5"/>
    <w:rsid w:val="00CE1216"/>
    <w:rsid w:val="00CE2545"/>
    <w:rsid w:val="00CE290A"/>
    <w:rsid w:val="00CE388A"/>
    <w:rsid w:val="00CE38C8"/>
    <w:rsid w:val="00CE4005"/>
    <w:rsid w:val="00CE495F"/>
    <w:rsid w:val="00CE4A08"/>
    <w:rsid w:val="00CE4B41"/>
    <w:rsid w:val="00CE4E9A"/>
    <w:rsid w:val="00CE5163"/>
    <w:rsid w:val="00CE524F"/>
    <w:rsid w:val="00CE58CC"/>
    <w:rsid w:val="00CE6274"/>
    <w:rsid w:val="00CE63B2"/>
    <w:rsid w:val="00CE6553"/>
    <w:rsid w:val="00CE67B4"/>
    <w:rsid w:val="00CE6992"/>
    <w:rsid w:val="00CE6F39"/>
    <w:rsid w:val="00CE7656"/>
    <w:rsid w:val="00CE77B6"/>
    <w:rsid w:val="00CF1249"/>
    <w:rsid w:val="00CF13A6"/>
    <w:rsid w:val="00CF157C"/>
    <w:rsid w:val="00CF1B7B"/>
    <w:rsid w:val="00CF20A5"/>
    <w:rsid w:val="00CF2205"/>
    <w:rsid w:val="00CF2449"/>
    <w:rsid w:val="00CF2B8D"/>
    <w:rsid w:val="00CF31C9"/>
    <w:rsid w:val="00CF3A1B"/>
    <w:rsid w:val="00CF3B44"/>
    <w:rsid w:val="00CF3CAF"/>
    <w:rsid w:val="00CF4187"/>
    <w:rsid w:val="00CF456B"/>
    <w:rsid w:val="00CF4757"/>
    <w:rsid w:val="00CF557F"/>
    <w:rsid w:val="00CF598A"/>
    <w:rsid w:val="00CF5A22"/>
    <w:rsid w:val="00CF5BBE"/>
    <w:rsid w:val="00CF5C73"/>
    <w:rsid w:val="00CF6411"/>
    <w:rsid w:val="00CF647C"/>
    <w:rsid w:val="00CF6567"/>
    <w:rsid w:val="00CF7053"/>
    <w:rsid w:val="00CF7855"/>
    <w:rsid w:val="00CF7D9E"/>
    <w:rsid w:val="00D000F7"/>
    <w:rsid w:val="00D0012C"/>
    <w:rsid w:val="00D0012E"/>
    <w:rsid w:val="00D0015E"/>
    <w:rsid w:val="00D00D6C"/>
    <w:rsid w:val="00D01140"/>
    <w:rsid w:val="00D014E2"/>
    <w:rsid w:val="00D02220"/>
    <w:rsid w:val="00D0262E"/>
    <w:rsid w:val="00D028B5"/>
    <w:rsid w:val="00D02BBC"/>
    <w:rsid w:val="00D0355A"/>
    <w:rsid w:val="00D03679"/>
    <w:rsid w:val="00D03BAF"/>
    <w:rsid w:val="00D03DB1"/>
    <w:rsid w:val="00D03F44"/>
    <w:rsid w:val="00D04343"/>
    <w:rsid w:val="00D04351"/>
    <w:rsid w:val="00D0471E"/>
    <w:rsid w:val="00D04AE4"/>
    <w:rsid w:val="00D0500E"/>
    <w:rsid w:val="00D05512"/>
    <w:rsid w:val="00D05E3D"/>
    <w:rsid w:val="00D06139"/>
    <w:rsid w:val="00D061F6"/>
    <w:rsid w:val="00D065BF"/>
    <w:rsid w:val="00D06FD8"/>
    <w:rsid w:val="00D072B1"/>
    <w:rsid w:val="00D07337"/>
    <w:rsid w:val="00D07425"/>
    <w:rsid w:val="00D079FB"/>
    <w:rsid w:val="00D100F7"/>
    <w:rsid w:val="00D10AAF"/>
    <w:rsid w:val="00D10B60"/>
    <w:rsid w:val="00D10C15"/>
    <w:rsid w:val="00D110BD"/>
    <w:rsid w:val="00D129EE"/>
    <w:rsid w:val="00D12E48"/>
    <w:rsid w:val="00D13675"/>
    <w:rsid w:val="00D13964"/>
    <w:rsid w:val="00D1396F"/>
    <w:rsid w:val="00D13A39"/>
    <w:rsid w:val="00D13B06"/>
    <w:rsid w:val="00D141E1"/>
    <w:rsid w:val="00D1437D"/>
    <w:rsid w:val="00D14477"/>
    <w:rsid w:val="00D14598"/>
    <w:rsid w:val="00D15314"/>
    <w:rsid w:val="00D156F1"/>
    <w:rsid w:val="00D15A85"/>
    <w:rsid w:val="00D15B48"/>
    <w:rsid w:val="00D161B9"/>
    <w:rsid w:val="00D165C6"/>
    <w:rsid w:val="00D1674E"/>
    <w:rsid w:val="00D16ACA"/>
    <w:rsid w:val="00D16AFE"/>
    <w:rsid w:val="00D16CF5"/>
    <w:rsid w:val="00D172AA"/>
    <w:rsid w:val="00D17D6C"/>
    <w:rsid w:val="00D204BA"/>
    <w:rsid w:val="00D2155B"/>
    <w:rsid w:val="00D2158F"/>
    <w:rsid w:val="00D21FC5"/>
    <w:rsid w:val="00D22D96"/>
    <w:rsid w:val="00D22EC6"/>
    <w:rsid w:val="00D22FA3"/>
    <w:rsid w:val="00D23872"/>
    <w:rsid w:val="00D23ADF"/>
    <w:rsid w:val="00D23D11"/>
    <w:rsid w:val="00D23ED5"/>
    <w:rsid w:val="00D23F3C"/>
    <w:rsid w:val="00D240E4"/>
    <w:rsid w:val="00D244B6"/>
    <w:rsid w:val="00D24522"/>
    <w:rsid w:val="00D24775"/>
    <w:rsid w:val="00D24AB9"/>
    <w:rsid w:val="00D24B8B"/>
    <w:rsid w:val="00D24E7C"/>
    <w:rsid w:val="00D2514E"/>
    <w:rsid w:val="00D25572"/>
    <w:rsid w:val="00D25883"/>
    <w:rsid w:val="00D258F2"/>
    <w:rsid w:val="00D262A8"/>
    <w:rsid w:val="00D262C2"/>
    <w:rsid w:val="00D26373"/>
    <w:rsid w:val="00D2672E"/>
    <w:rsid w:val="00D26B40"/>
    <w:rsid w:val="00D26C34"/>
    <w:rsid w:val="00D270C4"/>
    <w:rsid w:val="00D273E7"/>
    <w:rsid w:val="00D2754D"/>
    <w:rsid w:val="00D2761C"/>
    <w:rsid w:val="00D27B27"/>
    <w:rsid w:val="00D27D97"/>
    <w:rsid w:val="00D27DF6"/>
    <w:rsid w:val="00D30676"/>
    <w:rsid w:val="00D307E0"/>
    <w:rsid w:val="00D30D5B"/>
    <w:rsid w:val="00D30D93"/>
    <w:rsid w:val="00D318D4"/>
    <w:rsid w:val="00D32021"/>
    <w:rsid w:val="00D323EB"/>
    <w:rsid w:val="00D33342"/>
    <w:rsid w:val="00D334E0"/>
    <w:rsid w:val="00D33817"/>
    <w:rsid w:val="00D33BE4"/>
    <w:rsid w:val="00D33BE9"/>
    <w:rsid w:val="00D33F93"/>
    <w:rsid w:val="00D3419E"/>
    <w:rsid w:val="00D348B9"/>
    <w:rsid w:val="00D34E84"/>
    <w:rsid w:val="00D35338"/>
    <w:rsid w:val="00D356F4"/>
    <w:rsid w:val="00D357FF"/>
    <w:rsid w:val="00D35AE5"/>
    <w:rsid w:val="00D35B5F"/>
    <w:rsid w:val="00D3632C"/>
    <w:rsid w:val="00D366EE"/>
    <w:rsid w:val="00D374F2"/>
    <w:rsid w:val="00D37A11"/>
    <w:rsid w:val="00D37C3F"/>
    <w:rsid w:val="00D407EA"/>
    <w:rsid w:val="00D40F0F"/>
    <w:rsid w:val="00D41119"/>
    <w:rsid w:val="00D41EC9"/>
    <w:rsid w:val="00D41FC0"/>
    <w:rsid w:val="00D4246B"/>
    <w:rsid w:val="00D424C7"/>
    <w:rsid w:val="00D42920"/>
    <w:rsid w:val="00D429FB"/>
    <w:rsid w:val="00D42F18"/>
    <w:rsid w:val="00D432D5"/>
    <w:rsid w:val="00D434CC"/>
    <w:rsid w:val="00D43639"/>
    <w:rsid w:val="00D436FA"/>
    <w:rsid w:val="00D43A55"/>
    <w:rsid w:val="00D43B2A"/>
    <w:rsid w:val="00D43CF1"/>
    <w:rsid w:val="00D43D83"/>
    <w:rsid w:val="00D43F9D"/>
    <w:rsid w:val="00D4434F"/>
    <w:rsid w:val="00D444EE"/>
    <w:rsid w:val="00D44947"/>
    <w:rsid w:val="00D44FD0"/>
    <w:rsid w:val="00D455E2"/>
    <w:rsid w:val="00D4573A"/>
    <w:rsid w:val="00D459F7"/>
    <w:rsid w:val="00D45AC6"/>
    <w:rsid w:val="00D45C4B"/>
    <w:rsid w:val="00D47028"/>
    <w:rsid w:val="00D473C9"/>
    <w:rsid w:val="00D473E1"/>
    <w:rsid w:val="00D47575"/>
    <w:rsid w:val="00D47B1A"/>
    <w:rsid w:val="00D500CC"/>
    <w:rsid w:val="00D5068A"/>
    <w:rsid w:val="00D508B9"/>
    <w:rsid w:val="00D50953"/>
    <w:rsid w:val="00D50F30"/>
    <w:rsid w:val="00D516AC"/>
    <w:rsid w:val="00D51D94"/>
    <w:rsid w:val="00D5243B"/>
    <w:rsid w:val="00D527F4"/>
    <w:rsid w:val="00D53121"/>
    <w:rsid w:val="00D533EC"/>
    <w:rsid w:val="00D533FB"/>
    <w:rsid w:val="00D53404"/>
    <w:rsid w:val="00D5349F"/>
    <w:rsid w:val="00D535B6"/>
    <w:rsid w:val="00D53991"/>
    <w:rsid w:val="00D5472B"/>
    <w:rsid w:val="00D549C7"/>
    <w:rsid w:val="00D54D0F"/>
    <w:rsid w:val="00D551AE"/>
    <w:rsid w:val="00D5566B"/>
    <w:rsid w:val="00D55A81"/>
    <w:rsid w:val="00D55F3D"/>
    <w:rsid w:val="00D56A95"/>
    <w:rsid w:val="00D56DB7"/>
    <w:rsid w:val="00D5768F"/>
    <w:rsid w:val="00D57C08"/>
    <w:rsid w:val="00D57CD3"/>
    <w:rsid w:val="00D600FA"/>
    <w:rsid w:val="00D60113"/>
    <w:rsid w:val="00D6076E"/>
    <w:rsid w:val="00D60956"/>
    <w:rsid w:val="00D6132D"/>
    <w:rsid w:val="00D6151C"/>
    <w:rsid w:val="00D6173A"/>
    <w:rsid w:val="00D61B90"/>
    <w:rsid w:val="00D61C78"/>
    <w:rsid w:val="00D62507"/>
    <w:rsid w:val="00D62C26"/>
    <w:rsid w:val="00D62DD6"/>
    <w:rsid w:val="00D62E77"/>
    <w:rsid w:val="00D62F0B"/>
    <w:rsid w:val="00D62F93"/>
    <w:rsid w:val="00D638C2"/>
    <w:rsid w:val="00D64618"/>
    <w:rsid w:val="00D64815"/>
    <w:rsid w:val="00D64EF7"/>
    <w:rsid w:val="00D65414"/>
    <w:rsid w:val="00D65E88"/>
    <w:rsid w:val="00D66210"/>
    <w:rsid w:val="00D664DE"/>
    <w:rsid w:val="00D6663C"/>
    <w:rsid w:val="00D6689A"/>
    <w:rsid w:val="00D675D3"/>
    <w:rsid w:val="00D675E9"/>
    <w:rsid w:val="00D67996"/>
    <w:rsid w:val="00D70541"/>
    <w:rsid w:val="00D7082D"/>
    <w:rsid w:val="00D70B62"/>
    <w:rsid w:val="00D70F16"/>
    <w:rsid w:val="00D71251"/>
    <w:rsid w:val="00D71B17"/>
    <w:rsid w:val="00D71EBE"/>
    <w:rsid w:val="00D71F44"/>
    <w:rsid w:val="00D71FE2"/>
    <w:rsid w:val="00D72617"/>
    <w:rsid w:val="00D7261B"/>
    <w:rsid w:val="00D72F57"/>
    <w:rsid w:val="00D735E5"/>
    <w:rsid w:val="00D73899"/>
    <w:rsid w:val="00D73A13"/>
    <w:rsid w:val="00D73C77"/>
    <w:rsid w:val="00D74304"/>
    <w:rsid w:val="00D74AF2"/>
    <w:rsid w:val="00D755E3"/>
    <w:rsid w:val="00D7563A"/>
    <w:rsid w:val="00D758FC"/>
    <w:rsid w:val="00D75F42"/>
    <w:rsid w:val="00D75FE0"/>
    <w:rsid w:val="00D76005"/>
    <w:rsid w:val="00D760F3"/>
    <w:rsid w:val="00D76A44"/>
    <w:rsid w:val="00D76B49"/>
    <w:rsid w:val="00D76BC3"/>
    <w:rsid w:val="00D76D83"/>
    <w:rsid w:val="00D77592"/>
    <w:rsid w:val="00D77F20"/>
    <w:rsid w:val="00D80099"/>
    <w:rsid w:val="00D80258"/>
    <w:rsid w:val="00D803A6"/>
    <w:rsid w:val="00D803C9"/>
    <w:rsid w:val="00D815EF"/>
    <w:rsid w:val="00D81848"/>
    <w:rsid w:val="00D81949"/>
    <w:rsid w:val="00D81BF2"/>
    <w:rsid w:val="00D81F26"/>
    <w:rsid w:val="00D81F60"/>
    <w:rsid w:val="00D822E2"/>
    <w:rsid w:val="00D829AF"/>
    <w:rsid w:val="00D833D9"/>
    <w:rsid w:val="00D83E32"/>
    <w:rsid w:val="00D84041"/>
    <w:rsid w:val="00D8407F"/>
    <w:rsid w:val="00D8408F"/>
    <w:rsid w:val="00D84227"/>
    <w:rsid w:val="00D843F2"/>
    <w:rsid w:val="00D8489A"/>
    <w:rsid w:val="00D8519F"/>
    <w:rsid w:val="00D85705"/>
    <w:rsid w:val="00D8584A"/>
    <w:rsid w:val="00D858C1"/>
    <w:rsid w:val="00D85B19"/>
    <w:rsid w:val="00D85E75"/>
    <w:rsid w:val="00D86220"/>
    <w:rsid w:val="00D86231"/>
    <w:rsid w:val="00D86FD3"/>
    <w:rsid w:val="00D872BF"/>
    <w:rsid w:val="00D8769E"/>
    <w:rsid w:val="00D90009"/>
    <w:rsid w:val="00D904F3"/>
    <w:rsid w:val="00D905EB"/>
    <w:rsid w:val="00D90F22"/>
    <w:rsid w:val="00D912AB"/>
    <w:rsid w:val="00D9180C"/>
    <w:rsid w:val="00D91844"/>
    <w:rsid w:val="00D91923"/>
    <w:rsid w:val="00D92323"/>
    <w:rsid w:val="00D92845"/>
    <w:rsid w:val="00D9290F"/>
    <w:rsid w:val="00D92B04"/>
    <w:rsid w:val="00D92D9D"/>
    <w:rsid w:val="00D92E49"/>
    <w:rsid w:val="00D9331D"/>
    <w:rsid w:val="00D9362C"/>
    <w:rsid w:val="00D93753"/>
    <w:rsid w:val="00D93C13"/>
    <w:rsid w:val="00D94353"/>
    <w:rsid w:val="00D94565"/>
    <w:rsid w:val="00D94608"/>
    <w:rsid w:val="00D947DA"/>
    <w:rsid w:val="00D94C51"/>
    <w:rsid w:val="00D9534E"/>
    <w:rsid w:val="00D95389"/>
    <w:rsid w:val="00D96327"/>
    <w:rsid w:val="00D963F9"/>
    <w:rsid w:val="00D97681"/>
    <w:rsid w:val="00D97911"/>
    <w:rsid w:val="00D97B96"/>
    <w:rsid w:val="00D97CD7"/>
    <w:rsid w:val="00DA083D"/>
    <w:rsid w:val="00DA0AB5"/>
    <w:rsid w:val="00DA0E6E"/>
    <w:rsid w:val="00DA0E86"/>
    <w:rsid w:val="00DA1486"/>
    <w:rsid w:val="00DA1B56"/>
    <w:rsid w:val="00DA1B84"/>
    <w:rsid w:val="00DA2731"/>
    <w:rsid w:val="00DA3072"/>
    <w:rsid w:val="00DA30A6"/>
    <w:rsid w:val="00DA3167"/>
    <w:rsid w:val="00DA339B"/>
    <w:rsid w:val="00DA3714"/>
    <w:rsid w:val="00DA3CA4"/>
    <w:rsid w:val="00DA3CB0"/>
    <w:rsid w:val="00DA3E0D"/>
    <w:rsid w:val="00DA4106"/>
    <w:rsid w:val="00DA4DC3"/>
    <w:rsid w:val="00DA5724"/>
    <w:rsid w:val="00DA595F"/>
    <w:rsid w:val="00DA70F0"/>
    <w:rsid w:val="00DA77A5"/>
    <w:rsid w:val="00DA7CB3"/>
    <w:rsid w:val="00DA7D51"/>
    <w:rsid w:val="00DB0228"/>
    <w:rsid w:val="00DB056C"/>
    <w:rsid w:val="00DB0E36"/>
    <w:rsid w:val="00DB1FB9"/>
    <w:rsid w:val="00DB234E"/>
    <w:rsid w:val="00DB24D1"/>
    <w:rsid w:val="00DB255A"/>
    <w:rsid w:val="00DB2723"/>
    <w:rsid w:val="00DB319B"/>
    <w:rsid w:val="00DB3550"/>
    <w:rsid w:val="00DB3A98"/>
    <w:rsid w:val="00DB3DBC"/>
    <w:rsid w:val="00DB3DBF"/>
    <w:rsid w:val="00DB3FA8"/>
    <w:rsid w:val="00DB484F"/>
    <w:rsid w:val="00DB4E31"/>
    <w:rsid w:val="00DB4FE1"/>
    <w:rsid w:val="00DB549D"/>
    <w:rsid w:val="00DB5703"/>
    <w:rsid w:val="00DB570C"/>
    <w:rsid w:val="00DB6494"/>
    <w:rsid w:val="00DB6731"/>
    <w:rsid w:val="00DB7B59"/>
    <w:rsid w:val="00DB7D20"/>
    <w:rsid w:val="00DB7E18"/>
    <w:rsid w:val="00DB7F1E"/>
    <w:rsid w:val="00DB7F7C"/>
    <w:rsid w:val="00DC04F6"/>
    <w:rsid w:val="00DC0690"/>
    <w:rsid w:val="00DC09C9"/>
    <w:rsid w:val="00DC112F"/>
    <w:rsid w:val="00DC1582"/>
    <w:rsid w:val="00DC1B09"/>
    <w:rsid w:val="00DC1D65"/>
    <w:rsid w:val="00DC2B4C"/>
    <w:rsid w:val="00DC2E22"/>
    <w:rsid w:val="00DC3004"/>
    <w:rsid w:val="00DC3570"/>
    <w:rsid w:val="00DC3629"/>
    <w:rsid w:val="00DC36D5"/>
    <w:rsid w:val="00DC3C57"/>
    <w:rsid w:val="00DC4020"/>
    <w:rsid w:val="00DC4552"/>
    <w:rsid w:val="00DC49C8"/>
    <w:rsid w:val="00DC4ED5"/>
    <w:rsid w:val="00DC5501"/>
    <w:rsid w:val="00DC5DE4"/>
    <w:rsid w:val="00DC5E57"/>
    <w:rsid w:val="00DC65FE"/>
    <w:rsid w:val="00DC69DF"/>
    <w:rsid w:val="00DC7154"/>
    <w:rsid w:val="00DC7E8A"/>
    <w:rsid w:val="00DC7FB6"/>
    <w:rsid w:val="00DD0281"/>
    <w:rsid w:val="00DD02FF"/>
    <w:rsid w:val="00DD0534"/>
    <w:rsid w:val="00DD0935"/>
    <w:rsid w:val="00DD097C"/>
    <w:rsid w:val="00DD09B2"/>
    <w:rsid w:val="00DD0F78"/>
    <w:rsid w:val="00DD17E9"/>
    <w:rsid w:val="00DD1C2C"/>
    <w:rsid w:val="00DD1C4F"/>
    <w:rsid w:val="00DD2496"/>
    <w:rsid w:val="00DD273C"/>
    <w:rsid w:val="00DD27FF"/>
    <w:rsid w:val="00DD2C53"/>
    <w:rsid w:val="00DD32E3"/>
    <w:rsid w:val="00DD399A"/>
    <w:rsid w:val="00DD3E3A"/>
    <w:rsid w:val="00DD3F28"/>
    <w:rsid w:val="00DD4446"/>
    <w:rsid w:val="00DD4537"/>
    <w:rsid w:val="00DD46D0"/>
    <w:rsid w:val="00DD48FA"/>
    <w:rsid w:val="00DD4A4F"/>
    <w:rsid w:val="00DD4E15"/>
    <w:rsid w:val="00DD4FD9"/>
    <w:rsid w:val="00DD544D"/>
    <w:rsid w:val="00DD5E6C"/>
    <w:rsid w:val="00DD5EFE"/>
    <w:rsid w:val="00DD729B"/>
    <w:rsid w:val="00DD72B4"/>
    <w:rsid w:val="00DD7B88"/>
    <w:rsid w:val="00DE023E"/>
    <w:rsid w:val="00DE03D3"/>
    <w:rsid w:val="00DE0434"/>
    <w:rsid w:val="00DE2304"/>
    <w:rsid w:val="00DE2771"/>
    <w:rsid w:val="00DE2CC4"/>
    <w:rsid w:val="00DE2D68"/>
    <w:rsid w:val="00DE2E9A"/>
    <w:rsid w:val="00DE2F9C"/>
    <w:rsid w:val="00DE3138"/>
    <w:rsid w:val="00DE37F8"/>
    <w:rsid w:val="00DE3C5E"/>
    <w:rsid w:val="00DE4273"/>
    <w:rsid w:val="00DE47FE"/>
    <w:rsid w:val="00DE4FCB"/>
    <w:rsid w:val="00DE57E4"/>
    <w:rsid w:val="00DE5D07"/>
    <w:rsid w:val="00DE605D"/>
    <w:rsid w:val="00DE6793"/>
    <w:rsid w:val="00DE6A8B"/>
    <w:rsid w:val="00DE72A7"/>
    <w:rsid w:val="00DE7602"/>
    <w:rsid w:val="00DE7832"/>
    <w:rsid w:val="00DE7A42"/>
    <w:rsid w:val="00DE7C0C"/>
    <w:rsid w:val="00DE7D92"/>
    <w:rsid w:val="00DF0810"/>
    <w:rsid w:val="00DF1641"/>
    <w:rsid w:val="00DF18FC"/>
    <w:rsid w:val="00DF1D38"/>
    <w:rsid w:val="00DF27AA"/>
    <w:rsid w:val="00DF349B"/>
    <w:rsid w:val="00DF34BD"/>
    <w:rsid w:val="00DF3D95"/>
    <w:rsid w:val="00DF3EF1"/>
    <w:rsid w:val="00DF3F09"/>
    <w:rsid w:val="00DF49AB"/>
    <w:rsid w:val="00DF539E"/>
    <w:rsid w:val="00DF5D2B"/>
    <w:rsid w:val="00DF5FCF"/>
    <w:rsid w:val="00DF6341"/>
    <w:rsid w:val="00DF63AF"/>
    <w:rsid w:val="00DF685C"/>
    <w:rsid w:val="00DF6990"/>
    <w:rsid w:val="00DF743C"/>
    <w:rsid w:val="00DF7A92"/>
    <w:rsid w:val="00E00C53"/>
    <w:rsid w:val="00E00E12"/>
    <w:rsid w:val="00E00E18"/>
    <w:rsid w:val="00E00E85"/>
    <w:rsid w:val="00E00E8E"/>
    <w:rsid w:val="00E0167C"/>
    <w:rsid w:val="00E02294"/>
    <w:rsid w:val="00E022A2"/>
    <w:rsid w:val="00E0290E"/>
    <w:rsid w:val="00E03429"/>
    <w:rsid w:val="00E036D6"/>
    <w:rsid w:val="00E03E07"/>
    <w:rsid w:val="00E03F05"/>
    <w:rsid w:val="00E03FCD"/>
    <w:rsid w:val="00E04927"/>
    <w:rsid w:val="00E05630"/>
    <w:rsid w:val="00E056D3"/>
    <w:rsid w:val="00E05B0D"/>
    <w:rsid w:val="00E0608C"/>
    <w:rsid w:val="00E0683C"/>
    <w:rsid w:val="00E06C49"/>
    <w:rsid w:val="00E06DBB"/>
    <w:rsid w:val="00E0732D"/>
    <w:rsid w:val="00E07724"/>
    <w:rsid w:val="00E078CB"/>
    <w:rsid w:val="00E07B42"/>
    <w:rsid w:val="00E10149"/>
    <w:rsid w:val="00E10951"/>
    <w:rsid w:val="00E109C3"/>
    <w:rsid w:val="00E10A63"/>
    <w:rsid w:val="00E10B4F"/>
    <w:rsid w:val="00E112CF"/>
    <w:rsid w:val="00E112EF"/>
    <w:rsid w:val="00E11340"/>
    <w:rsid w:val="00E11581"/>
    <w:rsid w:val="00E11EC8"/>
    <w:rsid w:val="00E122A1"/>
    <w:rsid w:val="00E122E8"/>
    <w:rsid w:val="00E127AD"/>
    <w:rsid w:val="00E12EEC"/>
    <w:rsid w:val="00E12F76"/>
    <w:rsid w:val="00E13102"/>
    <w:rsid w:val="00E134D7"/>
    <w:rsid w:val="00E138B6"/>
    <w:rsid w:val="00E13A5B"/>
    <w:rsid w:val="00E14D64"/>
    <w:rsid w:val="00E14FE3"/>
    <w:rsid w:val="00E15C13"/>
    <w:rsid w:val="00E160BB"/>
    <w:rsid w:val="00E16116"/>
    <w:rsid w:val="00E16245"/>
    <w:rsid w:val="00E1624A"/>
    <w:rsid w:val="00E16372"/>
    <w:rsid w:val="00E16AD8"/>
    <w:rsid w:val="00E16ADA"/>
    <w:rsid w:val="00E16C4B"/>
    <w:rsid w:val="00E173F4"/>
    <w:rsid w:val="00E17AC1"/>
    <w:rsid w:val="00E17B62"/>
    <w:rsid w:val="00E17DE5"/>
    <w:rsid w:val="00E17FFA"/>
    <w:rsid w:val="00E202C7"/>
    <w:rsid w:val="00E20E4D"/>
    <w:rsid w:val="00E20ED6"/>
    <w:rsid w:val="00E2123F"/>
    <w:rsid w:val="00E212AB"/>
    <w:rsid w:val="00E21358"/>
    <w:rsid w:val="00E2167B"/>
    <w:rsid w:val="00E221FA"/>
    <w:rsid w:val="00E22289"/>
    <w:rsid w:val="00E2229E"/>
    <w:rsid w:val="00E2249B"/>
    <w:rsid w:val="00E229D7"/>
    <w:rsid w:val="00E22A0D"/>
    <w:rsid w:val="00E23350"/>
    <w:rsid w:val="00E23450"/>
    <w:rsid w:val="00E238BB"/>
    <w:rsid w:val="00E23B3A"/>
    <w:rsid w:val="00E23FFD"/>
    <w:rsid w:val="00E244F6"/>
    <w:rsid w:val="00E24692"/>
    <w:rsid w:val="00E24C40"/>
    <w:rsid w:val="00E24F2F"/>
    <w:rsid w:val="00E25163"/>
    <w:rsid w:val="00E251B8"/>
    <w:rsid w:val="00E258DB"/>
    <w:rsid w:val="00E261DF"/>
    <w:rsid w:val="00E26BFB"/>
    <w:rsid w:val="00E26C30"/>
    <w:rsid w:val="00E26D4D"/>
    <w:rsid w:val="00E27303"/>
    <w:rsid w:val="00E2771E"/>
    <w:rsid w:val="00E27806"/>
    <w:rsid w:val="00E27856"/>
    <w:rsid w:val="00E27B7C"/>
    <w:rsid w:val="00E30704"/>
    <w:rsid w:val="00E311C7"/>
    <w:rsid w:val="00E311EF"/>
    <w:rsid w:val="00E317F8"/>
    <w:rsid w:val="00E31829"/>
    <w:rsid w:val="00E31CEF"/>
    <w:rsid w:val="00E32180"/>
    <w:rsid w:val="00E326C7"/>
    <w:rsid w:val="00E3334A"/>
    <w:rsid w:val="00E33393"/>
    <w:rsid w:val="00E34196"/>
    <w:rsid w:val="00E34948"/>
    <w:rsid w:val="00E34DB1"/>
    <w:rsid w:val="00E34F77"/>
    <w:rsid w:val="00E34F96"/>
    <w:rsid w:val="00E35347"/>
    <w:rsid w:val="00E35547"/>
    <w:rsid w:val="00E3638D"/>
    <w:rsid w:val="00E366EF"/>
    <w:rsid w:val="00E36FFA"/>
    <w:rsid w:val="00E37547"/>
    <w:rsid w:val="00E37569"/>
    <w:rsid w:val="00E3786C"/>
    <w:rsid w:val="00E401B2"/>
    <w:rsid w:val="00E40564"/>
    <w:rsid w:val="00E40D2D"/>
    <w:rsid w:val="00E41849"/>
    <w:rsid w:val="00E41AE9"/>
    <w:rsid w:val="00E41E30"/>
    <w:rsid w:val="00E42185"/>
    <w:rsid w:val="00E422B4"/>
    <w:rsid w:val="00E42F73"/>
    <w:rsid w:val="00E43379"/>
    <w:rsid w:val="00E436A0"/>
    <w:rsid w:val="00E43D70"/>
    <w:rsid w:val="00E442F2"/>
    <w:rsid w:val="00E4437F"/>
    <w:rsid w:val="00E44B25"/>
    <w:rsid w:val="00E45164"/>
    <w:rsid w:val="00E45299"/>
    <w:rsid w:val="00E457CF"/>
    <w:rsid w:val="00E459F7"/>
    <w:rsid w:val="00E45DD0"/>
    <w:rsid w:val="00E45F2A"/>
    <w:rsid w:val="00E4658B"/>
    <w:rsid w:val="00E466DE"/>
    <w:rsid w:val="00E466F3"/>
    <w:rsid w:val="00E46914"/>
    <w:rsid w:val="00E47699"/>
    <w:rsid w:val="00E479E5"/>
    <w:rsid w:val="00E47A7D"/>
    <w:rsid w:val="00E47B2C"/>
    <w:rsid w:val="00E47BB4"/>
    <w:rsid w:val="00E47C94"/>
    <w:rsid w:val="00E502E2"/>
    <w:rsid w:val="00E50D6F"/>
    <w:rsid w:val="00E50FBF"/>
    <w:rsid w:val="00E510C2"/>
    <w:rsid w:val="00E51181"/>
    <w:rsid w:val="00E51560"/>
    <w:rsid w:val="00E51821"/>
    <w:rsid w:val="00E51D8B"/>
    <w:rsid w:val="00E522DD"/>
    <w:rsid w:val="00E525E4"/>
    <w:rsid w:val="00E5270D"/>
    <w:rsid w:val="00E52D77"/>
    <w:rsid w:val="00E530D5"/>
    <w:rsid w:val="00E538E2"/>
    <w:rsid w:val="00E53C23"/>
    <w:rsid w:val="00E53FC8"/>
    <w:rsid w:val="00E5412B"/>
    <w:rsid w:val="00E54347"/>
    <w:rsid w:val="00E5468B"/>
    <w:rsid w:val="00E55376"/>
    <w:rsid w:val="00E55424"/>
    <w:rsid w:val="00E55562"/>
    <w:rsid w:val="00E55915"/>
    <w:rsid w:val="00E55BB5"/>
    <w:rsid w:val="00E55E8E"/>
    <w:rsid w:val="00E55F47"/>
    <w:rsid w:val="00E57081"/>
    <w:rsid w:val="00E570AE"/>
    <w:rsid w:val="00E57CDC"/>
    <w:rsid w:val="00E603AD"/>
    <w:rsid w:val="00E60687"/>
    <w:rsid w:val="00E611DF"/>
    <w:rsid w:val="00E615FE"/>
    <w:rsid w:val="00E61B05"/>
    <w:rsid w:val="00E61DE0"/>
    <w:rsid w:val="00E61E59"/>
    <w:rsid w:val="00E62602"/>
    <w:rsid w:val="00E627B0"/>
    <w:rsid w:val="00E62953"/>
    <w:rsid w:val="00E6330A"/>
    <w:rsid w:val="00E63833"/>
    <w:rsid w:val="00E64936"/>
    <w:rsid w:val="00E64D91"/>
    <w:rsid w:val="00E65302"/>
    <w:rsid w:val="00E65E5E"/>
    <w:rsid w:val="00E65E79"/>
    <w:rsid w:val="00E6636B"/>
    <w:rsid w:val="00E663E8"/>
    <w:rsid w:val="00E66726"/>
    <w:rsid w:val="00E66A30"/>
    <w:rsid w:val="00E66B24"/>
    <w:rsid w:val="00E66BA2"/>
    <w:rsid w:val="00E66E49"/>
    <w:rsid w:val="00E67082"/>
    <w:rsid w:val="00E6724C"/>
    <w:rsid w:val="00E67416"/>
    <w:rsid w:val="00E70990"/>
    <w:rsid w:val="00E70DA9"/>
    <w:rsid w:val="00E718B6"/>
    <w:rsid w:val="00E7232B"/>
    <w:rsid w:val="00E723BA"/>
    <w:rsid w:val="00E7259E"/>
    <w:rsid w:val="00E727D8"/>
    <w:rsid w:val="00E7303A"/>
    <w:rsid w:val="00E73362"/>
    <w:rsid w:val="00E73581"/>
    <w:rsid w:val="00E738FC"/>
    <w:rsid w:val="00E74643"/>
    <w:rsid w:val="00E74F29"/>
    <w:rsid w:val="00E759E2"/>
    <w:rsid w:val="00E75B57"/>
    <w:rsid w:val="00E761CE"/>
    <w:rsid w:val="00E765DE"/>
    <w:rsid w:val="00E76F11"/>
    <w:rsid w:val="00E77619"/>
    <w:rsid w:val="00E778E1"/>
    <w:rsid w:val="00E779CD"/>
    <w:rsid w:val="00E803A1"/>
    <w:rsid w:val="00E805BF"/>
    <w:rsid w:val="00E80A6E"/>
    <w:rsid w:val="00E80C59"/>
    <w:rsid w:val="00E80D56"/>
    <w:rsid w:val="00E80F0E"/>
    <w:rsid w:val="00E80F66"/>
    <w:rsid w:val="00E80FC8"/>
    <w:rsid w:val="00E81DBB"/>
    <w:rsid w:val="00E81F1C"/>
    <w:rsid w:val="00E8236F"/>
    <w:rsid w:val="00E82399"/>
    <w:rsid w:val="00E827AA"/>
    <w:rsid w:val="00E8286A"/>
    <w:rsid w:val="00E82FEA"/>
    <w:rsid w:val="00E8308D"/>
    <w:rsid w:val="00E833F7"/>
    <w:rsid w:val="00E83549"/>
    <w:rsid w:val="00E838FE"/>
    <w:rsid w:val="00E83A5A"/>
    <w:rsid w:val="00E83B89"/>
    <w:rsid w:val="00E83BDF"/>
    <w:rsid w:val="00E8546D"/>
    <w:rsid w:val="00E85795"/>
    <w:rsid w:val="00E85A91"/>
    <w:rsid w:val="00E85DF6"/>
    <w:rsid w:val="00E862BF"/>
    <w:rsid w:val="00E86D16"/>
    <w:rsid w:val="00E86E0C"/>
    <w:rsid w:val="00E86FCC"/>
    <w:rsid w:val="00E87A1D"/>
    <w:rsid w:val="00E87F4B"/>
    <w:rsid w:val="00E9094A"/>
    <w:rsid w:val="00E910E4"/>
    <w:rsid w:val="00E918CA"/>
    <w:rsid w:val="00E919C9"/>
    <w:rsid w:val="00E91D35"/>
    <w:rsid w:val="00E91F5E"/>
    <w:rsid w:val="00E922B7"/>
    <w:rsid w:val="00E926A5"/>
    <w:rsid w:val="00E92740"/>
    <w:rsid w:val="00E92BEF"/>
    <w:rsid w:val="00E92E06"/>
    <w:rsid w:val="00E93C9F"/>
    <w:rsid w:val="00E93D5A"/>
    <w:rsid w:val="00E94348"/>
    <w:rsid w:val="00E94594"/>
    <w:rsid w:val="00E94614"/>
    <w:rsid w:val="00E9530D"/>
    <w:rsid w:val="00E95593"/>
    <w:rsid w:val="00E95596"/>
    <w:rsid w:val="00E955D4"/>
    <w:rsid w:val="00E95791"/>
    <w:rsid w:val="00E95807"/>
    <w:rsid w:val="00E95B00"/>
    <w:rsid w:val="00E95E7F"/>
    <w:rsid w:val="00E96287"/>
    <w:rsid w:val="00E962CC"/>
    <w:rsid w:val="00E96323"/>
    <w:rsid w:val="00E963C8"/>
    <w:rsid w:val="00E96615"/>
    <w:rsid w:val="00E966C2"/>
    <w:rsid w:val="00E967AC"/>
    <w:rsid w:val="00E96802"/>
    <w:rsid w:val="00E96D3B"/>
    <w:rsid w:val="00E97403"/>
    <w:rsid w:val="00E978A7"/>
    <w:rsid w:val="00E97AE8"/>
    <w:rsid w:val="00EA0140"/>
    <w:rsid w:val="00EA0A52"/>
    <w:rsid w:val="00EA0DB3"/>
    <w:rsid w:val="00EA1630"/>
    <w:rsid w:val="00EA17C3"/>
    <w:rsid w:val="00EA1A9F"/>
    <w:rsid w:val="00EA1D7E"/>
    <w:rsid w:val="00EA1FE3"/>
    <w:rsid w:val="00EA2282"/>
    <w:rsid w:val="00EA25A1"/>
    <w:rsid w:val="00EA2CAA"/>
    <w:rsid w:val="00EA3155"/>
    <w:rsid w:val="00EA31C5"/>
    <w:rsid w:val="00EA3366"/>
    <w:rsid w:val="00EA37C1"/>
    <w:rsid w:val="00EA3862"/>
    <w:rsid w:val="00EA3864"/>
    <w:rsid w:val="00EA3C18"/>
    <w:rsid w:val="00EA43DF"/>
    <w:rsid w:val="00EA4E3E"/>
    <w:rsid w:val="00EA4F73"/>
    <w:rsid w:val="00EA5396"/>
    <w:rsid w:val="00EA540F"/>
    <w:rsid w:val="00EA57EA"/>
    <w:rsid w:val="00EA63F9"/>
    <w:rsid w:val="00EA65C7"/>
    <w:rsid w:val="00EA73A2"/>
    <w:rsid w:val="00EA7D18"/>
    <w:rsid w:val="00EA7F1C"/>
    <w:rsid w:val="00EB0856"/>
    <w:rsid w:val="00EB0D1C"/>
    <w:rsid w:val="00EB0DDA"/>
    <w:rsid w:val="00EB0E83"/>
    <w:rsid w:val="00EB10EF"/>
    <w:rsid w:val="00EB15B6"/>
    <w:rsid w:val="00EB203D"/>
    <w:rsid w:val="00EB2931"/>
    <w:rsid w:val="00EB2B41"/>
    <w:rsid w:val="00EB34B1"/>
    <w:rsid w:val="00EB3833"/>
    <w:rsid w:val="00EB383E"/>
    <w:rsid w:val="00EB390B"/>
    <w:rsid w:val="00EB3AA8"/>
    <w:rsid w:val="00EB3D06"/>
    <w:rsid w:val="00EB4075"/>
    <w:rsid w:val="00EB4641"/>
    <w:rsid w:val="00EB4916"/>
    <w:rsid w:val="00EB4939"/>
    <w:rsid w:val="00EB496E"/>
    <w:rsid w:val="00EB4BD6"/>
    <w:rsid w:val="00EB50E0"/>
    <w:rsid w:val="00EB54F0"/>
    <w:rsid w:val="00EB5B63"/>
    <w:rsid w:val="00EB6774"/>
    <w:rsid w:val="00EB6F01"/>
    <w:rsid w:val="00EB72E9"/>
    <w:rsid w:val="00EB7301"/>
    <w:rsid w:val="00EB771B"/>
    <w:rsid w:val="00EB78BD"/>
    <w:rsid w:val="00EB79C7"/>
    <w:rsid w:val="00EB7F28"/>
    <w:rsid w:val="00EC00C9"/>
    <w:rsid w:val="00EC0420"/>
    <w:rsid w:val="00EC0959"/>
    <w:rsid w:val="00EC0DD9"/>
    <w:rsid w:val="00EC1891"/>
    <w:rsid w:val="00EC2174"/>
    <w:rsid w:val="00EC2622"/>
    <w:rsid w:val="00EC2649"/>
    <w:rsid w:val="00EC31ED"/>
    <w:rsid w:val="00EC3527"/>
    <w:rsid w:val="00EC3927"/>
    <w:rsid w:val="00EC39F4"/>
    <w:rsid w:val="00EC3C83"/>
    <w:rsid w:val="00EC3F6F"/>
    <w:rsid w:val="00EC44FA"/>
    <w:rsid w:val="00EC4787"/>
    <w:rsid w:val="00EC48DC"/>
    <w:rsid w:val="00EC4C0A"/>
    <w:rsid w:val="00EC507F"/>
    <w:rsid w:val="00EC5398"/>
    <w:rsid w:val="00EC5836"/>
    <w:rsid w:val="00EC589D"/>
    <w:rsid w:val="00EC5CB7"/>
    <w:rsid w:val="00EC5D2D"/>
    <w:rsid w:val="00EC5F1A"/>
    <w:rsid w:val="00EC5F5F"/>
    <w:rsid w:val="00EC656B"/>
    <w:rsid w:val="00EC67EA"/>
    <w:rsid w:val="00EC688C"/>
    <w:rsid w:val="00EC7938"/>
    <w:rsid w:val="00EC7B8C"/>
    <w:rsid w:val="00EC7EF8"/>
    <w:rsid w:val="00ED0723"/>
    <w:rsid w:val="00ED0A94"/>
    <w:rsid w:val="00ED0B62"/>
    <w:rsid w:val="00ED0CBB"/>
    <w:rsid w:val="00ED12E3"/>
    <w:rsid w:val="00ED18C0"/>
    <w:rsid w:val="00ED2103"/>
    <w:rsid w:val="00ED23DB"/>
    <w:rsid w:val="00ED26DB"/>
    <w:rsid w:val="00ED3C92"/>
    <w:rsid w:val="00ED3D18"/>
    <w:rsid w:val="00ED4845"/>
    <w:rsid w:val="00ED4B04"/>
    <w:rsid w:val="00ED57EA"/>
    <w:rsid w:val="00ED5BD4"/>
    <w:rsid w:val="00ED62FF"/>
    <w:rsid w:val="00ED65DD"/>
    <w:rsid w:val="00ED695F"/>
    <w:rsid w:val="00ED7679"/>
    <w:rsid w:val="00ED7B1D"/>
    <w:rsid w:val="00ED7E8A"/>
    <w:rsid w:val="00ED7EC5"/>
    <w:rsid w:val="00EE07D3"/>
    <w:rsid w:val="00EE0AC8"/>
    <w:rsid w:val="00EE0E74"/>
    <w:rsid w:val="00EE0F80"/>
    <w:rsid w:val="00EE1755"/>
    <w:rsid w:val="00EE1823"/>
    <w:rsid w:val="00EE1996"/>
    <w:rsid w:val="00EE1C01"/>
    <w:rsid w:val="00EE20E6"/>
    <w:rsid w:val="00EE22AF"/>
    <w:rsid w:val="00EE2DA6"/>
    <w:rsid w:val="00EE3108"/>
    <w:rsid w:val="00EE3394"/>
    <w:rsid w:val="00EE3832"/>
    <w:rsid w:val="00EE42D4"/>
    <w:rsid w:val="00EE469C"/>
    <w:rsid w:val="00EE51AC"/>
    <w:rsid w:val="00EE55D6"/>
    <w:rsid w:val="00EE5769"/>
    <w:rsid w:val="00EE5CDE"/>
    <w:rsid w:val="00EE5D77"/>
    <w:rsid w:val="00EE5EDD"/>
    <w:rsid w:val="00EE5F3A"/>
    <w:rsid w:val="00EE5F3E"/>
    <w:rsid w:val="00EE602A"/>
    <w:rsid w:val="00EE622F"/>
    <w:rsid w:val="00EE62BC"/>
    <w:rsid w:val="00EE6726"/>
    <w:rsid w:val="00EE7352"/>
    <w:rsid w:val="00EE763F"/>
    <w:rsid w:val="00EE7F77"/>
    <w:rsid w:val="00EF0171"/>
    <w:rsid w:val="00EF043A"/>
    <w:rsid w:val="00EF04A4"/>
    <w:rsid w:val="00EF139D"/>
    <w:rsid w:val="00EF18CD"/>
    <w:rsid w:val="00EF1B25"/>
    <w:rsid w:val="00EF1DA0"/>
    <w:rsid w:val="00EF1FDB"/>
    <w:rsid w:val="00EF20E8"/>
    <w:rsid w:val="00EF26F6"/>
    <w:rsid w:val="00EF27F8"/>
    <w:rsid w:val="00EF2B32"/>
    <w:rsid w:val="00EF2C40"/>
    <w:rsid w:val="00EF348A"/>
    <w:rsid w:val="00EF39AF"/>
    <w:rsid w:val="00EF3F1F"/>
    <w:rsid w:val="00EF42D2"/>
    <w:rsid w:val="00EF4496"/>
    <w:rsid w:val="00EF4747"/>
    <w:rsid w:val="00EF4BF8"/>
    <w:rsid w:val="00EF551A"/>
    <w:rsid w:val="00EF56A1"/>
    <w:rsid w:val="00EF5710"/>
    <w:rsid w:val="00EF5ECF"/>
    <w:rsid w:val="00EF6263"/>
    <w:rsid w:val="00EF69C0"/>
    <w:rsid w:val="00F00EC8"/>
    <w:rsid w:val="00F01016"/>
    <w:rsid w:val="00F012A7"/>
    <w:rsid w:val="00F014E8"/>
    <w:rsid w:val="00F01AF6"/>
    <w:rsid w:val="00F02253"/>
    <w:rsid w:val="00F02417"/>
    <w:rsid w:val="00F02967"/>
    <w:rsid w:val="00F0297F"/>
    <w:rsid w:val="00F035B7"/>
    <w:rsid w:val="00F03971"/>
    <w:rsid w:val="00F03C2E"/>
    <w:rsid w:val="00F03DA1"/>
    <w:rsid w:val="00F043C4"/>
    <w:rsid w:val="00F047DA"/>
    <w:rsid w:val="00F04870"/>
    <w:rsid w:val="00F04A66"/>
    <w:rsid w:val="00F04B4B"/>
    <w:rsid w:val="00F04C04"/>
    <w:rsid w:val="00F04E16"/>
    <w:rsid w:val="00F0516C"/>
    <w:rsid w:val="00F0527C"/>
    <w:rsid w:val="00F05DCE"/>
    <w:rsid w:val="00F067A2"/>
    <w:rsid w:val="00F06F57"/>
    <w:rsid w:val="00F074BD"/>
    <w:rsid w:val="00F07790"/>
    <w:rsid w:val="00F07B9E"/>
    <w:rsid w:val="00F07F8C"/>
    <w:rsid w:val="00F10098"/>
    <w:rsid w:val="00F10653"/>
    <w:rsid w:val="00F1116F"/>
    <w:rsid w:val="00F11B65"/>
    <w:rsid w:val="00F11BE8"/>
    <w:rsid w:val="00F12139"/>
    <w:rsid w:val="00F1221D"/>
    <w:rsid w:val="00F1263A"/>
    <w:rsid w:val="00F12B72"/>
    <w:rsid w:val="00F12F78"/>
    <w:rsid w:val="00F13987"/>
    <w:rsid w:val="00F139C5"/>
    <w:rsid w:val="00F13AFD"/>
    <w:rsid w:val="00F14DA4"/>
    <w:rsid w:val="00F15312"/>
    <w:rsid w:val="00F158D1"/>
    <w:rsid w:val="00F15A53"/>
    <w:rsid w:val="00F15B77"/>
    <w:rsid w:val="00F16C40"/>
    <w:rsid w:val="00F2006C"/>
    <w:rsid w:val="00F2014A"/>
    <w:rsid w:val="00F20156"/>
    <w:rsid w:val="00F20A1F"/>
    <w:rsid w:val="00F20C69"/>
    <w:rsid w:val="00F21236"/>
    <w:rsid w:val="00F21BE9"/>
    <w:rsid w:val="00F2221B"/>
    <w:rsid w:val="00F227D4"/>
    <w:rsid w:val="00F23308"/>
    <w:rsid w:val="00F2332F"/>
    <w:rsid w:val="00F23338"/>
    <w:rsid w:val="00F2361F"/>
    <w:rsid w:val="00F23676"/>
    <w:rsid w:val="00F239DF"/>
    <w:rsid w:val="00F243C5"/>
    <w:rsid w:val="00F24837"/>
    <w:rsid w:val="00F2575F"/>
    <w:rsid w:val="00F26577"/>
    <w:rsid w:val="00F27565"/>
    <w:rsid w:val="00F27B84"/>
    <w:rsid w:val="00F3064F"/>
    <w:rsid w:val="00F30C19"/>
    <w:rsid w:val="00F30EB0"/>
    <w:rsid w:val="00F310D4"/>
    <w:rsid w:val="00F3171A"/>
    <w:rsid w:val="00F31D5A"/>
    <w:rsid w:val="00F31EC6"/>
    <w:rsid w:val="00F32173"/>
    <w:rsid w:val="00F32352"/>
    <w:rsid w:val="00F32382"/>
    <w:rsid w:val="00F325FA"/>
    <w:rsid w:val="00F327D5"/>
    <w:rsid w:val="00F327DC"/>
    <w:rsid w:val="00F32B3A"/>
    <w:rsid w:val="00F32C5B"/>
    <w:rsid w:val="00F33975"/>
    <w:rsid w:val="00F33AE8"/>
    <w:rsid w:val="00F33DE9"/>
    <w:rsid w:val="00F34EAB"/>
    <w:rsid w:val="00F35A7E"/>
    <w:rsid w:val="00F35E6D"/>
    <w:rsid w:val="00F35FFB"/>
    <w:rsid w:val="00F3619A"/>
    <w:rsid w:val="00F36480"/>
    <w:rsid w:val="00F36AA6"/>
    <w:rsid w:val="00F36B4F"/>
    <w:rsid w:val="00F36D9E"/>
    <w:rsid w:val="00F37797"/>
    <w:rsid w:val="00F377B8"/>
    <w:rsid w:val="00F37FBB"/>
    <w:rsid w:val="00F40AAA"/>
    <w:rsid w:val="00F40BA7"/>
    <w:rsid w:val="00F40F9D"/>
    <w:rsid w:val="00F41441"/>
    <w:rsid w:val="00F41897"/>
    <w:rsid w:val="00F419E6"/>
    <w:rsid w:val="00F41ACD"/>
    <w:rsid w:val="00F41BDC"/>
    <w:rsid w:val="00F41C0B"/>
    <w:rsid w:val="00F42613"/>
    <w:rsid w:val="00F432E7"/>
    <w:rsid w:val="00F4381E"/>
    <w:rsid w:val="00F43A59"/>
    <w:rsid w:val="00F43B25"/>
    <w:rsid w:val="00F43D4D"/>
    <w:rsid w:val="00F440C9"/>
    <w:rsid w:val="00F4420D"/>
    <w:rsid w:val="00F44272"/>
    <w:rsid w:val="00F4440F"/>
    <w:rsid w:val="00F4456F"/>
    <w:rsid w:val="00F4476B"/>
    <w:rsid w:val="00F44C58"/>
    <w:rsid w:val="00F45ABE"/>
    <w:rsid w:val="00F45C86"/>
    <w:rsid w:val="00F468DF"/>
    <w:rsid w:val="00F46CB6"/>
    <w:rsid w:val="00F47001"/>
    <w:rsid w:val="00F4756D"/>
    <w:rsid w:val="00F47681"/>
    <w:rsid w:val="00F477A6"/>
    <w:rsid w:val="00F47DE8"/>
    <w:rsid w:val="00F50E17"/>
    <w:rsid w:val="00F5114D"/>
    <w:rsid w:val="00F51AFB"/>
    <w:rsid w:val="00F5263D"/>
    <w:rsid w:val="00F5362A"/>
    <w:rsid w:val="00F53A58"/>
    <w:rsid w:val="00F53FF1"/>
    <w:rsid w:val="00F54157"/>
    <w:rsid w:val="00F542C1"/>
    <w:rsid w:val="00F544DC"/>
    <w:rsid w:val="00F54959"/>
    <w:rsid w:val="00F54977"/>
    <w:rsid w:val="00F550E3"/>
    <w:rsid w:val="00F555C1"/>
    <w:rsid w:val="00F5570A"/>
    <w:rsid w:val="00F55729"/>
    <w:rsid w:val="00F557E5"/>
    <w:rsid w:val="00F55823"/>
    <w:rsid w:val="00F559A5"/>
    <w:rsid w:val="00F559A7"/>
    <w:rsid w:val="00F55E73"/>
    <w:rsid w:val="00F55EDA"/>
    <w:rsid w:val="00F56095"/>
    <w:rsid w:val="00F56553"/>
    <w:rsid w:val="00F56C80"/>
    <w:rsid w:val="00F57409"/>
    <w:rsid w:val="00F57B51"/>
    <w:rsid w:val="00F57C11"/>
    <w:rsid w:val="00F60092"/>
    <w:rsid w:val="00F607D1"/>
    <w:rsid w:val="00F607FF"/>
    <w:rsid w:val="00F60803"/>
    <w:rsid w:val="00F608A8"/>
    <w:rsid w:val="00F608AB"/>
    <w:rsid w:val="00F608CC"/>
    <w:rsid w:val="00F60C29"/>
    <w:rsid w:val="00F61352"/>
    <w:rsid w:val="00F613B3"/>
    <w:rsid w:val="00F61C18"/>
    <w:rsid w:val="00F6210C"/>
    <w:rsid w:val="00F627D3"/>
    <w:rsid w:val="00F62D56"/>
    <w:rsid w:val="00F62FEE"/>
    <w:rsid w:val="00F6311E"/>
    <w:rsid w:val="00F63D14"/>
    <w:rsid w:val="00F63E80"/>
    <w:rsid w:val="00F644B5"/>
    <w:rsid w:val="00F6571D"/>
    <w:rsid w:val="00F65815"/>
    <w:rsid w:val="00F65977"/>
    <w:rsid w:val="00F65F4B"/>
    <w:rsid w:val="00F66529"/>
    <w:rsid w:val="00F67A69"/>
    <w:rsid w:val="00F704C6"/>
    <w:rsid w:val="00F70515"/>
    <w:rsid w:val="00F705D1"/>
    <w:rsid w:val="00F70AC6"/>
    <w:rsid w:val="00F70BFF"/>
    <w:rsid w:val="00F70C9D"/>
    <w:rsid w:val="00F7127C"/>
    <w:rsid w:val="00F7150C"/>
    <w:rsid w:val="00F71835"/>
    <w:rsid w:val="00F71D8D"/>
    <w:rsid w:val="00F71E73"/>
    <w:rsid w:val="00F722EC"/>
    <w:rsid w:val="00F72343"/>
    <w:rsid w:val="00F7294E"/>
    <w:rsid w:val="00F73376"/>
    <w:rsid w:val="00F737B5"/>
    <w:rsid w:val="00F73986"/>
    <w:rsid w:val="00F73AAD"/>
    <w:rsid w:val="00F73E08"/>
    <w:rsid w:val="00F73FC4"/>
    <w:rsid w:val="00F74036"/>
    <w:rsid w:val="00F742D1"/>
    <w:rsid w:val="00F74CD9"/>
    <w:rsid w:val="00F753CB"/>
    <w:rsid w:val="00F755CD"/>
    <w:rsid w:val="00F75AAA"/>
    <w:rsid w:val="00F75E3C"/>
    <w:rsid w:val="00F76095"/>
    <w:rsid w:val="00F7616E"/>
    <w:rsid w:val="00F76188"/>
    <w:rsid w:val="00F762DA"/>
    <w:rsid w:val="00F77030"/>
    <w:rsid w:val="00F774DF"/>
    <w:rsid w:val="00F77D5F"/>
    <w:rsid w:val="00F80A7B"/>
    <w:rsid w:val="00F80AC7"/>
    <w:rsid w:val="00F80CE8"/>
    <w:rsid w:val="00F80E5D"/>
    <w:rsid w:val="00F80F92"/>
    <w:rsid w:val="00F80FB9"/>
    <w:rsid w:val="00F810C9"/>
    <w:rsid w:val="00F8178D"/>
    <w:rsid w:val="00F8182F"/>
    <w:rsid w:val="00F819A6"/>
    <w:rsid w:val="00F81E78"/>
    <w:rsid w:val="00F824BF"/>
    <w:rsid w:val="00F8293C"/>
    <w:rsid w:val="00F82CA8"/>
    <w:rsid w:val="00F82D8A"/>
    <w:rsid w:val="00F82D8D"/>
    <w:rsid w:val="00F832EF"/>
    <w:rsid w:val="00F83665"/>
    <w:rsid w:val="00F83869"/>
    <w:rsid w:val="00F83916"/>
    <w:rsid w:val="00F83B00"/>
    <w:rsid w:val="00F84558"/>
    <w:rsid w:val="00F845CB"/>
    <w:rsid w:val="00F84DCB"/>
    <w:rsid w:val="00F84F6F"/>
    <w:rsid w:val="00F85012"/>
    <w:rsid w:val="00F851CE"/>
    <w:rsid w:val="00F85BDF"/>
    <w:rsid w:val="00F861BC"/>
    <w:rsid w:val="00F8651A"/>
    <w:rsid w:val="00F867D8"/>
    <w:rsid w:val="00F911D1"/>
    <w:rsid w:val="00F91219"/>
    <w:rsid w:val="00F91D15"/>
    <w:rsid w:val="00F921E6"/>
    <w:rsid w:val="00F92444"/>
    <w:rsid w:val="00F925F2"/>
    <w:rsid w:val="00F9356F"/>
    <w:rsid w:val="00F93747"/>
    <w:rsid w:val="00F9393E"/>
    <w:rsid w:val="00F93979"/>
    <w:rsid w:val="00F94F13"/>
    <w:rsid w:val="00F958AE"/>
    <w:rsid w:val="00F95E2D"/>
    <w:rsid w:val="00F9614F"/>
    <w:rsid w:val="00F96CCF"/>
    <w:rsid w:val="00F96FD0"/>
    <w:rsid w:val="00F97341"/>
    <w:rsid w:val="00F97608"/>
    <w:rsid w:val="00F97A78"/>
    <w:rsid w:val="00FA00BF"/>
    <w:rsid w:val="00FA02C6"/>
    <w:rsid w:val="00FA0414"/>
    <w:rsid w:val="00FA07FE"/>
    <w:rsid w:val="00FA0B20"/>
    <w:rsid w:val="00FA0FBA"/>
    <w:rsid w:val="00FA225B"/>
    <w:rsid w:val="00FA24E7"/>
    <w:rsid w:val="00FA2EEA"/>
    <w:rsid w:val="00FA30D1"/>
    <w:rsid w:val="00FA3141"/>
    <w:rsid w:val="00FA3223"/>
    <w:rsid w:val="00FA3D32"/>
    <w:rsid w:val="00FA45D4"/>
    <w:rsid w:val="00FA4896"/>
    <w:rsid w:val="00FA4B3A"/>
    <w:rsid w:val="00FA4E26"/>
    <w:rsid w:val="00FA5345"/>
    <w:rsid w:val="00FA542E"/>
    <w:rsid w:val="00FA5C58"/>
    <w:rsid w:val="00FA5EB0"/>
    <w:rsid w:val="00FA5EE6"/>
    <w:rsid w:val="00FA6419"/>
    <w:rsid w:val="00FA65BE"/>
    <w:rsid w:val="00FA6B7A"/>
    <w:rsid w:val="00FA6BAA"/>
    <w:rsid w:val="00FA6C8D"/>
    <w:rsid w:val="00FA6DD4"/>
    <w:rsid w:val="00FA6DDE"/>
    <w:rsid w:val="00FA6DE9"/>
    <w:rsid w:val="00FA6E20"/>
    <w:rsid w:val="00FA6E9B"/>
    <w:rsid w:val="00FA6FE1"/>
    <w:rsid w:val="00FA7956"/>
    <w:rsid w:val="00FA7F30"/>
    <w:rsid w:val="00FB0429"/>
    <w:rsid w:val="00FB0824"/>
    <w:rsid w:val="00FB0CAF"/>
    <w:rsid w:val="00FB0D40"/>
    <w:rsid w:val="00FB157C"/>
    <w:rsid w:val="00FB18F8"/>
    <w:rsid w:val="00FB1C58"/>
    <w:rsid w:val="00FB1DBC"/>
    <w:rsid w:val="00FB2182"/>
    <w:rsid w:val="00FB2400"/>
    <w:rsid w:val="00FB29FF"/>
    <w:rsid w:val="00FB2D15"/>
    <w:rsid w:val="00FB2DBC"/>
    <w:rsid w:val="00FB2FCB"/>
    <w:rsid w:val="00FB373D"/>
    <w:rsid w:val="00FB3BC4"/>
    <w:rsid w:val="00FB4297"/>
    <w:rsid w:val="00FB44E7"/>
    <w:rsid w:val="00FB4705"/>
    <w:rsid w:val="00FB47FA"/>
    <w:rsid w:val="00FB4C9C"/>
    <w:rsid w:val="00FB4DF9"/>
    <w:rsid w:val="00FB5265"/>
    <w:rsid w:val="00FB5734"/>
    <w:rsid w:val="00FB5BCC"/>
    <w:rsid w:val="00FB5CA7"/>
    <w:rsid w:val="00FB5DB6"/>
    <w:rsid w:val="00FB6440"/>
    <w:rsid w:val="00FB66E1"/>
    <w:rsid w:val="00FB6825"/>
    <w:rsid w:val="00FB6896"/>
    <w:rsid w:val="00FB6957"/>
    <w:rsid w:val="00FB6A66"/>
    <w:rsid w:val="00FB6FBC"/>
    <w:rsid w:val="00FB73C5"/>
    <w:rsid w:val="00FB7C55"/>
    <w:rsid w:val="00FC0883"/>
    <w:rsid w:val="00FC0D82"/>
    <w:rsid w:val="00FC1074"/>
    <w:rsid w:val="00FC1292"/>
    <w:rsid w:val="00FC14E5"/>
    <w:rsid w:val="00FC1665"/>
    <w:rsid w:val="00FC1884"/>
    <w:rsid w:val="00FC194E"/>
    <w:rsid w:val="00FC1D75"/>
    <w:rsid w:val="00FC219B"/>
    <w:rsid w:val="00FC2302"/>
    <w:rsid w:val="00FC247E"/>
    <w:rsid w:val="00FC24C9"/>
    <w:rsid w:val="00FC33E2"/>
    <w:rsid w:val="00FC3598"/>
    <w:rsid w:val="00FC371D"/>
    <w:rsid w:val="00FC3B34"/>
    <w:rsid w:val="00FC3E8E"/>
    <w:rsid w:val="00FC436E"/>
    <w:rsid w:val="00FC46B5"/>
    <w:rsid w:val="00FC48E1"/>
    <w:rsid w:val="00FC4CE4"/>
    <w:rsid w:val="00FC4E70"/>
    <w:rsid w:val="00FC5919"/>
    <w:rsid w:val="00FC595C"/>
    <w:rsid w:val="00FC5F0B"/>
    <w:rsid w:val="00FC6236"/>
    <w:rsid w:val="00FC6330"/>
    <w:rsid w:val="00FC6C4B"/>
    <w:rsid w:val="00FC6D26"/>
    <w:rsid w:val="00FC745E"/>
    <w:rsid w:val="00FC7FD3"/>
    <w:rsid w:val="00FD03EA"/>
    <w:rsid w:val="00FD079D"/>
    <w:rsid w:val="00FD10D7"/>
    <w:rsid w:val="00FD124D"/>
    <w:rsid w:val="00FD1A79"/>
    <w:rsid w:val="00FD1AAC"/>
    <w:rsid w:val="00FD1B57"/>
    <w:rsid w:val="00FD2100"/>
    <w:rsid w:val="00FD2304"/>
    <w:rsid w:val="00FD2B59"/>
    <w:rsid w:val="00FD2E5B"/>
    <w:rsid w:val="00FD3409"/>
    <w:rsid w:val="00FD3D1F"/>
    <w:rsid w:val="00FD436C"/>
    <w:rsid w:val="00FD446D"/>
    <w:rsid w:val="00FD48FF"/>
    <w:rsid w:val="00FD4E9E"/>
    <w:rsid w:val="00FD4F2C"/>
    <w:rsid w:val="00FD5141"/>
    <w:rsid w:val="00FD5209"/>
    <w:rsid w:val="00FD525E"/>
    <w:rsid w:val="00FD5954"/>
    <w:rsid w:val="00FD5963"/>
    <w:rsid w:val="00FD5991"/>
    <w:rsid w:val="00FD6394"/>
    <w:rsid w:val="00FD649A"/>
    <w:rsid w:val="00FD6590"/>
    <w:rsid w:val="00FD6C45"/>
    <w:rsid w:val="00FD6C8D"/>
    <w:rsid w:val="00FD7158"/>
    <w:rsid w:val="00FD735C"/>
    <w:rsid w:val="00FD73A2"/>
    <w:rsid w:val="00FD7A42"/>
    <w:rsid w:val="00FD7B20"/>
    <w:rsid w:val="00FD7E46"/>
    <w:rsid w:val="00FE0BFF"/>
    <w:rsid w:val="00FE0E6C"/>
    <w:rsid w:val="00FE1A66"/>
    <w:rsid w:val="00FE1CDC"/>
    <w:rsid w:val="00FE1F78"/>
    <w:rsid w:val="00FE221D"/>
    <w:rsid w:val="00FE2AD7"/>
    <w:rsid w:val="00FE2FD2"/>
    <w:rsid w:val="00FE31BC"/>
    <w:rsid w:val="00FE3552"/>
    <w:rsid w:val="00FE3B0F"/>
    <w:rsid w:val="00FE3DCD"/>
    <w:rsid w:val="00FE447D"/>
    <w:rsid w:val="00FE45A0"/>
    <w:rsid w:val="00FE4692"/>
    <w:rsid w:val="00FE4DC6"/>
    <w:rsid w:val="00FE5262"/>
    <w:rsid w:val="00FE5A66"/>
    <w:rsid w:val="00FE5BB8"/>
    <w:rsid w:val="00FE5E3C"/>
    <w:rsid w:val="00FE65E2"/>
    <w:rsid w:val="00FE670F"/>
    <w:rsid w:val="00FE6837"/>
    <w:rsid w:val="00FE6956"/>
    <w:rsid w:val="00FE6CAB"/>
    <w:rsid w:val="00FE70C3"/>
    <w:rsid w:val="00FE75AD"/>
    <w:rsid w:val="00FE76CB"/>
    <w:rsid w:val="00FE799E"/>
    <w:rsid w:val="00FE7E73"/>
    <w:rsid w:val="00FE7F44"/>
    <w:rsid w:val="00FF007E"/>
    <w:rsid w:val="00FF078B"/>
    <w:rsid w:val="00FF096C"/>
    <w:rsid w:val="00FF0EF5"/>
    <w:rsid w:val="00FF0F4E"/>
    <w:rsid w:val="00FF1504"/>
    <w:rsid w:val="00FF1A76"/>
    <w:rsid w:val="00FF1A8B"/>
    <w:rsid w:val="00FF2A36"/>
    <w:rsid w:val="00FF2AD9"/>
    <w:rsid w:val="00FF2BA1"/>
    <w:rsid w:val="00FF359F"/>
    <w:rsid w:val="00FF3DCF"/>
    <w:rsid w:val="00FF3F4C"/>
    <w:rsid w:val="00FF40EA"/>
    <w:rsid w:val="00FF4356"/>
    <w:rsid w:val="00FF45E2"/>
    <w:rsid w:val="00FF477D"/>
    <w:rsid w:val="00FF492C"/>
    <w:rsid w:val="00FF4A21"/>
    <w:rsid w:val="00FF4D96"/>
    <w:rsid w:val="00FF5753"/>
    <w:rsid w:val="00FF585A"/>
    <w:rsid w:val="00FF5A16"/>
    <w:rsid w:val="00FF5AA3"/>
    <w:rsid w:val="00FF5AD8"/>
    <w:rsid w:val="00FF5C54"/>
    <w:rsid w:val="00FF6486"/>
    <w:rsid w:val="00FF6609"/>
    <w:rsid w:val="00FF6706"/>
    <w:rsid w:val="00FF7276"/>
    <w:rsid w:val="00FF72A7"/>
    <w:rsid w:val="00FF7962"/>
    <w:rsid w:val="01657C73"/>
    <w:rsid w:val="017D5E58"/>
    <w:rsid w:val="01F9CDB0"/>
    <w:rsid w:val="020E10C8"/>
    <w:rsid w:val="0232B656"/>
    <w:rsid w:val="02877B58"/>
    <w:rsid w:val="02BF9B0C"/>
    <w:rsid w:val="0338ADEB"/>
    <w:rsid w:val="04B1605E"/>
    <w:rsid w:val="05AC14A1"/>
    <w:rsid w:val="05C4FBA6"/>
    <w:rsid w:val="062BCD74"/>
    <w:rsid w:val="06623258"/>
    <w:rsid w:val="07E0667B"/>
    <w:rsid w:val="080D01E8"/>
    <w:rsid w:val="085664F2"/>
    <w:rsid w:val="08A1F1B7"/>
    <w:rsid w:val="090C72CE"/>
    <w:rsid w:val="0973D37D"/>
    <w:rsid w:val="0999376A"/>
    <w:rsid w:val="09BBEBE6"/>
    <w:rsid w:val="09D01BAE"/>
    <w:rsid w:val="0A08A602"/>
    <w:rsid w:val="0BAE5404"/>
    <w:rsid w:val="0CD40D07"/>
    <w:rsid w:val="0CDDC293"/>
    <w:rsid w:val="0CE65668"/>
    <w:rsid w:val="0D53C0D0"/>
    <w:rsid w:val="0DDD721A"/>
    <w:rsid w:val="0F2F3F2B"/>
    <w:rsid w:val="0F50B7CE"/>
    <w:rsid w:val="0F5A46A5"/>
    <w:rsid w:val="0F9662DC"/>
    <w:rsid w:val="1032682D"/>
    <w:rsid w:val="10E89814"/>
    <w:rsid w:val="1131C2C8"/>
    <w:rsid w:val="11C57837"/>
    <w:rsid w:val="11CCAEC3"/>
    <w:rsid w:val="124D6482"/>
    <w:rsid w:val="1297B6AD"/>
    <w:rsid w:val="13459871"/>
    <w:rsid w:val="134E9D60"/>
    <w:rsid w:val="1371DE09"/>
    <w:rsid w:val="13937995"/>
    <w:rsid w:val="13EF2719"/>
    <w:rsid w:val="14D850D2"/>
    <w:rsid w:val="152F0A05"/>
    <w:rsid w:val="1555DD71"/>
    <w:rsid w:val="1724A337"/>
    <w:rsid w:val="18207472"/>
    <w:rsid w:val="183624AC"/>
    <w:rsid w:val="183F0514"/>
    <w:rsid w:val="18F72C73"/>
    <w:rsid w:val="1965DF88"/>
    <w:rsid w:val="1A769903"/>
    <w:rsid w:val="1A8B59B9"/>
    <w:rsid w:val="1A912705"/>
    <w:rsid w:val="1B5AECA4"/>
    <w:rsid w:val="1C253E15"/>
    <w:rsid w:val="1C589EC2"/>
    <w:rsid w:val="1C645545"/>
    <w:rsid w:val="1D38D877"/>
    <w:rsid w:val="1D7B0805"/>
    <w:rsid w:val="1D911CDE"/>
    <w:rsid w:val="2012AE0A"/>
    <w:rsid w:val="203826CC"/>
    <w:rsid w:val="2093E300"/>
    <w:rsid w:val="21BFCDA0"/>
    <w:rsid w:val="225222E0"/>
    <w:rsid w:val="2343CF12"/>
    <w:rsid w:val="23C014A2"/>
    <w:rsid w:val="23DB3E97"/>
    <w:rsid w:val="25781184"/>
    <w:rsid w:val="25DB1DEA"/>
    <w:rsid w:val="261F607D"/>
    <w:rsid w:val="2636A8B5"/>
    <w:rsid w:val="263B0360"/>
    <w:rsid w:val="27272EA9"/>
    <w:rsid w:val="28066567"/>
    <w:rsid w:val="284E8D6D"/>
    <w:rsid w:val="2910AB8C"/>
    <w:rsid w:val="29183D9C"/>
    <w:rsid w:val="295020F7"/>
    <w:rsid w:val="296C1E4F"/>
    <w:rsid w:val="296EC6C6"/>
    <w:rsid w:val="2A164557"/>
    <w:rsid w:val="2A41FCEA"/>
    <w:rsid w:val="2A62DEDD"/>
    <w:rsid w:val="2B965961"/>
    <w:rsid w:val="2C801514"/>
    <w:rsid w:val="2C8F1F1F"/>
    <w:rsid w:val="2C9FF567"/>
    <w:rsid w:val="2CEDF8CC"/>
    <w:rsid w:val="2D432702"/>
    <w:rsid w:val="2D4CBBA3"/>
    <w:rsid w:val="2DBB1F0C"/>
    <w:rsid w:val="2DBD0880"/>
    <w:rsid w:val="2DC1AEF8"/>
    <w:rsid w:val="2DC82EFB"/>
    <w:rsid w:val="2E5CA0EC"/>
    <w:rsid w:val="2E86D322"/>
    <w:rsid w:val="2EB21555"/>
    <w:rsid w:val="2F566107"/>
    <w:rsid w:val="2F77AE5E"/>
    <w:rsid w:val="2F97DBD6"/>
    <w:rsid w:val="2F98E68C"/>
    <w:rsid w:val="308AD2F2"/>
    <w:rsid w:val="308CAF9F"/>
    <w:rsid w:val="31221B8D"/>
    <w:rsid w:val="31283983"/>
    <w:rsid w:val="313257E9"/>
    <w:rsid w:val="316130DA"/>
    <w:rsid w:val="31F0938F"/>
    <w:rsid w:val="31FC3129"/>
    <w:rsid w:val="31FF8316"/>
    <w:rsid w:val="32400FF5"/>
    <w:rsid w:val="34E5767D"/>
    <w:rsid w:val="35938B50"/>
    <w:rsid w:val="35940C9F"/>
    <w:rsid w:val="35E68F1C"/>
    <w:rsid w:val="35E72ECC"/>
    <w:rsid w:val="366E17C8"/>
    <w:rsid w:val="36892A14"/>
    <w:rsid w:val="369F97A1"/>
    <w:rsid w:val="37B33B41"/>
    <w:rsid w:val="37E68252"/>
    <w:rsid w:val="3823BDB3"/>
    <w:rsid w:val="395078A7"/>
    <w:rsid w:val="398283CC"/>
    <w:rsid w:val="39A1F6AE"/>
    <w:rsid w:val="3A568946"/>
    <w:rsid w:val="3A573DDF"/>
    <w:rsid w:val="3A63A738"/>
    <w:rsid w:val="3B1FBD03"/>
    <w:rsid w:val="3B220590"/>
    <w:rsid w:val="3E518C7A"/>
    <w:rsid w:val="3FB4DE0D"/>
    <w:rsid w:val="402AAD6C"/>
    <w:rsid w:val="412E39EC"/>
    <w:rsid w:val="4138DAAF"/>
    <w:rsid w:val="41BB2838"/>
    <w:rsid w:val="427277A3"/>
    <w:rsid w:val="433C8B20"/>
    <w:rsid w:val="43AC3686"/>
    <w:rsid w:val="43F51BA3"/>
    <w:rsid w:val="441DEEBC"/>
    <w:rsid w:val="44356940"/>
    <w:rsid w:val="444D53B2"/>
    <w:rsid w:val="4479CA5F"/>
    <w:rsid w:val="44B8A132"/>
    <w:rsid w:val="4552FF02"/>
    <w:rsid w:val="4553E6E5"/>
    <w:rsid w:val="45A42C0D"/>
    <w:rsid w:val="45B4C737"/>
    <w:rsid w:val="45C77ACA"/>
    <w:rsid w:val="4745D5DA"/>
    <w:rsid w:val="47B26AF6"/>
    <w:rsid w:val="4820790E"/>
    <w:rsid w:val="48DA779D"/>
    <w:rsid w:val="4979AC67"/>
    <w:rsid w:val="4AB2AC5F"/>
    <w:rsid w:val="4B3D6A40"/>
    <w:rsid w:val="4B7A7BC2"/>
    <w:rsid w:val="4BC29C9D"/>
    <w:rsid w:val="4C2AAE43"/>
    <w:rsid w:val="4C40BDF8"/>
    <w:rsid w:val="4C72EC11"/>
    <w:rsid w:val="4D09071D"/>
    <w:rsid w:val="4D301F3B"/>
    <w:rsid w:val="4DF90D27"/>
    <w:rsid w:val="4EA92DDD"/>
    <w:rsid w:val="4EB0BDF8"/>
    <w:rsid w:val="4F79C1F7"/>
    <w:rsid w:val="50564382"/>
    <w:rsid w:val="505F783C"/>
    <w:rsid w:val="50DE69FA"/>
    <w:rsid w:val="5125CBD4"/>
    <w:rsid w:val="53490A14"/>
    <w:rsid w:val="53DA7E2C"/>
    <w:rsid w:val="54004DFE"/>
    <w:rsid w:val="554ABEE7"/>
    <w:rsid w:val="55CA92D0"/>
    <w:rsid w:val="5624CB57"/>
    <w:rsid w:val="56A62110"/>
    <w:rsid w:val="572FED2D"/>
    <w:rsid w:val="57E9D0F3"/>
    <w:rsid w:val="5847AADF"/>
    <w:rsid w:val="58740E8E"/>
    <w:rsid w:val="58A17A5B"/>
    <w:rsid w:val="592F19CB"/>
    <w:rsid w:val="5940220C"/>
    <w:rsid w:val="59431851"/>
    <w:rsid w:val="59540103"/>
    <w:rsid w:val="59C93FC6"/>
    <w:rsid w:val="5ADB1C82"/>
    <w:rsid w:val="5C8BCD59"/>
    <w:rsid w:val="5C8C6696"/>
    <w:rsid w:val="5C91AE9B"/>
    <w:rsid w:val="5C970BA3"/>
    <w:rsid w:val="5DEB5FCA"/>
    <w:rsid w:val="5ED164FE"/>
    <w:rsid w:val="5F45AA9A"/>
    <w:rsid w:val="60D37655"/>
    <w:rsid w:val="61802DEF"/>
    <w:rsid w:val="62352585"/>
    <w:rsid w:val="6380FA9F"/>
    <w:rsid w:val="6471D654"/>
    <w:rsid w:val="64BA2350"/>
    <w:rsid w:val="653506D0"/>
    <w:rsid w:val="657D327A"/>
    <w:rsid w:val="65BECDBF"/>
    <w:rsid w:val="662C0768"/>
    <w:rsid w:val="66F4EC1A"/>
    <w:rsid w:val="6708D0A4"/>
    <w:rsid w:val="677CFB8E"/>
    <w:rsid w:val="679416B5"/>
    <w:rsid w:val="67F5B0E2"/>
    <w:rsid w:val="688166D9"/>
    <w:rsid w:val="68CF20B9"/>
    <w:rsid w:val="695A2688"/>
    <w:rsid w:val="6B7588C3"/>
    <w:rsid w:val="6B87F478"/>
    <w:rsid w:val="6B9E1E58"/>
    <w:rsid w:val="6C045D64"/>
    <w:rsid w:val="6D375357"/>
    <w:rsid w:val="6D4E4D0E"/>
    <w:rsid w:val="6DAC379A"/>
    <w:rsid w:val="6DB010B5"/>
    <w:rsid w:val="6DB3B94A"/>
    <w:rsid w:val="6E0A72ED"/>
    <w:rsid w:val="6E50459F"/>
    <w:rsid w:val="6EB21D99"/>
    <w:rsid w:val="6EFD59D9"/>
    <w:rsid w:val="7047A6BF"/>
    <w:rsid w:val="70B3F852"/>
    <w:rsid w:val="71254970"/>
    <w:rsid w:val="71412B95"/>
    <w:rsid w:val="71823E84"/>
    <w:rsid w:val="71C1CA35"/>
    <w:rsid w:val="72083588"/>
    <w:rsid w:val="7220EE0E"/>
    <w:rsid w:val="726E7569"/>
    <w:rsid w:val="72E8681F"/>
    <w:rsid w:val="731EDE87"/>
    <w:rsid w:val="74C35AC4"/>
    <w:rsid w:val="751CB8B7"/>
    <w:rsid w:val="75297D57"/>
    <w:rsid w:val="75BA243E"/>
    <w:rsid w:val="75C5FC48"/>
    <w:rsid w:val="763106C6"/>
    <w:rsid w:val="7668486A"/>
    <w:rsid w:val="77B0957F"/>
    <w:rsid w:val="78DADEB8"/>
    <w:rsid w:val="7919E3FF"/>
    <w:rsid w:val="7926DECF"/>
    <w:rsid w:val="79EFFFAB"/>
    <w:rsid w:val="7A383B8A"/>
    <w:rsid w:val="7A45AA1E"/>
    <w:rsid w:val="7AF51647"/>
    <w:rsid w:val="7B7B42C7"/>
    <w:rsid w:val="7BBAC9B4"/>
    <w:rsid w:val="7C1DF024"/>
    <w:rsid w:val="7C24EE7B"/>
    <w:rsid w:val="7C4D6C1B"/>
    <w:rsid w:val="7C83DD74"/>
    <w:rsid w:val="7CC16385"/>
    <w:rsid w:val="7D5ADDAF"/>
    <w:rsid w:val="7E2E0FB8"/>
    <w:rsid w:val="7E59E461"/>
    <w:rsid w:val="7ED124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MSD Table Grid,Header Table,NICE instructions,Source table_,HealthConsult,Dossier table,PBAC table,HTAtableplain,Lash Style Table,PHE Table Grid,Section 3- footnotes"/>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autoRedefine/>
    <w:qFormat/>
    <w:rsid w:val="00A90F7C"/>
    <w:pPr>
      <w:keepNext/>
      <w:keepLines/>
      <w:framePr w:hSpace="180" w:wrap="around" w:vAnchor="text" w:hAnchor="margin" w:y="105"/>
    </w:pPr>
    <w:rPr>
      <w:rFonts w:ascii="Arial Narrow" w:eastAsiaTheme="majorEastAsia" w:hAnsi="Arial Narrow" w:cstheme="majorBidi"/>
      <w:szCs w:val="24"/>
      <w:lang w:val="en-U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E51E4"/>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C3B02"/>
    <w:pPr>
      <w:numPr>
        <w:ilvl w:val="1"/>
        <w:numId w:val="1"/>
      </w:numPr>
      <w:spacing w:before="60" w:after="6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C3B0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A90F7C"/>
    <w:rPr>
      <w:rFonts w:ascii="Arial Narrow" w:eastAsiaTheme="majorEastAsia" w:hAnsi="Arial Narrow" w:cstheme="majorBidi"/>
      <w:szCs w:val="24"/>
      <w:lang w:val="en-US"/>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1C6F22"/>
    <w:pPr>
      <w:keepNext/>
      <w:keepLines/>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C6F22"/>
    <w:rPr>
      <w:rFonts w:ascii="Arial Narrow" w:hAnsi="Arial Narrow" w:cs="Arial"/>
      <w:snapToGrid w:val="0"/>
      <w:sz w:val="18"/>
      <w:szCs w:val="22"/>
    </w:rPr>
  </w:style>
  <w:style w:type="paragraph" w:customStyle="1" w:styleId="TableH29pt">
    <w:name w:val="Table H2 9pt"/>
    <w:basedOn w:val="BodyText"/>
    <w:next w:val="Tabletext"/>
    <w:uiPriority w:val="4"/>
    <w:qFormat/>
    <w:rsid w:val="00D05512"/>
    <w:pPr>
      <w:keepNext/>
      <w:keepLines/>
      <w:spacing w:before="20" w:after="20"/>
      <w:contextualSpacing/>
    </w:pPr>
    <w:rPr>
      <w:rFonts w:ascii="Montserrat" w:eastAsia="Calibri" w:hAnsi="Montserrat" w:cs="Calibri"/>
      <w:b/>
      <w:sz w:val="18"/>
      <w:szCs w:val="20"/>
      <w:lang w:eastAsia="en-US"/>
    </w:rPr>
  </w:style>
  <w:style w:type="paragraph" w:customStyle="1" w:styleId="TableFigNotes18">
    <w:name w:val="TableFigNotes+18"/>
    <w:basedOn w:val="ListParagraph"/>
    <w:next w:val="BodyText"/>
    <w:link w:val="TableFigNotes18Char"/>
    <w:uiPriority w:val="4"/>
    <w:qFormat/>
    <w:rsid w:val="00BF5075"/>
    <w:pPr>
      <w:numPr>
        <w:numId w:val="0"/>
      </w:numPr>
      <w:spacing w:before="60" w:after="360" w:line="276" w:lineRule="auto"/>
      <w:contextualSpacing/>
    </w:pPr>
    <w:rPr>
      <w:rFonts w:ascii="Montserrat" w:eastAsia="Calibri" w:hAnsi="Montserrat" w:cs="Calibri"/>
      <w:snapToGrid/>
      <w:sz w:val="14"/>
      <w:szCs w:val="20"/>
      <w:lang w:eastAsia="en-US"/>
    </w:rPr>
  </w:style>
  <w:style w:type="character" w:customStyle="1" w:styleId="TableFigNotes18Char">
    <w:name w:val="TableFigNotes+18 Char"/>
    <w:basedOn w:val="DefaultParagraphFont"/>
    <w:link w:val="TableFigNotes18"/>
    <w:uiPriority w:val="4"/>
    <w:locked/>
    <w:rsid w:val="00BF5075"/>
    <w:rPr>
      <w:rFonts w:ascii="Montserrat" w:eastAsia="Calibri" w:hAnsi="Montserrat" w:cs="Calibri"/>
      <w:sz w:val="14"/>
      <w:lang w:eastAsia="en-US"/>
    </w:rPr>
  </w:style>
  <w:style w:type="character" w:styleId="UnresolvedMention">
    <w:name w:val="Unresolved Mention"/>
    <w:basedOn w:val="DefaultParagraphFont"/>
    <w:uiPriority w:val="99"/>
    <w:semiHidden/>
    <w:unhideWhenUsed/>
    <w:rsid w:val="009B35F7"/>
    <w:rPr>
      <w:color w:val="605E5C"/>
      <w:shd w:val="clear" w:color="auto" w:fill="E1DFDD"/>
    </w:rPr>
  </w:style>
  <w:style w:type="paragraph" w:customStyle="1" w:styleId="TableH1">
    <w:name w:val="Table H1"/>
    <w:basedOn w:val="BodyText"/>
    <w:uiPriority w:val="4"/>
    <w:qFormat/>
    <w:rsid w:val="009C2C5B"/>
    <w:pPr>
      <w:keepNext/>
      <w:keepLines/>
      <w:spacing w:before="20" w:after="20"/>
    </w:pPr>
    <w:rPr>
      <w:rFonts w:ascii="Montserrat" w:eastAsia="Calibri" w:hAnsi="Montserrat" w:cs="Calibri"/>
      <w:b/>
      <w:sz w:val="16"/>
      <w:szCs w:val="16"/>
      <w:lang w:val="en-US" w:eastAsia="en-US"/>
    </w:rPr>
  </w:style>
  <w:style w:type="character" w:styleId="Strong">
    <w:name w:val="Strong"/>
    <w:basedOn w:val="DefaultParagraphFont"/>
    <w:uiPriority w:val="22"/>
    <w:qFormat/>
    <w:rsid w:val="00C84E9F"/>
    <w:rPr>
      <w:rFonts w:ascii="Montserrat" w:hAnsi="Montserrat"/>
      <w:b/>
      <w:bCs/>
      <w:sz w:val="18"/>
    </w:rPr>
  </w:style>
  <w:style w:type="paragraph" w:customStyle="1" w:styleId="Tabletext8pt">
    <w:name w:val="Table text 8pt"/>
    <w:basedOn w:val="Tabletext"/>
    <w:link w:val="Tabletext8ptChar"/>
    <w:qFormat/>
    <w:rsid w:val="00C84E9F"/>
    <w:pPr>
      <w:keepNext/>
      <w:keepLines/>
      <w:spacing w:before="20" w:after="20"/>
    </w:pPr>
    <w:rPr>
      <w:rFonts w:ascii="Montserrat" w:eastAsia="Calibri" w:hAnsi="Montserrat" w:cs="Calibri"/>
      <w:snapToGrid/>
      <w:sz w:val="16"/>
      <w:szCs w:val="16"/>
      <w:lang w:eastAsia="en-US"/>
    </w:rPr>
  </w:style>
  <w:style w:type="character" w:customStyle="1" w:styleId="Tabletext8ptChar">
    <w:name w:val="Table text 8pt Char"/>
    <w:basedOn w:val="DefaultParagraphFont"/>
    <w:link w:val="Tabletext8pt"/>
    <w:rsid w:val="00C84E9F"/>
    <w:rPr>
      <w:rFonts w:ascii="Montserrat" w:eastAsia="Calibri" w:hAnsi="Montserrat" w:cs="Calibri"/>
      <w:sz w:val="16"/>
      <w:szCs w:val="16"/>
      <w:lang w:eastAsia="en-US"/>
    </w:rPr>
  </w:style>
  <w:style w:type="paragraph" w:styleId="FootnoteText">
    <w:name w:val="footnote text"/>
    <w:basedOn w:val="Normal"/>
    <w:link w:val="FootnoteTextChar"/>
    <w:semiHidden/>
    <w:unhideWhenUsed/>
    <w:rsid w:val="009E3EC1"/>
    <w:rPr>
      <w:sz w:val="20"/>
      <w:szCs w:val="20"/>
    </w:rPr>
  </w:style>
  <w:style w:type="character" w:customStyle="1" w:styleId="FootnoteTextChar">
    <w:name w:val="Footnote Text Char"/>
    <w:basedOn w:val="DefaultParagraphFont"/>
    <w:link w:val="FootnoteText"/>
    <w:semiHidden/>
    <w:rsid w:val="009E3EC1"/>
    <w:rPr>
      <w:rFonts w:ascii="Calibri" w:hAnsi="Calibri" w:cs="Arial"/>
    </w:rPr>
  </w:style>
  <w:style w:type="character" w:styleId="FootnoteReference">
    <w:name w:val="footnote reference"/>
    <w:basedOn w:val="DefaultParagraphFont"/>
    <w:semiHidden/>
    <w:unhideWhenUsed/>
    <w:rsid w:val="009E3EC1"/>
    <w:rPr>
      <w:vertAlign w:val="superscript"/>
    </w:rPr>
  </w:style>
  <w:style w:type="paragraph" w:customStyle="1" w:styleId="Tabletextindent">
    <w:name w:val="Table text indent"/>
    <w:basedOn w:val="Tabletext"/>
    <w:uiPriority w:val="4"/>
    <w:qFormat/>
    <w:rsid w:val="00283766"/>
    <w:pPr>
      <w:keepNext/>
      <w:keepLines/>
      <w:spacing w:before="20" w:after="20"/>
      <w:ind w:left="284"/>
    </w:pPr>
    <w:rPr>
      <w:rFonts w:ascii="Montserrat" w:eastAsia="Calibri" w:hAnsi="Montserrat" w:cs="Calibri"/>
      <w:snapToGrid/>
      <w:sz w:val="16"/>
      <w:szCs w:val="16"/>
      <w:lang w:eastAsia="en-US"/>
    </w:rPr>
  </w:style>
  <w:style w:type="paragraph" w:customStyle="1" w:styleId="Figurename">
    <w:name w:val="Figure name"/>
    <w:basedOn w:val="BodyText"/>
    <w:next w:val="BodyText"/>
    <w:uiPriority w:val="5"/>
    <w:qFormat/>
    <w:rsid w:val="004D623E"/>
    <w:pPr>
      <w:keepNext/>
      <w:keepLines/>
      <w:tabs>
        <w:tab w:val="left" w:pos="1418"/>
      </w:tabs>
      <w:spacing w:after="120"/>
      <w:ind w:left="1418" w:hanging="1418"/>
    </w:pPr>
    <w:rPr>
      <w:rFonts w:ascii="Montserrat" w:hAnsi="Montserrat" w:cs="Calibri"/>
      <w:b/>
      <w:bCs/>
      <w:sz w:val="18"/>
      <w:szCs w:val="20"/>
      <w:lang w:val="en-US" w:eastAsia="en-US"/>
    </w:rPr>
  </w:style>
  <w:style w:type="paragraph" w:customStyle="1" w:styleId="Pic">
    <w:name w:val="Pic"/>
    <w:next w:val="ListParagraph"/>
    <w:uiPriority w:val="9"/>
    <w:qFormat/>
    <w:rsid w:val="00223C9B"/>
    <w:pPr>
      <w:keepNext/>
    </w:pPr>
    <w:rPr>
      <w:rFonts w:ascii="Calibri" w:eastAsia="Calibri" w:hAnsi="Calibri" w:cs="Calibri"/>
      <w:lang w:eastAsia="en-US"/>
    </w:rPr>
  </w:style>
  <w:style w:type="table" w:customStyle="1" w:styleId="HTATableshaded">
    <w:name w:val="HTA Table shaded"/>
    <w:basedOn w:val="TableNormal"/>
    <w:rsid w:val="00223C9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StyleTabletext8ptLeft063cm">
    <w:name w:val="Style Table text 8pt + Left:  0.63 cm"/>
    <w:basedOn w:val="Tabletext8pt"/>
    <w:rsid w:val="00223C9B"/>
    <w:pPr>
      <w:ind w:left="227"/>
    </w:pPr>
    <w:rPr>
      <w:rFonts w:eastAsia="Times New Roman" w:cs="Times New Roman"/>
      <w:szCs w:val="20"/>
    </w:rPr>
  </w:style>
  <w:style w:type="paragraph" w:customStyle="1" w:styleId="TableH28pt">
    <w:name w:val="Table H2 8pt"/>
    <w:basedOn w:val="Normal"/>
    <w:qFormat/>
    <w:rsid w:val="00AD0AD9"/>
    <w:pPr>
      <w:keepNext/>
      <w:keepLines/>
      <w:spacing w:before="20" w:after="20"/>
      <w:contextualSpacing/>
      <w:jc w:val="left"/>
    </w:pPr>
    <w:rPr>
      <w:rFonts w:ascii="Montserrat" w:eastAsia="Calibri" w:hAnsi="Montserrat" w:cs="Calibri"/>
      <w:b/>
      <w:sz w:val="16"/>
      <w:szCs w:val="20"/>
      <w:lang w:eastAsia="en-US"/>
    </w:rPr>
  </w:style>
  <w:style w:type="paragraph" w:customStyle="1" w:styleId="H1nonocol">
    <w:name w:val="H1 no#nocol"/>
    <w:basedOn w:val="Normal"/>
    <w:qFormat/>
    <w:rsid w:val="00171D3F"/>
    <w:pPr>
      <w:keepNext/>
      <w:keepLines/>
      <w:pageBreakBefore/>
      <w:spacing w:after="360" w:line="288" w:lineRule="auto"/>
      <w:jc w:val="left"/>
      <w:outlineLvl w:val="0"/>
    </w:pPr>
    <w:rPr>
      <w:rFonts w:ascii="Montserrat" w:eastAsiaTheme="majorEastAsia" w:hAnsi="Montserrat" w:cs="Calibri"/>
      <w:bCs/>
      <w:caps/>
      <w:color w:val="404040" w:themeColor="text1" w:themeTint="BF"/>
      <w:sz w:val="44"/>
      <w:szCs w:val="28"/>
      <w:lang w:eastAsia="en-US"/>
    </w:rPr>
  </w:style>
  <w:style w:type="paragraph" w:customStyle="1" w:styleId="Tabletextleft">
    <w:name w:val="Table text left"/>
    <w:basedOn w:val="Normal"/>
    <w:link w:val="TabletextleftChar"/>
    <w:qFormat/>
    <w:rsid w:val="00F9614F"/>
    <w:pPr>
      <w:spacing w:before="20" w:after="20"/>
      <w:jc w:val="left"/>
    </w:pPr>
    <w:rPr>
      <w:rFonts w:ascii="Montserrat" w:hAnsi="Montserrat" w:cs="Times New Roman"/>
      <w:sz w:val="16"/>
      <w:szCs w:val="20"/>
    </w:rPr>
  </w:style>
  <w:style w:type="character" w:customStyle="1" w:styleId="TabletextleftChar">
    <w:name w:val="Table text left Char"/>
    <w:basedOn w:val="DefaultParagraphFont"/>
    <w:link w:val="Tabletextleft"/>
    <w:rsid w:val="00F9614F"/>
    <w:rPr>
      <w:rFonts w:ascii="Montserrat" w:hAnsi="Montserrat"/>
      <w:sz w:val="16"/>
    </w:rPr>
  </w:style>
  <w:style w:type="paragraph" w:customStyle="1" w:styleId="TableHeadingleft">
    <w:name w:val="Table Heading left"/>
    <w:basedOn w:val="Normal"/>
    <w:next w:val="Tabletextleft"/>
    <w:qFormat/>
    <w:rsid w:val="00F9614F"/>
    <w:pPr>
      <w:spacing w:before="40" w:after="40"/>
      <w:jc w:val="left"/>
    </w:pPr>
    <w:rPr>
      <w:rFonts w:ascii="Montserrat" w:eastAsiaTheme="minorHAnsi" w:hAnsi="Montserrat" w:cs="Tahoma"/>
      <w:b/>
      <w:sz w:val="16"/>
      <w:szCs w:val="18"/>
      <w:lang w:val="de-DE" w:eastAsia="en-US"/>
    </w:rPr>
  </w:style>
  <w:style w:type="character" w:customStyle="1" w:styleId="Heading3Char">
    <w:name w:val="Heading 3 Char"/>
    <w:basedOn w:val="DefaultParagraphFont"/>
    <w:link w:val="Heading3"/>
    <w:rsid w:val="00C67A76"/>
    <w:rPr>
      <w:rFonts w:ascii="Calibri" w:hAnsi="Calibri" w:cs="Arial"/>
      <w:sz w:val="24"/>
      <w:szCs w:val="24"/>
      <w:u w:val="single"/>
    </w:rPr>
  </w:style>
  <w:style w:type="paragraph" w:customStyle="1" w:styleId="TableH28ptCentered">
    <w:name w:val="Table H2 8pt + Centered"/>
    <w:basedOn w:val="Normal"/>
    <w:qFormat/>
    <w:rsid w:val="00216BAA"/>
    <w:pPr>
      <w:keepNext/>
      <w:keepLines/>
      <w:spacing w:before="20" w:after="20"/>
      <w:contextualSpacing/>
      <w:jc w:val="center"/>
    </w:pPr>
    <w:rPr>
      <w:rFonts w:ascii="Montserrat" w:eastAsia="Calibri" w:hAnsi="Montserrat" w:cs="Calibri"/>
      <w:b/>
      <w:sz w:val="16"/>
      <w:szCs w:val="20"/>
      <w:lang w:eastAsia="en-US"/>
    </w:rPr>
  </w:style>
  <w:style w:type="paragraph" w:customStyle="1" w:styleId="Tabletext8ptCentered">
    <w:name w:val="Table text 8pt + Centered"/>
    <w:basedOn w:val="Normal"/>
    <w:qFormat/>
    <w:rsid w:val="00791E5E"/>
    <w:pPr>
      <w:keepNext/>
      <w:keepLines/>
      <w:spacing w:before="20" w:after="20"/>
      <w:jc w:val="left"/>
    </w:pPr>
    <w:rPr>
      <w:rFonts w:ascii="Montserrat" w:eastAsia="Calibri" w:hAnsi="Montserrat" w:cs="Calibri"/>
      <w:sz w:val="16"/>
      <w:szCs w:val="16"/>
      <w:lang w:eastAsia="en-US"/>
    </w:rPr>
  </w:style>
  <w:style w:type="paragraph" w:customStyle="1" w:styleId="BodyTextAccent3">
    <w:name w:val="Body Text + Accent 3"/>
    <w:basedOn w:val="BodyText"/>
    <w:next w:val="BodyText"/>
    <w:link w:val="BodyTextAccent3Char"/>
    <w:rsid w:val="003130CE"/>
    <w:pPr>
      <w:keepLines/>
      <w:spacing w:after="120" w:line="288" w:lineRule="auto"/>
    </w:pPr>
    <w:rPr>
      <w:rFonts w:ascii="Montserrat" w:eastAsia="Calibri" w:hAnsi="Montserrat" w:cs="Calibri"/>
      <w:color w:val="9BBB59" w:themeColor="accent3"/>
      <w:sz w:val="18"/>
      <w:szCs w:val="20"/>
      <w:lang w:eastAsia="en-US"/>
    </w:rPr>
  </w:style>
  <w:style w:type="character" w:customStyle="1" w:styleId="BodyTextAccent3Char">
    <w:name w:val="Body Text + Accent 3 Char"/>
    <w:basedOn w:val="BodyTextChar"/>
    <w:link w:val="BodyTextAccent3"/>
    <w:rsid w:val="003130CE"/>
    <w:rPr>
      <w:rFonts w:ascii="Montserrat" w:eastAsia="Calibri" w:hAnsi="Montserrat" w:cs="Calibri"/>
      <w:snapToGrid/>
      <w:color w:val="9BBB59" w:themeColor="accent3"/>
      <w:sz w:val="18"/>
      <w:lang w:eastAsia="en-US"/>
    </w:rPr>
  </w:style>
  <w:style w:type="table" w:styleId="PlainTable2">
    <w:name w:val="Plain Table 2"/>
    <w:basedOn w:val="TableNormal"/>
    <w:uiPriority w:val="42"/>
    <w:rsid w:val="00FB3BC4"/>
    <w:rPr>
      <w:rFonts w:asciiTheme="minorHAnsi" w:eastAsia="Calibri" w:hAnsiTheme="minorHAnsi" w:cstheme="minorBidi"/>
      <w:sz w:val="22"/>
      <w:szCs w:val="22"/>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ocumentMap">
    <w:name w:val="Document Map"/>
    <w:basedOn w:val="Normal"/>
    <w:link w:val="DocumentMapChar"/>
    <w:uiPriority w:val="99"/>
    <w:semiHidden/>
    <w:rsid w:val="00F2014A"/>
    <w:pPr>
      <w:spacing w:after="120" w:line="276" w:lineRule="auto"/>
      <w:jc w:val="left"/>
    </w:pPr>
    <w:rPr>
      <w:rFonts w:ascii="Tahoma" w:eastAsia="Calibri" w:hAnsi="Tahoma" w:cs="Tahoma"/>
      <w:sz w:val="20"/>
      <w:szCs w:val="16"/>
      <w:lang w:eastAsia="en-US"/>
    </w:rPr>
  </w:style>
  <w:style w:type="character" w:customStyle="1" w:styleId="DocumentMapChar">
    <w:name w:val="Document Map Char"/>
    <w:basedOn w:val="DefaultParagraphFont"/>
    <w:link w:val="DocumentMap"/>
    <w:uiPriority w:val="99"/>
    <w:semiHidden/>
    <w:rsid w:val="00F2014A"/>
    <w:rPr>
      <w:rFonts w:ascii="Tahoma" w:eastAsia="Calibri" w:hAnsi="Tahoma" w:cs="Tahoma"/>
      <w:szCs w:val="16"/>
      <w:lang w:eastAsia="en-US"/>
    </w:rPr>
  </w:style>
  <w:style w:type="paragraph" w:customStyle="1" w:styleId="3-SubsectionHeading">
    <w:name w:val="3-Subsection Heading"/>
    <w:basedOn w:val="Heading2"/>
    <w:next w:val="Normal"/>
    <w:link w:val="3-SubsectionHeadingChar"/>
    <w:qFormat/>
    <w:rsid w:val="005E62F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E62F2"/>
    <w:rPr>
      <w:rFonts w:asciiTheme="minorHAnsi" w:eastAsiaTheme="majorEastAsia" w:hAnsiTheme="minorHAnsi" w:cstheme="majorBidi"/>
      <w:b/>
      <w:i/>
      <w:snapToGrid/>
      <w:spacing w:val="5"/>
      <w:kern w:val="28"/>
      <w:sz w:val="28"/>
      <w:szCs w:val="36"/>
      <w:lang w:eastAsia="en-US"/>
    </w:rPr>
  </w:style>
  <w:style w:type="paragraph" w:customStyle="1" w:styleId="TableTitleA">
    <w:name w:val="Table Title A"/>
    <w:basedOn w:val="Normal"/>
    <w:next w:val="BodyText"/>
    <w:qFormat/>
    <w:rsid w:val="004465EA"/>
    <w:pPr>
      <w:numPr>
        <w:numId w:val="22"/>
      </w:numPr>
      <w:tabs>
        <w:tab w:val="clear" w:pos="1080"/>
        <w:tab w:val="left" w:pos="1134"/>
      </w:tabs>
      <w:spacing w:after="120"/>
      <w:ind w:left="720" w:hanging="360"/>
    </w:pPr>
    <w:rPr>
      <w:rFonts w:ascii="Arial" w:hAnsi="Arial" w:cs="Times New Roman"/>
      <w:b/>
      <w:sz w:val="20"/>
      <w:lang w:eastAsia="en-US"/>
    </w:rPr>
  </w:style>
  <w:style w:type="paragraph" w:customStyle="1" w:styleId="pf0">
    <w:name w:val="pf0"/>
    <w:basedOn w:val="Normal"/>
    <w:rsid w:val="00605A56"/>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2D42AE"/>
    <w:rPr>
      <w:rFonts w:ascii="Segoe UI" w:hAnsi="Segoe UI" w:cs="Segoe UI" w:hint="default"/>
      <w:sz w:val="18"/>
      <w:szCs w:val="18"/>
    </w:rPr>
  </w:style>
  <w:style w:type="character" w:styleId="Mention">
    <w:name w:val="Mention"/>
    <w:basedOn w:val="DefaultParagraphFont"/>
    <w:uiPriority w:val="99"/>
    <w:unhideWhenUsed/>
    <w:rsid w:val="00EB4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79">
      <w:bodyDiv w:val="1"/>
      <w:marLeft w:val="0"/>
      <w:marRight w:val="0"/>
      <w:marTop w:val="0"/>
      <w:marBottom w:val="0"/>
      <w:divBdr>
        <w:top w:val="none" w:sz="0" w:space="0" w:color="auto"/>
        <w:left w:val="none" w:sz="0" w:space="0" w:color="auto"/>
        <w:bottom w:val="none" w:sz="0" w:space="0" w:color="auto"/>
        <w:right w:val="none" w:sz="0" w:space="0" w:color="auto"/>
      </w:divBdr>
    </w:div>
    <w:div w:id="1713720">
      <w:bodyDiv w:val="1"/>
      <w:marLeft w:val="0"/>
      <w:marRight w:val="0"/>
      <w:marTop w:val="0"/>
      <w:marBottom w:val="0"/>
      <w:divBdr>
        <w:top w:val="none" w:sz="0" w:space="0" w:color="auto"/>
        <w:left w:val="none" w:sz="0" w:space="0" w:color="auto"/>
        <w:bottom w:val="none" w:sz="0" w:space="0" w:color="auto"/>
        <w:right w:val="none" w:sz="0" w:space="0" w:color="auto"/>
      </w:divBdr>
    </w:div>
    <w:div w:id="11415797">
      <w:bodyDiv w:val="1"/>
      <w:marLeft w:val="0"/>
      <w:marRight w:val="0"/>
      <w:marTop w:val="0"/>
      <w:marBottom w:val="0"/>
      <w:divBdr>
        <w:top w:val="none" w:sz="0" w:space="0" w:color="auto"/>
        <w:left w:val="none" w:sz="0" w:space="0" w:color="auto"/>
        <w:bottom w:val="none" w:sz="0" w:space="0" w:color="auto"/>
        <w:right w:val="none" w:sz="0" w:space="0" w:color="auto"/>
      </w:divBdr>
    </w:div>
    <w:div w:id="14967777">
      <w:bodyDiv w:val="1"/>
      <w:marLeft w:val="0"/>
      <w:marRight w:val="0"/>
      <w:marTop w:val="0"/>
      <w:marBottom w:val="0"/>
      <w:divBdr>
        <w:top w:val="none" w:sz="0" w:space="0" w:color="auto"/>
        <w:left w:val="none" w:sz="0" w:space="0" w:color="auto"/>
        <w:bottom w:val="none" w:sz="0" w:space="0" w:color="auto"/>
        <w:right w:val="none" w:sz="0" w:space="0" w:color="auto"/>
      </w:divBdr>
    </w:div>
    <w:div w:id="16541194">
      <w:bodyDiv w:val="1"/>
      <w:marLeft w:val="0"/>
      <w:marRight w:val="0"/>
      <w:marTop w:val="0"/>
      <w:marBottom w:val="0"/>
      <w:divBdr>
        <w:top w:val="none" w:sz="0" w:space="0" w:color="auto"/>
        <w:left w:val="none" w:sz="0" w:space="0" w:color="auto"/>
        <w:bottom w:val="none" w:sz="0" w:space="0" w:color="auto"/>
        <w:right w:val="none" w:sz="0" w:space="0" w:color="auto"/>
      </w:divBdr>
    </w:div>
    <w:div w:id="20253869">
      <w:bodyDiv w:val="1"/>
      <w:marLeft w:val="0"/>
      <w:marRight w:val="0"/>
      <w:marTop w:val="0"/>
      <w:marBottom w:val="0"/>
      <w:divBdr>
        <w:top w:val="none" w:sz="0" w:space="0" w:color="auto"/>
        <w:left w:val="none" w:sz="0" w:space="0" w:color="auto"/>
        <w:bottom w:val="none" w:sz="0" w:space="0" w:color="auto"/>
        <w:right w:val="none" w:sz="0" w:space="0" w:color="auto"/>
      </w:divBdr>
    </w:div>
    <w:div w:id="26103389">
      <w:bodyDiv w:val="1"/>
      <w:marLeft w:val="0"/>
      <w:marRight w:val="0"/>
      <w:marTop w:val="0"/>
      <w:marBottom w:val="0"/>
      <w:divBdr>
        <w:top w:val="none" w:sz="0" w:space="0" w:color="auto"/>
        <w:left w:val="none" w:sz="0" w:space="0" w:color="auto"/>
        <w:bottom w:val="none" w:sz="0" w:space="0" w:color="auto"/>
        <w:right w:val="none" w:sz="0" w:space="0" w:color="auto"/>
      </w:divBdr>
    </w:div>
    <w:div w:id="30230041">
      <w:bodyDiv w:val="1"/>
      <w:marLeft w:val="0"/>
      <w:marRight w:val="0"/>
      <w:marTop w:val="0"/>
      <w:marBottom w:val="0"/>
      <w:divBdr>
        <w:top w:val="none" w:sz="0" w:space="0" w:color="auto"/>
        <w:left w:val="none" w:sz="0" w:space="0" w:color="auto"/>
        <w:bottom w:val="none" w:sz="0" w:space="0" w:color="auto"/>
        <w:right w:val="none" w:sz="0" w:space="0" w:color="auto"/>
      </w:divBdr>
    </w:div>
    <w:div w:id="72944015">
      <w:bodyDiv w:val="1"/>
      <w:marLeft w:val="0"/>
      <w:marRight w:val="0"/>
      <w:marTop w:val="0"/>
      <w:marBottom w:val="0"/>
      <w:divBdr>
        <w:top w:val="none" w:sz="0" w:space="0" w:color="auto"/>
        <w:left w:val="none" w:sz="0" w:space="0" w:color="auto"/>
        <w:bottom w:val="none" w:sz="0" w:space="0" w:color="auto"/>
        <w:right w:val="none" w:sz="0" w:space="0" w:color="auto"/>
      </w:divBdr>
    </w:div>
    <w:div w:id="75708557">
      <w:bodyDiv w:val="1"/>
      <w:marLeft w:val="0"/>
      <w:marRight w:val="0"/>
      <w:marTop w:val="0"/>
      <w:marBottom w:val="0"/>
      <w:divBdr>
        <w:top w:val="none" w:sz="0" w:space="0" w:color="auto"/>
        <w:left w:val="none" w:sz="0" w:space="0" w:color="auto"/>
        <w:bottom w:val="none" w:sz="0" w:space="0" w:color="auto"/>
        <w:right w:val="none" w:sz="0" w:space="0" w:color="auto"/>
      </w:divBdr>
    </w:div>
    <w:div w:id="86273912">
      <w:bodyDiv w:val="1"/>
      <w:marLeft w:val="0"/>
      <w:marRight w:val="0"/>
      <w:marTop w:val="0"/>
      <w:marBottom w:val="0"/>
      <w:divBdr>
        <w:top w:val="none" w:sz="0" w:space="0" w:color="auto"/>
        <w:left w:val="none" w:sz="0" w:space="0" w:color="auto"/>
        <w:bottom w:val="none" w:sz="0" w:space="0" w:color="auto"/>
        <w:right w:val="none" w:sz="0" w:space="0" w:color="auto"/>
      </w:divBdr>
    </w:div>
    <w:div w:id="86536013">
      <w:bodyDiv w:val="1"/>
      <w:marLeft w:val="0"/>
      <w:marRight w:val="0"/>
      <w:marTop w:val="0"/>
      <w:marBottom w:val="0"/>
      <w:divBdr>
        <w:top w:val="none" w:sz="0" w:space="0" w:color="auto"/>
        <w:left w:val="none" w:sz="0" w:space="0" w:color="auto"/>
        <w:bottom w:val="none" w:sz="0" w:space="0" w:color="auto"/>
        <w:right w:val="none" w:sz="0" w:space="0" w:color="auto"/>
      </w:divBdr>
    </w:div>
    <w:div w:id="87191166">
      <w:bodyDiv w:val="1"/>
      <w:marLeft w:val="0"/>
      <w:marRight w:val="0"/>
      <w:marTop w:val="0"/>
      <w:marBottom w:val="0"/>
      <w:divBdr>
        <w:top w:val="none" w:sz="0" w:space="0" w:color="auto"/>
        <w:left w:val="none" w:sz="0" w:space="0" w:color="auto"/>
        <w:bottom w:val="none" w:sz="0" w:space="0" w:color="auto"/>
        <w:right w:val="none" w:sz="0" w:space="0" w:color="auto"/>
      </w:divBdr>
    </w:div>
    <w:div w:id="93206992">
      <w:bodyDiv w:val="1"/>
      <w:marLeft w:val="0"/>
      <w:marRight w:val="0"/>
      <w:marTop w:val="0"/>
      <w:marBottom w:val="0"/>
      <w:divBdr>
        <w:top w:val="none" w:sz="0" w:space="0" w:color="auto"/>
        <w:left w:val="none" w:sz="0" w:space="0" w:color="auto"/>
        <w:bottom w:val="none" w:sz="0" w:space="0" w:color="auto"/>
        <w:right w:val="none" w:sz="0" w:space="0" w:color="auto"/>
      </w:divBdr>
    </w:div>
    <w:div w:id="9340717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9475816">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2386140">
      <w:bodyDiv w:val="1"/>
      <w:marLeft w:val="0"/>
      <w:marRight w:val="0"/>
      <w:marTop w:val="0"/>
      <w:marBottom w:val="0"/>
      <w:divBdr>
        <w:top w:val="none" w:sz="0" w:space="0" w:color="auto"/>
        <w:left w:val="none" w:sz="0" w:space="0" w:color="auto"/>
        <w:bottom w:val="none" w:sz="0" w:space="0" w:color="auto"/>
        <w:right w:val="none" w:sz="0" w:space="0" w:color="auto"/>
      </w:divBdr>
    </w:div>
    <w:div w:id="135295041">
      <w:bodyDiv w:val="1"/>
      <w:marLeft w:val="0"/>
      <w:marRight w:val="0"/>
      <w:marTop w:val="0"/>
      <w:marBottom w:val="0"/>
      <w:divBdr>
        <w:top w:val="none" w:sz="0" w:space="0" w:color="auto"/>
        <w:left w:val="none" w:sz="0" w:space="0" w:color="auto"/>
        <w:bottom w:val="none" w:sz="0" w:space="0" w:color="auto"/>
        <w:right w:val="none" w:sz="0" w:space="0" w:color="auto"/>
      </w:divBdr>
    </w:div>
    <w:div w:id="146551737">
      <w:bodyDiv w:val="1"/>
      <w:marLeft w:val="0"/>
      <w:marRight w:val="0"/>
      <w:marTop w:val="0"/>
      <w:marBottom w:val="0"/>
      <w:divBdr>
        <w:top w:val="none" w:sz="0" w:space="0" w:color="auto"/>
        <w:left w:val="none" w:sz="0" w:space="0" w:color="auto"/>
        <w:bottom w:val="none" w:sz="0" w:space="0" w:color="auto"/>
        <w:right w:val="none" w:sz="0" w:space="0" w:color="auto"/>
      </w:divBdr>
    </w:div>
    <w:div w:id="152452189">
      <w:bodyDiv w:val="1"/>
      <w:marLeft w:val="0"/>
      <w:marRight w:val="0"/>
      <w:marTop w:val="0"/>
      <w:marBottom w:val="0"/>
      <w:divBdr>
        <w:top w:val="none" w:sz="0" w:space="0" w:color="auto"/>
        <w:left w:val="none" w:sz="0" w:space="0" w:color="auto"/>
        <w:bottom w:val="none" w:sz="0" w:space="0" w:color="auto"/>
        <w:right w:val="none" w:sz="0" w:space="0" w:color="auto"/>
      </w:divBdr>
    </w:div>
    <w:div w:id="191038727">
      <w:bodyDiv w:val="1"/>
      <w:marLeft w:val="0"/>
      <w:marRight w:val="0"/>
      <w:marTop w:val="0"/>
      <w:marBottom w:val="0"/>
      <w:divBdr>
        <w:top w:val="none" w:sz="0" w:space="0" w:color="auto"/>
        <w:left w:val="none" w:sz="0" w:space="0" w:color="auto"/>
        <w:bottom w:val="none" w:sz="0" w:space="0" w:color="auto"/>
        <w:right w:val="none" w:sz="0" w:space="0" w:color="auto"/>
      </w:divBdr>
    </w:div>
    <w:div w:id="192235912">
      <w:bodyDiv w:val="1"/>
      <w:marLeft w:val="0"/>
      <w:marRight w:val="0"/>
      <w:marTop w:val="0"/>
      <w:marBottom w:val="0"/>
      <w:divBdr>
        <w:top w:val="none" w:sz="0" w:space="0" w:color="auto"/>
        <w:left w:val="none" w:sz="0" w:space="0" w:color="auto"/>
        <w:bottom w:val="none" w:sz="0" w:space="0" w:color="auto"/>
        <w:right w:val="none" w:sz="0" w:space="0" w:color="auto"/>
      </w:divBdr>
    </w:div>
    <w:div w:id="194588348">
      <w:bodyDiv w:val="1"/>
      <w:marLeft w:val="0"/>
      <w:marRight w:val="0"/>
      <w:marTop w:val="0"/>
      <w:marBottom w:val="0"/>
      <w:divBdr>
        <w:top w:val="none" w:sz="0" w:space="0" w:color="auto"/>
        <w:left w:val="none" w:sz="0" w:space="0" w:color="auto"/>
        <w:bottom w:val="none" w:sz="0" w:space="0" w:color="auto"/>
        <w:right w:val="none" w:sz="0" w:space="0" w:color="auto"/>
      </w:divBdr>
    </w:div>
    <w:div w:id="235670730">
      <w:bodyDiv w:val="1"/>
      <w:marLeft w:val="0"/>
      <w:marRight w:val="0"/>
      <w:marTop w:val="0"/>
      <w:marBottom w:val="0"/>
      <w:divBdr>
        <w:top w:val="none" w:sz="0" w:space="0" w:color="auto"/>
        <w:left w:val="none" w:sz="0" w:space="0" w:color="auto"/>
        <w:bottom w:val="none" w:sz="0" w:space="0" w:color="auto"/>
        <w:right w:val="none" w:sz="0" w:space="0" w:color="auto"/>
      </w:divBdr>
      <w:divsChild>
        <w:div w:id="204100144">
          <w:marLeft w:val="274"/>
          <w:marRight w:val="0"/>
          <w:marTop w:val="0"/>
          <w:marBottom w:val="0"/>
          <w:divBdr>
            <w:top w:val="none" w:sz="0" w:space="0" w:color="auto"/>
            <w:left w:val="none" w:sz="0" w:space="0" w:color="auto"/>
            <w:bottom w:val="none" w:sz="0" w:space="0" w:color="auto"/>
            <w:right w:val="none" w:sz="0" w:space="0" w:color="auto"/>
          </w:divBdr>
        </w:div>
        <w:div w:id="1286934153">
          <w:marLeft w:val="274"/>
          <w:marRight w:val="0"/>
          <w:marTop w:val="0"/>
          <w:marBottom w:val="0"/>
          <w:divBdr>
            <w:top w:val="none" w:sz="0" w:space="0" w:color="auto"/>
            <w:left w:val="none" w:sz="0" w:space="0" w:color="auto"/>
            <w:bottom w:val="none" w:sz="0" w:space="0" w:color="auto"/>
            <w:right w:val="none" w:sz="0" w:space="0" w:color="auto"/>
          </w:divBdr>
        </w:div>
        <w:div w:id="1869757145">
          <w:marLeft w:val="274"/>
          <w:marRight w:val="0"/>
          <w:marTop w:val="0"/>
          <w:marBottom w:val="0"/>
          <w:divBdr>
            <w:top w:val="none" w:sz="0" w:space="0" w:color="auto"/>
            <w:left w:val="none" w:sz="0" w:space="0" w:color="auto"/>
            <w:bottom w:val="none" w:sz="0" w:space="0" w:color="auto"/>
            <w:right w:val="none" w:sz="0" w:space="0" w:color="auto"/>
          </w:divBdr>
        </w:div>
        <w:div w:id="1932934979">
          <w:marLeft w:val="274"/>
          <w:marRight w:val="0"/>
          <w:marTop w:val="0"/>
          <w:marBottom w:val="0"/>
          <w:divBdr>
            <w:top w:val="none" w:sz="0" w:space="0" w:color="auto"/>
            <w:left w:val="none" w:sz="0" w:space="0" w:color="auto"/>
            <w:bottom w:val="none" w:sz="0" w:space="0" w:color="auto"/>
            <w:right w:val="none" w:sz="0" w:space="0" w:color="auto"/>
          </w:divBdr>
        </w:div>
        <w:div w:id="2099909270">
          <w:marLeft w:val="274"/>
          <w:marRight w:val="0"/>
          <w:marTop w:val="0"/>
          <w:marBottom w:val="0"/>
          <w:divBdr>
            <w:top w:val="none" w:sz="0" w:space="0" w:color="auto"/>
            <w:left w:val="none" w:sz="0" w:space="0" w:color="auto"/>
            <w:bottom w:val="none" w:sz="0" w:space="0" w:color="auto"/>
            <w:right w:val="none" w:sz="0" w:space="0" w:color="auto"/>
          </w:divBdr>
        </w:div>
      </w:divsChild>
    </w:div>
    <w:div w:id="238561835">
      <w:bodyDiv w:val="1"/>
      <w:marLeft w:val="0"/>
      <w:marRight w:val="0"/>
      <w:marTop w:val="0"/>
      <w:marBottom w:val="0"/>
      <w:divBdr>
        <w:top w:val="none" w:sz="0" w:space="0" w:color="auto"/>
        <w:left w:val="none" w:sz="0" w:space="0" w:color="auto"/>
        <w:bottom w:val="none" w:sz="0" w:space="0" w:color="auto"/>
        <w:right w:val="none" w:sz="0" w:space="0" w:color="auto"/>
      </w:divBdr>
    </w:div>
    <w:div w:id="249244878">
      <w:bodyDiv w:val="1"/>
      <w:marLeft w:val="0"/>
      <w:marRight w:val="0"/>
      <w:marTop w:val="0"/>
      <w:marBottom w:val="0"/>
      <w:divBdr>
        <w:top w:val="none" w:sz="0" w:space="0" w:color="auto"/>
        <w:left w:val="none" w:sz="0" w:space="0" w:color="auto"/>
        <w:bottom w:val="none" w:sz="0" w:space="0" w:color="auto"/>
        <w:right w:val="none" w:sz="0" w:space="0" w:color="auto"/>
      </w:divBdr>
    </w:div>
    <w:div w:id="265889598">
      <w:bodyDiv w:val="1"/>
      <w:marLeft w:val="0"/>
      <w:marRight w:val="0"/>
      <w:marTop w:val="0"/>
      <w:marBottom w:val="0"/>
      <w:divBdr>
        <w:top w:val="none" w:sz="0" w:space="0" w:color="auto"/>
        <w:left w:val="none" w:sz="0" w:space="0" w:color="auto"/>
        <w:bottom w:val="none" w:sz="0" w:space="0" w:color="auto"/>
        <w:right w:val="none" w:sz="0" w:space="0" w:color="auto"/>
      </w:divBdr>
    </w:div>
    <w:div w:id="273027831">
      <w:bodyDiv w:val="1"/>
      <w:marLeft w:val="0"/>
      <w:marRight w:val="0"/>
      <w:marTop w:val="0"/>
      <w:marBottom w:val="0"/>
      <w:divBdr>
        <w:top w:val="none" w:sz="0" w:space="0" w:color="auto"/>
        <w:left w:val="none" w:sz="0" w:space="0" w:color="auto"/>
        <w:bottom w:val="none" w:sz="0" w:space="0" w:color="auto"/>
        <w:right w:val="none" w:sz="0" w:space="0" w:color="auto"/>
      </w:divBdr>
    </w:div>
    <w:div w:id="288245598">
      <w:bodyDiv w:val="1"/>
      <w:marLeft w:val="0"/>
      <w:marRight w:val="0"/>
      <w:marTop w:val="0"/>
      <w:marBottom w:val="0"/>
      <w:divBdr>
        <w:top w:val="none" w:sz="0" w:space="0" w:color="auto"/>
        <w:left w:val="none" w:sz="0" w:space="0" w:color="auto"/>
        <w:bottom w:val="none" w:sz="0" w:space="0" w:color="auto"/>
        <w:right w:val="none" w:sz="0" w:space="0" w:color="auto"/>
      </w:divBdr>
    </w:div>
    <w:div w:id="303200501">
      <w:bodyDiv w:val="1"/>
      <w:marLeft w:val="0"/>
      <w:marRight w:val="0"/>
      <w:marTop w:val="0"/>
      <w:marBottom w:val="0"/>
      <w:divBdr>
        <w:top w:val="none" w:sz="0" w:space="0" w:color="auto"/>
        <w:left w:val="none" w:sz="0" w:space="0" w:color="auto"/>
        <w:bottom w:val="none" w:sz="0" w:space="0" w:color="auto"/>
        <w:right w:val="none" w:sz="0" w:space="0" w:color="auto"/>
      </w:divBdr>
    </w:div>
    <w:div w:id="31106433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1860783">
      <w:bodyDiv w:val="1"/>
      <w:marLeft w:val="0"/>
      <w:marRight w:val="0"/>
      <w:marTop w:val="0"/>
      <w:marBottom w:val="0"/>
      <w:divBdr>
        <w:top w:val="none" w:sz="0" w:space="0" w:color="auto"/>
        <w:left w:val="none" w:sz="0" w:space="0" w:color="auto"/>
        <w:bottom w:val="none" w:sz="0" w:space="0" w:color="auto"/>
        <w:right w:val="none" w:sz="0" w:space="0" w:color="auto"/>
      </w:divBdr>
    </w:div>
    <w:div w:id="336738690">
      <w:bodyDiv w:val="1"/>
      <w:marLeft w:val="0"/>
      <w:marRight w:val="0"/>
      <w:marTop w:val="0"/>
      <w:marBottom w:val="0"/>
      <w:divBdr>
        <w:top w:val="none" w:sz="0" w:space="0" w:color="auto"/>
        <w:left w:val="none" w:sz="0" w:space="0" w:color="auto"/>
        <w:bottom w:val="none" w:sz="0" w:space="0" w:color="auto"/>
        <w:right w:val="none" w:sz="0" w:space="0" w:color="auto"/>
      </w:divBdr>
    </w:div>
    <w:div w:id="337005842">
      <w:bodyDiv w:val="1"/>
      <w:marLeft w:val="0"/>
      <w:marRight w:val="0"/>
      <w:marTop w:val="0"/>
      <w:marBottom w:val="0"/>
      <w:divBdr>
        <w:top w:val="none" w:sz="0" w:space="0" w:color="auto"/>
        <w:left w:val="none" w:sz="0" w:space="0" w:color="auto"/>
        <w:bottom w:val="none" w:sz="0" w:space="0" w:color="auto"/>
        <w:right w:val="none" w:sz="0" w:space="0" w:color="auto"/>
      </w:divBdr>
    </w:div>
    <w:div w:id="356782843">
      <w:bodyDiv w:val="1"/>
      <w:marLeft w:val="0"/>
      <w:marRight w:val="0"/>
      <w:marTop w:val="0"/>
      <w:marBottom w:val="0"/>
      <w:divBdr>
        <w:top w:val="none" w:sz="0" w:space="0" w:color="auto"/>
        <w:left w:val="none" w:sz="0" w:space="0" w:color="auto"/>
        <w:bottom w:val="none" w:sz="0" w:space="0" w:color="auto"/>
        <w:right w:val="none" w:sz="0" w:space="0" w:color="auto"/>
      </w:divBdr>
    </w:div>
    <w:div w:id="358238165">
      <w:bodyDiv w:val="1"/>
      <w:marLeft w:val="0"/>
      <w:marRight w:val="0"/>
      <w:marTop w:val="0"/>
      <w:marBottom w:val="0"/>
      <w:divBdr>
        <w:top w:val="none" w:sz="0" w:space="0" w:color="auto"/>
        <w:left w:val="none" w:sz="0" w:space="0" w:color="auto"/>
        <w:bottom w:val="none" w:sz="0" w:space="0" w:color="auto"/>
        <w:right w:val="none" w:sz="0" w:space="0" w:color="auto"/>
      </w:divBdr>
    </w:div>
    <w:div w:id="360672984">
      <w:bodyDiv w:val="1"/>
      <w:marLeft w:val="0"/>
      <w:marRight w:val="0"/>
      <w:marTop w:val="0"/>
      <w:marBottom w:val="0"/>
      <w:divBdr>
        <w:top w:val="none" w:sz="0" w:space="0" w:color="auto"/>
        <w:left w:val="none" w:sz="0" w:space="0" w:color="auto"/>
        <w:bottom w:val="none" w:sz="0" w:space="0" w:color="auto"/>
        <w:right w:val="none" w:sz="0" w:space="0" w:color="auto"/>
      </w:divBdr>
    </w:div>
    <w:div w:id="360740320">
      <w:bodyDiv w:val="1"/>
      <w:marLeft w:val="0"/>
      <w:marRight w:val="0"/>
      <w:marTop w:val="0"/>
      <w:marBottom w:val="0"/>
      <w:divBdr>
        <w:top w:val="none" w:sz="0" w:space="0" w:color="auto"/>
        <w:left w:val="none" w:sz="0" w:space="0" w:color="auto"/>
        <w:bottom w:val="none" w:sz="0" w:space="0" w:color="auto"/>
        <w:right w:val="none" w:sz="0" w:space="0" w:color="auto"/>
      </w:divBdr>
    </w:div>
    <w:div w:id="371345078">
      <w:bodyDiv w:val="1"/>
      <w:marLeft w:val="0"/>
      <w:marRight w:val="0"/>
      <w:marTop w:val="0"/>
      <w:marBottom w:val="0"/>
      <w:divBdr>
        <w:top w:val="none" w:sz="0" w:space="0" w:color="auto"/>
        <w:left w:val="none" w:sz="0" w:space="0" w:color="auto"/>
        <w:bottom w:val="none" w:sz="0" w:space="0" w:color="auto"/>
        <w:right w:val="none" w:sz="0" w:space="0" w:color="auto"/>
      </w:divBdr>
    </w:div>
    <w:div w:id="372921314">
      <w:bodyDiv w:val="1"/>
      <w:marLeft w:val="0"/>
      <w:marRight w:val="0"/>
      <w:marTop w:val="0"/>
      <w:marBottom w:val="0"/>
      <w:divBdr>
        <w:top w:val="none" w:sz="0" w:space="0" w:color="auto"/>
        <w:left w:val="none" w:sz="0" w:space="0" w:color="auto"/>
        <w:bottom w:val="none" w:sz="0" w:space="0" w:color="auto"/>
        <w:right w:val="none" w:sz="0" w:space="0" w:color="auto"/>
      </w:divBdr>
    </w:div>
    <w:div w:id="372922400">
      <w:bodyDiv w:val="1"/>
      <w:marLeft w:val="0"/>
      <w:marRight w:val="0"/>
      <w:marTop w:val="0"/>
      <w:marBottom w:val="0"/>
      <w:divBdr>
        <w:top w:val="none" w:sz="0" w:space="0" w:color="auto"/>
        <w:left w:val="none" w:sz="0" w:space="0" w:color="auto"/>
        <w:bottom w:val="none" w:sz="0" w:space="0" w:color="auto"/>
        <w:right w:val="none" w:sz="0" w:space="0" w:color="auto"/>
      </w:divBdr>
    </w:div>
    <w:div w:id="373817651">
      <w:bodyDiv w:val="1"/>
      <w:marLeft w:val="0"/>
      <w:marRight w:val="0"/>
      <w:marTop w:val="0"/>
      <w:marBottom w:val="0"/>
      <w:divBdr>
        <w:top w:val="none" w:sz="0" w:space="0" w:color="auto"/>
        <w:left w:val="none" w:sz="0" w:space="0" w:color="auto"/>
        <w:bottom w:val="none" w:sz="0" w:space="0" w:color="auto"/>
        <w:right w:val="none" w:sz="0" w:space="0" w:color="auto"/>
      </w:divBdr>
    </w:div>
    <w:div w:id="396248513">
      <w:bodyDiv w:val="1"/>
      <w:marLeft w:val="0"/>
      <w:marRight w:val="0"/>
      <w:marTop w:val="0"/>
      <w:marBottom w:val="0"/>
      <w:divBdr>
        <w:top w:val="none" w:sz="0" w:space="0" w:color="auto"/>
        <w:left w:val="none" w:sz="0" w:space="0" w:color="auto"/>
        <w:bottom w:val="none" w:sz="0" w:space="0" w:color="auto"/>
        <w:right w:val="none" w:sz="0" w:space="0" w:color="auto"/>
      </w:divBdr>
    </w:div>
    <w:div w:id="398944111">
      <w:bodyDiv w:val="1"/>
      <w:marLeft w:val="0"/>
      <w:marRight w:val="0"/>
      <w:marTop w:val="0"/>
      <w:marBottom w:val="0"/>
      <w:divBdr>
        <w:top w:val="none" w:sz="0" w:space="0" w:color="auto"/>
        <w:left w:val="none" w:sz="0" w:space="0" w:color="auto"/>
        <w:bottom w:val="none" w:sz="0" w:space="0" w:color="auto"/>
        <w:right w:val="none" w:sz="0" w:space="0" w:color="auto"/>
      </w:divBdr>
    </w:div>
    <w:div w:id="400493078">
      <w:bodyDiv w:val="1"/>
      <w:marLeft w:val="0"/>
      <w:marRight w:val="0"/>
      <w:marTop w:val="0"/>
      <w:marBottom w:val="0"/>
      <w:divBdr>
        <w:top w:val="none" w:sz="0" w:space="0" w:color="auto"/>
        <w:left w:val="none" w:sz="0" w:space="0" w:color="auto"/>
        <w:bottom w:val="none" w:sz="0" w:space="0" w:color="auto"/>
        <w:right w:val="none" w:sz="0" w:space="0" w:color="auto"/>
      </w:divBdr>
    </w:div>
    <w:div w:id="402143250">
      <w:bodyDiv w:val="1"/>
      <w:marLeft w:val="0"/>
      <w:marRight w:val="0"/>
      <w:marTop w:val="0"/>
      <w:marBottom w:val="0"/>
      <w:divBdr>
        <w:top w:val="none" w:sz="0" w:space="0" w:color="auto"/>
        <w:left w:val="none" w:sz="0" w:space="0" w:color="auto"/>
        <w:bottom w:val="none" w:sz="0" w:space="0" w:color="auto"/>
        <w:right w:val="none" w:sz="0" w:space="0" w:color="auto"/>
      </w:divBdr>
    </w:div>
    <w:div w:id="405035332">
      <w:bodyDiv w:val="1"/>
      <w:marLeft w:val="0"/>
      <w:marRight w:val="0"/>
      <w:marTop w:val="0"/>
      <w:marBottom w:val="0"/>
      <w:divBdr>
        <w:top w:val="none" w:sz="0" w:space="0" w:color="auto"/>
        <w:left w:val="none" w:sz="0" w:space="0" w:color="auto"/>
        <w:bottom w:val="none" w:sz="0" w:space="0" w:color="auto"/>
        <w:right w:val="none" w:sz="0" w:space="0" w:color="auto"/>
      </w:divBdr>
    </w:div>
    <w:div w:id="432626825">
      <w:bodyDiv w:val="1"/>
      <w:marLeft w:val="0"/>
      <w:marRight w:val="0"/>
      <w:marTop w:val="0"/>
      <w:marBottom w:val="0"/>
      <w:divBdr>
        <w:top w:val="none" w:sz="0" w:space="0" w:color="auto"/>
        <w:left w:val="none" w:sz="0" w:space="0" w:color="auto"/>
        <w:bottom w:val="none" w:sz="0" w:space="0" w:color="auto"/>
        <w:right w:val="none" w:sz="0" w:space="0" w:color="auto"/>
      </w:divBdr>
    </w:div>
    <w:div w:id="444351438">
      <w:bodyDiv w:val="1"/>
      <w:marLeft w:val="0"/>
      <w:marRight w:val="0"/>
      <w:marTop w:val="0"/>
      <w:marBottom w:val="0"/>
      <w:divBdr>
        <w:top w:val="none" w:sz="0" w:space="0" w:color="auto"/>
        <w:left w:val="none" w:sz="0" w:space="0" w:color="auto"/>
        <w:bottom w:val="none" w:sz="0" w:space="0" w:color="auto"/>
        <w:right w:val="none" w:sz="0" w:space="0" w:color="auto"/>
      </w:divBdr>
    </w:div>
    <w:div w:id="445388443">
      <w:bodyDiv w:val="1"/>
      <w:marLeft w:val="0"/>
      <w:marRight w:val="0"/>
      <w:marTop w:val="0"/>
      <w:marBottom w:val="0"/>
      <w:divBdr>
        <w:top w:val="none" w:sz="0" w:space="0" w:color="auto"/>
        <w:left w:val="none" w:sz="0" w:space="0" w:color="auto"/>
        <w:bottom w:val="none" w:sz="0" w:space="0" w:color="auto"/>
        <w:right w:val="none" w:sz="0" w:space="0" w:color="auto"/>
      </w:divBdr>
    </w:div>
    <w:div w:id="474611756">
      <w:bodyDiv w:val="1"/>
      <w:marLeft w:val="0"/>
      <w:marRight w:val="0"/>
      <w:marTop w:val="0"/>
      <w:marBottom w:val="0"/>
      <w:divBdr>
        <w:top w:val="none" w:sz="0" w:space="0" w:color="auto"/>
        <w:left w:val="none" w:sz="0" w:space="0" w:color="auto"/>
        <w:bottom w:val="none" w:sz="0" w:space="0" w:color="auto"/>
        <w:right w:val="none" w:sz="0" w:space="0" w:color="auto"/>
      </w:divBdr>
    </w:div>
    <w:div w:id="500241491">
      <w:bodyDiv w:val="1"/>
      <w:marLeft w:val="0"/>
      <w:marRight w:val="0"/>
      <w:marTop w:val="0"/>
      <w:marBottom w:val="0"/>
      <w:divBdr>
        <w:top w:val="none" w:sz="0" w:space="0" w:color="auto"/>
        <w:left w:val="none" w:sz="0" w:space="0" w:color="auto"/>
        <w:bottom w:val="none" w:sz="0" w:space="0" w:color="auto"/>
        <w:right w:val="none" w:sz="0" w:space="0" w:color="auto"/>
      </w:divBdr>
    </w:div>
    <w:div w:id="500315126">
      <w:bodyDiv w:val="1"/>
      <w:marLeft w:val="0"/>
      <w:marRight w:val="0"/>
      <w:marTop w:val="0"/>
      <w:marBottom w:val="0"/>
      <w:divBdr>
        <w:top w:val="none" w:sz="0" w:space="0" w:color="auto"/>
        <w:left w:val="none" w:sz="0" w:space="0" w:color="auto"/>
        <w:bottom w:val="none" w:sz="0" w:space="0" w:color="auto"/>
        <w:right w:val="none" w:sz="0" w:space="0" w:color="auto"/>
      </w:divBdr>
    </w:div>
    <w:div w:id="516964875">
      <w:bodyDiv w:val="1"/>
      <w:marLeft w:val="0"/>
      <w:marRight w:val="0"/>
      <w:marTop w:val="0"/>
      <w:marBottom w:val="0"/>
      <w:divBdr>
        <w:top w:val="none" w:sz="0" w:space="0" w:color="auto"/>
        <w:left w:val="none" w:sz="0" w:space="0" w:color="auto"/>
        <w:bottom w:val="none" w:sz="0" w:space="0" w:color="auto"/>
        <w:right w:val="none" w:sz="0" w:space="0" w:color="auto"/>
      </w:divBdr>
    </w:div>
    <w:div w:id="519464908">
      <w:bodyDiv w:val="1"/>
      <w:marLeft w:val="0"/>
      <w:marRight w:val="0"/>
      <w:marTop w:val="0"/>
      <w:marBottom w:val="0"/>
      <w:divBdr>
        <w:top w:val="none" w:sz="0" w:space="0" w:color="auto"/>
        <w:left w:val="none" w:sz="0" w:space="0" w:color="auto"/>
        <w:bottom w:val="none" w:sz="0" w:space="0" w:color="auto"/>
        <w:right w:val="none" w:sz="0" w:space="0" w:color="auto"/>
      </w:divBdr>
    </w:div>
    <w:div w:id="547913365">
      <w:bodyDiv w:val="1"/>
      <w:marLeft w:val="0"/>
      <w:marRight w:val="0"/>
      <w:marTop w:val="0"/>
      <w:marBottom w:val="0"/>
      <w:divBdr>
        <w:top w:val="none" w:sz="0" w:space="0" w:color="auto"/>
        <w:left w:val="none" w:sz="0" w:space="0" w:color="auto"/>
        <w:bottom w:val="none" w:sz="0" w:space="0" w:color="auto"/>
        <w:right w:val="none" w:sz="0" w:space="0" w:color="auto"/>
      </w:divBdr>
    </w:div>
    <w:div w:id="614219858">
      <w:bodyDiv w:val="1"/>
      <w:marLeft w:val="0"/>
      <w:marRight w:val="0"/>
      <w:marTop w:val="0"/>
      <w:marBottom w:val="0"/>
      <w:divBdr>
        <w:top w:val="none" w:sz="0" w:space="0" w:color="auto"/>
        <w:left w:val="none" w:sz="0" w:space="0" w:color="auto"/>
        <w:bottom w:val="none" w:sz="0" w:space="0" w:color="auto"/>
        <w:right w:val="none" w:sz="0" w:space="0" w:color="auto"/>
      </w:divBdr>
    </w:div>
    <w:div w:id="642003790">
      <w:bodyDiv w:val="1"/>
      <w:marLeft w:val="0"/>
      <w:marRight w:val="0"/>
      <w:marTop w:val="0"/>
      <w:marBottom w:val="0"/>
      <w:divBdr>
        <w:top w:val="none" w:sz="0" w:space="0" w:color="auto"/>
        <w:left w:val="none" w:sz="0" w:space="0" w:color="auto"/>
        <w:bottom w:val="none" w:sz="0" w:space="0" w:color="auto"/>
        <w:right w:val="none" w:sz="0" w:space="0" w:color="auto"/>
      </w:divBdr>
    </w:div>
    <w:div w:id="645550172">
      <w:bodyDiv w:val="1"/>
      <w:marLeft w:val="0"/>
      <w:marRight w:val="0"/>
      <w:marTop w:val="0"/>
      <w:marBottom w:val="0"/>
      <w:divBdr>
        <w:top w:val="none" w:sz="0" w:space="0" w:color="auto"/>
        <w:left w:val="none" w:sz="0" w:space="0" w:color="auto"/>
        <w:bottom w:val="none" w:sz="0" w:space="0" w:color="auto"/>
        <w:right w:val="none" w:sz="0" w:space="0" w:color="auto"/>
      </w:divBdr>
    </w:div>
    <w:div w:id="651519330">
      <w:bodyDiv w:val="1"/>
      <w:marLeft w:val="0"/>
      <w:marRight w:val="0"/>
      <w:marTop w:val="0"/>
      <w:marBottom w:val="0"/>
      <w:divBdr>
        <w:top w:val="none" w:sz="0" w:space="0" w:color="auto"/>
        <w:left w:val="none" w:sz="0" w:space="0" w:color="auto"/>
        <w:bottom w:val="none" w:sz="0" w:space="0" w:color="auto"/>
        <w:right w:val="none" w:sz="0" w:space="0" w:color="auto"/>
      </w:divBdr>
    </w:div>
    <w:div w:id="653949049">
      <w:bodyDiv w:val="1"/>
      <w:marLeft w:val="0"/>
      <w:marRight w:val="0"/>
      <w:marTop w:val="0"/>
      <w:marBottom w:val="0"/>
      <w:divBdr>
        <w:top w:val="none" w:sz="0" w:space="0" w:color="auto"/>
        <w:left w:val="none" w:sz="0" w:space="0" w:color="auto"/>
        <w:bottom w:val="none" w:sz="0" w:space="0" w:color="auto"/>
        <w:right w:val="none" w:sz="0" w:space="0" w:color="auto"/>
      </w:divBdr>
    </w:div>
    <w:div w:id="654184250">
      <w:bodyDiv w:val="1"/>
      <w:marLeft w:val="0"/>
      <w:marRight w:val="0"/>
      <w:marTop w:val="0"/>
      <w:marBottom w:val="0"/>
      <w:divBdr>
        <w:top w:val="none" w:sz="0" w:space="0" w:color="auto"/>
        <w:left w:val="none" w:sz="0" w:space="0" w:color="auto"/>
        <w:bottom w:val="none" w:sz="0" w:space="0" w:color="auto"/>
        <w:right w:val="none" w:sz="0" w:space="0" w:color="auto"/>
      </w:divBdr>
    </w:div>
    <w:div w:id="669143780">
      <w:bodyDiv w:val="1"/>
      <w:marLeft w:val="0"/>
      <w:marRight w:val="0"/>
      <w:marTop w:val="0"/>
      <w:marBottom w:val="0"/>
      <w:divBdr>
        <w:top w:val="none" w:sz="0" w:space="0" w:color="auto"/>
        <w:left w:val="none" w:sz="0" w:space="0" w:color="auto"/>
        <w:bottom w:val="none" w:sz="0" w:space="0" w:color="auto"/>
        <w:right w:val="none" w:sz="0" w:space="0" w:color="auto"/>
      </w:divBdr>
    </w:div>
    <w:div w:id="670790242">
      <w:bodyDiv w:val="1"/>
      <w:marLeft w:val="0"/>
      <w:marRight w:val="0"/>
      <w:marTop w:val="0"/>
      <w:marBottom w:val="0"/>
      <w:divBdr>
        <w:top w:val="none" w:sz="0" w:space="0" w:color="auto"/>
        <w:left w:val="none" w:sz="0" w:space="0" w:color="auto"/>
        <w:bottom w:val="none" w:sz="0" w:space="0" w:color="auto"/>
        <w:right w:val="none" w:sz="0" w:space="0" w:color="auto"/>
      </w:divBdr>
    </w:div>
    <w:div w:id="674108845">
      <w:bodyDiv w:val="1"/>
      <w:marLeft w:val="0"/>
      <w:marRight w:val="0"/>
      <w:marTop w:val="0"/>
      <w:marBottom w:val="0"/>
      <w:divBdr>
        <w:top w:val="none" w:sz="0" w:space="0" w:color="auto"/>
        <w:left w:val="none" w:sz="0" w:space="0" w:color="auto"/>
        <w:bottom w:val="none" w:sz="0" w:space="0" w:color="auto"/>
        <w:right w:val="none" w:sz="0" w:space="0" w:color="auto"/>
      </w:divBdr>
    </w:div>
    <w:div w:id="711001962">
      <w:bodyDiv w:val="1"/>
      <w:marLeft w:val="0"/>
      <w:marRight w:val="0"/>
      <w:marTop w:val="0"/>
      <w:marBottom w:val="0"/>
      <w:divBdr>
        <w:top w:val="none" w:sz="0" w:space="0" w:color="auto"/>
        <w:left w:val="none" w:sz="0" w:space="0" w:color="auto"/>
        <w:bottom w:val="none" w:sz="0" w:space="0" w:color="auto"/>
        <w:right w:val="none" w:sz="0" w:space="0" w:color="auto"/>
      </w:divBdr>
    </w:div>
    <w:div w:id="715933186">
      <w:bodyDiv w:val="1"/>
      <w:marLeft w:val="0"/>
      <w:marRight w:val="0"/>
      <w:marTop w:val="0"/>
      <w:marBottom w:val="0"/>
      <w:divBdr>
        <w:top w:val="none" w:sz="0" w:space="0" w:color="auto"/>
        <w:left w:val="none" w:sz="0" w:space="0" w:color="auto"/>
        <w:bottom w:val="none" w:sz="0" w:space="0" w:color="auto"/>
        <w:right w:val="none" w:sz="0" w:space="0" w:color="auto"/>
      </w:divBdr>
    </w:div>
    <w:div w:id="722211930">
      <w:bodyDiv w:val="1"/>
      <w:marLeft w:val="0"/>
      <w:marRight w:val="0"/>
      <w:marTop w:val="0"/>
      <w:marBottom w:val="0"/>
      <w:divBdr>
        <w:top w:val="none" w:sz="0" w:space="0" w:color="auto"/>
        <w:left w:val="none" w:sz="0" w:space="0" w:color="auto"/>
        <w:bottom w:val="none" w:sz="0" w:space="0" w:color="auto"/>
        <w:right w:val="none" w:sz="0" w:space="0" w:color="auto"/>
      </w:divBdr>
    </w:div>
    <w:div w:id="724834809">
      <w:bodyDiv w:val="1"/>
      <w:marLeft w:val="0"/>
      <w:marRight w:val="0"/>
      <w:marTop w:val="0"/>
      <w:marBottom w:val="0"/>
      <w:divBdr>
        <w:top w:val="none" w:sz="0" w:space="0" w:color="auto"/>
        <w:left w:val="none" w:sz="0" w:space="0" w:color="auto"/>
        <w:bottom w:val="none" w:sz="0" w:space="0" w:color="auto"/>
        <w:right w:val="none" w:sz="0" w:space="0" w:color="auto"/>
      </w:divBdr>
    </w:div>
    <w:div w:id="742797263">
      <w:bodyDiv w:val="1"/>
      <w:marLeft w:val="0"/>
      <w:marRight w:val="0"/>
      <w:marTop w:val="0"/>
      <w:marBottom w:val="0"/>
      <w:divBdr>
        <w:top w:val="none" w:sz="0" w:space="0" w:color="auto"/>
        <w:left w:val="none" w:sz="0" w:space="0" w:color="auto"/>
        <w:bottom w:val="none" w:sz="0" w:space="0" w:color="auto"/>
        <w:right w:val="none" w:sz="0" w:space="0" w:color="auto"/>
      </w:divBdr>
    </w:div>
    <w:div w:id="744717946">
      <w:bodyDiv w:val="1"/>
      <w:marLeft w:val="0"/>
      <w:marRight w:val="0"/>
      <w:marTop w:val="0"/>
      <w:marBottom w:val="0"/>
      <w:divBdr>
        <w:top w:val="none" w:sz="0" w:space="0" w:color="auto"/>
        <w:left w:val="none" w:sz="0" w:space="0" w:color="auto"/>
        <w:bottom w:val="none" w:sz="0" w:space="0" w:color="auto"/>
        <w:right w:val="none" w:sz="0" w:space="0" w:color="auto"/>
      </w:divBdr>
    </w:div>
    <w:div w:id="757561078">
      <w:bodyDiv w:val="1"/>
      <w:marLeft w:val="0"/>
      <w:marRight w:val="0"/>
      <w:marTop w:val="0"/>
      <w:marBottom w:val="0"/>
      <w:divBdr>
        <w:top w:val="none" w:sz="0" w:space="0" w:color="auto"/>
        <w:left w:val="none" w:sz="0" w:space="0" w:color="auto"/>
        <w:bottom w:val="none" w:sz="0" w:space="0" w:color="auto"/>
        <w:right w:val="none" w:sz="0" w:space="0" w:color="auto"/>
      </w:divBdr>
    </w:div>
    <w:div w:id="773326556">
      <w:bodyDiv w:val="1"/>
      <w:marLeft w:val="0"/>
      <w:marRight w:val="0"/>
      <w:marTop w:val="0"/>
      <w:marBottom w:val="0"/>
      <w:divBdr>
        <w:top w:val="none" w:sz="0" w:space="0" w:color="auto"/>
        <w:left w:val="none" w:sz="0" w:space="0" w:color="auto"/>
        <w:bottom w:val="none" w:sz="0" w:space="0" w:color="auto"/>
        <w:right w:val="none" w:sz="0" w:space="0" w:color="auto"/>
      </w:divBdr>
    </w:div>
    <w:div w:id="787747585">
      <w:bodyDiv w:val="1"/>
      <w:marLeft w:val="0"/>
      <w:marRight w:val="0"/>
      <w:marTop w:val="0"/>
      <w:marBottom w:val="0"/>
      <w:divBdr>
        <w:top w:val="none" w:sz="0" w:space="0" w:color="auto"/>
        <w:left w:val="none" w:sz="0" w:space="0" w:color="auto"/>
        <w:bottom w:val="none" w:sz="0" w:space="0" w:color="auto"/>
        <w:right w:val="none" w:sz="0" w:space="0" w:color="auto"/>
      </w:divBdr>
    </w:div>
    <w:div w:id="794103018">
      <w:bodyDiv w:val="1"/>
      <w:marLeft w:val="0"/>
      <w:marRight w:val="0"/>
      <w:marTop w:val="0"/>
      <w:marBottom w:val="0"/>
      <w:divBdr>
        <w:top w:val="none" w:sz="0" w:space="0" w:color="auto"/>
        <w:left w:val="none" w:sz="0" w:space="0" w:color="auto"/>
        <w:bottom w:val="none" w:sz="0" w:space="0" w:color="auto"/>
        <w:right w:val="none" w:sz="0" w:space="0" w:color="auto"/>
      </w:divBdr>
    </w:div>
    <w:div w:id="794831746">
      <w:bodyDiv w:val="1"/>
      <w:marLeft w:val="0"/>
      <w:marRight w:val="0"/>
      <w:marTop w:val="0"/>
      <w:marBottom w:val="0"/>
      <w:divBdr>
        <w:top w:val="none" w:sz="0" w:space="0" w:color="auto"/>
        <w:left w:val="none" w:sz="0" w:space="0" w:color="auto"/>
        <w:bottom w:val="none" w:sz="0" w:space="0" w:color="auto"/>
        <w:right w:val="none" w:sz="0" w:space="0" w:color="auto"/>
      </w:divBdr>
    </w:div>
    <w:div w:id="827552725">
      <w:bodyDiv w:val="1"/>
      <w:marLeft w:val="0"/>
      <w:marRight w:val="0"/>
      <w:marTop w:val="0"/>
      <w:marBottom w:val="0"/>
      <w:divBdr>
        <w:top w:val="none" w:sz="0" w:space="0" w:color="auto"/>
        <w:left w:val="none" w:sz="0" w:space="0" w:color="auto"/>
        <w:bottom w:val="none" w:sz="0" w:space="0" w:color="auto"/>
        <w:right w:val="none" w:sz="0" w:space="0" w:color="auto"/>
      </w:divBdr>
    </w:div>
    <w:div w:id="83017273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4489356">
      <w:bodyDiv w:val="1"/>
      <w:marLeft w:val="0"/>
      <w:marRight w:val="0"/>
      <w:marTop w:val="0"/>
      <w:marBottom w:val="0"/>
      <w:divBdr>
        <w:top w:val="none" w:sz="0" w:space="0" w:color="auto"/>
        <w:left w:val="none" w:sz="0" w:space="0" w:color="auto"/>
        <w:bottom w:val="none" w:sz="0" w:space="0" w:color="auto"/>
        <w:right w:val="none" w:sz="0" w:space="0" w:color="auto"/>
      </w:divBdr>
    </w:div>
    <w:div w:id="849955753">
      <w:bodyDiv w:val="1"/>
      <w:marLeft w:val="0"/>
      <w:marRight w:val="0"/>
      <w:marTop w:val="0"/>
      <w:marBottom w:val="0"/>
      <w:divBdr>
        <w:top w:val="none" w:sz="0" w:space="0" w:color="auto"/>
        <w:left w:val="none" w:sz="0" w:space="0" w:color="auto"/>
        <w:bottom w:val="none" w:sz="0" w:space="0" w:color="auto"/>
        <w:right w:val="none" w:sz="0" w:space="0" w:color="auto"/>
      </w:divBdr>
    </w:div>
    <w:div w:id="872115884">
      <w:bodyDiv w:val="1"/>
      <w:marLeft w:val="0"/>
      <w:marRight w:val="0"/>
      <w:marTop w:val="0"/>
      <w:marBottom w:val="0"/>
      <w:divBdr>
        <w:top w:val="none" w:sz="0" w:space="0" w:color="auto"/>
        <w:left w:val="none" w:sz="0" w:space="0" w:color="auto"/>
        <w:bottom w:val="none" w:sz="0" w:space="0" w:color="auto"/>
        <w:right w:val="none" w:sz="0" w:space="0" w:color="auto"/>
      </w:divBdr>
    </w:div>
    <w:div w:id="878972660">
      <w:bodyDiv w:val="1"/>
      <w:marLeft w:val="0"/>
      <w:marRight w:val="0"/>
      <w:marTop w:val="0"/>
      <w:marBottom w:val="0"/>
      <w:divBdr>
        <w:top w:val="none" w:sz="0" w:space="0" w:color="auto"/>
        <w:left w:val="none" w:sz="0" w:space="0" w:color="auto"/>
        <w:bottom w:val="none" w:sz="0" w:space="0" w:color="auto"/>
        <w:right w:val="none" w:sz="0" w:space="0" w:color="auto"/>
      </w:divBdr>
    </w:div>
    <w:div w:id="894123970">
      <w:bodyDiv w:val="1"/>
      <w:marLeft w:val="0"/>
      <w:marRight w:val="0"/>
      <w:marTop w:val="0"/>
      <w:marBottom w:val="0"/>
      <w:divBdr>
        <w:top w:val="none" w:sz="0" w:space="0" w:color="auto"/>
        <w:left w:val="none" w:sz="0" w:space="0" w:color="auto"/>
        <w:bottom w:val="none" w:sz="0" w:space="0" w:color="auto"/>
        <w:right w:val="none" w:sz="0" w:space="0" w:color="auto"/>
      </w:divBdr>
    </w:div>
    <w:div w:id="912543591">
      <w:bodyDiv w:val="1"/>
      <w:marLeft w:val="0"/>
      <w:marRight w:val="0"/>
      <w:marTop w:val="0"/>
      <w:marBottom w:val="0"/>
      <w:divBdr>
        <w:top w:val="none" w:sz="0" w:space="0" w:color="auto"/>
        <w:left w:val="none" w:sz="0" w:space="0" w:color="auto"/>
        <w:bottom w:val="none" w:sz="0" w:space="0" w:color="auto"/>
        <w:right w:val="none" w:sz="0" w:space="0" w:color="auto"/>
      </w:divBdr>
    </w:div>
    <w:div w:id="918825788">
      <w:bodyDiv w:val="1"/>
      <w:marLeft w:val="0"/>
      <w:marRight w:val="0"/>
      <w:marTop w:val="0"/>
      <w:marBottom w:val="0"/>
      <w:divBdr>
        <w:top w:val="none" w:sz="0" w:space="0" w:color="auto"/>
        <w:left w:val="none" w:sz="0" w:space="0" w:color="auto"/>
        <w:bottom w:val="none" w:sz="0" w:space="0" w:color="auto"/>
        <w:right w:val="none" w:sz="0" w:space="0" w:color="auto"/>
      </w:divBdr>
    </w:div>
    <w:div w:id="936182889">
      <w:bodyDiv w:val="1"/>
      <w:marLeft w:val="0"/>
      <w:marRight w:val="0"/>
      <w:marTop w:val="0"/>
      <w:marBottom w:val="0"/>
      <w:divBdr>
        <w:top w:val="none" w:sz="0" w:space="0" w:color="auto"/>
        <w:left w:val="none" w:sz="0" w:space="0" w:color="auto"/>
        <w:bottom w:val="none" w:sz="0" w:space="0" w:color="auto"/>
        <w:right w:val="none" w:sz="0" w:space="0" w:color="auto"/>
      </w:divBdr>
    </w:div>
    <w:div w:id="942147247">
      <w:bodyDiv w:val="1"/>
      <w:marLeft w:val="0"/>
      <w:marRight w:val="0"/>
      <w:marTop w:val="0"/>
      <w:marBottom w:val="0"/>
      <w:divBdr>
        <w:top w:val="none" w:sz="0" w:space="0" w:color="auto"/>
        <w:left w:val="none" w:sz="0" w:space="0" w:color="auto"/>
        <w:bottom w:val="none" w:sz="0" w:space="0" w:color="auto"/>
        <w:right w:val="none" w:sz="0" w:space="0" w:color="auto"/>
      </w:divBdr>
    </w:div>
    <w:div w:id="942374722">
      <w:bodyDiv w:val="1"/>
      <w:marLeft w:val="0"/>
      <w:marRight w:val="0"/>
      <w:marTop w:val="0"/>
      <w:marBottom w:val="0"/>
      <w:divBdr>
        <w:top w:val="none" w:sz="0" w:space="0" w:color="auto"/>
        <w:left w:val="none" w:sz="0" w:space="0" w:color="auto"/>
        <w:bottom w:val="none" w:sz="0" w:space="0" w:color="auto"/>
        <w:right w:val="none" w:sz="0" w:space="0" w:color="auto"/>
      </w:divBdr>
    </w:div>
    <w:div w:id="943733447">
      <w:bodyDiv w:val="1"/>
      <w:marLeft w:val="0"/>
      <w:marRight w:val="0"/>
      <w:marTop w:val="0"/>
      <w:marBottom w:val="0"/>
      <w:divBdr>
        <w:top w:val="none" w:sz="0" w:space="0" w:color="auto"/>
        <w:left w:val="none" w:sz="0" w:space="0" w:color="auto"/>
        <w:bottom w:val="none" w:sz="0" w:space="0" w:color="auto"/>
        <w:right w:val="none" w:sz="0" w:space="0" w:color="auto"/>
      </w:divBdr>
    </w:div>
    <w:div w:id="964307633">
      <w:bodyDiv w:val="1"/>
      <w:marLeft w:val="0"/>
      <w:marRight w:val="0"/>
      <w:marTop w:val="0"/>
      <w:marBottom w:val="0"/>
      <w:divBdr>
        <w:top w:val="none" w:sz="0" w:space="0" w:color="auto"/>
        <w:left w:val="none" w:sz="0" w:space="0" w:color="auto"/>
        <w:bottom w:val="none" w:sz="0" w:space="0" w:color="auto"/>
        <w:right w:val="none" w:sz="0" w:space="0" w:color="auto"/>
      </w:divBdr>
    </w:div>
    <w:div w:id="969283222">
      <w:bodyDiv w:val="1"/>
      <w:marLeft w:val="0"/>
      <w:marRight w:val="0"/>
      <w:marTop w:val="0"/>
      <w:marBottom w:val="0"/>
      <w:divBdr>
        <w:top w:val="none" w:sz="0" w:space="0" w:color="auto"/>
        <w:left w:val="none" w:sz="0" w:space="0" w:color="auto"/>
        <w:bottom w:val="none" w:sz="0" w:space="0" w:color="auto"/>
        <w:right w:val="none" w:sz="0" w:space="0" w:color="auto"/>
      </w:divBdr>
    </w:div>
    <w:div w:id="971718203">
      <w:bodyDiv w:val="1"/>
      <w:marLeft w:val="0"/>
      <w:marRight w:val="0"/>
      <w:marTop w:val="0"/>
      <w:marBottom w:val="0"/>
      <w:divBdr>
        <w:top w:val="none" w:sz="0" w:space="0" w:color="auto"/>
        <w:left w:val="none" w:sz="0" w:space="0" w:color="auto"/>
        <w:bottom w:val="none" w:sz="0" w:space="0" w:color="auto"/>
        <w:right w:val="none" w:sz="0" w:space="0" w:color="auto"/>
      </w:divBdr>
    </w:div>
    <w:div w:id="978876576">
      <w:bodyDiv w:val="1"/>
      <w:marLeft w:val="0"/>
      <w:marRight w:val="0"/>
      <w:marTop w:val="0"/>
      <w:marBottom w:val="0"/>
      <w:divBdr>
        <w:top w:val="none" w:sz="0" w:space="0" w:color="auto"/>
        <w:left w:val="none" w:sz="0" w:space="0" w:color="auto"/>
        <w:bottom w:val="none" w:sz="0" w:space="0" w:color="auto"/>
        <w:right w:val="none" w:sz="0" w:space="0" w:color="auto"/>
      </w:divBdr>
    </w:div>
    <w:div w:id="989669835">
      <w:bodyDiv w:val="1"/>
      <w:marLeft w:val="0"/>
      <w:marRight w:val="0"/>
      <w:marTop w:val="0"/>
      <w:marBottom w:val="0"/>
      <w:divBdr>
        <w:top w:val="none" w:sz="0" w:space="0" w:color="auto"/>
        <w:left w:val="none" w:sz="0" w:space="0" w:color="auto"/>
        <w:bottom w:val="none" w:sz="0" w:space="0" w:color="auto"/>
        <w:right w:val="none" w:sz="0" w:space="0" w:color="auto"/>
      </w:divBdr>
    </w:div>
    <w:div w:id="994333581">
      <w:bodyDiv w:val="1"/>
      <w:marLeft w:val="0"/>
      <w:marRight w:val="0"/>
      <w:marTop w:val="0"/>
      <w:marBottom w:val="0"/>
      <w:divBdr>
        <w:top w:val="none" w:sz="0" w:space="0" w:color="auto"/>
        <w:left w:val="none" w:sz="0" w:space="0" w:color="auto"/>
        <w:bottom w:val="none" w:sz="0" w:space="0" w:color="auto"/>
        <w:right w:val="none" w:sz="0" w:space="0" w:color="auto"/>
      </w:divBdr>
    </w:div>
    <w:div w:id="996495028">
      <w:bodyDiv w:val="1"/>
      <w:marLeft w:val="0"/>
      <w:marRight w:val="0"/>
      <w:marTop w:val="0"/>
      <w:marBottom w:val="0"/>
      <w:divBdr>
        <w:top w:val="none" w:sz="0" w:space="0" w:color="auto"/>
        <w:left w:val="none" w:sz="0" w:space="0" w:color="auto"/>
        <w:bottom w:val="none" w:sz="0" w:space="0" w:color="auto"/>
        <w:right w:val="none" w:sz="0" w:space="0" w:color="auto"/>
      </w:divBdr>
    </w:div>
    <w:div w:id="1009872581">
      <w:bodyDiv w:val="1"/>
      <w:marLeft w:val="0"/>
      <w:marRight w:val="0"/>
      <w:marTop w:val="0"/>
      <w:marBottom w:val="0"/>
      <w:divBdr>
        <w:top w:val="none" w:sz="0" w:space="0" w:color="auto"/>
        <w:left w:val="none" w:sz="0" w:space="0" w:color="auto"/>
        <w:bottom w:val="none" w:sz="0" w:space="0" w:color="auto"/>
        <w:right w:val="none" w:sz="0" w:space="0" w:color="auto"/>
      </w:divBdr>
    </w:div>
    <w:div w:id="1021394182">
      <w:bodyDiv w:val="1"/>
      <w:marLeft w:val="0"/>
      <w:marRight w:val="0"/>
      <w:marTop w:val="0"/>
      <w:marBottom w:val="0"/>
      <w:divBdr>
        <w:top w:val="none" w:sz="0" w:space="0" w:color="auto"/>
        <w:left w:val="none" w:sz="0" w:space="0" w:color="auto"/>
        <w:bottom w:val="none" w:sz="0" w:space="0" w:color="auto"/>
        <w:right w:val="none" w:sz="0" w:space="0" w:color="auto"/>
      </w:divBdr>
    </w:div>
    <w:div w:id="1039403012">
      <w:bodyDiv w:val="1"/>
      <w:marLeft w:val="0"/>
      <w:marRight w:val="0"/>
      <w:marTop w:val="0"/>
      <w:marBottom w:val="0"/>
      <w:divBdr>
        <w:top w:val="none" w:sz="0" w:space="0" w:color="auto"/>
        <w:left w:val="none" w:sz="0" w:space="0" w:color="auto"/>
        <w:bottom w:val="none" w:sz="0" w:space="0" w:color="auto"/>
        <w:right w:val="none" w:sz="0" w:space="0" w:color="auto"/>
      </w:divBdr>
    </w:div>
    <w:div w:id="1045835476">
      <w:bodyDiv w:val="1"/>
      <w:marLeft w:val="0"/>
      <w:marRight w:val="0"/>
      <w:marTop w:val="0"/>
      <w:marBottom w:val="0"/>
      <w:divBdr>
        <w:top w:val="none" w:sz="0" w:space="0" w:color="auto"/>
        <w:left w:val="none" w:sz="0" w:space="0" w:color="auto"/>
        <w:bottom w:val="none" w:sz="0" w:space="0" w:color="auto"/>
        <w:right w:val="none" w:sz="0" w:space="0" w:color="auto"/>
      </w:divBdr>
    </w:div>
    <w:div w:id="1059401662">
      <w:bodyDiv w:val="1"/>
      <w:marLeft w:val="0"/>
      <w:marRight w:val="0"/>
      <w:marTop w:val="0"/>
      <w:marBottom w:val="0"/>
      <w:divBdr>
        <w:top w:val="none" w:sz="0" w:space="0" w:color="auto"/>
        <w:left w:val="none" w:sz="0" w:space="0" w:color="auto"/>
        <w:bottom w:val="none" w:sz="0" w:space="0" w:color="auto"/>
        <w:right w:val="none" w:sz="0" w:space="0" w:color="auto"/>
      </w:divBdr>
      <w:divsChild>
        <w:div w:id="889727684">
          <w:marLeft w:val="1080"/>
          <w:marRight w:val="0"/>
          <w:marTop w:val="100"/>
          <w:marBottom w:val="0"/>
          <w:divBdr>
            <w:top w:val="none" w:sz="0" w:space="0" w:color="auto"/>
            <w:left w:val="none" w:sz="0" w:space="0" w:color="auto"/>
            <w:bottom w:val="none" w:sz="0" w:space="0" w:color="auto"/>
            <w:right w:val="none" w:sz="0" w:space="0" w:color="auto"/>
          </w:divBdr>
        </w:div>
      </w:divsChild>
    </w:div>
    <w:div w:id="1074669469">
      <w:bodyDiv w:val="1"/>
      <w:marLeft w:val="0"/>
      <w:marRight w:val="0"/>
      <w:marTop w:val="0"/>
      <w:marBottom w:val="0"/>
      <w:divBdr>
        <w:top w:val="none" w:sz="0" w:space="0" w:color="auto"/>
        <w:left w:val="none" w:sz="0" w:space="0" w:color="auto"/>
        <w:bottom w:val="none" w:sz="0" w:space="0" w:color="auto"/>
        <w:right w:val="none" w:sz="0" w:space="0" w:color="auto"/>
      </w:divBdr>
    </w:div>
    <w:div w:id="1079668881">
      <w:bodyDiv w:val="1"/>
      <w:marLeft w:val="0"/>
      <w:marRight w:val="0"/>
      <w:marTop w:val="0"/>
      <w:marBottom w:val="0"/>
      <w:divBdr>
        <w:top w:val="none" w:sz="0" w:space="0" w:color="auto"/>
        <w:left w:val="none" w:sz="0" w:space="0" w:color="auto"/>
        <w:bottom w:val="none" w:sz="0" w:space="0" w:color="auto"/>
        <w:right w:val="none" w:sz="0" w:space="0" w:color="auto"/>
      </w:divBdr>
    </w:div>
    <w:div w:id="1086415670">
      <w:bodyDiv w:val="1"/>
      <w:marLeft w:val="0"/>
      <w:marRight w:val="0"/>
      <w:marTop w:val="0"/>
      <w:marBottom w:val="0"/>
      <w:divBdr>
        <w:top w:val="none" w:sz="0" w:space="0" w:color="auto"/>
        <w:left w:val="none" w:sz="0" w:space="0" w:color="auto"/>
        <w:bottom w:val="none" w:sz="0" w:space="0" w:color="auto"/>
        <w:right w:val="none" w:sz="0" w:space="0" w:color="auto"/>
      </w:divBdr>
    </w:div>
    <w:div w:id="1091584553">
      <w:bodyDiv w:val="1"/>
      <w:marLeft w:val="0"/>
      <w:marRight w:val="0"/>
      <w:marTop w:val="0"/>
      <w:marBottom w:val="0"/>
      <w:divBdr>
        <w:top w:val="none" w:sz="0" w:space="0" w:color="auto"/>
        <w:left w:val="none" w:sz="0" w:space="0" w:color="auto"/>
        <w:bottom w:val="none" w:sz="0" w:space="0" w:color="auto"/>
        <w:right w:val="none" w:sz="0" w:space="0" w:color="auto"/>
      </w:divBdr>
    </w:div>
    <w:div w:id="1091704205">
      <w:bodyDiv w:val="1"/>
      <w:marLeft w:val="0"/>
      <w:marRight w:val="0"/>
      <w:marTop w:val="0"/>
      <w:marBottom w:val="0"/>
      <w:divBdr>
        <w:top w:val="none" w:sz="0" w:space="0" w:color="auto"/>
        <w:left w:val="none" w:sz="0" w:space="0" w:color="auto"/>
        <w:bottom w:val="none" w:sz="0" w:space="0" w:color="auto"/>
        <w:right w:val="none" w:sz="0" w:space="0" w:color="auto"/>
      </w:divBdr>
    </w:div>
    <w:div w:id="1107503828">
      <w:bodyDiv w:val="1"/>
      <w:marLeft w:val="0"/>
      <w:marRight w:val="0"/>
      <w:marTop w:val="0"/>
      <w:marBottom w:val="0"/>
      <w:divBdr>
        <w:top w:val="none" w:sz="0" w:space="0" w:color="auto"/>
        <w:left w:val="none" w:sz="0" w:space="0" w:color="auto"/>
        <w:bottom w:val="none" w:sz="0" w:space="0" w:color="auto"/>
        <w:right w:val="none" w:sz="0" w:space="0" w:color="auto"/>
      </w:divBdr>
    </w:div>
    <w:div w:id="1118833409">
      <w:bodyDiv w:val="1"/>
      <w:marLeft w:val="0"/>
      <w:marRight w:val="0"/>
      <w:marTop w:val="0"/>
      <w:marBottom w:val="0"/>
      <w:divBdr>
        <w:top w:val="none" w:sz="0" w:space="0" w:color="auto"/>
        <w:left w:val="none" w:sz="0" w:space="0" w:color="auto"/>
        <w:bottom w:val="none" w:sz="0" w:space="0" w:color="auto"/>
        <w:right w:val="none" w:sz="0" w:space="0" w:color="auto"/>
      </w:divBdr>
    </w:div>
    <w:div w:id="1120882874">
      <w:bodyDiv w:val="1"/>
      <w:marLeft w:val="0"/>
      <w:marRight w:val="0"/>
      <w:marTop w:val="0"/>
      <w:marBottom w:val="0"/>
      <w:divBdr>
        <w:top w:val="none" w:sz="0" w:space="0" w:color="auto"/>
        <w:left w:val="none" w:sz="0" w:space="0" w:color="auto"/>
        <w:bottom w:val="none" w:sz="0" w:space="0" w:color="auto"/>
        <w:right w:val="none" w:sz="0" w:space="0" w:color="auto"/>
      </w:divBdr>
    </w:div>
    <w:div w:id="1138111399">
      <w:bodyDiv w:val="1"/>
      <w:marLeft w:val="0"/>
      <w:marRight w:val="0"/>
      <w:marTop w:val="0"/>
      <w:marBottom w:val="0"/>
      <w:divBdr>
        <w:top w:val="none" w:sz="0" w:space="0" w:color="auto"/>
        <w:left w:val="none" w:sz="0" w:space="0" w:color="auto"/>
        <w:bottom w:val="none" w:sz="0" w:space="0" w:color="auto"/>
        <w:right w:val="none" w:sz="0" w:space="0" w:color="auto"/>
      </w:divBdr>
    </w:div>
    <w:div w:id="1154176325">
      <w:bodyDiv w:val="1"/>
      <w:marLeft w:val="0"/>
      <w:marRight w:val="0"/>
      <w:marTop w:val="0"/>
      <w:marBottom w:val="0"/>
      <w:divBdr>
        <w:top w:val="none" w:sz="0" w:space="0" w:color="auto"/>
        <w:left w:val="none" w:sz="0" w:space="0" w:color="auto"/>
        <w:bottom w:val="none" w:sz="0" w:space="0" w:color="auto"/>
        <w:right w:val="none" w:sz="0" w:space="0" w:color="auto"/>
      </w:divBdr>
    </w:div>
    <w:div w:id="1157845784">
      <w:bodyDiv w:val="1"/>
      <w:marLeft w:val="0"/>
      <w:marRight w:val="0"/>
      <w:marTop w:val="0"/>
      <w:marBottom w:val="0"/>
      <w:divBdr>
        <w:top w:val="none" w:sz="0" w:space="0" w:color="auto"/>
        <w:left w:val="none" w:sz="0" w:space="0" w:color="auto"/>
        <w:bottom w:val="none" w:sz="0" w:space="0" w:color="auto"/>
        <w:right w:val="none" w:sz="0" w:space="0" w:color="auto"/>
      </w:divBdr>
    </w:div>
    <w:div w:id="1169981399">
      <w:bodyDiv w:val="1"/>
      <w:marLeft w:val="0"/>
      <w:marRight w:val="0"/>
      <w:marTop w:val="0"/>
      <w:marBottom w:val="0"/>
      <w:divBdr>
        <w:top w:val="none" w:sz="0" w:space="0" w:color="auto"/>
        <w:left w:val="none" w:sz="0" w:space="0" w:color="auto"/>
        <w:bottom w:val="none" w:sz="0" w:space="0" w:color="auto"/>
        <w:right w:val="none" w:sz="0" w:space="0" w:color="auto"/>
      </w:divBdr>
    </w:div>
    <w:div w:id="11712206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658">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6552121">
      <w:bodyDiv w:val="1"/>
      <w:marLeft w:val="0"/>
      <w:marRight w:val="0"/>
      <w:marTop w:val="0"/>
      <w:marBottom w:val="0"/>
      <w:divBdr>
        <w:top w:val="none" w:sz="0" w:space="0" w:color="auto"/>
        <w:left w:val="none" w:sz="0" w:space="0" w:color="auto"/>
        <w:bottom w:val="none" w:sz="0" w:space="0" w:color="auto"/>
        <w:right w:val="none" w:sz="0" w:space="0" w:color="auto"/>
      </w:divBdr>
    </w:div>
    <w:div w:id="1204094926">
      <w:bodyDiv w:val="1"/>
      <w:marLeft w:val="0"/>
      <w:marRight w:val="0"/>
      <w:marTop w:val="0"/>
      <w:marBottom w:val="0"/>
      <w:divBdr>
        <w:top w:val="none" w:sz="0" w:space="0" w:color="auto"/>
        <w:left w:val="none" w:sz="0" w:space="0" w:color="auto"/>
        <w:bottom w:val="none" w:sz="0" w:space="0" w:color="auto"/>
        <w:right w:val="none" w:sz="0" w:space="0" w:color="auto"/>
      </w:divBdr>
    </w:div>
    <w:div w:id="1204440612">
      <w:bodyDiv w:val="1"/>
      <w:marLeft w:val="0"/>
      <w:marRight w:val="0"/>
      <w:marTop w:val="0"/>
      <w:marBottom w:val="0"/>
      <w:divBdr>
        <w:top w:val="none" w:sz="0" w:space="0" w:color="auto"/>
        <w:left w:val="none" w:sz="0" w:space="0" w:color="auto"/>
        <w:bottom w:val="none" w:sz="0" w:space="0" w:color="auto"/>
        <w:right w:val="none" w:sz="0" w:space="0" w:color="auto"/>
      </w:divBdr>
    </w:div>
    <w:div w:id="1211914844">
      <w:bodyDiv w:val="1"/>
      <w:marLeft w:val="0"/>
      <w:marRight w:val="0"/>
      <w:marTop w:val="0"/>
      <w:marBottom w:val="0"/>
      <w:divBdr>
        <w:top w:val="none" w:sz="0" w:space="0" w:color="auto"/>
        <w:left w:val="none" w:sz="0" w:space="0" w:color="auto"/>
        <w:bottom w:val="none" w:sz="0" w:space="0" w:color="auto"/>
        <w:right w:val="none" w:sz="0" w:space="0" w:color="auto"/>
      </w:divBdr>
    </w:div>
    <w:div w:id="1227229130">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2350485">
      <w:bodyDiv w:val="1"/>
      <w:marLeft w:val="0"/>
      <w:marRight w:val="0"/>
      <w:marTop w:val="0"/>
      <w:marBottom w:val="0"/>
      <w:divBdr>
        <w:top w:val="none" w:sz="0" w:space="0" w:color="auto"/>
        <w:left w:val="none" w:sz="0" w:space="0" w:color="auto"/>
        <w:bottom w:val="none" w:sz="0" w:space="0" w:color="auto"/>
        <w:right w:val="none" w:sz="0" w:space="0" w:color="auto"/>
      </w:divBdr>
    </w:div>
    <w:div w:id="1239097986">
      <w:bodyDiv w:val="1"/>
      <w:marLeft w:val="0"/>
      <w:marRight w:val="0"/>
      <w:marTop w:val="0"/>
      <w:marBottom w:val="0"/>
      <w:divBdr>
        <w:top w:val="none" w:sz="0" w:space="0" w:color="auto"/>
        <w:left w:val="none" w:sz="0" w:space="0" w:color="auto"/>
        <w:bottom w:val="none" w:sz="0" w:space="0" w:color="auto"/>
        <w:right w:val="none" w:sz="0" w:space="0" w:color="auto"/>
      </w:divBdr>
    </w:div>
    <w:div w:id="1241407378">
      <w:bodyDiv w:val="1"/>
      <w:marLeft w:val="0"/>
      <w:marRight w:val="0"/>
      <w:marTop w:val="0"/>
      <w:marBottom w:val="0"/>
      <w:divBdr>
        <w:top w:val="none" w:sz="0" w:space="0" w:color="auto"/>
        <w:left w:val="none" w:sz="0" w:space="0" w:color="auto"/>
        <w:bottom w:val="none" w:sz="0" w:space="0" w:color="auto"/>
        <w:right w:val="none" w:sz="0" w:space="0" w:color="auto"/>
      </w:divBdr>
    </w:div>
    <w:div w:id="1245649466">
      <w:bodyDiv w:val="1"/>
      <w:marLeft w:val="0"/>
      <w:marRight w:val="0"/>
      <w:marTop w:val="0"/>
      <w:marBottom w:val="0"/>
      <w:divBdr>
        <w:top w:val="none" w:sz="0" w:space="0" w:color="auto"/>
        <w:left w:val="none" w:sz="0" w:space="0" w:color="auto"/>
        <w:bottom w:val="none" w:sz="0" w:space="0" w:color="auto"/>
        <w:right w:val="none" w:sz="0" w:space="0" w:color="auto"/>
      </w:divBdr>
    </w:div>
    <w:div w:id="1248658631">
      <w:bodyDiv w:val="1"/>
      <w:marLeft w:val="0"/>
      <w:marRight w:val="0"/>
      <w:marTop w:val="0"/>
      <w:marBottom w:val="0"/>
      <w:divBdr>
        <w:top w:val="none" w:sz="0" w:space="0" w:color="auto"/>
        <w:left w:val="none" w:sz="0" w:space="0" w:color="auto"/>
        <w:bottom w:val="none" w:sz="0" w:space="0" w:color="auto"/>
        <w:right w:val="none" w:sz="0" w:space="0" w:color="auto"/>
      </w:divBdr>
    </w:div>
    <w:div w:id="1255818867">
      <w:bodyDiv w:val="1"/>
      <w:marLeft w:val="0"/>
      <w:marRight w:val="0"/>
      <w:marTop w:val="0"/>
      <w:marBottom w:val="0"/>
      <w:divBdr>
        <w:top w:val="none" w:sz="0" w:space="0" w:color="auto"/>
        <w:left w:val="none" w:sz="0" w:space="0" w:color="auto"/>
        <w:bottom w:val="none" w:sz="0" w:space="0" w:color="auto"/>
        <w:right w:val="none" w:sz="0" w:space="0" w:color="auto"/>
      </w:divBdr>
    </w:div>
    <w:div w:id="1256130143">
      <w:bodyDiv w:val="1"/>
      <w:marLeft w:val="0"/>
      <w:marRight w:val="0"/>
      <w:marTop w:val="0"/>
      <w:marBottom w:val="0"/>
      <w:divBdr>
        <w:top w:val="none" w:sz="0" w:space="0" w:color="auto"/>
        <w:left w:val="none" w:sz="0" w:space="0" w:color="auto"/>
        <w:bottom w:val="none" w:sz="0" w:space="0" w:color="auto"/>
        <w:right w:val="none" w:sz="0" w:space="0" w:color="auto"/>
      </w:divBdr>
    </w:div>
    <w:div w:id="1256940277">
      <w:bodyDiv w:val="1"/>
      <w:marLeft w:val="0"/>
      <w:marRight w:val="0"/>
      <w:marTop w:val="0"/>
      <w:marBottom w:val="0"/>
      <w:divBdr>
        <w:top w:val="none" w:sz="0" w:space="0" w:color="auto"/>
        <w:left w:val="none" w:sz="0" w:space="0" w:color="auto"/>
        <w:bottom w:val="none" w:sz="0" w:space="0" w:color="auto"/>
        <w:right w:val="none" w:sz="0" w:space="0" w:color="auto"/>
      </w:divBdr>
    </w:div>
    <w:div w:id="1258247838">
      <w:bodyDiv w:val="1"/>
      <w:marLeft w:val="0"/>
      <w:marRight w:val="0"/>
      <w:marTop w:val="0"/>
      <w:marBottom w:val="0"/>
      <w:divBdr>
        <w:top w:val="none" w:sz="0" w:space="0" w:color="auto"/>
        <w:left w:val="none" w:sz="0" w:space="0" w:color="auto"/>
        <w:bottom w:val="none" w:sz="0" w:space="0" w:color="auto"/>
        <w:right w:val="none" w:sz="0" w:space="0" w:color="auto"/>
      </w:divBdr>
    </w:div>
    <w:div w:id="1261987075">
      <w:bodyDiv w:val="1"/>
      <w:marLeft w:val="0"/>
      <w:marRight w:val="0"/>
      <w:marTop w:val="0"/>
      <w:marBottom w:val="0"/>
      <w:divBdr>
        <w:top w:val="none" w:sz="0" w:space="0" w:color="auto"/>
        <w:left w:val="none" w:sz="0" w:space="0" w:color="auto"/>
        <w:bottom w:val="none" w:sz="0" w:space="0" w:color="auto"/>
        <w:right w:val="none" w:sz="0" w:space="0" w:color="auto"/>
      </w:divBdr>
    </w:div>
    <w:div w:id="1268344024">
      <w:bodyDiv w:val="1"/>
      <w:marLeft w:val="0"/>
      <w:marRight w:val="0"/>
      <w:marTop w:val="0"/>
      <w:marBottom w:val="0"/>
      <w:divBdr>
        <w:top w:val="none" w:sz="0" w:space="0" w:color="auto"/>
        <w:left w:val="none" w:sz="0" w:space="0" w:color="auto"/>
        <w:bottom w:val="none" w:sz="0" w:space="0" w:color="auto"/>
        <w:right w:val="none" w:sz="0" w:space="0" w:color="auto"/>
      </w:divBdr>
    </w:div>
    <w:div w:id="1275289815">
      <w:bodyDiv w:val="1"/>
      <w:marLeft w:val="0"/>
      <w:marRight w:val="0"/>
      <w:marTop w:val="0"/>
      <w:marBottom w:val="0"/>
      <w:divBdr>
        <w:top w:val="none" w:sz="0" w:space="0" w:color="auto"/>
        <w:left w:val="none" w:sz="0" w:space="0" w:color="auto"/>
        <w:bottom w:val="none" w:sz="0" w:space="0" w:color="auto"/>
        <w:right w:val="none" w:sz="0" w:space="0" w:color="auto"/>
      </w:divBdr>
    </w:div>
    <w:div w:id="1279681396">
      <w:bodyDiv w:val="1"/>
      <w:marLeft w:val="0"/>
      <w:marRight w:val="0"/>
      <w:marTop w:val="0"/>
      <w:marBottom w:val="0"/>
      <w:divBdr>
        <w:top w:val="none" w:sz="0" w:space="0" w:color="auto"/>
        <w:left w:val="none" w:sz="0" w:space="0" w:color="auto"/>
        <w:bottom w:val="none" w:sz="0" w:space="0" w:color="auto"/>
        <w:right w:val="none" w:sz="0" w:space="0" w:color="auto"/>
      </w:divBdr>
    </w:div>
    <w:div w:id="1283151131">
      <w:bodyDiv w:val="1"/>
      <w:marLeft w:val="0"/>
      <w:marRight w:val="0"/>
      <w:marTop w:val="0"/>
      <w:marBottom w:val="0"/>
      <w:divBdr>
        <w:top w:val="none" w:sz="0" w:space="0" w:color="auto"/>
        <w:left w:val="none" w:sz="0" w:space="0" w:color="auto"/>
        <w:bottom w:val="none" w:sz="0" w:space="0" w:color="auto"/>
        <w:right w:val="none" w:sz="0" w:space="0" w:color="auto"/>
      </w:divBdr>
    </w:div>
    <w:div w:id="1293094446">
      <w:bodyDiv w:val="1"/>
      <w:marLeft w:val="0"/>
      <w:marRight w:val="0"/>
      <w:marTop w:val="0"/>
      <w:marBottom w:val="0"/>
      <w:divBdr>
        <w:top w:val="none" w:sz="0" w:space="0" w:color="auto"/>
        <w:left w:val="none" w:sz="0" w:space="0" w:color="auto"/>
        <w:bottom w:val="none" w:sz="0" w:space="0" w:color="auto"/>
        <w:right w:val="none" w:sz="0" w:space="0" w:color="auto"/>
      </w:divBdr>
    </w:div>
    <w:div w:id="1310474351">
      <w:bodyDiv w:val="1"/>
      <w:marLeft w:val="0"/>
      <w:marRight w:val="0"/>
      <w:marTop w:val="0"/>
      <w:marBottom w:val="0"/>
      <w:divBdr>
        <w:top w:val="none" w:sz="0" w:space="0" w:color="auto"/>
        <w:left w:val="none" w:sz="0" w:space="0" w:color="auto"/>
        <w:bottom w:val="none" w:sz="0" w:space="0" w:color="auto"/>
        <w:right w:val="none" w:sz="0" w:space="0" w:color="auto"/>
      </w:divBdr>
    </w:div>
    <w:div w:id="1316714645">
      <w:bodyDiv w:val="1"/>
      <w:marLeft w:val="0"/>
      <w:marRight w:val="0"/>
      <w:marTop w:val="0"/>
      <w:marBottom w:val="0"/>
      <w:divBdr>
        <w:top w:val="none" w:sz="0" w:space="0" w:color="auto"/>
        <w:left w:val="none" w:sz="0" w:space="0" w:color="auto"/>
        <w:bottom w:val="none" w:sz="0" w:space="0" w:color="auto"/>
        <w:right w:val="none" w:sz="0" w:space="0" w:color="auto"/>
      </w:divBdr>
    </w:div>
    <w:div w:id="1336809269">
      <w:bodyDiv w:val="1"/>
      <w:marLeft w:val="0"/>
      <w:marRight w:val="0"/>
      <w:marTop w:val="0"/>
      <w:marBottom w:val="0"/>
      <w:divBdr>
        <w:top w:val="none" w:sz="0" w:space="0" w:color="auto"/>
        <w:left w:val="none" w:sz="0" w:space="0" w:color="auto"/>
        <w:bottom w:val="none" w:sz="0" w:space="0" w:color="auto"/>
        <w:right w:val="none" w:sz="0" w:space="0" w:color="auto"/>
      </w:divBdr>
    </w:div>
    <w:div w:id="1338775182">
      <w:bodyDiv w:val="1"/>
      <w:marLeft w:val="0"/>
      <w:marRight w:val="0"/>
      <w:marTop w:val="0"/>
      <w:marBottom w:val="0"/>
      <w:divBdr>
        <w:top w:val="none" w:sz="0" w:space="0" w:color="auto"/>
        <w:left w:val="none" w:sz="0" w:space="0" w:color="auto"/>
        <w:bottom w:val="none" w:sz="0" w:space="0" w:color="auto"/>
        <w:right w:val="none" w:sz="0" w:space="0" w:color="auto"/>
      </w:divBdr>
    </w:div>
    <w:div w:id="1340543978">
      <w:bodyDiv w:val="1"/>
      <w:marLeft w:val="0"/>
      <w:marRight w:val="0"/>
      <w:marTop w:val="0"/>
      <w:marBottom w:val="0"/>
      <w:divBdr>
        <w:top w:val="none" w:sz="0" w:space="0" w:color="auto"/>
        <w:left w:val="none" w:sz="0" w:space="0" w:color="auto"/>
        <w:bottom w:val="none" w:sz="0" w:space="0" w:color="auto"/>
        <w:right w:val="none" w:sz="0" w:space="0" w:color="auto"/>
      </w:divBdr>
    </w:div>
    <w:div w:id="1349333989">
      <w:bodyDiv w:val="1"/>
      <w:marLeft w:val="0"/>
      <w:marRight w:val="0"/>
      <w:marTop w:val="0"/>
      <w:marBottom w:val="0"/>
      <w:divBdr>
        <w:top w:val="none" w:sz="0" w:space="0" w:color="auto"/>
        <w:left w:val="none" w:sz="0" w:space="0" w:color="auto"/>
        <w:bottom w:val="none" w:sz="0" w:space="0" w:color="auto"/>
        <w:right w:val="none" w:sz="0" w:space="0" w:color="auto"/>
      </w:divBdr>
    </w:div>
    <w:div w:id="1350991397">
      <w:bodyDiv w:val="1"/>
      <w:marLeft w:val="0"/>
      <w:marRight w:val="0"/>
      <w:marTop w:val="0"/>
      <w:marBottom w:val="0"/>
      <w:divBdr>
        <w:top w:val="none" w:sz="0" w:space="0" w:color="auto"/>
        <w:left w:val="none" w:sz="0" w:space="0" w:color="auto"/>
        <w:bottom w:val="none" w:sz="0" w:space="0" w:color="auto"/>
        <w:right w:val="none" w:sz="0" w:space="0" w:color="auto"/>
      </w:divBdr>
    </w:div>
    <w:div w:id="1363093820">
      <w:bodyDiv w:val="1"/>
      <w:marLeft w:val="0"/>
      <w:marRight w:val="0"/>
      <w:marTop w:val="0"/>
      <w:marBottom w:val="0"/>
      <w:divBdr>
        <w:top w:val="none" w:sz="0" w:space="0" w:color="auto"/>
        <w:left w:val="none" w:sz="0" w:space="0" w:color="auto"/>
        <w:bottom w:val="none" w:sz="0" w:space="0" w:color="auto"/>
        <w:right w:val="none" w:sz="0" w:space="0" w:color="auto"/>
      </w:divBdr>
    </w:div>
    <w:div w:id="1368021258">
      <w:bodyDiv w:val="1"/>
      <w:marLeft w:val="0"/>
      <w:marRight w:val="0"/>
      <w:marTop w:val="0"/>
      <w:marBottom w:val="0"/>
      <w:divBdr>
        <w:top w:val="none" w:sz="0" w:space="0" w:color="auto"/>
        <w:left w:val="none" w:sz="0" w:space="0" w:color="auto"/>
        <w:bottom w:val="none" w:sz="0" w:space="0" w:color="auto"/>
        <w:right w:val="none" w:sz="0" w:space="0" w:color="auto"/>
      </w:divBdr>
    </w:div>
    <w:div w:id="1374039493">
      <w:bodyDiv w:val="1"/>
      <w:marLeft w:val="0"/>
      <w:marRight w:val="0"/>
      <w:marTop w:val="0"/>
      <w:marBottom w:val="0"/>
      <w:divBdr>
        <w:top w:val="none" w:sz="0" w:space="0" w:color="auto"/>
        <w:left w:val="none" w:sz="0" w:space="0" w:color="auto"/>
        <w:bottom w:val="none" w:sz="0" w:space="0" w:color="auto"/>
        <w:right w:val="none" w:sz="0" w:space="0" w:color="auto"/>
      </w:divBdr>
    </w:div>
    <w:div w:id="1380320354">
      <w:bodyDiv w:val="1"/>
      <w:marLeft w:val="0"/>
      <w:marRight w:val="0"/>
      <w:marTop w:val="0"/>
      <w:marBottom w:val="0"/>
      <w:divBdr>
        <w:top w:val="none" w:sz="0" w:space="0" w:color="auto"/>
        <w:left w:val="none" w:sz="0" w:space="0" w:color="auto"/>
        <w:bottom w:val="none" w:sz="0" w:space="0" w:color="auto"/>
        <w:right w:val="none" w:sz="0" w:space="0" w:color="auto"/>
      </w:divBdr>
    </w:div>
    <w:div w:id="1405494060">
      <w:bodyDiv w:val="1"/>
      <w:marLeft w:val="0"/>
      <w:marRight w:val="0"/>
      <w:marTop w:val="0"/>
      <w:marBottom w:val="0"/>
      <w:divBdr>
        <w:top w:val="none" w:sz="0" w:space="0" w:color="auto"/>
        <w:left w:val="none" w:sz="0" w:space="0" w:color="auto"/>
        <w:bottom w:val="none" w:sz="0" w:space="0" w:color="auto"/>
        <w:right w:val="none" w:sz="0" w:space="0" w:color="auto"/>
      </w:divBdr>
    </w:div>
    <w:div w:id="1414087976">
      <w:bodyDiv w:val="1"/>
      <w:marLeft w:val="0"/>
      <w:marRight w:val="0"/>
      <w:marTop w:val="0"/>
      <w:marBottom w:val="0"/>
      <w:divBdr>
        <w:top w:val="none" w:sz="0" w:space="0" w:color="auto"/>
        <w:left w:val="none" w:sz="0" w:space="0" w:color="auto"/>
        <w:bottom w:val="none" w:sz="0" w:space="0" w:color="auto"/>
        <w:right w:val="none" w:sz="0" w:space="0" w:color="auto"/>
      </w:divBdr>
    </w:div>
    <w:div w:id="1415281307">
      <w:bodyDiv w:val="1"/>
      <w:marLeft w:val="0"/>
      <w:marRight w:val="0"/>
      <w:marTop w:val="0"/>
      <w:marBottom w:val="0"/>
      <w:divBdr>
        <w:top w:val="none" w:sz="0" w:space="0" w:color="auto"/>
        <w:left w:val="none" w:sz="0" w:space="0" w:color="auto"/>
        <w:bottom w:val="none" w:sz="0" w:space="0" w:color="auto"/>
        <w:right w:val="none" w:sz="0" w:space="0" w:color="auto"/>
      </w:divBdr>
    </w:div>
    <w:div w:id="1444036166">
      <w:bodyDiv w:val="1"/>
      <w:marLeft w:val="0"/>
      <w:marRight w:val="0"/>
      <w:marTop w:val="0"/>
      <w:marBottom w:val="0"/>
      <w:divBdr>
        <w:top w:val="none" w:sz="0" w:space="0" w:color="auto"/>
        <w:left w:val="none" w:sz="0" w:space="0" w:color="auto"/>
        <w:bottom w:val="none" w:sz="0" w:space="0" w:color="auto"/>
        <w:right w:val="none" w:sz="0" w:space="0" w:color="auto"/>
      </w:divBdr>
    </w:div>
    <w:div w:id="1448770604">
      <w:bodyDiv w:val="1"/>
      <w:marLeft w:val="0"/>
      <w:marRight w:val="0"/>
      <w:marTop w:val="0"/>
      <w:marBottom w:val="0"/>
      <w:divBdr>
        <w:top w:val="none" w:sz="0" w:space="0" w:color="auto"/>
        <w:left w:val="none" w:sz="0" w:space="0" w:color="auto"/>
        <w:bottom w:val="none" w:sz="0" w:space="0" w:color="auto"/>
        <w:right w:val="none" w:sz="0" w:space="0" w:color="auto"/>
      </w:divBdr>
    </w:div>
    <w:div w:id="1468083714">
      <w:bodyDiv w:val="1"/>
      <w:marLeft w:val="0"/>
      <w:marRight w:val="0"/>
      <w:marTop w:val="0"/>
      <w:marBottom w:val="0"/>
      <w:divBdr>
        <w:top w:val="none" w:sz="0" w:space="0" w:color="auto"/>
        <w:left w:val="none" w:sz="0" w:space="0" w:color="auto"/>
        <w:bottom w:val="none" w:sz="0" w:space="0" w:color="auto"/>
        <w:right w:val="none" w:sz="0" w:space="0" w:color="auto"/>
      </w:divBdr>
    </w:div>
    <w:div w:id="1480804918">
      <w:bodyDiv w:val="1"/>
      <w:marLeft w:val="0"/>
      <w:marRight w:val="0"/>
      <w:marTop w:val="0"/>
      <w:marBottom w:val="0"/>
      <w:divBdr>
        <w:top w:val="none" w:sz="0" w:space="0" w:color="auto"/>
        <w:left w:val="none" w:sz="0" w:space="0" w:color="auto"/>
        <w:bottom w:val="none" w:sz="0" w:space="0" w:color="auto"/>
        <w:right w:val="none" w:sz="0" w:space="0" w:color="auto"/>
      </w:divBdr>
    </w:div>
    <w:div w:id="1491210344">
      <w:bodyDiv w:val="1"/>
      <w:marLeft w:val="0"/>
      <w:marRight w:val="0"/>
      <w:marTop w:val="0"/>
      <w:marBottom w:val="0"/>
      <w:divBdr>
        <w:top w:val="none" w:sz="0" w:space="0" w:color="auto"/>
        <w:left w:val="none" w:sz="0" w:space="0" w:color="auto"/>
        <w:bottom w:val="none" w:sz="0" w:space="0" w:color="auto"/>
        <w:right w:val="none" w:sz="0" w:space="0" w:color="auto"/>
      </w:divBdr>
    </w:div>
    <w:div w:id="1498499719">
      <w:bodyDiv w:val="1"/>
      <w:marLeft w:val="0"/>
      <w:marRight w:val="0"/>
      <w:marTop w:val="0"/>
      <w:marBottom w:val="0"/>
      <w:divBdr>
        <w:top w:val="none" w:sz="0" w:space="0" w:color="auto"/>
        <w:left w:val="none" w:sz="0" w:space="0" w:color="auto"/>
        <w:bottom w:val="none" w:sz="0" w:space="0" w:color="auto"/>
        <w:right w:val="none" w:sz="0" w:space="0" w:color="auto"/>
      </w:divBdr>
    </w:div>
    <w:div w:id="1527674065">
      <w:bodyDiv w:val="1"/>
      <w:marLeft w:val="0"/>
      <w:marRight w:val="0"/>
      <w:marTop w:val="0"/>
      <w:marBottom w:val="0"/>
      <w:divBdr>
        <w:top w:val="none" w:sz="0" w:space="0" w:color="auto"/>
        <w:left w:val="none" w:sz="0" w:space="0" w:color="auto"/>
        <w:bottom w:val="none" w:sz="0" w:space="0" w:color="auto"/>
        <w:right w:val="none" w:sz="0" w:space="0" w:color="auto"/>
      </w:divBdr>
    </w:div>
    <w:div w:id="1549805298">
      <w:bodyDiv w:val="1"/>
      <w:marLeft w:val="0"/>
      <w:marRight w:val="0"/>
      <w:marTop w:val="0"/>
      <w:marBottom w:val="0"/>
      <w:divBdr>
        <w:top w:val="none" w:sz="0" w:space="0" w:color="auto"/>
        <w:left w:val="none" w:sz="0" w:space="0" w:color="auto"/>
        <w:bottom w:val="none" w:sz="0" w:space="0" w:color="auto"/>
        <w:right w:val="none" w:sz="0" w:space="0" w:color="auto"/>
      </w:divBdr>
    </w:div>
    <w:div w:id="1568758777">
      <w:bodyDiv w:val="1"/>
      <w:marLeft w:val="0"/>
      <w:marRight w:val="0"/>
      <w:marTop w:val="0"/>
      <w:marBottom w:val="0"/>
      <w:divBdr>
        <w:top w:val="none" w:sz="0" w:space="0" w:color="auto"/>
        <w:left w:val="none" w:sz="0" w:space="0" w:color="auto"/>
        <w:bottom w:val="none" w:sz="0" w:space="0" w:color="auto"/>
        <w:right w:val="none" w:sz="0" w:space="0" w:color="auto"/>
      </w:divBdr>
    </w:div>
    <w:div w:id="1568883509">
      <w:bodyDiv w:val="1"/>
      <w:marLeft w:val="0"/>
      <w:marRight w:val="0"/>
      <w:marTop w:val="0"/>
      <w:marBottom w:val="0"/>
      <w:divBdr>
        <w:top w:val="none" w:sz="0" w:space="0" w:color="auto"/>
        <w:left w:val="none" w:sz="0" w:space="0" w:color="auto"/>
        <w:bottom w:val="none" w:sz="0" w:space="0" w:color="auto"/>
        <w:right w:val="none" w:sz="0" w:space="0" w:color="auto"/>
      </w:divBdr>
    </w:div>
    <w:div w:id="1571887944">
      <w:bodyDiv w:val="1"/>
      <w:marLeft w:val="0"/>
      <w:marRight w:val="0"/>
      <w:marTop w:val="0"/>
      <w:marBottom w:val="0"/>
      <w:divBdr>
        <w:top w:val="none" w:sz="0" w:space="0" w:color="auto"/>
        <w:left w:val="none" w:sz="0" w:space="0" w:color="auto"/>
        <w:bottom w:val="none" w:sz="0" w:space="0" w:color="auto"/>
        <w:right w:val="none" w:sz="0" w:space="0" w:color="auto"/>
      </w:divBdr>
    </w:div>
    <w:div w:id="1592934933">
      <w:bodyDiv w:val="1"/>
      <w:marLeft w:val="0"/>
      <w:marRight w:val="0"/>
      <w:marTop w:val="0"/>
      <w:marBottom w:val="0"/>
      <w:divBdr>
        <w:top w:val="none" w:sz="0" w:space="0" w:color="auto"/>
        <w:left w:val="none" w:sz="0" w:space="0" w:color="auto"/>
        <w:bottom w:val="none" w:sz="0" w:space="0" w:color="auto"/>
        <w:right w:val="none" w:sz="0" w:space="0" w:color="auto"/>
      </w:divBdr>
    </w:div>
    <w:div w:id="1597127679">
      <w:bodyDiv w:val="1"/>
      <w:marLeft w:val="0"/>
      <w:marRight w:val="0"/>
      <w:marTop w:val="0"/>
      <w:marBottom w:val="0"/>
      <w:divBdr>
        <w:top w:val="none" w:sz="0" w:space="0" w:color="auto"/>
        <w:left w:val="none" w:sz="0" w:space="0" w:color="auto"/>
        <w:bottom w:val="none" w:sz="0" w:space="0" w:color="auto"/>
        <w:right w:val="none" w:sz="0" w:space="0" w:color="auto"/>
      </w:divBdr>
    </w:div>
    <w:div w:id="1619143295">
      <w:bodyDiv w:val="1"/>
      <w:marLeft w:val="0"/>
      <w:marRight w:val="0"/>
      <w:marTop w:val="0"/>
      <w:marBottom w:val="0"/>
      <w:divBdr>
        <w:top w:val="none" w:sz="0" w:space="0" w:color="auto"/>
        <w:left w:val="none" w:sz="0" w:space="0" w:color="auto"/>
        <w:bottom w:val="none" w:sz="0" w:space="0" w:color="auto"/>
        <w:right w:val="none" w:sz="0" w:space="0" w:color="auto"/>
      </w:divBdr>
    </w:div>
    <w:div w:id="1631012768">
      <w:bodyDiv w:val="1"/>
      <w:marLeft w:val="0"/>
      <w:marRight w:val="0"/>
      <w:marTop w:val="0"/>
      <w:marBottom w:val="0"/>
      <w:divBdr>
        <w:top w:val="none" w:sz="0" w:space="0" w:color="auto"/>
        <w:left w:val="none" w:sz="0" w:space="0" w:color="auto"/>
        <w:bottom w:val="none" w:sz="0" w:space="0" w:color="auto"/>
        <w:right w:val="none" w:sz="0" w:space="0" w:color="auto"/>
      </w:divBdr>
    </w:div>
    <w:div w:id="1660108560">
      <w:bodyDiv w:val="1"/>
      <w:marLeft w:val="0"/>
      <w:marRight w:val="0"/>
      <w:marTop w:val="0"/>
      <w:marBottom w:val="0"/>
      <w:divBdr>
        <w:top w:val="none" w:sz="0" w:space="0" w:color="auto"/>
        <w:left w:val="none" w:sz="0" w:space="0" w:color="auto"/>
        <w:bottom w:val="none" w:sz="0" w:space="0" w:color="auto"/>
        <w:right w:val="none" w:sz="0" w:space="0" w:color="auto"/>
      </w:divBdr>
    </w:div>
    <w:div w:id="1671981265">
      <w:bodyDiv w:val="1"/>
      <w:marLeft w:val="0"/>
      <w:marRight w:val="0"/>
      <w:marTop w:val="0"/>
      <w:marBottom w:val="0"/>
      <w:divBdr>
        <w:top w:val="none" w:sz="0" w:space="0" w:color="auto"/>
        <w:left w:val="none" w:sz="0" w:space="0" w:color="auto"/>
        <w:bottom w:val="none" w:sz="0" w:space="0" w:color="auto"/>
        <w:right w:val="none" w:sz="0" w:space="0" w:color="auto"/>
      </w:divBdr>
    </w:div>
    <w:div w:id="1694726754">
      <w:bodyDiv w:val="1"/>
      <w:marLeft w:val="0"/>
      <w:marRight w:val="0"/>
      <w:marTop w:val="0"/>
      <w:marBottom w:val="0"/>
      <w:divBdr>
        <w:top w:val="none" w:sz="0" w:space="0" w:color="auto"/>
        <w:left w:val="none" w:sz="0" w:space="0" w:color="auto"/>
        <w:bottom w:val="none" w:sz="0" w:space="0" w:color="auto"/>
        <w:right w:val="none" w:sz="0" w:space="0" w:color="auto"/>
      </w:divBdr>
    </w:div>
    <w:div w:id="1702315014">
      <w:bodyDiv w:val="1"/>
      <w:marLeft w:val="0"/>
      <w:marRight w:val="0"/>
      <w:marTop w:val="0"/>
      <w:marBottom w:val="0"/>
      <w:divBdr>
        <w:top w:val="none" w:sz="0" w:space="0" w:color="auto"/>
        <w:left w:val="none" w:sz="0" w:space="0" w:color="auto"/>
        <w:bottom w:val="none" w:sz="0" w:space="0" w:color="auto"/>
        <w:right w:val="none" w:sz="0" w:space="0" w:color="auto"/>
      </w:divBdr>
    </w:div>
    <w:div w:id="1703897697">
      <w:bodyDiv w:val="1"/>
      <w:marLeft w:val="0"/>
      <w:marRight w:val="0"/>
      <w:marTop w:val="0"/>
      <w:marBottom w:val="0"/>
      <w:divBdr>
        <w:top w:val="none" w:sz="0" w:space="0" w:color="auto"/>
        <w:left w:val="none" w:sz="0" w:space="0" w:color="auto"/>
        <w:bottom w:val="none" w:sz="0" w:space="0" w:color="auto"/>
        <w:right w:val="none" w:sz="0" w:space="0" w:color="auto"/>
      </w:divBdr>
    </w:div>
    <w:div w:id="1708679448">
      <w:bodyDiv w:val="1"/>
      <w:marLeft w:val="0"/>
      <w:marRight w:val="0"/>
      <w:marTop w:val="0"/>
      <w:marBottom w:val="0"/>
      <w:divBdr>
        <w:top w:val="none" w:sz="0" w:space="0" w:color="auto"/>
        <w:left w:val="none" w:sz="0" w:space="0" w:color="auto"/>
        <w:bottom w:val="none" w:sz="0" w:space="0" w:color="auto"/>
        <w:right w:val="none" w:sz="0" w:space="0" w:color="auto"/>
      </w:divBdr>
    </w:div>
    <w:div w:id="1711490820">
      <w:bodyDiv w:val="1"/>
      <w:marLeft w:val="0"/>
      <w:marRight w:val="0"/>
      <w:marTop w:val="0"/>
      <w:marBottom w:val="0"/>
      <w:divBdr>
        <w:top w:val="none" w:sz="0" w:space="0" w:color="auto"/>
        <w:left w:val="none" w:sz="0" w:space="0" w:color="auto"/>
        <w:bottom w:val="none" w:sz="0" w:space="0" w:color="auto"/>
        <w:right w:val="none" w:sz="0" w:space="0" w:color="auto"/>
      </w:divBdr>
    </w:div>
    <w:div w:id="1721203483">
      <w:bodyDiv w:val="1"/>
      <w:marLeft w:val="0"/>
      <w:marRight w:val="0"/>
      <w:marTop w:val="0"/>
      <w:marBottom w:val="0"/>
      <w:divBdr>
        <w:top w:val="none" w:sz="0" w:space="0" w:color="auto"/>
        <w:left w:val="none" w:sz="0" w:space="0" w:color="auto"/>
        <w:bottom w:val="none" w:sz="0" w:space="0" w:color="auto"/>
        <w:right w:val="none" w:sz="0" w:space="0" w:color="auto"/>
      </w:divBdr>
    </w:div>
    <w:div w:id="1734161224">
      <w:bodyDiv w:val="1"/>
      <w:marLeft w:val="0"/>
      <w:marRight w:val="0"/>
      <w:marTop w:val="0"/>
      <w:marBottom w:val="0"/>
      <w:divBdr>
        <w:top w:val="none" w:sz="0" w:space="0" w:color="auto"/>
        <w:left w:val="none" w:sz="0" w:space="0" w:color="auto"/>
        <w:bottom w:val="none" w:sz="0" w:space="0" w:color="auto"/>
        <w:right w:val="none" w:sz="0" w:space="0" w:color="auto"/>
      </w:divBdr>
    </w:div>
    <w:div w:id="1745224312">
      <w:bodyDiv w:val="1"/>
      <w:marLeft w:val="0"/>
      <w:marRight w:val="0"/>
      <w:marTop w:val="0"/>
      <w:marBottom w:val="0"/>
      <w:divBdr>
        <w:top w:val="none" w:sz="0" w:space="0" w:color="auto"/>
        <w:left w:val="none" w:sz="0" w:space="0" w:color="auto"/>
        <w:bottom w:val="none" w:sz="0" w:space="0" w:color="auto"/>
        <w:right w:val="none" w:sz="0" w:space="0" w:color="auto"/>
      </w:divBdr>
    </w:div>
    <w:div w:id="1748843450">
      <w:bodyDiv w:val="1"/>
      <w:marLeft w:val="0"/>
      <w:marRight w:val="0"/>
      <w:marTop w:val="0"/>
      <w:marBottom w:val="0"/>
      <w:divBdr>
        <w:top w:val="none" w:sz="0" w:space="0" w:color="auto"/>
        <w:left w:val="none" w:sz="0" w:space="0" w:color="auto"/>
        <w:bottom w:val="none" w:sz="0" w:space="0" w:color="auto"/>
        <w:right w:val="none" w:sz="0" w:space="0" w:color="auto"/>
      </w:divBdr>
    </w:div>
    <w:div w:id="1766539957">
      <w:bodyDiv w:val="1"/>
      <w:marLeft w:val="0"/>
      <w:marRight w:val="0"/>
      <w:marTop w:val="0"/>
      <w:marBottom w:val="0"/>
      <w:divBdr>
        <w:top w:val="none" w:sz="0" w:space="0" w:color="auto"/>
        <w:left w:val="none" w:sz="0" w:space="0" w:color="auto"/>
        <w:bottom w:val="none" w:sz="0" w:space="0" w:color="auto"/>
        <w:right w:val="none" w:sz="0" w:space="0" w:color="auto"/>
      </w:divBdr>
    </w:div>
    <w:div w:id="1772698042">
      <w:bodyDiv w:val="1"/>
      <w:marLeft w:val="0"/>
      <w:marRight w:val="0"/>
      <w:marTop w:val="0"/>
      <w:marBottom w:val="0"/>
      <w:divBdr>
        <w:top w:val="none" w:sz="0" w:space="0" w:color="auto"/>
        <w:left w:val="none" w:sz="0" w:space="0" w:color="auto"/>
        <w:bottom w:val="none" w:sz="0" w:space="0" w:color="auto"/>
        <w:right w:val="none" w:sz="0" w:space="0" w:color="auto"/>
      </w:divBdr>
    </w:div>
    <w:div w:id="1776364713">
      <w:bodyDiv w:val="1"/>
      <w:marLeft w:val="0"/>
      <w:marRight w:val="0"/>
      <w:marTop w:val="0"/>
      <w:marBottom w:val="0"/>
      <w:divBdr>
        <w:top w:val="none" w:sz="0" w:space="0" w:color="auto"/>
        <w:left w:val="none" w:sz="0" w:space="0" w:color="auto"/>
        <w:bottom w:val="none" w:sz="0" w:space="0" w:color="auto"/>
        <w:right w:val="none" w:sz="0" w:space="0" w:color="auto"/>
      </w:divBdr>
    </w:div>
    <w:div w:id="1801604922">
      <w:bodyDiv w:val="1"/>
      <w:marLeft w:val="0"/>
      <w:marRight w:val="0"/>
      <w:marTop w:val="0"/>
      <w:marBottom w:val="0"/>
      <w:divBdr>
        <w:top w:val="none" w:sz="0" w:space="0" w:color="auto"/>
        <w:left w:val="none" w:sz="0" w:space="0" w:color="auto"/>
        <w:bottom w:val="none" w:sz="0" w:space="0" w:color="auto"/>
        <w:right w:val="none" w:sz="0" w:space="0" w:color="auto"/>
      </w:divBdr>
    </w:div>
    <w:div w:id="1805654875">
      <w:bodyDiv w:val="1"/>
      <w:marLeft w:val="0"/>
      <w:marRight w:val="0"/>
      <w:marTop w:val="0"/>
      <w:marBottom w:val="0"/>
      <w:divBdr>
        <w:top w:val="none" w:sz="0" w:space="0" w:color="auto"/>
        <w:left w:val="none" w:sz="0" w:space="0" w:color="auto"/>
        <w:bottom w:val="none" w:sz="0" w:space="0" w:color="auto"/>
        <w:right w:val="none" w:sz="0" w:space="0" w:color="auto"/>
      </w:divBdr>
    </w:div>
    <w:div w:id="1811440515">
      <w:bodyDiv w:val="1"/>
      <w:marLeft w:val="0"/>
      <w:marRight w:val="0"/>
      <w:marTop w:val="0"/>
      <w:marBottom w:val="0"/>
      <w:divBdr>
        <w:top w:val="none" w:sz="0" w:space="0" w:color="auto"/>
        <w:left w:val="none" w:sz="0" w:space="0" w:color="auto"/>
        <w:bottom w:val="none" w:sz="0" w:space="0" w:color="auto"/>
        <w:right w:val="none" w:sz="0" w:space="0" w:color="auto"/>
      </w:divBdr>
    </w:div>
    <w:div w:id="1832915551">
      <w:bodyDiv w:val="1"/>
      <w:marLeft w:val="0"/>
      <w:marRight w:val="0"/>
      <w:marTop w:val="0"/>
      <w:marBottom w:val="0"/>
      <w:divBdr>
        <w:top w:val="none" w:sz="0" w:space="0" w:color="auto"/>
        <w:left w:val="none" w:sz="0" w:space="0" w:color="auto"/>
        <w:bottom w:val="none" w:sz="0" w:space="0" w:color="auto"/>
        <w:right w:val="none" w:sz="0" w:space="0" w:color="auto"/>
      </w:divBdr>
    </w:div>
    <w:div w:id="1835754194">
      <w:bodyDiv w:val="1"/>
      <w:marLeft w:val="0"/>
      <w:marRight w:val="0"/>
      <w:marTop w:val="0"/>
      <w:marBottom w:val="0"/>
      <w:divBdr>
        <w:top w:val="none" w:sz="0" w:space="0" w:color="auto"/>
        <w:left w:val="none" w:sz="0" w:space="0" w:color="auto"/>
        <w:bottom w:val="none" w:sz="0" w:space="0" w:color="auto"/>
        <w:right w:val="none" w:sz="0" w:space="0" w:color="auto"/>
      </w:divBdr>
    </w:div>
    <w:div w:id="1851210801">
      <w:bodyDiv w:val="1"/>
      <w:marLeft w:val="0"/>
      <w:marRight w:val="0"/>
      <w:marTop w:val="0"/>
      <w:marBottom w:val="0"/>
      <w:divBdr>
        <w:top w:val="none" w:sz="0" w:space="0" w:color="auto"/>
        <w:left w:val="none" w:sz="0" w:space="0" w:color="auto"/>
        <w:bottom w:val="none" w:sz="0" w:space="0" w:color="auto"/>
        <w:right w:val="none" w:sz="0" w:space="0" w:color="auto"/>
      </w:divBdr>
    </w:div>
    <w:div w:id="1854494630">
      <w:bodyDiv w:val="1"/>
      <w:marLeft w:val="0"/>
      <w:marRight w:val="0"/>
      <w:marTop w:val="0"/>
      <w:marBottom w:val="0"/>
      <w:divBdr>
        <w:top w:val="none" w:sz="0" w:space="0" w:color="auto"/>
        <w:left w:val="none" w:sz="0" w:space="0" w:color="auto"/>
        <w:bottom w:val="none" w:sz="0" w:space="0" w:color="auto"/>
        <w:right w:val="none" w:sz="0" w:space="0" w:color="auto"/>
      </w:divBdr>
    </w:div>
    <w:div w:id="1874535200">
      <w:bodyDiv w:val="1"/>
      <w:marLeft w:val="0"/>
      <w:marRight w:val="0"/>
      <w:marTop w:val="0"/>
      <w:marBottom w:val="0"/>
      <w:divBdr>
        <w:top w:val="none" w:sz="0" w:space="0" w:color="auto"/>
        <w:left w:val="none" w:sz="0" w:space="0" w:color="auto"/>
        <w:bottom w:val="none" w:sz="0" w:space="0" w:color="auto"/>
        <w:right w:val="none" w:sz="0" w:space="0" w:color="auto"/>
      </w:divBdr>
    </w:div>
    <w:div w:id="1877886104">
      <w:bodyDiv w:val="1"/>
      <w:marLeft w:val="0"/>
      <w:marRight w:val="0"/>
      <w:marTop w:val="0"/>
      <w:marBottom w:val="0"/>
      <w:divBdr>
        <w:top w:val="none" w:sz="0" w:space="0" w:color="auto"/>
        <w:left w:val="none" w:sz="0" w:space="0" w:color="auto"/>
        <w:bottom w:val="none" w:sz="0" w:space="0" w:color="auto"/>
        <w:right w:val="none" w:sz="0" w:space="0" w:color="auto"/>
      </w:divBdr>
    </w:div>
    <w:div w:id="1879707105">
      <w:bodyDiv w:val="1"/>
      <w:marLeft w:val="0"/>
      <w:marRight w:val="0"/>
      <w:marTop w:val="0"/>
      <w:marBottom w:val="0"/>
      <w:divBdr>
        <w:top w:val="none" w:sz="0" w:space="0" w:color="auto"/>
        <w:left w:val="none" w:sz="0" w:space="0" w:color="auto"/>
        <w:bottom w:val="none" w:sz="0" w:space="0" w:color="auto"/>
        <w:right w:val="none" w:sz="0" w:space="0" w:color="auto"/>
      </w:divBdr>
    </w:div>
    <w:div w:id="194572212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7681068">
      <w:bodyDiv w:val="1"/>
      <w:marLeft w:val="0"/>
      <w:marRight w:val="0"/>
      <w:marTop w:val="0"/>
      <w:marBottom w:val="0"/>
      <w:divBdr>
        <w:top w:val="none" w:sz="0" w:space="0" w:color="auto"/>
        <w:left w:val="none" w:sz="0" w:space="0" w:color="auto"/>
        <w:bottom w:val="none" w:sz="0" w:space="0" w:color="auto"/>
        <w:right w:val="none" w:sz="0" w:space="0" w:color="auto"/>
      </w:divBdr>
    </w:div>
    <w:div w:id="1984382050">
      <w:bodyDiv w:val="1"/>
      <w:marLeft w:val="0"/>
      <w:marRight w:val="0"/>
      <w:marTop w:val="0"/>
      <w:marBottom w:val="0"/>
      <w:divBdr>
        <w:top w:val="none" w:sz="0" w:space="0" w:color="auto"/>
        <w:left w:val="none" w:sz="0" w:space="0" w:color="auto"/>
        <w:bottom w:val="none" w:sz="0" w:space="0" w:color="auto"/>
        <w:right w:val="none" w:sz="0" w:space="0" w:color="auto"/>
      </w:divBdr>
    </w:div>
    <w:div w:id="1987659789">
      <w:bodyDiv w:val="1"/>
      <w:marLeft w:val="0"/>
      <w:marRight w:val="0"/>
      <w:marTop w:val="0"/>
      <w:marBottom w:val="0"/>
      <w:divBdr>
        <w:top w:val="none" w:sz="0" w:space="0" w:color="auto"/>
        <w:left w:val="none" w:sz="0" w:space="0" w:color="auto"/>
        <w:bottom w:val="none" w:sz="0" w:space="0" w:color="auto"/>
        <w:right w:val="none" w:sz="0" w:space="0" w:color="auto"/>
      </w:divBdr>
    </w:div>
    <w:div w:id="1991861250">
      <w:bodyDiv w:val="1"/>
      <w:marLeft w:val="0"/>
      <w:marRight w:val="0"/>
      <w:marTop w:val="0"/>
      <w:marBottom w:val="0"/>
      <w:divBdr>
        <w:top w:val="none" w:sz="0" w:space="0" w:color="auto"/>
        <w:left w:val="none" w:sz="0" w:space="0" w:color="auto"/>
        <w:bottom w:val="none" w:sz="0" w:space="0" w:color="auto"/>
        <w:right w:val="none" w:sz="0" w:space="0" w:color="auto"/>
      </w:divBdr>
    </w:div>
    <w:div w:id="1994679447">
      <w:bodyDiv w:val="1"/>
      <w:marLeft w:val="0"/>
      <w:marRight w:val="0"/>
      <w:marTop w:val="0"/>
      <w:marBottom w:val="0"/>
      <w:divBdr>
        <w:top w:val="none" w:sz="0" w:space="0" w:color="auto"/>
        <w:left w:val="none" w:sz="0" w:space="0" w:color="auto"/>
        <w:bottom w:val="none" w:sz="0" w:space="0" w:color="auto"/>
        <w:right w:val="none" w:sz="0" w:space="0" w:color="auto"/>
      </w:divBdr>
    </w:div>
    <w:div w:id="2005814708">
      <w:bodyDiv w:val="1"/>
      <w:marLeft w:val="0"/>
      <w:marRight w:val="0"/>
      <w:marTop w:val="0"/>
      <w:marBottom w:val="0"/>
      <w:divBdr>
        <w:top w:val="none" w:sz="0" w:space="0" w:color="auto"/>
        <w:left w:val="none" w:sz="0" w:space="0" w:color="auto"/>
        <w:bottom w:val="none" w:sz="0" w:space="0" w:color="auto"/>
        <w:right w:val="none" w:sz="0" w:space="0" w:color="auto"/>
      </w:divBdr>
    </w:div>
    <w:div w:id="2014338519">
      <w:bodyDiv w:val="1"/>
      <w:marLeft w:val="0"/>
      <w:marRight w:val="0"/>
      <w:marTop w:val="0"/>
      <w:marBottom w:val="0"/>
      <w:divBdr>
        <w:top w:val="none" w:sz="0" w:space="0" w:color="auto"/>
        <w:left w:val="none" w:sz="0" w:space="0" w:color="auto"/>
        <w:bottom w:val="none" w:sz="0" w:space="0" w:color="auto"/>
        <w:right w:val="none" w:sz="0" w:space="0" w:color="auto"/>
      </w:divBdr>
    </w:div>
    <w:div w:id="2023627067">
      <w:bodyDiv w:val="1"/>
      <w:marLeft w:val="0"/>
      <w:marRight w:val="0"/>
      <w:marTop w:val="0"/>
      <w:marBottom w:val="0"/>
      <w:divBdr>
        <w:top w:val="none" w:sz="0" w:space="0" w:color="auto"/>
        <w:left w:val="none" w:sz="0" w:space="0" w:color="auto"/>
        <w:bottom w:val="none" w:sz="0" w:space="0" w:color="auto"/>
        <w:right w:val="none" w:sz="0" w:space="0" w:color="auto"/>
      </w:divBdr>
    </w:div>
    <w:div w:id="2029747178">
      <w:bodyDiv w:val="1"/>
      <w:marLeft w:val="0"/>
      <w:marRight w:val="0"/>
      <w:marTop w:val="0"/>
      <w:marBottom w:val="0"/>
      <w:divBdr>
        <w:top w:val="none" w:sz="0" w:space="0" w:color="auto"/>
        <w:left w:val="none" w:sz="0" w:space="0" w:color="auto"/>
        <w:bottom w:val="none" w:sz="0" w:space="0" w:color="auto"/>
        <w:right w:val="none" w:sz="0" w:space="0" w:color="auto"/>
      </w:divBdr>
    </w:div>
    <w:div w:id="2034763586">
      <w:bodyDiv w:val="1"/>
      <w:marLeft w:val="0"/>
      <w:marRight w:val="0"/>
      <w:marTop w:val="0"/>
      <w:marBottom w:val="0"/>
      <w:divBdr>
        <w:top w:val="none" w:sz="0" w:space="0" w:color="auto"/>
        <w:left w:val="none" w:sz="0" w:space="0" w:color="auto"/>
        <w:bottom w:val="none" w:sz="0" w:space="0" w:color="auto"/>
        <w:right w:val="none" w:sz="0" w:space="0" w:color="auto"/>
      </w:divBdr>
    </w:div>
    <w:div w:id="2038313432">
      <w:bodyDiv w:val="1"/>
      <w:marLeft w:val="0"/>
      <w:marRight w:val="0"/>
      <w:marTop w:val="0"/>
      <w:marBottom w:val="0"/>
      <w:divBdr>
        <w:top w:val="none" w:sz="0" w:space="0" w:color="auto"/>
        <w:left w:val="none" w:sz="0" w:space="0" w:color="auto"/>
        <w:bottom w:val="none" w:sz="0" w:space="0" w:color="auto"/>
        <w:right w:val="none" w:sz="0" w:space="0" w:color="auto"/>
      </w:divBdr>
    </w:div>
    <w:div w:id="2038388775">
      <w:bodyDiv w:val="1"/>
      <w:marLeft w:val="0"/>
      <w:marRight w:val="0"/>
      <w:marTop w:val="0"/>
      <w:marBottom w:val="0"/>
      <w:divBdr>
        <w:top w:val="none" w:sz="0" w:space="0" w:color="auto"/>
        <w:left w:val="none" w:sz="0" w:space="0" w:color="auto"/>
        <w:bottom w:val="none" w:sz="0" w:space="0" w:color="auto"/>
        <w:right w:val="none" w:sz="0" w:space="0" w:color="auto"/>
      </w:divBdr>
    </w:div>
    <w:div w:id="2038461405">
      <w:bodyDiv w:val="1"/>
      <w:marLeft w:val="0"/>
      <w:marRight w:val="0"/>
      <w:marTop w:val="0"/>
      <w:marBottom w:val="0"/>
      <w:divBdr>
        <w:top w:val="none" w:sz="0" w:space="0" w:color="auto"/>
        <w:left w:val="none" w:sz="0" w:space="0" w:color="auto"/>
        <w:bottom w:val="none" w:sz="0" w:space="0" w:color="auto"/>
        <w:right w:val="none" w:sz="0" w:space="0" w:color="auto"/>
      </w:divBdr>
    </w:div>
    <w:div w:id="2048872799">
      <w:bodyDiv w:val="1"/>
      <w:marLeft w:val="0"/>
      <w:marRight w:val="0"/>
      <w:marTop w:val="0"/>
      <w:marBottom w:val="0"/>
      <w:divBdr>
        <w:top w:val="none" w:sz="0" w:space="0" w:color="auto"/>
        <w:left w:val="none" w:sz="0" w:space="0" w:color="auto"/>
        <w:bottom w:val="none" w:sz="0" w:space="0" w:color="auto"/>
        <w:right w:val="none" w:sz="0" w:space="0" w:color="auto"/>
      </w:divBdr>
    </w:div>
    <w:div w:id="2062242154">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78359420">
      <w:bodyDiv w:val="1"/>
      <w:marLeft w:val="0"/>
      <w:marRight w:val="0"/>
      <w:marTop w:val="0"/>
      <w:marBottom w:val="0"/>
      <w:divBdr>
        <w:top w:val="none" w:sz="0" w:space="0" w:color="auto"/>
        <w:left w:val="none" w:sz="0" w:space="0" w:color="auto"/>
        <w:bottom w:val="none" w:sz="0" w:space="0" w:color="auto"/>
        <w:right w:val="none" w:sz="0" w:space="0" w:color="auto"/>
      </w:divBdr>
    </w:div>
    <w:div w:id="2096975501">
      <w:bodyDiv w:val="1"/>
      <w:marLeft w:val="0"/>
      <w:marRight w:val="0"/>
      <w:marTop w:val="0"/>
      <w:marBottom w:val="0"/>
      <w:divBdr>
        <w:top w:val="none" w:sz="0" w:space="0" w:color="auto"/>
        <w:left w:val="none" w:sz="0" w:space="0" w:color="auto"/>
        <w:bottom w:val="none" w:sz="0" w:space="0" w:color="auto"/>
        <w:right w:val="none" w:sz="0" w:space="0" w:color="auto"/>
      </w:divBdr>
    </w:div>
    <w:div w:id="2105028727">
      <w:bodyDiv w:val="1"/>
      <w:marLeft w:val="0"/>
      <w:marRight w:val="0"/>
      <w:marTop w:val="0"/>
      <w:marBottom w:val="0"/>
      <w:divBdr>
        <w:top w:val="none" w:sz="0" w:space="0" w:color="auto"/>
        <w:left w:val="none" w:sz="0" w:space="0" w:color="auto"/>
        <w:bottom w:val="none" w:sz="0" w:space="0" w:color="auto"/>
        <w:right w:val="none" w:sz="0" w:space="0" w:color="auto"/>
      </w:divBdr>
    </w:div>
    <w:div w:id="2114786089">
      <w:bodyDiv w:val="1"/>
      <w:marLeft w:val="0"/>
      <w:marRight w:val="0"/>
      <w:marTop w:val="0"/>
      <w:marBottom w:val="0"/>
      <w:divBdr>
        <w:top w:val="none" w:sz="0" w:space="0" w:color="auto"/>
        <w:left w:val="none" w:sz="0" w:space="0" w:color="auto"/>
        <w:bottom w:val="none" w:sz="0" w:space="0" w:color="auto"/>
        <w:right w:val="none" w:sz="0" w:space="0" w:color="auto"/>
      </w:divBdr>
    </w:div>
    <w:div w:id="2124954126">
      <w:bodyDiv w:val="1"/>
      <w:marLeft w:val="0"/>
      <w:marRight w:val="0"/>
      <w:marTop w:val="0"/>
      <w:marBottom w:val="0"/>
      <w:divBdr>
        <w:top w:val="none" w:sz="0" w:space="0" w:color="auto"/>
        <w:left w:val="none" w:sz="0" w:space="0" w:color="auto"/>
        <w:bottom w:val="none" w:sz="0" w:space="0" w:color="auto"/>
        <w:right w:val="none" w:sz="0" w:space="0" w:color="auto"/>
      </w:divBdr>
    </w:div>
    <w:div w:id="2126656943">
      <w:bodyDiv w:val="1"/>
      <w:marLeft w:val="0"/>
      <w:marRight w:val="0"/>
      <w:marTop w:val="0"/>
      <w:marBottom w:val="0"/>
      <w:divBdr>
        <w:top w:val="none" w:sz="0" w:space="0" w:color="auto"/>
        <w:left w:val="none" w:sz="0" w:space="0" w:color="auto"/>
        <w:bottom w:val="none" w:sz="0" w:space="0" w:color="auto"/>
        <w:right w:val="none" w:sz="0" w:space="0" w:color="auto"/>
      </w:divBdr>
    </w:div>
    <w:div w:id="21414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PBAC%20Current%20-%20March%202025\Toripalimab\Copy%20of%20Attachment%203.1%20-%20Toripalimab%20cost-effectiveness%20model%20FI%20Weibull%20fixed%20no%20half%20cyc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Toripalimab PFS</c:v>
          </c:tx>
          <c:spPr>
            <a:ln w="19050" cap="rnd">
              <a:solidFill>
                <a:schemeClr val="accent1"/>
              </a:solidFill>
              <a:round/>
            </a:ln>
            <a:effectLst/>
          </c:spPr>
          <c:marker>
            <c:symbol val="none"/>
          </c:marker>
          <c:xVal>
            <c:strRef>
              <c:f>Model_Tx!$B$1:$B$425</c:f>
              <c:strCache>
                <c:ptCount val="425"/>
                <c:pt idx="0">
                  <c:v>Time</c:v>
                </c:pt>
                <c:pt idx="1">
                  <c:v>Cycle (months)</c:v>
                </c:pt>
                <c:pt idx="4">
                  <c:v>0.000</c:v>
                </c:pt>
                <c:pt idx="5">
                  <c:v>1.000</c:v>
                </c:pt>
                <c:pt idx="6">
                  <c:v>2.000</c:v>
                </c:pt>
                <c:pt idx="7">
                  <c:v>3.000</c:v>
                </c:pt>
                <c:pt idx="8">
                  <c:v>4.000</c:v>
                </c:pt>
                <c:pt idx="9">
                  <c:v>5.000</c:v>
                </c:pt>
                <c:pt idx="10">
                  <c:v>6.000</c:v>
                </c:pt>
                <c:pt idx="11">
                  <c:v>7.000</c:v>
                </c:pt>
                <c:pt idx="12">
                  <c:v>8.000</c:v>
                </c:pt>
                <c:pt idx="13">
                  <c:v>9.000</c:v>
                </c:pt>
                <c:pt idx="14">
                  <c:v>10.000</c:v>
                </c:pt>
                <c:pt idx="15">
                  <c:v>11.000</c:v>
                </c:pt>
                <c:pt idx="16">
                  <c:v>12.000</c:v>
                </c:pt>
                <c:pt idx="17">
                  <c:v>13.000</c:v>
                </c:pt>
                <c:pt idx="18">
                  <c:v>14.000</c:v>
                </c:pt>
                <c:pt idx="19">
                  <c:v>15.000</c:v>
                </c:pt>
                <c:pt idx="20">
                  <c:v>16.000</c:v>
                </c:pt>
                <c:pt idx="21">
                  <c:v>17.000</c:v>
                </c:pt>
                <c:pt idx="22">
                  <c:v>18.000</c:v>
                </c:pt>
                <c:pt idx="23">
                  <c:v>19.000</c:v>
                </c:pt>
                <c:pt idx="24">
                  <c:v>20.000</c:v>
                </c:pt>
                <c:pt idx="25">
                  <c:v>21.000</c:v>
                </c:pt>
                <c:pt idx="26">
                  <c:v>22.000</c:v>
                </c:pt>
                <c:pt idx="27">
                  <c:v>23.000</c:v>
                </c:pt>
                <c:pt idx="28">
                  <c:v>24.000</c:v>
                </c:pt>
                <c:pt idx="29">
                  <c:v>25.000</c:v>
                </c:pt>
                <c:pt idx="30">
                  <c:v>26.000</c:v>
                </c:pt>
                <c:pt idx="31">
                  <c:v>27.000</c:v>
                </c:pt>
                <c:pt idx="32">
                  <c:v>28.000</c:v>
                </c:pt>
                <c:pt idx="33">
                  <c:v>29.000</c:v>
                </c:pt>
                <c:pt idx="34">
                  <c:v>30.000</c:v>
                </c:pt>
                <c:pt idx="35">
                  <c:v>31.000</c:v>
                </c:pt>
                <c:pt idx="36">
                  <c:v>32.000</c:v>
                </c:pt>
                <c:pt idx="37">
                  <c:v>33.000</c:v>
                </c:pt>
                <c:pt idx="38">
                  <c:v>34.000</c:v>
                </c:pt>
                <c:pt idx="39">
                  <c:v>35.000</c:v>
                </c:pt>
                <c:pt idx="40">
                  <c:v>36.000</c:v>
                </c:pt>
                <c:pt idx="41">
                  <c:v>37.000</c:v>
                </c:pt>
                <c:pt idx="42">
                  <c:v>38.000</c:v>
                </c:pt>
                <c:pt idx="43">
                  <c:v>39.000</c:v>
                </c:pt>
                <c:pt idx="44">
                  <c:v>40.000</c:v>
                </c:pt>
                <c:pt idx="45">
                  <c:v>41.000</c:v>
                </c:pt>
                <c:pt idx="46">
                  <c:v>42.000</c:v>
                </c:pt>
                <c:pt idx="47">
                  <c:v>43.000</c:v>
                </c:pt>
                <c:pt idx="48">
                  <c:v>44.000</c:v>
                </c:pt>
                <c:pt idx="49">
                  <c:v>45.000</c:v>
                </c:pt>
                <c:pt idx="50">
                  <c:v>46.000</c:v>
                </c:pt>
                <c:pt idx="51">
                  <c:v>47.000</c:v>
                </c:pt>
                <c:pt idx="52">
                  <c:v>48.000</c:v>
                </c:pt>
                <c:pt idx="53">
                  <c:v>49.000</c:v>
                </c:pt>
                <c:pt idx="54">
                  <c:v>50.000</c:v>
                </c:pt>
                <c:pt idx="55">
                  <c:v>51.000</c:v>
                </c:pt>
                <c:pt idx="56">
                  <c:v>52.000</c:v>
                </c:pt>
                <c:pt idx="57">
                  <c:v>53.000</c:v>
                </c:pt>
                <c:pt idx="58">
                  <c:v>54.000</c:v>
                </c:pt>
                <c:pt idx="59">
                  <c:v>55.000</c:v>
                </c:pt>
                <c:pt idx="60">
                  <c:v>56.000</c:v>
                </c:pt>
                <c:pt idx="61">
                  <c:v>57.000</c:v>
                </c:pt>
                <c:pt idx="62">
                  <c:v>58.000</c:v>
                </c:pt>
                <c:pt idx="63">
                  <c:v>59.000</c:v>
                </c:pt>
                <c:pt idx="64">
                  <c:v>60.000</c:v>
                </c:pt>
                <c:pt idx="65">
                  <c:v>61.000</c:v>
                </c:pt>
                <c:pt idx="66">
                  <c:v>62.000</c:v>
                </c:pt>
                <c:pt idx="67">
                  <c:v>63.000</c:v>
                </c:pt>
                <c:pt idx="68">
                  <c:v>64.000</c:v>
                </c:pt>
                <c:pt idx="69">
                  <c:v>65.000</c:v>
                </c:pt>
                <c:pt idx="70">
                  <c:v>66.000</c:v>
                </c:pt>
                <c:pt idx="71">
                  <c:v>67.000</c:v>
                </c:pt>
                <c:pt idx="72">
                  <c:v>68.000</c:v>
                </c:pt>
                <c:pt idx="73">
                  <c:v>69.000</c:v>
                </c:pt>
                <c:pt idx="74">
                  <c:v>70.000</c:v>
                </c:pt>
                <c:pt idx="75">
                  <c:v>71.000</c:v>
                </c:pt>
                <c:pt idx="76">
                  <c:v>72.000</c:v>
                </c:pt>
                <c:pt idx="77">
                  <c:v>73.000</c:v>
                </c:pt>
                <c:pt idx="78">
                  <c:v>74.000</c:v>
                </c:pt>
                <c:pt idx="79">
                  <c:v>75.000</c:v>
                </c:pt>
                <c:pt idx="80">
                  <c:v>76.000</c:v>
                </c:pt>
                <c:pt idx="81">
                  <c:v>77.000</c:v>
                </c:pt>
                <c:pt idx="82">
                  <c:v>78.000</c:v>
                </c:pt>
                <c:pt idx="83">
                  <c:v>79.000</c:v>
                </c:pt>
                <c:pt idx="84">
                  <c:v>80.000</c:v>
                </c:pt>
                <c:pt idx="85">
                  <c:v>81.000</c:v>
                </c:pt>
                <c:pt idx="86">
                  <c:v>82.000</c:v>
                </c:pt>
                <c:pt idx="87">
                  <c:v>83.000</c:v>
                </c:pt>
                <c:pt idx="88">
                  <c:v>84.000</c:v>
                </c:pt>
                <c:pt idx="89">
                  <c:v>85.000</c:v>
                </c:pt>
                <c:pt idx="90">
                  <c:v>86.000</c:v>
                </c:pt>
                <c:pt idx="91">
                  <c:v>87.000</c:v>
                </c:pt>
                <c:pt idx="92">
                  <c:v>88.000</c:v>
                </c:pt>
                <c:pt idx="93">
                  <c:v>89.000</c:v>
                </c:pt>
                <c:pt idx="94">
                  <c:v>90.000</c:v>
                </c:pt>
                <c:pt idx="95">
                  <c:v>91.000</c:v>
                </c:pt>
                <c:pt idx="96">
                  <c:v>92.000</c:v>
                </c:pt>
                <c:pt idx="97">
                  <c:v>93.000</c:v>
                </c:pt>
                <c:pt idx="98">
                  <c:v>94.000</c:v>
                </c:pt>
                <c:pt idx="99">
                  <c:v>95.000</c:v>
                </c:pt>
                <c:pt idx="100">
                  <c:v>96.000</c:v>
                </c:pt>
                <c:pt idx="101">
                  <c:v>97.000</c:v>
                </c:pt>
                <c:pt idx="102">
                  <c:v>98.000</c:v>
                </c:pt>
                <c:pt idx="103">
                  <c:v>99.000</c:v>
                </c:pt>
                <c:pt idx="104">
                  <c:v>100.000</c:v>
                </c:pt>
                <c:pt idx="105">
                  <c:v>101.000</c:v>
                </c:pt>
                <c:pt idx="106">
                  <c:v>102.000</c:v>
                </c:pt>
                <c:pt idx="107">
                  <c:v>103.000</c:v>
                </c:pt>
                <c:pt idx="108">
                  <c:v>104.000</c:v>
                </c:pt>
                <c:pt idx="109">
                  <c:v>105.000</c:v>
                </c:pt>
                <c:pt idx="110">
                  <c:v>106.000</c:v>
                </c:pt>
                <c:pt idx="111">
                  <c:v>107.000</c:v>
                </c:pt>
                <c:pt idx="112">
                  <c:v>108.000</c:v>
                </c:pt>
                <c:pt idx="113">
                  <c:v>109.000</c:v>
                </c:pt>
                <c:pt idx="114">
                  <c:v>110.000</c:v>
                </c:pt>
                <c:pt idx="115">
                  <c:v>111.000</c:v>
                </c:pt>
                <c:pt idx="116">
                  <c:v>112.000</c:v>
                </c:pt>
                <c:pt idx="117">
                  <c:v>113.000</c:v>
                </c:pt>
                <c:pt idx="118">
                  <c:v>114.000</c:v>
                </c:pt>
                <c:pt idx="119">
                  <c:v>115.000</c:v>
                </c:pt>
                <c:pt idx="120">
                  <c:v>116.000</c:v>
                </c:pt>
                <c:pt idx="121">
                  <c:v>117.000</c:v>
                </c:pt>
                <c:pt idx="122">
                  <c:v>118.000</c:v>
                </c:pt>
                <c:pt idx="123">
                  <c:v>119.000</c:v>
                </c:pt>
                <c:pt idx="124">
                  <c:v>120.000</c:v>
                </c:pt>
                <c:pt idx="125">
                  <c:v>121.000</c:v>
                </c:pt>
                <c:pt idx="126">
                  <c:v>122.000</c:v>
                </c:pt>
                <c:pt idx="127">
                  <c:v>123.000</c:v>
                </c:pt>
                <c:pt idx="128">
                  <c:v>124.000</c:v>
                </c:pt>
                <c:pt idx="129">
                  <c:v>125.000</c:v>
                </c:pt>
                <c:pt idx="130">
                  <c:v>126.000</c:v>
                </c:pt>
                <c:pt idx="131">
                  <c:v>127.000</c:v>
                </c:pt>
                <c:pt idx="132">
                  <c:v>128.000</c:v>
                </c:pt>
                <c:pt idx="133">
                  <c:v>129.000</c:v>
                </c:pt>
                <c:pt idx="134">
                  <c:v>130.000</c:v>
                </c:pt>
                <c:pt idx="135">
                  <c:v>131.000</c:v>
                </c:pt>
                <c:pt idx="136">
                  <c:v>132.000</c:v>
                </c:pt>
                <c:pt idx="137">
                  <c:v>133.000</c:v>
                </c:pt>
                <c:pt idx="138">
                  <c:v>134.000</c:v>
                </c:pt>
                <c:pt idx="139">
                  <c:v>135.000</c:v>
                </c:pt>
                <c:pt idx="140">
                  <c:v>136.000</c:v>
                </c:pt>
                <c:pt idx="141">
                  <c:v>137.000</c:v>
                </c:pt>
                <c:pt idx="142">
                  <c:v>138.000</c:v>
                </c:pt>
                <c:pt idx="143">
                  <c:v>139.000</c:v>
                </c:pt>
                <c:pt idx="144">
                  <c:v>140.000</c:v>
                </c:pt>
                <c:pt idx="145">
                  <c:v>141.000</c:v>
                </c:pt>
                <c:pt idx="146">
                  <c:v>142.000</c:v>
                </c:pt>
                <c:pt idx="147">
                  <c:v>143.000</c:v>
                </c:pt>
                <c:pt idx="148">
                  <c:v>144.000</c:v>
                </c:pt>
                <c:pt idx="149">
                  <c:v>145.000</c:v>
                </c:pt>
                <c:pt idx="150">
                  <c:v>146.000</c:v>
                </c:pt>
                <c:pt idx="151">
                  <c:v>147.000</c:v>
                </c:pt>
                <c:pt idx="152">
                  <c:v>148.000</c:v>
                </c:pt>
                <c:pt idx="153">
                  <c:v>149.000</c:v>
                </c:pt>
                <c:pt idx="154">
                  <c:v>150.000</c:v>
                </c:pt>
                <c:pt idx="155">
                  <c:v>151.000</c:v>
                </c:pt>
                <c:pt idx="156">
                  <c:v>152.000</c:v>
                </c:pt>
                <c:pt idx="157">
                  <c:v>153.000</c:v>
                </c:pt>
                <c:pt idx="158">
                  <c:v>154.000</c:v>
                </c:pt>
                <c:pt idx="159">
                  <c:v>155.000</c:v>
                </c:pt>
                <c:pt idx="160">
                  <c:v>156.000</c:v>
                </c:pt>
                <c:pt idx="161">
                  <c:v>157.000</c:v>
                </c:pt>
                <c:pt idx="162">
                  <c:v>158.000</c:v>
                </c:pt>
                <c:pt idx="163">
                  <c:v>159.000</c:v>
                </c:pt>
                <c:pt idx="164">
                  <c:v>160.000</c:v>
                </c:pt>
                <c:pt idx="165">
                  <c:v>161.000</c:v>
                </c:pt>
                <c:pt idx="166">
                  <c:v>162.000</c:v>
                </c:pt>
                <c:pt idx="167">
                  <c:v>163.000</c:v>
                </c:pt>
                <c:pt idx="168">
                  <c:v>164.000</c:v>
                </c:pt>
                <c:pt idx="169">
                  <c:v>165.000</c:v>
                </c:pt>
                <c:pt idx="170">
                  <c:v>166.000</c:v>
                </c:pt>
                <c:pt idx="171">
                  <c:v>167.000</c:v>
                </c:pt>
                <c:pt idx="172">
                  <c:v>168.000</c:v>
                </c:pt>
                <c:pt idx="173">
                  <c:v>169.000</c:v>
                </c:pt>
                <c:pt idx="174">
                  <c:v>170.000</c:v>
                </c:pt>
                <c:pt idx="175">
                  <c:v>171.000</c:v>
                </c:pt>
                <c:pt idx="176">
                  <c:v>172.000</c:v>
                </c:pt>
                <c:pt idx="177">
                  <c:v>173.000</c:v>
                </c:pt>
                <c:pt idx="178">
                  <c:v>174.000</c:v>
                </c:pt>
                <c:pt idx="179">
                  <c:v>175.000</c:v>
                </c:pt>
                <c:pt idx="180">
                  <c:v>176.000</c:v>
                </c:pt>
                <c:pt idx="181">
                  <c:v>177.000</c:v>
                </c:pt>
                <c:pt idx="182">
                  <c:v>178.000</c:v>
                </c:pt>
                <c:pt idx="183">
                  <c:v>179.000</c:v>
                </c:pt>
                <c:pt idx="184">
                  <c:v>180.000</c:v>
                </c:pt>
                <c:pt idx="185">
                  <c:v>181.000</c:v>
                </c:pt>
                <c:pt idx="186">
                  <c:v>182.000</c:v>
                </c:pt>
                <c:pt idx="187">
                  <c:v>183.000</c:v>
                </c:pt>
                <c:pt idx="188">
                  <c:v>184.000</c:v>
                </c:pt>
                <c:pt idx="189">
                  <c:v>185.000</c:v>
                </c:pt>
                <c:pt idx="190">
                  <c:v>186.000</c:v>
                </c:pt>
                <c:pt idx="191">
                  <c:v>187.000</c:v>
                </c:pt>
                <c:pt idx="192">
                  <c:v>188.000</c:v>
                </c:pt>
                <c:pt idx="193">
                  <c:v>189.000</c:v>
                </c:pt>
                <c:pt idx="194">
                  <c:v>190.000</c:v>
                </c:pt>
                <c:pt idx="195">
                  <c:v>191.000</c:v>
                </c:pt>
                <c:pt idx="196">
                  <c:v>192.000</c:v>
                </c:pt>
                <c:pt idx="197">
                  <c:v>193.000</c:v>
                </c:pt>
                <c:pt idx="198">
                  <c:v>194.000</c:v>
                </c:pt>
                <c:pt idx="199">
                  <c:v>195.000</c:v>
                </c:pt>
                <c:pt idx="200">
                  <c:v>196.000</c:v>
                </c:pt>
                <c:pt idx="201">
                  <c:v>197.000</c:v>
                </c:pt>
                <c:pt idx="202">
                  <c:v>198.000</c:v>
                </c:pt>
                <c:pt idx="203">
                  <c:v>199.000</c:v>
                </c:pt>
                <c:pt idx="204">
                  <c:v>200.000</c:v>
                </c:pt>
                <c:pt idx="205">
                  <c:v>201.000</c:v>
                </c:pt>
                <c:pt idx="206">
                  <c:v>202.000</c:v>
                </c:pt>
                <c:pt idx="207">
                  <c:v>203.000</c:v>
                </c:pt>
                <c:pt idx="208">
                  <c:v>204.000</c:v>
                </c:pt>
                <c:pt idx="209">
                  <c:v>205.000</c:v>
                </c:pt>
                <c:pt idx="210">
                  <c:v>206.000</c:v>
                </c:pt>
                <c:pt idx="211">
                  <c:v>207.000</c:v>
                </c:pt>
                <c:pt idx="212">
                  <c:v>208.000</c:v>
                </c:pt>
                <c:pt idx="213">
                  <c:v>209.000</c:v>
                </c:pt>
                <c:pt idx="214">
                  <c:v>210.000</c:v>
                </c:pt>
                <c:pt idx="215">
                  <c:v>211.000</c:v>
                </c:pt>
                <c:pt idx="216">
                  <c:v>212.000</c:v>
                </c:pt>
                <c:pt idx="217">
                  <c:v>213.000</c:v>
                </c:pt>
                <c:pt idx="218">
                  <c:v>214.000</c:v>
                </c:pt>
                <c:pt idx="219">
                  <c:v>215.000</c:v>
                </c:pt>
                <c:pt idx="220">
                  <c:v>216.000</c:v>
                </c:pt>
                <c:pt idx="221">
                  <c:v>217.000</c:v>
                </c:pt>
                <c:pt idx="222">
                  <c:v>218.000</c:v>
                </c:pt>
                <c:pt idx="223">
                  <c:v>219.000</c:v>
                </c:pt>
                <c:pt idx="224">
                  <c:v>220.000</c:v>
                </c:pt>
                <c:pt idx="225">
                  <c:v>221.000</c:v>
                </c:pt>
                <c:pt idx="226">
                  <c:v>222.000</c:v>
                </c:pt>
                <c:pt idx="227">
                  <c:v>223.000</c:v>
                </c:pt>
                <c:pt idx="228">
                  <c:v>224.000</c:v>
                </c:pt>
                <c:pt idx="229">
                  <c:v>225.000</c:v>
                </c:pt>
                <c:pt idx="230">
                  <c:v>226.000</c:v>
                </c:pt>
                <c:pt idx="231">
                  <c:v>227.000</c:v>
                </c:pt>
                <c:pt idx="232">
                  <c:v>228.000</c:v>
                </c:pt>
                <c:pt idx="233">
                  <c:v>229.000</c:v>
                </c:pt>
                <c:pt idx="234">
                  <c:v>230.000</c:v>
                </c:pt>
                <c:pt idx="235">
                  <c:v>231.000</c:v>
                </c:pt>
                <c:pt idx="236">
                  <c:v>232.000</c:v>
                </c:pt>
                <c:pt idx="237">
                  <c:v>233.000</c:v>
                </c:pt>
                <c:pt idx="238">
                  <c:v>234.000</c:v>
                </c:pt>
                <c:pt idx="239">
                  <c:v>235.000</c:v>
                </c:pt>
                <c:pt idx="240">
                  <c:v>236.000</c:v>
                </c:pt>
                <c:pt idx="241">
                  <c:v>237.000</c:v>
                </c:pt>
                <c:pt idx="242">
                  <c:v>238.000</c:v>
                </c:pt>
                <c:pt idx="243">
                  <c:v>239.000</c:v>
                </c:pt>
                <c:pt idx="244">
                  <c:v>240.000</c:v>
                </c:pt>
                <c:pt idx="245">
                  <c:v>241.000</c:v>
                </c:pt>
                <c:pt idx="246">
                  <c:v>242.000</c:v>
                </c:pt>
                <c:pt idx="247">
                  <c:v>243.000</c:v>
                </c:pt>
                <c:pt idx="248">
                  <c:v>244.000</c:v>
                </c:pt>
                <c:pt idx="249">
                  <c:v>245.000</c:v>
                </c:pt>
                <c:pt idx="250">
                  <c:v>246.000</c:v>
                </c:pt>
                <c:pt idx="251">
                  <c:v>247.000</c:v>
                </c:pt>
                <c:pt idx="252">
                  <c:v>248.000</c:v>
                </c:pt>
                <c:pt idx="253">
                  <c:v>249.000</c:v>
                </c:pt>
                <c:pt idx="254">
                  <c:v>250.000</c:v>
                </c:pt>
                <c:pt idx="255">
                  <c:v>251.000</c:v>
                </c:pt>
                <c:pt idx="256">
                  <c:v>252.000</c:v>
                </c:pt>
                <c:pt idx="257">
                  <c:v>253.000</c:v>
                </c:pt>
                <c:pt idx="258">
                  <c:v>254.000</c:v>
                </c:pt>
                <c:pt idx="259">
                  <c:v>255.000</c:v>
                </c:pt>
                <c:pt idx="260">
                  <c:v>256.000</c:v>
                </c:pt>
                <c:pt idx="261">
                  <c:v>257.000</c:v>
                </c:pt>
                <c:pt idx="262">
                  <c:v>258.000</c:v>
                </c:pt>
                <c:pt idx="263">
                  <c:v>259.000</c:v>
                </c:pt>
                <c:pt idx="264">
                  <c:v>260.000</c:v>
                </c:pt>
                <c:pt idx="265">
                  <c:v>261.000</c:v>
                </c:pt>
                <c:pt idx="266">
                  <c:v>262.000</c:v>
                </c:pt>
                <c:pt idx="267">
                  <c:v>263.000</c:v>
                </c:pt>
                <c:pt idx="268">
                  <c:v>264.000</c:v>
                </c:pt>
                <c:pt idx="269">
                  <c:v>265.000</c:v>
                </c:pt>
                <c:pt idx="270">
                  <c:v>266.000</c:v>
                </c:pt>
                <c:pt idx="271">
                  <c:v>267.000</c:v>
                </c:pt>
                <c:pt idx="272">
                  <c:v>268.000</c:v>
                </c:pt>
                <c:pt idx="273">
                  <c:v>269.000</c:v>
                </c:pt>
                <c:pt idx="274">
                  <c:v>270.000</c:v>
                </c:pt>
                <c:pt idx="275">
                  <c:v>271.000</c:v>
                </c:pt>
                <c:pt idx="276">
                  <c:v>272.000</c:v>
                </c:pt>
                <c:pt idx="277">
                  <c:v>273.000</c:v>
                </c:pt>
                <c:pt idx="278">
                  <c:v>274.000</c:v>
                </c:pt>
                <c:pt idx="279">
                  <c:v>275.000</c:v>
                </c:pt>
                <c:pt idx="280">
                  <c:v>276.000</c:v>
                </c:pt>
                <c:pt idx="281">
                  <c:v>277.000</c:v>
                </c:pt>
                <c:pt idx="282">
                  <c:v>278.000</c:v>
                </c:pt>
                <c:pt idx="283">
                  <c:v>279.000</c:v>
                </c:pt>
                <c:pt idx="284">
                  <c:v>280.000</c:v>
                </c:pt>
                <c:pt idx="285">
                  <c:v>281.000</c:v>
                </c:pt>
                <c:pt idx="286">
                  <c:v>282.000</c:v>
                </c:pt>
                <c:pt idx="287">
                  <c:v>283.000</c:v>
                </c:pt>
                <c:pt idx="288">
                  <c:v>284.000</c:v>
                </c:pt>
                <c:pt idx="289">
                  <c:v>285.000</c:v>
                </c:pt>
                <c:pt idx="290">
                  <c:v>286.000</c:v>
                </c:pt>
                <c:pt idx="291">
                  <c:v>287.000</c:v>
                </c:pt>
                <c:pt idx="292">
                  <c:v>288.000</c:v>
                </c:pt>
                <c:pt idx="293">
                  <c:v>289.000</c:v>
                </c:pt>
                <c:pt idx="294">
                  <c:v>290.000</c:v>
                </c:pt>
                <c:pt idx="295">
                  <c:v>291.000</c:v>
                </c:pt>
                <c:pt idx="296">
                  <c:v>292.000</c:v>
                </c:pt>
                <c:pt idx="297">
                  <c:v>293.000</c:v>
                </c:pt>
                <c:pt idx="298">
                  <c:v>294.000</c:v>
                </c:pt>
                <c:pt idx="299">
                  <c:v>295.000</c:v>
                </c:pt>
                <c:pt idx="300">
                  <c:v>296.000</c:v>
                </c:pt>
                <c:pt idx="301">
                  <c:v>297.000</c:v>
                </c:pt>
                <c:pt idx="302">
                  <c:v>298.000</c:v>
                </c:pt>
                <c:pt idx="303">
                  <c:v>299.000</c:v>
                </c:pt>
                <c:pt idx="304">
                  <c:v>300.000</c:v>
                </c:pt>
                <c:pt idx="305">
                  <c:v>301.000</c:v>
                </c:pt>
                <c:pt idx="306">
                  <c:v>302.000</c:v>
                </c:pt>
                <c:pt idx="307">
                  <c:v>303.000</c:v>
                </c:pt>
                <c:pt idx="308">
                  <c:v>304.000</c:v>
                </c:pt>
                <c:pt idx="309">
                  <c:v>305.000</c:v>
                </c:pt>
                <c:pt idx="310">
                  <c:v>306.000</c:v>
                </c:pt>
                <c:pt idx="311">
                  <c:v>307.000</c:v>
                </c:pt>
                <c:pt idx="312">
                  <c:v>308.000</c:v>
                </c:pt>
                <c:pt idx="313">
                  <c:v>309.000</c:v>
                </c:pt>
                <c:pt idx="314">
                  <c:v>310.000</c:v>
                </c:pt>
                <c:pt idx="315">
                  <c:v>311.000</c:v>
                </c:pt>
                <c:pt idx="316">
                  <c:v>312.000</c:v>
                </c:pt>
                <c:pt idx="317">
                  <c:v>313.000</c:v>
                </c:pt>
                <c:pt idx="318">
                  <c:v>314.000</c:v>
                </c:pt>
                <c:pt idx="319">
                  <c:v>315.000</c:v>
                </c:pt>
                <c:pt idx="320">
                  <c:v>316.000</c:v>
                </c:pt>
                <c:pt idx="321">
                  <c:v>317.000</c:v>
                </c:pt>
                <c:pt idx="322">
                  <c:v>318.000</c:v>
                </c:pt>
                <c:pt idx="323">
                  <c:v>319.000</c:v>
                </c:pt>
                <c:pt idx="324">
                  <c:v>320.000</c:v>
                </c:pt>
                <c:pt idx="325">
                  <c:v>321.000</c:v>
                </c:pt>
                <c:pt idx="326">
                  <c:v>322.000</c:v>
                </c:pt>
                <c:pt idx="327">
                  <c:v>323.000</c:v>
                </c:pt>
                <c:pt idx="328">
                  <c:v>324.000</c:v>
                </c:pt>
                <c:pt idx="329">
                  <c:v>325.000</c:v>
                </c:pt>
                <c:pt idx="330">
                  <c:v>326.000</c:v>
                </c:pt>
                <c:pt idx="331">
                  <c:v>327.000</c:v>
                </c:pt>
                <c:pt idx="332">
                  <c:v>328.000</c:v>
                </c:pt>
                <c:pt idx="333">
                  <c:v>329.000</c:v>
                </c:pt>
                <c:pt idx="334">
                  <c:v>330.000</c:v>
                </c:pt>
                <c:pt idx="335">
                  <c:v>331.000</c:v>
                </c:pt>
                <c:pt idx="336">
                  <c:v>332.000</c:v>
                </c:pt>
                <c:pt idx="337">
                  <c:v>333.000</c:v>
                </c:pt>
                <c:pt idx="338">
                  <c:v>334.000</c:v>
                </c:pt>
                <c:pt idx="339">
                  <c:v>335.000</c:v>
                </c:pt>
                <c:pt idx="340">
                  <c:v>336.000</c:v>
                </c:pt>
                <c:pt idx="341">
                  <c:v>337.000</c:v>
                </c:pt>
                <c:pt idx="342">
                  <c:v>338.000</c:v>
                </c:pt>
                <c:pt idx="343">
                  <c:v>339.000</c:v>
                </c:pt>
                <c:pt idx="344">
                  <c:v>340.000</c:v>
                </c:pt>
                <c:pt idx="345">
                  <c:v>341.000</c:v>
                </c:pt>
                <c:pt idx="346">
                  <c:v>342.000</c:v>
                </c:pt>
                <c:pt idx="347">
                  <c:v>343.000</c:v>
                </c:pt>
                <c:pt idx="348">
                  <c:v>344.000</c:v>
                </c:pt>
                <c:pt idx="349">
                  <c:v>345.000</c:v>
                </c:pt>
                <c:pt idx="350">
                  <c:v>346.000</c:v>
                </c:pt>
                <c:pt idx="351">
                  <c:v>347.000</c:v>
                </c:pt>
                <c:pt idx="352">
                  <c:v>348.000</c:v>
                </c:pt>
                <c:pt idx="353">
                  <c:v>349.000</c:v>
                </c:pt>
                <c:pt idx="354">
                  <c:v>350.000</c:v>
                </c:pt>
                <c:pt idx="355">
                  <c:v>351.000</c:v>
                </c:pt>
                <c:pt idx="356">
                  <c:v>352.000</c:v>
                </c:pt>
                <c:pt idx="357">
                  <c:v>353.000</c:v>
                </c:pt>
                <c:pt idx="358">
                  <c:v>354.000</c:v>
                </c:pt>
                <c:pt idx="359">
                  <c:v>355.000</c:v>
                </c:pt>
                <c:pt idx="360">
                  <c:v>356.000</c:v>
                </c:pt>
                <c:pt idx="361">
                  <c:v>357.000</c:v>
                </c:pt>
                <c:pt idx="362">
                  <c:v>358.000</c:v>
                </c:pt>
                <c:pt idx="363">
                  <c:v>359.000</c:v>
                </c:pt>
                <c:pt idx="364">
                  <c:v>360.000</c:v>
                </c:pt>
                <c:pt idx="365">
                  <c:v>361.000</c:v>
                </c:pt>
                <c:pt idx="366">
                  <c:v>362.000</c:v>
                </c:pt>
                <c:pt idx="367">
                  <c:v>363.000</c:v>
                </c:pt>
                <c:pt idx="368">
                  <c:v>364.000</c:v>
                </c:pt>
                <c:pt idx="369">
                  <c:v>365.000</c:v>
                </c:pt>
                <c:pt idx="370">
                  <c:v>366.000</c:v>
                </c:pt>
                <c:pt idx="371">
                  <c:v>367.000</c:v>
                </c:pt>
                <c:pt idx="372">
                  <c:v>368.000</c:v>
                </c:pt>
                <c:pt idx="373">
                  <c:v>369.000</c:v>
                </c:pt>
                <c:pt idx="374">
                  <c:v>370.000</c:v>
                </c:pt>
                <c:pt idx="375">
                  <c:v>371.000</c:v>
                </c:pt>
                <c:pt idx="376">
                  <c:v>372.000</c:v>
                </c:pt>
                <c:pt idx="377">
                  <c:v>373.000</c:v>
                </c:pt>
                <c:pt idx="378">
                  <c:v>374.000</c:v>
                </c:pt>
                <c:pt idx="379">
                  <c:v>375.000</c:v>
                </c:pt>
                <c:pt idx="380">
                  <c:v>376.000</c:v>
                </c:pt>
                <c:pt idx="381">
                  <c:v>377.000</c:v>
                </c:pt>
                <c:pt idx="382">
                  <c:v>378.000</c:v>
                </c:pt>
                <c:pt idx="383">
                  <c:v>379.000</c:v>
                </c:pt>
                <c:pt idx="384">
                  <c:v>380.000</c:v>
                </c:pt>
                <c:pt idx="385">
                  <c:v>381.000</c:v>
                </c:pt>
                <c:pt idx="386">
                  <c:v>382.000</c:v>
                </c:pt>
                <c:pt idx="387">
                  <c:v>383.000</c:v>
                </c:pt>
                <c:pt idx="388">
                  <c:v>384.000</c:v>
                </c:pt>
                <c:pt idx="389">
                  <c:v>385.000</c:v>
                </c:pt>
                <c:pt idx="390">
                  <c:v>386.000</c:v>
                </c:pt>
                <c:pt idx="391">
                  <c:v>387.000</c:v>
                </c:pt>
                <c:pt idx="392">
                  <c:v>388.000</c:v>
                </c:pt>
                <c:pt idx="393">
                  <c:v>389.000</c:v>
                </c:pt>
                <c:pt idx="394">
                  <c:v>390.000</c:v>
                </c:pt>
                <c:pt idx="395">
                  <c:v>391.000</c:v>
                </c:pt>
                <c:pt idx="396">
                  <c:v>392.000</c:v>
                </c:pt>
                <c:pt idx="397">
                  <c:v>393.000</c:v>
                </c:pt>
                <c:pt idx="398">
                  <c:v>394.000</c:v>
                </c:pt>
                <c:pt idx="399">
                  <c:v>395.000</c:v>
                </c:pt>
                <c:pt idx="400">
                  <c:v>396.000</c:v>
                </c:pt>
                <c:pt idx="401">
                  <c:v>397.000</c:v>
                </c:pt>
                <c:pt idx="402">
                  <c:v>398.000</c:v>
                </c:pt>
                <c:pt idx="403">
                  <c:v>399.000</c:v>
                </c:pt>
                <c:pt idx="404">
                  <c:v>400.000</c:v>
                </c:pt>
                <c:pt idx="405">
                  <c:v>401.000</c:v>
                </c:pt>
                <c:pt idx="406">
                  <c:v>402.000</c:v>
                </c:pt>
                <c:pt idx="407">
                  <c:v>403.000</c:v>
                </c:pt>
                <c:pt idx="408">
                  <c:v>404.000</c:v>
                </c:pt>
                <c:pt idx="409">
                  <c:v>405.000</c:v>
                </c:pt>
                <c:pt idx="410">
                  <c:v>406.000</c:v>
                </c:pt>
                <c:pt idx="411">
                  <c:v>407.000</c:v>
                </c:pt>
                <c:pt idx="412">
                  <c:v>408.000</c:v>
                </c:pt>
                <c:pt idx="413">
                  <c:v>409.000</c:v>
                </c:pt>
                <c:pt idx="414">
                  <c:v>410.000</c:v>
                </c:pt>
                <c:pt idx="415">
                  <c:v>411.000</c:v>
                </c:pt>
                <c:pt idx="416">
                  <c:v>412.000</c:v>
                </c:pt>
                <c:pt idx="417">
                  <c:v>413.000</c:v>
                </c:pt>
                <c:pt idx="418">
                  <c:v>414.000</c:v>
                </c:pt>
                <c:pt idx="419">
                  <c:v>415.000</c:v>
                </c:pt>
                <c:pt idx="420">
                  <c:v>416.000</c:v>
                </c:pt>
                <c:pt idx="421">
                  <c:v>417.000</c:v>
                </c:pt>
                <c:pt idx="422">
                  <c:v>418.000</c:v>
                </c:pt>
                <c:pt idx="423">
                  <c:v>419.000</c:v>
                </c:pt>
                <c:pt idx="424">
                  <c:v>420.000</c:v>
                </c:pt>
              </c:strCache>
            </c:strRef>
          </c:xVal>
          <c:yVal>
            <c:numRef>
              <c:f>Model_Tx!$J$1:$J$425</c:f>
              <c:numCache>
                <c:formatCode>General</c:formatCode>
                <c:ptCount val="425"/>
                <c:pt idx="1">
                  <c:v>0</c:v>
                </c:pt>
                <c:pt idx="4" formatCode="0.000">
                  <c:v>1</c:v>
                </c:pt>
                <c:pt idx="5" formatCode="0.000">
                  <c:v>0.99300699300699002</c:v>
                </c:pt>
                <c:pt idx="6" formatCode="0.000">
                  <c:v>0.95710259889364002</c:v>
                </c:pt>
                <c:pt idx="7" formatCode="0.000">
                  <c:v>0.94231775980513</c:v>
                </c:pt>
                <c:pt idx="8" formatCode="0.000">
                  <c:v>0.92699551980828998</c:v>
                </c:pt>
                <c:pt idx="9" formatCode="0.000">
                  <c:v>0.88069798519728004</c:v>
                </c:pt>
                <c:pt idx="10" formatCode="0.000">
                  <c:v>0.80176467938113005</c:v>
                </c:pt>
                <c:pt idx="11" formatCode="0.000">
                  <c:v>0.76969409220589002</c:v>
                </c:pt>
                <c:pt idx="12" formatCode="0.000">
                  <c:v>0.73762350503064</c:v>
                </c:pt>
                <c:pt idx="13" formatCode="0.000">
                  <c:v>0.68816270411192004</c:v>
                </c:pt>
                <c:pt idx="14" formatCode="0.000">
                  <c:v>0.65426603391093996</c:v>
                </c:pt>
                <c:pt idx="15" formatCode="0.000">
                  <c:v>0.64542460102026</c:v>
                </c:pt>
                <c:pt idx="16" formatCode="0.000">
                  <c:v>0.59010249236138002</c:v>
                </c:pt>
                <c:pt idx="17" formatCode="0.000">
                  <c:v>0.59010249236138002</c:v>
                </c:pt>
                <c:pt idx="18" formatCode="0.000">
                  <c:v>0.56200237367749994</c:v>
                </c:pt>
                <c:pt idx="19" formatCode="0.000">
                  <c:v>0.55231267757961</c:v>
                </c:pt>
                <c:pt idx="20" formatCode="0.000">
                  <c:v>0.54244995119425998</c:v>
                </c:pt>
                <c:pt idx="21" formatCode="0.000">
                  <c:v>0.54244995119425998</c:v>
                </c:pt>
                <c:pt idx="22" formatCode="0.000">
                  <c:v>0.53181367764144005</c:v>
                </c:pt>
                <c:pt idx="23" formatCode="0.000">
                  <c:v>0.53181367764144005</c:v>
                </c:pt>
                <c:pt idx="24" formatCode="0.000">
                  <c:v>0.5132449777021223</c:v>
                </c:pt>
                <c:pt idx="25" formatCode="0.000">
                  <c:v>0.4956347218809648</c:v>
                </c:pt>
                <c:pt idx="26" formatCode="0.000">
                  <c:v>0.47891832450823701</c:v>
                </c:pt>
                <c:pt idx="27" formatCode="0.000">
                  <c:v>0.46303621694899966</c:v>
                </c:pt>
                <c:pt idx="28" formatCode="0.000">
                  <c:v>0.44793348610221473</c:v>
                </c:pt>
                <c:pt idx="29" formatCode="0.000">
                  <c:v>0.43355951395193082</c:v>
                </c:pt>
                <c:pt idx="30" formatCode="0.000">
                  <c:v>0.41986762966687857</c:v>
                </c:pt>
                <c:pt idx="31" formatCode="0.000">
                  <c:v>0.40681478065804133</c:v>
                </c:pt>
                <c:pt idx="32" formatCode="0.000">
                  <c:v>0.39436122577519733</c:v>
                </c:pt>
                <c:pt idx="33" formatCode="0.000">
                  <c:v>0.38247025179485478</c:v>
                </c:pt>
                <c:pt idx="34" formatCode="0.000">
                  <c:v>0.37110791310124119</c:v>
                </c:pt>
                <c:pt idx="35" formatCode="0.000">
                  <c:v>0.36024279371597773</c:v>
                </c:pt>
                <c:pt idx="36" formatCode="0.000">
                  <c:v>0.34984579041283453</c:v>
                </c:pt>
                <c:pt idx="37" formatCode="0.000">
                  <c:v>0.3398899154449706</c:v>
                </c:pt>
                <c:pt idx="38" formatCode="0.000">
                  <c:v>0.33035011733670644</c:v>
                </c:pt>
                <c:pt idx="39" formatCode="0.000">
                  <c:v>0.32120311819970904</c:v>
                </c:pt>
                <c:pt idx="40" formatCode="0.000">
                  <c:v>0.31242726609131838</c:v>
                </c:pt>
                <c:pt idx="41" formatCode="0.000">
                  <c:v>0.30400240101888015</c:v>
                </c:pt>
                <c:pt idx="42" formatCode="0.000">
                  <c:v>0.29590973329421932</c:v>
                </c:pt>
                <c:pt idx="43" formatCode="0.000">
                  <c:v>0.28813173304777795</c:v>
                </c:pt>
                <c:pt idx="44" formatCode="0.000">
                  <c:v>0.28065202981672194</c:v>
                </c:pt>
                <c:pt idx="45" formatCode="0.000">
                  <c:v>0.27345532122208854</c:v>
                </c:pt>
                <c:pt idx="46" formatCode="0.000">
                  <c:v>0.26652728984483798</c:v>
                </c:pt>
                <c:pt idx="47" formatCode="0.000">
                  <c:v>0.25985452749849514</c:v>
                </c:pt>
                <c:pt idx="48" formatCode="0.000">
                  <c:v>0.25342446617659414</c:v>
                </c:pt>
                <c:pt idx="49" formatCode="0.000">
                  <c:v>0.24722531502638084</c:v>
                </c:pt>
                <c:pt idx="50" formatCode="0.000">
                  <c:v>0.2412460027664986</c:v>
                </c:pt>
                <c:pt idx="51" formatCode="0.000">
                  <c:v>0.23547612502607526</c:v>
                </c:pt>
                <c:pt idx="52" formatCode="0.000">
                  <c:v>0.22990589613626372</c:v>
                </c:pt>
                <c:pt idx="53" formatCode="0.000">
                  <c:v>0.2245261049533471</c:v>
                </c:pt>
                <c:pt idx="54" formatCode="0.000">
                  <c:v>0.21932807433554474</c:v>
                </c:pt>
                <c:pt idx="55" formatCode="0.000">
                  <c:v>0.21430362393411845</c:v>
                </c:pt>
                <c:pt idx="56" formatCode="0.000">
                  <c:v>0.20944503599375119</c:v>
                </c:pt>
                <c:pt idx="57" formatCode="0.000">
                  <c:v>0.20474502388787752</c:v>
                </c:pt>
                <c:pt idx="58" formatCode="0.000">
                  <c:v>0.20019670314207461</c:v>
                </c:pt>
                <c:pt idx="59" formatCode="0.000">
                  <c:v>0.19579356472313342</c:v>
                </c:pt>
                <c:pt idx="60" formatCode="0.000">
                  <c:v>0.19152945039333813</c:v>
                </c:pt>
                <c:pt idx="61" formatCode="0.000">
                  <c:v>0.1873985299490597</c:v>
                </c:pt>
                <c:pt idx="62" formatCode="0.000">
                  <c:v>0.18339528018031098</c:v>
                </c:pt>
                <c:pt idx="63" formatCode="0.000">
                  <c:v>0.17951446540358373</c:v>
                </c:pt>
                <c:pt idx="64" formatCode="0.000">
                  <c:v>0.17575111943436195</c:v>
                </c:pt>
                <c:pt idx="65" formatCode="0.000">
                  <c:v>0.17210052887829361</c:v>
                </c:pt>
                <c:pt idx="66" formatCode="0.000">
                  <c:v>0.16855821763132889</c:v>
                </c:pt>
                <c:pt idx="67" formatCode="0.000">
                  <c:v>0.16511993248928059</c:v>
                </c:pt>
                <c:pt idx="68" formatCode="0.000">
                  <c:v>0.16178162977639537</c:v>
                </c:pt>
                <c:pt idx="69" formatCode="0.000">
                  <c:v>0.15853946291074714</c:v>
                </c:pt>
                <c:pt idx="70" formatCode="0.000">
                  <c:v>0.15538977083164968</c:v>
                </c:pt>
                <c:pt idx="71" formatCode="0.000">
                  <c:v>0.15232906722096665</c:v>
                </c:pt>
                <c:pt idx="72" formatCode="0.000">
                  <c:v>0.14935403045620368</c:v>
                </c:pt>
                <c:pt idx="73" formatCode="0.000">
                  <c:v>0.14646149423870714</c:v>
                </c:pt>
                <c:pt idx="74" formatCode="0.000">
                  <c:v>0.14364843884519793</c:v>
                </c:pt>
                <c:pt idx="75" formatCode="0.000">
                  <c:v>0.14091198295531923</c:v>
                </c:pt>
                <c:pt idx="76" formatCode="0.000">
                  <c:v>0.13824937601189213</c:v>
                </c:pt>
                <c:pt idx="77" formatCode="0.000">
                  <c:v>0.1356579910742256</c:v>
                </c:pt>
                <c:pt idx="78" formatCode="0.000">
                  <c:v>0.13313531812813023</c:v>
                </c:pt>
                <c:pt idx="79" formatCode="0.000">
                  <c:v>0.13067895781929484</c:v>
                </c:pt>
                <c:pt idx="80" formatCode="0.000">
                  <c:v>0.12828661557940513</c:v>
                </c:pt>
                <c:pt idx="81" formatCode="0.000">
                  <c:v>0.12595609611688099</c:v>
                </c:pt>
                <c:pt idx="82" formatCode="0.000">
                  <c:v>0.12368529824635326</c:v>
                </c:pt>
                <c:pt idx="83" formatCode="0.000">
                  <c:v>0.12147221003307504</c:v>
                </c:pt>
                <c:pt idx="84" formatCode="0.000">
                  <c:v>0.11931490423033246</c:v>
                </c:pt>
                <c:pt idx="85" formatCode="0.000">
                  <c:v>0.11721153398963839</c:v>
                </c:pt>
                <c:pt idx="86" formatCode="0.000">
                  <c:v>0.11516032882505846</c:v>
                </c:pt>
                <c:pt idx="87" formatCode="0.000">
                  <c:v>0.11315959081444997</c:v>
                </c:pt>
                <c:pt idx="88" formatCode="0.000">
                  <c:v>0.11120769102170772</c:v>
                </c:pt>
                <c:pt idx="89" formatCode="0.000">
                  <c:v>0.10930306612530605</c:v>
                </c:pt>
                <c:pt idx="90" formatCode="0.000">
                  <c:v>0.10744421523953301</c:v>
                </c:pt>
                <c:pt idx="91" formatCode="0.000">
                  <c:v>0.10562969691581342</c:v>
                </c:pt>
                <c:pt idx="92" formatCode="0.000">
                  <c:v>0.10385812631245109</c:v>
                </c:pt>
                <c:pt idx="93" formatCode="0.000">
                  <c:v>0.10212817252196674</c:v>
                </c:pt>
                <c:pt idx="94" formatCode="0.000">
                  <c:v>0.10043855604598882</c:v>
                </c:pt>
                <c:pt idx="95" formatCode="0.000">
                  <c:v>9.8788046408380126E-2</c:v>
                </c:pt>
                <c:pt idx="96" formatCode="0.000">
                  <c:v>9.7175459897937549E-2</c:v>
                </c:pt>
                <c:pt idx="97" formatCode="0.000">
                  <c:v>9.5599657432616975E-2</c:v>
                </c:pt>
                <c:pt idx="98" formatCode="0.000">
                  <c:v>9.4059542537797497E-2</c:v>
                </c:pt>
                <c:pt idx="99" formatCode="0.000">
                  <c:v>9.2554059431615709E-2</c:v>
                </c:pt>
                <c:pt idx="100" formatCode="0.000">
                  <c:v>9.1082191210881444E-2</c:v>
                </c:pt>
                <c:pt idx="101" formatCode="0.000">
                  <c:v>8.9642958131529504E-2</c:v>
                </c:pt>
                <c:pt idx="102" formatCode="0.000">
                  <c:v>8.8235415977967538E-2</c:v>
                </c:pt>
                <c:pt idx="103" formatCode="0.000">
                  <c:v>8.685865451606313E-2</c:v>
                </c:pt>
                <c:pt idx="104" formatCode="0.000">
                  <c:v>8.5511796024858158E-2</c:v>
                </c:pt>
                <c:pt idx="105" formatCode="0.000">
                  <c:v>8.4193993902429556E-2</c:v>
                </c:pt>
                <c:pt idx="106" formatCode="0.000">
                  <c:v>8.2904431341605939E-2</c:v>
                </c:pt>
                <c:pt idx="107" formatCode="0.000">
                  <c:v>8.1642320071539362E-2</c:v>
                </c:pt>
                <c:pt idx="108" formatCode="0.000">
                  <c:v>8.0406899161384104E-2</c:v>
                </c:pt>
                <c:pt idx="109" formatCode="0.000">
                  <c:v>7.9197433882570528E-2</c:v>
                </c:pt>
                <c:pt idx="110" formatCode="0.000">
                  <c:v>7.8013214626395919E-2</c:v>
                </c:pt>
                <c:pt idx="111" formatCode="0.000">
                  <c:v>7.6853555873850232E-2</c:v>
                </c:pt>
                <c:pt idx="112" formatCode="0.000">
                  <c:v>7.5717795214794562E-2</c:v>
                </c:pt>
                <c:pt idx="113" formatCode="0.000">
                  <c:v>7.4605292413785648E-2</c:v>
                </c:pt>
                <c:pt idx="114" formatCode="0.000">
                  <c:v>7.3515428520008724E-2</c:v>
                </c:pt>
                <c:pt idx="115" formatCode="0.000">
                  <c:v>7.244760501893617E-2</c:v>
                </c:pt>
                <c:pt idx="116" formatCode="0.000">
                  <c:v>7.140124302347213E-2</c:v>
                </c:pt>
                <c:pt idx="117" formatCode="0.000">
                  <c:v>7.037578250248272E-2</c:v>
                </c:pt>
                <c:pt idx="118" formatCode="0.000">
                  <c:v>6.9370681544733068E-2</c:v>
                </c:pt>
                <c:pt idx="119" formatCode="0.000">
                  <c:v>6.8385415656372087E-2</c:v>
                </c:pt>
                <c:pt idx="120" formatCode="0.000">
                  <c:v>6.7419477090216673E-2</c:v>
                </c:pt>
                <c:pt idx="121" formatCode="0.000">
                  <c:v>6.647237420518802E-2</c:v>
                </c:pt>
                <c:pt idx="122" formatCode="0.000">
                  <c:v>6.5543630854349708E-2</c:v>
                </c:pt>
                <c:pt idx="123" formatCode="0.000">
                  <c:v>6.463278580008569E-2</c:v>
                </c:pt>
                <c:pt idx="124" formatCode="0.000">
                  <c:v>6.3739392155042957E-2</c:v>
                </c:pt>
                <c:pt idx="125" formatCode="0.000">
                  <c:v>6.2863016847538505E-2</c:v>
                </c:pt>
                <c:pt idx="126" formatCode="0.000">
                  <c:v>6.2003240110208753E-2</c:v>
                </c:pt>
                <c:pt idx="127" formatCode="0.000">
                  <c:v>6.1159654990742801E-2</c:v>
                </c:pt>
                <c:pt idx="128" formatCode="0.000">
                  <c:v>6.0331866883609503E-2</c:v>
                </c:pt>
                <c:pt idx="129" formatCode="0.000">
                  <c:v>5.9519493081750335E-2</c:v>
                </c:pt>
                <c:pt idx="130" formatCode="0.000">
                  <c:v>5.8722162347261304E-2</c:v>
                </c:pt>
                <c:pt idx="131" formatCode="0.000">
                  <c:v>5.7939514500145027E-2</c:v>
                </c:pt>
                <c:pt idx="132" formatCode="0.000">
                  <c:v>5.7171200024264998E-2</c:v>
                </c:pt>
                <c:pt idx="133" formatCode="0.000">
                  <c:v>5.6416879689676673E-2</c:v>
                </c:pt>
                <c:pt idx="134" formatCode="0.000">
                  <c:v>5.567622419055903E-2</c:v>
                </c:pt>
                <c:pt idx="135" formatCode="0.000">
                  <c:v>5.4948913798007835E-2</c:v>
                </c:pt>
                <c:pt idx="136" formatCode="0.000">
                  <c:v>5.4234638026995262E-2</c:v>
                </c:pt>
                <c:pt idx="137" formatCode="0.000">
                  <c:v>5.3533095316834076E-2</c:v>
                </c:pt>
                <c:pt idx="138" formatCode="0.000">
                  <c:v>5.2843992724519076E-2</c:v>
                </c:pt>
                <c:pt idx="139" formatCode="0.000">
                  <c:v>5.2167045630354812E-2</c:v>
                </c:pt>
                <c:pt idx="140" formatCode="0.000">
                  <c:v>5.1501977455305083E-2</c:v>
                </c:pt>
                <c:pt idx="141" formatCode="0.000">
                  <c:v>5.0848519389531666E-2</c:v>
                </c:pt>
                <c:pt idx="142" formatCode="0.000">
                  <c:v>5.0206410131614948E-2</c:v>
                </c:pt>
                <c:pt idx="143" formatCode="0.000">
                  <c:v>4.9575395637977374E-2</c:v>
                </c:pt>
                <c:pt idx="144" formatCode="0.000">
                  <c:v>4.8955228882051449E-2</c:v>
                </c:pt>
                <c:pt idx="145" formatCode="0.000">
                  <c:v>4.8345669622762176E-2</c:v>
                </c:pt>
                <c:pt idx="146" formatCode="0.000">
                  <c:v>4.7746484181908487E-2</c:v>
                </c:pt>
                <c:pt idx="147" formatCode="0.000">
                  <c:v>4.7157445230056209E-2</c:v>
                </c:pt>
                <c:pt idx="148" formatCode="0.000">
                  <c:v>4.657833158056808E-2</c:v>
                </c:pt>
                <c:pt idx="149" formatCode="0.000">
                  <c:v>4.6008927991419167E-2</c:v>
                </c:pt>
                <c:pt idx="150" formatCode="0.000">
                  <c:v>4.5449024974460496E-2</c:v>
                </c:pt>
                <c:pt idx="151" formatCode="0.000">
                  <c:v>4.4898418611810827E-2</c:v>
                </c:pt>
                <c:pt idx="152" formatCode="0.000">
                  <c:v>4.4356910379073786E-2</c:v>
                </c:pt>
                <c:pt idx="153" formatCode="0.000">
                  <c:v>4.3824306975087809E-2</c:v>
                </c:pt>
                <c:pt idx="154" formatCode="0.000">
                  <c:v>4.3300420157936288E-2</c:v>
                </c:pt>
                <c:pt idx="155" formatCode="0.000">
                  <c:v>4.2785066586951553E-2</c:v>
                </c:pt>
                <c:pt idx="156" formatCode="0.000">
                  <c:v>4.2278067670465588E-2</c:v>
                </c:pt>
                <c:pt idx="157" formatCode="0.000">
                  <c:v>4.1779249419066272E-2</c:v>
                </c:pt>
                <c:pt idx="158" formatCode="0.000">
                  <c:v>4.1288442304132957E-2</c:v>
                </c:pt>
                <c:pt idx="159" formatCode="0.000">
                  <c:v>4.0805481121434686E-2</c:v>
                </c:pt>
                <c:pt idx="160" formatCode="0.000">
                  <c:v>4.0330204859582858E-2</c:v>
                </c:pt>
                <c:pt idx="161" formatCode="0.000">
                  <c:v>3.9862456573142149E-2</c:v>
                </c:pt>
                <c:pt idx="162" formatCode="0.000">
                  <c:v>3.9402083260210774E-2</c:v>
                </c:pt>
                <c:pt idx="163" formatCode="0.000">
                  <c:v>3.8948935744290675E-2</c:v>
                </c:pt>
                <c:pt idx="164" formatCode="0.000">
                  <c:v>3.8502868560275703E-2</c:v>
                </c:pt>
                <c:pt idx="165" formatCode="0.000">
                  <c:v>3.8063739844393603E-2</c:v>
                </c:pt>
                <c:pt idx="166" formatCode="0.000">
                  <c:v>3.7631411227945749E-2</c:v>
                </c:pt>
                <c:pt idx="167" formatCode="0.000">
                  <c:v>3.7205747734694823E-2</c:v>
                </c:pt>
                <c:pt idx="168" formatCode="0.000">
                  <c:v>3.6786617681757693E-2</c:v>
                </c:pt>
                <c:pt idx="169" formatCode="0.000">
                  <c:v>3.6373892583865454E-2</c:v>
                </c:pt>
                <c:pt idx="170" formatCode="0.000">
                  <c:v>3.5967447060862301E-2</c:v>
                </c:pt>
                <c:pt idx="171" formatCode="0.000">
                  <c:v>3.5567158748316591E-2</c:v>
                </c:pt>
                <c:pt idx="172" formatCode="0.000">
                  <c:v>3.5172908211124218E-2</c:v>
                </c:pt>
                <c:pt idx="173" formatCode="0.000">
                  <c:v>3.4784578859991228E-2</c:v>
                </c:pt>
                <c:pt idx="174" formatCode="0.000">
                  <c:v>3.44020568706861E-2</c:v>
                </c:pt>
                <c:pt idx="175" formatCode="0.000">
                  <c:v>3.4025231105954797E-2</c:v>
                </c:pt>
                <c:pt idx="176" formatCode="0.000">
                  <c:v>3.3653993040001447E-2</c:v>
                </c:pt>
                <c:pt idx="177" formatCode="0.000">
                  <c:v>3.3288236685435506E-2</c:v>
                </c:pt>
                <c:pt idx="178" formatCode="0.000">
                  <c:v>3.2927858522596595E-2</c:v>
                </c:pt>
                <c:pt idx="179" formatCode="0.000">
                  <c:v>3.2572757431164626E-2</c:v>
                </c:pt>
                <c:pt idx="180" formatCode="0.000">
                  <c:v>3.2222834623975481E-2</c:v>
                </c:pt>
                <c:pt idx="181" formatCode="0.000">
                  <c:v>3.1877993582957127E-2</c:v>
                </c:pt>
                <c:pt idx="182" formatCode="0.000">
                  <c:v>3.1538139997111476E-2</c:v>
                </c:pt>
                <c:pt idx="183" formatCode="0.000">
                  <c:v>3.1203181702465103E-2</c:v>
                </c:pt>
                <c:pt idx="184" formatCode="0.000">
                  <c:v>3.087302862392069E-2</c:v>
                </c:pt>
                <c:pt idx="185" formatCode="0.000">
                  <c:v>3.0547592718935656E-2</c:v>
                </c:pt>
                <c:pt idx="186" formatCode="0.000">
                  <c:v>3.0226787922968779E-2</c:v>
                </c:pt>
                <c:pt idx="187" formatCode="0.000">
                  <c:v>2.9910530096624817E-2</c:v>
                </c:pt>
                <c:pt idx="188" formatCode="0.000">
                  <c:v>2.9598736974443082E-2</c:v>
                </c:pt>
                <c:pt idx="189" formatCode="0.000">
                  <c:v>2.9291328115266073E-2</c:v>
                </c:pt>
                <c:pt idx="190" formatCode="0.000">
                  <c:v>2.8988224854137334E-2</c:v>
                </c:pt>
                <c:pt idx="191" formatCode="0.000">
                  <c:v>2.8689350255671549E-2</c:v>
                </c:pt>
                <c:pt idx="192" formatCode="0.000">
                  <c:v>2.839462906884644E-2</c:v>
                </c:pt>
                <c:pt idx="193" formatCode="0.000">
                  <c:v>2.8103987683167624E-2</c:v>
                </c:pt>
                <c:pt idx="194" formatCode="0.000">
                  <c:v>2.7817354086158597E-2</c:v>
                </c:pt>
                <c:pt idx="195" formatCode="0.000">
                  <c:v>2.7534657822129178E-2</c:v>
                </c:pt>
                <c:pt idx="196" formatCode="0.000">
                  <c:v>2.7255829952180077E-2</c:v>
                </c:pt>
                <c:pt idx="197" formatCode="0.000">
                  <c:v>2.6980803015400366E-2</c:v>
                </c:pt>
                <c:pt idx="198" formatCode="0.000">
                  <c:v>2.670951099121768E-2</c:v>
                </c:pt>
                <c:pt idx="199" formatCode="0.000">
                  <c:v>2.6441889262861531E-2</c:v>
                </c:pt>
                <c:pt idx="200" formatCode="0.000">
                  <c:v>2.6177874581903342E-2</c:v>
                </c:pt>
                <c:pt idx="201" formatCode="0.000">
                  <c:v>2.5917405033835481E-2</c:v>
                </c:pt>
                <c:pt idx="202" formatCode="0.000">
                  <c:v>2.566042000465631E-2</c:v>
                </c:pt>
                <c:pt idx="203" formatCode="0.000">
                  <c:v>2.5406860148426445E-2</c:v>
                </c:pt>
                <c:pt idx="204" formatCode="0.000">
                  <c:v>2.5156667355763919E-2</c:v>
                </c:pt>
                <c:pt idx="205" formatCode="0.000">
                  <c:v>2.4909784723249048E-2</c:v>
                </c:pt>
                <c:pt idx="206" formatCode="0.000">
                  <c:v>2.4666156523706434E-2</c:v>
                </c:pt>
                <c:pt idx="207" formatCode="0.000">
                  <c:v>2.4425728177338402E-2</c:v>
                </c:pt>
                <c:pt idx="208" formatCode="0.000">
                  <c:v>2.4188446223678425E-2</c:v>
                </c:pt>
                <c:pt idx="209" formatCode="0.000">
                  <c:v>2.3954258294342407E-2</c:v>
                </c:pt>
                <c:pt idx="210" formatCode="0.000">
                  <c:v>2.3723113086547881E-2</c:v>
                </c:pt>
                <c:pt idx="211" formatCode="0.000">
                  <c:v>2.3494960337378832E-2</c:v>
                </c:pt>
                <c:pt idx="212" formatCode="0.000">
                  <c:v>2.326975079877143E-2</c:v>
                </c:pt>
                <c:pt idx="213" formatCode="0.000">
                  <c:v>2.3047436213198252E-2</c:v>
                </c:pt>
                <c:pt idx="214" formatCode="0.000">
                  <c:v>2.2827969290027814E-2</c:v>
                </c:pt>
                <c:pt idx="215" formatCode="0.000">
                  <c:v>2.2611303682538518E-2</c:v>
                </c:pt>
                <c:pt idx="216" formatCode="0.000">
                  <c:v>2.2397393965567027E-2</c:v>
                </c:pt>
                <c:pt idx="217" formatCode="0.000">
                  <c:v>2.2186195613769714E-2</c:v>
                </c:pt>
                <c:pt idx="218" formatCode="0.000">
                  <c:v>2.1977664980479514E-2</c:v>
                </c:pt>
                <c:pt idx="219" formatCode="0.000">
                  <c:v>2.1771759277138498E-2</c:v>
                </c:pt>
                <c:pt idx="220" formatCode="0.000">
                  <c:v>2.1568436553288731E-2</c:v>
                </c:pt>
                <c:pt idx="221" formatCode="0.000">
                  <c:v>2.1367655677104171E-2</c:v>
                </c:pt>
                <c:pt idx="222" formatCode="0.000">
                  <c:v>2.1169376316447375E-2</c:v>
                </c:pt>
                <c:pt idx="223" formatCode="0.000">
                  <c:v>2.0973558920433382E-2</c:v>
                </c:pt>
                <c:pt idx="224" formatCode="0.000">
                  <c:v>2.0780164701487722E-2</c:v>
                </c:pt>
                <c:pt idx="225" formatCode="0.000">
                  <c:v>2.0589155617880786E-2</c:v>
                </c:pt>
                <c:pt idx="226" formatCode="0.000">
                  <c:v>2.0400494356726077E-2</c:v>
                </c:pt>
                <c:pt idx="227" formatCode="0.000">
                  <c:v>2.0214144317428361E-2</c:v>
                </c:pt>
                <c:pt idx="228" formatCode="0.000">
                  <c:v>2.0030069595565868E-2</c:v>
                </c:pt>
                <c:pt idx="229" formatCode="0.000">
                  <c:v>1.9848234967196857E-2</c:v>
                </c:pt>
                <c:pt idx="230" formatCode="0.000">
                  <c:v>1.9668605873575582E-2</c:v>
                </c:pt>
                <c:pt idx="231" formatCode="0.000">
                  <c:v>1.9491148406265084E-2</c:v>
                </c:pt>
                <c:pt idx="232" formatCode="0.000">
                  <c:v>1.9315829292638319E-2</c:v>
                </c:pt>
                <c:pt idx="233" formatCode="0.000">
                  <c:v>1.9142615881751483E-2</c:v>
                </c:pt>
                <c:pt idx="234" formatCode="0.000">
                  <c:v>1.8971476130582567E-2</c:v>
                </c:pt>
                <c:pt idx="235" formatCode="0.000">
                  <c:v>1.8802378590622656E-2</c:v>
                </c:pt>
                <c:pt idx="236" formatCode="0.000">
                  <c:v>1.8635292394808906E-2</c:v>
                </c:pt>
                <c:pt idx="237" formatCode="0.000">
                  <c:v>1.8470187244791728E-2</c:v>
                </c:pt>
                <c:pt idx="238" formatCode="0.000">
                  <c:v>1.8307033398523749E-2</c:v>
                </c:pt>
                <c:pt idx="239" formatCode="0.000">
                  <c:v>1.8145801658163145E-2</c:v>
                </c:pt>
                <c:pt idx="240" formatCode="0.000">
                  <c:v>1.7986463358281565E-2</c:v>
                </c:pt>
                <c:pt idx="241" formatCode="0.000">
                  <c:v>1.7828990354367965E-2</c:v>
                </c:pt>
                <c:pt idx="242" formatCode="0.000">
                  <c:v>1.7673355011619863E-2</c:v>
                </c:pt>
                <c:pt idx="243" formatCode="0.000">
                  <c:v>1.7519530194014161E-2</c:v>
                </c:pt>
                <c:pt idx="244" formatCode="0.000">
                  <c:v>1.736748925364898E-2</c:v>
                </c:pt>
                <c:pt idx="245" formatCode="0.000">
                  <c:v>1.7217206020349943E-2</c:v>
                </c:pt>
                <c:pt idx="246" formatCode="0.000">
                  <c:v>1.7068654791531499E-2</c:v>
                </c:pt>
                <c:pt idx="247" formatCode="0.000">
                  <c:v>1.6921810322309196E-2</c:v>
                </c:pt>
                <c:pt idx="248" formatCode="0.000">
                  <c:v>1.6776647815851725E-2</c:v>
                </c:pt>
                <c:pt idx="249" formatCode="0.000">
                  <c:v>1.6633142913971114E-2</c:v>
                </c:pt>
                <c:pt idx="250" formatCode="0.000">
                  <c:v>1.649127168793918E-2</c:v>
                </c:pt>
                <c:pt idx="251" formatCode="0.000">
                  <c:v>1.6351010629528553E-2</c:v>
                </c:pt>
                <c:pt idx="252" formatCode="0.000">
                  <c:v>1.6212336642268378E-2</c:v>
                </c:pt>
                <c:pt idx="253" formatCode="0.000">
                  <c:v>1.6075227032912139E-2</c:v>
                </c:pt>
                <c:pt idx="254" formatCode="0.000">
                  <c:v>1.5939659503108793E-2</c:v>
                </c:pt>
                <c:pt idx="255" formatCode="0.000">
                  <c:v>1.5805612141273941E-2</c:v>
                </c:pt>
                <c:pt idx="256" formatCode="0.000">
                  <c:v>1.5673063414653795E-2</c:v>
                </c:pt>
                <c:pt idx="257" formatCode="0.000">
                  <c:v>1.5541992161578545E-2</c:v>
                </c:pt>
                <c:pt idx="258" formatCode="0.000">
                  <c:v>1.5412377583898719E-2</c:v>
                </c:pt>
                <c:pt idx="259" formatCode="0.000">
                  <c:v>1.528419923959912E-2</c:v>
                </c:pt>
                <c:pt idx="260" formatCode="0.000">
                  <c:v>1.5157437035587766E-2</c:v>
                </c:pt>
                <c:pt idx="261" formatCode="0.000">
                  <c:v>1.5032071220652976E-2</c:v>
                </c:pt>
                <c:pt idx="262" formatCode="0.000">
                  <c:v>1.4908082378585314E-2</c:v>
                </c:pt>
                <c:pt idx="263" formatCode="0.000">
                  <c:v>1.4785451421458724E-2</c:v>
                </c:pt>
                <c:pt idx="264" formatCode="0.000">
                  <c:v>1.4664159583069044E-2</c:v>
                </c:pt>
                <c:pt idx="265" formatCode="0.000">
                  <c:v>1.4544188412523361E-2</c:v>
                </c:pt>
                <c:pt idx="266" formatCode="0.000">
                  <c:v>1.4425519767976827E-2</c:v>
                </c:pt>
                <c:pt idx="267" formatCode="0.000">
                  <c:v>1.4308135810514046E-2</c:v>
                </c:pt>
                <c:pt idx="268" formatCode="0.000">
                  <c:v>1.4192018998170542E-2</c:v>
                </c:pt>
                <c:pt idx="269" formatCode="0.000">
                  <c:v>1.407715208009021E-2</c:v>
                </c:pt>
                <c:pt idx="270" formatCode="0.000">
                  <c:v>1.396351809081621E-2</c:v>
                </c:pt>
                <c:pt idx="271" formatCode="0.000">
                  <c:v>1.3851100344710952E-2</c:v>
                </c:pt>
                <c:pt idx="272" formatCode="0.000">
                  <c:v>1.373988243050275E-2</c:v>
                </c:pt>
                <c:pt idx="273" formatCode="0.000">
                  <c:v>1.3629848205954802E-2</c:v>
                </c:pt>
                <c:pt idx="274" formatCode="0.000">
                  <c:v>1.3520981792654794E-2</c:v>
                </c:pt>
                <c:pt idx="275" formatCode="0.000">
                  <c:v>1.3413267570919579E-2</c:v>
                </c:pt>
                <c:pt idx="276" formatCode="0.000">
                  <c:v>1.3306690174816133E-2</c:v>
                </c:pt>
                <c:pt idx="277" formatCode="0.000">
                  <c:v>1.3201234487290568E-2</c:v>
                </c:pt>
                <c:pt idx="278" formatCode="0.000">
                  <c:v>1.3096885635407377E-2</c:v>
                </c:pt>
                <c:pt idx="279" formatCode="0.000">
                  <c:v>1.2993628985692755E-2</c:v>
                </c:pt>
                <c:pt idx="280" formatCode="0.000">
                  <c:v>1.2891450139581262E-2</c:v>
                </c:pt>
                <c:pt idx="281" formatCode="0.000">
                  <c:v>1.2790334928962083E-2</c:v>
                </c:pt>
                <c:pt idx="282" formatCode="0.000">
                  <c:v>1.2690269411823314E-2</c:v>
                </c:pt>
                <c:pt idx="283" formatCode="0.000">
                  <c:v>1.2591239867991134E-2</c:v>
                </c:pt>
                <c:pt idx="284" formatCode="0.000">
                  <c:v>1.2493232794961931E-2</c:v>
                </c:pt>
                <c:pt idx="285" formatCode="0.000">
                  <c:v>1.2396234903824703E-2</c:v>
                </c:pt>
                <c:pt idx="286" formatCode="0.000">
                  <c:v>1.2300233115272081E-2</c:v>
                </c:pt>
                <c:pt idx="287" formatCode="0.000">
                  <c:v>1.2205214555697508E-2</c:v>
                </c:pt>
                <c:pt idx="288" formatCode="0.000">
                  <c:v>1.2111166553375841E-2</c:v>
                </c:pt>
                <c:pt idx="289" formatCode="0.000">
                  <c:v>1.2018076634726132E-2</c:v>
                </c:pt>
                <c:pt idx="290" formatCode="0.000">
                  <c:v>1.1925932520655156E-2</c:v>
                </c:pt>
                <c:pt idx="291" formatCode="0.000">
                  <c:v>1.1834722122977327E-2</c:v>
                </c:pt>
                <c:pt idx="292" formatCode="0.000">
                  <c:v>1.1744433540912336E-2</c:v>
                </c:pt>
                <c:pt idx="293" formatCode="0.000">
                  <c:v>1.1655055057655919E-2</c:v>
                </c:pt>
                <c:pt idx="294" formatCode="0.000">
                  <c:v>1.1566575137023983E-2</c:v>
                </c:pt>
                <c:pt idx="295" formatCode="0.000">
                  <c:v>1.1478982420166369E-2</c:v>
                </c:pt>
                <c:pt idx="296" formatCode="0.000">
                  <c:v>1.1392265722351313E-2</c:v>
                </c:pt>
                <c:pt idx="297" formatCode="0.000">
                  <c:v>1.1306414029815061E-2</c:v>
                </c:pt>
                <c:pt idx="298" formatCode="0.000">
                  <c:v>1.1221416496679652E-2</c:v>
                </c:pt>
                <c:pt idx="299" formatCode="0.000">
                  <c:v>1.11372624419332E-2</c:v>
                </c:pt>
                <c:pt idx="300" formatCode="0.000">
                  <c:v>1.1053941346473504E-2</c:v>
                </c:pt>
                <c:pt idx="301" formatCode="0.000">
                  <c:v>1.0971442850213299E-2</c:v>
                </c:pt>
                <c:pt idx="302" formatCode="0.000">
                  <c:v>1.0889756749244266E-2</c:v>
                </c:pt>
                <c:pt idx="303" formatCode="0.000">
                  <c:v>1.0808872993060494E-2</c:v>
                </c:pt>
                <c:pt idx="304" formatCode="0.000">
                  <c:v>1.0728781681838639E-2</c:v>
                </c:pt>
                <c:pt idx="305" formatCode="0.000">
                  <c:v>1.0649473063773082E-2</c:v>
                </c:pt>
                <c:pt idx="306" formatCode="0.000">
                  <c:v>1.0570937532466676E-2</c:v>
                </c:pt>
                <c:pt idx="307" formatCode="0.000">
                  <c:v>1.0493165624373359E-2</c:v>
                </c:pt>
                <c:pt idx="308" formatCode="0.000">
                  <c:v>1.0416148016294067E-2</c:v>
                </c:pt>
                <c:pt idx="309" formatCode="0.000">
                  <c:v>1.0339875522921959E-2</c:v>
                </c:pt>
                <c:pt idx="310" formatCode="0.000">
                  <c:v>1.0264339094438532E-2</c:v>
                </c:pt>
                <c:pt idx="311" formatCode="0.000">
                  <c:v>1.0189529814156516E-2</c:v>
                </c:pt>
                <c:pt idx="312" formatCode="0.000">
                  <c:v>1.0115438896211956E-2</c:v>
                </c:pt>
                <c:pt idx="313" formatCode="0.000">
                  <c:v>1.0042057683301265E-2</c:v>
                </c:pt>
                <c:pt idx="314" formatCode="0.000">
                  <c:v>9.9693776444633574E-3</c:v>
                </c:pt>
                <c:pt idx="315" formatCode="0.000">
                  <c:v>9.8973903729069924E-3</c:v>
                </c:pt>
                <c:pt idx="316" formatCode="0.000">
                  <c:v>9.8260875838801776E-3</c:v>
                </c:pt>
                <c:pt idx="317" formatCode="0.000">
                  <c:v>9.7554611125823601E-3</c:v>
                </c:pt>
                <c:pt idx="318" formatCode="0.000">
                  <c:v>9.6855029121177168E-3</c:v>
                </c:pt>
                <c:pt idx="319" formatCode="0.000">
                  <c:v>9.6162050514886927E-3</c:v>
                </c:pt>
                <c:pt idx="320" formatCode="0.000">
                  <c:v>9.5475597136287019E-3</c:v>
                </c:pt>
                <c:pt idx="321" formatCode="0.000">
                  <c:v>9.479559193474112E-3</c:v>
                </c:pt>
                <c:pt idx="322" formatCode="0.000">
                  <c:v>9.4121958960732173E-3</c:v>
                </c:pt>
                <c:pt idx="323" formatCode="0.000">
                  <c:v>9.3454623347319493E-3</c:v>
                </c:pt>
                <c:pt idx="324" formatCode="0.000">
                  <c:v>9.2793511291963428E-3</c:v>
                </c:pt>
                <c:pt idx="325" formatCode="0.000">
                  <c:v>9.2138550038695626E-3</c:v>
                </c:pt>
                <c:pt idx="326" formatCode="0.000">
                  <c:v>9.148966786063745E-3</c:v>
                </c:pt>
                <c:pt idx="327" formatCode="0.000">
                  <c:v>9.0846794042849545E-3</c:v>
                </c:pt>
                <c:pt idx="328" formatCode="0.000">
                  <c:v>9.0209858865523546E-3</c:v>
                </c:pt>
                <c:pt idx="329" formatCode="0.000">
                  <c:v>8.9578793587479482E-3</c:v>
                </c:pt>
                <c:pt idx="330" formatCode="0.000">
                  <c:v>8.8953530429994494E-3</c:v>
                </c:pt>
                <c:pt idx="331" formatCode="0.000">
                  <c:v>8.8334002560926331E-3</c:v>
                </c:pt>
                <c:pt idx="332" formatCode="0.000">
                  <c:v>8.7720144079152448E-3</c:v>
                </c:pt>
                <c:pt idx="333" formatCode="0.000">
                  <c:v>8.7111889999287075E-3</c:v>
                </c:pt>
                <c:pt idx="334" formatCode="0.000">
                  <c:v>8.6509176236710048E-3</c:v>
                </c:pt>
                <c:pt idx="335" formatCode="0.000">
                  <c:v>8.5911939592853235E-3</c:v>
                </c:pt>
                <c:pt idx="336" formatCode="0.000">
                  <c:v>8.5320117740785399E-3</c:v>
                </c:pt>
                <c:pt idx="337" formatCode="0.000">
                  <c:v>8.4733649211053367E-3</c:v>
                </c:pt>
                <c:pt idx="338" formatCode="0.000">
                  <c:v>8.4152473377798777E-3</c:v>
                </c:pt>
                <c:pt idx="339" formatCode="0.000">
                  <c:v>8.3576530445121384E-3</c:v>
                </c:pt>
                <c:pt idx="340" formatCode="0.000">
                  <c:v>8.3005761433711904E-3</c:v>
                </c:pt>
                <c:pt idx="341" formatCode="0.000">
                  <c:v>8.244010816772061E-3</c:v>
                </c:pt>
                <c:pt idx="342" formatCode="0.000">
                  <c:v>8.1879513261874839E-3</c:v>
                </c:pt>
                <c:pt idx="343" formatCode="0.000">
                  <c:v>8.1323920108835931E-3</c:v>
                </c:pt>
                <c:pt idx="344" formatCode="0.000">
                  <c:v>8.077327286678572E-3</c:v>
                </c:pt>
                <c:pt idx="345" formatCode="0.000">
                  <c:v>8.0227516447242703E-3</c:v>
                </c:pt>
                <c:pt idx="346" formatCode="0.000">
                  <c:v>7.9686596503103103E-3</c:v>
                </c:pt>
                <c:pt idx="347" formatCode="0.000">
                  <c:v>7.91504594169006E-3</c:v>
                </c:pt>
                <c:pt idx="348" formatCode="0.000">
                  <c:v>7.8619052289276483E-3</c:v>
                </c:pt>
                <c:pt idx="349" formatCode="0.000">
                  <c:v>7.8092322927668482E-3</c:v>
                </c:pt>
                <c:pt idx="350" formatCode="0.000">
                  <c:v>7.7570219835191865E-3</c:v>
                </c:pt>
                <c:pt idx="351" formatCode="0.000">
                  <c:v>7.7052692199736841E-3</c:v>
                </c:pt>
                <c:pt idx="352" formatCode="0.000">
                  <c:v>7.6539689883253345E-3</c:v>
                </c:pt>
                <c:pt idx="353" formatCode="0.000">
                  <c:v>7.6031163411230396E-3</c:v>
                </c:pt>
                <c:pt idx="354" formatCode="0.000">
                  <c:v>7.5527063962365264E-3</c:v>
                </c:pt>
                <c:pt idx="355" formatCode="0.000">
                  <c:v>7.5027343358424776E-3</c:v>
                </c:pt>
                <c:pt idx="356" formatCode="0.000">
                  <c:v>7.4531954054273455E-3</c:v>
                </c:pt>
                <c:pt idx="357" formatCode="0.000">
                  <c:v>7.4040849128093845E-3</c:v>
                </c:pt>
                <c:pt idx="358" formatCode="0.000">
                  <c:v>7.3553982271773602E-3</c:v>
                </c:pt>
                <c:pt idx="359" formatCode="0.000">
                  <c:v>7.3071307781466697E-3</c:v>
                </c:pt>
                <c:pt idx="360" formatCode="0.000">
                  <c:v>7.2592780548317746E-3</c:v>
                </c:pt>
                <c:pt idx="361" formatCode="0.000">
                  <c:v>7.2118356049355571E-3</c:v>
                </c:pt>
                <c:pt idx="362" formatCode="0.000">
                  <c:v>7.1647990338543936E-3</c:v>
                </c:pt>
                <c:pt idx="363" formatCode="0.000">
                  <c:v>7.1181640037991743E-3</c:v>
                </c:pt>
                <c:pt idx="364" formatCode="0.000">
                  <c:v>7.0719262329314416E-3</c:v>
                </c:pt>
                <c:pt idx="365" formatCode="0.000">
                  <c:v>7.0260814945151146E-3</c:v>
                </c:pt>
                <c:pt idx="366" formatCode="0.000">
                  <c:v>6.9806256160824774E-3</c:v>
                </c:pt>
                <c:pt idx="367" formatCode="0.000">
                  <c:v>6.9355544786155205E-3</c:v>
                </c:pt>
                <c:pt idx="368" formatCode="0.000">
                  <c:v>6.8908640157405764E-3</c:v>
                </c:pt>
                <c:pt idx="369" formatCode="0.000">
                  <c:v>6.846550212937578E-3</c:v>
                </c:pt>
                <c:pt idx="370" formatCode="0.000">
                  <c:v>6.8026091067626172E-3</c:v>
                </c:pt>
                <c:pt idx="371" formatCode="0.000">
                  <c:v>6.7590367840842823E-3</c:v>
                </c:pt>
                <c:pt idx="372" formatCode="0.000">
                  <c:v>6.715829381333166E-3</c:v>
                </c:pt>
                <c:pt idx="373" formatCode="0.000">
                  <c:v>6.6729830837633456E-3</c:v>
                </c:pt>
                <c:pt idx="374" formatCode="0.000">
                  <c:v>6.6304941247281209E-3</c:v>
                </c:pt>
                <c:pt idx="375" formatCode="0.000">
                  <c:v>6.5883587849667538E-3</c:v>
                </c:pt>
                <c:pt idx="376" formatCode="0.000">
                  <c:v>6.5465733919042634E-3</c:v>
                </c:pt>
                <c:pt idx="377" formatCode="0.000">
                  <c:v>6.5051343189622178E-3</c:v>
                </c:pt>
                <c:pt idx="378" formatCode="0.000">
                  <c:v>6.4640379848824592E-3</c:v>
                </c:pt>
                <c:pt idx="379" formatCode="0.000">
                  <c:v>6.4232808530613455E-3</c:v>
                </c:pt>
                <c:pt idx="380" formatCode="0.000">
                  <c:v>6.3828594308952356E-3</c:v>
                </c:pt>
                <c:pt idx="381" formatCode="0.000">
                  <c:v>6.3427702691379343E-3</c:v>
                </c:pt>
                <c:pt idx="382" formatCode="0.000">
                  <c:v>6.3030099612678154E-3</c:v>
                </c:pt>
                <c:pt idx="383" formatCode="0.000">
                  <c:v>6.263575142866299E-3</c:v>
                </c:pt>
                <c:pt idx="384" formatCode="0.000">
                  <c:v>6.2244624910068498E-3</c:v>
                </c:pt>
                <c:pt idx="385" formatCode="0.000">
                  <c:v>6.1856687236531566E-3</c:v>
                </c:pt>
                <c:pt idx="386" formatCode="0.000">
                  <c:v>6.1471905990685607E-3</c:v>
                </c:pt>
                <c:pt idx="387" formatCode="0.000">
                  <c:v>6.1090249152350234E-3</c:v>
                </c:pt>
                <c:pt idx="388" formatCode="0.000">
                  <c:v>6.0711685092809256E-3</c:v>
                </c:pt>
                <c:pt idx="389" formatCode="0.000">
                  <c:v>6.033618256919498E-3</c:v>
                </c:pt>
                <c:pt idx="390" formatCode="0.000">
                  <c:v>5.9963710718958377E-3</c:v>
                </c:pt>
                <c:pt idx="391" formatCode="0.000">
                  <c:v>5.9594239054427444E-3</c:v>
                </c:pt>
                <c:pt idx="392" formatCode="0.000">
                  <c:v>5.9227737457470753E-3</c:v>
                </c:pt>
                <c:pt idx="393" formatCode="0.000">
                  <c:v>5.8864176174225052E-3</c:v>
                </c:pt>
                <c:pt idx="394" formatCode="0.000">
                  <c:v>5.8503525809931638E-3</c:v>
                </c:pt>
                <c:pt idx="395" formatCode="0.000">
                  <c:v>5.8145757323839241E-3</c:v>
                </c:pt>
                <c:pt idx="396" formatCode="0.000">
                  <c:v>5.7790842024205988E-3</c:v>
                </c:pt>
                <c:pt idx="397" formatCode="0.000">
                  <c:v>5.7438751563367854E-3</c:v>
                </c:pt>
                <c:pt idx="398" formatCode="0.000">
                  <c:v>5.7089457932900205E-3</c:v>
                </c:pt>
                <c:pt idx="399" formatCode="0.000">
                  <c:v>5.6742933458845801E-3</c:v>
                </c:pt>
                <c:pt idx="400" formatCode="0.000">
                  <c:v>5.6399150797031032E-3</c:v>
                </c:pt>
                <c:pt idx="401" formatCode="0.000">
                  <c:v>5.6058082928449856E-3</c:v>
                </c:pt>
                <c:pt idx="402" formatCode="0.000">
                  <c:v>5.5719703154723877E-3</c:v>
                </c:pt>
                <c:pt idx="403" formatCode="0.000">
                  <c:v>5.5383985093639771E-3</c:v>
                </c:pt>
                <c:pt idx="404" formatCode="0.000">
                  <c:v>5.505090267475081E-3</c:v>
                </c:pt>
                <c:pt idx="405" formatCode="0.000">
                  <c:v>5.4720430135054487E-3</c:v>
                </c:pt>
                <c:pt idx="406" formatCode="0.000">
                  <c:v>5.4392542014739063E-3</c:v>
                </c:pt>
                <c:pt idx="407" formatCode="0.000">
                  <c:v>5.4067213152989351E-3</c:v>
                </c:pt>
                <c:pt idx="408" formatCode="0.000">
                  <c:v>5.3744418683875882E-3</c:v>
                </c:pt>
                <c:pt idx="409" formatCode="0.000">
                  <c:v>5.3424134032289995E-3</c:v>
                </c:pt>
                <c:pt idx="410" formatCode="0.000">
                  <c:v>5.3106334909957522E-3</c:v>
                </c:pt>
                <c:pt idx="411" formatCode="0.000">
                  <c:v>5.2790997311509278E-3</c:v>
                </c:pt>
                <c:pt idx="412" formatCode="0.000">
                  <c:v>5.2478097510613147E-3</c:v>
                </c:pt>
                <c:pt idx="413" formatCode="0.000">
                  <c:v>5.2167612056171521E-3</c:v>
                </c:pt>
                <c:pt idx="414" formatCode="0.000">
                  <c:v>5.1859517768570625E-3</c:v>
                </c:pt>
                <c:pt idx="415" formatCode="0.000">
                  <c:v>5.1553791735996389E-3</c:v>
                </c:pt>
                <c:pt idx="416" formatCode="0.000">
                  <c:v>5.1250411310807108E-3</c:v>
                </c:pt>
                <c:pt idx="417" formatCode="0.000">
                  <c:v>5.0949354105950806E-3</c:v>
                </c:pt>
                <c:pt idx="418" formatCode="0.000">
                  <c:v>5.0650597991461193E-3</c:v>
                </c:pt>
                <c:pt idx="419" formatCode="0.000">
                  <c:v>5.0354121090981406E-3</c:v>
                </c:pt>
                <c:pt idx="420" formatCode="0.000">
                  <c:v>5.0059901778365112E-3</c:v>
                </c:pt>
                <c:pt idx="421" formatCode="0.000">
                  <c:v>4.9767918674311455E-3</c:v>
                </c:pt>
                <c:pt idx="422" formatCode="0.000">
                  <c:v>4.9478150643066481E-3</c:v>
                </c:pt>
                <c:pt idx="423" formatCode="0.000">
                  <c:v>4.9190576789168092E-3</c:v>
                </c:pt>
                <c:pt idx="424" formatCode="0.000">
                  <c:v>4.8905176454238104E-3</c:v>
                </c:pt>
              </c:numCache>
            </c:numRef>
          </c:yVal>
          <c:smooth val="1"/>
          <c:extLst>
            <c:ext xmlns:c16="http://schemas.microsoft.com/office/drawing/2014/chart" uri="{C3380CC4-5D6E-409C-BE32-E72D297353CC}">
              <c16:uniqueId val="{00000000-10C4-4367-8FDB-1849C2CCF109}"/>
            </c:ext>
          </c:extLst>
        </c:ser>
        <c:ser>
          <c:idx val="1"/>
          <c:order val="1"/>
          <c:tx>
            <c:v>Toripalimab OS</c:v>
          </c:tx>
          <c:spPr>
            <a:ln w="19050" cap="rnd">
              <a:solidFill>
                <a:schemeClr val="tx2"/>
              </a:solidFill>
              <a:round/>
            </a:ln>
            <a:effectLst/>
          </c:spPr>
          <c:marker>
            <c:symbol val="none"/>
          </c:marker>
          <c:xVal>
            <c:strRef>
              <c:f>Model_Tx!$B$1:$B$425</c:f>
              <c:strCache>
                <c:ptCount val="425"/>
                <c:pt idx="0">
                  <c:v>Time</c:v>
                </c:pt>
                <c:pt idx="1">
                  <c:v>Cycle (months)</c:v>
                </c:pt>
                <c:pt idx="4">
                  <c:v>0.000</c:v>
                </c:pt>
                <c:pt idx="5">
                  <c:v>1.000</c:v>
                </c:pt>
                <c:pt idx="6">
                  <c:v>2.000</c:v>
                </c:pt>
                <c:pt idx="7">
                  <c:v>3.000</c:v>
                </c:pt>
                <c:pt idx="8">
                  <c:v>4.000</c:v>
                </c:pt>
                <c:pt idx="9">
                  <c:v>5.000</c:v>
                </c:pt>
                <c:pt idx="10">
                  <c:v>6.000</c:v>
                </c:pt>
                <c:pt idx="11">
                  <c:v>7.000</c:v>
                </c:pt>
                <c:pt idx="12">
                  <c:v>8.000</c:v>
                </c:pt>
                <c:pt idx="13">
                  <c:v>9.000</c:v>
                </c:pt>
                <c:pt idx="14">
                  <c:v>10.000</c:v>
                </c:pt>
                <c:pt idx="15">
                  <c:v>11.000</c:v>
                </c:pt>
                <c:pt idx="16">
                  <c:v>12.000</c:v>
                </c:pt>
                <c:pt idx="17">
                  <c:v>13.000</c:v>
                </c:pt>
                <c:pt idx="18">
                  <c:v>14.000</c:v>
                </c:pt>
                <c:pt idx="19">
                  <c:v>15.000</c:v>
                </c:pt>
                <c:pt idx="20">
                  <c:v>16.000</c:v>
                </c:pt>
                <c:pt idx="21">
                  <c:v>17.000</c:v>
                </c:pt>
                <c:pt idx="22">
                  <c:v>18.000</c:v>
                </c:pt>
                <c:pt idx="23">
                  <c:v>19.000</c:v>
                </c:pt>
                <c:pt idx="24">
                  <c:v>20.000</c:v>
                </c:pt>
                <c:pt idx="25">
                  <c:v>21.000</c:v>
                </c:pt>
                <c:pt idx="26">
                  <c:v>22.000</c:v>
                </c:pt>
                <c:pt idx="27">
                  <c:v>23.000</c:v>
                </c:pt>
                <c:pt idx="28">
                  <c:v>24.000</c:v>
                </c:pt>
                <c:pt idx="29">
                  <c:v>25.000</c:v>
                </c:pt>
                <c:pt idx="30">
                  <c:v>26.000</c:v>
                </c:pt>
                <c:pt idx="31">
                  <c:v>27.000</c:v>
                </c:pt>
                <c:pt idx="32">
                  <c:v>28.000</c:v>
                </c:pt>
                <c:pt idx="33">
                  <c:v>29.000</c:v>
                </c:pt>
                <c:pt idx="34">
                  <c:v>30.000</c:v>
                </c:pt>
                <c:pt idx="35">
                  <c:v>31.000</c:v>
                </c:pt>
                <c:pt idx="36">
                  <c:v>32.000</c:v>
                </c:pt>
                <c:pt idx="37">
                  <c:v>33.000</c:v>
                </c:pt>
                <c:pt idx="38">
                  <c:v>34.000</c:v>
                </c:pt>
                <c:pt idx="39">
                  <c:v>35.000</c:v>
                </c:pt>
                <c:pt idx="40">
                  <c:v>36.000</c:v>
                </c:pt>
                <c:pt idx="41">
                  <c:v>37.000</c:v>
                </c:pt>
                <c:pt idx="42">
                  <c:v>38.000</c:v>
                </c:pt>
                <c:pt idx="43">
                  <c:v>39.000</c:v>
                </c:pt>
                <c:pt idx="44">
                  <c:v>40.000</c:v>
                </c:pt>
                <c:pt idx="45">
                  <c:v>41.000</c:v>
                </c:pt>
                <c:pt idx="46">
                  <c:v>42.000</c:v>
                </c:pt>
                <c:pt idx="47">
                  <c:v>43.000</c:v>
                </c:pt>
                <c:pt idx="48">
                  <c:v>44.000</c:v>
                </c:pt>
                <c:pt idx="49">
                  <c:v>45.000</c:v>
                </c:pt>
                <c:pt idx="50">
                  <c:v>46.000</c:v>
                </c:pt>
                <c:pt idx="51">
                  <c:v>47.000</c:v>
                </c:pt>
                <c:pt idx="52">
                  <c:v>48.000</c:v>
                </c:pt>
                <c:pt idx="53">
                  <c:v>49.000</c:v>
                </c:pt>
                <c:pt idx="54">
                  <c:v>50.000</c:v>
                </c:pt>
                <c:pt idx="55">
                  <c:v>51.000</c:v>
                </c:pt>
                <c:pt idx="56">
                  <c:v>52.000</c:v>
                </c:pt>
                <c:pt idx="57">
                  <c:v>53.000</c:v>
                </c:pt>
                <c:pt idx="58">
                  <c:v>54.000</c:v>
                </c:pt>
                <c:pt idx="59">
                  <c:v>55.000</c:v>
                </c:pt>
                <c:pt idx="60">
                  <c:v>56.000</c:v>
                </c:pt>
                <c:pt idx="61">
                  <c:v>57.000</c:v>
                </c:pt>
                <c:pt idx="62">
                  <c:v>58.000</c:v>
                </c:pt>
                <c:pt idx="63">
                  <c:v>59.000</c:v>
                </c:pt>
                <c:pt idx="64">
                  <c:v>60.000</c:v>
                </c:pt>
                <c:pt idx="65">
                  <c:v>61.000</c:v>
                </c:pt>
                <c:pt idx="66">
                  <c:v>62.000</c:v>
                </c:pt>
                <c:pt idx="67">
                  <c:v>63.000</c:v>
                </c:pt>
                <c:pt idx="68">
                  <c:v>64.000</c:v>
                </c:pt>
                <c:pt idx="69">
                  <c:v>65.000</c:v>
                </c:pt>
                <c:pt idx="70">
                  <c:v>66.000</c:v>
                </c:pt>
                <c:pt idx="71">
                  <c:v>67.000</c:v>
                </c:pt>
                <c:pt idx="72">
                  <c:v>68.000</c:v>
                </c:pt>
                <c:pt idx="73">
                  <c:v>69.000</c:v>
                </c:pt>
                <c:pt idx="74">
                  <c:v>70.000</c:v>
                </c:pt>
                <c:pt idx="75">
                  <c:v>71.000</c:v>
                </c:pt>
                <c:pt idx="76">
                  <c:v>72.000</c:v>
                </c:pt>
                <c:pt idx="77">
                  <c:v>73.000</c:v>
                </c:pt>
                <c:pt idx="78">
                  <c:v>74.000</c:v>
                </c:pt>
                <c:pt idx="79">
                  <c:v>75.000</c:v>
                </c:pt>
                <c:pt idx="80">
                  <c:v>76.000</c:v>
                </c:pt>
                <c:pt idx="81">
                  <c:v>77.000</c:v>
                </c:pt>
                <c:pt idx="82">
                  <c:v>78.000</c:v>
                </c:pt>
                <c:pt idx="83">
                  <c:v>79.000</c:v>
                </c:pt>
                <c:pt idx="84">
                  <c:v>80.000</c:v>
                </c:pt>
                <c:pt idx="85">
                  <c:v>81.000</c:v>
                </c:pt>
                <c:pt idx="86">
                  <c:v>82.000</c:v>
                </c:pt>
                <c:pt idx="87">
                  <c:v>83.000</c:v>
                </c:pt>
                <c:pt idx="88">
                  <c:v>84.000</c:v>
                </c:pt>
                <c:pt idx="89">
                  <c:v>85.000</c:v>
                </c:pt>
                <c:pt idx="90">
                  <c:v>86.000</c:v>
                </c:pt>
                <c:pt idx="91">
                  <c:v>87.000</c:v>
                </c:pt>
                <c:pt idx="92">
                  <c:v>88.000</c:v>
                </c:pt>
                <c:pt idx="93">
                  <c:v>89.000</c:v>
                </c:pt>
                <c:pt idx="94">
                  <c:v>90.000</c:v>
                </c:pt>
                <c:pt idx="95">
                  <c:v>91.000</c:v>
                </c:pt>
                <c:pt idx="96">
                  <c:v>92.000</c:v>
                </c:pt>
                <c:pt idx="97">
                  <c:v>93.000</c:v>
                </c:pt>
                <c:pt idx="98">
                  <c:v>94.000</c:v>
                </c:pt>
                <c:pt idx="99">
                  <c:v>95.000</c:v>
                </c:pt>
                <c:pt idx="100">
                  <c:v>96.000</c:v>
                </c:pt>
                <c:pt idx="101">
                  <c:v>97.000</c:v>
                </c:pt>
                <c:pt idx="102">
                  <c:v>98.000</c:v>
                </c:pt>
                <c:pt idx="103">
                  <c:v>99.000</c:v>
                </c:pt>
                <c:pt idx="104">
                  <c:v>100.000</c:v>
                </c:pt>
                <c:pt idx="105">
                  <c:v>101.000</c:v>
                </c:pt>
                <c:pt idx="106">
                  <c:v>102.000</c:v>
                </c:pt>
                <c:pt idx="107">
                  <c:v>103.000</c:v>
                </c:pt>
                <c:pt idx="108">
                  <c:v>104.000</c:v>
                </c:pt>
                <c:pt idx="109">
                  <c:v>105.000</c:v>
                </c:pt>
                <c:pt idx="110">
                  <c:v>106.000</c:v>
                </c:pt>
                <c:pt idx="111">
                  <c:v>107.000</c:v>
                </c:pt>
                <c:pt idx="112">
                  <c:v>108.000</c:v>
                </c:pt>
                <c:pt idx="113">
                  <c:v>109.000</c:v>
                </c:pt>
                <c:pt idx="114">
                  <c:v>110.000</c:v>
                </c:pt>
                <c:pt idx="115">
                  <c:v>111.000</c:v>
                </c:pt>
                <c:pt idx="116">
                  <c:v>112.000</c:v>
                </c:pt>
                <c:pt idx="117">
                  <c:v>113.000</c:v>
                </c:pt>
                <c:pt idx="118">
                  <c:v>114.000</c:v>
                </c:pt>
                <c:pt idx="119">
                  <c:v>115.000</c:v>
                </c:pt>
                <c:pt idx="120">
                  <c:v>116.000</c:v>
                </c:pt>
                <c:pt idx="121">
                  <c:v>117.000</c:v>
                </c:pt>
                <c:pt idx="122">
                  <c:v>118.000</c:v>
                </c:pt>
                <c:pt idx="123">
                  <c:v>119.000</c:v>
                </c:pt>
                <c:pt idx="124">
                  <c:v>120.000</c:v>
                </c:pt>
                <c:pt idx="125">
                  <c:v>121.000</c:v>
                </c:pt>
                <c:pt idx="126">
                  <c:v>122.000</c:v>
                </c:pt>
                <c:pt idx="127">
                  <c:v>123.000</c:v>
                </c:pt>
                <c:pt idx="128">
                  <c:v>124.000</c:v>
                </c:pt>
                <c:pt idx="129">
                  <c:v>125.000</c:v>
                </c:pt>
                <c:pt idx="130">
                  <c:v>126.000</c:v>
                </c:pt>
                <c:pt idx="131">
                  <c:v>127.000</c:v>
                </c:pt>
                <c:pt idx="132">
                  <c:v>128.000</c:v>
                </c:pt>
                <c:pt idx="133">
                  <c:v>129.000</c:v>
                </c:pt>
                <c:pt idx="134">
                  <c:v>130.000</c:v>
                </c:pt>
                <c:pt idx="135">
                  <c:v>131.000</c:v>
                </c:pt>
                <c:pt idx="136">
                  <c:v>132.000</c:v>
                </c:pt>
                <c:pt idx="137">
                  <c:v>133.000</c:v>
                </c:pt>
                <c:pt idx="138">
                  <c:v>134.000</c:v>
                </c:pt>
                <c:pt idx="139">
                  <c:v>135.000</c:v>
                </c:pt>
                <c:pt idx="140">
                  <c:v>136.000</c:v>
                </c:pt>
                <c:pt idx="141">
                  <c:v>137.000</c:v>
                </c:pt>
                <c:pt idx="142">
                  <c:v>138.000</c:v>
                </c:pt>
                <c:pt idx="143">
                  <c:v>139.000</c:v>
                </c:pt>
                <c:pt idx="144">
                  <c:v>140.000</c:v>
                </c:pt>
                <c:pt idx="145">
                  <c:v>141.000</c:v>
                </c:pt>
                <c:pt idx="146">
                  <c:v>142.000</c:v>
                </c:pt>
                <c:pt idx="147">
                  <c:v>143.000</c:v>
                </c:pt>
                <c:pt idx="148">
                  <c:v>144.000</c:v>
                </c:pt>
                <c:pt idx="149">
                  <c:v>145.000</c:v>
                </c:pt>
                <c:pt idx="150">
                  <c:v>146.000</c:v>
                </c:pt>
                <c:pt idx="151">
                  <c:v>147.000</c:v>
                </c:pt>
                <c:pt idx="152">
                  <c:v>148.000</c:v>
                </c:pt>
                <c:pt idx="153">
                  <c:v>149.000</c:v>
                </c:pt>
                <c:pt idx="154">
                  <c:v>150.000</c:v>
                </c:pt>
                <c:pt idx="155">
                  <c:v>151.000</c:v>
                </c:pt>
                <c:pt idx="156">
                  <c:v>152.000</c:v>
                </c:pt>
                <c:pt idx="157">
                  <c:v>153.000</c:v>
                </c:pt>
                <c:pt idx="158">
                  <c:v>154.000</c:v>
                </c:pt>
                <c:pt idx="159">
                  <c:v>155.000</c:v>
                </c:pt>
                <c:pt idx="160">
                  <c:v>156.000</c:v>
                </c:pt>
                <c:pt idx="161">
                  <c:v>157.000</c:v>
                </c:pt>
                <c:pt idx="162">
                  <c:v>158.000</c:v>
                </c:pt>
                <c:pt idx="163">
                  <c:v>159.000</c:v>
                </c:pt>
                <c:pt idx="164">
                  <c:v>160.000</c:v>
                </c:pt>
                <c:pt idx="165">
                  <c:v>161.000</c:v>
                </c:pt>
                <c:pt idx="166">
                  <c:v>162.000</c:v>
                </c:pt>
                <c:pt idx="167">
                  <c:v>163.000</c:v>
                </c:pt>
                <c:pt idx="168">
                  <c:v>164.000</c:v>
                </c:pt>
                <c:pt idx="169">
                  <c:v>165.000</c:v>
                </c:pt>
                <c:pt idx="170">
                  <c:v>166.000</c:v>
                </c:pt>
                <c:pt idx="171">
                  <c:v>167.000</c:v>
                </c:pt>
                <c:pt idx="172">
                  <c:v>168.000</c:v>
                </c:pt>
                <c:pt idx="173">
                  <c:v>169.000</c:v>
                </c:pt>
                <c:pt idx="174">
                  <c:v>170.000</c:v>
                </c:pt>
                <c:pt idx="175">
                  <c:v>171.000</c:v>
                </c:pt>
                <c:pt idx="176">
                  <c:v>172.000</c:v>
                </c:pt>
                <c:pt idx="177">
                  <c:v>173.000</c:v>
                </c:pt>
                <c:pt idx="178">
                  <c:v>174.000</c:v>
                </c:pt>
                <c:pt idx="179">
                  <c:v>175.000</c:v>
                </c:pt>
                <c:pt idx="180">
                  <c:v>176.000</c:v>
                </c:pt>
                <c:pt idx="181">
                  <c:v>177.000</c:v>
                </c:pt>
                <c:pt idx="182">
                  <c:v>178.000</c:v>
                </c:pt>
                <c:pt idx="183">
                  <c:v>179.000</c:v>
                </c:pt>
                <c:pt idx="184">
                  <c:v>180.000</c:v>
                </c:pt>
                <c:pt idx="185">
                  <c:v>181.000</c:v>
                </c:pt>
                <c:pt idx="186">
                  <c:v>182.000</c:v>
                </c:pt>
                <c:pt idx="187">
                  <c:v>183.000</c:v>
                </c:pt>
                <c:pt idx="188">
                  <c:v>184.000</c:v>
                </c:pt>
                <c:pt idx="189">
                  <c:v>185.000</c:v>
                </c:pt>
                <c:pt idx="190">
                  <c:v>186.000</c:v>
                </c:pt>
                <c:pt idx="191">
                  <c:v>187.000</c:v>
                </c:pt>
                <c:pt idx="192">
                  <c:v>188.000</c:v>
                </c:pt>
                <c:pt idx="193">
                  <c:v>189.000</c:v>
                </c:pt>
                <c:pt idx="194">
                  <c:v>190.000</c:v>
                </c:pt>
                <c:pt idx="195">
                  <c:v>191.000</c:v>
                </c:pt>
                <c:pt idx="196">
                  <c:v>192.000</c:v>
                </c:pt>
                <c:pt idx="197">
                  <c:v>193.000</c:v>
                </c:pt>
                <c:pt idx="198">
                  <c:v>194.000</c:v>
                </c:pt>
                <c:pt idx="199">
                  <c:v>195.000</c:v>
                </c:pt>
                <c:pt idx="200">
                  <c:v>196.000</c:v>
                </c:pt>
                <c:pt idx="201">
                  <c:v>197.000</c:v>
                </c:pt>
                <c:pt idx="202">
                  <c:v>198.000</c:v>
                </c:pt>
                <c:pt idx="203">
                  <c:v>199.000</c:v>
                </c:pt>
                <c:pt idx="204">
                  <c:v>200.000</c:v>
                </c:pt>
                <c:pt idx="205">
                  <c:v>201.000</c:v>
                </c:pt>
                <c:pt idx="206">
                  <c:v>202.000</c:v>
                </c:pt>
                <c:pt idx="207">
                  <c:v>203.000</c:v>
                </c:pt>
                <c:pt idx="208">
                  <c:v>204.000</c:v>
                </c:pt>
                <c:pt idx="209">
                  <c:v>205.000</c:v>
                </c:pt>
                <c:pt idx="210">
                  <c:v>206.000</c:v>
                </c:pt>
                <c:pt idx="211">
                  <c:v>207.000</c:v>
                </c:pt>
                <c:pt idx="212">
                  <c:v>208.000</c:v>
                </c:pt>
                <c:pt idx="213">
                  <c:v>209.000</c:v>
                </c:pt>
                <c:pt idx="214">
                  <c:v>210.000</c:v>
                </c:pt>
                <c:pt idx="215">
                  <c:v>211.000</c:v>
                </c:pt>
                <c:pt idx="216">
                  <c:v>212.000</c:v>
                </c:pt>
                <c:pt idx="217">
                  <c:v>213.000</c:v>
                </c:pt>
                <c:pt idx="218">
                  <c:v>214.000</c:v>
                </c:pt>
                <c:pt idx="219">
                  <c:v>215.000</c:v>
                </c:pt>
                <c:pt idx="220">
                  <c:v>216.000</c:v>
                </c:pt>
                <c:pt idx="221">
                  <c:v>217.000</c:v>
                </c:pt>
                <c:pt idx="222">
                  <c:v>218.000</c:v>
                </c:pt>
                <c:pt idx="223">
                  <c:v>219.000</c:v>
                </c:pt>
                <c:pt idx="224">
                  <c:v>220.000</c:v>
                </c:pt>
                <c:pt idx="225">
                  <c:v>221.000</c:v>
                </c:pt>
                <c:pt idx="226">
                  <c:v>222.000</c:v>
                </c:pt>
                <c:pt idx="227">
                  <c:v>223.000</c:v>
                </c:pt>
                <c:pt idx="228">
                  <c:v>224.000</c:v>
                </c:pt>
                <c:pt idx="229">
                  <c:v>225.000</c:v>
                </c:pt>
                <c:pt idx="230">
                  <c:v>226.000</c:v>
                </c:pt>
                <c:pt idx="231">
                  <c:v>227.000</c:v>
                </c:pt>
                <c:pt idx="232">
                  <c:v>228.000</c:v>
                </c:pt>
                <c:pt idx="233">
                  <c:v>229.000</c:v>
                </c:pt>
                <c:pt idx="234">
                  <c:v>230.000</c:v>
                </c:pt>
                <c:pt idx="235">
                  <c:v>231.000</c:v>
                </c:pt>
                <c:pt idx="236">
                  <c:v>232.000</c:v>
                </c:pt>
                <c:pt idx="237">
                  <c:v>233.000</c:v>
                </c:pt>
                <c:pt idx="238">
                  <c:v>234.000</c:v>
                </c:pt>
                <c:pt idx="239">
                  <c:v>235.000</c:v>
                </c:pt>
                <c:pt idx="240">
                  <c:v>236.000</c:v>
                </c:pt>
                <c:pt idx="241">
                  <c:v>237.000</c:v>
                </c:pt>
                <c:pt idx="242">
                  <c:v>238.000</c:v>
                </c:pt>
                <c:pt idx="243">
                  <c:v>239.000</c:v>
                </c:pt>
                <c:pt idx="244">
                  <c:v>240.000</c:v>
                </c:pt>
                <c:pt idx="245">
                  <c:v>241.000</c:v>
                </c:pt>
                <c:pt idx="246">
                  <c:v>242.000</c:v>
                </c:pt>
                <c:pt idx="247">
                  <c:v>243.000</c:v>
                </c:pt>
                <c:pt idx="248">
                  <c:v>244.000</c:v>
                </c:pt>
                <c:pt idx="249">
                  <c:v>245.000</c:v>
                </c:pt>
                <c:pt idx="250">
                  <c:v>246.000</c:v>
                </c:pt>
                <c:pt idx="251">
                  <c:v>247.000</c:v>
                </c:pt>
                <c:pt idx="252">
                  <c:v>248.000</c:v>
                </c:pt>
                <c:pt idx="253">
                  <c:v>249.000</c:v>
                </c:pt>
                <c:pt idx="254">
                  <c:v>250.000</c:v>
                </c:pt>
                <c:pt idx="255">
                  <c:v>251.000</c:v>
                </c:pt>
                <c:pt idx="256">
                  <c:v>252.000</c:v>
                </c:pt>
                <c:pt idx="257">
                  <c:v>253.000</c:v>
                </c:pt>
                <c:pt idx="258">
                  <c:v>254.000</c:v>
                </c:pt>
                <c:pt idx="259">
                  <c:v>255.000</c:v>
                </c:pt>
                <c:pt idx="260">
                  <c:v>256.000</c:v>
                </c:pt>
                <c:pt idx="261">
                  <c:v>257.000</c:v>
                </c:pt>
                <c:pt idx="262">
                  <c:v>258.000</c:v>
                </c:pt>
                <c:pt idx="263">
                  <c:v>259.000</c:v>
                </c:pt>
                <c:pt idx="264">
                  <c:v>260.000</c:v>
                </c:pt>
                <c:pt idx="265">
                  <c:v>261.000</c:v>
                </c:pt>
                <c:pt idx="266">
                  <c:v>262.000</c:v>
                </c:pt>
                <c:pt idx="267">
                  <c:v>263.000</c:v>
                </c:pt>
                <c:pt idx="268">
                  <c:v>264.000</c:v>
                </c:pt>
                <c:pt idx="269">
                  <c:v>265.000</c:v>
                </c:pt>
                <c:pt idx="270">
                  <c:v>266.000</c:v>
                </c:pt>
                <c:pt idx="271">
                  <c:v>267.000</c:v>
                </c:pt>
                <c:pt idx="272">
                  <c:v>268.000</c:v>
                </c:pt>
                <c:pt idx="273">
                  <c:v>269.000</c:v>
                </c:pt>
                <c:pt idx="274">
                  <c:v>270.000</c:v>
                </c:pt>
                <c:pt idx="275">
                  <c:v>271.000</c:v>
                </c:pt>
                <c:pt idx="276">
                  <c:v>272.000</c:v>
                </c:pt>
                <c:pt idx="277">
                  <c:v>273.000</c:v>
                </c:pt>
                <c:pt idx="278">
                  <c:v>274.000</c:v>
                </c:pt>
                <c:pt idx="279">
                  <c:v>275.000</c:v>
                </c:pt>
                <c:pt idx="280">
                  <c:v>276.000</c:v>
                </c:pt>
                <c:pt idx="281">
                  <c:v>277.000</c:v>
                </c:pt>
                <c:pt idx="282">
                  <c:v>278.000</c:v>
                </c:pt>
                <c:pt idx="283">
                  <c:v>279.000</c:v>
                </c:pt>
                <c:pt idx="284">
                  <c:v>280.000</c:v>
                </c:pt>
                <c:pt idx="285">
                  <c:v>281.000</c:v>
                </c:pt>
                <c:pt idx="286">
                  <c:v>282.000</c:v>
                </c:pt>
                <c:pt idx="287">
                  <c:v>283.000</c:v>
                </c:pt>
                <c:pt idx="288">
                  <c:v>284.000</c:v>
                </c:pt>
                <c:pt idx="289">
                  <c:v>285.000</c:v>
                </c:pt>
                <c:pt idx="290">
                  <c:v>286.000</c:v>
                </c:pt>
                <c:pt idx="291">
                  <c:v>287.000</c:v>
                </c:pt>
                <c:pt idx="292">
                  <c:v>288.000</c:v>
                </c:pt>
                <c:pt idx="293">
                  <c:v>289.000</c:v>
                </c:pt>
                <c:pt idx="294">
                  <c:v>290.000</c:v>
                </c:pt>
                <c:pt idx="295">
                  <c:v>291.000</c:v>
                </c:pt>
                <c:pt idx="296">
                  <c:v>292.000</c:v>
                </c:pt>
                <c:pt idx="297">
                  <c:v>293.000</c:v>
                </c:pt>
                <c:pt idx="298">
                  <c:v>294.000</c:v>
                </c:pt>
                <c:pt idx="299">
                  <c:v>295.000</c:v>
                </c:pt>
                <c:pt idx="300">
                  <c:v>296.000</c:v>
                </c:pt>
                <c:pt idx="301">
                  <c:v>297.000</c:v>
                </c:pt>
                <c:pt idx="302">
                  <c:v>298.000</c:v>
                </c:pt>
                <c:pt idx="303">
                  <c:v>299.000</c:v>
                </c:pt>
                <c:pt idx="304">
                  <c:v>300.000</c:v>
                </c:pt>
                <c:pt idx="305">
                  <c:v>301.000</c:v>
                </c:pt>
                <c:pt idx="306">
                  <c:v>302.000</c:v>
                </c:pt>
                <c:pt idx="307">
                  <c:v>303.000</c:v>
                </c:pt>
                <c:pt idx="308">
                  <c:v>304.000</c:v>
                </c:pt>
                <c:pt idx="309">
                  <c:v>305.000</c:v>
                </c:pt>
                <c:pt idx="310">
                  <c:v>306.000</c:v>
                </c:pt>
                <c:pt idx="311">
                  <c:v>307.000</c:v>
                </c:pt>
                <c:pt idx="312">
                  <c:v>308.000</c:v>
                </c:pt>
                <c:pt idx="313">
                  <c:v>309.000</c:v>
                </c:pt>
                <c:pt idx="314">
                  <c:v>310.000</c:v>
                </c:pt>
                <c:pt idx="315">
                  <c:v>311.000</c:v>
                </c:pt>
                <c:pt idx="316">
                  <c:v>312.000</c:v>
                </c:pt>
                <c:pt idx="317">
                  <c:v>313.000</c:v>
                </c:pt>
                <c:pt idx="318">
                  <c:v>314.000</c:v>
                </c:pt>
                <c:pt idx="319">
                  <c:v>315.000</c:v>
                </c:pt>
                <c:pt idx="320">
                  <c:v>316.000</c:v>
                </c:pt>
                <c:pt idx="321">
                  <c:v>317.000</c:v>
                </c:pt>
                <c:pt idx="322">
                  <c:v>318.000</c:v>
                </c:pt>
                <c:pt idx="323">
                  <c:v>319.000</c:v>
                </c:pt>
                <c:pt idx="324">
                  <c:v>320.000</c:v>
                </c:pt>
                <c:pt idx="325">
                  <c:v>321.000</c:v>
                </c:pt>
                <c:pt idx="326">
                  <c:v>322.000</c:v>
                </c:pt>
                <c:pt idx="327">
                  <c:v>323.000</c:v>
                </c:pt>
                <c:pt idx="328">
                  <c:v>324.000</c:v>
                </c:pt>
                <c:pt idx="329">
                  <c:v>325.000</c:v>
                </c:pt>
                <c:pt idx="330">
                  <c:v>326.000</c:v>
                </c:pt>
                <c:pt idx="331">
                  <c:v>327.000</c:v>
                </c:pt>
                <c:pt idx="332">
                  <c:v>328.000</c:v>
                </c:pt>
                <c:pt idx="333">
                  <c:v>329.000</c:v>
                </c:pt>
                <c:pt idx="334">
                  <c:v>330.000</c:v>
                </c:pt>
                <c:pt idx="335">
                  <c:v>331.000</c:v>
                </c:pt>
                <c:pt idx="336">
                  <c:v>332.000</c:v>
                </c:pt>
                <c:pt idx="337">
                  <c:v>333.000</c:v>
                </c:pt>
                <c:pt idx="338">
                  <c:v>334.000</c:v>
                </c:pt>
                <c:pt idx="339">
                  <c:v>335.000</c:v>
                </c:pt>
                <c:pt idx="340">
                  <c:v>336.000</c:v>
                </c:pt>
                <c:pt idx="341">
                  <c:v>337.000</c:v>
                </c:pt>
                <c:pt idx="342">
                  <c:v>338.000</c:v>
                </c:pt>
                <c:pt idx="343">
                  <c:v>339.000</c:v>
                </c:pt>
                <c:pt idx="344">
                  <c:v>340.000</c:v>
                </c:pt>
                <c:pt idx="345">
                  <c:v>341.000</c:v>
                </c:pt>
                <c:pt idx="346">
                  <c:v>342.000</c:v>
                </c:pt>
                <c:pt idx="347">
                  <c:v>343.000</c:v>
                </c:pt>
                <c:pt idx="348">
                  <c:v>344.000</c:v>
                </c:pt>
                <c:pt idx="349">
                  <c:v>345.000</c:v>
                </c:pt>
                <c:pt idx="350">
                  <c:v>346.000</c:v>
                </c:pt>
                <c:pt idx="351">
                  <c:v>347.000</c:v>
                </c:pt>
                <c:pt idx="352">
                  <c:v>348.000</c:v>
                </c:pt>
                <c:pt idx="353">
                  <c:v>349.000</c:v>
                </c:pt>
                <c:pt idx="354">
                  <c:v>350.000</c:v>
                </c:pt>
                <c:pt idx="355">
                  <c:v>351.000</c:v>
                </c:pt>
                <c:pt idx="356">
                  <c:v>352.000</c:v>
                </c:pt>
                <c:pt idx="357">
                  <c:v>353.000</c:v>
                </c:pt>
                <c:pt idx="358">
                  <c:v>354.000</c:v>
                </c:pt>
                <c:pt idx="359">
                  <c:v>355.000</c:v>
                </c:pt>
                <c:pt idx="360">
                  <c:v>356.000</c:v>
                </c:pt>
                <c:pt idx="361">
                  <c:v>357.000</c:v>
                </c:pt>
                <c:pt idx="362">
                  <c:v>358.000</c:v>
                </c:pt>
                <c:pt idx="363">
                  <c:v>359.000</c:v>
                </c:pt>
                <c:pt idx="364">
                  <c:v>360.000</c:v>
                </c:pt>
                <c:pt idx="365">
                  <c:v>361.000</c:v>
                </c:pt>
                <c:pt idx="366">
                  <c:v>362.000</c:v>
                </c:pt>
                <c:pt idx="367">
                  <c:v>363.000</c:v>
                </c:pt>
                <c:pt idx="368">
                  <c:v>364.000</c:v>
                </c:pt>
                <c:pt idx="369">
                  <c:v>365.000</c:v>
                </c:pt>
                <c:pt idx="370">
                  <c:v>366.000</c:v>
                </c:pt>
                <c:pt idx="371">
                  <c:v>367.000</c:v>
                </c:pt>
                <c:pt idx="372">
                  <c:v>368.000</c:v>
                </c:pt>
                <c:pt idx="373">
                  <c:v>369.000</c:v>
                </c:pt>
                <c:pt idx="374">
                  <c:v>370.000</c:v>
                </c:pt>
                <c:pt idx="375">
                  <c:v>371.000</c:v>
                </c:pt>
                <c:pt idx="376">
                  <c:v>372.000</c:v>
                </c:pt>
                <c:pt idx="377">
                  <c:v>373.000</c:v>
                </c:pt>
                <c:pt idx="378">
                  <c:v>374.000</c:v>
                </c:pt>
                <c:pt idx="379">
                  <c:v>375.000</c:v>
                </c:pt>
                <c:pt idx="380">
                  <c:v>376.000</c:v>
                </c:pt>
                <c:pt idx="381">
                  <c:v>377.000</c:v>
                </c:pt>
                <c:pt idx="382">
                  <c:v>378.000</c:v>
                </c:pt>
                <c:pt idx="383">
                  <c:v>379.000</c:v>
                </c:pt>
                <c:pt idx="384">
                  <c:v>380.000</c:v>
                </c:pt>
                <c:pt idx="385">
                  <c:v>381.000</c:v>
                </c:pt>
                <c:pt idx="386">
                  <c:v>382.000</c:v>
                </c:pt>
                <c:pt idx="387">
                  <c:v>383.000</c:v>
                </c:pt>
                <c:pt idx="388">
                  <c:v>384.000</c:v>
                </c:pt>
                <c:pt idx="389">
                  <c:v>385.000</c:v>
                </c:pt>
                <c:pt idx="390">
                  <c:v>386.000</c:v>
                </c:pt>
                <c:pt idx="391">
                  <c:v>387.000</c:v>
                </c:pt>
                <c:pt idx="392">
                  <c:v>388.000</c:v>
                </c:pt>
                <c:pt idx="393">
                  <c:v>389.000</c:v>
                </c:pt>
                <c:pt idx="394">
                  <c:v>390.000</c:v>
                </c:pt>
                <c:pt idx="395">
                  <c:v>391.000</c:v>
                </c:pt>
                <c:pt idx="396">
                  <c:v>392.000</c:v>
                </c:pt>
                <c:pt idx="397">
                  <c:v>393.000</c:v>
                </c:pt>
                <c:pt idx="398">
                  <c:v>394.000</c:v>
                </c:pt>
                <c:pt idx="399">
                  <c:v>395.000</c:v>
                </c:pt>
                <c:pt idx="400">
                  <c:v>396.000</c:v>
                </c:pt>
                <c:pt idx="401">
                  <c:v>397.000</c:v>
                </c:pt>
                <c:pt idx="402">
                  <c:v>398.000</c:v>
                </c:pt>
                <c:pt idx="403">
                  <c:v>399.000</c:v>
                </c:pt>
                <c:pt idx="404">
                  <c:v>400.000</c:v>
                </c:pt>
                <c:pt idx="405">
                  <c:v>401.000</c:v>
                </c:pt>
                <c:pt idx="406">
                  <c:v>402.000</c:v>
                </c:pt>
                <c:pt idx="407">
                  <c:v>403.000</c:v>
                </c:pt>
                <c:pt idx="408">
                  <c:v>404.000</c:v>
                </c:pt>
                <c:pt idx="409">
                  <c:v>405.000</c:v>
                </c:pt>
                <c:pt idx="410">
                  <c:v>406.000</c:v>
                </c:pt>
                <c:pt idx="411">
                  <c:v>407.000</c:v>
                </c:pt>
                <c:pt idx="412">
                  <c:v>408.000</c:v>
                </c:pt>
                <c:pt idx="413">
                  <c:v>409.000</c:v>
                </c:pt>
                <c:pt idx="414">
                  <c:v>410.000</c:v>
                </c:pt>
                <c:pt idx="415">
                  <c:v>411.000</c:v>
                </c:pt>
                <c:pt idx="416">
                  <c:v>412.000</c:v>
                </c:pt>
                <c:pt idx="417">
                  <c:v>413.000</c:v>
                </c:pt>
                <c:pt idx="418">
                  <c:v>414.000</c:v>
                </c:pt>
                <c:pt idx="419">
                  <c:v>415.000</c:v>
                </c:pt>
                <c:pt idx="420">
                  <c:v>416.000</c:v>
                </c:pt>
                <c:pt idx="421">
                  <c:v>417.000</c:v>
                </c:pt>
                <c:pt idx="422">
                  <c:v>418.000</c:v>
                </c:pt>
                <c:pt idx="423">
                  <c:v>419.000</c:v>
                </c:pt>
                <c:pt idx="424">
                  <c:v>420.000</c:v>
                </c:pt>
              </c:strCache>
            </c:strRef>
          </c:xVal>
          <c:yVal>
            <c:numRef>
              <c:f>Model_Tx!$M$1:$M$425</c:f>
              <c:numCache>
                <c:formatCode>General</c:formatCode>
                <c:ptCount val="425"/>
                <c:pt idx="1">
                  <c:v>0</c:v>
                </c:pt>
                <c:pt idx="3">
                  <c:v>0.99740177683639486</c:v>
                </c:pt>
                <c:pt idx="4" formatCode="0.000">
                  <c:v>1</c:v>
                </c:pt>
                <c:pt idx="5" formatCode="0.000">
                  <c:v>0.99315068493151004</c:v>
                </c:pt>
                <c:pt idx="6" formatCode="0.000">
                  <c:v>0.98625380517504002</c:v>
                </c:pt>
                <c:pt idx="7" formatCode="0.000">
                  <c:v>0.98625380517504002</c:v>
                </c:pt>
                <c:pt idx="8" formatCode="0.000">
                  <c:v>0.97935692541857</c:v>
                </c:pt>
                <c:pt idx="9" formatCode="0.000">
                  <c:v>0.97935692541857</c:v>
                </c:pt>
                <c:pt idx="10" formatCode="0.000">
                  <c:v>0.97236151880844002</c:v>
                </c:pt>
                <c:pt idx="11" formatCode="0.000">
                  <c:v>0.95137529897803996</c:v>
                </c:pt>
                <c:pt idx="12" formatCode="0.000">
                  <c:v>0.93038907914764002</c:v>
                </c:pt>
                <c:pt idx="13" formatCode="0.000">
                  <c:v>0.93038907914764002</c:v>
                </c:pt>
                <c:pt idx="14" formatCode="0.000">
                  <c:v>0.93038907914764002</c:v>
                </c:pt>
                <c:pt idx="15" formatCode="0.000">
                  <c:v>0.93038907914764002</c:v>
                </c:pt>
                <c:pt idx="16" formatCode="0.000">
                  <c:v>0.90918761603692999</c:v>
                </c:pt>
                <c:pt idx="17" formatCode="0.000">
                  <c:v>0.89498155953634995</c:v>
                </c:pt>
                <c:pt idx="18" formatCode="0.000">
                  <c:v>0.87367247478549004</c:v>
                </c:pt>
                <c:pt idx="19" formatCode="0.000">
                  <c:v>0.86656944653519996</c:v>
                </c:pt>
                <c:pt idx="20" formatCode="0.000">
                  <c:v>0.85940771557210005</c:v>
                </c:pt>
                <c:pt idx="21" formatCode="0.000">
                  <c:v>0.85224598460900003</c:v>
                </c:pt>
                <c:pt idx="22" formatCode="0.000">
                  <c:v>0.83780113741224005</c:v>
                </c:pt>
                <c:pt idx="23" formatCode="0.000">
                  <c:v>0.81613386661708998</c:v>
                </c:pt>
                <c:pt idx="24" formatCode="0.000">
                  <c:v>0.80397328419301606</c:v>
                </c:pt>
                <c:pt idx="25" formatCode="0.000">
                  <c:v>0.79200411518787384</c:v>
                </c:pt>
                <c:pt idx="26" formatCode="0.000">
                  <c:v>0.78023350941146508</c:v>
                </c:pt>
                <c:pt idx="27" formatCode="0.000">
                  <c:v>0.76866641706736349</c:v>
                </c:pt>
                <c:pt idx="28" formatCode="0.000">
                  <c:v>0.75730599823682876</c:v>
                </c:pt>
                <c:pt idx="29" formatCode="0.000">
                  <c:v>0.74615395593409961</c:v>
                </c:pt>
                <c:pt idx="30" formatCode="0.000">
                  <c:v>0.73521080801598526</c:v>
                </c:pt>
                <c:pt idx="31" formatCode="0.000">
                  <c:v>0.72447610992138145</c:v>
                </c:pt>
                <c:pt idx="32" formatCode="0.000">
                  <c:v>0.71394863768070937</c:v>
                </c:pt>
                <c:pt idx="33" formatCode="0.000">
                  <c:v>0.70362653867872738</c:v>
                </c:pt>
                <c:pt idx="34" formatCode="0.000">
                  <c:v>0.69350745613498876</c:v>
                </c:pt>
                <c:pt idx="35" formatCode="0.000">
                  <c:v>0.68358863207961806</c:v>
                </c:pt>
                <c:pt idx="36" formatCode="0.000">
                  <c:v>0.67386699266994632</c:v>
                </c:pt>
                <c:pt idx="37" formatCode="0.000">
                  <c:v>0.66433921895731085</c:v>
                </c:pt>
                <c:pt idx="38" formatCode="0.000">
                  <c:v>0.65500180562881627</c:v>
                </c:pt>
                <c:pt idx="39" formatCode="0.000">
                  <c:v>0.64585110978249671</c:v>
                </c:pt>
                <c:pt idx="40" formatCode="0.000">
                  <c:v>0.63688339142049377</c:v>
                </c:pt>
                <c:pt idx="41" formatCode="0.000">
                  <c:v>0.62809484704387375</c:v>
                </c:pt>
                <c:pt idx="42" formatCode="0.000">
                  <c:v>0.61948163748931873</c:v>
                </c:pt>
                <c:pt idx="43" formatCode="0.000">
                  <c:v>0.61103991095034271</c:v>
                </c:pt>
                <c:pt idx="44" formatCode="0.000">
                  <c:v>0.60276582196465756</c:v>
                </c:pt>
                <c:pt idx="45" formatCode="0.000">
                  <c:v>0.59465554701759837</c:v>
                </c:pt>
                <c:pt idx="46" formatCode="0.000">
                  <c:v>0.58670529730342524</c:v>
                </c:pt>
                <c:pt idx="47" formatCode="0.000">
                  <c:v>0.57891132909729504</c:v>
                </c:pt>
                <c:pt idx="48" formatCode="0.000">
                  <c:v>0.57126995211717069</c:v>
                </c:pt>
                <c:pt idx="49" formatCode="0.000">
                  <c:v>0.56377753619401583</c:v>
                </c:pt>
                <c:pt idx="50" formatCode="0.000">
                  <c:v>0.55643051651801334</c:v>
                </c:pt>
                <c:pt idx="51" formatCode="0.000">
                  <c:v>0.5492253976863839</c:v>
                </c:pt>
                <c:pt idx="52" formatCode="0.000">
                  <c:v>0.5421587567431696</c:v>
                </c:pt>
                <c:pt idx="53" formatCode="0.000">
                  <c:v>0.53522724537188027</c:v>
                </c:pt>
                <c:pt idx="54" formatCode="0.000">
                  <c:v>0.52842759137715622</c:v>
                </c:pt>
                <c:pt idx="55" formatCode="0.000">
                  <c:v>0.52175659957081966</c:v>
                </c:pt>
                <c:pt idx="56" formatCode="0.000">
                  <c:v>0.51521115216015545</c:v>
                </c:pt>
                <c:pt idx="57" formatCode="0.000">
                  <c:v>0.50878820872148001</c:v>
                </c:pt>
                <c:pt idx="58" formatCode="0.000">
                  <c:v>0.50248480582954669</c:v>
                </c:pt>
                <c:pt idx="59" formatCode="0.000">
                  <c:v>0.49629805640274011</c:v>
                </c:pt>
                <c:pt idx="60" formatCode="0.000">
                  <c:v>0.49022514881502832</c:v>
                </c:pt>
                <c:pt idx="61" formatCode="0.000">
                  <c:v>0.48426334581799951</c:v>
                </c:pt>
                <c:pt idx="62" formatCode="0.000">
                  <c:v>0.47840998330981716</c:v>
                </c:pt>
                <c:pt idx="63" formatCode="0.000">
                  <c:v>0.47266246898239173</c:v>
                </c:pt>
                <c:pt idx="64" formatCode="0.000">
                  <c:v>0.46701828087334746</c:v>
                </c:pt>
                <c:pt idx="65" formatCode="0.000">
                  <c:v>0.4614749658453316</c:v>
                </c:pt>
                <c:pt idx="66" formatCode="0.000">
                  <c:v>0.45603013801178022</c:v>
                </c:pt>
                <c:pt idx="67" formatCode="0.000">
                  <c:v>0.45068147712529755</c:v>
                </c:pt>
                <c:pt idx="68" formatCode="0.000">
                  <c:v>0.4454267269423024</c:v>
                </c:pt>
                <c:pt idx="69" formatCode="0.000">
                  <c:v>0.44026369357542899</c:v>
                </c:pt>
                <c:pt idx="70" formatCode="0.000">
                  <c:v>0.43519024384332905</c:v>
                </c:pt>
                <c:pt idx="71" formatCode="0.000">
                  <c:v>0.43020430362593742</c:v>
                </c:pt>
                <c:pt idx="72" formatCode="0.000">
                  <c:v>0.42530385623191302</c:v>
                </c:pt>
                <c:pt idx="73" formatCode="0.000">
                  <c:v>0.42048694078380244</c:v>
                </c:pt>
                <c:pt idx="74" formatCode="0.000">
                  <c:v>0.41575165062547947</c:v>
                </c:pt>
                <c:pt idx="75" formatCode="0.000">
                  <c:v>0.41109613175557019</c:v>
                </c:pt>
                <c:pt idx="76" formatCode="0.000">
                  <c:v>0.4065185812898337</c:v>
                </c:pt>
                <c:pt idx="77" formatCode="0.000">
                  <c:v>0.40201724595485944</c:v>
                </c:pt>
                <c:pt idx="78" formatCode="0.000">
                  <c:v>0.39759042061489785</c:v>
                </c:pt>
                <c:pt idx="79" formatCode="0.000">
                  <c:v>0.39323644683320252</c:v>
                </c:pt>
                <c:pt idx="80" formatCode="0.000">
                  <c:v>0.38895371146885921</c:v>
                </c:pt>
                <c:pt idx="81" formatCode="0.000">
                  <c:v>0.38474064530977176</c:v>
                </c:pt>
                <c:pt idx="82" formatCode="0.000">
                  <c:v>0.38059572174217365</c:v>
                </c:pt>
                <c:pt idx="83" formatCode="0.000">
                  <c:v>0.37651745545681897</c:v>
                </c:pt>
                <c:pt idx="84" formatCode="0.000">
                  <c:v>0.372504401191802</c:v>
                </c:pt>
                <c:pt idx="85" formatCode="0.000">
                  <c:v>0.36855515251178644</c:v>
                </c:pt>
                <c:pt idx="86" formatCode="0.000">
                  <c:v>0.364668340623298</c:v>
                </c:pt>
                <c:pt idx="87" formatCode="0.000">
                  <c:v>0.36084263322560722</c:v>
                </c:pt>
                <c:pt idx="88" formatCode="0.000">
                  <c:v>0.35707673339665169</c:v>
                </c:pt>
                <c:pt idx="89" formatCode="0.000">
                  <c:v>0.3533693785133577</c:v>
                </c:pt>
                <c:pt idx="90" formatCode="0.000">
                  <c:v>0.34971933920567166</c:v>
                </c:pt>
                <c:pt idx="91" formatCode="0.000">
                  <c:v>0.34612541834355448</c:v>
                </c:pt>
                <c:pt idx="92" formatCode="0.000">
                  <c:v>0.34258645005616822</c:v>
                </c:pt>
                <c:pt idx="93" formatCode="0.000">
                  <c:v>0.33910129878244499</c:v>
                </c:pt>
                <c:pt idx="94" formatCode="0.000">
                  <c:v>0.33566885835221616</c:v>
                </c:pt>
                <c:pt idx="95" formatCode="0.000">
                  <c:v>0.33228805109707277</c:v>
                </c:pt>
                <c:pt idx="96" formatCode="0.000">
                  <c:v>0.32895782699010845</c:v>
                </c:pt>
                <c:pt idx="97" formatCode="0.000">
                  <c:v>0.32567716281371151</c:v>
                </c:pt>
                <c:pt idx="98" formatCode="0.000">
                  <c:v>0.32244506135456386</c:v>
                </c:pt>
                <c:pt idx="99" formatCode="0.000">
                  <c:v>0.31926055062501696</c:v>
                </c:pt>
                <c:pt idx="100" formatCode="0.000">
                  <c:v>0.31612268311002545</c:v>
                </c:pt>
                <c:pt idx="101" formatCode="0.000">
                  <c:v>0.3130305350388275</c:v>
                </c:pt>
                <c:pt idx="102" formatCode="0.000">
                  <c:v>0.30998320568057647</c:v>
                </c:pt>
                <c:pt idx="103" formatCode="0.000">
                  <c:v>0.30697981666314789</c:v>
                </c:pt>
                <c:pt idx="104" formatCode="0.000">
                  <c:v>0.30401951131435406</c:v>
                </c:pt>
                <c:pt idx="105" formatCode="0.000">
                  <c:v>0.3011014540248283</c:v>
                </c:pt>
                <c:pt idx="106" formatCode="0.000">
                  <c:v>0.29822482963184643</c:v>
                </c:pt>
                <c:pt idx="107" formatCode="0.000">
                  <c:v>0.29538884282338318</c:v>
                </c:pt>
                <c:pt idx="108" formatCode="0.000">
                  <c:v>0.29259271756171606</c:v>
                </c:pt>
                <c:pt idx="109" formatCode="0.000">
                  <c:v>0.28983569652590485</c:v>
                </c:pt>
                <c:pt idx="110" formatCode="0.000">
                  <c:v>0.28711704057250498</c:v>
                </c:pt>
                <c:pt idx="111" formatCode="0.000">
                  <c:v>0.28443602821388175</c:v>
                </c:pt>
                <c:pt idx="112" formatCode="0.000">
                  <c:v>0.2817919551135194</c:v>
                </c:pt>
                <c:pt idx="113" formatCode="0.000">
                  <c:v>0.27918413359773714</c:v>
                </c:pt>
                <c:pt idx="114" formatCode="0.000">
                  <c:v>0.27661189218323562</c:v>
                </c:pt>
                <c:pt idx="115" formatCode="0.000">
                  <c:v>0.27407457511993466</c:v>
                </c:pt>
                <c:pt idx="116" formatCode="0.000">
                  <c:v>0.27157154194855498</c:v>
                </c:pt>
                <c:pt idx="117" formatCode="0.000">
                  <c:v>0.26910216707244278</c:v>
                </c:pt>
                <c:pt idx="118" formatCode="0.000">
                  <c:v>0.26666583934313193</c:v>
                </c:pt>
                <c:pt idx="119" formatCode="0.000">
                  <c:v>0.26426196165916582</c:v>
                </c:pt>
                <c:pt idx="120" formatCode="0.000">
                  <c:v>0.26188995057771858</c:v>
                </c:pt>
                <c:pt idx="121" formatCode="0.000">
                  <c:v>0.25954923593856516</c:v>
                </c:pt>
                <c:pt idx="122" formatCode="0.000">
                  <c:v>0.25723926049997403</c:v>
                </c:pt>
                <c:pt idx="123" formatCode="0.000">
                  <c:v>0.25495947958610243</c:v>
                </c:pt>
                <c:pt idx="124" formatCode="0.000">
                  <c:v>0.25270936074549621</c:v>
                </c:pt>
                <c:pt idx="125" formatCode="0.000">
                  <c:v>0.25048838342030971</c:v>
                </c:pt>
                <c:pt idx="126" formatCode="0.000">
                  <c:v>0.24829603862586977</c:v>
                </c:pt>
                <c:pt idx="127" formatCode="0.000">
                  <c:v>0.24613182864022737</c:v>
                </c:pt>
                <c:pt idx="128" formatCode="0.000">
                  <c:v>0.24399526670335256</c:v>
                </c:pt>
                <c:pt idx="129" formatCode="0.000">
                  <c:v>0.24188587672563716</c:v>
                </c:pt>
                <c:pt idx="130" formatCode="0.000">
                  <c:v>0.23980319300538583</c:v>
                </c:pt>
                <c:pt idx="131" formatCode="0.000">
                  <c:v>0.23774675995498606</c:v>
                </c:pt>
                <c:pt idx="132" formatCode="0.000">
                  <c:v>0.23571613183545936</c:v>
                </c:pt>
                <c:pt idx="133" formatCode="0.000">
                  <c:v>0.23371087249910744</c:v>
                </c:pt>
                <c:pt idx="134" formatCode="0.000">
                  <c:v>0.23173055513997573</c:v>
                </c:pt>
                <c:pt idx="135" formatCode="0.000">
                  <c:v>0.22977476205186781</c:v>
                </c:pt>
                <c:pt idx="136" formatCode="0.000">
                  <c:v>0.22784308439365758</c:v>
                </c:pt>
                <c:pt idx="137" formatCode="0.000">
                  <c:v>0.22593512196164639</c:v>
                </c:pt>
                <c:pt idx="138" formatCode="0.000">
                  <c:v>0.22405048296873331</c:v>
                </c:pt>
                <c:pt idx="139" formatCode="0.000">
                  <c:v>0.22218878383016316</c:v>
                </c:pt>
                <c:pt idx="140" formatCode="0.000">
                  <c:v>0.22034964895563711</c:v>
                </c:pt>
                <c:pt idx="141" formatCode="0.000">
                  <c:v>0.21853271054756818</c:v>
                </c:pt>
                <c:pt idx="142" formatCode="0.000">
                  <c:v>0.21673760840527947</c:v>
                </c:pt>
                <c:pt idx="143" formatCode="0.000">
                  <c:v>0.2149639897349459</c:v>
                </c:pt>
                <c:pt idx="144" formatCode="0.000">
                  <c:v>0.21321150896508959</c:v>
                </c:pt>
                <c:pt idx="145" formatCode="0.000">
                  <c:v>0.21147982756744618</c:v>
                </c:pt>
                <c:pt idx="146" formatCode="0.000">
                  <c:v>0.20976861388302298</c:v>
                </c:pt>
                <c:pt idx="147" formatCode="0.000">
                  <c:v>0.2080775429531796</c:v>
                </c:pt>
                <c:pt idx="148" formatCode="0.000">
                  <c:v>0.20640629635556773</c:v>
                </c:pt>
                <c:pt idx="149" formatCode="0.000">
                  <c:v>0.20475456204476994</c:v>
                </c:pt>
                <c:pt idx="150" formatCode="0.000">
                  <c:v>0.20312203419748565</c:v>
                </c:pt>
                <c:pt idx="151" formatCode="0.000">
                  <c:v>0.20150841306211553</c:v>
                </c:pt>
                <c:pt idx="152" formatCode="0.000">
                  <c:v>0.19991340481260575</c:v>
                </c:pt>
                <c:pt idx="153" formatCode="0.000">
                  <c:v>0.19833672140640987</c:v>
                </c:pt>
                <c:pt idx="154" formatCode="0.000">
                  <c:v>0.19677808044644191</c:v>
                </c:pt>
                <c:pt idx="155" formatCode="0.000">
                  <c:v>0.19523720504688802</c:v>
                </c:pt>
                <c:pt idx="156" formatCode="0.000">
                  <c:v>0.19371382370275825</c:v>
                </c:pt>
                <c:pt idx="157" formatCode="0.000">
                  <c:v>0.19220767016305632</c:v>
                </c:pt>
                <c:pt idx="158" formatCode="0.000">
                  <c:v>0.19071848330745492</c:v>
                </c:pt>
                <c:pt idx="159" formatCode="0.000">
                  <c:v>0.18924600702636712</c:v>
                </c:pt>
                <c:pt idx="160" formatCode="0.000">
                  <c:v>0.18778999010430256</c:v>
                </c:pt>
                <c:pt idx="161" formatCode="0.000">
                  <c:v>0.18635018610641291</c:v>
                </c:pt>
                <c:pt idx="162" formatCode="0.000">
                  <c:v>0.18492635326812032</c:v>
                </c:pt>
                <c:pt idx="163" formatCode="0.000">
                  <c:v>0.18351825438773847</c:v>
                </c:pt>
                <c:pt idx="164" formatCode="0.000">
                  <c:v>0.18212565672198885</c:v>
                </c:pt>
                <c:pt idx="165" formatCode="0.000">
                  <c:v>0.1807483318843284</c:v>
                </c:pt>
                <c:pt idx="166" formatCode="0.000">
                  <c:v>0.17938605574599736</c:v>
                </c:pt>
                <c:pt idx="167" formatCode="0.000">
                  <c:v>0.17803860833970625</c:v>
                </c:pt>
                <c:pt idx="168" formatCode="0.000">
                  <c:v>0.1767057737658822</c:v>
                </c:pt>
                <c:pt idx="169" formatCode="0.000">
                  <c:v>0.17538734010139614</c:v>
                </c:pt>
                <c:pt idx="170" formatCode="0.000">
                  <c:v>0.17408309931069343</c:v>
                </c:pt>
                <c:pt idx="171" formatCode="0.000">
                  <c:v>0.17279284715926155</c:v>
                </c:pt>
                <c:pt idx="172" formatCode="0.000">
                  <c:v>0.17151638312935735</c:v>
                </c:pt>
                <c:pt idx="173" formatCode="0.000">
                  <c:v>0.17025351033793132</c:v>
                </c:pt>
                <c:pt idx="174" formatCode="0.000">
                  <c:v>0.1690040354566818</c:v>
                </c:pt>
                <c:pt idx="175" formatCode="0.000">
                  <c:v>0.16776776863417572</c:v>
                </c:pt>
                <c:pt idx="176" formatCode="0.000">
                  <c:v>0.16654452341997389</c:v>
                </c:pt>
                <c:pt idx="177" formatCode="0.000">
                  <c:v>0.16533411669070316</c:v>
                </c:pt>
                <c:pt idx="178" formatCode="0.000">
                  <c:v>0.16413636857801919</c:v>
                </c:pt>
                <c:pt idx="179" formatCode="0.000">
                  <c:v>0.16295110239839947</c:v>
                </c:pt>
                <c:pt idx="180" formatCode="0.000">
                  <c:v>0.16177814458472101</c:v>
                </c:pt>
                <c:pt idx="181" formatCode="0.000">
                  <c:v>0.16061732461956138</c:v>
                </c:pt>
                <c:pt idx="182" formatCode="0.000">
                  <c:v>0.15946847497018435</c:v>
                </c:pt>
                <c:pt idx="183" formatCode="0.000">
                  <c:v>0.15833143102514988</c:v>
                </c:pt>
                <c:pt idx="184" formatCode="0.000">
                  <c:v>0.15720603103251118</c:v>
                </c:pt>
                <c:pt idx="185" formatCode="0.000">
                  <c:v>0.15609211603954717</c:v>
                </c:pt>
                <c:pt idx="186" formatCode="0.000">
                  <c:v>0.15498952983399078</c:v>
                </c:pt>
                <c:pt idx="187" formatCode="0.000">
                  <c:v>0.15389811888670707</c:v>
                </c:pt>
                <c:pt idx="188" formatCode="0.000">
                  <c:v>0.15281773229578299</c:v>
                </c:pt>
                <c:pt idx="189" formatCode="0.000">
                  <c:v>0.15174822173198674</c:v>
                </c:pt>
                <c:pt idx="190" formatCode="0.000">
                  <c:v>0.1506894413855589</c:v>
                </c:pt>
                <c:pt idx="191" formatCode="0.000">
                  <c:v>0.14964124791430025</c:v>
                </c:pt>
                <c:pt idx="192" formatCode="0.000">
                  <c:v>0.1486035003929147</c:v>
                </c:pt>
                <c:pt idx="193" formatCode="0.000">
                  <c:v>0.14757606026357803</c:v>
                </c:pt>
                <c:pt idx="194" formatCode="0.000">
                  <c:v>0.14655879128769639</c:v>
                </c:pt>
                <c:pt idx="195" formatCode="0.000">
                  <c:v>0.14555155949881909</c:v>
                </c:pt>
                <c:pt idx="196" formatCode="0.000">
                  <c:v>0.14455423315667865</c:v>
                </c:pt>
                <c:pt idx="197" formatCode="0.000">
                  <c:v>0.14356668270232362</c:v>
                </c:pt>
                <c:pt idx="198" formatCode="0.000">
                  <c:v>0.14258878071431536</c:v>
                </c:pt>
                <c:pt idx="199" formatCode="0.000">
                  <c:v>0.14162040186596042</c:v>
                </c:pt>
                <c:pt idx="200" formatCode="0.000">
                  <c:v>0.14066142288354899</c:v>
                </c:pt>
                <c:pt idx="201" formatCode="0.000">
                  <c:v>0.13971172250557404</c:v>
                </c:pt>
                <c:pt idx="202" formatCode="0.000">
                  <c:v>0.13877118144290357</c:v>
                </c:pt>
                <c:pt idx="203" formatCode="0.000">
                  <c:v>0.13783968233987967</c:v>
                </c:pt>
                <c:pt idx="204" formatCode="0.000">
                  <c:v>0.13691710973632118</c:v>
                </c:pt>
                <c:pt idx="205" formatCode="0.000">
                  <c:v>0.13600335003040531</c:v>
                </c:pt>
                <c:pt idx="206" formatCode="0.000">
                  <c:v>0.13509829144240437</c:v>
                </c:pt>
                <c:pt idx="207" formatCode="0.000">
                  <c:v>0.13420182397925484</c:v>
                </c:pt>
                <c:pt idx="208" formatCode="0.000">
                  <c:v>0.13331383939993818</c:v>
                </c:pt>
                <c:pt idx="209" formatCode="0.000">
                  <c:v>0.13243423118164993</c:v>
                </c:pt>
                <c:pt idx="210" formatCode="0.000">
                  <c:v>0.13156289448673908</c:v>
                </c:pt>
                <c:pt idx="211" formatCode="0.000">
                  <c:v>0.13069972613039443</c:v>
                </c:pt>
                <c:pt idx="212" formatCode="0.000">
                  <c:v>0.12984462454906118</c:v>
                </c:pt>
                <c:pt idx="213" formatCode="0.000">
                  <c:v>0.12899748976956762</c:v>
                </c:pt>
                <c:pt idx="214" formatCode="0.000">
                  <c:v>0.12815822337894389</c:v>
                </c:pt>
                <c:pt idx="215" formatCode="0.000">
                  <c:v>0.12732672849491358</c:v>
                </c:pt>
                <c:pt idx="216" formatCode="0.000">
                  <c:v>0.12650290973704478</c:v>
                </c:pt>
                <c:pt idx="217" formatCode="0.000">
                  <c:v>0.12568667319853694</c:v>
                </c:pt>
                <c:pt idx="218" formatCode="0.000">
                  <c:v>0.12487792641863663</c:v>
                </c:pt>
                <c:pt idx="219" formatCode="0.000">
                  <c:v>0.12407657835565537</c:v>
                </c:pt>
                <c:pt idx="220" formatCode="0.000">
                  <c:v>0.12328253936058478</c:v>
                </c:pt>
                <c:pt idx="221" formatCode="0.000">
                  <c:v>0.12249572115128614</c:v>
                </c:pt>
                <c:pt idx="222" formatCode="0.000">
                  <c:v>0.12171603678724378</c:v>
                </c:pt>
                <c:pt idx="223" formatCode="0.000">
                  <c:v>0.12094340064486692</c:v>
                </c:pt>
                <c:pt idx="224" formatCode="0.000">
                  <c:v>0.12017772839332748</c:v>
                </c:pt>
                <c:pt idx="225" formatCode="0.000">
                  <c:v>0.11941893697091861</c:v>
                </c:pt>
                <c:pt idx="226" formatCode="0.000">
                  <c:v>0.11866694456192169</c:v>
                </c:pt>
                <c:pt idx="227" formatCode="0.000">
                  <c:v>0.11792167057397072</c:v>
                </c:pt>
                <c:pt idx="228" formatCode="0.000">
                  <c:v>0.11718303561589999</c:v>
                </c:pt>
                <c:pt idx="229" formatCode="0.000">
                  <c:v>0.11645096147606336</c:v>
                </c:pt>
                <c:pt idx="230" formatCode="0.000">
                  <c:v>0.11572537110111461</c:v>
                </c:pt>
                <c:pt idx="231" formatCode="0.000">
                  <c:v>0.11500618857523684</c:v>
                </c:pt>
                <c:pt idx="232" formatCode="0.000">
                  <c:v>0.11429333909980963</c:v>
                </c:pt>
                <c:pt idx="233" formatCode="0.000">
                  <c:v>0.11358674897350444</c:v>
                </c:pt>
                <c:pt idx="234" formatCode="0.000">
                  <c:v>0.11288634557279704</c:v>
                </c:pt>
                <c:pt idx="235" formatCode="0.000">
                  <c:v>0.11219205733288765</c:v>
                </c:pt>
                <c:pt idx="236" formatCode="0.000">
                  <c:v>0.11150381372901666</c:v>
                </c:pt>
                <c:pt idx="237" formatCode="0.000">
                  <c:v>0.11082154525817099</c:v>
                </c:pt>
                <c:pt idx="238" formatCode="0.000">
                  <c:v>0.11014518342116705</c:v>
                </c:pt>
                <c:pt idx="239" formatCode="0.000">
                  <c:v>0.10947466070510398</c:v>
                </c:pt>
                <c:pt idx="240" formatCode="0.000">
                  <c:v>0.10880991056617746</c:v>
                </c:pt>
                <c:pt idx="241" formatCode="0.000">
                  <c:v>0.10815086741284652</c:v>
                </c:pt>
                <c:pt idx="242" formatCode="0.000">
                  <c:v>0.10749746658934366</c:v>
                </c:pt>
                <c:pt idx="243" formatCode="0.000">
                  <c:v>0.1068496443595205</c:v>
                </c:pt>
                <c:pt idx="244" formatCode="0.000">
                  <c:v>0.10620733789102331</c:v>
                </c:pt>
                <c:pt idx="245" formatCode="0.000">
                  <c:v>0.10557048523978603</c:v>
                </c:pt>
                <c:pt idx="246" formatCode="0.000">
                  <c:v>0.10493902533483893</c:v>
                </c:pt>
                <c:pt idx="247" formatCode="0.000">
                  <c:v>0.10431289796342172</c:v>
                </c:pt>
                <c:pt idx="248" formatCode="0.000">
                  <c:v>0.10369204375639454</c:v>
                </c:pt>
                <c:pt idx="249" formatCode="0.000">
                  <c:v>0.10307640417394201</c:v>
                </c:pt>
                <c:pt idx="250" formatCode="0.000">
                  <c:v>0.10246592149156158</c:v>
                </c:pt>
                <c:pt idx="251" formatCode="0.000">
                  <c:v>0.1018605387863292</c:v>
                </c:pt>
                <c:pt idx="252" formatCode="0.000">
                  <c:v>0.10126019992344003</c:v>
                </c:pt>
                <c:pt idx="253" formatCode="0.000">
                  <c:v>0.10066484954301191</c:v>
                </c:pt>
                <c:pt idx="254" formatCode="0.000">
                  <c:v>0.10007443304714964</c:v>
                </c:pt>
                <c:pt idx="255" formatCode="0.000">
                  <c:v>9.9488896587264342E-2</c:v>
                </c:pt>
                <c:pt idx="256" formatCode="0.000">
                  <c:v>9.8908187051639396E-2</c:v>
                </c:pt>
                <c:pt idx="257" formatCode="0.000">
                  <c:v>9.8332252053240296E-2</c:v>
                </c:pt>
                <c:pt idx="258" formatCode="0.000">
                  <c:v>9.7761039917760556E-2</c:v>
                </c:pt>
                <c:pt idx="259" formatCode="0.000">
                  <c:v>9.7194499671899998E-2</c:v>
                </c:pt>
                <c:pt idx="260" formatCode="0.000">
                  <c:v>9.6632581031869738E-2</c:v>
                </c:pt>
                <c:pt idx="261" formatCode="0.000">
                  <c:v>9.6075234392119097E-2</c:v>
                </c:pt>
                <c:pt idx="262" formatCode="0.000">
                  <c:v>9.5522410814278494E-2</c:v>
                </c:pt>
                <c:pt idx="263" formatCode="0.000">
                  <c:v>9.4974062016314906E-2</c:v>
                </c:pt>
                <c:pt idx="264" formatCode="0.000">
                  <c:v>9.4430140361893816E-2</c:v>
                </c:pt>
                <c:pt idx="265" formatCode="0.000">
                  <c:v>9.3890598849945023E-2</c:v>
                </c:pt>
                <c:pt idx="266" formatCode="0.000">
                  <c:v>9.3355391104425853E-2</c:v>
                </c:pt>
                <c:pt idx="267" formatCode="0.000">
                  <c:v>9.2824471364277877E-2</c:v>
                </c:pt>
                <c:pt idx="268" formatCode="0.000">
                  <c:v>9.2297794473575057E-2</c:v>
                </c:pt>
                <c:pt idx="269" formatCode="0.000">
                  <c:v>9.1775315871854987E-2</c:v>
                </c:pt>
                <c:pt idx="270" formatCode="0.000">
                  <c:v>9.1256991584633948E-2</c:v>
                </c:pt>
                <c:pt idx="271" formatCode="0.000">
                  <c:v>9.074277821409843E-2</c:v>
                </c:pt>
                <c:pt idx="272" formatCode="0.000">
                  <c:v>9.0232632929970288E-2</c:v>
                </c:pt>
                <c:pt idx="273" formatCode="0.000">
                  <c:v>8.9726513460542806E-2</c:v>
                </c:pt>
                <c:pt idx="274" formatCode="0.000">
                  <c:v>8.9224378083882325E-2</c:v>
                </c:pt>
                <c:pt idx="275" formatCode="0.000">
                  <c:v>8.8726185619193529E-2</c:v>
                </c:pt>
                <c:pt idx="276" formatCode="0.000">
                  <c:v>8.8231895418343337E-2</c:v>
                </c:pt>
                <c:pt idx="277" formatCode="0.000">
                  <c:v>8.7741467357541097E-2</c:v>
                </c:pt>
                <c:pt idx="278" formatCode="0.000">
                  <c:v>8.7254861829172053E-2</c:v>
                </c:pt>
                <c:pt idx="279" formatCode="0.000">
                  <c:v>8.6772039733779574E-2</c:v>
                </c:pt>
                <c:pt idx="280" formatCode="0.000">
                  <c:v>8.6292962472193757E-2</c:v>
                </c:pt>
                <c:pt idx="281" formatCode="0.000">
                  <c:v>8.5817591937803611E-2</c:v>
                </c:pt>
                <c:pt idx="282" formatCode="0.000">
                  <c:v>8.5345890508969832E-2</c:v>
                </c:pt>
                <c:pt idx="283" formatCode="0.000">
                  <c:v>8.4877821041573639E-2</c:v>
                </c:pt>
                <c:pt idx="284" formatCode="0.000">
                  <c:v>8.441334686170171E-2</c:v>
                </c:pt>
                <c:pt idx="285" formatCode="0.000">
                  <c:v>8.3952431758461427E-2</c:v>
                </c:pt>
                <c:pt idx="286" formatCode="0.000">
                  <c:v>8.3495039976925922E-2</c:v>
                </c:pt>
                <c:pt idx="287" formatCode="0.000">
                  <c:v>8.3041136211205333E-2</c:v>
                </c:pt>
                <c:pt idx="288" formatCode="0.000">
                  <c:v>8.2590685597641128E-2</c:v>
                </c:pt>
                <c:pt idx="289" formatCode="0.000">
                  <c:v>8.2143653708122447E-2</c:v>
                </c:pt>
                <c:pt idx="290" formatCode="0.000">
                  <c:v>8.1700006543520512E-2</c:v>
                </c:pt>
                <c:pt idx="291" formatCode="0.000">
                  <c:v>8.1259710527239085E-2</c:v>
                </c:pt>
                <c:pt idx="292" formatCode="0.000">
                  <c:v>8.0822732498880195E-2</c:v>
                </c:pt>
                <c:pt idx="293" formatCode="0.000">
                  <c:v>8.0389039708019305E-2</c:v>
                </c:pt>
                <c:pt idx="294" formatCode="0.000">
                  <c:v>7.9958599808091904E-2</c:v>
                </c:pt>
                <c:pt idx="295" formatCode="0.000">
                  <c:v>7.9531380850385344E-2</c:v>
                </c:pt>
                <c:pt idx="296" formatCode="0.000">
                  <c:v>7.9107351278136978E-2</c:v>
                </c:pt>
                <c:pt idx="297" formatCode="0.000">
                  <c:v>7.8686479920734659E-2</c:v>
                </c:pt>
                <c:pt idx="298" formatCode="0.000">
                  <c:v>7.8268735988017896E-2</c:v>
                </c:pt>
                <c:pt idx="299" formatCode="0.000">
                  <c:v>7.7854089064677473E-2</c:v>
                </c:pt>
                <c:pt idx="300" formatCode="0.000">
                  <c:v>7.7442509104753282E-2</c:v>
                </c:pt>
                <c:pt idx="301" formatCode="0.000">
                  <c:v>7.7033966426224662E-2</c:v>
                </c:pt>
                <c:pt idx="302" formatCode="0.000">
                  <c:v>7.662843170569629E-2</c:v>
                </c:pt>
                <c:pt idx="303" formatCode="0.000">
                  <c:v>7.6225875973173096E-2</c:v>
                </c:pt>
                <c:pt idx="304" formatCode="0.000">
                  <c:v>7.5826270606925941E-2</c:v>
                </c:pt>
                <c:pt idx="305" formatCode="0.000">
                  <c:v>7.5429587328444181E-2</c:v>
                </c:pt>
                <c:pt idx="306" formatCode="0.000">
                  <c:v>7.5035798197474024E-2</c:v>
                </c:pt>
                <c:pt idx="307" formatCode="0.000">
                  <c:v>7.4644875607142142E-2</c:v>
                </c:pt>
                <c:pt idx="308" formatCode="0.000">
                  <c:v>7.4256792279160183E-2</c:v>
                </c:pt>
                <c:pt idx="309" formatCode="0.000">
                  <c:v>7.3871521259111519E-2</c:v>
                </c:pt>
                <c:pt idx="310" formatCode="0.000">
                  <c:v>7.3489035911816922E-2</c:v>
                </c:pt>
                <c:pt idx="311" formatCode="0.000">
                  <c:v>7.3109309916777984E-2</c:v>
                </c:pt>
                <c:pt idx="312" formatCode="0.000">
                  <c:v>7.2732317263696958E-2</c:v>
                </c:pt>
                <c:pt idx="313" formatCode="0.000">
                  <c:v>7.2358032248071733E-2</c:v>
                </c:pt>
                <c:pt idx="314" formatCode="0.000">
                  <c:v>7.198642946686383E-2</c:v>
                </c:pt>
                <c:pt idx="315" formatCode="0.000">
                  <c:v>7.1617483814238644E-2</c:v>
                </c:pt>
                <c:pt idx="316" formatCode="0.000">
                  <c:v>7.1251170477375558E-2</c:v>
                </c:pt>
                <c:pt idx="317" formatCode="0.000">
                  <c:v>7.088746493234957E-2</c:v>
                </c:pt>
                <c:pt idx="318" formatCode="0.000">
                  <c:v>7.052634294007791E-2</c:v>
                </c:pt>
                <c:pt idx="319" formatCode="0.000">
                  <c:v>7.0167780542335439E-2</c:v>
                </c:pt>
                <c:pt idx="320" formatCode="0.000">
                  <c:v>6.9811754057835046E-2</c:v>
                </c:pt>
                <c:pt idx="321" formatCode="0.000">
                  <c:v>6.9458240078371522E-2</c:v>
                </c:pt>
                <c:pt idx="322" formatCode="0.000">
                  <c:v>6.9107215465029306E-2</c:v>
                </c:pt>
                <c:pt idx="323" formatCode="0.000">
                  <c:v>6.8758657344451524E-2</c:v>
                </c:pt>
                <c:pt idx="324" formatCode="0.000">
                  <c:v>6.8412543105170101E-2</c:v>
                </c:pt>
                <c:pt idx="325" formatCode="0.000">
                  <c:v>6.8068850393994157E-2</c:v>
                </c:pt>
                <c:pt idx="326" formatCode="0.000">
                  <c:v>6.772755711245898E-2</c:v>
                </c:pt>
                <c:pt idx="327" formatCode="0.000">
                  <c:v>6.7388641413330286E-2</c:v>
                </c:pt>
                <c:pt idx="328" formatCode="0.000">
                  <c:v>6.7052081697165811E-2</c:v>
                </c:pt>
                <c:pt idx="329" formatCode="0.000">
                  <c:v>6.6717856608931411E-2</c:v>
                </c:pt>
                <c:pt idx="330" formatCode="0.000">
                  <c:v>6.6385945034672128E-2</c:v>
                </c:pt>
                <c:pt idx="331" formatCode="0.000">
                  <c:v>6.6056326098236182E-2</c:v>
                </c:pt>
                <c:pt idx="332" formatCode="0.000">
                  <c:v>6.5728979158050677E-2</c:v>
                </c:pt>
                <c:pt idx="333" formatCode="0.000">
                  <c:v>6.5403883803949459E-2</c:v>
                </c:pt>
                <c:pt idx="334" formatCode="0.000">
                  <c:v>6.5081019854050251E-2</c:v>
                </c:pt>
                <c:pt idx="335" formatCode="0.000">
                  <c:v>6.4760367351681794E-2</c:v>
                </c:pt>
                <c:pt idx="336" formatCode="0.000">
                  <c:v>6.4441906562360332E-2</c:v>
                </c:pt>
                <c:pt idx="337" formatCode="0.000">
                  <c:v>6.4125617970811566E-2</c:v>
                </c:pt>
                <c:pt idx="338" formatCode="0.000">
                  <c:v>6.3811482278041787E-2</c:v>
                </c:pt>
                <c:pt idx="339" formatCode="0.000">
                  <c:v>6.3499480398452851E-2</c:v>
                </c:pt>
                <c:pt idx="340" formatCode="0.000">
                  <c:v>6.3189593457003923E-2</c:v>
                </c:pt>
                <c:pt idx="341" formatCode="0.000">
                  <c:v>6.2881802786416335E-2</c:v>
                </c:pt>
                <c:pt idx="342" formatCode="0.000">
                  <c:v>6.2576089924422582E-2</c:v>
                </c:pt>
                <c:pt idx="343" formatCode="0.000">
                  <c:v>6.2272436611057892E-2</c:v>
                </c:pt>
                <c:pt idx="344" formatCode="0.000">
                  <c:v>6.1970824785993341E-2</c:v>
                </c:pt>
                <c:pt idx="345" formatCode="0.000">
                  <c:v>6.1671236585911011E-2</c:v>
                </c:pt>
                <c:pt idx="346" formatCode="0.000">
                  <c:v>6.1373654341918826E-2</c:v>
                </c:pt>
                <c:pt idx="347" formatCode="0.000">
                  <c:v>6.1078060577005218E-2</c:v>
                </c:pt>
                <c:pt idx="348" formatCode="0.000">
                  <c:v>6.0784438003533621E-2</c:v>
                </c:pt>
                <c:pt idx="349" formatCode="0.000">
                  <c:v>6.0492769520774349E-2</c:v>
                </c:pt>
                <c:pt idx="350" formatCode="0.000">
                  <c:v>6.0203038212474892E-2</c:v>
                </c:pt>
                <c:pt idx="351" formatCode="0.000">
                  <c:v>5.991522734446663E-2</c:v>
                </c:pt>
                <c:pt idx="352" formatCode="0.000">
                  <c:v>5.962932036230871E-2</c:v>
                </c:pt>
                <c:pt idx="353" formatCode="0.000">
                  <c:v>5.934530088896664E-2</c:v>
                </c:pt>
                <c:pt idx="354" formatCode="0.000">
                  <c:v>5.9063152722526852E-2</c:v>
                </c:pt>
                <c:pt idx="355" formatCode="0.000">
                  <c:v>5.8782859833945697E-2</c:v>
                </c:pt>
                <c:pt idx="356" formatCode="0.000">
                  <c:v>5.8504406364831639E-2</c:v>
                </c:pt>
                <c:pt idx="357" formatCode="0.000">
                  <c:v>5.8227776625261983E-2</c:v>
                </c:pt>
                <c:pt idx="358" formatCode="0.000">
                  <c:v>5.7952955091631002E-2</c:v>
                </c:pt>
                <c:pt idx="359" formatCode="0.000">
                  <c:v>5.7679926404531234E-2</c:v>
                </c:pt>
                <c:pt idx="360" formatCode="0.000">
                  <c:v>5.7408675366666211E-2</c:v>
                </c:pt>
                <c:pt idx="361" formatCode="0.000">
                  <c:v>5.7139186940793625E-2</c:v>
                </c:pt>
                <c:pt idx="362" formatCode="0.000">
                  <c:v>5.6871446247700151E-2</c:v>
                </c:pt>
                <c:pt idx="363" formatCode="0.000">
                  <c:v>5.6605438564205621E-2</c:v>
                </c:pt>
                <c:pt idx="364" formatCode="0.000">
                  <c:v>5.6341149321196542E-2</c:v>
                </c:pt>
                <c:pt idx="365" formatCode="0.000">
                  <c:v>5.6078564101689488E-2</c:v>
                </c:pt>
                <c:pt idx="366" formatCode="0.000">
                  <c:v>5.5817668638921528E-2</c:v>
                </c:pt>
                <c:pt idx="367" formatCode="0.000">
                  <c:v>5.5558448814471216E-2</c:v>
                </c:pt>
                <c:pt idx="368" formatCode="0.000">
                  <c:v>5.5300890656403617E-2</c:v>
                </c:pt>
                <c:pt idx="369" formatCode="0.000">
                  <c:v>5.5044980337446286E-2</c:v>
                </c:pt>
                <c:pt idx="370" formatCode="0.000">
                  <c:v>5.4790704173188862E-2</c:v>
                </c:pt>
                <c:pt idx="371" formatCode="0.000">
                  <c:v>5.4538048620310253E-2</c:v>
                </c:pt>
                <c:pt idx="372" formatCode="0.000">
                  <c:v>5.4287000274832006E-2</c:v>
                </c:pt>
                <c:pt idx="373" formatCode="0.000">
                  <c:v>5.4037545870395789E-2</c:v>
                </c:pt>
                <c:pt idx="374" formatCode="0.000">
                  <c:v>5.378967227656626E-2</c:v>
                </c:pt>
                <c:pt idx="375" formatCode="0.000">
                  <c:v>5.354336649715917E-2</c:v>
                </c:pt>
                <c:pt idx="376" formatCode="0.000">
                  <c:v>5.3298615668592848E-2</c:v>
                </c:pt>
                <c:pt idx="377" formatCode="0.000">
                  <c:v>5.305540705826322E-2</c:v>
                </c:pt>
                <c:pt idx="378" formatCode="0.000">
                  <c:v>5.2813728062942544E-2</c:v>
                </c:pt>
                <c:pt idx="379" formatCode="0.000">
                  <c:v>5.2573566207201362E-2</c:v>
                </c:pt>
                <c:pt idx="380" formatCode="0.000">
                  <c:v>5.2334909141851765E-2</c:v>
                </c:pt>
                <c:pt idx="381" formatCode="0.000">
                  <c:v>5.2097744642414581E-2</c:v>
                </c:pt>
                <c:pt idx="382" formatCode="0.000">
                  <c:v>5.1862060607607209E-2</c:v>
                </c:pt>
                <c:pt idx="383" formatCode="0.000">
                  <c:v>5.1627845057852534E-2</c:v>
                </c:pt>
                <c:pt idx="384" formatCode="0.000">
                  <c:v>5.1395086133810532E-2</c:v>
                </c:pt>
                <c:pt idx="385" formatCode="0.000">
                  <c:v>5.1163772094929144E-2</c:v>
                </c:pt>
                <c:pt idx="386" formatCode="0.000">
                  <c:v>5.0933891318016407E-2</c:v>
                </c:pt>
                <c:pt idx="387" formatCode="0.000">
                  <c:v>5.0705432295832027E-2</c:v>
                </c:pt>
                <c:pt idx="388" formatCode="0.000">
                  <c:v>5.0478383635699585E-2</c:v>
                </c:pt>
                <c:pt idx="389" formatCode="0.000">
                  <c:v>5.0252734058137488E-2</c:v>
                </c:pt>
                <c:pt idx="390" formatCode="0.000">
                  <c:v>5.0028472395509414E-2</c:v>
                </c:pt>
                <c:pt idx="391" formatCode="0.000">
                  <c:v>4.9805587590693194E-2</c:v>
                </c:pt>
                <c:pt idx="392" formatCode="0.000">
                  <c:v>4.9584068695768937E-2</c:v>
                </c:pt>
                <c:pt idx="393" formatCode="0.000">
                  <c:v>4.9363904870724708E-2</c:v>
                </c:pt>
                <c:pt idx="394" formatCode="0.000">
                  <c:v>4.9145085382180216E-2</c:v>
                </c:pt>
                <c:pt idx="395" formatCode="0.000">
                  <c:v>4.8927599602129154E-2</c:v>
                </c:pt>
                <c:pt idx="396" formatCode="0.000">
                  <c:v>4.8711437006697202E-2</c:v>
                </c:pt>
                <c:pt idx="397" formatCode="0.000">
                  <c:v>4.8496587174918372E-2</c:v>
                </c:pt>
                <c:pt idx="398" formatCode="0.000">
                  <c:v>4.8283039787528195E-2</c:v>
                </c:pt>
                <c:pt idx="399" formatCode="0.000">
                  <c:v>4.8070784625772932E-2</c:v>
                </c:pt>
                <c:pt idx="400" formatCode="0.000">
                  <c:v>4.7859811570235049E-2</c:v>
                </c:pt>
                <c:pt idx="401" formatCode="0.000">
                  <c:v>4.7650110599675402E-2</c:v>
                </c:pt>
                <c:pt idx="402" formatCode="0.000">
                  <c:v>4.7441671789890671E-2</c:v>
                </c:pt>
                <c:pt idx="403" formatCode="0.000">
                  <c:v>4.7234485312586671E-2</c:v>
                </c:pt>
                <c:pt idx="404" formatCode="0.000">
                  <c:v>4.7028541434266435E-2</c:v>
                </c:pt>
                <c:pt idx="405" formatCode="0.000">
                  <c:v>4.6823830515134106E-2</c:v>
                </c:pt>
                <c:pt idx="406" formatCode="0.000">
                  <c:v>4.6620343008013057E-2</c:v>
                </c:pt>
                <c:pt idx="407" formatCode="0.000">
                  <c:v>4.6418069457279054E-2</c:v>
                </c:pt>
                <c:pt idx="408" formatCode="0.000">
                  <c:v>4.6217000497807394E-2</c:v>
                </c:pt>
                <c:pt idx="409" formatCode="0.000">
                  <c:v>4.6017126853934852E-2</c:v>
                </c:pt>
                <c:pt idx="410" formatCode="0.000">
                  <c:v>4.5818439338434408E-2</c:v>
                </c:pt>
                <c:pt idx="411" formatCode="0.000">
                  <c:v>4.562092885150499E-2</c:v>
                </c:pt>
                <c:pt idx="412" formatCode="0.000">
                  <c:v>4.5424586379773847E-2</c:v>
                </c:pt>
                <c:pt idx="413" formatCode="0.000">
                  <c:v>4.5229402995312987E-2</c:v>
                </c:pt>
                <c:pt idx="414" formatCode="0.000">
                  <c:v>4.503536985466753E-2</c:v>
                </c:pt>
                <c:pt idx="415" formatCode="0.000">
                  <c:v>4.4842478197898585E-2</c:v>
                </c:pt>
                <c:pt idx="416" formatCode="0.000">
                  <c:v>4.4650719347636904E-2</c:v>
                </c:pt>
                <c:pt idx="417" formatCode="0.000">
                  <c:v>4.4460084708151215E-2</c:v>
                </c:pt>
                <c:pt idx="418" formatCode="0.000">
                  <c:v>4.427056576442695E-2</c:v>
                </c:pt>
                <c:pt idx="419" formatCode="0.000">
                  <c:v>4.4082154081258082E-2</c:v>
                </c:pt>
                <c:pt idx="420" formatCode="0.000">
                  <c:v>4.389484130235085E-2</c:v>
                </c:pt>
                <c:pt idx="421" formatCode="0.000">
                  <c:v>4.3708619149439444E-2</c:v>
                </c:pt>
                <c:pt idx="422" formatCode="0.000">
                  <c:v>4.3523479421412228E-2</c:v>
                </c:pt>
                <c:pt idx="423" formatCode="0.000">
                  <c:v>4.3339413993451162E-2</c:v>
                </c:pt>
                <c:pt idx="424" formatCode="0.000">
                  <c:v>4.315641481618019E-2</c:v>
                </c:pt>
              </c:numCache>
            </c:numRef>
          </c:yVal>
          <c:smooth val="1"/>
          <c:extLst>
            <c:ext xmlns:c16="http://schemas.microsoft.com/office/drawing/2014/chart" uri="{C3380CC4-5D6E-409C-BE32-E72D297353CC}">
              <c16:uniqueId val="{00000001-10C4-4367-8FDB-1849C2CCF109}"/>
            </c:ext>
          </c:extLst>
        </c:ser>
        <c:ser>
          <c:idx val="2"/>
          <c:order val="2"/>
          <c:tx>
            <c:v>Placebo PFS</c:v>
          </c:tx>
          <c:spPr>
            <a:ln w="19050" cap="rnd">
              <a:solidFill>
                <a:schemeClr val="accent1"/>
              </a:solidFill>
              <a:prstDash val="dash"/>
              <a:round/>
            </a:ln>
            <a:effectLst/>
          </c:spPr>
          <c:marker>
            <c:symbol val="none"/>
          </c:marker>
          <c:xVal>
            <c:numRef>
              <c:f>Model_Cx!$C$5:$C$425</c:f>
              <c:numCache>
                <c:formatCode>0.000</c:formatCode>
                <c:ptCount val="4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numCache>
            </c:numRef>
          </c:xVal>
          <c:yVal>
            <c:numRef>
              <c:f>Model_Cx!$K$5:$K$425</c:f>
              <c:numCache>
                <c:formatCode>0.000</c:formatCode>
                <c:ptCount val="421"/>
                <c:pt idx="0">
                  <c:v>1</c:v>
                </c:pt>
                <c:pt idx="1">
                  <c:v>1</c:v>
                </c:pt>
                <c:pt idx="2">
                  <c:v>0.96317435925579997</c:v>
                </c:pt>
                <c:pt idx="3">
                  <c:v>0.94083149250863995</c:v>
                </c:pt>
                <c:pt idx="4">
                  <c:v>0.92577818862851002</c:v>
                </c:pt>
                <c:pt idx="5">
                  <c:v>0.88035869901402997</c:v>
                </c:pt>
                <c:pt idx="6">
                  <c:v>0.72257294561700003</c:v>
                </c:pt>
                <c:pt idx="7">
                  <c:v>0.59337299576793001</c:v>
                </c:pt>
                <c:pt idx="8">
                  <c:v>0.52822076588487998</c:v>
                </c:pt>
                <c:pt idx="9">
                  <c:v>0.45233495145797997</c:v>
                </c:pt>
                <c:pt idx="10">
                  <c:v>0.38704138455186998</c:v>
                </c:pt>
                <c:pt idx="11">
                  <c:v>0.34928124947363998</c:v>
                </c:pt>
                <c:pt idx="12">
                  <c:v>0.32922117771332998</c:v>
                </c:pt>
                <c:pt idx="13">
                  <c:v>0.31860113972257997</c:v>
                </c:pt>
                <c:pt idx="14">
                  <c:v>0.30722252758962998</c:v>
                </c:pt>
                <c:pt idx="15">
                  <c:v>0.29493362648603999</c:v>
                </c:pt>
                <c:pt idx="16">
                  <c:v>0.29493362648603999</c:v>
                </c:pt>
                <c:pt idx="17">
                  <c:v>0.29493362648603999</c:v>
                </c:pt>
                <c:pt idx="18">
                  <c:v>0.27758458963392002</c:v>
                </c:pt>
                <c:pt idx="19">
                  <c:v>0.27758458963392002</c:v>
                </c:pt>
                <c:pt idx="20">
                  <c:v>0.25103855992047935</c:v>
                </c:pt>
                <c:pt idx="21">
                  <c:v>0.227782184729862</c:v>
                </c:pt>
                <c:pt idx="22">
                  <c:v>0.20733906507632047</c:v>
                </c:pt>
                <c:pt idx="23">
                  <c:v>0.18930766089694803</c:v>
                </c:pt>
                <c:pt idx="24">
                  <c:v>0.17334954563724084</c:v>
                </c:pt>
                <c:pt idx="25">
                  <c:v>0.1591792016155589</c:v>
                </c:pt>
                <c:pt idx="26">
                  <c:v>0.14655533016601605</c:v>
                </c:pt>
                <c:pt idx="27">
                  <c:v>0.13527354408813252</c:v>
                </c:pt>
                <c:pt idx="28">
                  <c:v>0.12516027015009251</c:v>
                </c:pt>
                <c:pt idx="29">
                  <c:v>0.11606768458495362</c:v>
                </c:pt>
                <c:pt idx="30">
                  <c:v>0.10786951664829975</c:v>
                </c:pt>
                <c:pt idx="31">
                  <c:v>0.1004575744113208</c:v>
                </c:pt>
                <c:pt idx="32">
                  <c:v>9.3738867763901793E-2</c:v>
                </c:pt>
                <c:pt idx="33">
                  <c:v>8.7633223473644314E-2</c:v>
                </c:pt>
                <c:pt idx="34">
                  <c:v>8.2071304936558551E-2</c:v>
                </c:pt>
                <c:pt idx="35">
                  <c:v>7.6992964599403441E-2</c:v>
                </c:pt>
                <c:pt idx="36">
                  <c:v>7.2345869968053436E-2</c:v>
                </c:pt>
                <c:pt idx="37">
                  <c:v>6.8084354860324603E-2</c:v>
                </c:pt>
                <c:pt idx="38">
                  <c:v>6.4168456401924118E-2</c:v>
                </c:pt>
                <c:pt idx="39">
                  <c:v>6.0563105493953488E-2</c:v>
                </c:pt>
                <c:pt idx="40">
                  <c:v>5.7237444371232148E-2</c:v>
                </c:pt>
                <c:pt idx="41">
                  <c:v>5.4164249660860767E-2</c:v>
                </c:pt>
                <c:pt idx="42">
                  <c:v>5.1319443242404124E-2</c:v>
                </c:pt>
                <c:pt idx="43">
                  <c:v>4.8681676373510528E-2</c:v>
                </c:pt>
                <c:pt idx="44">
                  <c:v>4.6231975116344089E-2</c:v>
                </c:pt>
                <c:pt idx="45">
                  <c:v>4.3953437193883574E-2</c:v>
                </c:pt>
                <c:pt idx="46">
                  <c:v>4.1830972112480665E-2</c:v>
                </c:pt>
                <c:pt idx="47">
                  <c:v>3.9851077781998229E-2</c:v>
                </c:pt>
                <c:pt idx="48">
                  <c:v>3.8001648006912706E-2</c:v>
                </c:pt>
                <c:pt idx="49">
                  <c:v>3.6271806158909341E-2</c:v>
                </c:pt>
                <c:pt idx="50">
                  <c:v>3.465176111230156E-2</c:v>
                </c:pt>
                <c:pt idx="51">
                  <c:v>3.3132682159137956E-2</c:v>
                </c:pt>
                <c:pt idx="52">
                  <c:v>3.1706590146158613E-2</c:v>
                </c:pt>
                <c:pt idx="53">
                  <c:v>3.0366262511040121E-2</c:v>
                </c:pt>
                <c:pt idx="54">
                  <c:v>2.9105150256960789E-2</c:v>
                </c:pt>
                <c:pt idx="55">
                  <c:v>2.7917305205656072E-2</c:v>
                </c:pt>
                <c:pt idx="56">
                  <c:v>2.6797316120556559E-2</c:v>
                </c:pt>
                <c:pt idx="57">
                  <c:v>2.5740252502036442E-2</c:v>
                </c:pt>
                <c:pt idx="58">
                  <c:v>2.4741615033366641E-2</c:v>
                </c:pt>
                <c:pt idx="59">
                  <c:v>2.379729180447494E-2</c:v>
                </c:pt>
                <c:pt idx="60">
                  <c:v>2.2903519565823132E-2</c:v>
                </c:pt>
                <c:pt idx="61">
                  <c:v>2.2056849370525645E-2</c:v>
                </c:pt>
                <c:pt idx="62">
                  <c:v>2.1254116052465029E-2</c:v>
                </c:pt>
                <c:pt idx="63">
                  <c:v>2.0492411064255815E-2</c:v>
                </c:pt>
                <c:pt idx="64">
                  <c:v>1.9769058263658351E-2</c:v>
                </c:pt>
                <c:pt idx="65">
                  <c:v>1.9081592292261688E-2</c:v>
                </c:pt>
                <c:pt idx="66">
                  <c:v>1.8427739237441679E-2</c:v>
                </c:pt>
                <c:pt idx="67">
                  <c:v>1.780539930901346E-2</c:v>
                </c:pt>
                <c:pt idx="68">
                  <c:v>1.7212631296677394E-2</c:v>
                </c:pt>
                <c:pt idx="69">
                  <c:v>1.6647638604179685E-2</c:v>
                </c:pt>
                <c:pt idx="70">
                  <c:v>1.6108756681803695E-2</c:v>
                </c:pt>
                <c:pt idx="71">
                  <c:v>1.5594441700989399E-2</c:v>
                </c:pt>
                <c:pt idx="72">
                  <c:v>1.5103260334064238E-2</c:v>
                </c:pt>
                <c:pt idx="73">
                  <c:v>1.463388051869211E-2</c:v>
                </c:pt>
                <c:pt idx="74">
                  <c:v>1.4185063101079608E-2</c:v>
                </c:pt>
                <c:pt idx="75">
                  <c:v>1.3755654264527817E-2</c:v>
                </c:pt>
                <c:pt idx="76">
                  <c:v>1.3344578660851184E-2</c:v>
                </c:pt>
                <c:pt idx="77">
                  <c:v>1.2950833171725224E-2</c:v>
                </c:pt>
                <c:pt idx="78">
                  <c:v>1.2573481235363428E-2</c:v>
                </c:pt>
                <c:pt idx="79">
                  <c:v>1.2211647681224704E-2</c:v>
                </c:pt>
                <c:pt idx="80">
                  <c:v>1.1864514021854202E-2</c:v>
                </c:pt>
                <c:pt idx="81">
                  <c:v>1.1531314156583103E-2</c:v>
                </c:pt>
                <c:pt idx="82">
                  <c:v>1.1211330446758322E-2</c:v>
                </c:pt>
                <c:pt idx="83">
                  <c:v>1.0903890126529685E-2</c:v>
                </c:pt>
                <c:pt idx="84">
                  <c:v>1.0608362017065486E-2</c:v>
                </c:pt>
                <c:pt idx="85">
                  <c:v>1.0324153515462625E-2</c:v>
                </c:pt>
                <c:pt idx="86">
                  <c:v>1.005070783262171E-2</c:v>
                </c:pt>
                <c:pt idx="87">
                  <c:v>9.7875014570185312E-3</c:v>
                </c:pt>
                <c:pt idx="88">
                  <c:v>9.5340418236640606E-3</c:v>
                </c:pt>
                <c:pt idx="89">
                  <c:v>9.2898651696424334E-3</c:v>
                </c:pt>
                <c:pt idx="90">
                  <c:v>9.0545345594811154E-3</c:v>
                </c:pt>
                <c:pt idx="91">
                  <c:v>8.8276380652686746E-3</c:v>
                </c:pt>
                <c:pt idx="92">
                  <c:v>8.6087870879164117E-3</c:v>
                </c:pt>
                <c:pt idx="93">
                  <c:v>8.3976148072824434E-3</c:v>
                </c:pt>
                <c:pt idx="94">
                  <c:v>8.1937747500581224E-3</c:v>
                </c:pt>
                <c:pt idx="95">
                  <c:v>7.9969394653745703E-3</c:v>
                </c:pt>
                <c:pt idx="96">
                  <c:v>7.8067992990340351E-3</c:v>
                </c:pt>
                <c:pt idx="97">
                  <c:v>7.6230612581205063E-3</c:v>
                </c:pt>
                <c:pt idx="98">
                  <c:v>7.4454479585068147E-3</c:v>
                </c:pt>
                <c:pt idx="99">
                  <c:v>7.273696648461012E-3</c:v>
                </c:pt>
                <c:pt idx="100">
                  <c:v>7.1075583021717754E-3</c:v>
                </c:pt>
                <c:pt idx="101">
                  <c:v>6.9467967775682206E-3</c:v>
                </c:pt>
                <c:pt idx="102">
                  <c:v>6.7911880333102609E-3</c:v>
                </c:pt>
                <c:pt idx="103">
                  <c:v>6.6405194002782707E-3</c:v>
                </c:pt>
                <c:pt idx="104">
                  <c:v>6.4945889032986199E-3</c:v>
                </c:pt>
                <c:pt idx="105">
                  <c:v>6.3532046292116432E-3</c:v>
                </c:pt>
                <c:pt idx="106">
                  <c:v>6.2161841377225231E-3</c:v>
                </c:pt>
                <c:pt idx="107">
                  <c:v>6.0833539117785048E-3</c:v>
                </c:pt>
                <c:pt idx="108">
                  <c:v>5.954548844490825E-3</c:v>
                </c:pt>
                <c:pt idx="109">
                  <c:v>5.8296117598685354E-3</c:v>
                </c:pt>
                <c:pt idx="110">
                  <c:v>5.7083929648583239E-3</c:v>
                </c:pt>
                <c:pt idx="111">
                  <c:v>5.5907498303900396E-3</c:v>
                </c:pt>
                <c:pt idx="112">
                  <c:v>5.4765463993150312E-3</c:v>
                </c:pt>
                <c:pt idx="113">
                  <c:v>5.3656530192952761E-3</c:v>
                </c:pt>
                <c:pt idx="114">
                  <c:v>5.2579459988563518E-3</c:v>
                </c:pt>
                <c:pt idx="115">
                  <c:v>5.1533072849597999E-3</c:v>
                </c:pt>
                <c:pt idx="116">
                  <c:v>5.0516241605792446E-3</c:v>
                </c:pt>
                <c:pt idx="117">
                  <c:v>4.9527889608836778E-3</c:v>
                </c:pt>
                <c:pt idx="118">
                  <c:v>4.8566988067390042E-3</c:v>
                </c:pt>
                <c:pt idx="119">
                  <c:v>4.7632553543382871E-3</c:v>
                </c:pt>
                <c:pt idx="120">
                  <c:v>4.6723645598615755E-3</c:v>
                </c:pt>
                <c:pt idx="121">
                  <c:v>4.5839364581494943E-3</c:v>
                </c:pt>
                <c:pt idx="122">
                  <c:v>4.4978849544508774E-3</c:v>
                </c:pt>
                <c:pt idx="123">
                  <c:v>4.414127628374627E-3</c:v>
                </c:pt>
                <c:pt idx="124">
                  <c:v>4.332585549240292E-3</c:v>
                </c:pt>
                <c:pt idx="125">
                  <c:v>4.2531831020808375E-3</c:v>
                </c:pt>
                <c:pt idx="126">
                  <c:v>4.1758478236053531E-3</c:v>
                </c:pt>
                <c:pt idx="127">
                  <c:v>4.1005102474793798E-3</c:v>
                </c:pt>
                <c:pt idx="128">
                  <c:v>4.0271037583265645E-3</c:v>
                </c:pt>
                <c:pt idx="129">
                  <c:v>3.9555644538976928E-3</c:v>
                </c:pt>
                <c:pt idx="130">
                  <c:v>3.8858310148922647E-3</c:v>
                </c:pt>
                <c:pt idx="131">
                  <c:v>3.8178445819537191E-3</c:v>
                </c:pt>
                <c:pt idx="132">
                  <c:v>3.7515486393928932E-3</c:v>
                </c:pt>
                <c:pt idx="133">
                  <c:v>3.6868889052247326E-3</c:v>
                </c:pt>
                <c:pt idx="134">
                  <c:v>3.6238132271320684E-3</c:v>
                </c:pt>
                <c:pt idx="135">
                  <c:v>3.562271483996108E-3</c:v>
                </c:pt>
                <c:pt idx="136">
                  <c:v>3.5022154926580298E-3</c:v>
                </c:pt>
                <c:pt idx="137">
                  <c:v>3.443598919598227E-3</c:v>
                </c:pt>
                <c:pt idx="138">
                  <c:v>3.3863771972408147E-3</c:v>
                </c:pt>
                <c:pt idx="139">
                  <c:v>3.330507444610273E-3</c:v>
                </c:pt>
                <c:pt idx="140">
                  <c:v>3.2759483920849629E-3</c:v>
                </c:pt>
                <c:pt idx="141">
                  <c:v>3.2226603100090454E-3</c:v>
                </c:pt>
                <c:pt idx="142">
                  <c:v>3.1706049409395377E-3</c:v>
                </c:pt>
                <c:pt idx="143">
                  <c:v>3.1197454353198697E-3</c:v>
                </c:pt>
                <c:pt idx="144">
                  <c:v>3.070046290384315E-3</c:v>
                </c:pt>
                <c:pt idx="145">
                  <c:v>3.0214732921104203E-3</c:v>
                </c:pt>
                <c:pt idx="146">
                  <c:v>2.9739934600477047E-3</c:v>
                </c:pt>
                <c:pt idx="147">
                  <c:v>2.9275749948620105E-3</c:v>
                </c:pt>
                <c:pt idx="148">
                  <c:v>2.8821872284445463E-3</c:v>
                </c:pt>
                <c:pt idx="149">
                  <c:v>2.8378005764442618E-3</c:v>
                </c:pt>
                <c:pt idx="150">
                  <c:v>2.7943864930906389E-3</c:v>
                </c:pt>
                <c:pt idx="151">
                  <c:v>2.7519174281822466E-3</c:v>
                </c:pt>
                <c:pt idx="152">
                  <c:v>2.7103667861238549E-3</c:v>
                </c:pt>
                <c:pt idx="153">
                  <c:v>2.669708886902036E-3</c:v>
                </c:pt>
                <c:pt idx="154">
                  <c:v>2.6299189288956628E-3</c:v>
                </c:pt>
                <c:pt idx="155">
                  <c:v>2.5909729534239882E-3</c:v>
                </c:pt>
                <c:pt idx="156">
                  <c:v>2.5528478109406046E-3</c:v>
                </c:pt>
                <c:pt idx="157">
                  <c:v>2.5155211287870944E-3</c:v>
                </c:pt>
                <c:pt idx="158">
                  <c:v>2.4789712804250889E-3</c:v>
                </c:pt>
                <c:pt idx="159">
                  <c:v>2.4431773560702401E-3</c:v>
                </c:pt>
                <c:pt idx="160">
                  <c:v>2.4081191346559949E-3</c:v>
                </c:pt>
                <c:pt idx="161">
                  <c:v>2.3737770570591639E-3</c:v>
                </c:pt>
                <c:pt idx="162">
                  <c:v>2.3401322005231939E-3</c:v>
                </c:pt>
                <c:pt idx="163">
                  <c:v>2.30716625421861E-3</c:v>
                </c:pt>
                <c:pt idx="164">
                  <c:v>2.2748614958835707E-3</c:v>
                </c:pt>
                <c:pt idx="165">
                  <c:v>2.2432007694906174E-3</c:v>
                </c:pt>
                <c:pt idx="166">
                  <c:v>2.2121674638887136E-3</c:v>
                </c:pt>
                <c:pt idx="167">
                  <c:v>2.1817454923724481E-3</c:v>
                </c:pt>
                <c:pt idx="168">
                  <c:v>2.1519192731329897E-3</c:v>
                </c:pt>
                <c:pt idx="169">
                  <c:v>2.1226737105477836E-3</c:v>
                </c:pt>
                <c:pt idx="170">
                  <c:v>2.0939941772683424E-3</c:v>
                </c:pt>
                <c:pt idx="171">
                  <c:v>2.0658664970676895E-3</c:v>
                </c:pt>
                <c:pt idx="172">
                  <c:v>2.0382769284110736E-3</c:v>
                </c:pt>
                <c:pt idx="173">
                  <c:v>2.0112121487154615E-3</c:v>
                </c:pt>
                <c:pt idx="174">
                  <c:v>1.9846592392652545E-3</c:v>
                </c:pt>
                <c:pt idx="175">
                  <c:v>1.9586056707532498E-3</c:v>
                </c:pt>
                <c:pt idx="176">
                  <c:v>1.9330392894176117E-3</c:v>
                </c:pt>
                <c:pt idx="177">
                  <c:v>1.9079483037471015E-3</c:v>
                </c:pt>
                <c:pt idx="178">
                  <c:v>1.8833212717281954E-3</c:v>
                </c:pt>
                <c:pt idx="179">
                  <c:v>1.8591470886092124E-3</c:v>
                </c:pt>
                <c:pt idx="180">
                  <c:v>1.8354149751576927E-3</c:v>
                </c:pt>
                <c:pt idx="181">
                  <c:v>1.8121144663886114E-3</c:v>
                </c:pt>
                <c:pt idx="182">
                  <c:v>1.7892354007420549E-3</c:v>
                </c:pt>
                <c:pt idx="183">
                  <c:v>1.7667679096901544E-3</c:v>
                </c:pt>
                <c:pt idx="184">
                  <c:v>1.744702407753983E-3</c:v>
                </c:pt>
                <c:pt idx="185">
                  <c:v>1.7230295829121691E-3</c:v>
                </c:pt>
                <c:pt idx="186">
                  <c:v>1.7017403873838617E-3</c:v>
                </c:pt>
                <c:pt idx="187">
                  <c:v>1.680826028769507E-3</c:v>
                </c:pt>
                <c:pt idx="188">
                  <c:v>1.6602779615337625E-3</c:v>
                </c:pt>
                <c:pt idx="189">
                  <c:v>1.6400878788156003E-3</c:v>
                </c:pt>
                <c:pt idx="190">
                  <c:v>1.6202477045513957E-3</c:v>
                </c:pt>
                <c:pt idx="191">
                  <c:v>1.6007495858974677E-3</c:v>
                </c:pt>
                <c:pt idx="192">
                  <c:v>1.5815858859392386E-3</c:v>
                </c:pt>
                <c:pt idx="193">
                  <c:v>1.5627491766747152E-3</c:v>
                </c:pt>
                <c:pt idx="194">
                  <c:v>1.5442322322606452E-3</c:v>
                </c:pt>
                <c:pt idx="195">
                  <c:v>1.526028022510222E-3</c:v>
                </c:pt>
                <c:pt idx="196">
                  <c:v>1.5081297066317763E-3</c:v>
                </c:pt>
                <c:pt idx="197">
                  <c:v>1.4905306271982945E-3</c:v>
                </c:pt>
                <c:pt idx="198">
                  <c:v>1.4732243043382059E-3</c:v>
                </c:pt>
                <c:pt idx="199">
                  <c:v>1.4562044301382273E-3</c:v>
                </c:pt>
                <c:pt idx="200">
                  <c:v>1.4394648632495171E-3</c:v>
                </c:pt>
                <c:pt idx="201">
                  <c:v>1.4229996236887908E-3</c:v>
                </c:pt>
                <c:pt idx="202">
                  <c:v>1.4068028878264226E-3</c:v>
                </c:pt>
                <c:pt idx="203">
                  <c:v>1.3908689835539449E-3</c:v>
                </c:pt>
                <c:pt idx="204">
                  <c:v>1.3751923856236685E-3</c:v>
                </c:pt>
                <c:pt idx="205">
                  <c:v>1.3597677111534901E-3</c:v>
                </c:pt>
                <c:pt idx="206">
                  <c:v>1.344589715290281E-3</c:v>
                </c:pt>
                <c:pt idx="207">
                  <c:v>1.3296532870255163E-3</c:v>
                </c:pt>
                <c:pt idx="208">
                  <c:v>1.3149534451570943E-3</c:v>
                </c:pt>
                <c:pt idx="209">
                  <c:v>1.3004853343916065E-3</c:v>
                </c:pt>
                <c:pt idx="210">
                  <c:v>1.2862442215814749E-3</c:v>
                </c:pt>
                <c:pt idx="211">
                  <c:v>1.2722254920917253E-3</c:v>
                </c:pt>
                <c:pt idx="212">
                  <c:v>1.2584246462913388E-3</c:v>
                </c:pt>
                <c:pt idx="213">
                  <c:v>1.2448372961643189E-3</c:v>
                </c:pt>
                <c:pt idx="214">
                  <c:v>1.2314591620358945E-3</c:v>
                </c:pt>
                <c:pt idx="215">
                  <c:v>1.2182860694094056E-3</c:v>
                </c:pt>
                <c:pt idx="216">
                  <c:v>1.2053139459096518E-3</c:v>
                </c:pt>
                <c:pt idx="217">
                  <c:v>1.1925388183286446E-3</c:v>
                </c:pt>
                <c:pt idx="218">
                  <c:v>1.1799568097698887E-3</c:v>
                </c:pt>
                <c:pt idx="219">
                  <c:v>1.1675641368874669E-3</c:v>
                </c:pt>
                <c:pt idx="220">
                  <c:v>1.1553571072163778E-3</c:v>
                </c:pt>
                <c:pt idx="221">
                  <c:v>1.143332116590693E-3</c:v>
                </c:pt>
                <c:pt idx="222">
                  <c:v>1.1314856466463075E-3</c:v>
                </c:pt>
                <c:pt idx="223">
                  <c:v>1.119814262405092E-3</c:v>
                </c:pt>
                <c:pt idx="224">
                  <c:v>1.1083146099374953E-3</c:v>
                </c:pt>
                <c:pt idx="225">
                  <c:v>1.0969834141006812E-3</c:v>
                </c:pt>
                <c:pt idx="226">
                  <c:v>1.0858174763494562E-3</c:v>
                </c:pt>
                <c:pt idx="227">
                  <c:v>1.0748136726173249E-3</c:v>
                </c:pt>
                <c:pt idx="228">
                  <c:v>1.0639689512651465E-3</c:v>
                </c:pt>
                <c:pt idx="229">
                  <c:v>1.0532803310949323E-3</c:v>
                </c:pt>
                <c:pt idx="230">
                  <c:v>1.0427448994264625E-3</c:v>
                </c:pt>
                <c:pt idx="231">
                  <c:v>1.0323598102344566E-3</c:v>
                </c:pt>
                <c:pt idx="232">
                  <c:v>1.0221222823441659E-3</c:v>
                </c:pt>
                <c:pt idx="233">
                  <c:v>1.0120295976832727E-3</c:v>
                </c:pt>
                <c:pt idx="234">
                  <c:v>1.0020790995881577E-3</c:v>
                </c:pt>
                <c:pt idx="235">
                  <c:v>9.9226819116258005E-4</c:v>
                </c:pt>
                <c:pt idx="236">
                  <c:v>9.8259433368696135E-4</c:v>
                </c:pt>
                <c:pt idx="237">
                  <c:v>9.7305504507649507E-4</c:v>
                </c:pt>
                <c:pt idx="238">
                  <c:v>9.6364789838638491E-4</c:v>
                </c:pt>
                <c:pt idx="239">
                  <c:v>9.5437052036259314E-4</c:v>
                </c:pt>
                <c:pt idx="240">
                  <c:v>9.4522059003651691E-4</c:v>
                </c:pt>
                <c:pt idx="241">
                  <c:v>9.3619583736209439E-4</c:v>
                </c:pt>
                <c:pt idx="242">
                  <c:v>9.2729404189388436E-4</c:v>
                </c:pt>
                <c:pt idx="243">
                  <c:v>9.1851303150473505E-4</c:v>
                </c:pt>
                <c:pt idx="244">
                  <c:v>9.0985068114168605E-4</c:v>
                </c:pt>
                <c:pt idx="245">
                  <c:v>9.0130491161882569E-4</c:v>
                </c:pt>
                <c:pt idx="246">
                  <c:v>8.9287368844585813E-4</c:v>
                </c:pt>
                <c:pt idx="247">
                  <c:v>8.8455502069117347E-4</c:v>
                </c:pt>
                <c:pt idx="248">
                  <c:v>8.7634695987829356E-4</c:v>
                </c:pt>
                <c:pt idx="249">
                  <c:v>8.682475989145558E-4</c:v>
                </c:pt>
                <c:pt idx="250">
                  <c:v>8.6025507105099374E-4</c:v>
                </c:pt>
                <c:pt idx="251">
                  <c:v>8.5236754887237391E-4</c:v>
                </c:pt>
                <c:pt idx="252">
                  <c:v>8.4458324331639892E-4</c:v>
                </c:pt>
                <c:pt idx="253">
                  <c:v>8.3690040272112382E-4</c:v>
                </c:pt>
                <c:pt idx="254">
                  <c:v>8.2931731189967578E-4</c:v>
                </c:pt>
                <c:pt idx="255">
                  <c:v>8.2183229124137649E-4</c:v>
                </c:pt>
                <c:pt idx="256">
                  <c:v>8.1444369583842625E-4</c:v>
                </c:pt>
                <c:pt idx="257">
                  <c:v>8.071499146373195E-4</c:v>
                </c:pt>
                <c:pt idx="258">
                  <c:v>7.9994936961420415E-4</c:v>
                </c:pt>
                <c:pt idx="259">
                  <c:v>7.9284051497341792E-4</c:v>
                </c:pt>
                <c:pt idx="260">
                  <c:v>7.8582183636845705E-4</c:v>
                </c:pt>
                <c:pt idx="261">
                  <c:v>7.7889185014468239E-4</c:v>
                </c:pt>
                <c:pt idx="262">
                  <c:v>7.7204910260306029E-4</c:v>
                </c:pt>
                <c:pt idx="263">
                  <c:v>7.6529216928428721E-4</c:v>
                </c:pt>
                <c:pt idx="264">
                  <c:v>7.5861965427264928E-4</c:v>
                </c:pt>
                <c:pt idx="265">
                  <c:v>7.5203018951901257E-4</c:v>
                </c:pt>
                <c:pt idx="266">
                  <c:v>7.4552243418234002E-4</c:v>
                </c:pt>
                <c:pt idx="267">
                  <c:v>7.3909507398916543E-4</c:v>
                </c:pt>
                <c:pt idx="268">
                  <c:v>7.3274682061046678E-4</c:v>
                </c:pt>
                <c:pt idx="269">
                  <c:v>7.2647641105540108E-4</c:v>
                </c:pt>
                <c:pt idx="270">
                  <c:v>7.2028260708139908E-4</c:v>
                </c:pt>
                <c:pt idx="271">
                  <c:v>7.1416419462009585E-4</c:v>
                </c:pt>
                <c:pt idx="272">
                  <c:v>7.081199832186429E-4</c:v>
                </c:pt>
                <c:pt idx="273">
                  <c:v>7.0214880549590434E-4</c:v>
                </c:pt>
                <c:pt idx="274">
                  <c:v>6.9624951661312307E-4</c:v>
                </c:pt>
                <c:pt idx="275">
                  <c:v>6.9042099375858808E-4</c:v>
                </c:pt>
                <c:pt idx="276">
                  <c:v>6.8466213564590786E-4</c:v>
                </c:pt>
                <c:pt idx="277">
                  <c:v>6.7897186202546653E-4</c:v>
                </c:pt>
                <c:pt idx="278">
                  <c:v>6.7334911320868316E-4</c:v>
                </c:pt>
                <c:pt idx="279">
                  <c:v>6.6779284960468181E-4</c:v>
                </c:pt>
                <c:pt idx="280">
                  <c:v>6.623020512690189E-4</c:v>
                </c:pt>
                <c:pt idx="281">
                  <c:v>6.5687571746410344E-4</c:v>
                </c:pt>
                <c:pt idx="282">
                  <c:v>6.515128662309659E-4</c:v>
                </c:pt>
                <c:pt idx="283">
                  <c:v>6.462125339720498E-4</c:v>
                </c:pt>
                <c:pt idx="284">
                  <c:v>6.4097377504470819E-4</c:v>
                </c:pt>
                <c:pt idx="285">
                  <c:v>6.3579566136507271E-4</c:v>
                </c:pt>
                <c:pt idx="286">
                  <c:v>6.3067728202202981E-4</c:v>
                </c:pt>
                <c:pt idx="287">
                  <c:v>6.2561774290097747E-4</c:v>
                </c:pt>
                <c:pt idx="288">
                  <c:v>6.2061616631710467E-4</c:v>
                </c:pt>
                <c:pt idx="289">
                  <c:v>6.1567169065791056E-4</c:v>
                </c:pt>
                <c:pt idx="290">
                  <c:v>6.1078347003470511E-4</c:v>
                </c:pt>
                <c:pt idx="291">
                  <c:v>6.0595067394282761E-4</c:v>
                </c:pt>
                <c:pt idx="292">
                  <c:v>6.0117248693034638E-4</c:v>
                </c:pt>
                <c:pt idx="293">
                  <c:v>5.9644810827499028E-4</c:v>
                </c:pt>
                <c:pt idx="294">
                  <c:v>5.9177675166908897E-4</c:v>
                </c:pt>
                <c:pt idx="295">
                  <c:v>5.8715764491228757E-4</c:v>
                </c:pt>
                <c:pt idx="296">
                  <c:v>5.8259002961182755E-4</c:v>
                </c:pt>
                <c:pt idx="297">
                  <c:v>5.7807316089017826E-4</c:v>
                </c:pt>
                <c:pt idx="298">
                  <c:v>5.7360630709981286E-4</c:v>
                </c:pt>
                <c:pt idx="299">
                  <c:v>5.6918874954493446E-4</c:v>
                </c:pt>
                <c:pt idx="300">
                  <c:v>5.6481978220996546E-4</c:v>
                </c:pt>
                <c:pt idx="301">
                  <c:v>5.6049871149459305E-4</c:v>
                </c:pt>
                <c:pt idx="302">
                  <c:v>5.5622485595522512E-4</c:v>
                </c:pt>
                <c:pt idx="303">
                  <c:v>5.5199754605264845E-4</c:v>
                </c:pt>
                <c:pt idx="304">
                  <c:v>5.4781612390574202E-4</c:v>
                </c:pt>
                <c:pt idx="305">
                  <c:v>5.4367994305106436E-4</c:v>
                </c:pt>
                <c:pt idx="306">
                  <c:v>5.3958836820817773E-4</c:v>
                </c:pt>
                <c:pt idx="307">
                  <c:v>5.3554077505052803E-4</c:v>
                </c:pt>
                <c:pt idx="308">
                  <c:v>5.3153654998175967E-4</c:v>
                </c:pt>
                <c:pt idx="309">
                  <c:v>5.2757508991728354E-4</c:v>
                </c:pt>
                <c:pt idx="310">
                  <c:v>5.2365580207100243E-4</c:v>
                </c:pt>
                <c:pt idx="311">
                  <c:v>5.1977810374701601E-4</c:v>
                </c:pt>
                <c:pt idx="312">
                  <c:v>5.1594142213619775E-4</c:v>
                </c:pt>
                <c:pt idx="313">
                  <c:v>5.1214519411750374E-4</c:v>
                </c:pt>
                <c:pt idx="314">
                  <c:v>5.0838886606389391E-4</c:v>
                </c:pt>
                <c:pt idx="315">
                  <c:v>5.0467189365274506E-4</c:v>
                </c:pt>
                <c:pt idx="316">
                  <c:v>5.0099374168062949E-4</c:v>
                </c:pt>
                <c:pt idx="317">
                  <c:v>4.9735388388235692E-4</c:v>
                </c:pt>
                <c:pt idx="318">
                  <c:v>4.9375180275415954E-4</c:v>
                </c:pt>
                <c:pt idx="319">
                  <c:v>4.9018698938091388E-4</c:v>
                </c:pt>
                <c:pt idx="320">
                  <c:v>4.8665894326730671E-4</c:v>
                </c:pt>
                <c:pt idx="321">
                  <c:v>4.8316717217282136E-4</c:v>
                </c:pt>
                <c:pt idx="322">
                  <c:v>4.7971119195046682E-4</c:v>
                </c:pt>
                <c:pt idx="323">
                  <c:v>4.7629052638914173E-4</c:v>
                </c:pt>
                <c:pt idx="324">
                  <c:v>4.7290470705954585E-4</c:v>
                </c:pt>
                <c:pt idx="325">
                  <c:v>4.6955327316354468E-4</c:v>
                </c:pt>
                <c:pt idx="326">
                  <c:v>4.6623577138689952E-4</c:v>
                </c:pt>
                <c:pt idx="327">
                  <c:v>4.6295175575528785E-4</c:v>
                </c:pt>
                <c:pt idx="328">
                  <c:v>4.5970078749351355E-4</c:v>
                </c:pt>
                <c:pt idx="329">
                  <c:v>4.5648243488783866E-4</c:v>
                </c:pt>
                <c:pt idx="330">
                  <c:v>4.5329627315135961E-4</c:v>
                </c:pt>
                <c:pt idx="331">
                  <c:v>4.5014188429234056E-4</c:v>
                </c:pt>
                <c:pt idx="332">
                  <c:v>4.470188569854425E-4</c:v>
                </c:pt>
                <c:pt idx="333">
                  <c:v>4.4392678644576802E-4</c:v>
                </c:pt>
                <c:pt idx="334">
                  <c:v>4.4086527430565613E-4</c:v>
                </c:pt>
                <c:pt idx="335">
                  <c:v>4.3783392849415612E-4</c:v>
                </c:pt>
                <c:pt idx="336">
                  <c:v>4.3483236311911628E-4</c:v>
                </c:pt>
                <c:pt idx="337">
                  <c:v>4.3186019835182309E-4</c:v>
                </c:pt>
                <c:pt idx="338">
                  <c:v>4.2891706031412708E-4</c:v>
                </c:pt>
                <c:pt idx="339">
                  <c:v>4.2600258096799672E-4</c:v>
                </c:pt>
                <c:pt idx="340">
                  <c:v>4.231163980074405E-4</c:v>
                </c:pt>
                <c:pt idx="341">
                  <c:v>4.2025815475273397E-4</c:v>
                </c:pt>
                <c:pt idx="342">
                  <c:v>4.1742750004691246E-4</c:v>
                </c:pt>
                <c:pt idx="343">
                  <c:v>4.1462408815444793E-4</c:v>
                </c:pt>
                <c:pt idx="344">
                  <c:v>4.1184757866208474E-4</c:v>
                </c:pt>
                <c:pt idx="345">
                  <c:v>4.0909763638176811E-4</c:v>
                </c:pt>
                <c:pt idx="346">
                  <c:v>4.063739312556135E-4</c:v>
                </c:pt>
                <c:pt idx="347">
                  <c:v>4.0367613826287473E-4</c:v>
                </c:pt>
                <c:pt idx="348">
                  <c:v>4.0100393732886392E-4</c:v>
                </c:pt>
                <c:pt idx="349">
                  <c:v>3.9835701323576584E-4</c:v>
                </c:pt>
                <c:pt idx="350">
                  <c:v>3.957350555353203E-4</c:v>
                </c:pt>
                <c:pt idx="351">
                  <c:v>3.931377584633067E-4</c:v>
                </c:pt>
                <c:pt idx="352">
                  <c:v>3.9056482085580985E-4</c:v>
                </c:pt>
                <c:pt idx="353">
                  <c:v>3.8801594606720691E-4</c:v>
                </c:pt>
                <c:pt idx="354">
                  <c:v>3.8549084188984798E-4</c:v>
                </c:pt>
                <c:pt idx="355">
                  <c:v>3.8298922047538212E-4</c:v>
                </c:pt>
                <c:pt idx="356">
                  <c:v>3.8051079825770085E-4</c:v>
                </c:pt>
                <c:pt idx="357">
                  <c:v>3.7805529587744936E-4</c:v>
                </c:pt>
                <c:pt idx="358">
                  <c:v>3.7562243810807357E-4</c:v>
                </c:pt>
                <c:pt idx="359">
                  <c:v>3.7321195378337555E-4</c:v>
                </c:pt>
                <c:pt idx="360">
                  <c:v>3.7082357572653187E-4</c:v>
                </c:pt>
                <c:pt idx="361">
                  <c:v>3.6845704068054529E-4</c:v>
                </c:pt>
                <c:pt idx="362">
                  <c:v>3.6611208924009614E-4</c:v>
                </c:pt>
                <c:pt idx="363">
                  <c:v>3.6378846578476772E-4</c:v>
                </c:pt>
                <c:pt idx="364">
                  <c:v>3.6148591841360026E-4</c:v>
                </c:pt>
                <c:pt idx="365">
                  <c:v>3.5920419888096309E-4</c:v>
                </c:pt>
                <c:pt idx="366">
                  <c:v>3.5694306253369207E-4</c:v>
                </c:pt>
                <c:pt idx="367">
                  <c:v>3.5470226824948678E-4</c:v>
                </c:pt>
                <c:pt idx="368">
                  <c:v>3.5248157837652238E-4</c:v>
                </c:pt>
                <c:pt idx="369">
                  <c:v>3.5028075867425191E-4</c:v>
                </c:pt>
                <c:pt idx="370">
                  <c:v>3.4809957825538524E-4</c:v>
                </c:pt>
                <c:pt idx="371">
                  <c:v>3.4593780952899564E-4</c:v>
                </c:pt>
                <c:pt idx="372">
                  <c:v>3.4379522814475177E-4</c:v>
                </c:pt>
                <c:pt idx="373">
                  <c:v>3.4167161293823358E-4</c:v>
                </c:pt>
                <c:pt idx="374">
                  <c:v>3.3956674587731767E-4</c:v>
                </c:pt>
                <c:pt idx="375">
                  <c:v>3.3748041200960149E-4</c:v>
                </c:pt>
                <c:pt idx="376">
                  <c:v>3.3541239941085161E-4</c:v>
                </c:pt>
                <c:pt idx="377">
                  <c:v>3.3336249913444506E-4</c:v>
                </c:pt>
                <c:pt idx="378">
                  <c:v>3.3133050516178953E-4</c:v>
                </c:pt>
                <c:pt idx="379">
                  <c:v>3.2931621435369171E-4</c:v>
                </c:pt>
                <c:pt idx="380">
                  <c:v>3.2731942640266786E-4</c:v>
                </c:pt>
                <c:pt idx="381">
                  <c:v>3.2533994378615471E-4</c:v>
                </c:pt>
                <c:pt idx="382">
                  <c:v>3.2337757172062789E-4</c:v>
                </c:pt>
                <c:pt idx="383">
                  <c:v>3.2143211811658159E-4</c:v>
                </c:pt>
                <c:pt idx="384">
                  <c:v>3.1950339353436857E-4</c:v>
                </c:pt>
                <c:pt idx="385">
                  <c:v>3.1759121114087609E-4</c:v>
                </c:pt>
                <c:pt idx="386">
                  <c:v>3.1569538666702208E-4</c:v>
                </c:pt>
                <c:pt idx="387">
                  <c:v>3.138157383660461E-4</c:v>
                </c:pt>
                <c:pt idx="388">
                  <c:v>3.119520869725933E-4</c:v>
                </c:pt>
                <c:pt idx="389">
                  <c:v>3.1010425566255467E-4</c:v>
                </c:pt>
                <c:pt idx="390">
                  <c:v>3.0827207001366826E-4</c:v>
                </c:pt>
                <c:pt idx="391">
                  <c:v>3.0645535796684894E-4</c:v>
                </c:pt>
                <c:pt idx="392">
                  <c:v>3.0465394978823851E-4</c:v>
                </c:pt>
                <c:pt idx="393">
                  <c:v>3.0286767803196284E-4</c:v>
                </c:pt>
                <c:pt idx="394">
                  <c:v>3.0109637750357288E-4</c:v>
                </c:pt>
                <c:pt idx="395">
                  <c:v>2.9933988522416868E-4</c:v>
                </c:pt>
                <c:pt idx="396">
                  <c:v>2.9759804039517461E-4</c:v>
                </c:pt>
                <c:pt idx="397">
                  <c:v>2.958706843637697E-4</c:v>
                </c:pt>
                <c:pt idx="398">
                  <c:v>2.9415766058894517E-4</c:v>
                </c:pt>
                <c:pt idx="399">
                  <c:v>2.9245881460818906E-4</c:v>
                </c:pt>
                <c:pt idx="400">
                  <c:v>2.9077399400476969E-4</c:v>
                </c:pt>
                <c:pt idx="401">
                  <c:v>2.8910304837562211E-4</c:v>
                </c:pt>
                <c:pt idx="402">
                  <c:v>2.8744582929981398E-4</c:v>
                </c:pt>
                <c:pt idx="403">
                  <c:v>2.8580219030757909E-4</c:v>
                </c:pt>
                <c:pt idx="404">
                  <c:v>2.8417198684991494E-4</c:v>
                </c:pt>
                <c:pt idx="405">
                  <c:v>2.8255507626872574E-4</c:v>
                </c:pt>
                <c:pt idx="406">
                  <c:v>2.8095131776749985E-4</c:v>
                </c:pt>
                <c:pt idx="407">
                  <c:v>2.7936057238251512E-4</c:v>
                </c:pt>
                <c:pt idx="408">
                  <c:v>2.7778270295455987E-4</c:v>
                </c:pt>
                <c:pt idx="409">
                  <c:v>2.762175741011524E-4</c:v>
                </c:pt>
                <c:pt idx="410">
                  <c:v>2.74665052189263E-4</c:v>
                </c:pt>
                <c:pt idx="411">
                  <c:v>2.7312500530851305E-4</c:v>
                </c:pt>
                <c:pt idx="412">
                  <c:v>2.7159730324485132E-4</c:v>
                </c:pt>
                <c:pt idx="413">
                  <c:v>2.7008181745469609E-4</c:v>
                </c:pt>
                <c:pt idx="414">
                  <c:v>2.6857842103953012E-4</c:v>
                </c:pt>
                <c:pt idx="415">
                  <c:v>2.6708698872094559E-4</c:v>
                </c:pt>
                <c:pt idx="416">
                  <c:v>2.6560739681612315E-4</c:v>
                </c:pt>
                <c:pt idx="417">
                  <c:v>2.6413952321374071E-4</c:v>
                </c:pt>
                <c:pt idx="418">
                  <c:v>2.6268324735030581E-4</c:v>
                </c:pt>
                <c:pt idx="419">
                  <c:v>2.6123845018689412E-4</c:v>
                </c:pt>
                <c:pt idx="420">
                  <c:v>2.5980501418629764E-4</c:v>
                </c:pt>
              </c:numCache>
            </c:numRef>
          </c:yVal>
          <c:smooth val="1"/>
          <c:extLst>
            <c:ext xmlns:c16="http://schemas.microsoft.com/office/drawing/2014/chart" uri="{C3380CC4-5D6E-409C-BE32-E72D297353CC}">
              <c16:uniqueId val="{00000002-10C4-4367-8FDB-1849C2CCF109}"/>
            </c:ext>
          </c:extLst>
        </c:ser>
        <c:ser>
          <c:idx val="3"/>
          <c:order val="3"/>
          <c:tx>
            <c:v>Placebo OS</c:v>
          </c:tx>
          <c:spPr>
            <a:ln w="19050" cap="rnd">
              <a:solidFill>
                <a:schemeClr val="accent1">
                  <a:lumMod val="60000"/>
                </a:schemeClr>
              </a:solidFill>
              <a:prstDash val="dash"/>
              <a:round/>
            </a:ln>
            <a:effectLst/>
          </c:spPr>
          <c:marker>
            <c:symbol val="none"/>
          </c:marker>
          <c:xVal>
            <c:numRef>
              <c:f>Model_Cx!$C$5:$C$425</c:f>
              <c:numCache>
                <c:formatCode>0.000</c:formatCode>
                <c:ptCount val="4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numCache>
            </c:numRef>
          </c:xVal>
          <c:yVal>
            <c:numRef>
              <c:f>Model_Cx!$N$5:$N$425</c:f>
              <c:numCache>
                <c:formatCode>0.000</c:formatCode>
                <c:ptCount val="421"/>
                <c:pt idx="0">
                  <c:v>1</c:v>
                </c:pt>
                <c:pt idx="1">
                  <c:v>1</c:v>
                </c:pt>
                <c:pt idx="2">
                  <c:v>1</c:v>
                </c:pt>
                <c:pt idx="3">
                  <c:v>1</c:v>
                </c:pt>
                <c:pt idx="4">
                  <c:v>1</c:v>
                </c:pt>
                <c:pt idx="5">
                  <c:v>0.97142857142856998</c:v>
                </c:pt>
                <c:pt idx="6">
                  <c:v>0.96428571428570997</c:v>
                </c:pt>
                <c:pt idx="7">
                  <c:v>0.96428571428570997</c:v>
                </c:pt>
                <c:pt idx="8">
                  <c:v>0.94285714285713995</c:v>
                </c:pt>
                <c:pt idx="9">
                  <c:v>0.92857142857143005</c:v>
                </c:pt>
                <c:pt idx="10">
                  <c:v>0.91428571428571004</c:v>
                </c:pt>
                <c:pt idx="11">
                  <c:v>0.89285714285714002</c:v>
                </c:pt>
                <c:pt idx="12">
                  <c:v>0.8713700234192</c:v>
                </c:pt>
                <c:pt idx="13">
                  <c:v>0.85696721311474999</c:v>
                </c:pt>
                <c:pt idx="14">
                  <c:v>0.84256440281030998</c:v>
                </c:pt>
                <c:pt idx="15">
                  <c:v>0.82816159250585997</c:v>
                </c:pt>
                <c:pt idx="16">
                  <c:v>0.82096018735362997</c:v>
                </c:pt>
                <c:pt idx="17">
                  <c:v>0.77010424654411003</c:v>
                </c:pt>
                <c:pt idx="18">
                  <c:v>0.74816912921693002</c:v>
                </c:pt>
                <c:pt idx="19">
                  <c:v>0.73349914629111002</c:v>
                </c:pt>
                <c:pt idx="20">
                  <c:v>0.71655992636385679</c:v>
                </c:pt>
                <c:pt idx="21">
                  <c:v>0.70006791926547685</c:v>
                </c:pt>
                <c:pt idx="22">
                  <c:v>0.6840225108095962</c:v>
                </c:pt>
                <c:pt idx="23">
                  <c:v>0.6684201304815941</c:v>
                </c:pt>
                <c:pt idx="24">
                  <c:v>0.65325494932940442</c:v>
                </c:pt>
                <c:pt idx="25">
                  <c:v>0.63851943179524995</c:v>
                </c:pt>
                <c:pt idx="26">
                  <c:v>0.62420477281302655</c:v>
                </c:pt>
                <c:pt idx="27">
                  <c:v>0.61030124439909361</c:v>
                </c:pt>
                <c:pt idx="28">
                  <c:v>0.59679847057363267</c:v>
                </c:pt>
                <c:pt idx="29">
                  <c:v>0.58368564533175071</c:v>
                </c:pt>
                <c:pt idx="30">
                  <c:v>0.57095170522005101</c:v>
                </c:pt>
                <c:pt idx="31">
                  <c:v>0.55858546563112854</c:v>
                </c:pt>
                <c:pt idx="32">
                  <c:v>0.54657572803165011</c:v>
                </c:pt>
                <c:pt idx="33">
                  <c:v>0.53491136385983629</c:v>
                </c:pt>
                <c:pt idx="34">
                  <c:v>0.52358137966820828</c:v>
                </c:pt>
                <c:pt idx="35">
                  <c:v>0.51257496717418705</c:v>
                </c:pt>
                <c:pt idx="36">
                  <c:v>0.50188154115903605</c:v>
                </c:pt>
                <c:pt idx="37">
                  <c:v>0.49149076758244287</c:v>
                </c:pt>
                <c:pt idx="38">
                  <c:v>0.48139258382329175</c:v>
                </c:pt>
                <c:pt idx="39">
                  <c:v>0.47157721259198759</c:v>
                </c:pt>
                <c:pt idx="40">
                  <c:v>0.46203517076668921</c:v>
                </c:pt>
                <c:pt idx="41">
                  <c:v>0.45275727417003309</c:v>
                </c:pt>
                <c:pt idx="42">
                  <c:v>0.44373463911262695</c:v>
                </c:pt>
                <c:pt idx="43">
                  <c:v>0.43495868137560273</c:v>
                </c:pt>
                <c:pt idx="44">
                  <c:v>0.42642111317958831</c:v>
                </c:pt>
                <c:pt idx="45">
                  <c:v>0.4181139385858843</c:v>
                </c:pt>
                <c:pt idx="46">
                  <c:v>0.41002944769287158</c:v>
                </c:pt>
                <c:pt idx="47">
                  <c:v>0.40216020992311913</c:v>
                </c:pt>
                <c:pt idx="48">
                  <c:v>0.39449906664143053</c:v>
                </c:pt>
                <c:pt idx="49">
                  <c:v>0.3870391232988421</c:v>
                </c:pt>
                <c:pt idx="50">
                  <c:v>0.37977374126050484</c:v>
                </c:pt>
                <c:pt idx="51">
                  <c:v>0.37269652944497311</c:v>
                </c:pt>
                <c:pt idx="52">
                  <c:v>0.36580133587742514</c:v>
                </c:pt>
                <c:pt idx="53">
                  <c:v>0.35908223923882621</c:v>
                </c:pt>
                <c:pt idx="54">
                  <c:v>0.35253354047617552</c:v>
                </c:pt>
                <c:pt idx="55">
                  <c:v>0.34614975452512353</c:v>
                </c:pt>
                <c:pt idx="56">
                  <c:v>0.33992560218486229</c:v>
                </c:pt>
                <c:pt idx="57">
                  <c:v>0.33385600217585853</c:v>
                </c:pt>
                <c:pt idx="58">
                  <c:v>0.32793606340334375</c:v>
                </c:pt>
                <c:pt idx="59">
                  <c:v>0.3221610774432197</c:v>
                </c:pt>
                <c:pt idx="60">
                  <c:v>0.3165265112619261</c:v>
                </c:pt>
                <c:pt idx="61">
                  <c:v>0.31102800017766125</c:v>
                </c:pt>
                <c:pt idx="62">
                  <c:v>0.30566134106698678</c:v>
                </c:pt>
                <c:pt idx="63">
                  <c:v>0.30042248581811742</c:v>
                </c:pt>
                <c:pt idx="64">
                  <c:v>0.29530753503003859</c:v>
                </c:pt>
                <c:pt idx="65">
                  <c:v>0.29031273195485008</c:v>
                </c:pt>
                <c:pt idx="66">
                  <c:v>0.28543445667938749</c:v>
                </c:pt>
                <c:pt idx="67">
                  <c:v>0.2806692205411051</c:v>
                </c:pt>
                <c:pt idx="68">
                  <c:v>0.27601366077241235</c:v>
                </c:pt>
                <c:pt idx="69">
                  <c:v>0.27146453536705262</c:v>
                </c:pt>
                <c:pt idx="70">
                  <c:v>0.26701871816168277</c:v>
                </c:pt>
                <c:pt idx="71">
                  <c:v>0.26267319412553708</c:v>
                </c:pt>
                <c:pt idx="72">
                  <c:v>0.25842505485086997</c:v>
                </c:pt>
                <c:pt idx="73">
                  <c:v>0.25427149423679907</c:v>
                </c:pt>
                <c:pt idx="74">
                  <c:v>0.25020980435916057</c:v>
                </c:pt>
                <c:pt idx="75">
                  <c:v>0.24623737151903979</c:v>
                </c:pt>
                <c:pt idx="76">
                  <c:v>0.24235167246273584</c:v>
                </c:pt>
                <c:pt idx="77">
                  <c:v>0.23855027076606683</c:v>
                </c:pt>
                <c:pt idx="78">
                  <c:v>0.23483081337607034</c:v>
                </c:pt>
                <c:pt idx="79">
                  <c:v>0.23119102730335342</c:v>
                </c:pt>
                <c:pt idx="80">
                  <c:v>0.2276287164585461</c:v>
                </c:pt>
                <c:pt idx="81">
                  <c:v>0.2241417586265205</c:v>
                </c:pt>
                <c:pt idx="82">
                  <c:v>0.22072810257226655</c:v>
                </c:pt>
                <c:pt idx="83">
                  <c:v>0.21738576527253134</c:v>
                </c:pt>
                <c:pt idx="84">
                  <c:v>0.21411282926756511</c:v>
                </c:pt>
                <c:pt idx="85">
                  <c:v>0.21090744012753312</c:v>
                </c:pt>
                <c:pt idx="86">
                  <c:v>0.20776780402838665</c:v>
                </c:pt>
                <c:pt idx="87">
                  <c:v>0.20469218543219089</c:v>
                </c:pt>
                <c:pt idx="88">
                  <c:v>0.2016789048671426</c:v>
                </c:pt>
                <c:pt idx="89">
                  <c:v>0.1987263368027011</c:v>
                </c:pt>
                <c:pt idx="90">
                  <c:v>0.1958329076154712</c:v>
                </c:pt>
                <c:pt idx="91">
                  <c:v>0.19299709364167306</c:v>
                </c:pt>
                <c:pt idx="92">
                  <c:v>0.19021741931221775</c:v>
                </c:pt>
                <c:pt idx="93">
                  <c:v>0.187492455366599</c:v>
                </c:pt>
                <c:pt idx="94">
                  <c:v>0.1848208171419814</c:v>
                </c:pt>
                <c:pt idx="95">
                  <c:v>0.18220116293404012</c:v>
                </c:pt>
                <c:pt idx="96">
                  <c:v>0.17963219242626585</c:v>
                </c:pt>
                <c:pt idx="97">
                  <c:v>0.17711264518460562</c:v>
                </c:pt>
                <c:pt idx="98">
                  <c:v>0.17464129921445887</c:v>
                </c:pt>
                <c:pt idx="99">
                  <c:v>0.17221696957719057</c:v>
                </c:pt>
                <c:pt idx="100">
                  <c:v>0.16983850706345655</c:v>
                </c:pt>
                <c:pt idx="101">
                  <c:v>0.16750479692077114</c:v>
                </c:pt>
                <c:pt idx="102">
                  <c:v>0.16521475763286186</c:v>
                </c:pt>
                <c:pt idx="103">
                  <c:v>0.16296733974848227</c:v>
                </c:pt>
                <c:pt idx="104">
                  <c:v>0.16076152475746253</c:v>
                </c:pt>
                <c:pt idx="105">
                  <c:v>0.15859632401187826</c:v>
                </c:pt>
                <c:pt idx="106">
                  <c:v>0.15647077769033135</c:v>
                </c:pt>
                <c:pt idx="107">
                  <c:v>0.15438395380342212</c:v>
                </c:pt>
                <c:pt idx="108">
                  <c:v>0.15233494723858859</c:v>
                </c:pt>
                <c:pt idx="109">
                  <c:v>0.15032287884257794</c:v>
                </c:pt>
                <c:pt idx="110">
                  <c:v>0.14834689453989117</c:v>
                </c:pt>
                <c:pt idx="111">
                  <c:v>0.14640616448562951</c:v>
                </c:pt>
                <c:pt idx="112">
                  <c:v>0.14449988225123847</c:v>
                </c:pt>
                <c:pt idx="113">
                  <c:v>0.14262726404172163</c:v>
                </c:pt>
                <c:pt idx="114">
                  <c:v>0.14078754794296208</c:v>
                </c:pt>
                <c:pt idx="115">
                  <c:v>0.1389799931978519</c:v>
                </c:pt>
                <c:pt idx="116">
                  <c:v>0.13720387950999471</c:v>
                </c:pt>
                <c:pt idx="117">
                  <c:v>0.13545850637380233</c:v>
                </c:pt>
                <c:pt idx="118">
                  <c:v>0.13374319242986149</c:v>
                </c:pt>
                <c:pt idx="119">
                  <c:v>0.13205727484449936</c:v>
                </c:pt>
                <c:pt idx="120">
                  <c:v>0.13040010871252702</c:v>
                </c:pt>
                <c:pt idx="121">
                  <c:v>0.12877106648218636</c:v>
                </c:pt>
                <c:pt idx="122">
                  <c:v>0.12716953740137207</c:v>
                </c:pt>
                <c:pt idx="123">
                  <c:v>0.12559492698424202</c:v>
                </c:pt>
                <c:pt idx="124">
                  <c:v>0.1240466564973688</c:v>
                </c:pt>
                <c:pt idx="125">
                  <c:v>0.12252416246462965</c:v>
                </c:pt>
                <c:pt idx="126">
                  <c:v>0.12102689619005928</c:v>
                </c:pt>
                <c:pt idx="127">
                  <c:v>0.1195543232979339</c:v>
                </c:pt>
                <c:pt idx="128">
                  <c:v>0.11810592328938369</c:v>
                </c:pt>
                <c:pt idx="129">
                  <c:v>0.11668118911486204</c:v>
                </c:pt>
                <c:pt idx="130">
                  <c:v>0.11527962676183201</c:v>
                </c:pt>
                <c:pt idx="131">
                  <c:v>0.1139007548570589</c:v>
                </c:pt>
                <c:pt idx="132">
                  <c:v>0.1125441042829224</c:v>
                </c:pt>
                <c:pt idx="133">
                  <c:v>0.11120921780719159</c:v>
                </c:pt>
                <c:pt idx="134">
                  <c:v>0.10989564972572881</c:v>
                </c:pt>
                <c:pt idx="135">
                  <c:v>0.10860296551760874</c:v>
                </c:pt>
                <c:pt idx="136">
                  <c:v>0.10733074151216973</c:v>
                </c:pt>
                <c:pt idx="137">
                  <c:v>0.10607856456752561</c:v>
                </c:pt>
                <c:pt idx="138">
                  <c:v>0.10484603176009433</c:v>
                </c:pt>
                <c:pt idx="139">
                  <c:v>0.10363275008471586</c:v>
                </c:pt>
                <c:pt idx="140">
                  <c:v>0.10243833616494788</c:v>
                </c:pt>
                <c:pt idx="141">
                  <c:v>0.10126241597315279</c:v>
                </c:pt>
                <c:pt idx="142">
                  <c:v>0.10010462455999677</c:v>
                </c:pt>
                <c:pt idx="143">
                  <c:v>9.8964605793004284E-2</c:v>
                </c:pt>
                <c:pt idx="144">
                  <c:v>9.7842012103824469E-2</c:v>
                </c:pt>
                <c:pt idx="145">
                  <c:v>9.6736504243881777E-2</c:v>
                </c:pt>
                <c:pt idx="146">
                  <c:v>9.5647751048092089E-2</c:v>
                </c:pt>
                <c:pt idx="147">
                  <c:v>9.4575429206345804E-2</c:v>
                </c:pt>
                <c:pt idx="148">
                  <c:v>9.3519223042467806E-2</c:v>
                </c:pt>
                <c:pt idx="149">
                  <c:v>9.247882430037524E-2</c:v>
                </c:pt>
                <c:pt idx="150">
                  <c:v>9.1453931937169677E-2</c:v>
                </c:pt>
                <c:pt idx="151">
                  <c:v>9.0444251922906324E-2</c:v>
                </c:pt>
                <c:pt idx="152">
                  <c:v>8.9449497046798207E-2</c:v>
                </c:pt>
                <c:pt idx="153">
                  <c:v>8.8469386729618502E-2</c:v>
                </c:pt>
                <c:pt idx="154">
                  <c:v>8.7503646842077579E-2</c:v>
                </c:pt>
                <c:pt idx="155">
                  <c:v>8.6552009528958682E-2</c:v>
                </c:pt>
                <c:pt idx="156">
                  <c:v>8.5614213038804107E-2</c:v>
                </c:pt>
                <c:pt idx="157">
                  <c:v>8.4690001558954203E-2</c:v>
                </c:pt>
                <c:pt idx="158">
                  <c:v>8.3779125055747208E-2</c:v>
                </c:pt>
                <c:pt idx="159">
                  <c:v>8.2881339119698458E-2</c:v>
                </c:pt>
                <c:pt idx="160">
                  <c:v>8.1996404815479956E-2</c:v>
                </c:pt>
                <c:pt idx="161">
                  <c:v>8.1124088536534023E-2</c:v>
                </c:pt>
                <c:pt idx="162">
                  <c:v>8.0264161864157621E-2</c:v>
                </c:pt>
                <c:pt idx="163">
                  <c:v>7.9416401430899966E-2</c:v>
                </c:pt>
                <c:pt idx="164">
                  <c:v>7.8580588788125641E-2</c:v>
                </c:pt>
                <c:pt idx="165">
                  <c:v>7.7756510277598556E-2</c:v>
                </c:pt>
                <c:pt idx="166">
                  <c:v>7.6943956906944333E-2</c:v>
                </c:pt>
                <c:pt idx="167">
                  <c:v>7.6142724228866837E-2</c:v>
                </c:pt>
                <c:pt idx="168">
                  <c:v>7.5352612223978724E-2</c:v>
                </c:pt>
                <c:pt idx="169">
                  <c:v>7.4573425187133627E-2</c:v>
                </c:pt>
                <c:pt idx="170">
                  <c:v>7.380497161713459E-2</c:v>
                </c:pt>
                <c:pt idx="171">
                  <c:v>7.3047064109707724E-2</c:v>
                </c:pt>
                <c:pt idx="172">
                  <c:v>7.2299519253630568E-2</c:v>
                </c:pt>
                <c:pt idx="173">
                  <c:v>7.156215752990816E-2</c:v>
                </c:pt>
                <c:pt idx="174">
                  <c:v>7.0834803213899289E-2</c:v>
                </c:pt>
                <c:pt idx="175">
                  <c:v>7.0117284280288975E-2</c:v>
                </c:pt>
                <c:pt idx="176">
                  <c:v>6.9409432310818323E-2</c:v>
                </c:pt>
                <c:pt idx="177">
                  <c:v>6.8711082404677729E-2</c:v>
                </c:pt>
                <c:pt idx="178">
                  <c:v>6.8022073091478438E-2</c:v>
                </c:pt>
                <c:pt idx="179">
                  <c:v>6.7342246246715365E-2</c:v>
                </c:pt>
                <c:pt idx="180">
                  <c:v>6.6671447009642157E-2</c:v>
                </c:pt>
                <c:pt idx="181">
                  <c:v>6.6009523703480358E-2</c:v>
                </c:pt>
                <c:pt idx="182">
                  <c:v>6.5356327757886537E-2</c:v>
                </c:pt>
                <c:pt idx="183">
                  <c:v>6.4711713633603563E-2</c:v>
                </c:pt>
                <c:pt idx="184">
                  <c:v>6.4075538749230068E-2</c:v>
                </c:pt>
                <c:pt idx="185">
                  <c:v>6.3447663410035438E-2</c:v>
                </c:pt>
                <c:pt idx="186">
                  <c:v>6.2827950738759075E-2</c:v>
                </c:pt>
                <c:pt idx="187">
                  <c:v>6.2216266608329761E-2</c:v>
                </c:pt>
                <c:pt idx="188">
                  <c:v>6.1612479576444612E-2</c:v>
                </c:pt>
                <c:pt idx="189">
                  <c:v>6.1016460821948157E-2</c:v>
                </c:pt>
                <c:pt idx="190">
                  <c:v>6.0428084082958446E-2</c:v>
                </c:pt>
                <c:pt idx="191">
                  <c:v>5.984722559668159E-2</c:v>
                </c:pt>
                <c:pt idx="192">
                  <c:v>5.9273764040865651E-2</c:v>
                </c:pt>
                <c:pt idx="193">
                  <c:v>5.8707580476840812E-2</c:v>
                </c:pt>
                <c:pt idx="194">
                  <c:v>5.8148558294098825E-2</c:v>
                </c:pt>
                <c:pt idx="195">
                  <c:v>5.7596583156363325E-2</c:v>
                </c:pt>
                <c:pt idx="196">
                  <c:v>5.7051542949105652E-2</c:v>
                </c:pt>
                <c:pt idx="197">
                  <c:v>5.651332772846214E-2</c:v>
                </c:pt>
                <c:pt idx="198">
                  <c:v>5.5981829671511038E-2</c:v>
                </c:pt>
                <c:pt idx="199">
                  <c:v>5.5456943027866787E-2</c:v>
                </c:pt>
                <c:pt idx="200">
                  <c:v>5.4938564072552161E-2</c:v>
                </c:pt>
                <c:pt idx="201">
                  <c:v>5.442659106011169E-2</c:v>
                </c:pt>
                <c:pt idx="202">
                  <c:v>5.3920924179926506E-2</c:v>
                </c:pt>
                <c:pt idx="203">
                  <c:v>5.3421465512696782E-2</c:v>
                </c:pt>
                <c:pt idx="204">
                  <c:v>5.2928118988056022E-2</c:v>
                </c:pt>
                <c:pt idx="205">
                  <c:v>5.2440790343285429E-2</c:v>
                </c:pt>
                <c:pt idx="206">
                  <c:v>5.1959387083093382E-2</c:v>
                </c:pt>
                <c:pt idx="207">
                  <c:v>5.1483818440430443E-2</c:v>
                </c:pt>
                <c:pt idx="208">
                  <c:v>5.1013995338309658E-2</c:v>
                </c:pt>
                <c:pt idx="209">
                  <c:v>5.0549830352602729E-2</c:v>
                </c:pt>
                <c:pt idx="210">
                  <c:v>5.0091237675782128E-2</c:v>
                </c:pt>
                <c:pt idx="211">
                  <c:v>4.9638133081584455E-2</c:v>
                </c:pt>
                <c:pt idx="212">
                  <c:v>4.9190433890566793E-2</c:v>
                </c:pt>
                <c:pt idx="213">
                  <c:v>4.8748058936530156E-2</c:v>
                </c:pt>
                <c:pt idx="214">
                  <c:v>4.8310928533786698E-2</c:v>
                </c:pt>
                <c:pt idx="215">
                  <c:v>4.7878964445244976E-2</c:v>
                </c:pt>
                <c:pt idx="216">
                  <c:v>4.7452089851291117E-2</c:v>
                </c:pt>
                <c:pt idx="217">
                  <c:v>4.7030229319442951E-2</c:v>
                </c:pt>
                <c:pt idx="218">
                  <c:v>4.6613308774755613E-2</c:v>
                </c:pt>
                <c:pt idx="219">
                  <c:v>4.6201255470956007E-2</c:v>
                </c:pt>
                <c:pt idx="220">
                  <c:v>4.5793997962288849E-2</c:v>
                </c:pt>
                <c:pt idx="221">
                  <c:v>4.5391466076050567E-2</c:v>
                </c:pt>
                <c:pt idx="222">
                  <c:v>4.499359088579491E-2</c:v>
                </c:pt>
                <c:pt idx="223">
                  <c:v>4.4600304685190342E-2</c:v>
                </c:pt>
                <c:pt idx="224">
                  <c:v>4.4211540962510974E-2</c:v>
                </c:pt>
                <c:pt idx="225">
                  <c:v>4.3827234375744276E-2</c:v>
                </c:pt>
                <c:pt idx="226">
                  <c:v>4.3447320728298384E-2</c:v>
                </c:pt>
                <c:pt idx="227">
                  <c:v>4.3071736945292753E-2</c:v>
                </c:pt>
                <c:pt idx="228">
                  <c:v>4.2700421050415382E-2</c:v>
                </c:pt>
                <c:pt idx="229">
                  <c:v>4.2333312143332344E-2</c:v>
                </c:pt>
                <c:pt idx="230">
                  <c:v>4.1970350377634545E-2</c:v>
                </c:pt>
                <c:pt idx="231">
                  <c:v>4.1611476939306009E-2</c:v>
                </c:pt>
                <c:pt idx="232">
                  <c:v>4.1256634025700706E-2</c:v>
                </c:pt>
                <c:pt idx="233">
                  <c:v>4.0905764825015421E-2</c:v>
                </c:pt>
                <c:pt idx="234">
                  <c:v>4.0558813496241533E-2</c:v>
                </c:pt>
                <c:pt idx="235">
                  <c:v>4.0215725149588412E-2</c:v>
                </c:pt>
                <c:pt idx="236">
                  <c:v>3.9876445827359885E-2</c:v>
                </c:pt>
                <c:pt idx="237">
                  <c:v>3.95409224852779E-2</c:v>
                </c:pt>
                <c:pt idx="238">
                  <c:v>3.9209102974236028E-2</c:v>
                </c:pt>
                <c:pt idx="239">
                  <c:v>3.8880936022476172E-2</c:v>
                </c:pt>
                <c:pt idx="240">
                  <c:v>3.8556371218173138E-2</c:v>
                </c:pt>
                <c:pt idx="241">
                  <c:v>3.8235358992420337E-2</c:v>
                </c:pt>
                <c:pt idx="242">
                  <c:v>3.7917850602603449E-2</c:v>
                </c:pt>
                <c:pt idx="243">
                  <c:v>3.7603798116153136E-2</c:v>
                </c:pt>
                <c:pt idx="244">
                  <c:v>3.729315439466651E-2</c:v>
                </c:pt>
                <c:pt idx="245">
                  <c:v>3.6985873078388368E-2</c:v>
                </c:pt>
                <c:pt idx="246">
                  <c:v>3.6681908571042726E-2</c:v>
                </c:pt>
                <c:pt idx="247">
                  <c:v>3.6381216025005256E-2</c:v>
                </c:pt>
                <c:pt idx="248">
                  <c:v>3.6083751326808494E-2</c:v>
                </c:pt>
                <c:pt idx="249">
                  <c:v>3.5789471082971182E-2</c:v>
                </c:pt>
                <c:pt idx="250">
                  <c:v>3.5498332606143601E-2</c:v>
                </c:pt>
                <c:pt idx="251">
                  <c:v>3.5210293901559865E-2</c:v>
                </c:pt>
                <c:pt idx="252">
                  <c:v>3.4925313653791597E-2</c:v>
                </c:pt>
                <c:pt idx="253">
                  <c:v>3.4643351213793749E-2</c:v>
                </c:pt>
                <c:pt idx="254">
                  <c:v>3.4364366586234187E-2</c:v>
                </c:pt>
                <c:pt idx="255">
                  <c:v>3.408832041710419E-2</c:v>
                </c:pt>
                <c:pt idx="256">
                  <c:v>3.3815173981597189E-2</c:v>
                </c:pt>
                <c:pt idx="257">
                  <c:v>3.3544889172253699E-2</c:v>
                </c:pt>
                <c:pt idx="258">
                  <c:v>3.3277428487363904E-2</c:v>
                </c:pt>
                <c:pt idx="259">
                  <c:v>3.301275501962099E-2</c:v>
                </c:pt>
                <c:pt idx="260">
                  <c:v>3.2750832445020368E-2</c:v>
                </c:pt>
                <c:pt idx="261">
                  <c:v>3.2491625011997996E-2</c:v>
                </c:pt>
                <c:pt idx="262">
                  <c:v>3.223509753080283E-2</c:v>
                </c:pt>
                <c:pt idx="263">
                  <c:v>3.1981215363095082E-2</c:v>
                </c:pt>
                <c:pt idx="264">
                  <c:v>3.1729944411769337E-2</c:v>
                </c:pt>
                <c:pt idx="265">
                  <c:v>3.1481251110992155E-2</c:v>
                </c:pt>
                <c:pt idx="266">
                  <c:v>3.1235102416452672E-2</c:v>
                </c:pt>
                <c:pt idx="267">
                  <c:v>3.0991465795818934E-2</c:v>
                </c:pt>
                <c:pt idx="268">
                  <c:v>3.0750309219396067E-2</c:v>
                </c:pt>
                <c:pt idx="269">
                  <c:v>3.0511601150981161E-2</c:v>
                </c:pt>
                <c:pt idx="270">
                  <c:v>3.0275310538909733E-2</c:v>
                </c:pt>
                <c:pt idx="271">
                  <c:v>3.0041406807290217E-2</c:v>
                </c:pt>
                <c:pt idx="272">
                  <c:v>2.9809859847420475E-2</c:v>
                </c:pt>
                <c:pt idx="273">
                  <c:v>2.9580640009384429E-2</c:v>
                </c:pt>
                <c:pt idx="274">
                  <c:v>2.9353718093821073E-2</c:v>
                </c:pt>
                <c:pt idx="275">
                  <c:v>2.9129065343865793E-2</c:v>
                </c:pt>
                <c:pt idx="276">
                  <c:v>2.8906653437256392E-2</c:v>
                </c:pt>
                <c:pt idx="277">
                  <c:v>2.8686454478602571E-2</c:v>
                </c:pt>
                <c:pt idx="278">
                  <c:v>2.846844099181357E-2</c:v>
                </c:pt>
                <c:pt idx="279">
                  <c:v>2.8252585912680782E-2</c:v>
                </c:pt>
                <c:pt idx="280">
                  <c:v>2.8038862581611635E-2</c:v>
                </c:pt>
                <c:pt idx="281">
                  <c:v>2.7827244736510985E-2</c:v>
                </c:pt>
                <c:pt idx="282">
                  <c:v>2.7617706505808273E-2</c:v>
                </c:pt>
                <c:pt idx="283">
                  <c:v>2.7410222401623798E-2</c:v>
                </c:pt>
                <c:pt idx="284">
                  <c:v>2.7204767313074241E-2</c:v>
                </c:pt>
                <c:pt idx="285">
                  <c:v>2.7001316499712449E-2</c:v>
                </c:pt>
                <c:pt idx="286">
                  <c:v>2.6799845585098916E-2</c:v>
                </c:pt>
                <c:pt idx="287">
                  <c:v>2.6600330550501448E-2</c:v>
                </c:pt>
                <c:pt idx="288">
                  <c:v>2.6402747728721098E-2</c:v>
                </c:pt>
                <c:pt idx="289">
                  <c:v>2.6207073798041266E-2</c:v>
                </c:pt>
                <c:pt idx="290">
                  <c:v>2.6013285776295251E-2</c:v>
                </c:pt>
                <c:pt idx="291">
                  <c:v>2.5821361015053411E-2</c:v>
                </c:pt>
                <c:pt idx="292">
                  <c:v>2.5631277193923267E-2</c:v>
                </c:pt>
                <c:pt idx="293">
                  <c:v>2.5443012314963011E-2</c:v>
                </c:pt>
                <c:pt idx="294">
                  <c:v>2.5256544697203488E-2</c:v>
                </c:pt>
                <c:pt idx="295">
                  <c:v>2.5071852971278646E-2</c:v>
                </c:pt>
                <c:pt idx="296">
                  <c:v>2.4888916074160321E-2</c:v>
                </c:pt>
                <c:pt idx="297">
                  <c:v>2.4707713243994834E-2</c:v>
                </c:pt>
                <c:pt idx="298">
                  <c:v>2.4528224015041414E-2</c:v>
                </c:pt>
                <c:pt idx="299">
                  <c:v>2.4350428212707022E-2</c:v>
                </c:pt>
                <c:pt idx="300">
                  <c:v>2.4174305948678518E-2</c:v>
                </c:pt>
                <c:pt idx="301">
                  <c:v>2.3999837616147227E-2</c:v>
                </c:pt>
                <c:pt idx="302">
                  <c:v>2.3827003885126822E-2</c:v>
                </c:pt>
                <c:pt idx="303">
                  <c:v>2.365578569785937E-2</c:v>
                </c:pt>
                <c:pt idx="304">
                  <c:v>2.3486164264310549E-2</c:v>
                </c:pt>
                <c:pt idx="305">
                  <c:v>2.3318121057749708E-2</c:v>
                </c:pt>
                <c:pt idx="306">
                  <c:v>2.3151637810414731E-2</c:v>
                </c:pt>
                <c:pt idx="307">
                  <c:v>2.2986696509258872E-2</c:v>
                </c:pt>
                <c:pt idx="308">
                  <c:v>2.282327939177747E-2</c:v>
                </c:pt>
                <c:pt idx="309">
                  <c:v>2.2661368941914679E-2</c:v>
                </c:pt>
                <c:pt idx="310">
                  <c:v>2.2500947886046167E-2</c:v>
                </c:pt>
                <c:pt idx="311">
                  <c:v>2.2341999189037471E-2</c:v>
                </c:pt>
                <c:pt idx="312">
                  <c:v>2.2184506050376387E-2</c:v>
                </c:pt>
                <c:pt idx="313">
                  <c:v>2.2028451900377777E-2</c:v>
                </c:pt>
                <c:pt idx="314">
                  <c:v>2.187382039645806E-2</c:v>
                </c:pt>
                <c:pt idx="315">
                  <c:v>2.1720595419480401E-2</c:v>
                </c:pt>
                <c:pt idx="316">
                  <c:v>2.1568761070166257E-2</c:v>
                </c:pt>
                <c:pt idx="317">
                  <c:v>2.1418301665574745E-2</c:v>
                </c:pt>
                <c:pt idx="318">
                  <c:v>2.1269201735644921E-2</c:v>
                </c:pt>
                <c:pt idx="319">
                  <c:v>2.1121446019803942E-2</c:v>
                </c:pt>
                <c:pt idx="320">
                  <c:v>2.0975019463636058E-2</c:v>
                </c:pt>
                <c:pt idx="321">
                  <c:v>2.082990721561245E-2</c:v>
                </c:pt>
                <c:pt idx="322">
                  <c:v>2.0686094623881775E-2</c:v>
                </c:pt>
                <c:pt idx="323">
                  <c:v>2.0543567233118346E-2</c:v>
                </c:pt>
                <c:pt idx="324">
                  <c:v>2.0402310781427922E-2</c:v>
                </c:pt>
                <c:pt idx="325">
                  <c:v>2.0262311197309625E-2</c:v>
                </c:pt>
                <c:pt idx="326">
                  <c:v>2.0123554596672512E-2</c:v>
                </c:pt>
                <c:pt idx="327">
                  <c:v>1.9986027279905956E-2</c:v>
                </c:pt>
                <c:pt idx="328">
                  <c:v>1.9849715729003417E-2</c:v>
                </c:pt>
                <c:pt idx="329">
                  <c:v>1.9714606604736722E-2</c:v>
                </c:pt>
                <c:pt idx="330">
                  <c:v>1.9580686743881855E-2</c:v>
                </c:pt>
                <c:pt idx="331">
                  <c:v>1.944794315649391E-2</c:v>
                </c:pt>
                <c:pt idx="332">
                  <c:v>1.9316363023230688E-2</c:v>
                </c:pt>
                <c:pt idx="333">
                  <c:v>1.9185933692723707E-2</c:v>
                </c:pt>
                <c:pt idx="334">
                  <c:v>1.9056642678995931E-2</c:v>
                </c:pt>
                <c:pt idx="335">
                  <c:v>1.8928477658925403E-2</c:v>
                </c:pt>
                <c:pt idx="336">
                  <c:v>1.8801426469753083E-2</c:v>
                </c:pt>
                <c:pt idx="337">
                  <c:v>1.8675477106635554E-2</c:v>
                </c:pt>
                <c:pt idx="338">
                  <c:v>1.8550617720239054E-2</c:v>
                </c:pt>
                <c:pt idx="339">
                  <c:v>1.8426836614377825E-2</c:v>
                </c:pt>
                <c:pt idx="340">
                  <c:v>1.830412224369158E-2</c:v>
                </c:pt>
                <c:pt idx="341">
                  <c:v>1.8182463211365116E-2</c:v>
                </c:pt>
                <c:pt idx="342">
                  <c:v>1.8061848266886713E-2</c:v>
                </c:pt>
                <c:pt idx="343">
                  <c:v>1.7942266303845569E-2</c:v>
                </c:pt>
                <c:pt idx="344">
                  <c:v>1.7823706357768129E-2</c:v>
                </c:pt>
                <c:pt idx="345">
                  <c:v>1.7706157603990247E-2</c:v>
                </c:pt>
                <c:pt idx="346">
                  <c:v>1.7589609355567783E-2</c:v>
                </c:pt>
                <c:pt idx="347">
                  <c:v>1.7474051061221421E-2</c:v>
                </c:pt>
                <c:pt idx="348">
                  <c:v>1.7359472303318434E-2</c:v>
                </c:pt>
                <c:pt idx="349">
                  <c:v>1.7245862795887849E-2</c:v>
                </c:pt>
                <c:pt idx="350">
                  <c:v>1.7133212382669495E-2</c:v>
                </c:pt>
                <c:pt idx="351">
                  <c:v>1.702151103519723E-2</c:v>
                </c:pt>
                <c:pt idx="352">
                  <c:v>1.691074885091352E-2</c:v>
                </c:pt>
                <c:pt idx="353">
                  <c:v>1.6800916051317064E-2</c:v>
                </c:pt>
                <c:pt idx="354">
                  <c:v>1.6692002980141195E-2</c:v>
                </c:pt>
                <c:pt idx="355">
                  <c:v>1.6584000101563034E-2</c:v>
                </c:pt>
                <c:pt idx="356">
                  <c:v>1.647689799844294E-2</c:v>
                </c:pt>
                <c:pt idx="357">
                  <c:v>1.6370687370593596E-2</c:v>
                </c:pt>
                <c:pt idx="358">
                  <c:v>1.6265359033078217E-2</c:v>
                </c:pt>
                <c:pt idx="359">
                  <c:v>1.6160903914536572E-2</c:v>
                </c:pt>
                <c:pt idx="360">
                  <c:v>1.6057313055539906E-2</c:v>
                </c:pt>
                <c:pt idx="361">
                  <c:v>1.5954577606972841E-2</c:v>
                </c:pt>
                <c:pt idx="362">
                  <c:v>1.5852688828441458E-2</c:v>
                </c:pt>
                <c:pt idx="363">
                  <c:v>1.5751638086709367E-2</c:v>
                </c:pt>
                <c:pt idx="364">
                  <c:v>1.5651416854157787E-2</c:v>
                </c:pt>
                <c:pt idx="365">
                  <c:v>1.5552016707272935E-2</c:v>
                </c:pt>
                <c:pt idx="366">
                  <c:v>1.5453429325156479E-2</c:v>
                </c:pt>
                <c:pt idx="367">
                  <c:v>1.5355646488061951E-2</c:v>
                </c:pt>
                <c:pt idx="368">
                  <c:v>1.5258660075954321E-2</c:v>
                </c:pt>
                <c:pt idx="369">
                  <c:v>1.5162462067093471E-2</c:v>
                </c:pt>
                <c:pt idx="370">
                  <c:v>1.5067044536640725E-2</c:v>
                </c:pt>
                <c:pt idx="371">
                  <c:v>1.4972399655287993E-2</c:v>
                </c:pt>
                <c:pt idx="372">
                  <c:v>1.487851968790942E-2</c:v>
                </c:pt>
                <c:pt idx="373">
                  <c:v>1.4785396992234488E-2</c:v>
                </c:pt>
                <c:pt idx="374">
                  <c:v>1.4693024017543169E-2</c:v>
                </c:pt>
                <c:pt idx="375">
                  <c:v>1.4601393303381839E-2</c:v>
                </c:pt>
                <c:pt idx="376">
                  <c:v>1.4510497478299526E-2</c:v>
                </c:pt>
                <c:pt idx="377">
                  <c:v>1.4420329258605147E-2</c:v>
                </c:pt>
                <c:pt idx="378">
                  <c:v>1.4330881447144499E-2</c:v>
                </c:pt>
                <c:pt idx="379">
                  <c:v>1.4242146932096527E-2</c:v>
                </c:pt>
                <c:pt idx="380">
                  <c:v>1.4154118685788652E-2</c:v>
                </c:pt>
                <c:pt idx="381">
                  <c:v>1.4066789763532289E-2</c:v>
                </c:pt>
                <c:pt idx="382">
                  <c:v>1.3980153302475028E-2</c:v>
                </c:pt>
                <c:pt idx="383">
                  <c:v>1.389420252047242E-2</c:v>
                </c:pt>
                <c:pt idx="384">
                  <c:v>1.3808930714977002E-2</c:v>
                </c:pt>
                <c:pt idx="385">
                  <c:v>1.3724331261945211E-2</c:v>
                </c:pt>
                <c:pt idx="386">
                  <c:v>1.3640397614761299E-2</c:v>
                </c:pt>
                <c:pt idx="387">
                  <c:v>1.355712330317811E-2</c:v>
                </c:pt>
                <c:pt idx="388">
                  <c:v>1.3474501932275082E-2</c:v>
                </c:pt>
                <c:pt idx="389">
                  <c:v>1.3392527181431626E-2</c:v>
                </c:pt>
                <c:pt idx="390">
                  <c:v>1.3311192803317501E-2</c:v>
                </c:pt>
                <c:pt idx="391">
                  <c:v>1.3230492622898321E-2</c:v>
                </c:pt>
                <c:pt idx="392">
                  <c:v>1.3150420536457045E-2</c:v>
                </c:pt>
                <c:pt idx="393">
                  <c:v>1.3070970510629901E-2</c:v>
                </c:pt>
                <c:pt idx="394">
                  <c:v>1.29921365814584E-2</c:v>
                </c:pt>
                <c:pt idx="395">
                  <c:v>1.2913912853455117E-2</c:v>
                </c:pt>
                <c:pt idx="396">
                  <c:v>1.2836293498683817E-2</c:v>
                </c:pt>
                <c:pt idx="397">
                  <c:v>1.2759272755854851E-2</c:v>
                </c:pt>
                <c:pt idx="398">
                  <c:v>1.2682844929433293E-2</c:v>
                </c:pt>
                <c:pt idx="399">
                  <c:v>1.2607004388761193E-2</c:v>
                </c:pt>
                <c:pt idx="400">
                  <c:v>1.2531745567193834E-2</c:v>
                </c:pt>
                <c:pt idx="401">
                  <c:v>1.2457062961247814E-2</c:v>
                </c:pt>
                <c:pt idx="402">
                  <c:v>1.2382951129763932E-2</c:v>
                </c:pt>
                <c:pt idx="403">
                  <c:v>1.230940469308121E-2</c:v>
                </c:pt>
                <c:pt idx="404">
                  <c:v>1.2236418332224575E-2</c:v>
                </c:pt>
                <c:pt idx="405">
                  <c:v>1.2163986788104013E-2</c:v>
                </c:pt>
                <c:pt idx="406">
                  <c:v>1.2092104860726819E-2</c:v>
                </c:pt>
                <c:pt idx="407">
                  <c:v>1.2020767408420627E-2</c:v>
                </c:pt>
                <c:pt idx="408">
                  <c:v>1.1949969347069071E-2</c:v>
                </c:pt>
                <c:pt idx="409">
                  <c:v>1.1879705649358693E-2</c:v>
                </c:pt>
                <c:pt idx="410">
                  <c:v>1.1809971344036755E-2</c:v>
                </c:pt>
                <c:pt idx="411">
                  <c:v>1.1740761515180647E-2</c:v>
                </c:pt>
                <c:pt idx="412">
                  <c:v>1.1672071301477968E-2</c:v>
                </c:pt>
                <c:pt idx="413">
                  <c:v>1.1603895895517739E-2</c:v>
                </c:pt>
                <c:pt idx="414">
                  <c:v>1.1536230543091604E-2</c:v>
                </c:pt>
                <c:pt idx="415">
                  <c:v>1.1469070542505707E-2</c:v>
                </c:pt>
                <c:pt idx="416">
                  <c:v>1.1402411243903126E-2</c:v>
                </c:pt>
                <c:pt idx="417">
                  <c:v>1.133624804859538E-2</c:v>
                </c:pt>
                <c:pt idx="418">
                  <c:v>1.1270576408405062E-2</c:v>
                </c:pt>
                <c:pt idx="419">
                  <c:v>1.1205391825017091E-2</c:v>
                </c:pt>
                <c:pt idx="420">
                  <c:v>1.1140689849340397E-2</c:v>
                </c:pt>
              </c:numCache>
            </c:numRef>
          </c:yVal>
          <c:smooth val="1"/>
          <c:extLst>
            <c:ext xmlns:c16="http://schemas.microsoft.com/office/drawing/2014/chart" uri="{C3380CC4-5D6E-409C-BE32-E72D297353CC}">
              <c16:uniqueId val="{00000003-10C4-4367-8FDB-1849C2CCF109}"/>
            </c:ext>
          </c:extLst>
        </c:ser>
        <c:dLbls>
          <c:showLegendKey val="0"/>
          <c:showVal val="0"/>
          <c:showCatName val="0"/>
          <c:showSerName val="0"/>
          <c:showPercent val="0"/>
          <c:showBubbleSize val="0"/>
        </c:dLbls>
        <c:axId val="913538160"/>
        <c:axId val="913539600"/>
      </c:scatterChart>
      <c:valAx>
        <c:axId val="913538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Cycle (months)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539600"/>
        <c:crosses val="autoZero"/>
        <c:crossBetween val="midCat"/>
      </c:valAx>
      <c:valAx>
        <c:axId val="913539600"/>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538160"/>
        <c:crosses val="autoZero"/>
        <c:crossBetween val="midCat"/>
      </c:valAx>
      <c:spPr>
        <a:solidFill>
          <a:schemeClr val="bg1"/>
        </a:solidFill>
        <a:ln>
          <a:noFill/>
        </a:ln>
        <a:effectLst/>
      </c:spPr>
    </c:plotArea>
    <c:legend>
      <c:legendPos val="b"/>
      <c:layout>
        <c:manualLayout>
          <c:xMode val="edge"/>
          <c:yMode val="edge"/>
          <c:x val="0.67254488013706137"/>
          <c:y val="0.29181102362204725"/>
          <c:w val="0.28232056326837029"/>
          <c:h val="0.29486143276208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8854B-BEE5-4FE9-8D9D-2D82E3A13712}">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8BB6738D-CF6B-46D0-9E35-E4EAC591940D}">
  <ds:schemaRefs>
    <ds:schemaRef ds:uri="http://schemas.microsoft.com/sharepoint/v3/contenttype/forms"/>
  </ds:schemaRefs>
</ds:datastoreItem>
</file>

<file path=customXml/itemProps4.xml><?xml version="1.0" encoding="utf-8"?>
<ds:datastoreItem xmlns:ds="http://schemas.openxmlformats.org/officeDocument/2006/customXml" ds:itemID="{89E62542-94B1-40BD-81B9-0B52A88C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12335</Words>
  <Characters>70312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2025-06-26T03:47:00Z</dcterms:created>
  <dcterms:modified xsi:type="dcterms:W3CDTF">2025-06-29T22:48:00Z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