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891CB" w14:textId="713B5F7E" w:rsidR="001C256F" w:rsidRPr="00480790" w:rsidRDefault="001C256F" w:rsidP="00625B84">
      <w:pPr>
        <w:pStyle w:val="1-MainHeading"/>
      </w:pPr>
      <w:bookmarkStart w:id="0" w:name="_Toc190264945"/>
      <w:bookmarkStart w:id="1" w:name="_Toc193106295"/>
      <w:r w:rsidRPr="00480790">
        <w:t>6.01</w:t>
      </w:r>
      <w:r w:rsidRPr="00480790">
        <w:tab/>
        <w:t>ALECTINIB</w:t>
      </w:r>
      <w:r w:rsidR="0031772E" w:rsidRPr="00480790">
        <w:t>,</w:t>
      </w:r>
      <w:r w:rsidRPr="00480790">
        <w:br/>
        <w:t>Capsule 150 mg</w:t>
      </w:r>
      <w:r w:rsidR="001372FF" w:rsidRPr="00480790">
        <w:t>,</w:t>
      </w:r>
      <w:r w:rsidRPr="00480790">
        <w:br/>
        <w:t>Alecensa®</w:t>
      </w:r>
      <w:r w:rsidRPr="00480790">
        <w:br/>
        <w:t>ROCHE PRODUCTS PTY LTD</w:t>
      </w:r>
      <w:bookmarkEnd w:id="0"/>
      <w:bookmarkEnd w:id="1"/>
    </w:p>
    <w:p w14:paraId="4C723A6D" w14:textId="77777777" w:rsidR="001C256F" w:rsidRPr="00480790" w:rsidRDefault="001C256F" w:rsidP="005D5BEF">
      <w:pPr>
        <w:pStyle w:val="2-SectionHeading"/>
      </w:pPr>
      <w:bookmarkStart w:id="2" w:name="_Toc190264947"/>
      <w:bookmarkStart w:id="3" w:name="_Toc193106297"/>
      <w:r w:rsidRPr="00480790">
        <w:t>Purpose of submission</w:t>
      </w:r>
      <w:bookmarkEnd w:id="2"/>
      <w:bookmarkEnd w:id="3"/>
    </w:p>
    <w:p w14:paraId="55384A5A" w14:textId="7243D563" w:rsidR="001C256F" w:rsidRPr="00480790" w:rsidRDefault="001C256F" w:rsidP="002843F8">
      <w:pPr>
        <w:pStyle w:val="3-BodyText"/>
        <w:rPr>
          <w:lang w:val="en-AU"/>
        </w:rPr>
      </w:pPr>
      <w:r w:rsidRPr="00480790">
        <w:rPr>
          <w:lang w:val="en-AU"/>
        </w:rPr>
        <w:t>The Category 2 submission requested</w:t>
      </w:r>
      <w:r w:rsidR="00A35F1C" w:rsidRPr="00480790">
        <w:rPr>
          <w:lang w:val="en-AU"/>
        </w:rPr>
        <w:t xml:space="preserve"> the</w:t>
      </w:r>
      <w:r w:rsidRPr="00480790">
        <w:rPr>
          <w:lang w:val="en-AU"/>
        </w:rPr>
        <w:t xml:space="preserve"> Section 85 Telephone or Online Authority listing </w:t>
      </w:r>
      <w:r w:rsidR="00A35F1C" w:rsidRPr="00480790">
        <w:rPr>
          <w:lang w:val="en-AU"/>
        </w:rPr>
        <w:t>of</w:t>
      </w:r>
      <w:r w:rsidRPr="00480790">
        <w:rPr>
          <w:lang w:val="en-AU"/>
        </w:rPr>
        <w:t xml:space="preserve"> alectinib for adjuvant treatment in adult patients following tumour resection of anaplastic lymphoma kinase (ALK)-positive non-small cell lung cancer (NSCLC) (tumours ≥4 cm or node positive).</w:t>
      </w:r>
    </w:p>
    <w:p w14:paraId="6B8947F8" w14:textId="1773D560" w:rsidR="001C256F" w:rsidRPr="00480790" w:rsidRDefault="001C256F" w:rsidP="002843F8">
      <w:pPr>
        <w:pStyle w:val="3-BodyText"/>
        <w:rPr>
          <w:lang w:val="en-AU"/>
        </w:rPr>
      </w:pPr>
      <w:r w:rsidRPr="00480790">
        <w:rPr>
          <w:lang w:val="en-AU"/>
        </w:rPr>
        <w:t xml:space="preserve">Listing was requested on the basis of a cost-effectiveness analysis versus platinum-based chemotherapy. </w:t>
      </w:r>
      <w:r w:rsidRPr="00480790">
        <w:rPr>
          <w:lang w:val="en-AU"/>
        </w:rPr>
        <w:fldChar w:fldCharType="begin"/>
      </w:r>
      <w:r w:rsidRPr="00480790">
        <w:rPr>
          <w:lang w:val="en-AU"/>
        </w:rPr>
        <w:instrText xml:space="preserve"> REF _Ref188346577 \h </w:instrText>
      </w:r>
      <w:r w:rsidRPr="00480790">
        <w:rPr>
          <w:lang w:val="en-AU"/>
        </w:rPr>
      </w:r>
      <w:r w:rsidRPr="00480790">
        <w:rPr>
          <w:lang w:val="en-AU"/>
        </w:rPr>
        <w:fldChar w:fldCharType="separate"/>
      </w:r>
      <w:r w:rsidR="002565BE" w:rsidRPr="00480790">
        <w:t xml:space="preserve">Table </w:t>
      </w:r>
      <w:r w:rsidR="002565BE">
        <w:rPr>
          <w:noProof/>
        </w:rPr>
        <w:t>1</w:t>
      </w:r>
      <w:r w:rsidRPr="00480790">
        <w:rPr>
          <w:lang w:val="en-AU"/>
        </w:rPr>
        <w:fldChar w:fldCharType="end"/>
      </w:r>
      <w:r w:rsidRPr="00480790">
        <w:rPr>
          <w:lang w:val="en-AU"/>
        </w:rPr>
        <w:t xml:space="preserve"> summarises the components of the overall clinical claim addressed by the submission.</w:t>
      </w:r>
    </w:p>
    <w:p w14:paraId="0C9AD6CE" w14:textId="2DB902CB" w:rsidR="001C256F" w:rsidRPr="00480790" w:rsidRDefault="001C256F" w:rsidP="002843F8">
      <w:pPr>
        <w:pStyle w:val="3-BodyText"/>
        <w:rPr>
          <w:lang w:val="en-AU"/>
        </w:rPr>
      </w:pPr>
      <w:r w:rsidRPr="00480790">
        <w:rPr>
          <w:lang w:val="en-AU"/>
        </w:rPr>
        <w:t>The PBAC noted that an application</w:t>
      </w:r>
      <w:r w:rsidR="00D172CD" w:rsidRPr="00480790">
        <w:rPr>
          <w:lang w:val="en-AU"/>
        </w:rPr>
        <w:t xml:space="preserve"> </w:t>
      </w:r>
      <w:r w:rsidR="002118AC" w:rsidRPr="00480790">
        <w:rPr>
          <w:lang w:val="en-AU"/>
        </w:rPr>
        <w:t xml:space="preserve">was </w:t>
      </w:r>
      <w:r w:rsidR="00D172CD" w:rsidRPr="00480790">
        <w:rPr>
          <w:lang w:val="en-AU"/>
        </w:rPr>
        <w:t xml:space="preserve">submitted </w:t>
      </w:r>
      <w:r w:rsidR="00A92BD1" w:rsidRPr="00480790">
        <w:rPr>
          <w:lang w:val="en-AU"/>
        </w:rPr>
        <w:t xml:space="preserve">by the sponsor </w:t>
      </w:r>
      <w:r w:rsidRPr="00480790">
        <w:rPr>
          <w:lang w:val="en-AU"/>
        </w:rPr>
        <w:t>to the MSAC Executive requesting an amendment to MBS item 73341 t</w:t>
      </w:r>
      <w:r w:rsidR="005A1B8F" w:rsidRPr="00480790">
        <w:rPr>
          <w:lang w:val="en-AU"/>
        </w:rPr>
        <w:t>hat w</w:t>
      </w:r>
      <w:r w:rsidRPr="00480790">
        <w:rPr>
          <w:lang w:val="en-AU"/>
        </w:rPr>
        <w:t>o</w:t>
      </w:r>
      <w:r w:rsidR="00CA1B71" w:rsidRPr="00480790">
        <w:rPr>
          <w:lang w:val="en-AU"/>
        </w:rPr>
        <w:t>uld</w:t>
      </w:r>
      <w:r w:rsidRPr="00480790">
        <w:rPr>
          <w:lang w:val="en-AU"/>
        </w:rPr>
        <w:t xml:space="preserve"> allow FISH testing for ALK in patients with resectable NSCLC.</w:t>
      </w:r>
    </w:p>
    <w:p w14:paraId="2B2F4AEB" w14:textId="4D848E61" w:rsidR="001C256F" w:rsidRPr="00480790" w:rsidRDefault="001C256F" w:rsidP="00751EBB">
      <w:pPr>
        <w:pStyle w:val="Caption"/>
      </w:pPr>
      <w:bookmarkStart w:id="4" w:name="_Ref188346577"/>
      <w:r w:rsidRPr="00480790">
        <w:t xml:space="preserve">Table </w:t>
      </w:r>
      <w:r w:rsidRPr="00480790">
        <w:fldChar w:fldCharType="begin"/>
      </w:r>
      <w:r w:rsidRPr="00480790">
        <w:instrText xml:space="preserve"> SEQ Table \* ARABIC </w:instrText>
      </w:r>
      <w:r w:rsidRPr="00480790">
        <w:fldChar w:fldCharType="separate"/>
      </w:r>
      <w:r w:rsidR="002565BE">
        <w:rPr>
          <w:noProof/>
        </w:rPr>
        <w:t>1</w:t>
      </w:r>
      <w:r w:rsidRPr="00480790">
        <w:fldChar w:fldCharType="end"/>
      </w:r>
      <w:bookmarkEnd w:id="4"/>
      <w:r w:rsidRPr="00480790">
        <w:t>:</w:t>
      </w:r>
      <w:r w:rsidRPr="00480790">
        <w:rPr>
          <w:rStyle w:val="CommentReference"/>
          <w:b/>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AB01EA" w:rsidRPr="00480790" w14:paraId="2951BE91" w14:textId="77777777" w:rsidTr="002A2ADE">
        <w:trPr>
          <w:cantSplit/>
          <w:tblHeader/>
        </w:trPr>
        <w:tc>
          <w:tcPr>
            <w:tcW w:w="924" w:type="pct"/>
            <w:shd w:val="clear" w:color="auto" w:fill="auto"/>
          </w:tcPr>
          <w:p w14:paraId="5059E80C" w14:textId="77777777" w:rsidR="001C256F" w:rsidRPr="00480790" w:rsidRDefault="001C256F" w:rsidP="00751EBB">
            <w:pPr>
              <w:pStyle w:val="In-tableHeading"/>
              <w:jc w:val="center"/>
              <w:rPr>
                <w:szCs w:val="20"/>
                <w:lang w:val="en-AU"/>
              </w:rPr>
            </w:pPr>
            <w:r w:rsidRPr="00480790">
              <w:rPr>
                <w:lang w:val="en-AU"/>
              </w:rPr>
              <w:t>Component</w:t>
            </w:r>
          </w:p>
        </w:tc>
        <w:tc>
          <w:tcPr>
            <w:tcW w:w="4076" w:type="pct"/>
            <w:shd w:val="clear" w:color="auto" w:fill="auto"/>
          </w:tcPr>
          <w:p w14:paraId="2427E390" w14:textId="77777777" w:rsidR="001C256F" w:rsidRPr="00480790" w:rsidRDefault="001C256F" w:rsidP="00751EBB">
            <w:pPr>
              <w:pStyle w:val="In-tableHeading"/>
              <w:jc w:val="center"/>
              <w:rPr>
                <w:lang w:val="en-AU"/>
              </w:rPr>
            </w:pPr>
            <w:r w:rsidRPr="00480790">
              <w:rPr>
                <w:lang w:val="en-AU"/>
              </w:rPr>
              <w:t>Description</w:t>
            </w:r>
          </w:p>
        </w:tc>
      </w:tr>
      <w:tr w:rsidR="00AB01EA" w:rsidRPr="00480790" w14:paraId="306CD4F0" w14:textId="77777777" w:rsidTr="002A2ADE">
        <w:trPr>
          <w:cantSplit/>
        </w:trPr>
        <w:tc>
          <w:tcPr>
            <w:tcW w:w="924" w:type="pct"/>
            <w:shd w:val="clear" w:color="auto" w:fill="auto"/>
          </w:tcPr>
          <w:p w14:paraId="40087D71" w14:textId="77777777" w:rsidR="001C256F" w:rsidRPr="00480790" w:rsidRDefault="001C256F" w:rsidP="00751EBB">
            <w:pPr>
              <w:pStyle w:val="TableText0"/>
            </w:pPr>
            <w:r w:rsidRPr="00480790">
              <w:t>Population</w:t>
            </w:r>
          </w:p>
        </w:tc>
        <w:tc>
          <w:tcPr>
            <w:tcW w:w="4076" w:type="pct"/>
            <w:shd w:val="clear" w:color="auto" w:fill="auto"/>
          </w:tcPr>
          <w:p w14:paraId="20C13DCE" w14:textId="77777777" w:rsidR="001C256F" w:rsidRPr="00480790" w:rsidRDefault="001C256F" w:rsidP="00751EBB">
            <w:pPr>
              <w:pStyle w:val="TableText0"/>
              <w:rPr>
                <w:szCs w:val="20"/>
              </w:rPr>
            </w:pPr>
            <w:r w:rsidRPr="00480790">
              <w:rPr>
                <w:szCs w:val="20"/>
              </w:rPr>
              <w:t>Patients with resected ALK-positive NSCLC (tumours ≥4 cm or node positive)</w:t>
            </w:r>
          </w:p>
        </w:tc>
      </w:tr>
      <w:tr w:rsidR="00AB01EA" w:rsidRPr="00480790" w14:paraId="45868982" w14:textId="77777777" w:rsidTr="002A2ADE">
        <w:trPr>
          <w:cantSplit/>
        </w:trPr>
        <w:tc>
          <w:tcPr>
            <w:tcW w:w="924" w:type="pct"/>
            <w:shd w:val="clear" w:color="auto" w:fill="auto"/>
          </w:tcPr>
          <w:p w14:paraId="5A31D181" w14:textId="77777777" w:rsidR="001C256F" w:rsidRPr="00480790" w:rsidRDefault="001C256F" w:rsidP="00751EBB">
            <w:pPr>
              <w:pStyle w:val="TableText0"/>
            </w:pPr>
            <w:r w:rsidRPr="00480790">
              <w:t>Intervention</w:t>
            </w:r>
          </w:p>
        </w:tc>
        <w:tc>
          <w:tcPr>
            <w:tcW w:w="4076" w:type="pct"/>
            <w:shd w:val="clear" w:color="auto" w:fill="auto"/>
          </w:tcPr>
          <w:p w14:paraId="443F254B" w14:textId="77777777" w:rsidR="001C256F" w:rsidRPr="00480790" w:rsidRDefault="001C256F" w:rsidP="00751EBB">
            <w:pPr>
              <w:pStyle w:val="TableText0"/>
            </w:pPr>
            <w:r w:rsidRPr="00480790">
              <w:t>Adjuvant treatment with 600 mg alectinib (4 x 150 mg capsules) administered orally twice daily for a maximum treatment duration of 2 years</w:t>
            </w:r>
          </w:p>
        </w:tc>
      </w:tr>
      <w:tr w:rsidR="00AB01EA" w:rsidRPr="00480790" w14:paraId="3CEB07E2" w14:textId="77777777" w:rsidTr="002A2ADE">
        <w:trPr>
          <w:cantSplit/>
        </w:trPr>
        <w:tc>
          <w:tcPr>
            <w:tcW w:w="924" w:type="pct"/>
            <w:shd w:val="clear" w:color="auto" w:fill="auto"/>
          </w:tcPr>
          <w:p w14:paraId="55562335" w14:textId="77777777" w:rsidR="001C256F" w:rsidRPr="00480790" w:rsidRDefault="001C256F" w:rsidP="00751EBB">
            <w:pPr>
              <w:pStyle w:val="TableText0"/>
            </w:pPr>
            <w:r w:rsidRPr="00480790">
              <w:t>Comparator</w:t>
            </w:r>
          </w:p>
        </w:tc>
        <w:tc>
          <w:tcPr>
            <w:tcW w:w="4076" w:type="pct"/>
            <w:shd w:val="clear" w:color="auto" w:fill="auto"/>
          </w:tcPr>
          <w:p w14:paraId="64918011" w14:textId="2BEE455B" w:rsidR="001C256F" w:rsidRPr="00480790" w:rsidRDefault="001C256F" w:rsidP="00751EBB">
            <w:pPr>
              <w:pStyle w:val="TableText0"/>
            </w:pPr>
            <w:r w:rsidRPr="00480790">
              <w:t xml:space="preserve">Adjuvant treatment with platinum-based chemotherapy (4 x </w:t>
            </w:r>
            <w:r w:rsidR="00866B92" w:rsidRPr="00480790">
              <w:t>21-day</w:t>
            </w:r>
            <w:r w:rsidRPr="00480790">
              <w:t xml:space="preserve"> cycles)</w:t>
            </w:r>
          </w:p>
        </w:tc>
      </w:tr>
      <w:tr w:rsidR="00AB01EA" w:rsidRPr="00480790" w14:paraId="7303F86B" w14:textId="77777777" w:rsidTr="002A2ADE">
        <w:trPr>
          <w:cantSplit/>
        </w:trPr>
        <w:tc>
          <w:tcPr>
            <w:tcW w:w="924" w:type="pct"/>
            <w:shd w:val="clear" w:color="auto" w:fill="auto"/>
          </w:tcPr>
          <w:p w14:paraId="1F9A3EAC" w14:textId="77777777" w:rsidR="001C256F" w:rsidRPr="00480790" w:rsidRDefault="001C256F" w:rsidP="00751EBB">
            <w:pPr>
              <w:pStyle w:val="TableText0"/>
            </w:pPr>
            <w:r w:rsidRPr="00480790">
              <w:t>Outcomes</w:t>
            </w:r>
          </w:p>
        </w:tc>
        <w:tc>
          <w:tcPr>
            <w:tcW w:w="4076" w:type="pct"/>
            <w:shd w:val="clear" w:color="auto" w:fill="auto"/>
          </w:tcPr>
          <w:p w14:paraId="7B631097" w14:textId="77777777" w:rsidR="001C256F" w:rsidRPr="00480790" w:rsidRDefault="001C256F" w:rsidP="00751EBB">
            <w:pPr>
              <w:pStyle w:val="TableText0"/>
              <w:rPr>
                <w:rFonts w:eastAsia="Times New Roman" w:cs="Arial"/>
                <w:bCs w:val="0"/>
                <w:snapToGrid w:val="0"/>
                <w:szCs w:val="20"/>
              </w:rPr>
            </w:pPr>
            <w:r w:rsidRPr="00480790">
              <w:rPr>
                <w:rFonts w:eastAsia="Times New Roman" w:cs="Arial"/>
                <w:bCs w:val="0"/>
                <w:snapToGrid w:val="0"/>
                <w:szCs w:val="20"/>
              </w:rPr>
              <w:t>Disease-free survival</w:t>
            </w:r>
          </w:p>
          <w:p w14:paraId="22807555" w14:textId="77777777" w:rsidR="001C256F" w:rsidRPr="00480790" w:rsidRDefault="001C256F" w:rsidP="00751EBB">
            <w:pPr>
              <w:pStyle w:val="TableText0"/>
              <w:rPr>
                <w:rFonts w:eastAsia="Times New Roman" w:cs="Arial"/>
                <w:bCs w:val="0"/>
                <w:snapToGrid w:val="0"/>
                <w:szCs w:val="20"/>
              </w:rPr>
            </w:pPr>
            <w:r w:rsidRPr="00480790">
              <w:rPr>
                <w:rFonts w:eastAsia="Times New Roman" w:cs="Arial"/>
                <w:bCs w:val="0"/>
                <w:snapToGrid w:val="0"/>
                <w:szCs w:val="20"/>
              </w:rPr>
              <w:t>Overall survival</w:t>
            </w:r>
          </w:p>
          <w:p w14:paraId="3521F6C0" w14:textId="77777777" w:rsidR="001C256F" w:rsidRPr="00480790" w:rsidRDefault="001C256F" w:rsidP="00751EBB">
            <w:pPr>
              <w:pStyle w:val="TableText0"/>
              <w:rPr>
                <w:rFonts w:eastAsia="Times New Roman" w:cs="Arial"/>
                <w:bCs w:val="0"/>
                <w:snapToGrid w:val="0"/>
                <w:szCs w:val="20"/>
              </w:rPr>
            </w:pPr>
            <w:r w:rsidRPr="00480790">
              <w:rPr>
                <w:rFonts w:eastAsia="Times New Roman" w:cs="Arial"/>
                <w:bCs w:val="0"/>
                <w:snapToGrid w:val="0"/>
                <w:szCs w:val="20"/>
              </w:rPr>
              <w:t>Safety</w:t>
            </w:r>
          </w:p>
        </w:tc>
      </w:tr>
      <w:tr w:rsidR="00AB01EA" w:rsidRPr="00480790" w14:paraId="67456981" w14:textId="77777777" w:rsidTr="002A2ADE">
        <w:trPr>
          <w:cantSplit/>
        </w:trPr>
        <w:tc>
          <w:tcPr>
            <w:tcW w:w="924" w:type="pct"/>
            <w:shd w:val="clear" w:color="auto" w:fill="auto"/>
          </w:tcPr>
          <w:p w14:paraId="7A5E0473" w14:textId="77777777" w:rsidR="001C256F" w:rsidRPr="00480790" w:rsidRDefault="001C256F" w:rsidP="00751EBB">
            <w:pPr>
              <w:pStyle w:val="TableText0"/>
            </w:pPr>
            <w:r w:rsidRPr="00480790">
              <w:t>Clinical claim</w:t>
            </w:r>
          </w:p>
        </w:tc>
        <w:tc>
          <w:tcPr>
            <w:tcW w:w="4076" w:type="pct"/>
            <w:shd w:val="clear" w:color="auto" w:fill="auto"/>
          </w:tcPr>
          <w:p w14:paraId="03DD990E" w14:textId="77777777" w:rsidR="001C256F" w:rsidRPr="00480790" w:rsidRDefault="001C256F" w:rsidP="00751EBB">
            <w:pPr>
              <w:pStyle w:val="TableText0"/>
              <w:rPr>
                <w:rFonts w:eastAsia="Times New Roman" w:cs="Arial"/>
                <w:snapToGrid w:val="0"/>
              </w:rPr>
            </w:pPr>
            <w:r w:rsidRPr="00480790">
              <w:rPr>
                <w:rFonts w:eastAsia="Times New Roman" w:cs="Arial"/>
                <w:snapToGrid w:val="0"/>
              </w:rPr>
              <w:t>In patients with resected ALK-positive NSCLC (tumours ≥4 cm or node positive), adjuvant treatment with alectinib is more effective in prolonging disease-free survival than platinum-based chemotherapy. Alectinib is superior in effectiveness and similar in safety compared with platinum-based chemotherapy.</w:t>
            </w:r>
          </w:p>
        </w:tc>
      </w:tr>
    </w:tbl>
    <w:p w14:paraId="6CED5546" w14:textId="77777777" w:rsidR="001C256F" w:rsidRPr="00480790" w:rsidRDefault="001C256F" w:rsidP="0031772E">
      <w:pPr>
        <w:pStyle w:val="TableFigureFooter"/>
      </w:pPr>
      <w:r w:rsidRPr="00480790">
        <w:t>Source: Table 1.1, p3 of the submission.</w:t>
      </w:r>
    </w:p>
    <w:p w14:paraId="67ED4F58" w14:textId="77777777" w:rsidR="001C256F" w:rsidRPr="00480790" w:rsidRDefault="001C256F" w:rsidP="0031772E">
      <w:pPr>
        <w:pStyle w:val="TableFigureFooter"/>
      </w:pPr>
      <w:r w:rsidRPr="00480790">
        <w:t>ALK=anaplastic lymphoma kinase; NSCLC=non-small cell lung cancer.</w:t>
      </w:r>
    </w:p>
    <w:p w14:paraId="1609D8FC" w14:textId="77777777" w:rsidR="001C256F" w:rsidRPr="00480790" w:rsidRDefault="001C256F" w:rsidP="00AE7DE0">
      <w:pPr>
        <w:pStyle w:val="2-SectionHeading"/>
        <w:numPr>
          <w:ilvl w:val="0"/>
          <w:numId w:val="9"/>
        </w:numPr>
        <w:ind w:hanging="720"/>
      </w:pPr>
      <w:bookmarkStart w:id="5" w:name="_Toc190264948"/>
      <w:bookmarkStart w:id="6" w:name="_Toc193106298"/>
      <w:r w:rsidRPr="00480790">
        <w:t>Background</w:t>
      </w:r>
      <w:bookmarkEnd w:id="5"/>
      <w:bookmarkEnd w:id="6"/>
    </w:p>
    <w:p w14:paraId="12D5F23F" w14:textId="77777777" w:rsidR="001C256F" w:rsidRPr="00480790" w:rsidRDefault="001C256F" w:rsidP="00751EBB">
      <w:pPr>
        <w:pStyle w:val="4-SubsectionHeading"/>
        <w:rPr>
          <w:lang w:eastAsia="en-AU"/>
        </w:rPr>
      </w:pPr>
      <w:bookmarkStart w:id="7" w:name="_Toc22897638"/>
      <w:bookmarkStart w:id="8" w:name="_Toc190264949"/>
      <w:bookmarkStart w:id="9" w:name="_Toc193106299"/>
      <w:r w:rsidRPr="00480790">
        <w:rPr>
          <w:lang w:eastAsia="en-AU"/>
        </w:rPr>
        <w:t>Registration status</w:t>
      </w:r>
      <w:bookmarkEnd w:id="7"/>
      <w:bookmarkEnd w:id="8"/>
      <w:bookmarkEnd w:id="9"/>
    </w:p>
    <w:p w14:paraId="34BB254B" w14:textId="4479D48C" w:rsidR="001C256F" w:rsidRPr="00480790" w:rsidRDefault="001C256F" w:rsidP="002843F8">
      <w:pPr>
        <w:pStyle w:val="3-BodyText"/>
        <w:rPr>
          <w:lang w:val="en-AU"/>
        </w:rPr>
      </w:pPr>
      <w:r w:rsidRPr="00480790">
        <w:rPr>
          <w:lang w:val="en-AU"/>
        </w:rPr>
        <w:t xml:space="preserve">Alectinib was registered by the Therapeutic Goods Administration (TGA) on </w:t>
      </w:r>
      <w:r w:rsidR="00013212" w:rsidRPr="00480790">
        <w:rPr>
          <w:lang w:val="en-AU"/>
        </w:rPr>
        <w:t>23</w:t>
      </w:r>
      <w:r w:rsidR="00013212">
        <w:rPr>
          <w:lang w:val="en-AU"/>
        </w:rPr>
        <w:t> </w:t>
      </w:r>
      <w:r w:rsidRPr="00480790">
        <w:rPr>
          <w:lang w:val="en-AU"/>
        </w:rPr>
        <w:t>December 2024 for adjuvant treatment in adult patients following tumour resection of anaplastic lymphoma kinase (ALK)-positive non-small cell lung cancer (NSCLC) (tumours ≥ 4 cm or node positive).</w:t>
      </w:r>
    </w:p>
    <w:p w14:paraId="0A926FE3" w14:textId="77777777" w:rsidR="001C256F" w:rsidRPr="00480790" w:rsidRDefault="001C256F" w:rsidP="00751EBB">
      <w:pPr>
        <w:pStyle w:val="4-SubsectionHeading"/>
        <w:rPr>
          <w:lang w:eastAsia="en-AU"/>
        </w:rPr>
      </w:pPr>
      <w:bookmarkStart w:id="10" w:name="_Toc22897639"/>
      <w:bookmarkStart w:id="11" w:name="_Toc190264950"/>
      <w:bookmarkStart w:id="12" w:name="_Toc193106300"/>
      <w:bookmarkStart w:id="13" w:name="_Hlk112059474"/>
      <w:r w:rsidRPr="00480790">
        <w:rPr>
          <w:lang w:eastAsia="en-AU"/>
        </w:rPr>
        <w:lastRenderedPageBreak/>
        <w:t>Previous PBAC consideration</w:t>
      </w:r>
      <w:bookmarkEnd w:id="10"/>
      <w:bookmarkEnd w:id="11"/>
      <w:bookmarkEnd w:id="12"/>
    </w:p>
    <w:bookmarkEnd w:id="13"/>
    <w:p w14:paraId="2EDB0F70" w14:textId="77777777" w:rsidR="001C256F" w:rsidRPr="00480790" w:rsidRDefault="001C256F" w:rsidP="002843F8">
      <w:pPr>
        <w:pStyle w:val="3-BodyText"/>
        <w:rPr>
          <w:lang w:val="en-AU"/>
        </w:rPr>
      </w:pPr>
      <w:r w:rsidRPr="00480790">
        <w:rPr>
          <w:lang w:val="en-AU"/>
        </w:rPr>
        <w:t>The Pharmaceutical Benefits Advisory Committee (PBAC) has not previously considered alectinib for this indication.</w:t>
      </w:r>
    </w:p>
    <w:p w14:paraId="24EC0977" w14:textId="77777777" w:rsidR="001C256F" w:rsidRPr="00480790" w:rsidRDefault="001C256F" w:rsidP="002843F8">
      <w:pPr>
        <w:pStyle w:val="3-BodyText"/>
        <w:rPr>
          <w:lang w:val="en-AU"/>
        </w:rPr>
      </w:pPr>
      <w:r w:rsidRPr="00480790">
        <w:rPr>
          <w:lang w:val="en-AU"/>
        </w:rPr>
        <w:t>Alectinib is currently listed on the Pharmaceutical Benefits Scheme (PBS) for stage IIIB (locally advanced) or stage IV (metastatic) NSCLC.</w:t>
      </w:r>
    </w:p>
    <w:p w14:paraId="0E33E28A" w14:textId="77777777" w:rsidR="001C256F" w:rsidRPr="00480790" w:rsidRDefault="001C256F" w:rsidP="00AE7DE0">
      <w:pPr>
        <w:pStyle w:val="2-SectionHeading"/>
        <w:numPr>
          <w:ilvl w:val="0"/>
          <w:numId w:val="9"/>
        </w:numPr>
        <w:ind w:hanging="720"/>
      </w:pPr>
      <w:bookmarkStart w:id="14" w:name="_Toc107902078"/>
      <w:bookmarkStart w:id="15" w:name="_Toc190264951"/>
      <w:bookmarkStart w:id="16" w:name="_Toc193106301"/>
      <w:bookmarkEnd w:id="14"/>
      <w:r w:rsidRPr="00480790">
        <w:t>Requested listing</w:t>
      </w:r>
      <w:bookmarkEnd w:id="15"/>
      <w:bookmarkEnd w:id="16"/>
    </w:p>
    <w:p w14:paraId="77868678" w14:textId="27F5EDF1" w:rsidR="001C256F" w:rsidRPr="00480790" w:rsidRDefault="001C256F" w:rsidP="002843F8">
      <w:pPr>
        <w:pStyle w:val="3-BodyText"/>
        <w:rPr>
          <w:lang w:val="en-AU"/>
        </w:rPr>
      </w:pPr>
      <w:r w:rsidRPr="00480790" w:rsidDel="00FE4225">
        <w:rPr>
          <w:lang w:val="en-AU"/>
        </w:rPr>
        <w:t>Suggestions and additions proposed by the Secretariat are added in italics and suggested deletions are crossed out with strikethrough.</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485"/>
        <w:gridCol w:w="785"/>
        <w:gridCol w:w="2667"/>
        <w:gridCol w:w="811"/>
        <w:gridCol w:w="812"/>
        <w:gridCol w:w="811"/>
        <w:gridCol w:w="812"/>
        <w:gridCol w:w="1832"/>
      </w:tblGrid>
      <w:tr w:rsidR="00AB01EA" w:rsidRPr="00480790" w14:paraId="0A430E83" w14:textId="77777777">
        <w:trPr>
          <w:gridBefore w:val="1"/>
          <w:wBefore w:w="7" w:type="dxa"/>
          <w:cantSplit/>
          <w:trHeight w:val="20"/>
        </w:trPr>
        <w:tc>
          <w:tcPr>
            <w:tcW w:w="3937" w:type="dxa"/>
            <w:gridSpan w:val="3"/>
            <w:vAlign w:val="center"/>
          </w:tcPr>
          <w:p w14:paraId="32F3C095" w14:textId="77777777" w:rsidR="001C256F" w:rsidRPr="00480790" w:rsidRDefault="001C256F">
            <w:pPr>
              <w:keepLines/>
              <w:rPr>
                <w:rFonts w:ascii="Arial Narrow" w:hAnsi="Arial Narrow"/>
                <w:b/>
                <w:bCs/>
                <w:sz w:val="20"/>
                <w:szCs w:val="20"/>
              </w:rPr>
            </w:pPr>
            <w:r w:rsidRPr="00480790">
              <w:rPr>
                <w:rFonts w:ascii="Arial Narrow" w:hAnsi="Arial Narrow"/>
                <w:b/>
                <w:bCs/>
                <w:sz w:val="20"/>
                <w:szCs w:val="20"/>
              </w:rPr>
              <w:t>MEDICINAL PRODUCT</w:t>
            </w:r>
          </w:p>
          <w:p w14:paraId="4C2FD2FE" w14:textId="77777777" w:rsidR="001C256F" w:rsidRPr="00480790" w:rsidRDefault="001C256F">
            <w:pPr>
              <w:keepLines/>
              <w:rPr>
                <w:rFonts w:ascii="Arial Narrow" w:hAnsi="Arial Narrow"/>
                <w:b/>
                <w:sz w:val="20"/>
                <w:szCs w:val="20"/>
              </w:rPr>
            </w:pPr>
            <w:r w:rsidRPr="00480790">
              <w:rPr>
                <w:rFonts w:ascii="Arial Narrow" w:hAnsi="Arial Narrow"/>
                <w:b/>
                <w:bCs/>
                <w:sz w:val="20"/>
                <w:szCs w:val="20"/>
              </w:rPr>
              <w:t>medicinal product pack</w:t>
            </w:r>
          </w:p>
        </w:tc>
        <w:tc>
          <w:tcPr>
            <w:tcW w:w="811" w:type="dxa"/>
            <w:vAlign w:val="center"/>
          </w:tcPr>
          <w:p w14:paraId="61BE4352" w14:textId="77777777" w:rsidR="001C256F" w:rsidRPr="00480790" w:rsidRDefault="001C256F">
            <w:pPr>
              <w:keepLines/>
              <w:jc w:val="center"/>
              <w:rPr>
                <w:rFonts w:ascii="Arial Narrow" w:hAnsi="Arial Narrow"/>
                <w:b/>
                <w:sz w:val="20"/>
                <w:szCs w:val="20"/>
              </w:rPr>
            </w:pPr>
            <w:r w:rsidRPr="00480790">
              <w:rPr>
                <w:rFonts w:ascii="Arial Narrow" w:hAnsi="Arial Narrow"/>
                <w:b/>
                <w:sz w:val="20"/>
                <w:szCs w:val="20"/>
              </w:rPr>
              <w:t>PBS item code</w:t>
            </w:r>
          </w:p>
        </w:tc>
        <w:tc>
          <w:tcPr>
            <w:tcW w:w="812" w:type="dxa"/>
            <w:vAlign w:val="center"/>
          </w:tcPr>
          <w:p w14:paraId="5B2993F4" w14:textId="77777777" w:rsidR="001C256F" w:rsidRPr="00480790" w:rsidRDefault="001C256F">
            <w:pPr>
              <w:keepLines/>
              <w:jc w:val="center"/>
              <w:rPr>
                <w:rFonts w:ascii="Arial Narrow" w:hAnsi="Arial Narrow"/>
                <w:b/>
                <w:sz w:val="20"/>
                <w:szCs w:val="20"/>
              </w:rPr>
            </w:pPr>
            <w:r w:rsidRPr="00480790">
              <w:rPr>
                <w:rFonts w:ascii="Arial Narrow" w:hAnsi="Arial Narrow"/>
                <w:b/>
                <w:sz w:val="20"/>
                <w:szCs w:val="20"/>
              </w:rPr>
              <w:t>Max. qty packs</w:t>
            </w:r>
          </w:p>
        </w:tc>
        <w:tc>
          <w:tcPr>
            <w:tcW w:w="811" w:type="dxa"/>
            <w:vAlign w:val="center"/>
          </w:tcPr>
          <w:p w14:paraId="651DD872" w14:textId="77777777" w:rsidR="001C256F" w:rsidRPr="00480790" w:rsidRDefault="001C256F">
            <w:pPr>
              <w:keepLines/>
              <w:jc w:val="center"/>
              <w:rPr>
                <w:rFonts w:ascii="Arial Narrow" w:hAnsi="Arial Narrow"/>
                <w:b/>
                <w:sz w:val="20"/>
                <w:szCs w:val="20"/>
              </w:rPr>
            </w:pPr>
            <w:r w:rsidRPr="00480790">
              <w:rPr>
                <w:rFonts w:ascii="Arial Narrow" w:hAnsi="Arial Narrow"/>
                <w:b/>
                <w:sz w:val="20"/>
                <w:szCs w:val="20"/>
              </w:rPr>
              <w:t>Max. qty units</w:t>
            </w:r>
          </w:p>
        </w:tc>
        <w:tc>
          <w:tcPr>
            <w:tcW w:w="812" w:type="dxa"/>
            <w:vAlign w:val="center"/>
          </w:tcPr>
          <w:p w14:paraId="45058154" w14:textId="77777777" w:rsidR="001C256F" w:rsidRPr="00480790" w:rsidRDefault="001C256F">
            <w:pPr>
              <w:keepLines/>
              <w:jc w:val="center"/>
              <w:rPr>
                <w:rFonts w:ascii="Arial Narrow" w:hAnsi="Arial Narrow"/>
                <w:b/>
                <w:bCs/>
                <w:sz w:val="20"/>
                <w:szCs w:val="20"/>
              </w:rPr>
            </w:pPr>
            <w:r w:rsidRPr="00480790">
              <w:rPr>
                <w:rFonts w:ascii="Arial Narrow" w:hAnsi="Arial Narrow"/>
                <w:b/>
                <w:bCs/>
                <w:sz w:val="20"/>
                <w:szCs w:val="20"/>
              </w:rPr>
              <w:t>№.of</w:t>
            </w:r>
          </w:p>
          <w:p w14:paraId="7F3F4D47" w14:textId="77777777" w:rsidR="001C256F" w:rsidRPr="00480790" w:rsidRDefault="001C256F">
            <w:pPr>
              <w:keepLines/>
              <w:jc w:val="center"/>
              <w:rPr>
                <w:rFonts w:ascii="Arial Narrow" w:hAnsi="Arial Narrow"/>
                <w:b/>
                <w:bCs/>
                <w:sz w:val="20"/>
                <w:szCs w:val="20"/>
              </w:rPr>
            </w:pPr>
            <w:r w:rsidRPr="00480790">
              <w:rPr>
                <w:rFonts w:ascii="Arial Narrow" w:hAnsi="Arial Narrow"/>
                <w:b/>
                <w:bCs/>
                <w:sz w:val="20"/>
                <w:szCs w:val="20"/>
              </w:rPr>
              <w:t>Rpts</w:t>
            </w:r>
          </w:p>
        </w:tc>
        <w:tc>
          <w:tcPr>
            <w:tcW w:w="1832" w:type="dxa"/>
            <w:vAlign w:val="center"/>
          </w:tcPr>
          <w:p w14:paraId="3A848DDC" w14:textId="77777777" w:rsidR="001C256F" w:rsidRPr="00480790" w:rsidRDefault="001C256F">
            <w:pPr>
              <w:keepLines/>
              <w:rPr>
                <w:rFonts w:ascii="Arial Narrow" w:hAnsi="Arial Narrow"/>
                <w:b/>
                <w:sz w:val="20"/>
                <w:szCs w:val="20"/>
              </w:rPr>
            </w:pPr>
            <w:r w:rsidRPr="00480790">
              <w:rPr>
                <w:rFonts w:ascii="Arial Narrow" w:hAnsi="Arial Narrow"/>
                <w:b/>
                <w:sz w:val="20"/>
                <w:szCs w:val="20"/>
              </w:rPr>
              <w:t>Available brands</w:t>
            </w:r>
          </w:p>
        </w:tc>
      </w:tr>
      <w:tr w:rsidR="00AB01EA" w:rsidRPr="00480790" w14:paraId="43A7A583" w14:textId="77777777">
        <w:trPr>
          <w:gridBefore w:val="1"/>
          <w:wBefore w:w="7" w:type="dxa"/>
          <w:cantSplit/>
          <w:trHeight w:val="20"/>
        </w:trPr>
        <w:tc>
          <w:tcPr>
            <w:tcW w:w="9015" w:type="dxa"/>
            <w:gridSpan w:val="8"/>
            <w:vAlign w:val="center"/>
          </w:tcPr>
          <w:p w14:paraId="4990660C" w14:textId="77777777" w:rsidR="001C256F" w:rsidRPr="00480790" w:rsidRDefault="001C256F">
            <w:pPr>
              <w:keepLines/>
              <w:rPr>
                <w:rFonts w:ascii="Arial Narrow" w:hAnsi="Arial Narrow"/>
                <w:sz w:val="20"/>
                <w:szCs w:val="20"/>
              </w:rPr>
            </w:pPr>
            <w:r w:rsidRPr="00480790">
              <w:rPr>
                <w:rFonts w:ascii="Arial Narrow" w:hAnsi="Arial Narrow"/>
                <w:sz w:val="20"/>
                <w:szCs w:val="20"/>
              </w:rPr>
              <w:t>ALECTINIB</w:t>
            </w:r>
          </w:p>
        </w:tc>
      </w:tr>
      <w:tr w:rsidR="00AB01EA" w:rsidRPr="00480790" w14:paraId="73CD4DA9" w14:textId="77777777">
        <w:trPr>
          <w:gridBefore w:val="1"/>
          <w:wBefore w:w="7" w:type="dxa"/>
          <w:cantSplit/>
          <w:trHeight w:val="20"/>
        </w:trPr>
        <w:tc>
          <w:tcPr>
            <w:tcW w:w="3937" w:type="dxa"/>
            <w:gridSpan w:val="3"/>
            <w:vAlign w:val="center"/>
          </w:tcPr>
          <w:p w14:paraId="1185738D" w14:textId="77777777" w:rsidR="001C256F" w:rsidRPr="00480790" w:rsidRDefault="001C256F">
            <w:pPr>
              <w:keepLines/>
              <w:rPr>
                <w:rFonts w:ascii="Arial Narrow" w:hAnsi="Arial Narrow"/>
                <w:sz w:val="20"/>
                <w:szCs w:val="20"/>
              </w:rPr>
            </w:pPr>
            <w:r w:rsidRPr="00480790">
              <w:rPr>
                <w:rFonts w:ascii="Arial Narrow" w:hAnsi="Arial Narrow"/>
                <w:sz w:val="20"/>
                <w:szCs w:val="20"/>
              </w:rPr>
              <w:t xml:space="preserve">alectinib 150 mg capsule, </w:t>
            </w:r>
            <w:r w:rsidRPr="00480790">
              <w:rPr>
                <w:rFonts w:ascii="Arial Narrow" w:hAnsi="Arial Narrow"/>
                <w:strike/>
                <w:sz w:val="20"/>
                <w:szCs w:val="20"/>
              </w:rPr>
              <w:t>224</w:t>
            </w:r>
            <w:r w:rsidRPr="00480790">
              <w:rPr>
                <w:rFonts w:ascii="Arial Narrow" w:hAnsi="Arial Narrow"/>
                <w:sz w:val="20"/>
                <w:szCs w:val="20"/>
              </w:rPr>
              <w:t xml:space="preserve"> </w:t>
            </w:r>
            <w:r w:rsidRPr="00480790">
              <w:rPr>
                <w:rFonts w:ascii="Arial Narrow" w:hAnsi="Arial Narrow"/>
                <w:i/>
                <w:iCs/>
                <w:sz w:val="20"/>
                <w:szCs w:val="20"/>
              </w:rPr>
              <w:t>4 x 56</w:t>
            </w:r>
          </w:p>
        </w:tc>
        <w:tc>
          <w:tcPr>
            <w:tcW w:w="811" w:type="dxa"/>
            <w:vAlign w:val="center"/>
          </w:tcPr>
          <w:p w14:paraId="47AE9D59" w14:textId="77777777" w:rsidR="001C256F" w:rsidRPr="00480790" w:rsidRDefault="001C256F">
            <w:pPr>
              <w:keepLines/>
              <w:jc w:val="center"/>
              <w:rPr>
                <w:rFonts w:ascii="Arial Narrow" w:hAnsi="Arial Narrow"/>
                <w:sz w:val="20"/>
                <w:szCs w:val="20"/>
              </w:rPr>
            </w:pPr>
            <w:r w:rsidRPr="00480790">
              <w:rPr>
                <w:rFonts w:ascii="Arial Narrow" w:hAnsi="Arial Narrow"/>
                <w:sz w:val="20"/>
                <w:szCs w:val="20"/>
              </w:rPr>
              <w:t>NEW</w:t>
            </w:r>
          </w:p>
        </w:tc>
        <w:tc>
          <w:tcPr>
            <w:tcW w:w="812" w:type="dxa"/>
            <w:vAlign w:val="center"/>
          </w:tcPr>
          <w:p w14:paraId="10D730DB" w14:textId="77777777" w:rsidR="001C256F" w:rsidRPr="00480790" w:rsidRDefault="001C256F">
            <w:pPr>
              <w:keepLines/>
              <w:jc w:val="center"/>
              <w:rPr>
                <w:rFonts w:ascii="Arial Narrow" w:hAnsi="Arial Narrow"/>
                <w:sz w:val="20"/>
                <w:szCs w:val="20"/>
              </w:rPr>
            </w:pPr>
            <w:r w:rsidRPr="00480790">
              <w:rPr>
                <w:rFonts w:ascii="Arial Narrow" w:hAnsi="Arial Narrow"/>
                <w:sz w:val="20"/>
                <w:szCs w:val="20"/>
              </w:rPr>
              <w:t>1</w:t>
            </w:r>
          </w:p>
        </w:tc>
        <w:tc>
          <w:tcPr>
            <w:tcW w:w="811" w:type="dxa"/>
            <w:vAlign w:val="center"/>
          </w:tcPr>
          <w:p w14:paraId="2A7A0D03" w14:textId="77777777" w:rsidR="001C256F" w:rsidRPr="00480790" w:rsidRDefault="001C256F">
            <w:pPr>
              <w:keepLines/>
              <w:jc w:val="center"/>
              <w:rPr>
                <w:rFonts w:ascii="Arial Narrow" w:hAnsi="Arial Narrow"/>
                <w:sz w:val="20"/>
                <w:szCs w:val="20"/>
              </w:rPr>
            </w:pPr>
            <w:r w:rsidRPr="00480790">
              <w:rPr>
                <w:rFonts w:ascii="Arial Narrow" w:hAnsi="Arial Narrow"/>
                <w:sz w:val="20"/>
                <w:szCs w:val="20"/>
              </w:rPr>
              <w:t>224</w:t>
            </w:r>
          </w:p>
        </w:tc>
        <w:tc>
          <w:tcPr>
            <w:tcW w:w="812" w:type="dxa"/>
            <w:vAlign w:val="center"/>
          </w:tcPr>
          <w:p w14:paraId="2752028F" w14:textId="77777777" w:rsidR="001C256F" w:rsidRPr="00480790" w:rsidRDefault="001C256F">
            <w:pPr>
              <w:keepLines/>
              <w:jc w:val="center"/>
              <w:rPr>
                <w:rFonts w:ascii="Arial Narrow" w:hAnsi="Arial Narrow"/>
                <w:sz w:val="20"/>
                <w:szCs w:val="20"/>
              </w:rPr>
            </w:pPr>
            <w:r w:rsidRPr="00480790">
              <w:rPr>
                <w:rFonts w:ascii="Arial Narrow" w:hAnsi="Arial Narrow"/>
                <w:sz w:val="20"/>
                <w:szCs w:val="20"/>
              </w:rPr>
              <w:t>3</w:t>
            </w:r>
          </w:p>
        </w:tc>
        <w:tc>
          <w:tcPr>
            <w:tcW w:w="1832" w:type="dxa"/>
            <w:vAlign w:val="center"/>
          </w:tcPr>
          <w:p w14:paraId="1038F2F5" w14:textId="1F97E26E" w:rsidR="001C256F" w:rsidRPr="00480790" w:rsidRDefault="001C256F">
            <w:pPr>
              <w:keepLines/>
              <w:rPr>
                <w:rFonts w:ascii="Arial Narrow" w:hAnsi="Arial Narrow"/>
                <w:sz w:val="20"/>
                <w:szCs w:val="20"/>
              </w:rPr>
            </w:pPr>
            <w:r w:rsidRPr="00480790">
              <w:rPr>
                <w:rFonts w:ascii="Arial Narrow" w:hAnsi="Arial Narrow"/>
                <w:sz w:val="20"/>
                <w:szCs w:val="20"/>
              </w:rPr>
              <w:t>Al</w:t>
            </w:r>
            <w:r w:rsidR="00332C24" w:rsidRPr="00480790">
              <w:rPr>
                <w:rFonts w:ascii="Arial Narrow" w:hAnsi="Arial Narrow"/>
                <w:sz w:val="20"/>
                <w:szCs w:val="20"/>
              </w:rPr>
              <w:t>e</w:t>
            </w:r>
            <w:r w:rsidRPr="00480790">
              <w:rPr>
                <w:rFonts w:ascii="Arial Narrow" w:hAnsi="Arial Narrow"/>
                <w:sz w:val="20"/>
                <w:szCs w:val="20"/>
              </w:rPr>
              <w:t xml:space="preserve">censa </w:t>
            </w:r>
          </w:p>
        </w:tc>
      </w:tr>
      <w:tr w:rsidR="00AB01EA" w:rsidRPr="00480790" w14:paraId="15280C7A" w14:textId="77777777">
        <w:tblPrEx>
          <w:tblCellMar>
            <w:top w:w="15" w:type="dxa"/>
            <w:bottom w:w="15" w:type="dxa"/>
          </w:tblCellMar>
          <w:tblLook w:val="04A0" w:firstRow="1" w:lastRow="0" w:firstColumn="1" w:lastColumn="0" w:noHBand="0" w:noVBand="1"/>
        </w:tblPrEx>
        <w:trPr>
          <w:gridBefore w:val="1"/>
          <w:wBefore w:w="7" w:type="dxa"/>
          <w:trHeight w:val="20"/>
        </w:trPr>
        <w:tc>
          <w:tcPr>
            <w:tcW w:w="9015" w:type="dxa"/>
            <w:gridSpan w:val="8"/>
            <w:tcBorders>
              <w:top w:val="single" w:sz="4" w:space="0" w:color="auto"/>
              <w:left w:val="single" w:sz="4" w:space="0" w:color="auto"/>
              <w:right w:val="single" w:sz="4" w:space="0" w:color="auto"/>
            </w:tcBorders>
            <w:vAlign w:val="center"/>
          </w:tcPr>
          <w:p w14:paraId="26293020" w14:textId="77777777" w:rsidR="001C256F" w:rsidRPr="00480790" w:rsidRDefault="001C256F">
            <w:pPr>
              <w:rPr>
                <w:rFonts w:ascii="Arial Narrow" w:hAnsi="Arial Narrow"/>
                <w:sz w:val="20"/>
                <w:szCs w:val="20"/>
              </w:rPr>
            </w:pPr>
          </w:p>
        </w:tc>
      </w:tr>
      <w:tr w:rsidR="00AB01EA" w:rsidRPr="00480790" w14:paraId="4A0A0698" w14:textId="77777777">
        <w:tblPrEx>
          <w:tblCellMar>
            <w:top w:w="15" w:type="dxa"/>
            <w:bottom w:w="15" w:type="dxa"/>
          </w:tblCellMar>
          <w:tblLook w:val="04A0" w:firstRow="1" w:lastRow="0" w:firstColumn="1" w:lastColumn="0" w:noHBand="0" w:noVBand="1"/>
        </w:tblPrEx>
        <w:trPr>
          <w:gridBefore w:val="1"/>
          <w:wBefore w:w="7" w:type="dxa"/>
          <w:trHeight w:val="20"/>
        </w:trPr>
        <w:tc>
          <w:tcPr>
            <w:tcW w:w="1270" w:type="dxa"/>
            <w:gridSpan w:val="2"/>
            <w:vMerge w:val="restart"/>
            <w:tcBorders>
              <w:top w:val="single" w:sz="4" w:space="0" w:color="auto"/>
              <w:left w:val="single" w:sz="4" w:space="0" w:color="auto"/>
              <w:right w:val="single" w:sz="4" w:space="0" w:color="auto"/>
            </w:tcBorders>
          </w:tcPr>
          <w:p w14:paraId="3C73576C" w14:textId="6AAD1730" w:rsidR="001C256F" w:rsidRPr="00480790" w:rsidRDefault="001C256F">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FED9F6E" w14:textId="77777777" w:rsidR="001C256F" w:rsidRPr="00480790" w:rsidRDefault="001C256F">
            <w:pPr>
              <w:keepLines/>
              <w:rPr>
                <w:rFonts w:ascii="Arial Narrow" w:hAnsi="Arial Narrow"/>
                <w:sz w:val="20"/>
                <w:szCs w:val="20"/>
              </w:rPr>
            </w:pPr>
            <w:r w:rsidRPr="00480790">
              <w:rPr>
                <w:rFonts w:ascii="Arial Narrow" w:hAnsi="Arial Narrow"/>
                <w:b/>
                <w:sz w:val="20"/>
                <w:szCs w:val="20"/>
              </w:rPr>
              <w:t>Category / Program:</w:t>
            </w:r>
            <w:r w:rsidRPr="00480790">
              <w:rPr>
                <w:rFonts w:ascii="Arial Narrow" w:hAnsi="Arial Narrow"/>
                <w:sz w:val="20"/>
                <w:szCs w:val="20"/>
              </w:rPr>
              <w:t xml:space="preserve"> </w:t>
            </w:r>
            <w:r w:rsidRPr="00480790">
              <w:rPr>
                <w:rFonts w:ascii="Arial Narrow" w:eastAsia="Calibri" w:hAnsi="Arial Narrow"/>
                <w:sz w:val="20"/>
                <w:szCs w:val="20"/>
              </w:rPr>
              <w:fldChar w:fldCharType="begin">
                <w:ffData>
                  <w:name w:val="Check1"/>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 xml:space="preserve"> GENERAL - General Schedule (Code GE) </w:t>
            </w:r>
          </w:p>
        </w:tc>
      </w:tr>
      <w:tr w:rsidR="00AB01EA" w:rsidRPr="00480790" w14:paraId="1746BE7C" w14:textId="77777777">
        <w:tblPrEx>
          <w:tblCellMar>
            <w:top w:w="15" w:type="dxa"/>
            <w:bottom w:w="15" w:type="dxa"/>
          </w:tblCellMar>
          <w:tblLook w:val="04A0" w:firstRow="1" w:lastRow="0" w:firstColumn="1" w:lastColumn="0" w:noHBand="0" w:noVBand="1"/>
        </w:tblPrEx>
        <w:trPr>
          <w:gridBefore w:val="1"/>
          <w:wBefore w:w="7" w:type="dxa"/>
          <w:trHeight w:val="20"/>
        </w:trPr>
        <w:tc>
          <w:tcPr>
            <w:tcW w:w="1270" w:type="dxa"/>
            <w:gridSpan w:val="2"/>
            <w:vMerge/>
          </w:tcPr>
          <w:p w14:paraId="7DABC191" w14:textId="77777777" w:rsidR="001C256F" w:rsidRPr="00480790" w:rsidRDefault="001C256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12DDB66" w14:textId="77777777" w:rsidR="001C256F" w:rsidRPr="00480790" w:rsidRDefault="001C256F">
            <w:pPr>
              <w:keepLines/>
              <w:rPr>
                <w:rFonts w:ascii="Arial Narrow" w:hAnsi="Arial Narrow"/>
                <w:b/>
                <w:sz w:val="20"/>
                <w:szCs w:val="20"/>
              </w:rPr>
            </w:pPr>
            <w:r w:rsidRPr="00480790">
              <w:rPr>
                <w:rFonts w:ascii="Arial Narrow" w:hAnsi="Arial Narrow"/>
                <w:b/>
                <w:sz w:val="20"/>
                <w:szCs w:val="20"/>
              </w:rPr>
              <w:t xml:space="preserve">Prescriber type: </w:t>
            </w:r>
            <w:r w:rsidRPr="00480790">
              <w:rPr>
                <w:rFonts w:ascii="Arial Narrow" w:hAnsi="Arial Narrow"/>
                <w:sz w:val="20"/>
                <w:szCs w:val="20"/>
              </w:rPr>
              <w:t xml:space="preserve"> </w:t>
            </w:r>
            <w:r w:rsidRPr="00480790">
              <w:rPr>
                <w:rFonts w:ascii="Arial Narrow" w:hAnsi="Arial Narrow"/>
                <w:sz w:val="20"/>
                <w:szCs w:val="20"/>
              </w:rPr>
              <w:fldChar w:fldCharType="begin">
                <w:ffData>
                  <w:name w:val=""/>
                  <w:enabled/>
                  <w:calcOnExit w:val="0"/>
                  <w:checkBox>
                    <w:sizeAuto/>
                    <w:default w:val="1"/>
                  </w:checkBox>
                </w:ffData>
              </w:fldChar>
            </w:r>
            <w:r w:rsidRPr="00480790">
              <w:rPr>
                <w:rFonts w:ascii="Arial Narrow" w:hAnsi="Arial Narrow"/>
                <w:sz w:val="20"/>
                <w:szCs w:val="20"/>
              </w:rPr>
              <w:instrText xml:space="preserve"> FORMCHECKBOX </w:instrText>
            </w:r>
            <w:r w:rsidRPr="00480790">
              <w:rPr>
                <w:rFonts w:ascii="Arial Narrow" w:hAnsi="Arial Narrow"/>
                <w:sz w:val="20"/>
                <w:szCs w:val="20"/>
              </w:rPr>
            </w:r>
            <w:r w:rsidRPr="00480790">
              <w:rPr>
                <w:rFonts w:ascii="Arial Narrow" w:hAnsi="Arial Narrow"/>
                <w:sz w:val="20"/>
                <w:szCs w:val="20"/>
              </w:rPr>
              <w:fldChar w:fldCharType="separate"/>
            </w:r>
            <w:r w:rsidRPr="00480790">
              <w:rPr>
                <w:rFonts w:ascii="Arial Narrow" w:hAnsi="Arial Narrow"/>
                <w:sz w:val="20"/>
                <w:szCs w:val="20"/>
              </w:rPr>
              <w:fldChar w:fldCharType="end"/>
            </w:r>
            <w:r w:rsidRPr="00480790">
              <w:rPr>
                <w:rFonts w:ascii="Arial Narrow" w:hAnsi="Arial Narrow"/>
                <w:sz w:val="20"/>
                <w:szCs w:val="20"/>
              </w:rPr>
              <w:t xml:space="preserve">Medical Practitioners </w:t>
            </w:r>
          </w:p>
        </w:tc>
      </w:tr>
      <w:tr w:rsidR="00AB01EA" w:rsidRPr="00480790" w14:paraId="0B5D3F24" w14:textId="77777777">
        <w:tblPrEx>
          <w:tblCellMar>
            <w:top w:w="15" w:type="dxa"/>
            <w:bottom w:w="15" w:type="dxa"/>
          </w:tblCellMar>
          <w:tblLook w:val="04A0" w:firstRow="1" w:lastRow="0" w:firstColumn="1" w:lastColumn="0" w:noHBand="0" w:noVBand="1"/>
        </w:tblPrEx>
        <w:trPr>
          <w:gridBefore w:val="1"/>
          <w:wBefore w:w="7" w:type="dxa"/>
          <w:trHeight w:val="184"/>
        </w:trPr>
        <w:tc>
          <w:tcPr>
            <w:tcW w:w="1270" w:type="dxa"/>
            <w:gridSpan w:val="2"/>
            <w:vMerge/>
          </w:tcPr>
          <w:p w14:paraId="10065A24" w14:textId="77777777" w:rsidR="001C256F" w:rsidRPr="00480790" w:rsidRDefault="001C256F">
            <w:pPr>
              <w:rPr>
                <w:rFonts w:ascii="Arial Narrow" w:hAnsi="Arial Narrow"/>
                <w:sz w:val="20"/>
                <w:szCs w:val="20"/>
              </w:rPr>
            </w:pPr>
          </w:p>
        </w:tc>
        <w:tc>
          <w:tcPr>
            <w:tcW w:w="7745" w:type="dxa"/>
            <w:gridSpan w:val="6"/>
            <w:tcBorders>
              <w:top w:val="single" w:sz="4" w:space="0" w:color="auto"/>
              <w:left w:val="single" w:sz="4" w:space="0" w:color="auto"/>
              <w:right w:val="single" w:sz="4" w:space="0" w:color="auto"/>
            </w:tcBorders>
            <w:vAlign w:val="center"/>
          </w:tcPr>
          <w:p w14:paraId="5EBCC84E" w14:textId="77777777" w:rsidR="001C256F" w:rsidRPr="00480790" w:rsidRDefault="001C256F">
            <w:pPr>
              <w:keepLines/>
              <w:rPr>
                <w:rFonts w:ascii="Arial Narrow" w:eastAsia="Calibri" w:hAnsi="Arial Narrow"/>
                <w:sz w:val="20"/>
                <w:szCs w:val="20"/>
              </w:rPr>
            </w:pPr>
            <w:r w:rsidRPr="00480790">
              <w:rPr>
                <w:rFonts w:ascii="Arial Narrow" w:hAnsi="Arial Narrow"/>
                <w:b/>
                <w:sz w:val="20"/>
                <w:szCs w:val="20"/>
              </w:rPr>
              <w:t xml:space="preserve">Restriction type: </w:t>
            </w:r>
            <w:r w:rsidRPr="00480790">
              <w:rPr>
                <w:rFonts w:ascii="Arial Narrow" w:eastAsia="Calibri" w:hAnsi="Arial Narrow"/>
                <w:sz w:val="20"/>
                <w:szCs w:val="20"/>
              </w:rPr>
              <w:fldChar w:fldCharType="begin">
                <w:ffData>
                  <w:name w:val="Check3"/>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Authority Required (immediate assessment) - Telephone/Online PBS Authorities</w:t>
            </w:r>
          </w:p>
        </w:tc>
      </w:tr>
      <w:tr w:rsidR="00AB01EA" w:rsidRPr="00480790" w14:paraId="482DAB7B" w14:textId="77777777" w:rsidTr="002843F8">
        <w:tblPrEx>
          <w:tblCellMar>
            <w:top w:w="15" w:type="dxa"/>
            <w:bottom w:w="15" w:type="dxa"/>
          </w:tblCellMar>
          <w:tblLook w:val="04A0" w:firstRow="1" w:lastRow="0" w:firstColumn="1" w:lastColumn="0" w:noHBand="0" w:noVBand="1"/>
        </w:tblPrEx>
        <w:trPr>
          <w:trHeight w:val="20"/>
        </w:trPr>
        <w:tc>
          <w:tcPr>
            <w:tcW w:w="492" w:type="dxa"/>
            <w:gridSpan w:val="2"/>
            <w:vMerge w:val="restart"/>
            <w:tcBorders>
              <w:left w:val="single" w:sz="4" w:space="0" w:color="auto"/>
              <w:right w:val="single" w:sz="4" w:space="0" w:color="auto"/>
            </w:tcBorders>
            <w:textDirection w:val="btLr"/>
            <w:vAlign w:val="center"/>
          </w:tcPr>
          <w:p w14:paraId="134C03A6" w14:textId="0D5F6E72" w:rsidR="001C256F" w:rsidRPr="00480790" w:rsidRDefault="001C256F">
            <w:pPr>
              <w:jc w:val="center"/>
              <w:rPr>
                <w:rFonts w:ascii="Arial Narrow" w:hAnsi="Arial Narrow"/>
                <w:i/>
                <w:iCs/>
                <w:sz w:val="20"/>
                <w:szCs w:val="20"/>
              </w:rPr>
            </w:pPr>
          </w:p>
        </w:tc>
        <w:tc>
          <w:tcPr>
            <w:tcW w:w="785" w:type="dxa"/>
            <w:vAlign w:val="center"/>
          </w:tcPr>
          <w:p w14:paraId="6634BA4A" w14:textId="211CD55F" w:rsidR="001C256F" w:rsidRPr="00480790" w:rsidRDefault="001C256F">
            <w:pPr>
              <w:jc w:val="center"/>
              <w:rPr>
                <w:rFonts w:ascii="Arial Narrow" w:hAnsi="Arial Narrow"/>
                <w:i/>
                <w:iCs/>
                <w:sz w:val="20"/>
                <w:szCs w:val="20"/>
              </w:rPr>
            </w:pPr>
          </w:p>
        </w:tc>
        <w:tc>
          <w:tcPr>
            <w:tcW w:w="7745" w:type="dxa"/>
            <w:gridSpan w:val="6"/>
            <w:vAlign w:val="center"/>
          </w:tcPr>
          <w:p w14:paraId="0FDB9190" w14:textId="77777777" w:rsidR="001C256F" w:rsidRPr="00480790" w:rsidRDefault="001C256F">
            <w:pPr>
              <w:keepLines/>
              <w:rPr>
                <w:rFonts w:ascii="Arial Narrow" w:hAnsi="Arial Narrow"/>
                <w:b/>
                <w:bCs/>
                <w:i/>
                <w:iCs/>
                <w:sz w:val="20"/>
                <w:szCs w:val="20"/>
              </w:rPr>
            </w:pPr>
            <w:r w:rsidRPr="00480790">
              <w:rPr>
                <w:rFonts w:ascii="Arial Narrow" w:hAnsi="Arial Narrow"/>
                <w:b/>
                <w:bCs/>
                <w:i/>
                <w:iCs/>
                <w:sz w:val="20"/>
                <w:szCs w:val="20"/>
              </w:rPr>
              <w:t>Administration advice:</w:t>
            </w:r>
          </w:p>
          <w:p w14:paraId="756BEB45" w14:textId="77777777" w:rsidR="001C256F" w:rsidRPr="00480790" w:rsidRDefault="001C256F">
            <w:pPr>
              <w:rPr>
                <w:rFonts w:ascii="Arial Narrow" w:hAnsi="Arial Narrow"/>
                <w:i/>
                <w:iCs/>
                <w:sz w:val="20"/>
                <w:szCs w:val="20"/>
              </w:rPr>
            </w:pPr>
            <w:r w:rsidRPr="00480790">
              <w:rPr>
                <w:rFonts w:ascii="Arial Narrow" w:hAnsi="Arial Narrow"/>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AB01EA" w:rsidRPr="00480790" w14:paraId="1DEF0B1A" w14:textId="77777777" w:rsidTr="002843F8">
        <w:tblPrEx>
          <w:tblCellMar>
            <w:top w:w="15" w:type="dxa"/>
            <w:bottom w:w="15" w:type="dxa"/>
          </w:tblCellMar>
          <w:tblLook w:val="04A0" w:firstRow="1" w:lastRow="0" w:firstColumn="1" w:lastColumn="0" w:noHBand="0" w:noVBand="1"/>
        </w:tblPrEx>
        <w:trPr>
          <w:trHeight w:val="20"/>
        </w:trPr>
        <w:tc>
          <w:tcPr>
            <w:tcW w:w="492" w:type="dxa"/>
            <w:gridSpan w:val="2"/>
            <w:vMerge/>
          </w:tcPr>
          <w:p w14:paraId="1B185970" w14:textId="77777777" w:rsidR="001C256F" w:rsidRPr="00480790" w:rsidRDefault="001C256F">
            <w:pPr>
              <w:rPr>
                <w:rFonts w:ascii="Arial Narrow" w:hAnsi="Arial Narrow"/>
                <w:i/>
                <w:iCs/>
                <w:sz w:val="20"/>
                <w:szCs w:val="20"/>
              </w:rPr>
            </w:pPr>
          </w:p>
        </w:tc>
        <w:tc>
          <w:tcPr>
            <w:tcW w:w="785" w:type="dxa"/>
            <w:vAlign w:val="center"/>
          </w:tcPr>
          <w:p w14:paraId="102BE9AB" w14:textId="6A325BB3" w:rsidR="001C256F" w:rsidRPr="00480790" w:rsidRDefault="001C256F">
            <w:pPr>
              <w:jc w:val="center"/>
              <w:rPr>
                <w:rFonts w:ascii="Arial Narrow" w:hAnsi="Arial Narrow"/>
                <w:i/>
                <w:iCs/>
                <w:sz w:val="20"/>
                <w:szCs w:val="20"/>
              </w:rPr>
            </w:pPr>
          </w:p>
        </w:tc>
        <w:tc>
          <w:tcPr>
            <w:tcW w:w="7745" w:type="dxa"/>
            <w:gridSpan w:val="6"/>
            <w:vAlign w:val="center"/>
          </w:tcPr>
          <w:p w14:paraId="7FAFFFA3" w14:textId="77777777" w:rsidR="001C256F" w:rsidRPr="00480790" w:rsidRDefault="001C256F">
            <w:pPr>
              <w:rPr>
                <w:rFonts w:ascii="Arial Narrow" w:hAnsi="Arial Narrow"/>
                <w:b/>
                <w:bCs/>
                <w:i/>
                <w:iCs/>
                <w:sz w:val="20"/>
                <w:szCs w:val="20"/>
              </w:rPr>
            </w:pPr>
            <w:r w:rsidRPr="00480790">
              <w:rPr>
                <w:rFonts w:ascii="Arial Narrow" w:hAnsi="Arial Narrow"/>
                <w:b/>
                <w:bCs/>
                <w:i/>
                <w:iCs/>
                <w:sz w:val="20"/>
                <w:szCs w:val="20"/>
              </w:rPr>
              <w:t xml:space="preserve">Administrative Advice: </w:t>
            </w:r>
            <w:r w:rsidRPr="00480790">
              <w:rPr>
                <w:rFonts w:ascii="Arial Narrow" w:hAnsi="Arial Narrow"/>
                <w:bCs/>
                <w:i/>
                <w:iCs/>
                <w:sz w:val="20"/>
                <w:szCs w:val="20"/>
              </w:rPr>
              <w:t>No increase in the maximum quantity or number of units may be authorised.</w:t>
            </w:r>
          </w:p>
        </w:tc>
      </w:tr>
      <w:tr w:rsidR="00AB01EA" w:rsidRPr="00480790" w14:paraId="3465C799" w14:textId="77777777" w:rsidTr="002843F8">
        <w:tblPrEx>
          <w:tblCellMar>
            <w:top w:w="15" w:type="dxa"/>
            <w:bottom w:w="15" w:type="dxa"/>
          </w:tblCellMar>
          <w:tblLook w:val="04A0" w:firstRow="1" w:lastRow="0" w:firstColumn="1" w:lastColumn="0" w:noHBand="0" w:noVBand="1"/>
        </w:tblPrEx>
        <w:trPr>
          <w:trHeight w:val="20"/>
        </w:trPr>
        <w:tc>
          <w:tcPr>
            <w:tcW w:w="492" w:type="dxa"/>
            <w:gridSpan w:val="2"/>
            <w:vMerge/>
          </w:tcPr>
          <w:p w14:paraId="768993B9" w14:textId="77777777" w:rsidR="001C256F" w:rsidRPr="00480790" w:rsidRDefault="001C256F">
            <w:pPr>
              <w:rPr>
                <w:rFonts w:ascii="Arial Narrow" w:hAnsi="Arial Narrow"/>
                <w:i/>
                <w:iCs/>
                <w:sz w:val="20"/>
                <w:szCs w:val="20"/>
              </w:rPr>
            </w:pPr>
          </w:p>
        </w:tc>
        <w:tc>
          <w:tcPr>
            <w:tcW w:w="785" w:type="dxa"/>
            <w:vAlign w:val="center"/>
          </w:tcPr>
          <w:p w14:paraId="16F511A7" w14:textId="28F4D917" w:rsidR="001C256F" w:rsidRPr="00480790" w:rsidRDefault="001C256F">
            <w:pPr>
              <w:jc w:val="center"/>
              <w:rPr>
                <w:rFonts w:ascii="Arial Narrow" w:hAnsi="Arial Narrow"/>
                <w:i/>
                <w:iCs/>
                <w:sz w:val="20"/>
                <w:szCs w:val="20"/>
              </w:rPr>
            </w:pPr>
          </w:p>
        </w:tc>
        <w:tc>
          <w:tcPr>
            <w:tcW w:w="7745" w:type="dxa"/>
            <w:gridSpan w:val="6"/>
            <w:vAlign w:val="center"/>
          </w:tcPr>
          <w:p w14:paraId="52B2E771" w14:textId="77777777" w:rsidR="001C256F" w:rsidRPr="00480790" w:rsidRDefault="001C256F">
            <w:pPr>
              <w:rPr>
                <w:rFonts w:ascii="Arial Narrow" w:hAnsi="Arial Narrow"/>
                <w:b/>
                <w:bCs/>
                <w:i/>
                <w:iCs/>
                <w:sz w:val="20"/>
                <w:szCs w:val="20"/>
              </w:rPr>
            </w:pPr>
            <w:r w:rsidRPr="00480790">
              <w:rPr>
                <w:rFonts w:ascii="Arial Narrow" w:hAnsi="Arial Narrow"/>
                <w:b/>
                <w:bCs/>
                <w:i/>
                <w:iCs/>
                <w:sz w:val="20"/>
                <w:szCs w:val="20"/>
              </w:rPr>
              <w:t xml:space="preserve">Administrative Advice: </w:t>
            </w:r>
            <w:r w:rsidRPr="00480790">
              <w:rPr>
                <w:rFonts w:ascii="Arial Narrow" w:hAnsi="Arial Narrow"/>
                <w:bCs/>
                <w:i/>
                <w:iCs/>
                <w:sz w:val="20"/>
                <w:szCs w:val="20"/>
              </w:rPr>
              <w:t>No increase in the maximum number of repeats may be authorised.</w:t>
            </w:r>
          </w:p>
        </w:tc>
      </w:tr>
      <w:tr w:rsidR="00AB01EA" w:rsidRPr="00480790" w14:paraId="707A29E2" w14:textId="77777777" w:rsidTr="002843F8">
        <w:tblPrEx>
          <w:tblCellMar>
            <w:top w:w="15" w:type="dxa"/>
            <w:bottom w:w="15" w:type="dxa"/>
          </w:tblCellMar>
          <w:tblLook w:val="04A0" w:firstRow="1" w:lastRow="0" w:firstColumn="1" w:lastColumn="0" w:noHBand="0" w:noVBand="1"/>
        </w:tblPrEx>
        <w:trPr>
          <w:trHeight w:val="20"/>
        </w:trPr>
        <w:tc>
          <w:tcPr>
            <w:tcW w:w="492" w:type="dxa"/>
            <w:gridSpan w:val="2"/>
            <w:vMerge/>
          </w:tcPr>
          <w:p w14:paraId="3FA7017D" w14:textId="77777777" w:rsidR="001C256F" w:rsidRPr="00480790" w:rsidRDefault="001C256F">
            <w:pPr>
              <w:rPr>
                <w:rFonts w:ascii="Arial Narrow" w:hAnsi="Arial Narrow"/>
                <w:i/>
                <w:iCs/>
                <w:sz w:val="20"/>
                <w:szCs w:val="20"/>
              </w:rPr>
            </w:pPr>
          </w:p>
        </w:tc>
        <w:tc>
          <w:tcPr>
            <w:tcW w:w="785" w:type="dxa"/>
            <w:vAlign w:val="center"/>
          </w:tcPr>
          <w:p w14:paraId="04F0E823" w14:textId="543912E2" w:rsidR="001C256F" w:rsidRPr="00480790" w:rsidRDefault="001C256F">
            <w:pPr>
              <w:jc w:val="center"/>
              <w:rPr>
                <w:rFonts w:ascii="Arial Narrow" w:hAnsi="Arial Narrow"/>
                <w:i/>
                <w:iCs/>
                <w:sz w:val="20"/>
                <w:szCs w:val="20"/>
              </w:rPr>
            </w:pPr>
          </w:p>
        </w:tc>
        <w:tc>
          <w:tcPr>
            <w:tcW w:w="7745" w:type="dxa"/>
            <w:gridSpan w:val="6"/>
            <w:vAlign w:val="center"/>
          </w:tcPr>
          <w:p w14:paraId="29064462" w14:textId="77777777" w:rsidR="001C256F" w:rsidRPr="00480790" w:rsidRDefault="001C256F">
            <w:pPr>
              <w:rPr>
                <w:rFonts w:ascii="Arial Narrow" w:hAnsi="Arial Narrow"/>
                <w:b/>
                <w:bCs/>
                <w:i/>
                <w:iCs/>
                <w:sz w:val="20"/>
                <w:szCs w:val="20"/>
              </w:rPr>
            </w:pPr>
            <w:r w:rsidRPr="00480790">
              <w:rPr>
                <w:rFonts w:ascii="Arial Narrow" w:hAnsi="Arial Narrow"/>
                <w:b/>
                <w:bCs/>
                <w:i/>
                <w:iCs/>
                <w:sz w:val="20"/>
                <w:szCs w:val="20"/>
              </w:rPr>
              <w:t xml:space="preserve">Administrative Advice: </w:t>
            </w:r>
            <w:r w:rsidRPr="00480790">
              <w:rPr>
                <w:rFonts w:ascii="Arial Narrow" w:hAnsi="Arial Narrow"/>
                <w:bCs/>
                <w:i/>
                <w:iCs/>
                <w:sz w:val="20"/>
                <w:szCs w:val="20"/>
              </w:rPr>
              <w:t>Special Pricing Arrangements apply.</w:t>
            </w:r>
          </w:p>
        </w:tc>
      </w:tr>
      <w:tr w:rsidR="00AB01EA" w:rsidRPr="00480790" w14:paraId="1BE8D1C2"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Merge w:val="restart"/>
            <w:vAlign w:val="center"/>
          </w:tcPr>
          <w:p w14:paraId="19A5AB7B"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03B04236" w14:textId="77777777" w:rsidR="001C256F" w:rsidRPr="00480790" w:rsidRDefault="001C256F">
            <w:pPr>
              <w:keepLines/>
              <w:rPr>
                <w:rFonts w:ascii="Arial Narrow" w:hAnsi="Arial Narrow"/>
                <w:sz w:val="20"/>
                <w:szCs w:val="20"/>
              </w:rPr>
            </w:pPr>
            <w:r w:rsidRPr="00480790">
              <w:rPr>
                <w:rFonts w:ascii="Arial Narrow" w:hAnsi="Arial Narrow"/>
                <w:b/>
                <w:bCs/>
                <w:sz w:val="20"/>
                <w:szCs w:val="20"/>
              </w:rPr>
              <w:t xml:space="preserve">Episodicity: </w:t>
            </w:r>
            <w:r w:rsidRPr="00480790">
              <w:rPr>
                <w:rFonts w:ascii="Arial Narrow" w:hAnsi="Arial Narrow"/>
                <w:sz w:val="20"/>
                <w:szCs w:val="20"/>
              </w:rPr>
              <w:t xml:space="preserve">Resected </w:t>
            </w:r>
          </w:p>
        </w:tc>
      </w:tr>
      <w:tr w:rsidR="00AB01EA" w:rsidRPr="00480790" w14:paraId="7BDCC755"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Merge/>
            <w:vAlign w:val="center"/>
          </w:tcPr>
          <w:p w14:paraId="4DC3C589"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6A7DEC3D" w14:textId="77777777" w:rsidR="001C256F" w:rsidRPr="00480790" w:rsidRDefault="001C256F">
            <w:pPr>
              <w:keepLines/>
              <w:rPr>
                <w:rFonts w:ascii="Arial Narrow" w:hAnsi="Arial Narrow"/>
                <w:b/>
                <w:bCs/>
                <w:sz w:val="20"/>
                <w:szCs w:val="20"/>
              </w:rPr>
            </w:pPr>
            <w:r w:rsidRPr="00480790">
              <w:rPr>
                <w:rFonts w:ascii="Arial Narrow" w:hAnsi="Arial Narrow"/>
                <w:b/>
                <w:bCs/>
                <w:sz w:val="20"/>
                <w:szCs w:val="20"/>
              </w:rPr>
              <w:t xml:space="preserve">Severity: </w:t>
            </w:r>
            <w:r w:rsidRPr="00480790">
              <w:rPr>
                <w:rFonts w:ascii="Arial Narrow" w:hAnsi="Arial Narrow"/>
                <w:bCs/>
                <w:sz w:val="20"/>
                <w:szCs w:val="20"/>
              </w:rPr>
              <w:t xml:space="preserve">[blank] </w:t>
            </w:r>
          </w:p>
        </w:tc>
      </w:tr>
      <w:tr w:rsidR="00AB01EA" w:rsidRPr="00480790" w14:paraId="4BDCA1B1"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Merge/>
            <w:vAlign w:val="center"/>
          </w:tcPr>
          <w:p w14:paraId="5FD80CA6"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7E6A3769" w14:textId="77777777" w:rsidR="001C256F" w:rsidRPr="00480790" w:rsidRDefault="001C256F">
            <w:pPr>
              <w:keepLines/>
              <w:rPr>
                <w:rFonts w:ascii="Arial Narrow" w:hAnsi="Arial Narrow"/>
                <w:b/>
                <w:bCs/>
                <w:sz w:val="20"/>
                <w:szCs w:val="20"/>
              </w:rPr>
            </w:pPr>
            <w:r w:rsidRPr="00480790">
              <w:rPr>
                <w:rFonts w:ascii="Arial Narrow" w:hAnsi="Arial Narrow"/>
                <w:b/>
                <w:bCs/>
                <w:sz w:val="20"/>
                <w:szCs w:val="20"/>
              </w:rPr>
              <w:t xml:space="preserve">Condition: </w:t>
            </w:r>
            <w:r w:rsidRPr="00480790">
              <w:rPr>
                <w:rFonts w:ascii="Arial Narrow" w:hAnsi="Arial Narrow"/>
                <w:sz w:val="20"/>
                <w:szCs w:val="20"/>
              </w:rPr>
              <w:t>Non-small cell lung cancer (NSCLC)</w:t>
            </w:r>
          </w:p>
        </w:tc>
      </w:tr>
      <w:tr w:rsidR="00AB01EA" w:rsidRPr="00480790" w14:paraId="646C6C17"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9015" w:type="dxa"/>
            <w:gridSpan w:val="8"/>
            <w:vAlign w:val="center"/>
          </w:tcPr>
          <w:p w14:paraId="6A33E887" w14:textId="1BF68604" w:rsidR="001C256F" w:rsidRPr="00480790" w:rsidRDefault="001C256F">
            <w:pPr>
              <w:keepLines/>
              <w:rPr>
                <w:rFonts w:ascii="Arial Narrow" w:hAnsi="Arial Narrow"/>
                <w:b/>
                <w:bCs/>
                <w:sz w:val="20"/>
                <w:szCs w:val="20"/>
              </w:rPr>
            </w:pPr>
            <w:r w:rsidRPr="00480790">
              <w:rPr>
                <w:rFonts w:ascii="Arial Narrow" w:hAnsi="Arial Narrow"/>
                <w:b/>
                <w:sz w:val="20"/>
                <w:szCs w:val="20"/>
              </w:rPr>
              <w:t xml:space="preserve">Restriction Summary / Treatment of Concept: </w:t>
            </w:r>
          </w:p>
        </w:tc>
      </w:tr>
      <w:tr w:rsidR="00AB01EA" w:rsidRPr="00480790" w14:paraId="38A5352D"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2E7BA186" w14:textId="5B801AD9" w:rsidR="001C256F" w:rsidRPr="00480790" w:rsidRDefault="001C256F">
            <w:pPr>
              <w:keepLines/>
              <w:jc w:val="center"/>
              <w:rPr>
                <w:rFonts w:ascii="Arial Narrow" w:hAnsi="Arial Narrow"/>
                <w:sz w:val="20"/>
                <w:szCs w:val="20"/>
              </w:rPr>
            </w:pPr>
          </w:p>
        </w:tc>
        <w:tc>
          <w:tcPr>
            <w:tcW w:w="7745" w:type="dxa"/>
            <w:gridSpan w:val="6"/>
            <w:vAlign w:val="center"/>
          </w:tcPr>
          <w:p w14:paraId="57F04C1F" w14:textId="77777777" w:rsidR="001C256F" w:rsidRPr="00480790" w:rsidRDefault="001C256F">
            <w:pPr>
              <w:keepLines/>
              <w:rPr>
                <w:rFonts w:ascii="Arial Narrow" w:hAnsi="Arial Narrow"/>
                <w:b/>
                <w:bCs/>
                <w:sz w:val="20"/>
                <w:szCs w:val="20"/>
              </w:rPr>
            </w:pPr>
            <w:r w:rsidRPr="00480790">
              <w:rPr>
                <w:rFonts w:ascii="Arial Narrow" w:hAnsi="Arial Narrow"/>
                <w:b/>
                <w:bCs/>
                <w:sz w:val="20"/>
                <w:szCs w:val="20"/>
              </w:rPr>
              <w:t>Indication:</w:t>
            </w:r>
            <w:r w:rsidRPr="00480790">
              <w:rPr>
                <w:rFonts w:ascii="Arial Narrow" w:hAnsi="Arial Narrow"/>
                <w:sz w:val="20"/>
                <w:szCs w:val="20"/>
              </w:rPr>
              <w:t xml:space="preserve"> Resected non-small cell lung cancer (NSCLC)</w:t>
            </w:r>
          </w:p>
        </w:tc>
      </w:tr>
      <w:tr w:rsidR="00AB01EA" w:rsidRPr="00480790" w14:paraId="78BE19AB"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34F5D91D"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5696F83D" w14:textId="77777777" w:rsidR="001C256F" w:rsidRPr="00480790" w:rsidRDefault="001C256F">
            <w:pPr>
              <w:keepLines/>
              <w:rPr>
                <w:rFonts w:ascii="Arial Narrow" w:hAnsi="Arial Narrow"/>
                <w:b/>
                <w:bCs/>
                <w:sz w:val="20"/>
                <w:szCs w:val="20"/>
              </w:rPr>
            </w:pPr>
            <w:r w:rsidRPr="00480790">
              <w:rPr>
                <w:rFonts w:ascii="Arial Narrow" w:hAnsi="Arial Narrow"/>
                <w:b/>
                <w:bCs/>
                <w:sz w:val="20"/>
                <w:szCs w:val="20"/>
              </w:rPr>
              <w:t>Treatment Phase:</w:t>
            </w:r>
            <w:r w:rsidRPr="00480790">
              <w:t xml:space="preserve"> </w:t>
            </w:r>
            <w:r w:rsidRPr="00480790">
              <w:rPr>
                <w:rFonts w:ascii="Arial Narrow" w:hAnsi="Arial Narrow"/>
                <w:strike/>
                <w:sz w:val="20"/>
                <w:szCs w:val="20"/>
              </w:rPr>
              <w:t>Adjuvant therapy</w:t>
            </w:r>
            <w:r w:rsidRPr="00480790">
              <w:rPr>
                <w:rFonts w:ascii="Arial Narrow" w:hAnsi="Arial Narrow"/>
                <w:sz w:val="20"/>
                <w:szCs w:val="20"/>
              </w:rPr>
              <w:t xml:space="preserve"> </w:t>
            </w:r>
            <w:r w:rsidRPr="00480790">
              <w:rPr>
                <w:rFonts w:ascii="Arial Narrow" w:hAnsi="Arial Narrow"/>
                <w:i/>
                <w:iCs/>
                <w:sz w:val="20"/>
                <w:szCs w:val="20"/>
              </w:rPr>
              <w:t>Initial treatment</w:t>
            </w:r>
          </w:p>
        </w:tc>
      </w:tr>
      <w:tr w:rsidR="00AB01EA" w:rsidRPr="00480790" w14:paraId="76B1E367"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2FEBA956"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7ECC1796" w14:textId="77777777" w:rsidR="001C256F" w:rsidRPr="00480790" w:rsidRDefault="001C256F">
            <w:pPr>
              <w:keepLines/>
              <w:rPr>
                <w:rFonts w:ascii="Arial Narrow" w:hAnsi="Arial Narrow"/>
                <w:b/>
                <w:bCs/>
                <w:sz w:val="20"/>
                <w:szCs w:val="20"/>
              </w:rPr>
            </w:pPr>
            <w:r w:rsidRPr="00480790">
              <w:rPr>
                <w:rFonts w:ascii="Arial Narrow" w:hAnsi="Arial Narrow"/>
                <w:b/>
                <w:bCs/>
                <w:strike/>
                <w:sz w:val="20"/>
                <w:szCs w:val="20"/>
              </w:rPr>
              <w:t>Population</w:t>
            </w:r>
            <w:r w:rsidRPr="00480790">
              <w:rPr>
                <w:rFonts w:ascii="Arial Narrow" w:hAnsi="Arial Narrow"/>
                <w:b/>
                <w:bCs/>
                <w:sz w:val="20"/>
                <w:szCs w:val="20"/>
              </w:rPr>
              <w:t xml:space="preserve"> </w:t>
            </w:r>
            <w:r w:rsidRPr="00480790">
              <w:rPr>
                <w:rFonts w:ascii="Arial Narrow" w:hAnsi="Arial Narrow"/>
                <w:b/>
                <w:bCs/>
                <w:i/>
                <w:iCs/>
                <w:sz w:val="20"/>
                <w:szCs w:val="20"/>
              </w:rPr>
              <w:t>Clinical</w:t>
            </w:r>
            <w:r w:rsidRPr="00480790">
              <w:rPr>
                <w:rFonts w:ascii="Arial Narrow" w:hAnsi="Arial Narrow"/>
                <w:b/>
                <w:bCs/>
                <w:sz w:val="20"/>
                <w:szCs w:val="20"/>
              </w:rPr>
              <w:t xml:space="preserve"> criteria:</w:t>
            </w:r>
          </w:p>
        </w:tc>
      </w:tr>
      <w:tr w:rsidR="00AB01EA" w:rsidRPr="00480790" w14:paraId="486C80D6"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216DE7D2" w14:textId="5C92D70A" w:rsidR="001C256F" w:rsidRPr="00480790" w:rsidRDefault="001C256F">
            <w:pPr>
              <w:keepLines/>
              <w:jc w:val="center"/>
              <w:rPr>
                <w:rFonts w:ascii="Arial Narrow" w:hAnsi="Arial Narrow"/>
                <w:sz w:val="20"/>
                <w:szCs w:val="20"/>
              </w:rPr>
            </w:pPr>
          </w:p>
        </w:tc>
        <w:tc>
          <w:tcPr>
            <w:tcW w:w="7745" w:type="dxa"/>
            <w:gridSpan w:val="6"/>
            <w:vAlign w:val="center"/>
          </w:tcPr>
          <w:p w14:paraId="10633171" w14:textId="77777777" w:rsidR="001C256F" w:rsidRPr="00480790" w:rsidRDefault="001C256F">
            <w:pPr>
              <w:keepLines/>
              <w:rPr>
                <w:rFonts w:ascii="Arial Narrow" w:hAnsi="Arial Narrow"/>
                <w:sz w:val="20"/>
                <w:szCs w:val="20"/>
              </w:rPr>
            </w:pPr>
            <w:r w:rsidRPr="00480790">
              <w:rPr>
                <w:rFonts w:ascii="Arial Narrow" w:hAnsi="Arial Narrow"/>
                <w:sz w:val="20"/>
                <w:szCs w:val="20"/>
              </w:rPr>
              <w:t xml:space="preserve">Patient must be </w:t>
            </w:r>
            <w:r w:rsidRPr="00480790">
              <w:rPr>
                <w:rFonts w:ascii="Arial Narrow" w:hAnsi="Arial Narrow"/>
                <w:strike/>
                <w:sz w:val="20"/>
                <w:szCs w:val="20"/>
              </w:rPr>
              <w:t>both: (i) initiating treatment, (ii)</w:t>
            </w:r>
            <w:r w:rsidRPr="00480790">
              <w:rPr>
                <w:rFonts w:ascii="Arial Narrow" w:hAnsi="Arial Narrow"/>
                <w:sz w:val="20"/>
                <w:szCs w:val="20"/>
              </w:rPr>
              <w:t xml:space="preserve"> untreated with </w:t>
            </w:r>
            <w:r w:rsidRPr="00480790">
              <w:rPr>
                <w:rFonts w:ascii="Arial Narrow" w:hAnsi="Arial Narrow"/>
                <w:i/>
                <w:iCs/>
                <w:sz w:val="20"/>
                <w:szCs w:val="20"/>
              </w:rPr>
              <w:t>an Anaplastic Lymphoma Kinase-Tyrosine Kinase Inhibitor</w:t>
            </w:r>
            <w:r w:rsidRPr="00480790">
              <w:rPr>
                <w:rFonts w:ascii="Arial Narrow" w:hAnsi="Arial Narrow"/>
                <w:sz w:val="20"/>
                <w:szCs w:val="20"/>
              </w:rPr>
              <w:t xml:space="preserve"> (ALK-TKI</w:t>
            </w:r>
            <w:r w:rsidRPr="00480790">
              <w:rPr>
                <w:rFonts w:ascii="Arial Narrow" w:hAnsi="Arial Narrow"/>
                <w:i/>
                <w:iCs/>
                <w:sz w:val="20"/>
                <w:szCs w:val="20"/>
              </w:rPr>
              <w:t>)</w:t>
            </w:r>
            <w:r w:rsidRPr="00480790">
              <w:rPr>
                <w:rFonts w:ascii="Arial Narrow" w:hAnsi="Arial Narrow"/>
                <w:sz w:val="20"/>
                <w:szCs w:val="20"/>
              </w:rPr>
              <w:t xml:space="preserve"> for non-small cell lung cancer; </w:t>
            </w:r>
            <w:r w:rsidRPr="00480790">
              <w:rPr>
                <w:rFonts w:ascii="Arial Narrow" w:hAnsi="Arial Narrow"/>
                <w:strike/>
                <w:sz w:val="20"/>
                <w:szCs w:val="20"/>
              </w:rPr>
              <w:t>OR</w:t>
            </w:r>
          </w:p>
        </w:tc>
      </w:tr>
      <w:tr w:rsidR="00AB01EA" w:rsidRPr="00480790" w14:paraId="318E4014"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059761D8" w14:textId="77777777" w:rsidR="001C256F" w:rsidRPr="00480790" w:rsidRDefault="001C256F">
            <w:pPr>
              <w:keepLines/>
              <w:jc w:val="center"/>
              <w:rPr>
                <w:rFonts w:ascii="Arial Narrow" w:hAnsi="Arial Narrow"/>
                <w:strike/>
                <w:sz w:val="20"/>
                <w:szCs w:val="20"/>
              </w:rPr>
            </w:pPr>
          </w:p>
        </w:tc>
        <w:tc>
          <w:tcPr>
            <w:tcW w:w="7745" w:type="dxa"/>
            <w:gridSpan w:val="6"/>
            <w:vAlign w:val="center"/>
          </w:tcPr>
          <w:p w14:paraId="1B91559E" w14:textId="77777777" w:rsidR="001C256F" w:rsidRPr="00480790" w:rsidRDefault="001C256F">
            <w:pPr>
              <w:keepLines/>
              <w:rPr>
                <w:rFonts w:ascii="Arial Narrow" w:hAnsi="Arial Narrow"/>
                <w:strike/>
                <w:sz w:val="20"/>
                <w:szCs w:val="20"/>
              </w:rPr>
            </w:pPr>
            <w:r w:rsidRPr="00480790">
              <w:rPr>
                <w:rFonts w:ascii="Arial Narrow" w:hAnsi="Arial Narrow"/>
                <w:strike/>
                <w:sz w:val="20"/>
                <w:szCs w:val="20"/>
              </w:rPr>
              <w:t>Patient must be continuing existing PBS-subsidised treatment with this drug; OR</w:t>
            </w:r>
          </w:p>
        </w:tc>
      </w:tr>
      <w:tr w:rsidR="00AB01EA" w:rsidRPr="00480790" w14:paraId="6DE4001B"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393D0327" w14:textId="77777777" w:rsidR="001C256F" w:rsidRPr="00480790" w:rsidRDefault="001C256F">
            <w:pPr>
              <w:keepLines/>
              <w:jc w:val="center"/>
              <w:rPr>
                <w:rFonts w:ascii="Arial Narrow" w:hAnsi="Arial Narrow"/>
                <w:strike/>
                <w:sz w:val="20"/>
                <w:szCs w:val="20"/>
              </w:rPr>
            </w:pPr>
          </w:p>
        </w:tc>
        <w:tc>
          <w:tcPr>
            <w:tcW w:w="7745" w:type="dxa"/>
            <w:gridSpan w:val="6"/>
            <w:vAlign w:val="center"/>
          </w:tcPr>
          <w:p w14:paraId="74AEB85F" w14:textId="77777777" w:rsidR="001C256F" w:rsidRPr="00480790" w:rsidRDefault="001C256F">
            <w:pPr>
              <w:keepLines/>
              <w:rPr>
                <w:rFonts w:ascii="Arial Narrow" w:hAnsi="Arial Narrow"/>
                <w:strike/>
                <w:sz w:val="20"/>
                <w:szCs w:val="20"/>
              </w:rPr>
            </w:pPr>
            <w:r w:rsidRPr="00480790">
              <w:rPr>
                <w:rFonts w:ascii="Arial Narrow" w:hAnsi="Arial Narrow"/>
                <w:strike/>
                <w:sz w:val="20"/>
                <w:szCs w:val="20"/>
              </w:rPr>
              <w:t>Patient must be both: (i) transitioning from existing non-PBS to PBS-subsidised supply of this drug, (ii) untreated with ALK-TKI at the time this drug was initiated.</w:t>
            </w:r>
          </w:p>
        </w:tc>
      </w:tr>
      <w:tr w:rsidR="00AB01EA" w:rsidRPr="00480790" w14:paraId="47AE5349"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5EE505B7"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13192BB4" w14:textId="77777777" w:rsidR="001C256F" w:rsidRPr="00480790" w:rsidRDefault="001C256F">
            <w:pPr>
              <w:keepLines/>
              <w:rPr>
                <w:rFonts w:ascii="Arial Narrow" w:hAnsi="Arial Narrow"/>
                <w:b/>
                <w:bCs/>
                <w:sz w:val="20"/>
                <w:szCs w:val="20"/>
              </w:rPr>
            </w:pPr>
            <w:r w:rsidRPr="00480790">
              <w:rPr>
                <w:rFonts w:ascii="Arial Narrow" w:hAnsi="Arial Narrow"/>
                <w:b/>
                <w:bCs/>
                <w:sz w:val="20"/>
                <w:szCs w:val="20"/>
              </w:rPr>
              <w:t>AND</w:t>
            </w:r>
          </w:p>
        </w:tc>
      </w:tr>
      <w:tr w:rsidR="00AB01EA" w:rsidRPr="00480790" w14:paraId="1E572B03"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05BDE885"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618DF75A" w14:textId="77777777" w:rsidR="001C256F" w:rsidRPr="00480790" w:rsidRDefault="001C256F">
            <w:pPr>
              <w:keepLines/>
              <w:rPr>
                <w:rFonts w:ascii="Arial Narrow" w:hAnsi="Arial Narrow"/>
                <w:b/>
                <w:bCs/>
                <w:sz w:val="20"/>
                <w:szCs w:val="20"/>
              </w:rPr>
            </w:pPr>
            <w:r w:rsidRPr="00480790">
              <w:rPr>
                <w:rFonts w:ascii="Arial Narrow" w:hAnsi="Arial Narrow"/>
                <w:b/>
                <w:bCs/>
                <w:sz w:val="20"/>
                <w:szCs w:val="20"/>
              </w:rPr>
              <w:t>Clinical criteria</w:t>
            </w:r>
          </w:p>
        </w:tc>
      </w:tr>
      <w:tr w:rsidR="00AB01EA" w:rsidRPr="00480790" w14:paraId="34D92038"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1119DA79" w14:textId="08507D2B" w:rsidR="001C256F" w:rsidRPr="00480790" w:rsidRDefault="001C256F">
            <w:pPr>
              <w:keepLines/>
              <w:jc w:val="center"/>
              <w:rPr>
                <w:rFonts w:ascii="Arial Narrow" w:hAnsi="Arial Narrow"/>
                <w:sz w:val="20"/>
                <w:szCs w:val="20"/>
              </w:rPr>
            </w:pPr>
          </w:p>
        </w:tc>
        <w:tc>
          <w:tcPr>
            <w:tcW w:w="7745" w:type="dxa"/>
            <w:gridSpan w:val="6"/>
            <w:vAlign w:val="center"/>
          </w:tcPr>
          <w:p w14:paraId="27DF1944" w14:textId="77777777" w:rsidR="001C256F" w:rsidRPr="00480790" w:rsidRDefault="001C256F">
            <w:pPr>
              <w:keepLines/>
              <w:rPr>
                <w:rFonts w:ascii="Arial Narrow" w:hAnsi="Arial Narrow"/>
                <w:sz w:val="20"/>
                <w:szCs w:val="20"/>
              </w:rPr>
            </w:pPr>
            <w:r w:rsidRPr="00480790">
              <w:rPr>
                <w:rFonts w:ascii="Arial Narrow" w:hAnsi="Arial Narrow"/>
                <w:sz w:val="20"/>
                <w:szCs w:val="20"/>
              </w:rPr>
              <w:t>The condition must be at least one of: (i) node positive, (ii) at least 4 cm in size,</w:t>
            </w:r>
          </w:p>
        </w:tc>
      </w:tr>
      <w:tr w:rsidR="00AB01EA" w:rsidRPr="00480790" w14:paraId="204F4324"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08B5C802"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40C6A907" w14:textId="77777777" w:rsidR="001C256F" w:rsidRPr="00480790" w:rsidRDefault="001C256F">
            <w:pPr>
              <w:keepLines/>
              <w:rPr>
                <w:rFonts w:ascii="Arial Narrow" w:hAnsi="Arial Narrow"/>
                <w:sz w:val="20"/>
                <w:szCs w:val="20"/>
              </w:rPr>
            </w:pPr>
            <w:r w:rsidRPr="00480790">
              <w:rPr>
                <w:rFonts w:ascii="Arial Narrow" w:hAnsi="Arial Narrow"/>
                <w:b/>
                <w:bCs/>
                <w:sz w:val="20"/>
                <w:szCs w:val="20"/>
              </w:rPr>
              <w:t>AND</w:t>
            </w:r>
          </w:p>
        </w:tc>
      </w:tr>
      <w:tr w:rsidR="00AB01EA" w:rsidRPr="00480790" w14:paraId="3999CE36"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1BCF8E80"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049A96DA" w14:textId="77777777" w:rsidR="001C256F" w:rsidRPr="00480790" w:rsidRDefault="001C256F">
            <w:pPr>
              <w:keepLines/>
              <w:rPr>
                <w:rFonts w:ascii="Arial Narrow" w:hAnsi="Arial Narrow"/>
                <w:sz w:val="20"/>
                <w:szCs w:val="20"/>
              </w:rPr>
            </w:pPr>
            <w:r w:rsidRPr="00480790">
              <w:rPr>
                <w:rFonts w:ascii="Arial Narrow" w:hAnsi="Arial Narrow"/>
                <w:b/>
                <w:bCs/>
                <w:sz w:val="20"/>
                <w:szCs w:val="20"/>
              </w:rPr>
              <w:t>Clinical criteria</w:t>
            </w:r>
          </w:p>
        </w:tc>
      </w:tr>
      <w:tr w:rsidR="00AB01EA" w:rsidRPr="00480790" w14:paraId="1FD073D4"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5C88BD1D" w14:textId="12DE88A1" w:rsidR="001C256F" w:rsidRPr="00480790" w:rsidRDefault="001C256F">
            <w:pPr>
              <w:keepLines/>
              <w:jc w:val="center"/>
              <w:rPr>
                <w:rFonts w:ascii="Arial Narrow" w:hAnsi="Arial Narrow"/>
                <w:sz w:val="20"/>
                <w:szCs w:val="20"/>
              </w:rPr>
            </w:pPr>
          </w:p>
        </w:tc>
        <w:tc>
          <w:tcPr>
            <w:tcW w:w="7745" w:type="dxa"/>
            <w:gridSpan w:val="6"/>
            <w:vAlign w:val="center"/>
          </w:tcPr>
          <w:p w14:paraId="04CBF707" w14:textId="77777777" w:rsidR="001C256F" w:rsidRPr="00480790" w:rsidRDefault="001C256F">
            <w:pPr>
              <w:keepLines/>
              <w:rPr>
                <w:rFonts w:ascii="Arial Narrow" w:hAnsi="Arial Narrow"/>
                <w:sz w:val="20"/>
                <w:szCs w:val="20"/>
              </w:rPr>
            </w:pPr>
            <w:r w:rsidRPr="00480790">
              <w:rPr>
                <w:rFonts w:ascii="Arial Narrow" w:hAnsi="Arial Narrow"/>
                <w:sz w:val="20"/>
                <w:szCs w:val="20"/>
              </w:rPr>
              <w:t xml:space="preserve">The treatment must be for the purpose of adjuvant therapy following surgical resection, </w:t>
            </w:r>
          </w:p>
        </w:tc>
      </w:tr>
      <w:tr w:rsidR="00AB01EA" w:rsidRPr="00480790" w14:paraId="39DC773C"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1AF84CE8"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42AB1F4C" w14:textId="77777777" w:rsidR="001C256F" w:rsidRPr="00480790" w:rsidRDefault="001C256F">
            <w:pPr>
              <w:keepLines/>
              <w:rPr>
                <w:rFonts w:ascii="Arial Narrow" w:hAnsi="Arial Narrow"/>
                <w:sz w:val="20"/>
                <w:szCs w:val="20"/>
              </w:rPr>
            </w:pPr>
            <w:r w:rsidRPr="00480790">
              <w:rPr>
                <w:rFonts w:ascii="Arial Narrow" w:hAnsi="Arial Narrow"/>
                <w:b/>
                <w:bCs/>
                <w:sz w:val="20"/>
                <w:szCs w:val="20"/>
              </w:rPr>
              <w:t>AND</w:t>
            </w:r>
          </w:p>
        </w:tc>
      </w:tr>
      <w:tr w:rsidR="00AB01EA" w:rsidRPr="00480790" w14:paraId="68F40CE7"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59D6FD5B"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27C26D9E" w14:textId="77777777" w:rsidR="001C256F" w:rsidRPr="00480790" w:rsidRDefault="001C256F">
            <w:pPr>
              <w:keepLines/>
              <w:rPr>
                <w:rFonts w:ascii="Arial Narrow" w:hAnsi="Arial Narrow"/>
                <w:sz w:val="20"/>
                <w:szCs w:val="20"/>
              </w:rPr>
            </w:pPr>
            <w:r w:rsidRPr="00480790">
              <w:rPr>
                <w:rFonts w:ascii="Arial Narrow" w:hAnsi="Arial Narrow"/>
                <w:b/>
                <w:bCs/>
                <w:sz w:val="20"/>
                <w:szCs w:val="20"/>
              </w:rPr>
              <w:t>Clinical criteria</w:t>
            </w:r>
          </w:p>
        </w:tc>
      </w:tr>
      <w:tr w:rsidR="00AB01EA" w:rsidRPr="00480790" w14:paraId="377FB08E"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759FF732" w14:textId="7E2C5031" w:rsidR="001C256F" w:rsidRPr="00480790" w:rsidRDefault="001C256F">
            <w:pPr>
              <w:keepLines/>
              <w:jc w:val="center"/>
              <w:rPr>
                <w:rFonts w:ascii="Arial Narrow" w:hAnsi="Arial Narrow"/>
                <w:sz w:val="20"/>
                <w:szCs w:val="20"/>
              </w:rPr>
            </w:pPr>
          </w:p>
        </w:tc>
        <w:tc>
          <w:tcPr>
            <w:tcW w:w="7745" w:type="dxa"/>
            <w:gridSpan w:val="6"/>
            <w:vAlign w:val="center"/>
          </w:tcPr>
          <w:p w14:paraId="14DB2DFB" w14:textId="77777777" w:rsidR="001C256F" w:rsidRPr="00480790" w:rsidRDefault="001C256F">
            <w:pPr>
              <w:keepLines/>
              <w:rPr>
                <w:rFonts w:ascii="Arial Narrow" w:hAnsi="Arial Narrow"/>
                <w:sz w:val="20"/>
                <w:szCs w:val="20"/>
              </w:rPr>
            </w:pPr>
            <w:r w:rsidRPr="00480790">
              <w:rPr>
                <w:rFonts w:ascii="Arial Narrow" w:hAnsi="Arial Narrow"/>
                <w:sz w:val="20"/>
                <w:szCs w:val="20"/>
              </w:rPr>
              <w:t xml:space="preserve">Patient must have evidence of an anaplastic lymphoma kinase (ALK) gene rearrangement in tumour material, defined as either: (i) 15% (or greater) positive cells by fluorescence in situ hybridisation (FISH) testing, (ii) positive next generation sequencing (NGS) testing, </w:t>
            </w:r>
          </w:p>
        </w:tc>
      </w:tr>
      <w:tr w:rsidR="00AB01EA" w:rsidRPr="00480790" w14:paraId="19EF668F"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38A4FE2B"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2CB79582" w14:textId="77777777" w:rsidR="001C256F" w:rsidRPr="00480790" w:rsidRDefault="001C256F">
            <w:pPr>
              <w:keepLines/>
              <w:rPr>
                <w:rFonts w:ascii="Arial Narrow" w:hAnsi="Arial Narrow"/>
                <w:sz w:val="20"/>
                <w:szCs w:val="20"/>
              </w:rPr>
            </w:pPr>
            <w:r w:rsidRPr="00480790">
              <w:rPr>
                <w:rFonts w:ascii="Arial Narrow" w:hAnsi="Arial Narrow"/>
                <w:b/>
                <w:bCs/>
                <w:sz w:val="20"/>
                <w:szCs w:val="20"/>
              </w:rPr>
              <w:t>AND</w:t>
            </w:r>
          </w:p>
        </w:tc>
      </w:tr>
      <w:tr w:rsidR="00AB01EA" w:rsidRPr="00480790" w14:paraId="5D65F7F5"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103E369F"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3DC22DDB" w14:textId="77777777" w:rsidR="001C256F" w:rsidRPr="00480790" w:rsidRDefault="001C256F">
            <w:pPr>
              <w:keepLines/>
              <w:rPr>
                <w:rFonts w:ascii="Arial Narrow" w:hAnsi="Arial Narrow"/>
                <w:sz w:val="20"/>
                <w:szCs w:val="20"/>
              </w:rPr>
            </w:pPr>
            <w:r w:rsidRPr="00480790">
              <w:rPr>
                <w:rFonts w:ascii="Arial Narrow" w:hAnsi="Arial Narrow"/>
                <w:b/>
                <w:bCs/>
                <w:sz w:val="20"/>
                <w:szCs w:val="20"/>
              </w:rPr>
              <w:t>Clinical criteria</w:t>
            </w:r>
          </w:p>
        </w:tc>
      </w:tr>
      <w:tr w:rsidR="00AB01EA" w:rsidRPr="00480790" w14:paraId="2130FFEF"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2BE66432" w14:textId="050D617D" w:rsidR="001C256F" w:rsidRPr="00480790" w:rsidRDefault="001C256F">
            <w:pPr>
              <w:keepLines/>
              <w:jc w:val="center"/>
              <w:rPr>
                <w:rFonts w:ascii="Arial Narrow" w:hAnsi="Arial Narrow"/>
                <w:sz w:val="20"/>
                <w:szCs w:val="20"/>
              </w:rPr>
            </w:pPr>
          </w:p>
        </w:tc>
        <w:tc>
          <w:tcPr>
            <w:tcW w:w="7745" w:type="dxa"/>
            <w:gridSpan w:val="6"/>
            <w:vAlign w:val="center"/>
          </w:tcPr>
          <w:p w14:paraId="409EA51C" w14:textId="77777777" w:rsidR="001C256F" w:rsidRPr="00480790" w:rsidRDefault="001C256F">
            <w:pPr>
              <w:keepLines/>
              <w:rPr>
                <w:rFonts w:ascii="Arial Narrow" w:hAnsi="Arial Narrow"/>
                <w:sz w:val="20"/>
                <w:szCs w:val="20"/>
              </w:rPr>
            </w:pPr>
            <w:r w:rsidRPr="00480790">
              <w:rPr>
                <w:rFonts w:ascii="Arial Narrow" w:hAnsi="Arial Narrow"/>
                <w:sz w:val="20"/>
                <w:szCs w:val="20"/>
              </w:rPr>
              <w:t>Patient must have</w:t>
            </w:r>
            <w:r w:rsidRPr="00480790">
              <w:rPr>
                <w:rFonts w:ascii="Arial Narrow" w:hAnsi="Arial Narrow"/>
                <w:strike/>
                <w:sz w:val="20"/>
                <w:szCs w:val="20"/>
              </w:rPr>
              <w:t>/have had</w:t>
            </w:r>
            <w:r w:rsidRPr="00480790">
              <w:rPr>
                <w:rFonts w:ascii="Arial Narrow" w:hAnsi="Arial Narrow"/>
                <w:sz w:val="20"/>
                <w:szCs w:val="20"/>
              </w:rPr>
              <w:t xml:space="preserve"> a WHO performance status of no greater than 1 </w:t>
            </w:r>
            <w:r w:rsidRPr="00480790">
              <w:rPr>
                <w:rFonts w:ascii="Arial Narrow" w:hAnsi="Arial Narrow"/>
                <w:strike/>
                <w:sz w:val="20"/>
                <w:szCs w:val="20"/>
              </w:rPr>
              <w:t>at treatment initiation with this drug,</w:t>
            </w:r>
            <w:r w:rsidRPr="00480790">
              <w:rPr>
                <w:rFonts w:ascii="Arial Narrow" w:hAnsi="Arial Narrow"/>
                <w:sz w:val="20"/>
                <w:szCs w:val="20"/>
              </w:rPr>
              <w:t xml:space="preserve"> </w:t>
            </w:r>
          </w:p>
        </w:tc>
      </w:tr>
      <w:tr w:rsidR="00AB01EA" w:rsidRPr="00480790" w14:paraId="6FE5BC90"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6FD748B7" w14:textId="77777777" w:rsidR="001C256F" w:rsidRPr="00480790" w:rsidRDefault="001C256F">
            <w:pPr>
              <w:keepLines/>
              <w:jc w:val="center"/>
              <w:rPr>
                <w:rFonts w:ascii="Arial Narrow" w:hAnsi="Arial Narrow"/>
                <w:strike/>
                <w:sz w:val="20"/>
                <w:szCs w:val="20"/>
              </w:rPr>
            </w:pPr>
          </w:p>
        </w:tc>
        <w:tc>
          <w:tcPr>
            <w:tcW w:w="7745" w:type="dxa"/>
            <w:gridSpan w:val="6"/>
            <w:vAlign w:val="center"/>
          </w:tcPr>
          <w:p w14:paraId="310D8CF7" w14:textId="77777777" w:rsidR="001C256F" w:rsidRPr="00480790" w:rsidRDefault="001C256F">
            <w:pPr>
              <w:keepLines/>
              <w:rPr>
                <w:rFonts w:ascii="Arial Narrow" w:hAnsi="Arial Narrow"/>
                <w:strike/>
                <w:sz w:val="20"/>
                <w:szCs w:val="20"/>
              </w:rPr>
            </w:pPr>
            <w:r w:rsidRPr="00480790">
              <w:rPr>
                <w:rFonts w:ascii="Arial Narrow" w:hAnsi="Arial Narrow"/>
                <w:b/>
                <w:bCs/>
                <w:strike/>
                <w:sz w:val="20"/>
                <w:szCs w:val="20"/>
              </w:rPr>
              <w:t>AND</w:t>
            </w:r>
          </w:p>
        </w:tc>
      </w:tr>
      <w:tr w:rsidR="00AB01EA" w:rsidRPr="00480790" w14:paraId="4DEC334E"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5B7FE289" w14:textId="77777777" w:rsidR="001C256F" w:rsidRPr="00480790" w:rsidRDefault="001C256F">
            <w:pPr>
              <w:keepLines/>
              <w:jc w:val="center"/>
              <w:rPr>
                <w:rFonts w:ascii="Arial Narrow" w:hAnsi="Arial Narrow"/>
                <w:strike/>
                <w:sz w:val="20"/>
                <w:szCs w:val="20"/>
              </w:rPr>
            </w:pPr>
          </w:p>
        </w:tc>
        <w:tc>
          <w:tcPr>
            <w:tcW w:w="7745" w:type="dxa"/>
            <w:gridSpan w:val="6"/>
            <w:vAlign w:val="center"/>
          </w:tcPr>
          <w:p w14:paraId="54229648" w14:textId="77777777" w:rsidR="001C256F" w:rsidRPr="00480790" w:rsidRDefault="001C256F">
            <w:pPr>
              <w:keepLines/>
              <w:rPr>
                <w:rFonts w:ascii="Arial Narrow" w:hAnsi="Arial Narrow"/>
                <w:strike/>
                <w:sz w:val="20"/>
                <w:szCs w:val="20"/>
              </w:rPr>
            </w:pPr>
            <w:r w:rsidRPr="00480790">
              <w:rPr>
                <w:rFonts w:ascii="Arial Narrow" w:hAnsi="Arial Narrow"/>
                <w:b/>
                <w:bCs/>
                <w:strike/>
                <w:sz w:val="20"/>
                <w:szCs w:val="20"/>
              </w:rPr>
              <w:t>Clinical criteria</w:t>
            </w:r>
          </w:p>
        </w:tc>
      </w:tr>
      <w:tr w:rsidR="00AB01EA" w:rsidRPr="00480790" w14:paraId="49627C6B"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7979076E" w14:textId="77777777" w:rsidR="001C256F" w:rsidRPr="00480790" w:rsidRDefault="001C256F">
            <w:pPr>
              <w:keepLines/>
              <w:jc w:val="center"/>
              <w:rPr>
                <w:rFonts w:ascii="Arial Narrow" w:hAnsi="Arial Narrow"/>
                <w:strike/>
                <w:sz w:val="20"/>
                <w:szCs w:val="20"/>
              </w:rPr>
            </w:pPr>
          </w:p>
        </w:tc>
        <w:tc>
          <w:tcPr>
            <w:tcW w:w="7745" w:type="dxa"/>
            <w:gridSpan w:val="6"/>
            <w:vAlign w:val="center"/>
          </w:tcPr>
          <w:p w14:paraId="331F0DD5" w14:textId="77777777" w:rsidR="001C256F" w:rsidRPr="00480790" w:rsidRDefault="001C256F">
            <w:pPr>
              <w:keepLines/>
              <w:rPr>
                <w:rFonts w:ascii="Arial Narrow" w:hAnsi="Arial Narrow"/>
                <w:strike/>
                <w:sz w:val="20"/>
                <w:szCs w:val="20"/>
              </w:rPr>
            </w:pPr>
            <w:r w:rsidRPr="00480790">
              <w:rPr>
                <w:rFonts w:ascii="Arial Narrow" w:hAnsi="Arial Narrow"/>
                <w:strike/>
                <w:sz w:val="20"/>
                <w:szCs w:val="20"/>
              </w:rPr>
              <w:t>The treatment must be as monotherapy</w:t>
            </w:r>
          </w:p>
        </w:tc>
      </w:tr>
      <w:tr w:rsidR="00AB01EA" w:rsidRPr="00480790" w14:paraId="10B5EDD5"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624BFF1E"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18871178" w14:textId="77777777" w:rsidR="001C256F" w:rsidRPr="00480790" w:rsidRDefault="001C256F">
            <w:pPr>
              <w:keepLines/>
              <w:rPr>
                <w:rFonts w:ascii="Arial Narrow" w:hAnsi="Arial Narrow"/>
                <w:sz w:val="20"/>
                <w:szCs w:val="20"/>
              </w:rPr>
            </w:pPr>
            <w:r w:rsidRPr="00480790">
              <w:rPr>
                <w:rFonts w:ascii="Arial Narrow" w:hAnsi="Arial Narrow"/>
                <w:b/>
                <w:bCs/>
                <w:sz w:val="20"/>
                <w:szCs w:val="20"/>
              </w:rPr>
              <w:t>AND</w:t>
            </w:r>
          </w:p>
        </w:tc>
      </w:tr>
      <w:tr w:rsidR="00AB01EA" w:rsidRPr="00480790" w14:paraId="0624D803"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2E71B190"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5AB5A918" w14:textId="77777777" w:rsidR="001C256F" w:rsidRPr="00480790" w:rsidRDefault="001C256F">
            <w:pPr>
              <w:keepLines/>
              <w:rPr>
                <w:rFonts w:ascii="Arial Narrow" w:hAnsi="Arial Narrow"/>
                <w:sz w:val="20"/>
                <w:szCs w:val="20"/>
              </w:rPr>
            </w:pPr>
            <w:r w:rsidRPr="00480790">
              <w:rPr>
                <w:rFonts w:ascii="Arial Narrow" w:hAnsi="Arial Narrow"/>
                <w:b/>
                <w:bCs/>
                <w:sz w:val="20"/>
                <w:szCs w:val="20"/>
              </w:rPr>
              <w:t>Clinical criteria</w:t>
            </w:r>
          </w:p>
        </w:tc>
      </w:tr>
      <w:tr w:rsidR="00AB01EA" w:rsidRPr="00480790" w14:paraId="2FF40A9C"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4E7F99D8" w14:textId="6D61AB49" w:rsidR="001C256F" w:rsidRPr="00480790" w:rsidRDefault="001C256F">
            <w:pPr>
              <w:keepLines/>
              <w:jc w:val="center"/>
              <w:rPr>
                <w:rFonts w:ascii="Arial Narrow" w:hAnsi="Arial Narrow"/>
                <w:sz w:val="20"/>
                <w:szCs w:val="20"/>
              </w:rPr>
            </w:pPr>
          </w:p>
        </w:tc>
        <w:tc>
          <w:tcPr>
            <w:tcW w:w="7745" w:type="dxa"/>
            <w:gridSpan w:val="6"/>
            <w:vAlign w:val="center"/>
          </w:tcPr>
          <w:p w14:paraId="103DDA80" w14:textId="77777777" w:rsidR="001C256F" w:rsidRPr="00480790" w:rsidRDefault="001C256F">
            <w:pPr>
              <w:keepLines/>
              <w:rPr>
                <w:rFonts w:ascii="Arial Narrow" w:hAnsi="Arial Narrow"/>
                <w:sz w:val="20"/>
                <w:szCs w:val="20"/>
              </w:rPr>
            </w:pPr>
            <w:r w:rsidRPr="00480790">
              <w:rPr>
                <w:rFonts w:ascii="Arial Narrow" w:hAnsi="Arial Narrow"/>
                <w:sz w:val="20"/>
                <w:szCs w:val="20"/>
              </w:rPr>
              <w:t>The treatment must be the sole PBS-subsidised systemic anti-cancer therapy for this condition</w:t>
            </w:r>
          </w:p>
        </w:tc>
      </w:tr>
      <w:tr w:rsidR="00AB01EA" w:rsidRPr="00480790" w14:paraId="0857C624"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4047DFA8" w14:textId="77777777" w:rsidR="001C256F" w:rsidRPr="00480790" w:rsidRDefault="001C256F">
            <w:pPr>
              <w:keepLines/>
              <w:jc w:val="center"/>
              <w:rPr>
                <w:rFonts w:ascii="Arial Narrow" w:hAnsi="Arial Narrow"/>
                <w:strike/>
                <w:sz w:val="20"/>
                <w:szCs w:val="20"/>
              </w:rPr>
            </w:pPr>
          </w:p>
        </w:tc>
        <w:tc>
          <w:tcPr>
            <w:tcW w:w="7745" w:type="dxa"/>
            <w:gridSpan w:val="6"/>
            <w:vAlign w:val="center"/>
          </w:tcPr>
          <w:p w14:paraId="205C19D5" w14:textId="77777777" w:rsidR="001C256F" w:rsidRPr="00480790" w:rsidRDefault="001C256F">
            <w:pPr>
              <w:keepLines/>
              <w:rPr>
                <w:rFonts w:ascii="Arial Narrow" w:hAnsi="Arial Narrow"/>
                <w:strike/>
                <w:sz w:val="20"/>
                <w:szCs w:val="20"/>
              </w:rPr>
            </w:pPr>
            <w:r w:rsidRPr="00480790">
              <w:rPr>
                <w:rFonts w:ascii="Arial Narrow" w:hAnsi="Arial Narrow"/>
                <w:b/>
                <w:bCs/>
                <w:strike/>
                <w:sz w:val="20"/>
                <w:szCs w:val="20"/>
              </w:rPr>
              <w:t>AND</w:t>
            </w:r>
          </w:p>
        </w:tc>
      </w:tr>
      <w:tr w:rsidR="00AB01EA" w:rsidRPr="00480790" w14:paraId="2AA4485B"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2A590AAD" w14:textId="77777777" w:rsidR="001C256F" w:rsidRPr="00480790" w:rsidRDefault="001C256F">
            <w:pPr>
              <w:keepLines/>
              <w:jc w:val="center"/>
              <w:rPr>
                <w:rFonts w:ascii="Arial Narrow" w:hAnsi="Arial Narrow"/>
                <w:strike/>
                <w:sz w:val="20"/>
                <w:szCs w:val="20"/>
              </w:rPr>
            </w:pPr>
          </w:p>
        </w:tc>
        <w:tc>
          <w:tcPr>
            <w:tcW w:w="7745" w:type="dxa"/>
            <w:gridSpan w:val="6"/>
            <w:vAlign w:val="center"/>
          </w:tcPr>
          <w:p w14:paraId="34FB6025" w14:textId="77777777" w:rsidR="001C256F" w:rsidRPr="00480790" w:rsidRDefault="001C256F">
            <w:pPr>
              <w:keepLines/>
              <w:rPr>
                <w:rFonts w:ascii="Arial Narrow" w:hAnsi="Arial Narrow"/>
                <w:b/>
                <w:bCs/>
                <w:strike/>
                <w:sz w:val="20"/>
                <w:szCs w:val="20"/>
              </w:rPr>
            </w:pPr>
            <w:r w:rsidRPr="00480790">
              <w:rPr>
                <w:rFonts w:ascii="Arial Narrow" w:hAnsi="Arial Narrow"/>
                <w:b/>
                <w:bCs/>
                <w:strike/>
                <w:sz w:val="20"/>
                <w:szCs w:val="20"/>
              </w:rPr>
              <w:t>Treatment criteria:</w:t>
            </w:r>
          </w:p>
        </w:tc>
      </w:tr>
      <w:tr w:rsidR="00AB01EA" w:rsidRPr="00480790" w14:paraId="2519145A"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7B788786" w14:textId="77777777" w:rsidR="001C256F" w:rsidRPr="00480790" w:rsidRDefault="001C256F">
            <w:pPr>
              <w:keepLines/>
              <w:jc w:val="center"/>
              <w:rPr>
                <w:rFonts w:ascii="Arial Narrow" w:hAnsi="Arial Narrow"/>
                <w:strike/>
                <w:sz w:val="20"/>
                <w:szCs w:val="20"/>
              </w:rPr>
            </w:pPr>
          </w:p>
        </w:tc>
        <w:tc>
          <w:tcPr>
            <w:tcW w:w="7745" w:type="dxa"/>
            <w:gridSpan w:val="6"/>
            <w:vAlign w:val="center"/>
          </w:tcPr>
          <w:p w14:paraId="59F40FEC" w14:textId="77777777" w:rsidR="001C256F" w:rsidRPr="00480790" w:rsidRDefault="001C256F">
            <w:pPr>
              <w:keepLines/>
              <w:rPr>
                <w:rFonts w:ascii="Arial Narrow" w:hAnsi="Arial Narrow"/>
                <w:strike/>
                <w:sz w:val="20"/>
                <w:szCs w:val="20"/>
              </w:rPr>
            </w:pPr>
            <w:r w:rsidRPr="00480790">
              <w:rPr>
                <w:rFonts w:ascii="Arial Narrow" w:hAnsi="Arial Narrow"/>
                <w:strike/>
                <w:sz w:val="20"/>
                <w:szCs w:val="20"/>
              </w:rPr>
              <w:t xml:space="preserve">Patient must be undergoing treatment that does not occur beyond the following, whichever comes first: (i) the first instance of disease progression/recurrence, </w:t>
            </w:r>
          </w:p>
          <w:p w14:paraId="0313AE79" w14:textId="77777777" w:rsidR="001C256F" w:rsidRPr="00480790" w:rsidRDefault="001C256F">
            <w:pPr>
              <w:keepLines/>
              <w:rPr>
                <w:rFonts w:ascii="Arial Narrow" w:hAnsi="Arial Narrow"/>
                <w:strike/>
                <w:sz w:val="20"/>
                <w:szCs w:val="20"/>
              </w:rPr>
            </w:pPr>
            <w:r w:rsidRPr="00480790">
              <w:rPr>
                <w:rFonts w:ascii="Arial Narrow" w:hAnsi="Arial Narrow"/>
                <w:strike/>
                <w:sz w:val="20"/>
                <w:szCs w:val="20"/>
              </w:rPr>
              <w:t>(ii) 24 months in total for this condition from the first administered dose; mark any remaining repeat prescriptions with the words 'cancelled' where (i)/(ii) has occurred.</w:t>
            </w:r>
          </w:p>
        </w:tc>
      </w:tr>
      <w:tr w:rsidR="00AB01EA" w:rsidRPr="00480790" w14:paraId="5DF566A9"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4E2E839C" w14:textId="56F4F62C" w:rsidR="001C256F" w:rsidRPr="00480790" w:rsidRDefault="001C256F">
            <w:pPr>
              <w:keepLines/>
              <w:jc w:val="center"/>
              <w:rPr>
                <w:rFonts w:ascii="Arial Narrow" w:hAnsi="Arial Narrow"/>
                <w:i/>
                <w:iCs/>
                <w:sz w:val="20"/>
                <w:szCs w:val="20"/>
              </w:rPr>
            </w:pPr>
          </w:p>
        </w:tc>
        <w:tc>
          <w:tcPr>
            <w:tcW w:w="7745" w:type="dxa"/>
            <w:gridSpan w:val="6"/>
            <w:vAlign w:val="center"/>
          </w:tcPr>
          <w:p w14:paraId="697BCA04" w14:textId="77777777" w:rsidR="001C256F" w:rsidRPr="00480790" w:rsidRDefault="001C256F">
            <w:pPr>
              <w:keepLines/>
              <w:rPr>
                <w:rFonts w:ascii="Arial Narrow" w:hAnsi="Arial Narrow"/>
                <w:b/>
                <w:bCs/>
                <w:i/>
                <w:iCs/>
                <w:sz w:val="20"/>
                <w:szCs w:val="20"/>
              </w:rPr>
            </w:pPr>
            <w:r w:rsidRPr="00480790">
              <w:rPr>
                <w:rFonts w:ascii="Arial Narrow" w:hAnsi="Arial Narrow"/>
                <w:b/>
                <w:bCs/>
                <w:i/>
                <w:iCs/>
                <w:sz w:val="20"/>
                <w:szCs w:val="20"/>
              </w:rPr>
              <w:t>Prescribing Instructions:</w:t>
            </w:r>
          </w:p>
          <w:p w14:paraId="4D01ED32" w14:textId="77777777" w:rsidR="001C256F" w:rsidRPr="00480790" w:rsidRDefault="001C256F">
            <w:pPr>
              <w:keepLines/>
              <w:rPr>
                <w:rFonts w:ascii="Arial Narrow" w:hAnsi="Arial Narrow"/>
                <w:i/>
                <w:iCs/>
                <w:sz w:val="20"/>
                <w:szCs w:val="20"/>
              </w:rPr>
            </w:pPr>
            <w:r w:rsidRPr="00480790">
              <w:rPr>
                <w:rFonts w:ascii="Arial Narrow" w:hAnsi="Arial Narrow"/>
                <w:i/>
                <w:iCs/>
                <w:sz w:val="20"/>
                <w:szCs w:val="20"/>
              </w:rPr>
              <w:t>PBS-subsidised treatment with this drug is restricted to one line of therapy at any disease staging for NSCLC (i.e. if therapy has been prescribed for early disease, subsidy under locally advanced or metastatic disease is no longer available).</w:t>
            </w:r>
          </w:p>
        </w:tc>
      </w:tr>
      <w:tr w:rsidR="00AB01EA" w:rsidRPr="00480790" w14:paraId="3C18DE98"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2A7056E2" w14:textId="0E94CA22" w:rsidR="001C256F" w:rsidRPr="00480790" w:rsidRDefault="001C256F">
            <w:pPr>
              <w:keepLines/>
              <w:jc w:val="center"/>
              <w:rPr>
                <w:rFonts w:ascii="Arial Narrow" w:hAnsi="Arial Narrow"/>
                <w:strike/>
                <w:sz w:val="20"/>
                <w:szCs w:val="20"/>
              </w:rPr>
            </w:pPr>
          </w:p>
        </w:tc>
        <w:tc>
          <w:tcPr>
            <w:tcW w:w="7745" w:type="dxa"/>
            <w:gridSpan w:val="6"/>
            <w:vAlign w:val="center"/>
          </w:tcPr>
          <w:p w14:paraId="32C1EEC0" w14:textId="77777777" w:rsidR="001C256F" w:rsidRPr="00480790" w:rsidRDefault="001C256F">
            <w:pPr>
              <w:keepLines/>
              <w:rPr>
                <w:rFonts w:ascii="Arial Narrow" w:hAnsi="Arial Narrow"/>
                <w:b/>
                <w:bCs/>
                <w:strike/>
                <w:sz w:val="20"/>
                <w:szCs w:val="20"/>
              </w:rPr>
            </w:pPr>
            <w:r w:rsidRPr="00480790">
              <w:rPr>
                <w:rFonts w:ascii="Arial Narrow" w:hAnsi="Arial Narrow"/>
                <w:b/>
                <w:bCs/>
                <w:strike/>
                <w:sz w:val="20"/>
                <w:szCs w:val="20"/>
              </w:rPr>
              <w:t>Administration advice:</w:t>
            </w:r>
          </w:p>
          <w:p w14:paraId="54F0FCA3" w14:textId="77777777" w:rsidR="001C256F" w:rsidRPr="00480790" w:rsidRDefault="001C256F">
            <w:pPr>
              <w:keepLines/>
              <w:rPr>
                <w:rFonts w:ascii="Arial Narrow" w:hAnsi="Arial Narrow"/>
                <w:strike/>
                <w:sz w:val="20"/>
                <w:szCs w:val="20"/>
              </w:rPr>
            </w:pPr>
            <w:r w:rsidRPr="00480790">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AB01EA" w:rsidRPr="00480790" w14:paraId="7FFE8A19"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21203DD8"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6CF14C07" w14:textId="77777777" w:rsidR="001C256F" w:rsidRPr="00480790" w:rsidRDefault="001C256F">
            <w:pPr>
              <w:keepLines/>
              <w:rPr>
                <w:rFonts w:ascii="Arial Narrow" w:hAnsi="Arial Narrow"/>
                <w:b/>
                <w:bCs/>
                <w:sz w:val="20"/>
                <w:szCs w:val="20"/>
              </w:rPr>
            </w:pPr>
          </w:p>
        </w:tc>
      </w:tr>
      <w:tr w:rsidR="00AB01EA" w:rsidRPr="00480790" w14:paraId="4A63A060"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9015" w:type="dxa"/>
            <w:gridSpan w:val="8"/>
            <w:vAlign w:val="center"/>
          </w:tcPr>
          <w:p w14:paraId="6304CE1A" w14:textId="16A010DB" w:rsidR="001C256F" w:rsidRPr="00480790" w:rsidRDefault="001C256F">
            <w:pPr>
              <w:keepLines/>
              <w:rPr>
                <w:rFonts w:ascii="Arial Narrow" w:hAnsi="Arial Narrow"/>
                <w:b/>
                <w:bCs/>
                <w:sz w:val="20"/>
                <w:szCs w:val="20"/>
              </w:rPr>
            </w:pPr>
            <w:r w:rsidRPr="00480790">
              <w:rPr>
                <w:rFonts w:ascii="Arial Narrow" w:hAnsi="Arial Narrow"/>
                <w:b/>
                <w:sz w:val="20"/>
                <w:szCs w:val="20"/>
              </w:rPr>
              <w:t xml:space="preserve">Restriction Summary / Treatment of Concept: </w:t>
            </w:r>
          </w:p>
        </w:tc>
      </w:tr>
      <w:tr w:rsidR="00AB01EA" w:rsidRPr="00480790" w14:paraId="76098C1B"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6B0C500D" w14:textId="15B35364" w:rsidR="001C256F" w:rsidRPr="00480790" w:rsidRDefault="001C256F">
            <w:pPr>
              <w:keepLines/>
              <w:jc w:val="center"/>
              <w:rPr>
                <w:rFonts w:ascii="Arial Narrow" w:hAnsi="Arial Narrow"/>
                <w:i/>
                <w:iCs/>
                <w:sz w:val="20"/>
                <w:szCs w:val="20"/>
              </w:rPr>
            </w:pPr>
          </w:p>
        </w:tc>
        <w:tc>
          <w:tcPr>
            <w:tcW w:w="7745" w:type="dxa"/>
            <w:gridSpan w:val="6"/>
            <w:vAlign w:val="center"/>
          </w:tcPr>
          <w:p w14:paraId="5267E002" w14:textId="77777777" w:rsidR="001C256F" w:rsidRPr="00480790" w:rsidRDefault="001C256F">
            <w:pPr>
              <w:keepLines/>
              <w:rPr>
                <w:rFonts w:ascii="Arial Narrow" w:hAnsi="Arial Narrow"/>
                <w:b/>
                <w:bCs/>
                <w:i/>
                <w:iCs/>
                <w:sz w:val="20"/>
                <w:szCs w:val="20"/>
              </w:rPr>
            </w:pPr>
            <w:r w:rsidRPr="00480790">
              <w:rPr>
                <w:rFonts w:ascii="Arial Narrow" w:hAnsi="Arial Narrow"/>
                <w:b/>
                <w:bCs/>
                <w:sz w:val="20"/>
                <w:szCs w:val="20"/>
              </w:rPr>
              <w:t>Indication:</w:t>
            </w:r>
            <w:r w:rsidRPr="00480790">
              <w:rPr>
                <w:rFonts w:ascii="Arial Narrow" w:hAnsi="Arial Narrow"/>
                <w:sz w:val="20"/>
                <w:szCs w:val="20"/>
              </w:rPr>
              <w:t xml:space="preserve"> Resected non-small cell lung cancer (NSCLC)</w:t>
            </w:r>
          </w:p>
        </w:tc>
      </w:tr>
      <w:tr w:rsidR="00AB01EA" w:rsidRPr="00480790" w14:paraId="3F105370"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6750F0C7"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2731DDA2" w14:textId="77777777" w:rsidR="001C256F" w:rsidRPr="00480790" w:rsidRDefault="001C256F">
            <w:pPr>
              <w:keepLines/>
              <w:rPr>
                <w:rFonts w:ascii="Arial Narrow" w:hAnsi="Arial Narrow"/>
                <w:b/>
                <w:bCs/>
                <w:i/>
                <w:iCs/>
                <w:sz w:val="20"/>
                <w:szCs w:val="20"/>
              </w:rPr>
            </w:pPr>
            <w:r w:rsidRPr="00480790">
              <w:rPr>
                <w:rFonts w:ascii="Arial Narrow" w:hAnsi="Arial Narrow"/>
                <w:b/>
                <w:bCs/>
                <w:i/>
                <w:iCs/>
                <w:sz w:val="20"/>
                <w:szCs w:val="20"/>
              </w:rPr>
              <w:t>Treatment Phase:</w:t>
            </w:r>
            <w:r w:rsidRPr="00480790">
              <w:rPr>
                <w:iCs/>
              </w:rPr>
              <w:t xml:space="preserve"> </w:t>
            </w:r>
            <w:r w:rsidRPr="00480790">
              <w:rPr>
                <w:rFonts w:ascii="Arial Narrow" w:hAnsi="Arial Narrow"/>
                <w:i/>
                <w:iCs/>
                <w:sz w:val="20"/>
                <w:szCs w:val="20"/>
              </w:rPr>
              <w:t>Continuing treatment</w:t>
            </w:r>
          </w:p>
        </w:tc>
      </w:tr>
      <w:tr w:rsidR="00AB01EA" w:rsidRPr="00480790" w14:paraId="796B87D5"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tcPr>
          <w:p w14:paraId="705DC361" w14:textId="77777777" w:rsidR="001C256F" w:rsidRPr="00480790" w:rsidRDefault="001C256F">
            <w:pPr>
              <w:keepLines/>
              <w:jc w:val="center"/>
              <w:rPr>
                <w:rFonts w:ascii="Arial Narrow" w:hAnsi="Arial Narrow"/>
                <w:i/>
                <w:iCs/>
                <w:sz w:val="20"/>
                <w:szCs w:val="20"/>
              </w:rPr>
            </w:pPr>
          </w:p>
        </w:tc>
        <w:tc>
          <w:tcPr>
            <w:tcW w:w="7745" w:type="dxa"/>
            <w:gridSpan w:val="6"/>
          </w:tcPr>
          <w:p w14:paraId="581D5C52" w14:textId="77777777" w:rsidR="001C256F" w:rsidRPr="00480790" w:rsidRDefault="001C256F">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Clinical criteria:</w:t>
            </w:r>
          </w:p>
        </w:tc>
      </w:tr>
      <w:tr w:rsidR="00AB01EA" w:rsidRPr="00480790" w14:paraId="5434FC66"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tcPr>
          <w:p w14:paraId="2D46F29D" w14:textId="1B92CECA" w:rsidR="001C256F" w:rsidRPr="00480790" w:rsidRDefault="001C256F">
            <w:pPr>
              <w:keepLines/>
              <w:jc w:val="center"/>
              <w:rPr>
                <w:rFonts w:ascii="Arial Narrow" w:hAnsi="Arial Narrow"/>
                <w:i/>
                <w:iCs/>
                <w:sz w:val="20"/>
                <w:szCs w:val="20"/>
              </w:rPr>
            </w:pPr>
          </w:p>
        </w:tc>
        <w:tc>
          <w:tcPr>
            <w:tcW w:w="7745" w:type="dxa"/>
            <w:gridSpan w:val="6"/>
          </w:tcPr>
          <w:p w14:paraId="15D62ACF" w14:textId="77777777" w:rsidR="001C256F" w:rsidRPr="00480790" w:rsidRDefault="001C256F">
            <w:pPr>
              <w:keepLines/>
              <w:rPr>
                <w:rFonts w:ascii="Arial Narrow" w:hAnsi="Arial Narrow"/>
                <w:b/>
                <w:bCs/>
                <w:i/>
                <w:iCs/>
                <w:sz w:val="20"/>
                <w:szCs w:val="20"/>
              </w:rPr>
            </w:pPr>
            <w:r w:rsidRPr="00480790">
              <w:rPr>
                <w:rFonts w:ascii="Arial Narrow" w:hAnsi="Arial Narrow" w:cs="Open Sans"/>
                <w:i/>
                <w:iCs/>
                <w:sz w:val="20"/>
                <w:szCs w:val="20"/>
              </w:rPr>
              <w:t>Patient must have previously received PBS-subsidised treatment with this drug for this indication</w:t>
            </w:r>
          </w:p>
        </w:tc>
      </w:tr>
      <w:tr w:rsidR="00AB01EA" w:rsidRPr="00480790" w14:paraId="637F7DA4"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0FC3AD8C" w14:textId="77777777" w:rsidR="001C256F" w:rsidRPr="00480790" w:rsidRDefault="001C256F">
            <w:pPr>
              <w:keepLines/>
              <w:jc w:val="center"/>
              <w:rPr>
                <w:rFonts w:ascii="Arial Narrow" w:hAnsi="Arial Narrow" w:cs="Open Sans"/>
                <w:i/>
                <w:iCs/>
                <w:sz w:val="20"/>
                <w:szCs w:val="20"/>
              </w:rPr>
            </w:pPr>
          </w:p>
        </w:tc>
        <w:tc>
          <w:tcPr>
            <w:tcW w:w="7745" w:type="dxa"/>
            <w:gridSpan w:val="6"/>
            <w:vAlign w:val="center"/>
          </w:tcPr>
          <w:p w14:paraId="60E59B30" w14:textId="77777777" w:rsidR="001C256F" w:rsidRPr="00480790" w:rsidRDefault="001C256F">
            <w:pPr>
              <w:keepLines/>
              <w:rPr>
                <w:rFonts w:ascii="Arial Narrow" w:hAnsi="Arial Narrow" w:cs="Open Sans"/>
                <w:i/>
                <w:iCs/>
                <w:sz w:val="20"/>
                <w:szCs w:val="20"/>
              </w:rPr>
            </w:pPr>
            <w:r w:rsidRPr="00480790">
              <w:rPr>
                <w:rFonts w:ascii="Arial Narrow" w:hAnsi="Arial Narrow"/>
                <w:b/>
                <w:bCs/>
                <w:i/>
                <w:iCs/>
                <w:sz w:val="20"/>
                <w:szCs w:val="20"/>
              </w:rPr>
              <w:t>AND</w:t>
            </w:r>
          </w:p>
        </w:tc>
      </w:tr>
      <w:tr w:rsidR="00AB01EA" w:rsidRPr="00480790" w14:paraId="176A56B2"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2D03EA6D" w14:textId="77777777" w:rsidR="001C256F" w:rsidRPr="00480790" w:rsidRDefault="001C256F">
            <w:pPr>
              <w:keepLines/>
              <w:jc w:val="center"/>
              <w:rPr>
                <w:rFonts w:ascii="Arial Narrow" w:hAnsi="Arial Narrow" w:cs="Open Sans"/>
                <w:i/>
                <w:iCs/>
                <w:sz w:val="20"/>
                <w:szCs w:val="20"/>
              </w:rPr>
            </w:pPr>
          </w:p>
        </w:tc>
        <w:tc>
          <w:tcPr>
            <w:tcW w:w="7745" w:type="dxa"/>
            <w:gridSpan w:val="6"/>
            <w:vAlign w:val="center"/>
          </w:tcPr>
          <w:p w14:paraId="0A451604" w14:textId="77777777" w:rsidR="001C256F" w:rsidRPr="00480790" w:rsidRDefault="001C256F">
            <w:pPr>
              <w:keepLines/>
              <w:rPr>
                <w:rFonts w:ascii="Arial Narrow" w:hAnsi="Arial Narrow" w:cs="Open Sans"/>
                <w:i/>
                <w:iCs/>
                <w:sz w:val="20"/>
                <w:szCs w:val="20"/>
              </w:rPr>
            </w:pPr>
            <w:r w:rsidRPr="00480790">
              <w:rPr>
                <w:rFonts w:ascii="Arial Narrow" w:hAnsi="Arial Narrow"/>
                <w:b/>
                <w:bCs/>
                <w:i/>
                <w:iCs/>
                <w:sz w:val="20"/>
                <w:szCs w:val="20"/>
              </w:rPr>
              <w:t>Clinical criteria</w:t>
            </w:r>
          </w:p>
        </w:tc>
      </w:tr>
      <w:tr w:rsidR="00AB01EA" w:rsidRPr="00480790" w14:paraId="45C1D215"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658CA9D4" w14:textId="6A13DC58" w:rsidR="001C256F" w:rsidRPr="00480790" w:rsidRDefault="001C256F">
            <w:pPr>
              <w:keepLines/>
              <w:jc w:val="center"/>
              <w:rPr>
                <w:rFonts w:ascii="Arial Narrow" w:hAnsi="Arial Narrow" w:cs="Open Sans"/>
                <w:i/>
                <w:iCs/>
                <w:sz w:val="20"/>
                <w:szCs w:val="20"/>
              </w:rPr>
            </w:pPr>
          </w:p>
        </w:tc>
        <w:tc>
          <w:tcPr>
            <w:tcW w:w="7745" w:type="dxa"/>
            <w:gridSpan w:val="6"/>
            <w:vAlign w:val="center"/>
          </w:tcPr>
          <w:p w14:paraId="605C0893" w14:textId="77777777" w:rsidR="001C256F" w:rsidRPr="00480790" w:rsidRDefault="001C256F">
            <w:pPr>
              <w:keepLines/>
              <w:rPr>
                <w:rFonts w:ascii="Arial Narrow" w:hAnsi="Arial Narrow" w:cs="Open Sans"/>
                <w:i/>
                <w:iCs/>
                <w:sz w:val="20"/>
                <w:szCs w:val="20"/>
              </w:rPr>
            </w:pPr>
            <w:r w:rsidRPr="00480790">
              <w:rPr>
                <w:rFonts w:ascii="Arial Narrow" w:hAnsi="Arial Narrow"/>
                <w:i/>
                <w:iCs/>
                <w:sz w:val="20"/>
                <w:szCs w:val="20"/>
              </w:rPr>
              <w:t>The treatment must be the sole PBS-subsidised systemic anti-cancer therapy for this condition</w:t>
            </w:r>
          </w:p>
        </w:tc>
      </w:tr>
      <w:tr w:rsidR="00AB01EA" w:rsidRPr="00480790" w14:paraId="637591BC"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tcPr>
          <w:p w14:paraId="37A551F0" w14:textId="77777777" w:rsidR="001C256F" w:rsidRPr="00480790" w:rsidRDefault="001C256F">
            <w:pPr>
              <w:keepLines/>
              <w:jc w:val="center"/>
              <w:rPr>
                <w:rFonts w:ascii="Arial Narrow" w:hAnsi="Arial Narrow"/>
                <w:i/>
                <w:iCs/>
                <w:sz w:val="20"/>
                <w:szCs w:val="20"/>
              </w:rPr>
            </w:pPr>
          </w:p>
        </w:tc>
        <w:tc>
          <w:tcPr>
            <w:tcW w:w="7745" w:type="dxa"/>
            <w:gridSpan w:val="6"/>
          </w:tcPr>
          <w:p w14:paraId="5C4523A6" w14:textId="77777777" w:rsidR="001C256F" w:rsidRPr="00480790" w:rsidRDefault="001C256F">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AND</w:t>
            </w:r>
          </w:p>
        </w:tc>
      </w:tr>
      <w:tr w:rsidR="00AB01EA" w:rsidRPr="00480790" w14:paraId="2008A187"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tcPr>
          <w:p w14:paraId="3064D1DC" w14:textId="77777777" w:rsidR="001C256F" w:rsidRPr="00480790" w:rsidRDefault="001C256F">
            <w:pPr>
              <w:keepLines/>
              <w:jc w:val="center"/>
              <w:rPr>
                <w:rFonts w:ascii="Arial Narrow" w:hAnsi="Arial Narrow"/>
                <w:i/>
                <w:iCs/>
                <w:sz w:val="20"/>
                <w:szCs w:val="20"/>
              </w:rPr>
            </w:pPr>
          </w:p>
        </w:tc>
        <w:tc>
          <w:tcPr>
            <w:tcW w:w="7745" w:type="dxa"/>
            <w:gridSpan w:val="6"/>
          </w:tcPr>
          <w:p w14:paraId="26D3A25D" w14:textId="77777777" w:rsidR="001C256F" w:rsidRPr="00480790" w:rsidRDefault="001C256F">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Clinical criteria:</w:t>
            </w:r>
          </w:p>
        </w:tc>
      </w:tr>
      <w:tr w:rsidR="00AB01EA" w:rsidRPr="00480790" w14:paraId="4B9FB5FE"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0629866C" w14:textId="16F90851" w:rsidR="001C256F" w:rsidRPr="00480790" w:rsidRDefault="001C256F">
            <w:pPr>
              <w:keepLines/>
              <w:jc w:val="center"/>
              <w:rPr>
                <w:rFonts w:ascii="Arial Narrow" w:hAnsi="Arial Narrow"/>
                <w:i/>
                <w:iCs/>
                <w:sz w:val="20"/>
                <w:szCs w:val="20"/>
              </w:rPr>
            </w:pPr>
          </w:p>
        </w:tc>
        <w:tc>
          <w:tcPr>
            <w:tcW w:w="7745" w:type="dxa"/>
            <w:gridSpan w:val="6"/>
            <w:vAlign w:val="center"/>
          </w:tcPr>
          <w:p w14:paraId="02169090" w14:textId="77777777" w:rsidR="001C256F" w:rsidRPr="00480790" w:rsidRDefault="001C256F">
            <w:pPr>
              <w:keepLines/>
              <w:rPr>
                <w:rFonts w:ascii="Arial Narrow" w:hAnsi="Arial Narrow"/>
                <w:i/>
                <w:iCs/>
                <w:sz w:val="20"/>
                <w:szCs w:val="20"/>
              </w:rPr>
            </w:pPr>
            <w:r w:rsidRPr="00480790">
              <w:rPr>
                <w:rFonts w:ascii="Arial Narrow" w:hAnsi="Arial Narrow"/>
                <w:i/>
                <w:iCs/>
                <w:sz w:val="20"/>
                <w:szCs w:val="20"/>
              </w:rPr>
              <w:t xml:space="preserve">Patient must be undergoing treatment that does not occur beyond the following, whichever comes first: (i) the first instance of disease progression/recurrence, </w:t>
            </w:r>
          </w:p>
          <w:p w14:paraId="36B4A80C" w14:textId="2107F56B" w:rsidR="001C256F" w:rsidRPr="00480790" w:rsidRDefault="001C256F">
            <w:pPr>
              <w:keepLines/>
              <w:rPr>
                <w:rFonts w:ascii="Arial Narrow" w:hAnsi="Arial Narrow"/>
                <w:i/>
                <w:iCs/>
                <w:sz w:val="20"/>
                <w:szCs w:val="20"/>
              </w:rPr>
            </w:pPr>
            <w:r w:rsidRPr="00480790">
              <w:rPr>
                <w:rFonts w:ascii="Arial Narrow" w:hAnsi="Arial Narrow"/>
                <w:i/>
                <w:iCs/>
                <w:sz w:val="20"/>
                <w:szCs w:val="20"/>
              </w:rPr>
              <w:t>(ii) 24 months in total for this indication from the first administered dose (</w:t>
            </w:r>
            <w:r w:rsidR="00866B92" w:rsidRPr="00480790">
              <w:rPr>
                <w:rFonts w:ascii="Arial Narrow" w:hAnsi="Arial Narrow"/>
                <w:i/>
                <w:iCs/>
                <w:sz w:val="20"/>
                <w:szCs w:val="20"/>
              </w:rPr>
              <w:t>regardless of</w:t>
            </w:r>
            <w:r w:rsidRPr="00480790">
              <w:rPr>
                <w:rFonts w:ascii="Arial Narrow" w:hAnsi="Arial Narrow"/>
                <w:i/>
                <w:iCs/>
                <w:sz w:val="20"/>
                <w:szCs w:val="20"/>
              </w:rPr>
              <w:t xml:space="preserve"> whether treatment was PBS or non-PBS subsidised); mark any remaining repeat prescriptions with the words 'cancelled' where (i)/(ii) has occurred.</w:t>
            </w:r>
          </w:p>
        </w:tc>
      </w:tr>
      <w:tr w:rsidR="00AB01EA" w:rsidRPr="00480790" w14:paraId="1DDE0C1F"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4915B5C1"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60EA76D7" w14:textId="77777777" w:rsidR="001C256F" w:rsidRPr="00480790" w:rsidRDefault="001C256F">
            <w:pPr>
              <w:keepLines/>
              <w:rPr>
                <w:rFonts w:ascii="Arial Narrow" w:hAnsi="Arial Narrow"/>
                <w:b/>
                <w:bCs/>
                <w:sz w:val="20"/>
                <w:szCs w:val="20"/>
              </w:rPr>
            </w:pPr>
          </w:p>
        </w:tc>
      </w:tr>
      <w:tr w:rsidR="00AB01EA" w:rsidRPr="00480790" w14:paraId="5A3522C5"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9015" w:type="dxa"/>
            <w:gridSpan w:val="8"/>
            <w:vAlign w:val="center"/>
          </w:tcPr>
          <w:p w14:paraId="6A83B7F5" w14:textId="03288A66" w:rsidR="001C256F" w:rsidRPr="00480790" w:rsidRDefault="001C256F">
            <w:pPr>
              <w:keepLines/>
              <w:rPr>
                <w:rFonts w:ascii="Arial Narrow" w:hAnsi="Arial Narrow"/>
                <w:b/>
                <w:bCs/>
                <w:sz w:val="20"/>
                <w:szCs w:val="20"/>
              </w:rPr>
            </w:pPr>
            <w:r w:rsidRPr="00480790">
              <w:rPr>
                <w:rFonts w:ascii="Arial Narrow" w:hAnsi="Arial Narrow"/>
                <w:b/>
                <w:sz w:val="20"/>
                <w:szCs w:val="20"/>
              </w:rPr>
              <w:t xml:space="preserve">Restriction Summary / Treatment of Concept: </w:t>
            </w:r>
          </w:p>
        </w:tc>
      </w:tr>
      <w:tr w:rsidR="00AB01EA" w:rsidRPr="00480790" w14:paraId="5EB714DD"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4383C791" w14:textId="455222BA" w:rsidR="001C256F" w:rsidRPr="00480790" w:rsidRDefault="001C256F">
            <w:pPr>
              <w:keepLines/>
              <w:jc w:val="center"/>
              <w:rPr>
                <w:rFonts w:ascii="Arial Narrow" w:hAnsi="Arial Narrow"/>
                <w:i/>
                <w:iCs/>
                <w:sz w:val="20"/>
                <w:szCs w:val="20"/>
              </w:rPr>
            </w:pPr>
          </w:p>
        </w:tc>
        <w:tc>
          <w:tcPr>
            <w:tcW w:w="7745" w:type="dxa"/>
            <w:gridSpan w:val="6"/>
            <w:vAlign w:val="center"/>
          </w:tcPr>
          <w:p w14:paraId="318BE403" w14:textId="77777777" w:rsidR="001C256F" w:rsidRPr="00480790" w:rsidRDefault="001C256F">
            <w:pPr>
              <w:keepLines/>
              <w:rPr>
                <w:rFonts w:ascii="Arial Narrow" w:hAnsi="Arial Narrow"/>
                <w:b/>
                <w:bCs/>
                <w:i/>
                <w:iCs/>
                <w:sz w:val="20"/>
                <w:szCs w:val="20"/>
              </w:rPr>
            </w:pPr>
            <w:r w:rsidRPr="00480790">
              <w:rPr>
                <w:rFonts w:ascii="Arial Narrow" w:hAnsi="Arial Narrow"/>
                <w:b/>
                <w:bCs/>
                <w:sz w:val="20"/>
                <w:szCs w:val="20"/>
              </w:rPr>
              <w:t>Indication:</w:t>
            </w:r>
            <w:r w:rsidRPr="00480790">
              <w:rPr>
                <w:rFonts w:ascii="Arial Narrow" w:hAnsi="Arial Narrow"/>
                <w:sz w:val="20"/>
                <w:szCs w:val="20"/>
              </w:rPr>
              <w:t xml:space="preserve"> Resected non-small cell lung cancer (NSCLC)</w:t>
            </w:r>
          </w:p>
        </w:tc>
      </w:tr>
      <w:tr w:rsidR="00AB01EA" w:rsidRPr="00480790" w14:paraId="7AA65F9A"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30A850F5"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44368558" w14:textId="77777777" w:rsidR="001C256F" w:rsidRPr="00480790" w:rsidRDefault="001C256F">
            <w:pPr>
              <w:keepLines/>
              <w:rPr>
                <w:rFonts w:ascii="Arial Narrow" w:hAnsi="Arial Narrow"/>
                <w:b/>
                <w:bCs/>
                <w:i/>
                <w:iCs/>
                <w:sz w:val="20"/>
                <w:szCs w:val="20"/>
              </w:rPr>
            </w:pPr>
            <w:r w:rsidRPr="00480790">
              <w:rPr>
                <w:rFonts w:ascii="Arial Narrow" w:hAnsi="Arial Narrow"/>
                <w:b/>
                <w:bCs/>
                <w:i/>
                <w:iCs/>
                <w:sz w:val="20"/>
                <w:szCs w:val="20"/>
              </w:rPr>
              <w:t>Treatment Phase:</w:t>
            </w:r>
            <w:r w:rsidRPr="00480790">
              <w:rPr>
                <w:iCs/>
              </w:rPr>
              <w:t xml:space="preserve"> </w:t>
            </w:r>
            <w:r w:rsidRPr="00480790">
              <w:rPr>
                <w:rFonts w:ascii="Arial Narrow" w:hAnsi="Arial Narrow"/>
                <w:i/>
                <w:iCs/>
                <w:sz w:val="20"/>
                <w:szCs w:val="20"/>
              </w:rPr>
              <w:t>Grandfathering (transitioning from non-PBS to PBS subsided treatment)</w:t>
            </w:r>
          </w:p>
        </w:tc>
      </w:tr>
      <w:tr w:rsidR="00AB01EA" w:rsidRPr="00480790" w14:paraId="1215865D"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5BAE8098"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5088258E" w14:textId="77777777" w:rsidR="001C256F" w:rsidRPr="00480790" w:rsidRDefault="001C256F">
            <w:pPr>
              <w:keepLines/>
              <w:rPr>
                <w:rFonts w:ascii="Arial Narrow" w:hAnsi="Arial Narrow"/>
                <w:b/>
                <w:bCs/>
                <w:i/>
                <w:iCs/>
                <w:sz w:val="20"/>
                <w:szCs w:val="20"/>
              </w:rPr>
            </w:pPr>
            <w:r w:rsidRPr="00480790">
              <w:rPr>
                <w:rFonts w:ascii="Arial Narrow" w:hAnsi="Arial Narrow"/>
                <w:b/>
                <w:bCs/>
                <w:i/>
                <w:iCs/>
                <w:sz w:val="20"/>
                <w:szCs w:val="20"/>
              </w:rPr>
              <w:t>Clinical criteria</w:t>
            </w:r>
          </w:p>
        </w:tc>
      </w:tr>
      <w:tr w:rsidR="00AB01EA" w:rsidRPr="00480790" w14:paraId="43D6CF15"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5ED06617" w14:textId="7B0B11D6" w:rsidR="001C256F" w:rsidRPr="00480790" w:rsidRDefault="001C256F">
            <w:pPr>
              <w:keepLines/>
              <w:jc w:val="center"/>
              <w:rPr>
                <w:rFonts w:ascii="Arial Narrow" w:hAnsi="Arial Narrow"/>
                <w:i/>
                <w:iCs/>
                <w:sz w:val="20"/>
                <w:szCs w:val="20"/>
              </w:rPr>
            </w:pPr>
          </w:p>
        </w:tc>
        <w:tc>
          <w:tcPr>
            <w:tcW w:w="7745" w:type="dxa"/>
            <w:gridSpan w:val="6"/>
            <w:vAlign w:val="center"/>
          </w:tcPr>
          <w:p w14:paraId="7BE9650E" w14:textId="77777777" w:rsidR="001C256F" w:rsidRPr="00480790" w:rsidRDefault="001C256F">
            <w:pPr>
              <w:keepLines/>
              <w:rPr>
                <w:rFonts w:ascii="Arial Narrow" w:hAnsi="Arial Narrow"/>
                <w:b/>
                <w:bCs/>
                <w:i/>
                <w:iCs/>
                <w:sz w:val="20"/>
                <w:szCs w:val="20"/>
              </w:rPr>
            </w:pPr>
            <w:r w:rsidRPr="00480790">
              <w:rPr>
                <w:rFonts w:ascii="Arial Narrow" w:hAnsi="Arial Narrow"/>
                <w:i/>
                <w:iCs/>
                <w:sz w:val="20"/>
                <w:szCs w:val="20"/>
              </w:rPr>
              <w:t>Patient must have received non-PBS treatment with this drug for this condition prior to [date of PBS listing]</w:t>
            </w:r>
          </w:p>
        </w:tc>
      </w:tr>
      <w:tr w:rsidR="00AB01EA" w:rsidRPr="00480790" w14:paraId="6BC175E9"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22D3425B"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1DA55BDA" w14:textId="77777777" w:rsidR="001C256F" w:rsidRPr="00480790" w:rsidRDefault="001C256F">
            <w:pPr>
              <w:keepLines/>
              <w:rPr>
                <w:rFonts w:ascii="Arial Narrow" w:hAnsi="Arial Narrow"/>
                <w:b/>
                <w:bCs/>
                <w:i/>
                <w:iCs/>
                <w:sz w:val="20"/>
                <w:szCs w:val="20"/>
              </w:rPr>
            </w:pPr>
            <w:r w:rsidRPr="00480790">
              <w:rPr>
                <w:rFonts w:ascii="Arial Narrow" w:hAnsi="Arial Narrow"/>
                <w:b/>
                <w:bCs/>
                <w:i/>
                <w:iCs/>
                <w:sz w:val="20"/>
                <w:szCs w:val="20"/>
              </w:rPr>
              <w:t>AND</w:t>
            </w:r>
          </w:p>
        </w:tc>
      </w:tr>
      <w:tr w:rsidR="00AB01EA" w:rsidRPr="00480790" w14:paraId="6E313656"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77D562ED"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504124E5" w14:textId="77777777" w:rsidR="001C256F" w:rsidRPr="00480790" w:rsidRDefault="001C256F">
            <w:pPr>
              <w:keepLines/>
              <w:rPr>
                <w:rFonts w:ascii="Arial Narrow" w:hAnsi="Arial Narrow"/>
                <w:b/>
                <w:bCs/>
                <w:i/>
                <w:iCs/>
                <w:sz w:val="20"/>
                <w:szCs w:val="20"/>
              </w:rPr>
            </w:pPr>
            <w:r w:rsidRPr="00480790">
              <w:rPr>
                <w:rFonts w:ascii="Arial Narrow" w:hAnsi="Arial Narrow"/>
                <w:b/>
                <w:bCs/>
                <w:i/>
                <w:iCs/>
                <w:sz w:val="20"/>
                <w:szCs w:val="20"/>
              </w:rPr>
              <w:t>Clinical criteria</w:t>
            </w:r>
          </w:p>
        </w:tc>
      </w:tr>
      <w:tr w:rsidR="00AB01EA" w:rsidRPr="00480790" w14:paraId="4B6B1F0D"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70FE7694" w14:textId="72B82E88" w:rsidR="001C256F" w:rsidRPr="00480790" w:rsidRDefault="001C256F">
            <w:pPr>
              <w:keepLines/>
              <w:jc w:val="center"/>
              <w:rPr>
                <w:rFonts w:ascii="Arial Narrow" w:hAnsi="Arial Narrow"/>
                <w:i/>
                <w:iCs/>
                <w:sz w:val="20"/>
                <w:szCs w:val="20"/>
              </w:rPr>
            </w:pPr>
          </w:p>
        </w:tc>
        <w:tc>
          <w:tcPr>
            <w:tcW w:w="7745" w:type="dxa"/>
            <w:gridSpan w:val="6"/>
            <w:vAlign w:val="center"/>
          </w:tcPr>
          <w:p w14:paraId="6D17F6FC" w14:textId="77777777" w:rsidR="001C256F" w:rsidRPr="00480790" w:rsidRDefault="001C256F">
            <w:pPr>
              <w:keepLines/>
              <w:rPr>
                <w:rFonts w:ascii="Arial Narrow" w:hAnsi="Arial Narrow"/>
                <w:b/>
                <w:bCs/>
                <w:i/>
                <w:iCs/>
                <w:sz w:val="20"/>
                <w:szCs w:val="20"/>
              </w:rPr>
            </w:pPr>
            <w:r w:rsidRPr="00480790">
              <w:rPr>
                <w:rFonts w:ascii="Arial Narrow" w:hAnsi="Arial Narrow"/>
                <w:i/>
                <w:iCs/>
                <w:sz w:val="20"/>
                <w:szCs w:val="20"/>
              </w:rPr>
              <w:t>Patient must be untreated with ALK-TKI for non-small cell lung cancer prior to commencing treatment with this drug for this indication</w:t>
            </w:r>
          </w:p>
        </w:tc>
      </w:tr>
      <w:tr w:rsidR="00AB01EA" w:rsidRPr="00480790" w14:paraId="4A6E06F1"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67931927"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1138C86F" w14:textId="77777777" w:rsidR="001C256F" w:rsidRPr="00480790" w:rsidRDefault="001C256F">
            <w:pPr>
              <w:keepLines/>
              <w:rPr>
                <w:rFonts w:ascii="Arial Narrow" w:hAnsi="Arial Narrow"/>
                <w:i/>
                <w:iCs/>
                <w:sz w:val="20"/>
                <w:szCs w:val="20"/>
              </w:rPr>
            </w:pPr>
            <w:r w:rsidRPr="00480790">
              <w:rPr>
                <w:rFonts w:ascii="Arial Narrow" w:hAnsi="Arial Narrow"/>
                <w:b/>
                <w:bCs/>
                <w:i/>
                <w:iCs/>
                <w:sz w:val="20"/>
                <w:szCs w:val="20"/>
              </w:rPr>
              <w:t>AND</w:t>
            </w:r>
          </w:p>
        </w:tc>
      </w:tr>
      <w:tr w:rsidR="00AB01EA" w:rsidRPr="00480790" w14:paraId="16F0916B"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7A0D235D"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6512A27D" w14:textId="77777777" w:rsidR="001C256F" w:rsidRPr="00480790" w:rsidRDefault="001C256F">
            <w:pPr>
              <w:keepLines/>
              <w:rPr>
                <w:rFonts w:ascii="Arial Narrow" w:hAnsi="Arial Narrow"/>
                <w:i/>
                <w:iCs/>
                <w:sz w:val="20"/>
                <w:szCs w:val="20"/>
              </w:rPr>
            </w:pPr>
            <w:r w:rsidRPr="00480790">
              <w:rPr>
                <w:rFonts w:ascii="Arial Narrow" w:hAnsi="Arial Narrow"/>
                <w:b/>
                <w:bCs/>
                <w:i/>
                <w:iCs/>
                <w:sz w:val="20"/>
                <w:szCs w:val="20"/>
              </w:rPr>
              <w:t>Clinical criteria</w:t>
            </w:r>
          </w:p>
        </w:tc>
      </w:tr>
      <w:tr w:rsidR="00AB01EA" w:rsidRPr="00480790" w14:paraId="31784450"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260780F3" w14:textId="1EDE17E9" w:rsidR="001C256F" w:rsidRPr="00480790" w:rsidRDefault="001C256F">
            <w:pPr>
              <w:keepLines/>
              <w:jc w:val="center"/>
              <w:rPr>
                <w:rFonts w:ascii="Arial Narrow" w:hAnsi="Arial Narrow"/>
                <w:i/>
                <w:iCs/>
                <w:sz w:val="20"/>
                <w:szCs w:val="20"/>
              </w:rPr>
            </w:pPr>
          </w:p>
        </w:tc>
        <w:tc>
          <w:tcPr>
            <w:tcW w:w="7745" w:type="dxa"/>
            <w:gridSpan w:val="6"/>
            <w:vAlign w:val="center"/>
          </w:tcPr>
          <w:p w14:paraId="08EAC445" w14:textId="77777777" w:rsidR="001C256F" w:rsidRPr="00480790" w:rsidRDefault="001C256F">
            <w:pPr>
              <w:keepLines/>
              <w:rPr>
                <w:rFonts w:ascii="Arial Narrow" w:hAnsi="Arial Narrow"/>
                <w:b/>
                <w:bCs/>
                <w:i/>
                <w:iCs/>
                <w:sz w:val="20"/>
                <w:szCs w:val="20"/>
              </w:rPr>
            </w:pPr>
            <w:r w:rsidRPr="00480790">
              <w:rPr>
                <w:rFonts w:ascii="Arial Narrow" w:hAnsi="Arial Narrow"/>
                <w:i/>
                <w:iCs/>
                <w:sz w:val="20"/>
                <w:szCs w:val="20"/>
              </w:rPr>
              <w:t>The condition must have been at least one of: (i) node positive, (ii) at least 4 cm in size,</w:t>
            </w:r>
          </w:p>
        </w:tc>
      </w:tr>
      <w:tr w:rsidR="00AB01EA" w:rsidRPr="00480790" w14:paraId="4CE82C14"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6DE18235"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7F4D2097" w14:textId="77777777" w:rsidR="001C256F" w:rsidRPr="00480790" w:rsidRDefault="001C256F">
            <w:pPr>
              <w:keepLines/>
              <w:rPr>
                <w:rFonts w:ascii="Arial Narrow" w:hAnsi="Arial Narrow"/>
                <w:i/>
                <w:iCs/>
                <w:sz w:val="20"/>
                <w:szCs w:val="20"/>
              </w:rPr>
            </w:pPr>
            <w:r w:rsidRPr="00480790">
              <w:rPr>
                <w:rFonts w:ascii="Arial Narrow" w:hAnsi="Arial Narrow"/>
                <w:b/>
                <w:bCs/>
                <w:i/>
                <w:iCs/>
                <w:sz w:val="20"/>
                <w:szCs w:val="20"/>
              </w:rPr>
              <w:t>AND</w:t>
            </w:r>
          </w:p>
        </w:tc>
      </w:tr>
      <w:tr w:rsidR="00AB01EA" w:rsidRPr="00480790" w14:paraId="6FB5EA02"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01EFD269"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6867C322" w14:textId="77777777" w:rsidR="001C256F" w:rsidRPr="00480790" w:rsidRDefault="001C256F">
            <w:pPr>
              <w:keepLines/>
              <w:rPr>
                <w:rFonts w:ascii="Arial Narrow" w:hAnsi="Arial Narrow"/>
                <w:i/>
                <w:iCs/>
                <w:sz w:val="20"/>
                <w:szCs w:val="20"/>
              </w:rPr>
            </w:pPr>
            <w:r w:rsidRPr="00480790">
              <w:rPr>
                <w:rFonts w:ascii="Arial Narrow" w:hAnsi="Arial Narrow"/>
                <w:b/>
                <w:bCs/>
                <w:i/>
                <w:iCs/>
                <w:sz w:val="20"/>
                <w:szCs w:val="20"/>
              </w:rPr>
              <w:t>Clinical criteria</w:t>
            </w:r>
          </w:p>
        </w:tc>
      </w:tr>
      <w:tr w:rsidR="00AB01EA" w:rsidRPr="00480790" w14:paraId="0C5086AD"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30DF4CD5" w14:textId="49480CE7" w:rsidR="001C256F" w:rsidRPr="00480790" w:rsidRDefault="001C256F">
            <w:pPr>
              <w:keepLines/>
              <w:jc w:val="center"/>
              <w:rPr>
                <w:rFonts w:ascii="Arial Narrow" w:hAnsi="Arial Narrow"/>
                <w:i/>
                <w:iCs/>
                <w:sz w:val="20"/>
                <w:szCs w:val="20"/>
              </w:rPr>
            </w:pPr>
          </w:p>
        </w:tc>
        <w:tc>
          <w:tcPr>
            <w:tcW w:w="7745" w:type="dxa"/>
            <w:gridSpan w:val="6"/>
            <w:vAlign w:val="center"/>
          </w:tcPr>
          <w:p w14:paraId="019355D5" w14:textId="77777777" w:rsidR="001C256F" w:rsidRPr="00480790" w:rsidRDefault="001C256F">
            <w:pPr>
              <w:keepLines/>
              <w:rPr>
                <w:rFonts w:ascii="Arial Narrow" w:hAnsi="Arial Narrow"/>
                <w:i/>
                <w:iCs/>
                <w:sz w:val="20"/>
                <w:szCs w:val="20"/>
              </w:rPr>
            </w:pPr>
            <w:r w:rsidRPr="00480790">
              <w:rPr>
                <w:rFonts w:ascii="Arial Narrow" w:hAnsi="Arial Narrow"/>
                <w:i/>
                <w:iCs/>
                <w:sz w:val="20"/>
                <w:szCs w:val="20"/>
              </w:rPr>
              <w:t xml:space="preserve">The treatment must have been for the purpose of adjuvant therapy following surgical resection, </w:t>
            </w:r>
          </w:p>
        </w:tc>
      </w:tr>
      <w:tr w:rsidR="00AB01EA" w:rsidRPr="00480790" w14:paraId="4AFD917A"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084B5A77"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4DDA4E60" w14:textId="77777777" w:rsidR="001C256F" w:rsidRPr="00480790" w:rsidRDefault="001C256F">
            <w:pPr>
              <w:keepLines/>
              <w:rPr>
                <w:rFonts w:ascii="Arial Narrow" w:hAnsi="Arial Narrow"/>
                <w:i/>
                <w:iCs/>
                <w:sz w:val="20"/>
                <w:szCs w:val="20"/>
              </w:rPr>
            </w:pPr>
            <w:r w:rsidRPr="00480790">
              <w:rPr>
                <w:rFonts w:ascii="Arial Narrow" w:hAnsi="Arial Narrow"/>
                <w:b/>
                <w:bCs/>
                <w:i/>
                <w:iCs/>
                <w:sz w:val="20"/>
                <w:szCs w:val="20"/>
              </w:rPr>
              <w:t>AND</w:t>
            </w:r>
          </w:p>
        </w:tc>
      </w:tr>
      <w:tr w:rsidR="00AB01EA" w:rsidRPr="00480790" w14:paraId="294D1ADA"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7CC2DA52"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5A3E764C" w14:textId="77777777" w:rsidR="001C256F" w:rsidRPr="00480790" w:rsidRDefault="001C256F">
            <w:pPr>
              <w:keepLines/>
              <w:rPr>
                <w:rFonts w:ascii="Arial Narrow" w:hAnsi="Arial Narrow"/>
                <w:i/>
                <w:iCs/>
                <w:sz w:val="20"/>
                <w:szCs w:val="20"/>
              </w:rPr>
            </w:pPr>
            <w:r w:rsidRPr="00480790">
              <w:rPr>
                <w:rFonts w:ascii="Arial Narrow" w:hAnsi="Arial Narrow"/>
                <w:b/>
                <w:bCs/>
                <w:i/>
                <w:iCs/>
                <w:sz w:val="20"/>
                <w:szCs w:val="20"/>
              </w:rPr>
              <w:t>Clinical criteria</w:t>
            </w:r>
          </w:p>
        </w:tc>
      </w:tr>
      <w:tr w:rsidR="00AB01EA" w:rsidRPr="00480790" w14:paraId="4B871B39"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0E0BDD7D" w14:textId="6C23C9CA" w:rsidR="001C256F" w:rsidRPr="00480790" w:rsidRDefault="001C256F">
            <w:pPr>
              <w:keepLines/>
              <w:jc w:val="center"/>
              <w:rPr>
                <w:rFonts w:ascii="Arial Narrow" w:hAnsi="Arial Narrow"/>
                <w:i/>
                <w:iCs/>
                <w:sz w:val="20"/>
                <w:szCs w:val="20"/>
              </w:rPr>
            </w:pPr>
          </w:p>
        </w:tc>
        <w:tc>
          <w:tcPr>
            <w:tcW w:w="7745" w:type="dxa"/>
            <w:gridSpan w:val="6"/>
            <w:vAlign w:val="center"/>
          </w:tcPr>
          <w:p w14:paraId="783CB20A" w14:textId="77777777" w:rsidR="001C256F" w:rsidRPr="00480790" w:rsidRDefault="001C256F">
            <w:pPr>
              <w:keepLines/>
              <w:rPr>
                <w:rFonts w:ascii="Arial Narrow" w:hAnsi="Arial Narrow"/>
                <w:i/>
                <w:iCs/>
                <w:sz w:val="20"/>
                <w:szCs w:val="20"/>
              </w:rPr>
            </w:pPr>
            <w:r w:rsidRPr="00480790">
              <w:rPr>
                <w:rFonts w:ascii="Arial Narrow" w:hAnsi="Arial Narrow"/>
                <w:i/>
                <w:iCs/>
                <w:sz w:val="20"/>
                <w:szCs w:val="20"/>
              </w:rPr>
              <w:t xml:space="preserve">Patient must have had evidence of an anaplastic lymphoma kinase (ALK) gene rearrangement in tumour material, defined as either: (i) 15% (or greater) positive cells by fluorescence in situ hybridisation (FISH) testing, (ii) positive next generation sequencing (NGS) testing, </w:t>
            </w:r>
          </w:p>
        </w:tc>
      </w:tr>
      <w:tr w:rsidR="00AB01EA" w:rsidRPr="00480790" w14:paraId="68C1253D"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192C41A3"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51DEBB38" w14:textId="77777777" w:rsidR="001C256F" w:rsidRPr="00480790" w:rsidRDefault="001C256F">
            <w:pPr>
              <w:keepLines/>
              <w:rPr>
                <w:rFonts w:ascii="Arial Narrow" w:hAnsi="Arial Narrow"/>
                <w:b/>
                <w:bCs/>
                <w:i/>
                <w:iCs/>
                <w:sz w:val="20"/>
                <w:szCs w:val="20"/>
              </w:rPr>
            </w:pPr>
            <w:r w:rsidRPr="00480790">
              <w:rPr>
                <w:rFonts w:ascii="Arial Narrow" w:hAnsi="Arial Narrow"/>
                <w:b/>
                <w:bCs/>
                <w:i/>
                <w:iCs/>
                <w:sz w:val="20"/>
                <w:szCs w:val="20"/>
              </w:rPr>
              <w:t>AND</w:t>
            </w:r>
          </w:p>
        </w:tc>
      </w:tr>
      <w:tr w:rsidR="00AB01EA" w:rsidRPr="00480790" w14:paraId="6163A006"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54BE8374"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2BC5E15E" w14:textId="77777777" w:rsidR="001C256F" w:rsidRPr="00480790" w:rsidRDefault="001C256F">
            <w:pPr>
              <w:keepLines/>
              <w:rPr>
                <w:rFonts w:ascii="Arial Narrow" w:hAnsi="Arial Narrow"/>
                <w:b/>
                <w:bCs/>
                <w:i/>
                <w:iCs/>
                <w:sz w:val="20"/>
                <w:szCs w:val="20"/>
              </w:rPr>
            </w:pPr>
            <w:r w:rsidRPr="00480790">
              <w:rPr>
                <w:rFonts w:ascii="Arial Narrow" w:hAnsi="Arial Narrow"/>
                <w:b/>
                <w:bCs/>
                <w:i/>
                <w:iCs/>
                <w:sz w:val="20"/>
                <w:szCs w:val="20"/>
              </w:rPr>
              <w:t>Clinical criteria</w:t>
            </w:r>
          </w:p>
        </w:tc>
      </w:tr>
      <w:tr w:rsidR="00AB01EA" w:rsidRPr="00480790" w14:paraId="523A1176"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45FEEDF5" w14:textId="34013C5A" w:rsidR="001C256F" w:rsidRPr="00480790" w:rsidRDefault="001C256F">
            <w:pPr>
              <w:keepLines/>
              <w:jc w:val="center"/>
              <w:rPr>
                <w:rFonts w:ascii="Arial Narrow" w:hAnsi="Arial Narrow"/>
                <w:i/>
                <w:iCs/>
                <w:sz w:val="20"/>
                <w:szCs w:val="20"/>
              </w:rPr>
            </w:pPr>
          </w:p>
        </w:tc>
        <w:tc>
          <w:tcPr>
            <w:tcW w:w="7745" w:type="dxa"/>
            <w:gridSpan w:val="6"/>
            <w:vAlign w:val="center"/>
          </w:tcPr>
          <w:p w14:paraId="5FFB996F" w14:textId="77777777" w:rsidR="001C256F" w:rsidRPr="00480790" w:rsidRDefault="001C256F">
            <w:pPr>
              <w:keepLines/>
              <w:rPr>
                <w:rFonts w:ascii="Arial Narrow" w:hAnsi="Arial Narrow"/>
                <w:b/>
                <w:bCs/>
                <w:i/>
                <w:iCs/>
                <w:sz w:val="20"/>
                <w:szCs w:val="20"/>
              </w:rPr>
            </w:pPr>
            <w:r w:rsidRPr="00480790">
              <w:rPr>
                <w:rFonts w:ascii="Arial Narrow" w:hAnsi="Arial Narrow"/>
                <w:i/>
                <w:iCs/>
                <w:sz w:val="20"/>
                <w:szCs w:val="20"/>
              </w:rPr>
              <w:t>The treatment must be the sole PBS-subsidised systemic anti-cancer therapy for this condition</w:t>
            </w:r>
          </w:p>
        </w:tc>
      </w:tr>
      <w:tr w:rsidR="00AB01EA" w:rsidRPr="00480790" w14:paraId="7987A23A"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18BCC96A"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1D87B06A" w14:textId="77777777" w:rsidR="001C256F" w:rsidRPr="00480790" w:rsidRDefault="001C256F">
            <w:pPr>
              <w:keepLines/>
              <w:rPr>
                <w:rFonts w:ascii="Arial Narrow" w:hAnsi="Arial Narrow"/>
                <w:i/>
                <w:iCs/>
                <w:sz w:val="20"/>
                <w:szCs w:val="20"/>
              </w:rPr>
            </w:pPr>
            <w:r w:rsidRPr="00480790">
              <w:rPr>
                <w:rFonts w:ascii="Arial Narrow" w:hAnsi="Arial Narrow"/>
                <w:b/>
                <w:bCs/>
                <w:i/>
                <w:iCs/>
                <w:sz w:val="20"/>
                <w:szCs w:val="20"/>
              </w:rPr>
              <w:t>AND</w:t>
            </w:r>
          </w:p>
        </w:tc>
      </w:tr>
      <w:tr w:rsidR="00AB01EA" w:rsidRPr="00480790" w14:paraId="3098B5D6"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63679576"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17DDBC97" w14:textId="77777777" w:rsidR="001C256F" w:rsidRPr="00480790" w:rsidRDefault="001C256F">
            <w:pPr>
              <w:keepLines/>
              <w:rPr>
                <w:rFonts w:ascii="Arial Narrow" w:hAnsi="Arial Narrow"/>
                <w:b/>
                <w:bCs/>
                <w:i/>
                <w:iCs/>
                <w:sz w:val="20"/>
                <w:szCs w:val="20"/>
              </w:rPr>
            </w:pPr>
            <w:r w:rsidRPr="00480790">
              <w:rPr>
                <w:rFonts w:ascii="Arial Narrow" w:hAnsi="Arial Narrow"/>
                <w:b/>
                <w:bCs/>
                <w:i/>
                <w:iCs/>
                <w:sz w:val="20"/>
                <w:szCs w:val="20"/>
              </w:rPr>
              <w:t>Clinical criteria</w:t>
            </w:r>
          </w:p>
        </w:tc>
      </w:tr>
      <w:tr w:rsidR="00AB01EA" w:rsidRPr="00480790" w14:paraId="5B07AF74" w14:textId="77777777">
        <w:tblPrEx>
          <w:tblCellMar>
            <w:top w:w="15" w:type="dxa"/>
            <w:bottom w:w="15" w:type="dxa"/>
          </w:tblCellMar>
          <w:tblLook w:val="04A0" w:firstRow="1" w:lastRow="0" w:firstColumn="1" w:lastColumn="0" w:noHBand="0" w:noVBand="1"/>
        </w:tblPrEx>
        <w:trPr>
          <w:gridBefore w:val="1"/>
          <w:wBefore w:w="7" w:type="dxa"/>
          <w:cantSplit/>
          <w:trHeight w:val="55"/>
        </w:trPr>
        <w:tc>
          <w:tcPr>
            <w:tcW w:w="1270" w:type="dxa"/>
            <w:gridSpan w:val="2"/>
            <w:vAlign w:val="center"/>
          </w:tcPr>
          <w:p w14:paraId="6D84A96F" w14:textId="2E7506D0" w:rsidR="001C256F" w:rsidRPr="00480790" w:rsidRDefault="001C256F">
            <w:pPr>
              <w:keepLines/>
              <w:jc w:val="center"/>
              <w:rPr>
                <w:rFonts w:ascii="Arial Narrow" w:hAnsi="Arial Narrow"/>
                <w:i/>
                <w:iCs/>
                <w:sz w:val="20"/>
                <w:szCs w:val="20"/>
              </w:rPr>
            </w:pPr>
          </w:p>
        </w:tc>
        <w:tc>
          <w:tcPr>
            <w:tcW w:w="7745" w:type="dxa"/>
            <w:gridSpan w:val="6"/>
            <w:vAlign w:val="center"/>
          </w:tcPr>
          <w:p w14:paraId="1564E73C" w14:textId="77777777" w:rsidR="001C256F" w:rsidRPr="00480790" w:rsidRDefault="001C256F">
            <w:pPr>
              <w:keepLines/>
              <w:rPr>
                <w:rFonts w:ascii="Arial Narrow" w:hAnsi="Arial Narrow"/>
                <w:b/>
                <w:bCs/>
                <w:i/>
                <w:iCs/>
                <w:sz w:val="20"/>
                <w:szCs w:val="20"/>
              </w:rPr>
            </w:pPr>
            <w:r w:rsidRPr="00480790">
              <w:rPr>
                <w:rFonts w:ascii="Arial Narrow" w:hAnsi="Arial Narrow"/>
                <w:i/>
                <w:iCs/>
                <w:sz w:val="20"/>
                <w:szCs w:val="20"/>
              </w:rPr>
              <w:t>Patient must have had a WHO performance status of no greater than 1 at treatment initiation with this drug</w:t>
            </w:r>
          </w:p>
        </w:tc>
      </w:tr>
      <w:tr w:rsidR="00AB01EA" w:rsidRPr="00480790" w14:paraId="716C2CDF"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50E2D9FE"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29D1D1D9" w14:textId="77777777" w:rsidR="001C256F" w:rsidRPr="00480790" w:rsidRDefault="001C256F">
            <w:pPr>
              <w:keepLines/>
              <w:rPr>
                <w:rFonts w:ascii="Arial Narrow" w:hAnsi="Arial Narrow"/>
                <w:b/>
                <w:bCs/>
                <w:i/>
                <w:iCs/>
                <w:sz w:val="20"/>
                <w:szCs w:val="20"/>
              </w:rPr>
            </w:pPr>
            <w:r w:rsidRPr="00480790">
              <w:rPr>
                <w:rFonts w:ascii="Arial Narrow" w:hAnsi="Arial Narrow"/>
                <w:b/>
                <w:bCs/>
                <w:i/>
                <w:iCs/>
                <w:sz w:val="20"/>
                <w:szCs w:val="20"/>
              </w:rPr>
              <w:t>AND</w:t>
            </w:r>
          </w:p>
        </w:tc>
      </w:tr>
      <w:tr w:rsidR="00AB01EA" w:rsidRPr="00480790" w14:paraId="4BAB327E"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tcPr>
          <w:p w14:paraId="5E026C4F" w14:textId="77777777" w:rsidR="001C256F" w:rsidRPr="00480790" w:rsidRDefault="001C256F">
            <w:pPr>
              <w:keepLines/>
              <w:jc w:val="center"/>
              <w:rPr>
                <w:rFonts w:ascii="Arial Narrow" w:hAnsi="Arial Narrow"/>
                <w:sz w:val="20"/>
                <w:szCs w:val="20"/>
              </w:rPr>
            </w:pPr>
          </w:p>
        </w:tc>
        <w:tc>
          <w:tcPr>
            <w:tcW w:w="7745" w:type="dxa"/>
            <w:gridSpan w:val="6"/>
          </w:tcPr>
          <w:p w14:paraId="1E01F1EF" w14:textId="77777777" w:rsidR="001C256F" w:rsidRPr="00480790" w:rsidRDefault="001C256F">
            <w:pPr>
              <w:keepLines/>
              <w:rPr>
                <w:rFonts w:ascii="Arial Narrow" w:hAnsi="Arial Narrow"/>
                <w:sz w:val="20"/>
                <w:szCs w:val="20"/>
              </w:rPr>
            </w:pPr>
            <w:r w:rsidRPr="00480790">
              <w:rPr>
                <w:rStyle w:val="Strong"/>
                <w:rFonts w:ascii="Arial Narrow" w:hAnsi="Arial Narrow" w:cs="Open Sans"/>
                <w:i/>
                <w:iCs/>
                <w:sz w:val="20"/>
                <w:szCs w:val="20"/>
                <w:bdr w:val="none" w:sz="0" w:space="0" w:color="auto" w:frame="1"/>
              </w:rPr>
              <w:t>Clinical criteria:</w:t>
            </w:r>
          </w:p>
        </w:tc>
      </w:tr>
      <w:tr w:rsidR="00AB01EA" w:rsidRPr="00480790" w14:paraId="3B683108"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01BCEF5B" w14:textId="5A93234A" w:rsidR="001C256F" w:rsidRPr="00480790" w:rsidRDefault="001C256F">
            <w:pPr>
              <w:keepLines/>
              <w:jc w:val="center"/>
              <w:rPr>
                <w:rFonts w:ascii="Arial Narrow" w:hAnsi="Arial Narrow"/>
                <w:sz w:val="20"/>
                <w:szCs w:val="20"/>
              </w:rPr>
            </w:pPr>
          </w:p>
        </w:tc>
        <w:tc>
          <w:tcPr>
            <w:tcW w:w="7745" w:type="dxa"/>
            <w:gridSpan w:val="6"/>
            <w:vAlign w:val="center"/>
          </w:tcPr>
          <w:p w14:paraId="483738E5" w14:textId="77777777" w:rsidR="001C256F" w:rsidRPr="00480790" w:rsidRDefault="001C256F">
            <w:pPr>
              <w:keepLines/>
              <w:rPr>
                <w:rFonts w:ascii="Arial Narrow" w:hAnsi="Arial Narrow"/>
                <w:i/>
                <w:iCs/>
                <w:sz w:val="20"/>
                <w:szCs w:val="20"/>
              </w:rPr>
            </w:pPr>
            <w:r w:rsidRPr="00480790">
              <w:rPr>
                <w:rFonts w:ascii="Arial Narrow" w:hAnsi="Arial Narrow"/>
                <w:i/>
                <w:iCs/>
                <w:sz w:val="20"/>
                <w:szCs w:val="20"/>
              </w:rPr>
              <w:t xml:space="preserve">Patient must be undergoing treatment that does not occur beyond the following, whichever comes first: (i) the first instance of disease progression/recurrence, </w:t>
            </w:r>
          </w:p>
          <w:p w14:paraId="098E83F0" w14:textId="573EE48E" w:rsidR="001C256F" w:rsidRPr="00480790" w:rsidRDefault="001C256F">
            <w:pPr>
              <w:keepLines/>
              <w:rPr>
                <w:rFonts w:ascii="Arial Narrow" w:hAnsi="Arial Narrow"/>
                <w:sz w:val="20"/>
                <w:szCs w:val="20"/>
              </w:rPr>
            </w:pPr>
            <w:r w:rsidRPr="00480790">
              <w:rPr>
                <w:rFonts w:ascii="Arial Narrow" w:hAnsi="Arial Narrow"/>
                <w:i/>
                <w:iCs/>
                <w:sz w:val="20"/>
                <w:szCs w:val="20"/>
              </w:rPr>
              <w:t>(ii) 24 months in total for this indication from the first administered dose (</w:t>
            </w:r>
            <w:r w:rsidR="00866B92" w:rsidRPr="00480790">
              <w:rPr>
                <w:rFonts w:ascii="Arial Narrow" w:hAnsi="Arial Narrow"/>
                <w:i/>
                <w:iCs/>
                <w:sz w:val="20"/>
                <w:szCs w:val="20"/>
              </w:rPr>
              <w:t>regardless of</w:t>
            </w:r>
            <w:r w:rsidRPr="00480790">
              <w:rPr>
                <w:rFonts w:ascii="Arial Narrow" w:hAnsi="Arial Narrow"/>
                <w:i/>
                <w:iCs/>
                <w:sz w:val="20"/>
                <w:szCs w:val="20"/>
              </w:rPr>
              <w:t xml:space="preserve"> whether treatment was PBS or non-PBS subsidised); mark any remaining repeat prescriptions with the words 'cancelled' where (i)/(ii) has occurred.</w:t>
            </w:r>
          </w:p>
        </w:tc>
      </w:tr>
      <w:tr w:rsidR="00AB01EA" w:rsidRPr="00480790" w14:paraId="2D73C6E8"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272DC524" w14:textId="59BDC3E5" w:rsidR="001C256F" w:rsidRPr="00480790" w:rsidRDefault="001C256F">
            <w:pPr>
              <w:keepLines/>
              <w:jc w:val="center"/>
              <w:rPr>
                <w:rFonts w:ascii="Arial Narrow" w:hAnsi="Arial Narrow"/>
                <w:i/>
                <w:iCs/>
                <w:sz w:val="20"/>
                <w:szCs w:val="20"/>
              </w:rPr>
            </w:pPr>
          </w:p>
        </w:tc>
        <w:tc>
          <w:tcPr>
            <w:tcW w:w="7745" w:type="dxa"/>
            <w:gridSpan w:val="6"/>
            <w:vAlign w:val="center"/>
          </w:tcPr>
          <w:p w14:paraId="21F0C9A0" w14:textId="77777777" w:rsidR="001C256F" w:rsidRPr="00480790" w:rsidRDefault="001C256F">
            <w:pPr>
              <w:keepLines/>
              <w:rPr>
                <w:rFonts w:ascii="Arial Narrow" w:hAnsi="Arial Narrow"/>
                <w:b/>
                <w:bCs/>
                <w:i/>
                <w:iCs/>
                <w:sz w:val="20"/>
                <w:szCs w:val="20"/>
              </w:rPr>
            </w:pPr>
            <w:r w:rsidRPr="00480790">
              <w:rPr>
                <w:rFonts w:ascii="Arial Narrow" w:hAnsi="Arial Narrow"/>
                <w:b/>
                <w:bCs/>
                <w:i/>
                <w:iCs/>
                <w:sz w:val="20"/>
                <w:szCs w:val="20"/>
              </w:rPr>
              <w:t xml:space="preserve">Administrative Advice: </w:t>
            </w:r>
            <w:r w:rsidRPr="00480790">
              <w:rPr>
                <w:rFonts w:ascii="Arial Narrow" w:hAnsi="Arial Narrow"/>
                <w:bCs/>
                <w:i/>
                <w:iCs/>
                <w:sz w:val="20"/>
                <w:szCs w:val="20"/>
              </w:rPr>
              <w:t>Patients may qualify for PBS-subsidised treatment under this restriction once only. For continuing PBS-subsidised treatment, a 'Grandfathered' patient must qualify under the 'Continuing treatment' criteria.</w:t>
            </w:r>
          </w:p>
        </w:tc>
      </w:tr>
      <w:tr w:rsidR="00AB01EA" w:rsidRPr="00480790" w14:paraId="07AEEF90" w14:textId="77777777">
        <w:tblPrEx>
          <w:tblCellMar>
            <w:top w:w="15" w:type="dxa"/>
            <w:bottom w:w="15" w:type="dxa"/>
          </w:tblCellMar>
          <w:tblLook w:val="04A0" w:firstRow="1" w:lastRow="0" w:firstColumn="1" w:lastColumn="0" w:noHBand="0" w:noVBand="1"/>
        </w:tblPrEx>
        <w:trPr>
          <w:gridBefore w:val="1"/>
          <w:wBefore w:w="7" w:type="dxa"/>
          <w:cantSplit/>
          <w:trHeight w:val="20"/>
        </w:trPr>
        <w:tc>
          <w:tcPr>
            <w:tcW w:w="1270" w:type="dxa"/>
            <w:gridSpan w:val="2"/>
            <w:vAlign w:val="center"/>
          </w:tcPr>
          <w:p w14:paraId="4DA28C92" w14:textId="60110540" w:rsidR="001C256F" w:rsidRPr="00480790" w:rsidRDefault="001C256F">
            <w:pPr>
              <w:keepLines/>
              <w:jc w:val="center"/>
              <w:rPr>
                <w:rFonts w:ascii="Arial Narrow" w:hAnsi="Arial Narrow"/>
                <w:i/>
                <w:iCs/>
                <w:sz w:val="20"/>
                <w:szCs w:val="20"/>
              </w:rPr>
            </w:pPr>
          </w:p>
        </w:tc>
        <w:tc>
          <w:tcPr>
            <w:tcW w:w="7745" w:type="dxa"/>
            <w:gridSpan w:val="6"/>
            <w:vAlign w:val="center"/>
          </w:tcPr>
          <w:p w14:paraId="6FF79228" w14:textId="77777777" w:rsidR="001C256F" w:rsidRPr="00480790" w:rsidRDefault="001C256F">
            <w:pPr>
              <w:keepLines/>
              <w:rPr>
                <w:rFonts w:ascii="Arial Narrow" w:hAnsi="Arial Narrow"/>
                <w:b/>
                <w:bCs/>
                <w:i/>
                <w:iCs/>
                <w:sz w:val="20"/>
                <w:szCs w:val="20"/>
              </w:rPr>
            </w:pPr>
            <w:r w:rsidRPr="00480790">
              <w:rPr>
                <w:rFonts w:ascii="Arial Narrow" w:hAnsi="Arial Narrow"/>
                <w:b/>
                <w:bCs/>
                <w:i/>
                <w:iCs/>
                <w:sz w:val="20"/>
                <w:szCs w:val="20"/>
              </w:rPr>
              <w:t xml:space="preserve">Administrative Advice: </w:t>
            </w:r>
            <w:r w:rsidRPr="00480790">
              <w:rPr>
                <w:rFonts w:ascii="Arial Narrow" w:hAnsi="Arial Narrow"/>
                <w:i/>
                <w:iCs/>
                <w:sz w:val="20"/>
                <w:szCs w:val="20"/>
              </w:rPr>
              <w:t>This grandfather restriction will cease to operate from 12 months after the date specified in the clinical criteria.</w:t>
            </w:r>
          </w:p>
        </w:tc>
      </w:tr>
    </w:tbl>
    <w:p w14:paraId="68B40C69" w14:textId="77777777" w:rsidR="00293CDF" w:rsidRPr="00480790" w:rsidRDefault="00293CDF" w:rsidP="00293CDF"/>
    <w:p w14:paraId="386FB867" w14:textId="00416B0A" w:rsidR="001C256F" w:rsidRPr="00480790" w:rsidRDefault="001C256F" w:rsidP="0001365A">
      <w:pPr>
        <w:pStyle w:val="5-SubsectionSubheading"/>
      </w:pPr>
      <w:r w:rsidRPr="00480790">
        <w:t>Flow on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126"/>
        <w:gridCol w:w="993"/>
        <w:gridCol w:w="992"/>
        <w:gridCol w:w="991"/>
        <w:gridCol w:w="812"/>
        <w:gridCol w:w="1831"/>
      </w:tblGrid>
      <w:tr w:rsidR="00AB01EA" w:rsidRPr="00480790" w14:paraId="5D4D6D2F" w14:textId="77777777">
        <w:trPr>
          <w:cantSplit/>
          <w:trHeight w:val="20"/>
        </w:trPr>
        <w:tc>
          <w:tcPr>
            <w:tcW w:w="3397" w:type="dxa"/>
            <w:gridSpan w:val="3"/>
            <w:vAlign w:val="center"/>
          </w:tcPr>
          <w:p w14:paraId="310221DC" w14:textId="77777777" w:rsidR="001C256F" w:rsidRPr="00480790" w:rsidRDefault="001C256F">
            <w:pPr>
              <w:keepLines/>
              <w:rPr>
                <w:rFonts w:ascii="Arial Narrow" w:hAnsi="Arial Narrow"/>
                <w:b/>
                <w:bCs/>
                <w:sz w:val="20"/>
                <w:szCs w:val="20"/>
              </w:rPr>
            </w:pPr>
            <w:r w:rsidRPr="00480790">
              <w:rPr>
                <w:rFonts w:ascii="Arial Narrow" w:hAnsi="Arial Narrow"/>
                <w:b/>
                <w:bCs/>
                <w:sz w:val="20"/>
                <w:szCs w:val="20"/>
              </w:rPr>
              <w:t>MEDICINAL PRODUCT</w:t>
            </w:r>
          </w:p>
          <w:p w14:paraId="39D9B19D" w14:textId="77777777" w:rsidR="001C256F" w:rsidRPr="00480790" w:rsidRDefault="001C256F">
            <w:pPr>
              <w:keepLines/>
              <w:rPr>
                <w:rFonts w:ascii="Arial Narrow" w:hAnsi="Arial Narrow"/>
                <w:b/>
                <w:sz w:val="20"/>
                <w:szCs w:val="20"/>
              </w:rPr>
            </w:pPr>
            <w:r w:rsidRPr="00480790">
              <w:rPr>
                <w:rFonts w:ascii="Arial Narrow" w:hAnsi="Arial Narrow"/>
                <w:b/>
                <w:bCs/>
                <w:sz w:val="20"/>
                <w:szCs w:val="20"/>
              </w:rPr>
              <w:t>medicinal product pack</w:t>
            </w:r>
          </w:p>
        </w:tc>
        <w:tc>
          <w:tcPr>
            <w:tcW w:w="993" w:type="dxa"/>
            <w:vAlign w:val="center"/>
          </w:tcPr>
          <w:p w14:paraId="6F7FB2D1" w14:textId="77777777" w:rsidR="001C256F" w:rsidRPr="00480790" w:rsidRDefault="001C256F">
            <w:pPr>
              <w:keepLines/>
              <w:jc w:val="center"/>
              <w:rPr>
                <w:rFonts w:ascii="Arial Narrow" w:hAnsi="Arial Narrow"/>
                <w:b/>
                <w:sz w:val="20"/>
                <w:szCs w:val="20"/>
              </w:rPr>
            </w:pPr>
            <w:r w:rsidRPr="00480790">
              <w:rPr>
                <w:rFonts w:ascii="Arial Narrow" w:hAnsi="Arial Narrow"/>
                <w:b/>
                <w:sz w:val="20"/>
                <w:szCs w:val="20"/>
              </w:rPr>
              <w:t>PBS item code</w:t>
            </w:r>
          </w:p>
        </w:tc>
        <w:tc>
          <w:tcPr>
            <w:tcW w:w="992" w:type="dxa"/>
            <w:vAlign w:val="center"/>
          </w:tcPr>
          <w:p w14:paraId="10FBF384" w14:textId="77777777" w:rsidR="001C256F" w:rsidRPr="00480790" w:rsidRDefault="001C256F">
            <w:pPr>
              <w:keepLines/>
              <w:jc w:val="center"/>
              <w:rPr>
                <w:rFonts w:ascii="Arial Narrow" w:hAnsi="Arial Narrow"/>
                <w:b/>
                <w:sz w:val="20"/>
                <w:szCs w:val="20"/>
              </w:rPr>
            </w:pPr>
            <w:r w:rsidRPr="00480790">
              <w:rPr>
                <w:rFonts w:ascii="Arial Narrow" w:hAnsi="Arial Narrow"/>
                <w:b/>
                <w:sz w:val="20"/>
                <w:szCs w:val="20"/>
              </w:rPr>
              <w:t>Max. qty packs</w:t>
            </w:r>
          </w:p>
        </w:tc>
        <w:tc>
          <w:tcPr>
            <w:tcW w:w="991" w:type="dxa"/>
            <w:vAlign w:val="center"/>
          </w:tcPr>
          <w:p w14:paraId="2CB9BE89" w14:textId="77777777" w:rsidR="001C256F" w:rsidRPr="00480790" w:rsidRDefault="001C256F">
            <w:pPr>
              <w:keepLines/>
              <w:jc w:val="center"/>
              <w:rPr>
                <w:rFonts w:ascii="Arial Narrow" w:hAnsi="Arial Narrow"/>
                <w:b/>
                <w:sz w:val="20"/>
                <w:szCs w:val="20"/>
              </w:rPr>
            </w:pPr>
            <w:r w:rsidRPr="00480790">
              <w:rPr>
                <w:rFonts w:ascii="Arial Narrow" w:hAnsi="Arial Narrow"/>
                <w:b/>
                <w:sz w:val="20"/>
                <w:szCs w:val="20"/>
              </w:rPr>
              <w:t>Max. qty units</w:t>
            </w:r>
          </w:p>
        </w:tc>
        <w:tc>
          <w:tcPr>
            <w:tcW w:w="812" w:type="dxa"/>
            <w:vAlign w:val="center"/>
          </w:tcPr>
          <w:p w14:paraId="6CCF4E5B" w14:textId="77777777" w:rsidR="001C256F" w:rsidRPr="00480790" w:rsidRDefault="001C256F">
            <w:pPr>
              <w:keepLines/>
              <w:jc w:val="center"/>
              <w:rPr>
                <w:rFonts w:ascii="Arial Narrow" w:hAnsi="Arial Narrow"/>
                <w:b/>
                <w:bCs/>
                <w:sz w:val="20"/>
                <w:szCs w:val="20"/>
              </w:rPr>
            </w:pPr>
            <w:r w:rsidRPr="00480790">
              <w:rPr>
                <w:rFonts w:ascii="Arial Narrow" w:hAnsi="Arial Narrow"/>
                <w:b/>
                <w:bCs/>
                <w:sz w:val="20"/>
                <w:szCs w:val="20"/>
              </w:rPr>
              <w:t>№.of</w:t>
            </w:r>
          </w:p>
          <w:p w14:paraId="67FDE8ED" w14:textId="77777777" w:rsidR="001C256F" w:rsidRPr="00480790" w:rsidRDefault="001C256F">
            <w:pPr>
              <w:keepLines/>
              <w:jc w:val="center"/>
              <w:rPr>
                <w:rFonts w:ascii="Arial Narrow" w:hAnsi="Arial Narrow"/>
                <w:b/>
                <w:bCs/>
                <w:sz w:val="20"/>
                <w:szCs w:val="20"/>
              </w:rPr>
            </w:pPr>
            <w:r w:rsidRPr="00480790">
              <w:rPr>
                <w:rFonts w:ascii="Arial Narrow" w:hAnsi="Arial Narrow"/>
                <w:b/>
                <w:bCs/>
                <w:sz w:val="20"/>
                <w:szCs w:val="20"/>
              </w:rPr>
              <w:t>Rpts</w:t>
            </w:r>
          </w:p>
        </w:tc>
        <w:tc>
          <w:tcPr>
            <w:tcW w:w="1831" w:type="dxa"/>
            <w:vAlign w:val="center"/>
          </w:tcPr>
          <w:p w14:paraId="12DDAD48" w14:textId="77777777" w:rsidR="001C256F" w:rsidRPr="00480790" w:rsidRDefault="001C256F">
            <w:pPr>
              <w:keepLines/>
              <w:rPr>
                <w:rFonts w:ascii="Arial Narrow" w:hAnsi="Arial Narrow"/>
                <w:b/>
                <w:sz w:val="20"/>
                <w:szCs w:val="20"/>
              </w:rPr>
            </w:pPr>
            <w:r w:rsidRPr="00480790">
              <w:rPr>
                <w:rFonts w:ascii="Arial Narrow" w:hAnsi="Arial Narrow"/>
                <w:b/>
                <w:sz w:val="20"/>
                <w:szCs w:val="20"/>
              </w:rPr>
              <w:t>Available brands</w:t>
            </w:r>
          </w:p>
        </w:tc>
      </w:tr>
      <w:tr w:rsidR="00AB01EA" w:rsidRPr="00480790" w14:paraId="262BAD29" w14:textId="77777777">
        <w:trPr>
          <w:cantSplit/>
          <w:trHeight w:val="20"/>
        </w:trPr>
        <w:tc>
          <w:tcPr>
            <w:tcW w:w="9016" w:type="dxa"/>
            <w:gridSpan w:val="8"/>
            <w:vAlign w:val="center"/>
          </w:tcPr>
          <w:p w14:paraId="7E628F98" w14:textId="77777777" w:rsidR="001C256F" w:rsidRPr="00480790" w:rsidRDefault="001C256F">
            <w:pPr>
              <w:keepLines/>
              <w:rPr>
                <w:rFonts w:ascii="Arial Narrow" w:hAnsi="Arial Narrow"/>
                <w:sz w:val="20"/>
                <w:szCs w:val="20"/>
              </w:rPr>
            </w:pPr>
            <w:r w:rsidRPr="00480790">
              <w:rPr>
                <w:rFonts w:ascii="Arial Narrow" w:hAnsi="Arial Narrow"/>
                <w:sz w:val="20"/>
                <w:szCs w:val="20"/>
              </w:rPr>
              <w:t>ALECTINIB</w:t>
            </w:r>
          </w:p>
        </w:tc>
      </w:tr>
      <w:tr w:rsidR="00AB01EA" w:rsidRPr="00480790" w14:paraId="19A54BCC" w14:textId="77777777">
        <w:trPr>
          <w:cantSplit/>
          <w:trHeight w:val="20"/>
        </w:trPr>
        <w:tc>
          <w:tcPr>
            <w:tcW w:w="3397" w:type="dxa"/>
            <w:gridSpan w:val="3"/>
            <w:vAlign w:val="center"/>
          </w:tcPr>
          <w:p w14:paraId="749EC9F2" w14:textId="77777777" w:rsidR="001C256F" w:rsidRPr="00480790" w:rsidRDefault="001C256F">
            <w:pPr>
              <w:keepLines/>
              <w:rPr>
                <w:rFonts w:ascii="Arial Narrow" w:hAnsi="Arial Narrow"/>
                <w:sz w:val="20"/>
                <w:szCs w:val="20"/>
              </w:rPr>
            </w:pPr>
            <w:r w:rsidRPr="00480790">
              <w:rPr>
                <w:rFonts w:ascii="Arial Narrow" w:hAnsi="Arial Narrow"/>
                <w:sz w:val="20"/>
                <w:szCs w:val="20"/>
              </w:rPr>
              <w:t>alectinib 150 mg capsule, 4 x 56</w:t>
            </w:r>
          </w:p>
        </w:tc>
        <w:tc>
          <w:tcPr>
            <w:tcW w:w="993" w:type="dxa"/>
            <w:vAlign w:val="center"/>
          </w:tcPr>
          <w:p w14:paraId="0AB630C5" w14:textId="77777777" w:rsidR="001C256F" w:rsidRPr="00480790" w:rsidRDefault="001C256F">
            <w:pPr>
              <w:keepLines/>
              <w:jc w:val="center"/>
              <w:rPr>
                <w:rFonts w:ascii="Arial Narrow" w:hAnsi="Arial Narrow"/>
                <w:sz w:val="20"/>
                <w:szCs w:val="20"/>
              </w:rPr>
            </w:pPr>
            <w:r w:rsidRPr="00480790">
              <w:rPr>
                <w:rFonts w:ascii="Arial Narrow" w:hAnsi="Arial Narrow"/>
                <w:sz w:val="20"/>
                <w:szCs w:val="20"/>
              </w:rPr>
              <w:t>11226W</w:t>
            </w:r>
          </w:p>
        </w:tc>
        <w:tc>
          <w:tcPr>
            <w:tcW w:w="992" w:type="dxa"/>
            <w:vAlign w:val="center"/>
          </w:tcPr>
          <w:p w14:paraId="0A799FC1" w14:textId="77777777" w:rsidR="001C256F" w:rsidRPr="00480790" w:rsidRDefault="001C256F">
            <w:pPr>
              <w:keepLines/>
              <w:jc w:val="center"/>
              <w:rPr>
                <w:rFonts w:ascii="Arial Narrow" w:hAnsi="Arial Narrow"/>
                <w:sz w:val="20"/>
                <w:szCs w:val="20"/>
              </w:rPr>
            </w:pPr>
            <w:r w:rsidRPr="00480790">
              <w:rPr>
                <w:rFonts w:ascii="Arial Narrow" w:hAnsi="Arial Narrow"/>
                <w:sz w:val="20"/>
                <w:szCs w:val="20"/>
              </w:rPr>
              <w:t>1</w:t>
            </w:r>
          </w:p>
        </w:tc>
        <w:tc>
          <w:tcPr>
            <w:tcW w:w="991" w:type="dxa"/>
            <w:vAlign w:val="center"/>
          </w:tcPr>
          <w:p w14:paraId="76F26CB4" w14:textId="77777777" w:rsidR="001C256F" w:rsidRPr="00480790" w:rsidRDefault="001C256F">
            <w:pPr>
              <w:keepLines/>
              <w:jc w:val="center"/>
              <w:rPr>
                <w:rFonts w:ascii="Arial Narrow" w:hAnsi="Arial Narrow"/>
                <w:sz w:val="20"/>
                <w:szCs w:val="20"/>
              </w:rPr>
            </w:pPr>
            <w:r w:rsidRPr="00480790">
              <w:rPr>
                <w:rFonts w:ascii="Arial Narrow" w:hAnsi="Arial Narrow"/>
                <w:sz w:val="20"/>
                <w:szCs w:val="20"/>
              </w:rPr>
              <w:t>224</w:t>
            </w:r>
          </w:p>
        </w:tc>
        <w:tc>
          <w:tcPr>
            <w:tcW w:w="812" w:type="dxa"/>
            <w:vAlign w:val="center"/>
          </w:tcPr>
          <w:p w14:paraId="4D411B11" w14:textId="77777777" w:rsidR="001C256F" w:rsidRPr="00480790" w:rsidRDefault="001C256F">
            <w:pPr>
              <w:keepLines/>
              <w:jc w:val="center"/>
              <w:rPr>
                <w:rFonts w:ascii="Arial Narrow" w:hAnsi="Arial Narrow"/>
                <w:sz w:val="20"/>
                <w:szCs w:val="20"/>
              </w:rPr>
            </w:pPr>
            <w:r w:rsidRPr="00480790">
              <w:rPr>
                <w:rFonts w:ascii="Arial Narrow" w:hAnsi="Arial Narrow"/>
                <w:sz w:val="20"/>
                <w:szCs w:val="20"/>
              </w:rPr>
              <w:t>3</w:t>
            </w:r>
          </w:p>
        </w:tc>
        <w:tc>
          <w:tcPr>
            <w:tcW w:w="1831" w:type="dxa"/>
            <w:vAlign w:val="center"/>
          </w:tcPr>
          <w:p w14:paraId="55B847BF" w14:textId="20D66370" w:rsidR="001C256F" w:rsidRPr="00480790" w:rsidRDefault="001C256F">
            <w:pPr>
              <w:keepLines/>
              <w:rPr>
                <w:rFonts w:ascii="Arial Narrow" w:hAnsi="Arial Narrow"/>
                <w:sz w:val="20"/>
                <w:szCs w:val="20"/>
              </w:rPr>
            </w:pPr>
            <w:r w:rsidRPr="00480790">
              <w:rPr>
                <w:rFonts w:ascii="Arial Narrow" w:hAnsi="Arial Narrow"/>
                <w:sz w:val="20"/>
                <w:szCs w:val="20"/>
              </w:rPr>
              <w:t>Al</w:t>
            </w:r>
            <w:r w:rsidR="00332C24" w:rsidRPr="00480790">
              <w:rPr>
                <w:rFonts w:ascii="Arial Narrow" w:hAnsi="Arial Narrow"/>
                <w:sz w:val="20"/>
                <w:szCs w:val="20"/>
              </w:rPr>
              <w:t>e</w:t>
            </w:r>
            <w:r w:rsidRPr="00480790">
              <w:rPr>
                <w:rFonts w:ascii="Arial Narrow" w:hAnsi="Arial Narrow"/>
                <w:sz w:val="20"/>
                <w:szCs w:val="20"/>
              </w:rPr>
              <w:t xml:space="preserve">censa </w:t>
            </w:r>
          </w:p>
        </w:tc>
      </w:tr>
      <w:tr w:rsidR="00AB01EA" w:rsidRPr="00480790" w14:paraId="0703B760" w14:textId="7777777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55989AD" w14:textId="77777777" w:rsidR="001C256F" w:rsidRPr="00480790" w:rsidRDefault="001C256F">
            <w:pPr>
              <w:rPr>
                <w:rFonts w:ascii="Arial Narrow" w:hAnsi="Arial Narrow"/>
                <w:sz w:val="20"/>
                <w:szCs w:val="20"/>
              </w:rPr>
            </w:pPr>
          </w:p>
        </w:tc>
      </w:tr>
      <w:tr w:rsidR="00AB01EA" w:rsidRPr="00480790" w14:paraId="406F100F" w14:textId="7777777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349E855D" w14:textId="037AD675" w:rsidR="001C256F" w:rsidRPr="00480790" w:rsidRDefault="001C256F">
            <w:pPr>
              <w:keepLines/>
              <w:rPr>
                <w:rFonts w:ascii="Arial Narrow" w:hAnsi="Arial Narrow"/>
                <w:b/>
                <w:sz w:val="20"/>
                <w:szCs w:val="20"/>
              </w:rPr>
            </w:pPr>
            <w:r w:rsidRPr="00480790">
              <w:rPr>
                <w:rFonts w:ascii="Arial Narrow" w:hAnsi="Arial Narrow"/>
                <w:b/>
                <w:sz w:val="20"/>
                <w:szCs w:val="20"/>
              </w:rPr>
              <w:t xml:space="preserve">Restriction Summary / Treatment of Concept: </w:t>
            </w:r>
          </w:p>
        </w:tc>
      </w:tr>
      <w:tr w:rsidR="00AB01EA" w:rsidRPr="00480790" w14:paraId="05FD9424" w14:textId="77777777">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7FC7F007" w14:textId="080C5C1A" w:rsidR="001C256F" w:rsidRPr="00480790" w:rsidRDefault="001C256F">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45041EB" w14:textId="77777777" w:rsidR="001C256F" w:rsidRPr="00480790" w:rsidRDefault="001C256F">
            <w:pPr>
              <w:keepLines/>
              <w:rPr>
                <w:rFonts w:ascii="Arial Narrow" w:hAnsi="Arial Narrow"/>
                <w:sz w:val="20"/>
                <w:szCs w:val="20"/>
              </w:rPr>
            </w:pPr>
            <w:r w:rsidRPr="00480790">
              <w:rPr>
                <w:rFonts w:ascii="Arial Narrow" w:hAnsi="Arial Narrow"/>
                <w:b/>
                <w:sz w:val="20"/>
                <w:szCs w:val="20"/>
              </w:rPr>
              <w:t>Category / Program:</w:t>
            </w:r>
            <w:r w:rsidRPr="00480790">
              <w:rPr>
                <w:rFonts w:ascii="Arial Narrow" w:hAnsi="Arial Narrow"/>
                <w:sz w:val="20"/>
                <w:szCs w:val="20"/>
              </w:rPr>
              <w:t xml:space="preserve"> </w:t>
            </w:r>
            <w:r w:rsidRPr="00480790">
              <w:rPr>
                <w:rFonts w:ascii="Arial Narrow" w:eastAsia="Calibri" w:hAnsi="Arial Narrow"/>
                <w:sz w:val="20"/>
                <w:szCs w:val="20"/>
              </w:rPr>
              <w:fldChar w:fldCharType="begin">
                <w:ffData>
                  <w:name w:val="Check1"/>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 xml:space="preserve"> GENERAL - General Schedule (Code GE) </w:t>
            </w:r>
          </w:p>
        </w:tc>
      </w:tr>
      <w:tr w:rsidR="00AB01EA" w:rsidRPr="00480790" w14:paraId="4700CC2B" w14:textId="77777777">
        <w:tblPrEx>
          <w:tblCellMar>
            <w:top w:w="15" w:type="dxa"/>
            <w:bottom w:w="15" w:type="dxa"/>
          </w:tblCellMar>
          <w:tblLook w:val="04A0" w:firstRow="1" w:lastRow="0" w:firstColumn="1" w:lastColumn="0" w:noHBand="0" w:noVBand="1"/>
        </w:tblPrEx>
        <w:trPr>
          <w:trHeight w:val="20"/>
        </w:trPr>
        <w:tc>
          <w:tcPr>
            <w:tcW w:w="1271" w:type="dxa"/>
            <w:gridSpan w:val="2"/>
            <w:vMerge/>
          </w:tcPr>
          <w:p w14:paraId="6C28CC4B" w14:textId="77777777" w:rsidR="001C256F" w:rsidRPr="00480790" w:rsidRDefault="001C256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4324152" w14:textId="77777777" w:rsidR="001C256F" w:rsidRPr="00480790" w:rsidRDefault="001C256F">
            <w:pPr>
              <w:keepLines/>
              <w:rPr>
                <w:rFonts w:ascii="Arial Narrow" w:hAnsi="Arial Narrow"/>
                <w:b/>
                <w:sz w:val="20"/>
                <w:szCs w:val="20"/>
              </w:rPr>
            </w:pPr>
            <w:r w:rsidRPr="00480790">
              <w:rPr>
                <w:rFonts w:ascii="Arial Narrow" w:hAnsi="Arial Narrow"/>
                <w:b/>
                <w:sz w:val="20"/>
                <w:szCs w:val="20"/>
              </w:rPr>
              <w:t xml:space="preserve">Prescriber type: </w:t>
            </w:r>
            <w:r w:rsidRPr="00480790">
              <w:rPr>
                <w:rFonts w:ascii="Arial Narrow" w:hAnsi="Arial Narrow"/>
                <w:sz w:val="20"/>
                <w:szCs w:val="20"/>
              </w:rPr>
              <w:t xml:space="preserve"> </w:t>
            </w:r>
            <w:r w:rsidRPr="00480790">
              <w:rPr>
                <w:rFonts w:ascii="Arial Narrow" w:hAnsi="Arial Narrow"/>
                <w:sz w:val="20"/>
                <w:szCs w:val="20"/>
              </w:rPr>
              <w:fldChar w:fldCharType="begin">
                <w:ffData>
                  <w:name w:val=""/>
                  <w:enabled/>
                  <w:calcOnExit w:val="0"/>
                  <w:checkBox>
                    <w:sizeAuto/>
                    <w:default w:val="1"/>
                  </w:checkBox>
                </w:ffData>
              </w:fldChar>
            </w:r>
            <w:r w:rsidRPr="00480790">
              <w:rPr>
                <w:rFonts w:ascii="Arial Narrow" w:hAnsi="Arial Narrow"/>
                <w:sz w:val="20"/>
                <w:szCs w:val="20"/>
              </w:rPr>
              <w:instrText xml:space="preserve"> FORMCHECKBOX </w:instrText>
            </w:r>
            <w:r w:rsidRPr="00480790">
              <w:rPr>
                <w:rFonts w:ascii="Arial Narrow" w:hAnsi="Arial Narrow"/>
                <w:sz w:val="20"/>
                <w:szCs w:val="20"/>
              </w:rPr>
            </w:r>
            <w:r w:rsidRPr="00480790">
              <w:rPr>
                <w:rFonts w:ascii="Arial Narrow" w:hAnsi="Arial Narrow"/>
                <w:sz w:val="20"/>
                <w:szCs w:val="20"/>
              </w:rPr>
              <w:fldChar w:fldCharType="separate"/>
            </w:r>
            <w:r w:rsidRPr="00480790">
              <w:rPr>
                <w:rFonts w:ascii="Arial Narrow" w:hAnsi="Arial Narrow"/>
                <w:sz w:val="20"/>
                <w:szCs w:val="20"/>
              </w:rPr>
              <w:fldChar w:fldCharType="end"/>
            </w:r>
            <w:r w:rsidRPr="00480790">
              <w:rPr>
                <w:rFonts w:ascii="Arial Narrow" w:hAnsi="Arial Narrow"/>
                <w:sz w:val="20"/>
                <w:szCs w:val="20"/>
              </w:rPr>
              <w:t xml:space="preserve">Medical Practitioners </w:t>
            </w:r>
          </w:p>
        </w:tc>
      </w:tr>
      <w:tr w:rsidR="00AB01EA" w:rsidRPr="00480790" w14:paraId="09179D05" w14:textId="77777777">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04A55E53" w14:textId="5D35F363" w:rsidR="001C256F" w:rsidRPr="00480790" w:rsidRDefault="001C256F">
            <w:pPr>
              <w:jc w:val="center"/>
              <w:rPr>
                <w:rFonts w:ascii="Arial Narrow" w:hAnsi="Arial Narrow"/>
                <w:sz w:val="20"/>
                <w:szCs w:val="20"/>
              </w:rPr>
            </w:pPr>
          </w:p>
        </w:tc>
        <w:tc>
          <w:tcPr>
            <w:tcW w:w="784" w:type="dxa"/>
            <w:vAlign w:val="center"/>
          </w:tcPr>
          <w:p w14:paraId="57203B51" w14:textId="79C701AA" w:rsidR="001C256F" w:rsidRPr="00480790" w:rsidRDefault="001C256F">
            <w:pPr>
              <w:jc w:val="center"/>
              <w:rPr>
                <w:rFonts w:ascii="Arial Narrow" w:hAnsi="Arial Narrow"/>
                <w:sz w:val="20"/>
                <w:szCs w:val="20"/>
              </w:rPr>
            </w:pPr>
          </w:p>
        </w:tc>
        <w:tc>
          <w:tcPr>
            <w:tcW w:w="7745" w:type="dxa"/>
            <w:gridSpan w:val="6"/>
            <w:vAlign w:val="center"/>
          </w:tcPr>
          <w:p w14:paraId="0A906FDD" w14:textId="77777777" w:rsidR="001C256F" w:rsidRPr="00480790" w:rsidRDefault="001C256F">
            <w:pPr>
              <w:keepLines/>
              <w:rPr>
                <w:rFonts w:ascii="Arial Narrow" w:hAnsi="Arial Narrow"/>
                <w:b/>
                <w:bCs/>
                <w:sz w:val="20"/>
                <w:szCs w:val="20"/>
              </w:rPr>
            </w:pPr>
            <w:r w:rsidRPr="00480790">
              <w:rPr>
                <w:rFonts w:ascii="Arial Narrow" w:hAnsi="Arial Narrow"/>
                <w:b/>
                <w:bCs/>
                <w:sz w:val="20"/>
                <w:szCs w:val="20"/>
              </w:rPr>
              <w:t>Administration advice:</w:t>
            </w:r>
          </w:p>
          <w:p w14:paraId="6220382A" w14:textId="77777777" w:rsidR="001C256F" w:rsidRPr="00480790" w:rsidRDefault="001C256F">
            <w:pPr>
              <w:rPr>
                <w:rFonts w:ascii="Arial Narrow" w:hAnsi="Arial Narrow"/>
                <w:sz w:val="20"/>
                <w:szCs w:val="20"/>
              </w:rPr>
            </w:pPr>
            <w:r w:rsidRPr="00480790">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AB01EA" w:rsidRPr="00480790" w14:paraId="0F1CE24E" w14:textId="77777777">
        <w:tblPrEx>
          <w:tblCellMar>
            <w:top w:w="15" w:type="dxa"/>
            <w:bottom w:w="15" w:type="dxa"/>
          </w:tblCellMar>
          <w:tblLook w:val="04A0" w:firstRow="1" w:lastRow="0" w:firstColumn="1" w:lastColumn="0" w:noHBand="0" w:noVBand="1"/>
        </w:tblPrEx>
        <w:trPr>
          <w:trHeight w:val="20"/>
        </w:trPr>
        <w:tc>
          <w:tcPr>
            <w:tcW w:w="487" w:type="dxa"/>
            <w:vMerge/>
          </w:tcPr>
          <w:p w14:paraId="69EF82A9" w14:textId="77777777" w:rsidR="001C256F" w:rsidRPr="00480790" w:rsidRDefault="001C256F">
            <w:pPr>
              <w:rPr>
                <w:rFonts w:ascii="Arial Narrow" w:hAnsi="Arial Narrow"/>
                <w:sz w:val="20"/>
                <w:szCs w:val="20"/>
              </w:rPr>
            </w:pPr>
          </w:p>
        </w:tc>
        <w:tc>
          <w:tcPr>
            <w:tcW w:w="784" w:type="dxa"/>
            <w:vAlign w:val="center"/>
          </w:tcPr>
          <w:p w14:paraId="24746FED" w14:textId="6297DBC1" w:rsidR="001C256F" w:rsidRPr="00480790" w:rsidRDefault="001C256F">
            <w:pPr>
              <w:jc w:val="center"/>
              <w:rPr>
                <w:rFonts w:ascii="Arial Narrow" w:hAnsi="Arial Narrow"/>
                <w:sz w:val="20"/>
                <w:szCs w:val="20"/>
              </w:rPr>
            </w:pPr>
          </w:p>
        </w:tc>
        <w:tc>
          <w:tcPr>
            <w:tcW w:w="7745" w:type="dxa"/>
            <w:gridSpan w:val="6"/>
            <w:vAlign w:val="center"/>
          </w:tcPr>
          <w:p w14:paraId="21F6AB78" w14:textId="77777777" w:rsidR="001C256F" w:rsidRPr="00480790" w:rsidRDefault="001C256F">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quantity or number of units may be authorised.</w:t>
            </w:r>
          </w:p>
        </w:tc>
      </w:tr>
      <w:tr w:rsidR="00AB01EA" w:rsidRPr="00480790" w14:paraId="06A4EF07" w14:textId="77777777">
        <w:tblPrEx>
          <w:tblCellMar>
            <w:top w:w="15" w:type="dxa"/>
            <w:bottom w:w="15" w:type="dxa"/>
          </w:tblCellMar>
          <w:tblLook w:val="04A0" w:firstRow="1" w:lastRow="0" w:firstColumn="1" w:lastColumn="0" w:noHBand="0" w:noVBand="1"/>
        </w:tblPrEx>
        <w:trPr>
          <w:trHeight w:val="20"/>
        </w:trPr>
        <w:tc>
          <w:tcPr>
            <w:tcW w:w="487" w:type="dxa"/>
            <w:vMerge/>
          </w:tcPr>
          <w:p w14:paraId="6222774B" w14:textId="77777777" w:rsidR="001C256F" w:rsidRPr="00480790" w:rsidRDefault="001C256F">
            <w:pPr>
              <w:rPr>
                <w:rFonts w:ascii="Arial Narrow" w:hAnsi="Arial Narrow"/>
                <w:sz w:val="20"/>
                <w:szCs w:val="20"/>
              </w:rPr>
            </w:pPr>
          </w:p>
        </w:tc>
        <w:tc>
          <w:tcPr>
            <w:tcW w:w="784" w:type="dxa"/>
            <w:vAlign w:val="center"/>
          </w:tcPr>
          <w:p w14:paraId="5F47517C" w14:textId="76D664D6" w:rsidR="001C256F" w:rsidRPr="00480790" w:rsidRDefault="001C256F">
            <w:pPr>
              <w:jc w:val="center"/>
              <w:rPr>
                <w:rFonts w:ascii="Arial Narrow" w:hAnsi="Arial Narrow"/>
                <w:sz w:val="20"/>
                <w:szCs w:val="20"/>
              </w:rPr>
            </w:pPr>
          </w:p>
        </w:tc>
        <w:tc>
          <w:tcPr>
            <w:tcW w:w="7745" w:type="dxa"/>
            <w:gridSpan w:val="6"/>
            <w:vAlign w:val="center"/>
          </w:tcPr>
          <w:p w14:paraId="4E0DE8B3" w14:textId="77777777" w:rsidR="001C256F" w:rsidRPr="00480790" w:rsidRDefault="001C256F">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number of repeats may be authorised.</w:t>
            </w:r>
          </w:p>
        </w:tc>
      </w:tr>
      <w:tr w:rsidR="00AB01EA" w:rsidRPr="00480790" w14:paraId="4143F69F" w14:textId="77777777">
        <w:tblPrEx>
          <w:tblCellMar>
            <w:top w:w="15" w:type="dxa"/>
            <w:bottom w:w="15" w:type="dxa"/>
          </w:tblCellMar>
          <w:tblLook w:val="04A0" w:firstRow="1" w:lastRow="0" w:firstColumn="1" w:lastColumn="0" w:noHBand="0" w:noVBand="1"/>
        </w:tblPrEx>
        <w:trPr>
          <w:trHeight w:val="20"/>
        </w:trPr>
        <w:tc>
          <w:tcPr>
            <w:tcW w:w="487" w:type="dxa"/>
            <w:vMerge/>
          </w:tcPr>
          <w:p w14:paraId="00728469" w14:textId="77777777" w:rsidR="001C256F" w:rsidRPr="00480790" w:rsidRDefault="001C256F">
            <w:pPr>
              <w:rPr>
                <w:rFonts w:ascii="Arial Narrow" w:hAnsi="Arial Narrow"/>
                <w:sz w:val="20"/>
                <w:szCs w:val="20"/>
              </w:rPr>
            </w:pPr>
          </w:p>
        </w:tc>
        <w:tc>
          <w:tcPr>
            <w:tcW w:w="784" w:type="dxa"/>
            <w:vAlign w:val="center"/>
          </w:tcPr>
          <w:p w14:paraId="444E71B5" w14:textId="19E74AE6" w:rsidR="001C256F" w:rsidRPr="00480790" w:rsidRDefault="001C256F">
            <w:pPr>
              <w:jc w:val="center"/>
              <w:rPr>
                <w:rFonts w:ascii="Arial Narrow" w:hAnsi="Arial Narrow"/>
                <w:sz w:val="20"/>
                <w:szCs w:val="20"/>
              </w:rPr>
            </w:pPr>
          </w:p>
        </w:tc>
        <w:tc>
          <w:tcPr>
            <w:tcW w:w="7745" w:type="dxa"/>
            <w:gridSpan w:val="6"/>
            <w:vAlign w:val="center"/>
          </w:tcPr>
          <w:p w14:paraId="106D0420" w14:textId="77777777" w:rsidR="001C256F" w:rsidRPr="00480790" w:rsidRDefault="001C256F">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Special Pricing Arrangements apply.</w:t>
            </w:r>
          </w:p>
        </w:tc>
      </w:tr>
      <w:tr w:rsidR="00AB01EA" w:rsidRPr="00480790" w14:paraId="63DE04A3" w14:textId="77777777">
        <w:tblPrEx>
          <w:tblCellMar>
            <w:top w:w="15" w:type="dxa"/>
            <w:bottom w:w="15" w:type="dxa"/>
          </w:tblCellMar>
          <w:tblLook w:val="04A0" w:firstRow="1" w:lastRow="0" w:firstColumn="1" w:lastColumn="0" w:noHBand="0" w:noVBand="1"/>
        </w:tblPrEx>
        <w:trPr>
          <w:trHeight w:val="182"/>
        </w:trPr>
        <w:tc>
          <w:tcPr>
            <w:tcW w:w="1271" w:type="dxa"/>
            <w:gridSpan w:val="2"/>
            <w:tcBorders>
              <w:left w:val="single" w:sz="4" w:space="0" w:color="auto"/>
              <w:right w:val="single" w:sz="4" w:space="0" w:color="auto"/>
            </w:tcBorders>
          </w:tcPr>
          <w:p w14:paraId="67591809" w14:textId="77777777" w:rsidR="001C256F" w:rsidRPr="00480790" w:rsidRDefault="001C256F">
            <w:pPr>
              <w:rPr>
                <w:rFonts w:ascii="Arial Narrow" w:hAnsi="Arial Narrow"/>
                <w:sz w:val="20"/>
                <w:szCs w:val="20"/>
              </w:rPr>
            </w:pPr>
          </w:p>
        </w:tc>
        <w:tc>
          <w:tcPr>
            <w:tcW w:w="7745" w:type="dxa"/>
            <w:gridSpan w:val="6"/>
            <w:tcBorders>
              <w:top w:val="single" w:sz="4" w:space="0" w:color="auto"/>
              <w:left w:val="single" w:sz="4" w:space="0" w:color="auto"/>
              <w:right w:val="single" w:sz="4" w:space="0" w:color="auto"/>
            </w:tcBorders>
            <w:vAlign w:val="center"/>
          </w:tcPr>
          <w:p w14:paraId="5FFC0F26" w14:textId="77777777" w:rsidR="001C256F" w:rsidRPr="00480790" w:rsidRDefault="001C256F">
            <w:pPr>
              <w:keepLines/>
              <w:rPr>
                <w:rFonts w:ascii="Arial Narrow" w:eastAsia="Calibri" w:hAnsi="Arial Narrow"/>
                <w:sz w:val="20"/>
                <w:szCs w:val="20"/>
              </w:rPr>
            </w:pPr>
            <w:r w:rsidRPr="00480790">
              <w:rPr>
                <w:rFonts w:ascii="Arial Narrow" w:hAnsi="Arial Narrow"/>
                <w:b/>
                <w:sz w:val="20"/>
                <w:szCs w:val="20"/>
              </w:rPr>
              <w:t xml:space="preserve">Restriction type: </w:t>
            </w:r>
            <w:r w:rsidRPr="00480790">
              <w:rPr>
                <w:rFonts w:ascii="Arial Narrow" w:eastAsia="Calibri" w:hAnsi="Arial Narrow"/>
                <w:sz w:val="20"/>
                <w:szCs w:val="20"/>
              </w:rPr>
              <w:fldChar w:fldCharType="begin">
                <w:ffData>
                  <w:name w:val="Check3"/>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Authority Required (immediate assessment) - Telephone/Online PBS Authorities</w:t>
            </w:r>
          </w:p>
        </w:tc>
      </w:tr>
      <w:tr w:rsidR="00AB01EA" w:rsidRPr="00480790" w14:paraId="503D64AD" w14:textId="77777777">
        <w:tblPrEx>
          <w:tblCellMar>
            <w:top w:w="15" w:type="dxa"/>
            <w:bottom w:w="15" w:type="dxa"/>
          </w:tblCellMar>
          <w:tblLook w:val="04A0" w:firstRow="1" w:lastRow="0" w:firstColumn="1" w:lastColumn="0" w:noHBand="0" w:noVBand="1"/>
        </w:tblPrEx>
        <w:trPr>
          <w:trHeight w:val="182"/>
        </w:trPr>
        <w:tc>
          <w:tcPr>
            <w:tcW w:w="9016" w:type="dxa"/>
            <w:gridSpan w:val="8"/>
            <w:tcBorders>
              <w:left w:val="single" w:sz="4" w:space="0" w:color="auto"/>
              <w:right w:val="single" w:sz="4" w:space="0" w:color="auto"/>
            </w:tcBorders>
          </w:tcPr>
          <w:p w14:paraId="5764C744" w14:textId="4B0FAF18" w:rsidR="001C256F" w:rsidRPr="00480790" w:rsidRDefault="001C256F">
            <w:pPr>
              <w:keepLines/>
              <w:rPr>
                <w:rFonts w:ascii="Arial Narrow" w:hAnsi="Arial Narrow"/>
                <w:b/>
                <w:sz w:val="20"/>
                <w:szCs w:val="20"/>
              </w:rPr>
            </w:pPr>
            <w:r w:rsidRPr="00480790">
              <w:rPr>
                <w:rFonts w:ascii="Arial Narrow" w:hAnsi="Arial Narrow"/>
                <w:b/>
                <w:sz w:val="20"/>
                <w:szCs w:val="20"/>
              </w:rPr>
              <w:t xml:space="preserve">Restriction Summary / Treatment of Concept: </w:t>
            </w:r>
          </w:p>
        </w:tc>
      </w:tr>
      <w:tr w:rsidR="00AB01EA" w:rsidRPr="00480790" w14:paraId="71FCC845" w14:textId="77777777" w:rsidTr="00FE665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E4C2D0B" w14:textId="33BD03E9" w:rsidR="001C256F" w:rsidRPr="00480790" w:rsidRDefault="001C256F">
            <w:pPr>
              <w:keepLines/>
              <w:jc w:val="center"/>
              <w:rPr>
                <w:rFonts w:ascii="Arial Narrow" w:hAnsi="Arial Narrow"/>
                <w:sz w:val="20"/>
                <w:szCs w:val="20"/>
              </w:rPr>
            </w:pPr>
          </w:p>
        </w:tc>
        <w:tc>
          <w:tcPr>
            <w:tcW w:w="7745" w:type="dxa"/>
            <w:gridSpan w:val="6"/>
            <w:vAlign w:val="center"/>
            <w:hideMark/>
          </w:tcPr>
          <w:p w14:paraId="2B68E3ED" w14:textId="77777777" w:rsidR="001C256F" w:rsidRPr="00480790" w:rsidRDefault="001C256F">
            <w:pPr>
              <w:keepLines/>
              <w:rPr>
                <w:rFonts w:ascii="Arial Narrow" w:hAnsi="Arial Narrow"/>
                <w:sz w:val="20"/>
                <w:szCs w:val="20"/>
              </w:rPr>
            </w:pPr>
            <w:r w:rsidRPr="00480790">
              <w:rPr>
                <w:rFonts w:ascii="Arial Narrow" w:hAnsi="Arial Narrow"/>
                <w:b/>
                <w:bCs/>
                <w:sz w:val="20"/>
                <w:szCs w:val="20"/>
              </w:rPr>
              <w:t>Indication:</w:t>
            </w:r>
            <w:r w:rsidRPr="00480790">
              <w:rPr>
                <w:rFonts w:ascii="Arial Narrow" w:hAnsi="Arial Narrow"/>
                <w:sz w:val="20"/>
                <w:szCs w:val="20"/>
              </w:rPr>
              <w:t xml:space="preserve"> Stage IIIB (locally advanced) or Stage IV (metastatic) non-small cell lung cancer (NSCLC)</w:t>
            </w:r>
          </w:p>
        </w:tc>
      </w:tr>
      <w:tr w:rsidR="00AB01EA" w:rsidRPr="00480790" w14:paraId="2AEAD1E4"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99C02B8" w14:textId="77777777" w:rsidR="001C256F" w:rsidRPr="00480790" w:rsidRDefault="001C256F">
            <w:pPr>
              <w:keepLines/>
              <w:jc w:val="center"/>
              <w:rPr>
                <w:rFonts w:ascii="Arial Narrow" w:hAnsi="Arial Narrow"/>
                <w:sz w:val="20"/>
                <w:szCs w:val="20"/>
              </w:rPr>
            </w:pPr>
          </w:p>
        </w:tc>
        <w:tc>
          <w:tcPr>
            <w:tcW w:w="7745" w:type="dxa"/>
            <w:gridSpan w:val="6"/>
            <w:vAlign w:val="center"/>
          </w:tcPr>
          <w:p w14:paraId="412105DD" w14:textId="77777777" w:rsidR="001C256F" w:rsidRPr="00480790" w:rsidRDefault="001C256F">
            <w:pPr>
              <w:keepLines/>
              <w:rPr>
                <w:rFonts w:ascii="Arial Narrow" w:hAnsi="Arial Narrow"/>
                <w:b/>
                <w:bCs/>
                <w:sz w:val="20"/>
                <w:szCs w:val="20"/>
              </w:rPr>
            </w:pPr>
            <w:r w:rsidRPr="00480790">
              <w:rPr>
                <w:rFonts w:ascii="Arial Narrow" w:hAnsi="Arial Narrow"/>
                <w:b/>
                <w:bCs/>
                <w:sz w:val="20"/>
                <w:szCs w:val="20"/>
              </w:rPr>
              <w:t xml:space="preserve">Treatment Phase: </w:t>
            </w:r>
            <w:r w:rsidRPr="00480790">
              <w:rPr>
                <w:rFonts w:ascii="Arial Narrow" w:hAnsi="Arial Narrow"/>
                <w:sz w:val="20"/>
                <w:szCs w:val="20"/>
              </w:rPr>
              <w:t>Initial treatment</w:t>
            </w:r>
          </w:p>
        </w:tc>
      </w:tr>
      <w:tr w:rsidR="00AB01EA" w:rsidRPr="00480790" w14:paraId="6124D0F2"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D82F32B"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73B77C34" w14:textId="77777777" w:rsidR="001C256F" w:rsidRPr="00480790" w:rsidRDefault="001C256F">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Clinical criteria:</w:t>
            </w:r>
          </w:p>
        </w:tc>
      </w:tr>
      <w:tr w:rsidR="00AB01EA" w:rsidRPr="00480790" w14:paraId="4C8CE855"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C70D012" w14:textId="754BD377" w:rsidR="001C256F" w:rsidRPr="00480790" w:rsidRDefault="001C256F">
            <w:pPr>
              <w:keepLines/>
              <w:jc w:val="center"/>
              <w:rPr>
                <w:rFonts w:ascii="Arial Narrow" w:hAnsi="Arial Narrow"/>
                <w:i/>
                <w:iCs/>
                <w:sz w:val="20"/>
                <w:szCs w:val="20"/>
              </w:rPr>
            </w:pPr>
          </w:p>
        </w:tc>
        <w:tc>
          <w:tcPr>
            <w:tcW w:w="7745" w:type="dxa"/>
            <w:gridSpan w:val="6"/>
            <w:vAlign w:val="center"/>
          </w:tcPr>
          <w:p w14:paraId="6EEB1B8D" w14:textId="77777777" w:rsidR="001C256F" w:rsidRPr="00480790" w:rsidRDefault="001C256F">
            <w:pPr>
              <w:keepLines/>
              <w:rPr>
                <w:rFonts w:ascii="Arial Narrow" w:hAnsi="Arial Narrow"/>
                <w:i/>
                <w:iCs/>
                <w:sz w:val="20"/>
                <w:szCs w:val="20"/>
              </w:rPr>
            </w:pPr>
            <w:r w:rsidRPr="00480790">
              <w:rPr>
                <w:rFonts w:ascii="Arial Narrow" w:hAnsi="Arial Narrow"/>
                <w:i/>
                <w:iCs/>
                <w:sz w:val="20"/>
                <w:szCs w:val="20"/>
              </w:rPr>
              <w:t>Patient must be untreated with this drug for non-small cell lung cancer</w:t>
            </w:r>
          </w:p>
        </w:tc>
      </w:tr>
      <w:tr w:rsidR="00AB01EA" w:rsidRPr="00480790" w14:paraId="40AEA9B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4B9E550" w14:textId="77777777" w:rsidR="001C256F" w:rsidRPr="00480790" w:rsidRDefault="001C256F">
            <w:pPr>
              <w:keepLines/>
              <w:jc w:val="center"/>
              <w:rPr>
                <w:rFonts w:ascii="Arial Narrow" w:hAnsi="Arial Narrow"/>
                <w:i/>
                <w:iCs/>
                <w:sz w:val="20"/>
                <w:szCs w:val="20"/>
              </w:rPr>
            </w:pPr>
          </w:p>
        </w:tc>
        <w:tc>
          <w:tcPr>
            <w:tcW w:w="7745" w:type="dxa"/>
            <w:gridSpan w:val="6"/>
            <w:vAlign w:val="center"/>
          </w:tcPr>
          <w:p w14:paraId="7A9EFF22" w14:textId="77777777" w:rsidR="001C256F" w:rsidRPr="00480790" w:rsidRDefault="001C256F">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AND</w:t>
            </w:r>
          </w:p>
        </w:tc>
      </w:tr>
      <w:tr w:rsidR="00AB01EA" w:rsidRPr="00480790" w14:paraId="377BAF02"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07B1E71E" w14:textId="78FC638E" w:rsidR="001C256F" w:rsidRPr="00480790" w:rsidRDefault="001C256F">
            <w:pPr>
              <w:keepLines/>
              <w:jc w:val="center"/>
              <w:rPr>
                <w:rFonts w:ascii="Arial Narrow" w:hAnsi="Arial Narrow"/>
                <w:sz w:val="20"/>
                <w:szCs w:val="20"/>
              </w:rPr>
            </w:pPr>
          </w:p>
        </w:tc>
        <w:tc>
          <w:tcPr>
            <w:tcW w:w="7745" w:type="dxa"/>
            <w:gridSpan w:val="6"/>
          </w:tcPr>
          <w:p w14:paraId="4EFC1342" w14:textId="77777777" w:rsidR="001C256F" w:rsidRPr="00480790" w:rsidRDefault="001C256F">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69285742"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1EF5A603" w14:textId="05842B03" w:rsidR="001C256F" w:rsidRPr="00480790" w:rsidRDefault="001C256F">
            <w:pPr>
              <w:keepLines/>
              <w:jc w:val="center"/>
              <w:rPr>
                <w:rFonts w:ascii="Arial Narrow" w:hAnsi="Arial Narrow"/>
                <w:sz w:val="20"/>
                <w:szCs w:val="20"/>
              </w:rPr>
            </w:pPr>
          </w:p>
        </w:tc>
        <w:tc>
          <w:tcPr>
            <w:tcW w:w="7745" w:type="dxa"/>
            <w:gridSpan w:val="6"/>
          </w:tcPr>
          <w:p w14:paraId="50EE831A" w14:textId="77777777" w:rsidR="001C256F" w:rsidRPr="00480790" w:rsidRDefault="001C256F">
            <w:pPr>
              <w:keepLines/>
              <w:rPr>
                <w:rFonts w:ascii="Arial Narrow" w:hAnsi="Arial Narrow"/>
                <w:sz w:val="20"/>
                <w:szCs w:val="20"/>
              </w:rPr>
            </w:pPr>
            <w:r w:rsidRPr="00480790">
              <w:rPr>
                <w:rFonts w:ascii="Arial Narrow" w:hAnsi="Arial Narrow" w:cs="Open Sans"/>
                <w:sz w:val="20"/>
                <w:szCs w:val="20"/>
              </w:rPr>
              <w:t>The treatment must be as monotherapy</w:t>
            </w:r>
          </w:p>
        </w:tc>
      </w:tr>
      <w:tr w:rsidR="00AB01EA" w:rsidRPr="00480790" w14:paraId="1C6B05AA"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4BA85E82" w14:textId="77777777" w:rsidR="001C256F" w:rsidRPr="00480790" w:rsidRDefault="001C256F">
            <w:pPr>
              <w:keepLines/>
              <w:jc w:val="center"/>
              <w:rPr>
                <w:rFonts w:ascii="Arial Narrow" w:hAnsi="Arial Narrow"/>
                <w:sz w:val="20"/>
                <w:szCs w:val="20"/>
              </w:rPr>
            </w:pPr>
          </w:p>
        </w:tc>
        <w:tc>
          <w:tcPr>
            <w:tcW w:w="7745" w:type="dxa"/>
            <w:gridSpan w:val="6"/>
          </w:tcPr>
          <w:p w14:paraId="153E91C6" w14:textId="77777777" w:rsidR="001C256F" w:rsidRPr="00480790" w:rsidRDefault="001C256F">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76D98761"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50C50F17" w14:textId="3A72BF46" w:rsidR="001C256F" w:rsidRPr="00480790" w:rsidRDefault="001C256F">
            <w:pPr>
              <w:keepLines/>
              <w:jc w:val="center"/>
              <w:rPr>
                <w:rFonts w:ascii="Arial Narrow" w:hAnsi="Arial Narrow"/>
                <w:sz w:val="20"/>
                <w:szCs w:val="20"/>
              </w:rPr>
            </w:pPr>
          </w:p>
        </w:tc>
        <w:tc>
          <w:tcPr>
            <w:tcW w:w="7745" w:type="dxa"/>
            <w:gridSpan w:val="6"/>
          </w:tcPr>
          <w:p w14:paraId="32E0D85F" w14:textId="77777777" w:rsidR="001C256F" w:rsidRPr="00480790" w:rsidRDefault="001C256F">
            <w:pPr>
              <w:keepLines/>
              <w:rPr>
                <w:rFonts w:ascii="Arial Narrow" w:hAnsi="Arial Narrow"/>
                <w:b/>
                <w:bCs/>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791B105E"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122B9066" w14:textId="5F20A836" w:rsidR="001C256F" w:rsidRPr="00480790" w:rsidRDefault="001C256F">
            <w:pPr>
              <w:keepLines/>
              <w:jc w:val="center"/>
              <w:rPr>
                <w:rFonts w:ascii="Arial Narrow" w:hAnsi="Arial Narrow"/>
                <w:sz w:val="20"/>
                <w:szCs w:val="20"/>
              </w:rPr>
            </w:pPr>
          </w:p>
        </w:tc>
        <w:tc>
          <w:tcPr>
            <w:tcW w:w="7745" w:type="dxa"/>
            <w:gridSpan w:val="6"/>
          </w:tcPr>
          <w:p w14:paraId="2C4F4BC8" w14:textId="77777777" w:rsidR="001C256F" w:rsidRPr="00480790" w:rsidRDefault="001C256F">
            <w:pPr>
              <w:keepLines/>
              <w:rPr>
                <w:rFonts w:ascii="Arial Narrow" w:hAnsi="Arial Narrow"/>
                <w:b/>
                <w:bCs/>
                <w:sz w:val="20"/>
                <w:szCs w:val="20"/>
              </w:rPr>
            </w:pPr>
            <w:r w:rsidRPr="00480790">
              <w:rPr>
                <w:rFonts w:ascii="Arial Narrow" w:hAnsi="Arial Narrow" w:cs="Open Sans"/>
                <w:sz w:val="20"/>
                <w:szCs w:val="20"/>
              </w:rPr>
              <w:t>The condition must be non-squamous type non-small cell lung cancer (NSCLC) or not otherwise specified type NSCLC</w:t>
            </w:r>
          </w:p>
        </w:tc>
      </w:tr>
      <w:tr w:rsidR="00AB01EA" w:rsidRPr="00480790" w14:paraId="0796F7EA"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1E4FE8C0" w14:textId="77777777" w:rsidR="001C256F" w:rsidRPr="00480790" w:rsidRDefault="001C256F">
            <w:pPr>
              <w:keepLines/>
              <w:jc w:val="center"/>
              <w:rPr>
                <w:rFonts w:ascii="Arial Narrow" w:hAnsi="Arial Narrow"/>
                <w:sz w:val="20"/>
                <w:szCs w:val="20"/>
              </w:rPr>
            </w:pPr>
          </w:p>
        </w:tc>
        <w:tc>
          <w:tcPr>
            <w:tcW w:w="7745" w:type="dxa"/>
            <w:gridSpan w:val="6"/>
          </w:tcPr>
          <w:p w14:paraId="7AA0D84D" w14:textId="77777777" w:rsidR="001C256F" w:rsidRPr="00480790" w:rsidRDefault="001C256F">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75A0567A"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45B17BE3" w14:textId="02E1F9E9" w:rsidR="001C256F" w:rsidRPr="00480790" w:rsidRDefault="001C256F">
            <w:pPr>
              <w:keepLines/>
              <w:jc w:val="center"/>
              <w:rPr>
                <w:rFonts w:ascii="Arial Narrow" w:hAnsi="Arial Narrow"/>
                <w:sz w:val="20"/>
                <w:szCs w:val="20"/>
              </w:rPr>
            </w:pPr>
          </w:p>
        </w:tc>
        <w:tc>
          <w:tcPr>
            <w:tcW w:w="7745" w:type="dxa"/>
            <w:gridSpan w:val="6"/>
          </w:tcPr>
          <w:p w14:paraId="44EA8FED" w14:textId="77777777" w:rsidR="001C256F" w:rsidRPr="00480790" w:rsidRDefault="001C256F">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4B697F4B"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23228F4B" w14:textId="323D0E67" w:rsidR="001C256F" w:rsidRPr="00480790" w:rsidRDefault="001C256F">
            <w:pPr>
              <w:keepLines/>
              <w:jc w:val="center"/>
              <w:rPr>
                <w:rFonts w:ascii="Arial Narrow" w:hAnsi="Arial Narrow"/>
                <w:sz w:val="20"/>
                <w:szCs w:val="20"/>
              </w:rPr>
            </w:pPr>
          </w:p>
        </w:tc>
        <w:tc>
          <w:tcPr>
            <w:tcW w:w="7745" w:type="dxa"/>
            <w:gridSpan w:val="6"/>
          </w:tcPr>
          <w:p w14:paraId="7FDFE538" w14:textId="77777777" w:rsidR="001C256F" w:rsidRPr="00480790" w:rsidRDefault="001C256F">
            <w:pPr>
              <w:keepLines/>
              <w:rPr>
                <w:rFonts w:ascii="Arial Narrow" w:hAnsi="Arial Narrow"/>
                <w:sz w:val="20"/>
                <w:szCs w:val="20"/>
              </w:rPr>
            </w:pPr>
            <w:r w:rsidRPr="00480790">
              <w:rPr>
                <w:rFonts w:ascii="Arial Narrow" w:hAnsi="Arial Narrow" w:cs="Open Sans"/>
                <w:sz w:val="20"/>
                <w:szCs w:val="20"/>
              </w:rPr>
              <w:t>Patient must have a WHO performance status of 2 or less</w:t>
            </w:r>
          </w:p>
        </w:tc>
      </w:tr>
      <w:tr w:rsidR="00AB01EA" w:rsidRPr="00480790" w14:paraId="277A4EE5"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29453418" w14:textId="77777777" w:rsidR="001C256F" w:rsidRPr="00480790" w:rsidRDefault="001C256F">
            <w:pPr>
              <w:keepLines/>
              <w:jc w:val="center"/>
              <w:rPr>
                <w:rFonts w:ascii="Arial Narrow" w:hAnsi="Arial Narrow"/>
                <w:sz w:val="20"/>
                <w:szCs w:val="20"/>
              </w:rPr>
            </w:pPr>
          </w:p>
        </w:tc>
        <w:tc>
          <w:tcPr>
            <w:tcW w:w="7745" w:type="dxa"/>
            <w:gridSpan w:val="6"/>
          </w:tcPr>
          <w:p w14:paraId="5EEC3A02" w14:textId="77777777" w:rsidR="001C256F" w:rsidRPr="00480790" w:rsidRDefault="001C256F">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5A19FADB"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1A317DD0" w14:textId="6B5E4615" w:rsidR="001C256F" w:rsidRPr="00480790" w:rsidRDefault="001C256F">
            <w:pPr>
              <w:keepLines/>
              <w:jc w:val="center"/>
              <w:rPr>
                <w:rFonts w:ascii="Arial Narrow" w:hAnsi="Arial Narrow"/>
                <w:sz w:val="20"/>
                <w:szCs w:val="20"/>
              </w:rPr>
            </w:pPr>
          </w:p>
        </w:tc>
        <w:tc>
          <w:tcPr>
            <w:tcW w:w="7745" w:type="dxa"/>
            <w:gridSpan w:val="6"/>
          </w:tcPr>
          <w:p w14:paraId="77B44723" w14:textId="77777777" w:rsidR="001C256F" w:rsidRPr="00480790" w:rsidRDefault="001C256F">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66C1E037"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31B98830" w14:textId="1AB37B1C" w:rsidR="001C256F" w:rsidRPr="00480790" w:rsidRDefault="001C256F">
            <w:pPr>
              <w:keepLines/>
              <w:jc w:val="center"/>
              <w:rPr>
                <w:rFonts w:ascii="Arial Narrow" w:hAnsi="Arial Narrow"/>
                <w:sz w:val="20"/>
                <w:szCs w:val="20"/>
              </w:rPr>
            </w:pPr>
          </w:p>
        </w:tc>
        <w:tc>
          <w:tcPr>
            <w:tcW w:w="7745" w:type="dxa"/>
            <w:gridSpan w:val="6"/>
          </w:tcPr>
          <w:p w14:paraId="35AA711B" w14:textId="77777777" w:rsidR="001C256F" w:rsidRPr="00480790" w:rsidRDefault="001C256F">
            <w:pPr>
              <w:keepLines/>
              <w:rPr>
                <w:rFonts w:ascii="Arial Narrow" w:hAnsi="Arial Narrow"/>
                <w:sz w:val="20"/>
                <w:szCs w:val="20"/>
              </w:rPr>
            </w:pPr>
            <w:r w:rsidRPr="00480790">
              <w:rPr>
                <w:rFonts w:ascii="Arial Narrow" w:hAnsi="Arial Narrow" w:cs="Open Sans"/>
                <w:sz w:val="20"/>
                <w:szCs w:val="20"/>
              </w:rPr>
              <w:t>Patient must have evidence of an anaplastic lymphoma kinase (ALK) gene rearrangement in tumour material, defined as either: (i) 15% (or greater) positive cells by fluorescence in situ hybridisation (FISH) testing, (ii) positive next generation sequencing (NGS) testing</w:t>
            </w:r>
          </w:p>
        </w:tc>
      </w:tr>
      <w:tr w:rsidR="00AB01EA" w:rsidRPr="00480790" w14:paraId="790596F5"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36C37BCB" w14:textId="77777777" w:rsidR="001C256F" w:rsidRPr="00480790" w:rsidRDefault="001C256F">
            <w:pPr>
              <w:keepLines/>
              <w:jc w:val="center"/>
              <w:rPr>
                <w:rFonts w:ascii="Arial Narrow" w:hAnsi="Arial Narrow"/>
                <w:sz w:val="20"/>
                <w:szCs w:val="20"/>
              </w:rPr>
            </w:pPr>
          </w:p>
        </w:tc>
        <w:tc>
          <w:tcPr>
            <w:tcW w:w="7745" w:type="dxa"/>
            <w:gridSpan w:val="6"/>
          </w:tcPr>
          <w:p w14:paraId="0470DE1C" w14:textId="77777777" w:rsidR="001C256F" w:rsidRPr="00480790" w:rsidRDefault="001C256F">
            <w:pPr>
              <w:keepLines/>
              <w:rPr>
                <w:rFonts w:ascii="Arial Narrow" w:hAnsi="Arial Narrow"/>
                <w:sz w:val="20"/>
                <w:szCs w:val="20"/>
              </w:rPr>
            </w:pPr>
          </w:p>
        </w:tc>
      </w:tr>
      <w:tr w:rsidR="00AB01EA" w:rsidRPr="00480790" w14:paraId="6DAB35C6" w14:textId="77777777">
        <w:tblPrEx>
          <w:tblCellMar>
            <w:top w:w="15" w:type="dxa"/>
            <w:bottom w:w="15" w:type="dxa"/>
          </w:tblCellMar>
          <w:tblLook w:val="04A0" w:firstRow="1" w:lastRow="0" w:firstColumn="1" w:lastColumn="0" w:noHBand="0" w:noVBand="1"/>
        </w:tblPrEx>
        <w:trPr>
          <w:cantSplit/>
          <w:trHeight w:val="20"/>
        </w:trPr>
        <w:tc>
          <w:tcPr>
            <w:tcW w:w="9016" w:type="dxa"/>
            <w:gridSpan w:val="8"/>
          </w:tcPr>
          <w:p w14:paraId="667D3D72" w14:textId="2F214011" w:rsidR="001C256F" w:rsidRPr="00480790" w:rsidRDefault="001C256F">
            <w:pPr>
              <w:keepLines/>
              <w:rPr>
                <w:rFonts w:ascii="Arial Narrow" w:hAnsi="Arial Narrow"/>
                <w:b/>
                <w:bCs/>
                <w:sz w:val="20"/>
                <w:szCs w:val="20"/>
              </w:rPr>
            </w:pPr>
            <w:r w:rsidRPr="00480790">
              <w:rPr>
                <w:rFonts w:ascii="Arial Narrow" w:hAnsi="Arial Narrow"/>
                <w:b/>
                <w:bCs/>
                <w:sz w:val="20"/>
                <w:szCs w:val="20"/>
              </w:rPr>
              <w:t xml:space="preserve">Restriction Summary / Treatment of Concept: </w:t>
            </w:r>
          </w:p>
        </w:tc>
      </w:tr>
      <w:tr w:rsidR="00AB01EA" w:rsidRPr="00480790" w14:paraId="427DECC3"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5C3AD454" w14:textId="29A38DBD" w:rsidR="001C256F" w:rsidRPr="00480790" w:rsidRDefault="001C256F">
            <w:pPr>
              <w:keepLines/>
              <w:jc w:val="center"/>
              <w:rPr>
                <w:rFonts w:ascii="Arial Narrow" w:hAnsi="Arial Narrow"/>
                <w:sz w:val="20"/>
                <w:szCs w:val="20"/>
              </w:rPr>
            </w:pPr>
          </w:p>
        </w:tc>
        <w:tc>
          <w:tcPr>
            <w:tcW w:w="7745" w:type="dxa"/>
            <w:gridSpan w:val="6"/>
          </w:tcPr>
          <w:p w14:paraId="57F08DD4" w14:textId="77777777" w:rsidR="001C256F" w:rsidRPr="00480790" w:rsidRDefault="001C256F">
            <w:pPr>
              <w:pStyle w:val="NormalWeb"/>
              <w:spacing w:before="0" w:after="0"/>
              <w:textAlignment w:val="baseline"/>
              <w:rPr>
                <w:rFonts w:ascii="Arial Narrow" w:hAnsi="Arial Narrow"/>
                <w:sz w:val="20"/>
                <w:szCs w:val="20"/>
                <w:lang w:val="en-AU"/>
              </w:rPr>
            </w:pPr>
            <w:r w:rsidRPr="00480790">
              <w:rPr>
                <w:rStyle w:val="Strong"/>
                <w:rFonts w:ascii="Arial Narrow" w:hAnsi="Arial Narrow" w:cs="Open Sans"/>
                <w:sz w:val="20"/>
                <w:szCs w:val="20"/>
                <w:bdr w:val="none" w:sz="0" w:space="0" w:color="auto" w:frame="1"/>
                <w:lang w:val="en-AU"/>
              </w:rPr>
              <w:t xml:space="preserve">Indication: </w:t>
            </w:r>
            <w:r w:rsidRPr="00480790">
              <w:rPr>
                <w:rFonts w:ascii="Arial Narrow" w:hAnsi="Arial Narrow" w:cs="Open Sans"/>
                <w:sz w:val="20"/>
                <w:szCs w:val="20"/>
                <w:lang w:val="en-AU"/>
              </w:rPr>
              <w:t>Stage IIIB (locally advanced) or Stage IV (metastatic) non-small cell lung cancer (NSCLC)</w:t>
            </w:r>
          </w:p>
        </w:tc>
      </w:tr>
      <w:tr w:rsidR="00AB01EA" w:rsidRPr="00480790" w14:paraId="38F1F373"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73F0BA25" w14:textId="77777777" w:rsidR="001C256F" w:rsidRPr="00480790" w:rsidRDefault="001C256F">
            <w:pPr>
              <w:keepLines/>
              <w:jc w:val="center"/>
              <w:rPr>
                <w:rFonts w:ascii="Arial Narrow" w:hAnsi="Arial Narrow"/>
                <w:sz w:val="20"/>
                <w:szCs w:val="20"/>
              </w:rPr>
            </w:pPr>
          </w:p>
        </w:tc>
        <w:tc>
          <w:tcPr>
            <w:tcW w:w="7745" w:type="dxa"/>
            <w:gridSpan w:val="6"/>
          </w:tcPr>
          <w:p w14:paraId="75221E51" w14:textId="77777777" w:rsidR="001C256F" w:rsidRPr="00480790" w:rsidRDefault="001C256F">
            <w:pPr>
              <w:pStyle w:val="NormalWeb"/>
              <w:spacing w:before="0" w:after="0"/>
              <w:textAlignment w:val="baseline"/>
              <w:rPr>
                <w:rFonts w:ascii="Arial Narrow" w:hAnsi="Arial Narrow"/>
                <w:sz w:val="20"/>
                <w:szCs w:val="20"/>
                <w:lang w:val="en-AU"/>
              </w:rPr>
            </w:pPr>
            <w:r w:rsidRPr="00480790">
              <w:rPr>
                <w:rStyle w:val="Strong"/>
                <w:rFonts w:ascii="Arial Narrow" w:hAnsi="Arial Narrow" w:cs="Open Sans"/>
                <w:sz w:val="20"/>
                <w:szCs w:val="20"/>
                <w:bdr w:val="none" w:sz="0" w:space="0" w:color="auto" w:frame="1"/>
                <w:lang w:val="en-AU"/>
              </w:rPr>
              <w:t xml:space="preserve">Treatment Phase: </w:t>
            </w:r>
            <w:r w:rsidRPr="00480790">
              <w:rPr>
                <w:rFonts w:ascii="Arial Narrow" w:hAnsi="Arial Narrow" w:cs="Open Sans"/>
                <w:sz w:val="20"/>
                <w:szCs w:val="20"/>
                <w:lang w:val="en-AU"/>
              </w:rPr>
              <w:t>Continuing treatment</w:t>
            </w:r>
          </w:p>
        </w:tc>
      </w:tr>
      <w:tr w:rsidR="00AB01EA" w:rsidRPr="00480790" w14:paraId="2429E19E"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35155D84" w14:textId="02816308" w:rsidR="001C256F" w:rsidRPr="00480790" w:rsidRDefault="001C256F">
            <w:pPr>
              <w:keepLines/>
              <w:jc w:val="center"/>
              <w:rPr>
                <w:rFonts w:ascii="Arial Narrow" w:hAnsi="Arial Narrow"/>
                <w:strike/>
                <w:sz w:val="20"/>
                <w:szCs w:val="20"/>
              </w:rPr>
            </w:pPr>
          </w:p>
        </w:tc>
        <w:tc>
          <w:tcPr>
            <w:tcW w:w="7745" w:type="dxa"/>
            <w:gridSpan w:val="6"/>
          </w:tcPr>
          <w:p w14:paraId="0FB16986" w14:textId="77777777" w:rsidR="001C256F" w:rsidRPr="00480790" w:rsidRDefault="001C256F">
            <w:pPr>
              <w:keepLines/>
              <w:rPr>
                <w:rFonts w:ascii="Arial Narrow" w:hAnsi="Arial Narrow"/>
                <w:strike/>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2855DE3B"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75C13D1E" w14:textId="38C0D571" w:rsidR="001C256F" w:rsidRPr="00480790" w:rsidRDefault="001C256F">
            <w:pPr>
              <w:keepLines/>
              <w:jc w:val="center"/>
              <w:rPr>
                <w:rFonts w:ascii="Arial Narrow" w:hAnsi="Arial Narrow"/>
                <w:strike/>
                <w:sz w:val="20"/>
                <w:szCs w:val="20"/>
              </w:rPr>
            </w:pPr>
          </w:p>
        </w:tc>
        <w:tc>
          <w:tcPr>
            <w:tcW w:w="7745" w:type="dxa"/>
            <w:gridSpan w:val="6"/>
          </w:tcPr>
          <w:p w14:paraId="1152961F" w14:textId="77777777" w:rsidR="001C256F" w:rsidRPr="00480790" w:rsidRDefault="001C256F">
            <w:pPr>
              <w:keepLines/>
              <w:rPr>
                <w:rFonts w:ascii="Arial Narrow" w:hAnsi="Arial Narrow"/>
                <w:strike/>
                <w:sz w:val="20"/>
                <w:szCs w:val="20"/>
              </w:rPr>
            </w:pPr>
            <w:r w:rsidRPr="00480790">
              <w:rPr>
                <w:rFonts w:ascii="Arial Narrow" w:hAnsi="Arial Narrow" w:cs="Open Sans"/>
                <w:sz w:val="20"/>
                <w:szCs w:val="20"/>
              </w:rPr>
              <w:t>The treatment must be as monotherapy</w:t>
            </w:r>
          </w:p>
        </w:tc>
      </w:tr>
      <w:tr w:rsidR="00AB01EA" w:rsidRPr="00480790" w14:paraId="53346992"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013B5567" w14:textId="77777777" w:rsidR="001C256F" w:rsidRPr="00480790" w:rsidRDefault="001C256F">
            <w:pPr>
              <w:keepLines/>
              <w:jc w:val="center"/>
              <w:rPr>
                <w:rFonts w:ascii="Arial Narrow" w:hAnsi="Arial Narrow"/>
                <w:strike/>
                <w:sz w:val="20"/>
                <w:szCs w:val="20"/>
              </w:rPr>
            </w:pPr>
          </w:p>
        </w:tc>
        <w:tc>
          <w:tcPr>
            <w:tcW w:w="7745" w:type="dxa"/>
            <w:gridSpan w:val="6"/>
          </w:tcPr>
          <w:p w14:paraId="5C480D55" w14:textId="77777777" w:rsidR="001C256F" w:rsidRPr="00480790" w:rsidRDefault="001C256F">
            <w:pPr>
              <w:keepLines/>
              <w:rPr>
                <w:rFonts w:ascii="Arial Narrow" w:hAnsi="Arial Narrow"/>
                <w:strike/>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030FE96C"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1CC2D65D" w14:textId="58C917FC" w:rsidR="001C256F" w:rsidRPr="00480790" w:rsidRDefault="001C256F">
            <w:pPr>
              <w:keepLines/>
              <w:jc w:val="center"/>
              <w:rPr>
                <w:rFonts w:ascii="Arial Narrow" w:hAnsi="Arial Narrow"/>
                <w:sz w:val="20"/>
                <w:szCs w:val="20"/>
              </w:rPr>
            </w:pPr>
          </w:p>
        </w:tc>
        <w:tc>
          <w:tcPr>
            <w:tcW w:w="7745" w:type="dxa"/>
            <w:gridSpan w:val="6"/>
          </w:tcPr>
          <w:p w14:paraId="79A67CD5" w14:textId="77777777" w:rsidR="001C256F" w:rsidRPr="00480790" w:rsidRDefault="001C256F">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57EE2DF8"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147A9965" w14:textId="35A9F76A" w:rsidR="001C256F" w:rsidRPr="00480790" w:rsidRDefault="001C256F">
            <w:pPr>
              <w:keepLines/>
              <w:jc w:val="center"/>
              <w:rPr>
                <w:rFonts w:ascii="Arial Narrow" w:hAnsi="Arial Narrow"/>
                <w:sz w:val="20"/>
                <w:szCs w:val="20"/>
              </w:rPr>
            </w:pPr>
          </w:p>
        </w:tc>
        <w:tc>
          <w:tcPr>
            <w:tcW w:w="7745" w:type="dxa"/>
            <w:gridSpan w:val="6"/>
          </w:tcPr>
          <w:p w14:paraId="3E5B8445" w14:textId="77777777" w:rsidR="001C256F" w:rsidRPr="00480790" w:rsidRDefault="001C256F">
            <w:pPr>
              <w:keepLines/>
              <w:rPr>
                <w:rFonts w:ascii="Arial Narrow" w:hAnsi="Arial Narrow"/>
                <w:sz w:val="20"/>
                <w:szCs w:val="20"/>
              </w:rPr>
            </w:pPr>
            <w:r w:rsidRPr="00480790">
              <w:rPr>
                <w:rFonts w:ascii="Arial Narrow" w:hAnsi="Arial Narrow" w:cs="Open Sans"/>
                <w:sz w:val="20"/>
                <w:szCs w:val="20"/>
              </w:rPr>
              <w:t xml:space="preserve">Patient must have previously received PBS-subsidised treatment with this drug for this </w:t>
            </w:r>
            <w:r w:rsidRPr="00480790">
              <w:rPr>
                <w:rFonts w:ascii="Arial Narrow" w:hAnsi="Arial Narrow" w:cs="Open Sans"/>
                <w:strike/>
                <w:sz w:val="20"/>
                <w:szCs w:val="20"/>
              </w:rPr>
              <w:t xml:space="preserve">condition </w:t>
            </w:r>
            <w:r w:rsidRPr="00480790">
              <w:rPr>
                <w:rFonts w:ascii="Arial Narrow" w:hAnsi="Arial Narrow" w:cs="Open Sans"/>
                <w:i/>
                <w:iCs/>
                <w:sz w:val="20"/>
                <w:szCs w:val="20"/>
              </w:rPr>
              <w:t>indication</w:t>
            </w:r>
          </w:p>
        </w:tc>
      </w:tr>
      <w:tr w:rsidR="00AB01EA" w:rsidRPr="00480790" w14:paraId="74F31CAA"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67667A4D" w14:textId="77777777" w:rsidR="001C256F" w:rsidRPr="00480790" w:rsidRDefault="001C256F">
            <w:pPr>
              <w:keepLines/>
              <w:jc w:val="center"/>
              <w:rPr>
                <w:rFonts w:ascii="Arial Narrow" w:hAnsi="Arial Narrow"/>
                <w:sz w:val="20"/>
                <w:szCs w:val="20"/>
              </w:rPr>
            </w:pPr>
          </w:p>
        </w:tc>
        <w:tc>
          <w:tcPr>
            <w:tcW w:w="7745" w:type="dxa"/>
            <w:gridSpan w:val="6"/>
          </w:tcPr>
          <w:p w14:paraId="616EDBCC" w14:textId="77777777" w:rsidR="001C256F" w:rsidRPr="00480790" w:rsidRDefault="001C256F">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7967F597"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2D9F93C1" w14:textId="54856151" w:rsidR="001C256F" w:rsidRPr="00480790" w:rsidRDefault="001C256F">
            <w:pPr>
              <w:keepLines/>
              <w:jc w:val="center"/>
              <w:rPr>
                <w:rFonts w:ascii="Arial Narrow" w:hAnsi="Arial Narrow"/>
                <w:sz w:val="20"/>
                <w:szCs w:val="20"/>
              </w:rPr>
            </w:pPr>
          </w:p>
        </w:tc>
        <w:tc>
          <w:tcPr>
            <w:tcW w:w="7745" w:type="dxa"/>
            <w:gridSpan w:val="6"/>
          </w:tcPr>
          <w:p w14:paraId="5DF41F77" w14:textId="77777777" w:rsidR="001C256F" w:rsidRPr="00480790" w:rsidRDefault="001C256F">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1C256F" w:rsidRPr="00480790" w14:paraId="622E9F5A" w14:textId="77777777">
        <w:tblPrEx>
          <w:tblCellMar>
            <w:top w:w="15" w:type="dxa"/>
            <w:bottom w:w="15" w:type="dxa"/>
          </w:tblCellMar>
          <w:tblLook w:val="04A0" w:firstRow="1" w:lastRow="0" w:firstColumn="1" w:lastColumn="0" w:noHBand="0" w:noVBand="1"/>
        </w:tblPrEx>
        <w:trPr>
          <w:cantSplit/>
          <w:trHeight w:val="20"/>
        </w:trPr>
        <w:tc>
          <w:tcPr>
            <w:tcW w:w="1271" w:type="dxa"/>
            <w:gridSpan w:val="2"/>
          </w:tcPr>
          <w:p w14:paraId="24458822" w14:textId="1BF34907" w:rsidR="001C256F" w:rsidRPr="00480790" w:rsidRDefault="001C256F">
            <w:pPr>
              <w:keepLines/>
              <w:jc w:val="center"/>
              <w:rPr>
                <w:rFonts w:ascii="Arial Narrow" w:hAnsi="Arial Narrow"/>
                <w:sz w:val="20"/>
                <w:szCs w:val="20"/>
              </w:rPr>
            </w:pPr>
          </w:p>
        </w:tc>
        <w:tc>
          <w:tcPr>
            <w:tcW w:w="7745" w:type="dxa"/>
            <w:gridSpan w:val="6"/>
          </w:tcPr>
          <w:p w14:paraId="1A8457F2" w14:textId="77777777" w:rsidR="001C256F" w:rsidRPr="00480790" w:rsidRDefault="001C256F">
            <w:pPr>
              <w:keepLines/>
              <w:rPr>
                <w:rFonts w:ascii="Arial Narrow" w:hAnsi="Arial Narrow"/>
                <w:b/>
                <w:bCs/>
                <w:sz w:val="20"/>
                <w:szCs w:val="20"/>
              </w:rPr>
            </w:pPr>
            <w:r w:rsidRPr="00480790">
              <w:rPr>
                <w:rFonts w:ascii="Arial Narrow" w:hAnsi="Arial Narrow" w:cs="Open Sans"/>
                <w:sz w:val="20"/>
                <w:szCs w:val="20"/>
              </w:rPr>
              <w:t>Patient must not develop disease progression while receiving PBS-subsidised treatment with this drug for this condition</w:t>
            </w:r>
          </w:p>
        </w:tc>
      </w:tr>
    </w:tbl>
    <w:p w14:paraId="5F85B4A0" w14:textId="5F455AE5" w:rsidR="00D70143" w:rsidRPr="00480790" w:rsidRDefault="001C256F" w:rsidP="002843F8">
      <w:pPr>
        <w:pStyle w:val="3-BodyText"/>
        <w:rPr>
          <w:lang w:val="en-AU"/>
        </w:rPr>
      </w:pPr>
      <w:r w:rsidRPr="00480790">
        <w:rPr>
          <w:lang w:val="en-AU"/>
        </w:rPr>
        <w:t xml:space="preserve">The </w:t>
      </w:r>
      <w:r w:rsidR="00013212">
        <w:rPr>
          <w:lang w:val="en-AU"/>
        </w:rPr>
        <w:t>Pre-Sub-Committee Response (</w:t>
      </w:r>
      <w:r w:rsidRPr="00480790">
        <w:rPr>
          <w:lang w:val="en-AU"/>
        </w:rPr>
        <w:t>PSCR</w:t>
      </w:r>
      <w:r w:rsidR="00013212">
        <w:rPr>
          <w:lang w:val="en-AU"/>
        </w:rPr>
        <w:t>)</w:t>
      </w:r>
      <w:r w:rsidRPr="00480790">
        <w:rPr>
          <w:lang w:val="en-AU"/>
        </w:rPr>
        <w:t xml:space="preserve"> agreed with the Secretariat’s suggestion of separating the restrictions into different phases of treatment (i.e. initial, continuing, and grandfathered patients) for easier administration by Services Australia. </w:t>
      </w:r>
    </w:p>
    <w:p w14:paraId="5E71992D" w14:textId="0984AF88" w:rsidR="001C256F" w:rsidRPr="00480790" w:rsidRDefault="001C256F" w:rsidP="002843F8">
      <w:pPr>
        <w:pStyle w:val="3-BodyText"/>
        <w:rPr>
          <w:lang w:val="en-AU"/>
        </w:rPr>
      </w:pPr>
      <w:r w:rsidRPr="00480790">
        <w:rPr>
          <w:lang w:val="en-AU"/>
        </w:rPr>
        <w:t>The requested PBS restriction positioned alectinib as first-line adjuvant therapy in resected ALK-positive NSCLC. The pre-PBAC response noted that key international clinical practice guidelines including NCCN, ESMO and ASCO recommend sequential ALK TKI therapy for sustained ALK inhibition in ALK-positive disease</w:t>
      </w:r>
      <w:r w:rsidR="00AD5205" w:rsidRPr="00480790">
        <w:rPr>
          <w:lang w:val="en-AU"/>
        </w:rPr>
        <w:t xml:space="preserve"> in the metastatic setting</w:t>
      </w:r>
      <w:r w:rsidRPr="00480790">
        <w:rPr>
          <w:lang w:val="en-AU"/>
        </w:rPr>
        <w:t xml:space="preserve"> (NCCN 2025, Hendriks 2023, Owen 2024). </w:t>
      </w:r>
      <w:r w:rsidR="0048762E" w:rsidRPr="00480790">
        <w:rPr>
          <w:lang w:val="en-AU"/>
        </w:rPr>
        <w:t>The pre-PBAC response</w:t>
      </w:r>
      <w:r w:rsidRPr="00480790">
        <w:rPr>
          <w:lang w:val="en-AU"/>
        </w:rPr>
        <w:t xml:space="preserve"> </w:t>
      </w:r>
      <w:r w:rsidR="007F088A" w:rsidRPr="00480790">
        <w:rPr>
          <w:lang w:val="en-AU"/>
        </w:rPr>
        <w:t xml:space="preserve">stated </w:t>
      </w:r>
      <w:r w:rsidRPr="00480790">
        <w:rPr>
          <w:lang w:val="en-AU"/>
        </w:rPr>
        <w:t xml:space="preserve">that </w:t>
      </w:r>
      <w:r w:rsidR="007F088A" w:rsidRPr="00480790">
        <w:rPr>
          <w:lang w:val="en-AU"/>
        </w:rPr>
        <w:t xml:space="preserve">the </w:t>
      </w:r>
      <w:r w:rsidRPr="00480790">
        <w:rPr>
          <w:lang w:val="en-AU"/>
        </w:rPr>
        <w:t xml:space="preserve">PBS listing of alectinib in the adjuvant setting should not preclude treatment with </w:t>
      </w:r>
      <w:r w:rsidRPr="00480790">
        <w:rPr>
          <w:lang w:val="en-AU"/>
        </w:rPr>
        <w:lastRenderedPageBreak/>
        <w:t>an efficacious ALK TKI (including lorlatinib, brigatinib, and alectinib) upon progression to locally advanced/metastatic NSCLC.</w:t>
      </w:r>
    </w:p>
    <w:p w14:paraId="470E2DDC" w14:textId="4FE56C80" w:rsidR="001C256F" w:rsidRPr="00480790" w:rsidRDefault="001C256F" w:rsidP="002843F8">
      <w:pPr>
        <w:pStyle w:val="3-BodyText"/>
        <w:rPr>
          <w:lang w:val="en-AU"/>
        </w:rPr>
      </w:pPr>
      <w:r w:rsidRPr="00480790">
        <w:rPr>
          <w:lang w:val="en-AU"/>
        </w:rPr>
        <w:t>The requested ex-manufacturer price (AEMP) ($6,320.43) was the same as the current published AEMP for ALK-positive NSCLC stage IIIB (locally advanced) or stage IV (metastatic).</w:t>
      </w:r>
    </w:p>
    <w:p w14:paraId="06023AF3" w14:textId="301D7CB3" w:rsidR="001C256F" w:rsidRPr="00480790" w:rsidRDefault="001C256F" w:rsidP="002843F8">
      <w:pPr>
        <w:pStyle w:val="3-BodyText"/>
        <w:rPr>
          <w:lang w:val="en-AU"/>
        </w:rPr>
      </w:pPr>
      <w:r w:rsidRPr="00480790">
        <w:rPr>
          <w:lang w:val="en-AU"/>
        </w:rPr>
        <w:t xml:space="preserve">The requested PBS restriction did not specify tumour staging, (i.e., stage IB (tumours ≥4 cm) to stage IIIA), </w:t>
      </w:r>
      <w:r w:rsidR="00840186" w:rsidRPr="00480790">
        <w:rPr>
          <w:lang w:val="en-AU"/>
        </w:rPr>
        <w:t xml:space="preserve">and </w:t>
      </w:r>
      <w:r w:rsidRPr="00480790">
        <w:rPr>
          <w:lang w:val="en-AU"/>
        </w:rPr>
        <w:t>instead</w:t>
      </w:r>
      <w:r w:rsidR="00D538CA" w:rsidRPr="00480790">
        <w:rPr>
          <w:lang w:val="en-AU"/>
        </w:rPr>
        <w:t>,</w:t>
      </w:r>
      <w:r w:rsidRPr="00480790">
        <w:rPr>
          <w:lang w:val="en-AU"/>
        </w:rPr>
        <w:t xml:space="preserve"> proposed tumour ‘at least 4 cm in size’. This was consistent with nivolumab</w:t>
      </w:r>
      <w:r w:rsidRPr="00480790">
        <w:rPr>
          <w:rStyle w:val="FootnoteReference"/>
          <w:lang w:val="en-AU"/>
        </w:rPr>
        <w:footnoteReference w:id="2"/>
      </w:r>
      <w:r w:rsidRPr="00480790">
        <w:rPr>
          <w:lang w:val="en-AU"/>
        </w:rPr>
        <w:t xml:space="preserve"> in neoadjuvant ‘resectable NSCLC’ (PBS items 14232C and 14233D) (i.e., stage agnostic) but not </w:t>
      </w:r>
      <w:r w:rsidR="007117C7" w:rsidRPr="00480790">
        <w:rPr>
          <w:lang w:val="en-AU"/>
        </w:rPr>
        <w:t xml:space="preserve">with </w:t>
      </w:r>
      <w:r w:rsidRPr="00480790">
        <w:rPr>
          <w:lang w:val="en-AU"/>
        </w:rPr>
        <w:t>atezolizumab</w:t>
      </w:r>
      <w:r w:rsidRPr="00480790">
        <w:rPr>
          <w:rStyle w:val="FootnoteReference"/>
          <w:lang w:val="en-AU"/>
        </w:rPr>
        <w:footnoteReference w:id="3"/>
      </w:r>
      <w:r w:rsidRPr="00480790">
        <w:rPr>
          <w:lang w:val="en-AU"/>
        </w:rPr>
        <w:t xml:space="preserve"> in adjuvant ‘resected early-stage (Stage II to IIIA) NSCLC’ (PBS items 13174J, 13172G) or osimertinib</w:t>
      </w:r>
      <w:r w:rsidRPr="00480790">
        <w:rPr>
          <w:rStyle w:val="FootnoteReference"/>
          <w:lang w:val="en-AU"/>
        </w:rPr>
        <w:footnoteReference w:id="4"/>
      </w:r>
      <w:r w:rsidRPr="00480790">
        <w:rPr>
          <w:lang w:val="en-AU"/>
        </w:rPr>
        <w:t xml:space="preserve"> in ‘stage IB, II or IIIA NSCLC’ (PBS item 14168Q). </w:t>
      </w:r>
    </w:p>
    <w:p w14:paraId="5326D3AB" w14:textId="77777777" w:rsidR="00D60D3D" w:rsidRPr="00480790" w:rsidRDefault="001C256F" w:rsidP="002843F8">
      <w:pPr>
        <w:pStyle w:val="3-BodyText"/>
        <w:rPr>
          <w:lang w:val="en-AU"/>
        </w:rPr>
      </w:pPr>
      <w:r w:rsidRPr="00480790">
        <w:rPr>
          <w:lang w:val="en-AU"/>
        </w:rPr>
        <w:t xml:space="preserve">The requested PBS restriction and the TGA indication were slightly broader than the clinical evidence presented. The ALINA trial included participants with American Joint Committee on Cancer (AJCC)/International Union Against Cancer (UICC) 7th edition of staging, adjuvant treatment in resected ALK-positive NSCLC stage IB (tumours ≥4 cm or node positive) to stage IIIA </w:t>
      </w:r>
      <w:bookmarkStart w:id="17" w:name="_Hlk188537403"/>
      <w:r w:rsidRPr="00480790">
        <w:rPr>
          <w:lang w:val="en-AU"/>
        </w:rPr>
        <w:t>whereas the proposed restriction was for (i) node positive, or (ii) tumour at least 4 cm in size (i.e., stage agnostic).</w:t>
      </w:r>
      <w:bookmarkEnd w:id="17"/>
      <w:r w:rsidRPr="00480790">
        <w:rPr>
          <w:lang w:val="en-AU"/>
        </w:rPr>
        <w:t xml:space="preserve"> </w:t>
      </w:r>
      <w:r w:rsidRPr="00480790">
        <w:rPr>
          <w:iCs/>
          <w:lang w:val="en-AU"/>
        </w:rPr>
        <w:t>The ESC considered the proposed restriction was appropriate and sufficiently aligned with the ALINA trial.</w:t>
      </w:r>
    </w:p>
    <w:p w14:paraId="50BD1535" w14:textId="1103A03C" w:rsidR="001C256F" w:rsidRPr="00D75B81" w:rsidRDefault="001C256F" w:rsidP="002843F8">
      <w:pPr>
        <w:pStyle w:val="3-BodyText"/>
        <w:numPr>
          <w:ilvl w:val="0"/>
          <w:numId w:val="0"/>
        </w:numPr>
        <w:ind w:left="709"/>
        <w:rPr>
          <w:i/>
          <w:iCs/>
          <w:lang w:val="en-AU"/>
        </w:rPr>
      </w:pPr>
      <w:r w:rsidRPr="00D75B81">
        <w:rPr>
          <w:i/>
          <w:iCs/>
          <w:lang w:val="en-AU"/>
        </w:rPr>
        <w:t>For more detail on PBAC’s view, see section 7 PBAC outcome.</w:t>
      </w:r>
    </w:p>
    <w:p w14:paraId="00E3649B" w14:textId="77777777" w:rsidR="001C256F" w:rsidRPr="00480790" w:rsidDel="00195452" w:rsidRDefault="001C256F" w:rsidP="00AE7DE0">
      <w:pPr>
        <w:pStyle w:val="2-SectionHeading"/>
        <w:numPr>
          <w:ilvl w:val="0"/>
          <w:numId w:val="9"/>
        </w:numPr>
        <w:ind w:hanging="720"/>
      </w:pPr>
      <w:bookmarkStart w:id="18" w:name="_Toc190264952"/>
      <w:bookmarkStart w:id="19" w:name="_Toc193106302"/>
      <w:r w:rsidRPr="00480790" w:rsidDel="00195452">
        <w:t>Population and disease</w:t>
      </w:r>
      <w:bookmarkEnd w:id="18"/>
      <w:bookmarkEnd w:id="19"/>
    </w:p>
    <w:p w14:paraId="2E973353" w14:textId="77777777" w:rsidR="001C256F" w:rsidRPr="00480790" w:rsidRDefault="001C256F" w:rsidP="002843F8">
      <w:pPr>
        <w:pStyle w:val="3-BodyText"/>
        <w:rPr>
          <w:lang w:val="en-AU"/>
        </w:rPr>
      </w:pPr>
      <w:r w:rsidRPr="00480790">
        <w:rPr>
          <w:lang w:val="en-AU"/>
        </w:rPr>
        <w:t>Lung cancer is the fifth most commonly diagnosed cancer and the leading cause of cancer death in Australia.</w:t>
      </w:r>
      <w:r w:rsidRPr="00480790">
        <w:rPr>
          <w:rStyle w:val="FootnoteReference"/>
          <w:lang w:val="en-AU"/>
        </w:rPr>
        <w:footnoteReference w:id="5"/>
      </w:r>
      <w:r w:rsidRPr="00480790">
        <w:rPr>
          <w:lang w:val="en-AU"/>
        </w:rPr>
        <w:t xml:space="preserve"> In ALK-positive NSCLC, the ALK gene undergoes a rearrangement within chromosome 2, resulting in the expression of an oncogenic ALK fusion protein which mediates constitutive kinase activity.</w:t>
      </w:r>
      <w:r w:rsidRPr="00480790">
        <w:rPr>
          <w:rStyle w:val="FootnoteReference"/>
          <w:lang w:val="en-AU"/>
        </w:rPr>
        <w:footnoteReference w:id="6"/>
      </w:r>
      <w:r w:rsidRPr="00480790">
        <w:rPr>
          <w:lang w:val="en-AU"/>
        </w:rPr>
        <w:t xml:space="preserve"> The pre-PBAC response noted that ALK-positive NSCLC is a distinct molecular subtype where disease progression often remains ALK-driven.</w:t>
      </w:r>
    </w:p>
    <w:p w14:paraId="7998C6A6" w14:textId="59E64953" w:rsidR="001C256F" w:rsidRPr="00480790" w:rsidRDefault="001C256F" w:rsidP="002843F8">
      <w:pPr>
        <w:pStyle w:val="3-BodyText"/>
        <w:rPr>
          <w:lang w:val="en-AU"/>
        </w:rPr>
      </w:pPr>
      <w:r w:rsidRPr="00480790">
        <w:rPr>
          <w:lang w:val="en-AU"/>
        </w:rPr>
        <w:t>The submission stated that the prevalence of ALK was estimated to be approximately 4.4% in Australian patients with NSCLC.</w:t>
      </w:r>
      <w:r w:rsidRPr="00480790">
        <w:rPr>
          <w:rStyle w:val="FootnoteReference"/>
          <w:lang w:val="en-AU"/>
        </w:rPr>
        <w:footnoteReference w:id="7"/>
      </w:r>
      <w:r w:rsidRPr="00480790">
        <w:rPr>
          <w:lang w:val="en-AU"/>
        </w:rPr>
        <w:t xml:space="preserve"> </w:t>
      </w:r>
      <w:bookmarkStart w:id="20" w:name="_Hlk188537260"/>
      <w:r w:rsidRPr="00480790">
        <w:rPr>
          <w:lang w:val="en-AU"/>
        </w:rPr>
        <w:t>This equated to a total of 82 eligible incident patients in 2025.</w:t>
      </w:r>
      <w:bookmarkEnd w:id="20"/>
    </w:p>
    <w:p w14:paraId="7509CF4A" w14:textId="139337F7" w:rsidR="001C256F" w:rsidRPr="00480790" w:rsidRDefault="001C256F" w:rsidP="002843F8">
      <w:pPr>
        <w:pStyle w:val="3-BodyText"/>
        <w:rPr>
          <w:lang w:val="en-AU"/>
        </w:rPr>
      </w:pPr>
      <w:r w:rsidRPr="00480790">
        <w:rPr>
          <w:lang w:val="en-AU"/>
        </w:rPr>
        <w:lastRenderedPageBreak/>
        <w:t>ALK-positive NSCLC tends to occur in younger females, with never or light smoking history compared with the general NSCLC population.</w:t>
      </w:r>
      <w:r w:rsidRPr="00480790">
        <w:rPr>
          <w:rStyle w:val="FootnoteReference"/>
          <w:lang w:val="en-AU"/>
        </w:rPr>
        <w:footnoteReference w:id="8"/>
      </w:r>
    </w:p>
    <w:p w14:paraId="14625195" w14:textId="77777777" w:rsidR="001C256F" w:rsidRPr="00480790" w:rsidRDefault="001C256F" w:rsidP="002843F8">
      <w:pPr>
        <w:pStyle w:val="3-BodyText"/>
        <w:rPr>
          <w:lang w:val="en-AU"/>
        </w:rPr>
      </w:pPr>
      <w:r w:rsidRPr="00480790">
        <w:rPr>
          <w:lang w:val="en-AU"/>
        </w:rPr>
        <w:t>ALK-positive NSCLC is associated with a high propensity of developing central nervous system metastases compared to ALK-negative disease, with 50-60% of patients expected to develop these metastases over the course of their disease.</w:t>
      </w:r>
      <w:r w:rsidRPr="00480790">
        <w:rPr>
          <w:rStyle w:val="FootnoteReference"/>
          <w:lang w:val="en-AU"/>
        </w:rPr>
        <w:footnoteReference w:id="9"/>
      </w:r>
    </w:p>
    <w:p w14:paraId="1AE072CF" w14:textId="4DB979A8" w:rsidR="001C256F" w:rsidRPr="00480790" w:rsidRDefault="001C256F" w:rsidP="002843F8">
      <w:pPr>
        <w:pStyle w:val="3-BodyText"/>
        <w:rPr>
          <w:lang w:val="en-AU"/>
        </w:rPr>
      </w:pPr>
      <w:r w:rsidRPr="00480790">
        <w:rPr>
          <w:lang w:val="en-AU"/>
        </w:rPr>
        <w:t xml:space="preserve">There </w:t>
      </w:r>
      <w:r w:rsidR="009173CB" w:rsidRPr="00480790">
        <w:rPr>
          <w:lang w:val="en-AU"/>
        </w:rPr>
        <w:t>we</w:t>
      </w:r>
      <w:r w:rsidRPr="00480790">
        <w:rPr>
          <w:lang w:val="en-AU"/>
        </w:rPr>
        <w:t xml:space="preserve">re currently no targeted treatments </w:t>
      </w:r>
      <w:r w:rsidR="00AD5205" w:rsidRPr="00480790">
        <w:rPr>
          <w:lang w:val="en-AU"/>
        </w:rPr>
        <w:t>reimbursed for</w:t>
      </w:r>
      <w:r w:rsidRPr="00480790">
        <w:rPr>
          <w:lang w:val="en-AU"/>
        </w:rPr>
        <w:t xml:space="preserve"> patients with ALK-positive early-stage NSCLC. The standard of care for patients with early-stage NSCLC </w:t>
      </w:r>
      <w:r w:rsidR="009173CB" w:rsidRPr="00480790">
        <w:rPr>
          <w:lang w:val="en-AU"/>
        </w:rPr>
        <w:t>wa</w:t>
      </w:r>
      <w:r w:rsidRPr="00480790">
        <w:rPr>
          <w:lang w:val="en-AU"/>
        </w:rPr>
        <w:t>s complete surgical resection followed by adjuvant platinum-based chemotherapy. The benefit of adjuvant platinum-based chemotherapy is modest and the proportion of patients who experience disease recurrence or who die after surgery remains high.</w:t>
      </w:r>
      <w:r w:rsidRPr="00480790">
        <w:rPr>
          <w:rStyle w:val="FootnoteReference"/>
          <w:lang w:val="en-AU"/>
        </w:rPr>
        <w:footnoteReference w:id="10"/>
      </w:r>
    </w:p>
    <w:p w14:paraId="24F26A3B" w14:textId="77777777" w:rsidR="00D60D3D" w:rsidRPr="00480790" w:rsidRDefault="001C256F" w:rsidP="002843F8">
      <w:pPr>
        <w:pStyle w:val="3-BodyText"/>
        <w:rPr>
          <w:lang w:val="en-AU"/>
        </w:rPr>
      </w:pPr>
      <w:r w:rsidRPr="00480790">
        <w:rPr>
          <w:lang w:val="en-AU"/>
        </w:rPr>
        <w:t>Alectinib is a highly selective and potent tyrosine kinase inhibitors (TKI) that targets ALK and rearranged during transfection (RET) tyrosine kinase. ALK-TKIs have successfully been used as treatment in the locally advanced/metastatic NSCLC setting, however, there has been a lack of studies evaluating the efficacy and safety of ALK-TKIs in earlier stages of the disease.</w:t>
      </w:r>
    </w:p>
    <w:p w14:paraId="484215C3" w14:textId="75FDCEC6" w:rsidR="001C256F" w:rsidRPr="00E00D56" w:rsidRDefault="001C256F" w:rsidP="002843F8">
      <w:pPr>
        <w:pStyle w:val="3-BodyText"/>
        <w:numPr>
          <w:ilvl w:val="0"/>
          <w:numId w:val="0"/>
        </w:numPr>
        <w:ind w:left="709"/>
        <w:rPr>
          <w:i/>
          <w:iCs/>
          <w:lang w:val="en-AU"/>
        </w:rPr>
      </w:pPr>
      <w:r w:rsidRPr="00E00D56">
        <w:rPr>
          <w:i/>
          <w:iCs/>
          <w:lang w:val="en-AU"/>
        </w:rPr>
        <w:t>For more detail on PBAC’s view, see section 7 PBAC outcome.</w:t>
      </w:r>
    </w:p>
    <w:p w14:paraId="2A49AD63" w14:textId="77777777" w:rsidR="001C256F" w:rsidRPr="00480790" w:rsidRDefault="001C256F" w:rsidP="00AE7DE0">
      <w:pPr>
        <w:pStyle w:val="2-SectionHeading"/>
        <w:numPr>
          <w:ilvl w:val="0"/>
          <w:numId w:val="9"/>
        </w:numPr>
        <w:ind w:hanging="720"/>
      </w:pPr>
      <w:bookmarkStart w:id="21" w:name="_Toc190264953"/>
      <w:bookmarkStart w:id="22" w:name="_Toc193106303"/>
      <w:r w:rsidRPr="00480790">
        <w:t>Comparator</w:t>
      </w:r>
      <w:bookmarkEnd w:id="21"/>
      <w:bookmarkEnd w:id="22"/>
    </w:p>
    <w:p w14:paraId="678D76BE" w14:textId="77777777" w:rsidR="001C256F" w:rsidRPr="00480790" w:rsidRDefault="001C256F" w:rsidP="002843F8">
      <w:pPr>
        <w:pStyle w:val="3-BodyText"/>
        <w:rPr>
          <w:lang w:val="en-AU"/>
        </w:rPr>
      </w:pPr>
      <w:r w:rsidRPr="00480790">
        <w:rPr>
          <w:lang w:val="en-AU"/>
        </w:rPr>
        <w:t xml:space="preserve">The submission nominated platinum-based chemotherapy as the main comparator. </w:t>
      </w:r>
      <w:r w:rsidRPr="00480790">
        <w:rPr>
          <w:iCs/>
          <w:lang w:val="en-AU"/>
        </w:rPr>
        <w:t>The ESC considered the comparator was reasonable.</w:t>
      </w:r>
    </w:p>
    <w:p w14:paraId="391157AD" w14:textId="2F61DEDF" w:rsidR="001C256F" w:rsidRPr="00480790" w:rsidRDefault="001C256F" w:rsidP="002843F8">
      <w:pPr>
        <w:pStyle w:val="3-BodyText"/>
        <w:rPr>
          <w:lang w:val="en-AU"/>
        </w:rPr>
      </w:pPr>
      <w:r w:rsidRPr="00480790">
        <w:rPr>
          <w:lang w:val="en-AU"/>
        </w:rPr>
        <w:t xml:space="preserve">The submission stated that cisplatin-based chemotherapy is preferred but carboplatin may be used when cisplatin cannot be tolerated, or comorbidities exist. The majority of patients in the control arm (80%) were treated with cisplatin-pemetrexed in the ALINA trial. This </w:t>
      </w:r>
      <w:r w:rsidR="00B32E59" w:rsidRPr="00480790">
        <w:rPr>
          <w:lang w:val="en-AU"/>
        </w:rPr>
        <w:t>wa</w:t>
      </w:r>
      <w:r w:rsidRPr="00480790">
        <w:rPr>
          <w:lang w:val="en-AU"/>
        </w:rPr>
        <w:t>s also aligned with clinician feedback from the National Lung Cancer Advisory Board, who advised that a platinum-agent in combination with pemetrexed is the current Australian standard of care for patients with resected ALK-</w:t>
      </w:r>
      <w:r w:rsidRPr="00480790">
        <w:rPr>
          <w:lang w:val="en-AU"/>
        </w:rPr>
        <w:lastRenderedPageBreak/>
        <w:t>positive early-stage NSCLC.</w:t>
      </w:r>
      <w:r w:rsidRPr="00480790">
        <w:rPr>
          <w:rStyle w:val="FootnoteReference"/>
          <w:lang w:val="en-AU"/>
        </w:rPr>
        <w:footnoteReference w:id="11"/>
      </w:r>
      <w:r w:rsidRPr="00480790">
        <w:rPr>
          <w:lang w:val="en-AU"/>
        </w:rPr>
        <w:t xml:space="preserve"> This was consistent with the economic model and financial estimates.</w:t>
      </w:r>
    </w:p>
    <w:p w14:paraId="695D5CF7" w14:textId="77777777" w:rsidR="001C256F" w:rsidRPr="00480790" w:rsidRDefault="001C256F" w:rsidP="002843F8">
      <w:pPr>
        <w:pStyle w:val="3-BodyText"/>
        <w:rPr>
          <w:lang w:val="en-AU"/>
        </w:rPr>
      </w:pPr>
      <w:r w:rsidRPr="00480790">
        <w:rPr>
          <w:lang w:val="en-AU"/>
        </w:rPr>
        <w:t>The main arguments provided in support of this nomination were:</w:t>
      </w:r>
    </w:p>
    <w:p w14:paraId="3DC456C2" w14:textId="77777777" w:rsidR="001C256F" w:rsidRPr="00480790" w:rsidRDefault="001C256F" w:rsidP="00751EBB">
      <w:pPr>
        <w:pStyle w:val="ListParagraph"/>
        <w:numPr>
          <w:ilvl w:val="0"/>
          <w:numId w:val="2"/>
        </w:numPr>
        <w:tabs>
          <w:tab w:val="clear" w:pos="360"/>
        </w:tabs>
        <w:ind w:left="1134" w:hanging="357"/>
      </w:pPr>
      <w:r w:rsidRPr="00480790">
        <w:t>There are currently no targeted treatments available to patients with resected ALK-positive early-stage NSCLC. Therefore, these patients are treated similarly to patients with resected early-stage NSCLC whose tumours do not have oncogenic driver alterations.</w:t>
      </w:r>
    </w:p>
    <w:p w14:paraId="304120F3" w14:textId="77777777" w:rsidR="001C256F" w:rsidRPr="00480790" w:rsidRDefault="001C256F" w:rsidP="00751EBB">
      <w:pPr>
        <w:pStyle w:val="ListParagraph"/>
        <w:numPr>
          <w:ilvl w:val="0"/>
          <w:numId w:val="2"/>
        </w:numPr>
        <w:tabs>
          <w:tab w:val="clear" w:pos="360"/>
        </w:tabs>
        <w:ind w:left="1134" w:hanging="357"/>
      </w:pPr>
      <w:r w:rsidRPr="00480790">
        <w:t xml:space="preserve">There was consensus amongst international clinical practice guidelines, including Australian specific guidelines, that the standard of care for these patients was adjuvant therapy with platinum-based chemotherapy. </w:t>
      </w:r>
      <w:r w:rsidRPr="00480790">
        <w:rPr>
          <w:vertAlign w:val="superscript"/>
        </w:rPr>
        <w:footnoteReference w:id="12"/>
      </w:r>
      <w:r w:rsidRPr="00480790">
        <w:rPr>
          <w:vertAlign w:val="superscript"/>
        </w:rPr>
        <w:t>,</w:t>
      </w:r>
      <w:r w:rsidRPr="00480790">
        <w:rPr>
          <w:vertAlign w:val="superscript"/>
        </w:rPr>
        <w:footnoteReference w:id="13"/>
      </w:r>
      <w:r w:rsidRPr="00480790">
        <w:rPr>
          <w:vertAlign w:val="superscript"/>
        </w:rPr>
        <w:t>,</w:t>
      </w:r>
      <w:r w:rsidRPr="00480790">
        <w:rPr>
          <w:vertAlign w:val="superscript"/>
        </w:rPr>
        <w:footnoteReference w:id="14"/>
      </w:r>
      <w:r w:rsidRPr="00480790">
        <w:rPr>
          <w:vertAlign w:val="superscript"/>
        </w:rPr>
        <w:t>,</w:t>
      </w:r>
      <w:r w:rsidRPr="00480790">
        <w:rPr>
          <w:vertAlign w:val="superscript"/>
        </w:rPr>
        <w:footnoteReference w:id="15"/>
      </w:r>
      <w:r w:rsidRPr="00480790">
        <w:rPr>
          <w:vertAlign w:val="superscript"/>
        </w:rPr>
        <w:t>,</w:t>
      </w:r>
      <w:r w:rsidRPr="00480790">
        <w:rPr>
          <w:vertAlign w:val="superscript"/>
        </w:rPr>
        <w:footnoteReference w:id="16"/>
      </w:r>
      <w:r w:rsidRPr="00480790">
        <w:rPr>
          <w:vertAlign w:val="superscript"/>
        </w:rPr>
        <w:t>,</w:t>
      </w:r>
      <w:r w:rsidRPr="00480790">
        <w:rPr>
          <w:vertAlign w:val="superscript"/>
        </w:rPr>
        <w:footnoteReference w:id="17"/>
      </w:r>
    </w:p>
    <w:p w14:paraId="4D99E743" w14:textId="0AC74FB7" w:rsidR="001C256F" w:rsidRPr="00480790" w:rsidRDefault="001C256F" w:rsidP="00751EBB">
      <w:pPr>
        <w:pStyle w:val="ListParagraph"/>
        <w:numPr>
          <w:ilvl w:val="0"/>
          <w:numId w:val="2"/>
        </w:numPr>
        <w:tabs>
          <w:tab w:val="clear" w:pos="360"/>
        </w:tabs>
        <w:ind w:left="1134" w:hanging="357"/>
      </w:pPr>
      <w:r w:rsidRPr="00480790">
        <w:t>An Advisory Board advised that a platinum agent in combination with pemetrexed was the current Australian standard of care for patients with resected ALK-positive early-stage NSCLC.</w:t>
      </w:r>
      <w:r w:rsidRPr="00480790">
        <w:rPr>
          <w:vertAlign w:val="superscript"/>
        </w:rPr>
        <w:footnoteReference w:id="18"/>
      </w:r>
    </w:p>
    <w:p w14:paraId="620E082F" w14:textId="77777777" w:rsidR="004047FD" w:rsidRPr="00480790" w:rsidRDefault="001C256F" w:rsidP="002843F8">
      <w:pPr>
        <w:pStyle w:val="3-BodyText"/>
        <w:rPr>
          <w:lang w:val="en-AU"/>
        </w:rPr>
      </w:pPr>
      <w:r w:rsidRPr="00480790">
        <w:rPr>
          <w:lang w:val="en-AU"/>
        </w:rPr>
        <w:t>The submission stated that the stage inclusion criteria for the ALINA trial were as per the AJCC/UICC 7th edition.</w:t>
      </w:r>
      <w:r w:rsidRPr="00480790">
        <w:rPr>
          <w:rStyle w:val="FootnoteReference"/>
          <w:lang w:val="en-AU"/>
        </w:rPr>
        <w:footnoteReference w:id="19"/>
      </w:r>
      <w:r w:rsidRPr="00480790">
        <w:rPr>
          <w:lang w:val="en-AU"/>
        </w:rPr>
        <w:t xml:space="preserve"> However</w:t>
      </w:r>
      <w:r w:rsidR="006A4BF8" w:rsidRPr="00480790">
        <w:rPr>
          <w:lang w:val="en-AU"/>
        </w:rPr>
        <w:t>,</w:t>
      </w:r>
      <w:r w:rsidRPr="00480790">
        <w:rPr>
          <w:lang w:val="en-AU"/>
        </w:rPr>
        <w:t xml:space="preserve"> </w:t>
      </w:r>
      <w:r w:rsidR="009249BE" w:rsidRPr="00480790">
        <w:rPr>
          <w:lang w:val="en-AU"/>
        </w:rPr>
        <w:t>u</w:t>
      </w:r>
      <w:r w:rsidRPr="00480790">
        <w:rPr>
          <w:lang w:val="en-AU"/>
        </w:rPr>
        <w:t>nder the AJCC/UICC 8th and proposed 9th edition, the eligible ALINA trial population would effectively become stage IB (tumour size equal to 4 cm) to IIIA and select IIIB. Thus</w:t>
      </w:r>
      <w:r w:rsidR="00393882" w:rsidRPr="00480790">
        <w:rPr>
          <w:lang w:val="en-AU"/>
        </w:rPr>
        <w:t>,</w:t>
      </w:r>
      <w:r w:rsidRPr="00480790">
        <w:rPr>
          <w:lang w:val="en-AU"/>
        </w:rPr>
        <w:t xml:space="preserve"> there was overlap in the PBS restrictions for other medicines for ‘stage IIIB’ ALK-positive NSCLC: crizotinib (10322G, 10323H); brigatinib (11976H, 11974F, 11980M, 11984R); ceritinib (11056X); and lorlatinib (12096P). However, these medicines would not be considered relevant comparators as they were not PBS restricted for use in the adjuvant setting.</w:t>
      </w:r>
    </w:p>
    <w:p w14:paraId="0BA548B5" w14:textId="4A094E4F" w:rsidR="001C256F" w:rsidRPr="0001734C" w:rsidRDefault="001C256F" w:rsidP="002843F8">
      <w:pPr>
        <w:pStyle w:val="3-BodyText"/>
        <w:numPr>
          <w:ilvl w:val="0"/>
          <w:numId w:val="0"/>
        </w:numPr>
        <w:ind w:left="709"/>
        <w:rPr>
          <w:i/>
          <w:iCs/>
          <w:lang w:val="en-AU"/>
        </w:rPr>
      </w:pPr>
      <w:r w:rsidRPr="0001734C">
        <w:rPr>
          <w:i/>
          <w:iCs/>
          <w:lang w:val="en-AU"/>
        </w:rPr>
        <w:t>For more detail on PBAC’s view, see section 7 PBAC outcome.</w:t>
      </w:r>
    </w:p>
    <w:p w14:paraId="5EE2F2B0" w14:textId="77777777" w:rsidR="001C256F" w:rsidRPr="00480790" w:rsidRDefault="001C256F" w:rsidP="00AE7DE0">
      <w:pPr>
        <w:pStyle w:val="2-SectionHeading"/>
        <w:numPr>
          <w:ilvl w:val="0"/>
          <w:numId w:val="9"/>
        </w:numPr>
        <w:ind w:hanging="720"/>
      </w:pPr>
      <w:bookmarkStart w:id="23" w:name="_Toc190264954"/>
      <w:bookmarkStart w:id="24" w:name="_Toc193106304"/>
      <w:r w:rsidRPr="00480790">
        <w:lastRenderedPageBreak/>
        <w:t>Consideration of the evidence</w:t>
      </w:r>
      <w:bookmarkEnd w:id="23"/>
      <w:bookmarkEnd w:id="24"/>
    </w:p>
    <w:p w14:paraId="438526D9" w14:textId="77777777" w:rsidR="001C256F" w:rsidRPr="00480790" w:rsidRDefault="001C256F" w:rsidP="00974745">
      <w:pPr>
        <w:pStyle w:val="4-SubsectionHeading"/>
      </w:pPr>
      <w:bookmarkStart w:id="25" w:name="_Hlk76375935"/>
      <w:bookmarkStart w:id="26" w:name="_Toc190264955"/>
      <w:bookmarkStart w:id="27" w:name="_Toc193106305"/>
      <w:bookmarkStart w:id="28" w:name="_Toc22897645"/>
      <w:r w:rsidRPr="00480790">
        <w:t>Sponsor hearing</w:t>
      </w:r>
    </w:p>
    <w:p w14:paraId="663035A9" w14:textId="1A3C84A8" w:rsidR="001C256F" w:rsidRPr="00480790" w:rsidRDefault="001C256F" w:rsidP="002843F8">
      <w:pPr>
        <w:pStyle w:val="3-BodyText"/>
        <w:rPr>
          <w:snapToGrid w:val="0"/>
          <w:lang w:val="en-AU"/>
        </w:rPr>
      </w:pPr>
      <w:bookmarkStart w:id="29" w:name="_Hlk76382586"/>
      <w:r w:rsidRPr="00480790">
        <w:rPr>
          <w:snapToGrid w:val="0"/>
          <w:lang w:val="en-AU"/>
        </w:rPr>
        <w:t>The sponsor requested a hearing for this item. The clinician described how the efficacy results of the A</w:t>
      </w:r>
      <w:r w:rsidR="00C34952" w:rsidRPr="00480790">
        <w:rPr>
          <w:snapToGrid w:val="0"/>
          <w:lang w:val="en-AU"/>
        </w:rPr>
        <w:t>LINA</w:t>
      </w:r>
      <w:r w:rsidRPr="00480790">
        <w:rPr>
          <w:snapToGrid w:val="0"/>
          <w:lang w:val="en-AU"/>
        </w:rPr>
        <w:t xml:space="preserve"> trial for early disease mirror</w:t>
      </w:r>
      <w:r w:rsidR="00B53FA9" w:rsidRPr="00480790">
        <w:rPr>
          <w:snapToGrid w:val="0"/>
          <w:lang w:val="en-AU"/>
        </w:rPr>
        <w:t>ed</w:t>
      </w:r>
      <w:r w:rsidRPr="00480790">
        <w:rPr>
          <w:snapToGrid w:val="0"/>
          <w:lang w:val="en-AU"/>
        </w:rPr>
        <w:t xml:space="preserve"> the magnitude of benefit observed in the</w:t>
      </w:r>
      <w:r w:rsidRPr="00480790">
        <w:rPr>
          <w:rFonts w:ascii="Segoe UI" w:eastAsia="Segoe UI" w:hAnsi="Segoe UI" w:cs="Segoe UI"/>
          <w:sz w:val="20"/>
          <w:szCs w:val="20"/>
          <w:lang w:val="en-AU"/>
        </w:rPr>
        <w:t xml:space="preserve"> </w:t>
      </w:r>
      <w:r w:rsidRPr="00480790">
        <w:rPr>
          <w:snapToGrid w:val="0"/>
          <w:lang w:val="en-AU"/>
        </w:rPr>
        <w:t xml:space="preserve">metastatic setting in the ALK positive NSCLC space and this magnitude </w:t>
      </w:r>
      <w:r w:rsidR="00FC6DE2" w:rsidRPr="00480790">
        <w:rPr>
          <w:snapToGrid w:val="0"/>
          <w:lang w:val="en-AU"/>
        </w:rPr>
        <w:t>wa</w:t>
      </w:r>
      <w:r w:rsidRPr="00480790">
        <w:rPr>
          <w:snapToGrid w:val="0"/>
          <w:lang w:val="en-AU"/>
        </w:rPr>
        <w:t xml:space="preserve">s considered substantial and clinically significant to patients. The presentation </w:t>
      </w:r>
      <w:r w:rsidR="00AD5205" w:rsidRPr="00480790">
        <w:rPr>
          <w:snapToGrid w:val="0"/>
          <w:lang w:val="en-AU"/>
        </w:rPr>
        <w:t xml:space="preserve">stated </w:t>
      </w:r>
      <w:r w:rsidRPr="00480790">
        <w:rPr>
          <w:snapToGrid w:val="0"/>
          <w:lang w:val="en-AU"/>
        </w:rPr>
        <w:t>that disease</w:t>
      </w:r>
      <w:r w:rsidR="00F910FD" w:rsidRPr="00480790">
        <w:rPr>
          <w:snapToGrid w:val="0"/>
          <w:lang w:val="en-AU"/>
        </w:rPr>
        <w:t>-</w:t>
      </w:r>
      <w:r w:rsidRPr="00480790">
        <w:rPr>
          <w:snapToGrid w:val="0"/>
          <w:lang w:val="en-AU"/>
        </w:rPr>
        <w:t xml:space="preserve">free survival is a valuable and meaningful endpoint for understanding benefit of a treatment from both the patient and clinician perspective and that the </w:t>
      </w:r>
      <w:r w:rsidR="00F910FD" w:rsidRPr="00480790">
        <w:rPr>
          <w:snapToGrid w:val="0"/>
          <w:lang w:val="en-AU"/>
        </w:rPr>
        <w:t>disease-free</w:t>
      </w:r>
      <w:r w:rsidRPr="00480790">
        <w:rPr>
          <w:snapToGrid w:val="0"/>
          <w:lang w:val="en-AU"/>
        </w:rPr>
        <w:t xml:space="preserve"> survival curves in the A</w:t>
      </w:r>
      <w:r w:rsidR="00FC6DE2" w:rsidRPr="00480790">
        <w:rPr>
          <w:snapToGrid w:val="0"/>
          <w:lang w:val="en-AU"/>
        </w:rPr>
        <w:t xml:space="preserve">LINA </w:t>
      </w:r>
      <w:r w:rsidRPr="00480790">
        <w:rPr>
          <w:snapToGrid w:val="0"/>
          <w:lang w:val="en-AU"/>
        </w:rPr>
        <w:t xml:space="preserve">trial show substantial separation. </w:t>
      </w:r>
      <w:r w:rsidR="00191ABE" w:rsidRPr="00480790">
        <w:rPr>
          <w:snapToGrid w:val="0"/>
          <w:lang w:val="en-AU"/>
        </w:rPr>
        <w:t xml:space="preserve">The PBAC also noted the clinician supported </w:t>
      </w:r>
      <w:r w:rsidR="00D56C66" w:rsidRPr="00480790">
        <w:rPr>
          <w:snapToGrid w:val="0"/>
          <w:lang w:val="en-AU"/>
        </w:rPr>
        <w:t>th</w:t>
      </w:r>
      <w:r w:rsidR="00104D84" w:rsidRPr="00480790">
        <w:rPr>
          <w:snapToGrid w:val="0"/>
          <w:lang w:val="en-AU"/>
        </w:rPr>
        <w:t>e</w:t>
      </w:r>
      <w:r w:rsidR="00D56C66" w:rsidRPr="00480790">
        <w:rPr>
          <w:snapToGrid w:val="0"/>
          <w:lang w:val="en-AU"/>
        </w:rPr>
        <w:t xml:space="preserve"> opportunity for </w:t>
      </w:r>
      <w:r w:rsidR="00191ABE" w:rsidRPr="00480790">
        <w:rPr>
          <w:snapToGrid w:val="0"/>
          <w:lang w:val="en-AU"/>
        </w:rPr>
        <w:t>retreatment</w:t>
      </w:r>
      <w:r w:rsidR="00B03BED" w:rsidRPr="00480790">
        <w:rPr>
          <w:snapToGrid w:val="0"/>
          <w:lang w:val="en-AU"/>
        </w:rPr>
        <w:t xml:space="preserve"> </w:t>
      </w:r>
      <w:r w:rsidR="001B6EC2" w:rsidRPr="00480790">
        <w:rPr>
          <w:snapToGrid w:val="0"/>
          <w:lang w:val="en-AU"/>
        </w:rPr>
        <w:t xml:space="preserve">with alectinib or to sequence </w:t>
      </w:r>
      <w:r w:rsidR="00AD5205" w:rsidRPr="00480790">
        <w:rPr>
          <w:snapToGrid w:val="0"/>
          <w:lang w:val="en-AU"/>
        </w:rPr>
        <w:t xml:space="preserve">an alternate </w:t>
      </w:r>
      <w:r w:rsidR="001B6EC2" w:rsidRPr="00480790">
        <w:rPr>
          <w:snapToGrid w:val="0"/>
          <w:lang w:val="en-AU"/>
        </w:rPr>
        <w:t>third generation drug such as lo</w:t>
      </w:r>
      <w:r w:rsidR="00061D84" w:rsidRPr="00480790">
        <w:rPr>
          <w:snapToGrid w:val="0"/>
          <w:lang w:val="en-AU"/>
        </w:rPr>
        <w:t>r</w:t>
      </w:r>
      <w:r w:rsidR="001B6EC2" w:rsidRPr="00480790">
        <w:rPr>
          <w:snapToGrid w:val="0"/>
          <w:lang w:val="en-AU"/>
        </w:rPr>
        <w:t xml:space="preserve">latinib, </w:t>
      </w:r>
      <w:r w:rsidR="00B03BED" w:rsidRPr="00480790">
        <w:rPr>
          <w:snapToGrid w:val="0"/>
          <w:lang w:val="en-AU"/>
        </w:rPr>
        <w:t xml:space="preserve">noting </w:t>
      </w:r>
      <w:r w:rsidR="00433A99" w:rsidRPr="00480790">
        <w:rPr>
          <w:snapToGrid w:val="0"/>
          <w:lang w:val="en-AU"/>
        </w:rPr>
        <w:t>retre</w:t>
      </w:r>
      <w:r w:rsidR="002D6C8D" w:rsidRPr="00480790">
        <w:rPr>
          <w:snapToGrid w:val="0"/>
          <w:lang w:val="en-AU"/>
        </w:rPr>
        <w:t>a</w:t>
      </w:r>
      <w:r w:rsidR="00433A99" w:rsidRPr="00480790">
        <w:rPr>
          <w:snapToGrid w:val="0"/>
          <w:lang w:val="en-AU"/>
        </w:rPr>
        <w:t>tment</w:t>
      </w:r>
      <w:r w:rsidR="00B03BED" w:rsidRPr="00480790">
        <w:rPr>
          <w:snapToGrid w:val="0"/>
          <w:lang w:val="en-AU"/>
        </w:rPr>
        <w:t xml:space="preserve"> is available f</w:t>
      </w:r>
      <w:r w:rsidR="00A2664A" w:rsidRPr="00480790">
        <w:rPr>
          <w:snapToGrid w:val="0"/>
          <w:lang w:val="en-AU"/>
        </w:rPr>
        <w:t>o</w:t>
      </w:r>
      <w:r w:rsidR="00B03BED" w:rsidRPr="00480790">
        <w:rPr>
          <w:snapToGrid w:val="0"/>
          <w:lang w:val="en-AU"/>
        </w:rPr>
        <w:t>r other o</w:t>
      </w:r>
      <w:r w:rsidR="00A2664A" w:rsidRPr="00480790">
        <w:rPr>
          <w:snapToGrid w:val="0"/>
          <w:lang w:val="en-AU"/>
        </w:rPr>
        <w:t>ncogene driven cancers, such as GIST.</w:t>
      </w:r>
      <w:r w:rsidR="00191ABE" w:rsidRPr="00480790">
        <w:rPr>
          <w:snapToGrid w:val="0"/>
          <w:lang w:val="en-AU"/>
        </w:rPr>
        <w:t xml:space="preserve"> </w:t>
      </w:r>
      <w:r w:rsidR="00D56C66" w:rsidRPr="00480790">
        <w:rPr>
          <w:snapToGrid w:val="0"/>
          <w:lang w:val="en-AU"/>
        </w:rPr>
        <w:t>The clinical</w:t>
      </w:r>
      <w:r w:rsidR="008839E2" w:rsidRPr="00480790">
        <w:rPr>
          <w:snapToGrid w:val="0"/>
          <w:lang w:val="en-AU"/>
        </w:rPr>
        <w:t xml:space="preserve"> expert further</w:t>
      </w:r>
      <w:r w:rsidR="00D56C66" w:rsidRPr="00480790">
        <w:rPr>
          <w:snapToGrid w:val="0"/>
          <w:lang w:val="en-AU"/>
        </w:rPr>
        <w:t xml:space="preserve"> noted more follow-up was required </w:t>
      </w:r>
      <w:r w:rsidR="00367D1F" w:rsidRPr="00480790">
        <w:rPr>
          <w:snapToGrid w:val="0"/>
          <w:lang w:val="en-AU"/>
        </w:rPr>
        <w:t xml:space="preserve">to </w:t>
      </w:r>
      <w:r w:rsidR="00433A99" w:rsidRPr="00480790">
        <w:rPr>
          <w:snapToGrid w:val="0"/>
          <w:lang w:val="en-AU"/>
        </w:rPr>
        <w:t xml:space="preserve">better understand </w:t>
      </w:r>
      <w:r w:rsidR="00D56C66" w:rsidRPr="00480790">
        <w:rPr>
          <w:snapToGrid w:val="0"/>
          <w:lang w:val="en-AU"/>
        </w:rPr>
        <w:t>the length of time to relapse</w:t>
      </w:r>
      <w:r w:rsidR="000160CE" w:rsidRPr="00480790">
        <w:rPr>
          <w:snapToGrid w:val="0"/>
          <w:lang w:val="en-AU"/>
        </w:rPr>
        <w:t xml:space="preserve"> and type of recurrence.</w:t>
      </w:r>
      <w:r w:rsidR="00D56C66" w:rsidRPr="00480790">
        <w:rPr>
          <w:snapToGrid w:val="0"/>
          <w:lang w:val="en-AU"/>
        </w:rPr>
        <w:t xml:space="preserve"> </w:t>
      </w:r>
      <w:r w:rsidRPr="00480790">
        <w:rPr>
          <w:snapToGrid w:val="0"/>
          <w:lang w:val="en-AU"/>
        </w:rPr>
        <w:t xml:space="preserve">The PBAC considered that the sponsor hearing was very informative as it provided a clinical perspective on treating this </w:t>
      </w:r>
      <w:r w:rsidR="00F910FD" w:rsidRPr="00480790">
        <w:rPr>
          <w:lang w:val="en-AU"/>
        </w:rPr>
        <w:t>uncommon subset of NSCLC</w:t>
      </w:r>
      <w:r w:rsidRPr="00480790">
        <w:rPr>
          <w:snapToGrid w:val="0"/>
          <w:lang w:val="en-AU"/>
        </w:rPr>
        <w:t>.</w:t>
      </w:r>
      <w:r w:rsidR="00480A34" w:rsidRPr="00480790">
        <w:rPr>
          <w:snapToGrid w:val="0"/>
          <w:lang w:val="en-AU"/>
        </w:rPr>
        <w:t xml:space="preserve"> </w:t>
      </w:r>
      <w:r w:rsidR="00A2664A" w:rsidRPr="00480790">
        <w:rPr>
          <w:snapToGrid w:val="0"/>
          <w:lang w:val="en-AU"/>
        </w:rPr>
        <w:t xml:space="preserve">The PBAC noted there </w:t>
      </w:r>
      <w:r w:rsidR="00827934" w:rsidRPr="00480790">
        <w:rPr>
          <w:snapToGrid w:val="0"/>
          <w:lang w:val="en-AU"/>
        </w:rPr>
        <w:t>w</w:t>
      </w:r>
      <w:r w:rsidR="00A2664A" w:rsidRPr="00480790">
        <w:rPr>
          <w:snapToGrid w:val="0"/>
          <w:lang w:val="en-AU"/>
        </w:rPr>
        <w:t>as no</w:t>
      </w:r>
      <w:r w:rsidR="00A72FF2" w:rsidRPr="00480790">
        <w:rPr>
          <w:snapToGrid w:val="0"/>
          <w:lang w:val="en-AU"/>
        </w:rPr>
        <w:t xml:space="preserve"> evidence </w:t>
      </w:r>
      <w:r w:rsidR="00827934" w:rsidRPr="00480790">
        <w:rPr>
          <w:snapToGrid w:val="0"/>
          <w:lang w:val="en-AU"/>
        </w:rPr>
        <w:t xml:space="preserve">available </w:t>
      </w:r>
      <w:r w:rsidR="00A72FF2" w:rsidRPr="00480790">
        <w:rPr>
          <w:snapToGrid w:val="0"/>
          <w:lang w:val="en-AU"/>
        </w:rPr>
        <w:t xml:space="preserve">supporting retreatment </w:t>
      </w:r>
      <w:r w:rsidR="00827934" w:rsidRPr="00480790">
        <w:rPr>
          <w:snapToGrid w:val="0"/>
          <w:lang w:val="en-AU"/>
        </w:rPr>
        <w:t xml:space="preserve">with </w:t>
      </w:r>
      <w:r w:rsidR="00827934" w:rsidRPr="00480790">
        <w:rPr>
          <w:lang w:val="en-AU"/>
        </w:rPr>
        <w:t>ALK-TKIs upon disease recurrence following adjuvant treatment.</w:t>
      </w:r>
    </w:p>
    <w:bookmarkEnd w:id="29"/>
    <w:p w14:paraId="03F83ECE" w14:textId="77777777" w:rsidR="001C256F" w:rsidRPr="00480790" w:rsidRDefault="001C256F" w:rsidP="00974745">
      <w:pPr>
        <w:pStyle w:val="4-SubsectionHeading"/>
      </w:pPr>
      <w:r w:rsidRPr="00480790">
        <w:t>Consumer comments</w:t>
      </w:r>
    </w:p>
    <w:p w14:paraId="658E134A" w14:textId="1EB9E059" w:rsidR="001C256F" w:rsidRPr="00480790" w:rsidRDefault="001C256F" w:rsidP="002843F8">
      <w:pPr>
        <w:pStyle w:val="3-BodyText"/>
        <w:rPr>
          <w:snapToGrid w:val="0"/>
          <w:lang w:val="en-AU"/>
        </w:rPr>
      </w:pPr>
      <w:bookmarkStart w:id="30" w:name="_Hlk76382618"/>
      <w:r w:rsidRPr="00480790">
        <w:rPr>
          <w:snapToGrid w:val="0"/>
          <w:lang w:val="en-AU"/>
        </w:rPr>
        <w:t>The PBAC noted and welcomed</w:t>
      </w:r>
      <w:r w:rsidR="001170E5" w:rsidRPr="00480790">
        <w:rPr>
          <w:snapToGrid w:val="0"/>
          <w:lang w:val="en-AU"/>
        </w:rPr>
        <w:t xml:space="preserve"> input from individuals</w:t>
      </w:r>
      <w:r w:rsidR="009D4863" w:rsidRPr="00480790">
        <w:rPr>
          <w:snapToGrid w:val="0"/>
          <w:lang w:val="en-AU"/>
        </w:rPr>
        <w:t xml:space="preserve"> (9),</w:t>
      </w:r>
      <w:r w:rsidR="001170E5" w:rsidRPr="00480790">
        <w:rPr>
          <w:snapToGrid w:val="0"/>
          <w:lang w:val="en-AU"/>
        </w:rPr>
        <w:t xml:space="preserve"> </w:t>
      </w:r>
      <w:r w:rsidR="00A2752D" w:rsidRPr="00480790">
        <w:rPr>
          <w:snapToGrid w:val="0"/>
          <w:lang w:val="en-AU"/>
        </w:rPr>
        <w:t xml:space="preserve">a </w:t>
      </w:r>
      <w:r w:rsidR="009D4863" w:rsidRPr="00480790">
        <w:rPr>
          <w:snapToGrid w:val="0"/>
          <w:lang w:val="en-AU"/>
        </w:rPr>
        <w:t xml:space="preserve">health </w:t>
      </w:r>
      <w:r w:rsidR="00A2752D" w:rsidRPr="00480790">
        <w:rPr>
          <w:snapToGrid w:val="0"/>
          <w:lang w:val="en-AU"/>
        </w:rPr>
        <w:t xml:space="preserve">care </w:t>
      </w:r>
      <w:r w:rsidR="009D4863" w:rsidRPr="00480790">
        <w:rPr>
          <w:snapToGrid w:val="0"/>
          <w:lang w:val="en-AU"/>
        </w:rPr>
        <w:t xml:space="preserve">professional </w:t>
      </w:r>
      <w:r w:rsidR="00A2752D" w:rsidRPr="00480790">
        <w:rPr>
          <w:snapToGrid w:val="0"/>
          <w:lang w:val="en-AU"/>
        </w:rPr>
        <w:t xml:space="preserve">(1) and </w:t>
      </w:r>
      <w:r w:rsidR="00E21463" w:rsidRPr="00480790">
        <w:rPr>
          <w:snapToGrid w:val="0"/>
          <w:lang w:val="en-AU"/>
        </w:rPr>
        <w:t>organisations (4) [</w:t>
      </w:r>
      <w:r w:rsidR="00E06180" w:rsidRPr="00480790">
        <w:rPr>
          <w:snapToGrid w:val="0"/>
          <w:lang w:val="en-AU"/>
        </w:rPr>
        <w:t xml:space="preserve">the Medical Oncology Group of Australia (MOGA), </w:t>
      </w:r>
      <w:r w:rsidR="003D1200" w:rsidRPr="00480790">
        <w:rPr>
          <w:snapToGrid w:val="0"/>
          <w:lang w:val="en-AU"/>
        </w:rPr>
        <w:t xml:space="preserve">Rare Cancers Australia, </w:t>
      </w:r>
      <w:r w:rsidR="00913AAB" w:rsidRPr="00480790">
        <w:rPr>
          <w:snapToGrid w:val="0"/>
          <w:lang w:val="en-AU"/>
        </w:rPr>
        <w:t xml:space="preserve">Lung Foundation Australia, and ALK Positive Australia Inc.] via the Consumer Comments facility on the PBS website. </w:t>
      </w:r>
      <w:r w:rsidRPr="00480790">
        <w:rPr>
          <w:snapToGrid w:val="0"/>
          <w:lang w:val="en-AU"/>
        </w:rPr>
        <w:t xml:space="preserve">The </w:t>
      </w:r>
      <w:r w:rsidR="00455347" w:rsidRPr="00480790">
        <w:rPr>
          <w:snapToGrid w:val="0"/>
          <w:lang w:val="en-AU"/>
        </w:rPr>
        <w:t xml:space="preserve">individual </w:t>
      </w:r>
      <w:r w:rsidRPr="00480790">
        <w:rPr>
          <w:snapToGrid w:val="0"/>
          <w:lang w:val="en-AU"/>
        </w:rPr>
        <w:t xml:space="preserve">comments described how alectinib </w:t>
      </w:r>
      <w:r w:rsidR="00455347" w:rsidRPr="00480790">
        <w:rPr>
          <w:snapToGrid w:val="0"/>
          <w:lang w:val="en-AU"/>
        </w:rPr>
        <w:t>wa</w:t>
      </w:r>
      <w:r w:rsidRPr="00480790">
        <w:rPr>
          <w:snapToGrid w:val="0"/>
          <w:lang w:val="en-AU"/>
        </w:rPr>
        <w:t xml:space="preserve">s perceived as a proactive treatment that would reduce the risk of </w:t>
      </w:r>
      <w:r w:rsidR="00455347" w:rsidRPr="00480790">
        <w:rPr>
          <w:snapToGrid w:val="0"/>
          <w:lang w:val="en-AU"/>
        </w:rPr>
        <w:t>metastases</w:t>
      </w:r>
      <w:r w:rsidRPr="00480790">
        <w:rPr>
          <w:snapToGrid w:val="0"/>
          <w:lang w:val="en-AU"/>
        </w:rPr>
        <w:t xml:space="preserve"> or disease recurrence</w:t>
      </w:r>
      <w:r w:rsidR="00F464A0" w:rsidRPr="00480790">
        <w:rPr>
          <w:snapToGrid w:val="0"/>
          <w:lang w:val="en-AU"/>
        </w:rPr>
        <w:t>,</w:t>
      </w:r>
      <w:r w:rsidRPr="00480790">
        <w:rPr>
          <w:snapToGrid w:val="0"/>
          <w:lang w:val="en-AU"/>
        </w:rPr>
        <w:t xml:space="preserve"> extend survival and time with family and friends. The input described alectinib as less burdensome to administ</w:t>
      </w:r>
      <w:r w:rsidR="00C82DFF" w:rsidRPr="00480790">
        <w:rPr>
          <w:snapToGrid w:val="0"/>
          <w:lang w:val="en-AU"/>
        </w:rPr>
        <w:t>e</w:t>
      </w:r>
      <w:r w:rsidRPr="00480790">
        <w:rPr>
          <w:snapToGrid w:val="0"/>
          <w:lang w:val="en-AU"/>
        </w:rPr>
        <w:t xml:space="preserve">r being a daily oral tablet and as more tolerable than currently available treatment and that it </w:t>
      </w:r>
      <w:r w:rsidR="009E2706" w:rsidRPr="00480790">
        <w:rPr>
          <w:snapToGrid w:val="0"/>
          <w:lang w:val="en-AU"/>
        </w:rPr>
        <w:t xml:space="preserve">would </w:t>
      </w:r>
      <w:r w:rsidRPr="00480790">
        <w:rPr>
          <w:snapToGrid w:val="0"/>
          <w:lang w:val="en-AU"/>
        </w:rPr>
        <w:t>increase the ability to lead a normal life with less stress and worry</w:t>
      </w:r>
      <w:r w:rsidR="00455347" w:rsidRPr="00480790">
        <w:rPr>
          <w:snapToGrid w:val="0"/>
          <w:lang w:val="en-AU"/>
        </w:rPr>
        <w:t>.</w:t>
      </w:r>
    </w:p>
    <w:p w14:paraId="519AFD03" w14:textId="36EB4BB0" w:rsidR="001C256F" w:rsidRPr="00480790" w:rsidRDefault="001C256F" w:rsidP="002843F8">
      <w:pPr>
        <w:pStyle w:val="3-BodyText"/>
        <w:rPr>
          <w:snapToGrid w:val="0"/>
          <w:lang w:val="en-AU"/>
        </w:rPr>
      </w:pPr>
      <w:r w:rsidRPr="00480790">
        <w:rPr>
          <w:snapToGrid w:val="0"/>
          <w:lang w:val="en-AU"/>
        </w:rPr>
        <w:t xml:space="preserve">The input from organisations </w:t>
      </w:r>
      <w:r w:rsidR="00CA11CC" w:rsidRPr="00480790">
        <w:rPr>
          <w:snapToGrid w:val="0"/>
          <w:lang w:val="en-AU"/>
        </w:rPr>
        <w:t xml:space="preserve">provided testimonies from </w:t>
      </w:r>
      <w:r w:rsidR="001E66A0" w:rsidRPr="00480790">
        <w:rPr>
          <w:snapToGrid w:val="0"/>
          <w:lang w:val="en-AU"/>
        </w:rPr>
        <w:t>numerous</w:t>
      </w:r>
      <w:r w:rsidR="00AA25F8" w:rsidRPr="00480790">
        <w:rPr>
          <w:snapToGrid w:val="0"/>
          <w:lang w:val="en-AU"/>
        </w:rPr>
        <w:t xml:space="preserve"> patient</w:t>
      </w:r>
      <w:r w:rsidR="00CA11CC" w:rsidRPr="00480790">
        <w:rPr>
          <w:snapToGrid w:val="0"/>
          <w:lang w:val="en-AU"/>
        </w:rPr>
        <w:t>s</w:t>
      </w:r>
      <w:r w:rsidR="00AA25F8" w:rsidRPr="00480790">
        <w:rPr>
          <w:snapToGrid w:val="0"/>
          <w:lang w:val="en-AU"/>
        </w:rPr>
        <w:t xml:space="preserve"> </w:t>
      </w:r>
      <w:r w:rsidRPr="00480790">
        <w:rPr>
          <w:snapToGrid w:val="0"/>
          <w:lang w:val="en-AU"/>
        </w:rPr>
        <w:t>describ</w:t>
      </w:r>
      <w:r w:rsidR="00CA11CC" w:rsidRPr="00480790">
        <w:rPr>
          <w:snapToGrid w:val="0"/>
          <w:lang w:val="en-AU"/>
        </w:rPr>
        <w:t>ing</w:t>
      </w:r>
      <w:r w:rsidRPr="00480790">
        <w:rPr>
          <w:snapToGrid w:val="0"/>
          <w:lang w:val="en-AU"/>
        </w:rPr>
        <w:t xml:space="preserve"> the severe and long-term side effects of current treatments </w:t>
      </w:r>
      <w:r w:rsidR="00E50F9A" w:rsidRPr="00480790">
        <w:rPr>
          <w:snapToGrid w:val="0"/>
          <w:lang w:val="en-AU"/>
        </w:rPr>
        <w:t>which</w:t>
      </w:r>
      <w:r w:rsidRPr="00480790">
        <w:rPr>
          <w:snapToGrid w:val="0"/>
          <w:lang w:val="en-AU"/>
        </w:rPr>
        <w:t xml:space="preserve"> affect patients’ ability to work, socialise or maintain </w:t>
      </w:r>
      <w:r w:rsidR="00131EF9" w:rsidRPr="00480790">
        <w:rPr>
          <w:snapToGrid w:val="0"/>
          <w:lang w:val="en-AU"/>
        </w:rPr>
        <w:t>engage</w:t>
      </w:r>
      <w:r w:rsidR="00AA0A3B" w:rsidRPr="00480790">
        <w:rPr>
          <w:snapToGrid w:val="0"/>
          <w:lang w:val="en-AU"/>
        </w:rPr>
        <w:t>ment</w:t>
      </w:r>
      <w:r w:rsidR="00131EF9" w:rsidRPr="00480790">
        <w:rPr>
          <w:snapToGrid w:val="0"/>
          <w:lang w:val="en-AU"/>
        </w:rPr>
        <w:t xml:space="preserve"> in the community</w:t>
      </w:r>
      <w:r w:rsidRPr="00480790">
        <w:rPr>
          <w:snapToGrid w:val="0"/>
          <w:lang w:val="en-AU"/>
        </w:rPr>
        <w:t xml:space="preserve">. The input noted that early intervention could significantly change the disease prognosis and that </w:t>
      </w:r>
      <w:r w:rsidR="00991ADB" w:rsidRPr="00480790">
        <w:rPr>
          <w:snapToGrid w:val="0"/>
          <w:lang w:val="en-AU"/>
        </w:rPr>
        <w:t xml:space="preserve">current </w:t>
      </w:r>
      <w:r w:rsidR="003B4DED" w:rsidRPr="00480790">
        <w:rPr>
          <w:snapToGrid w:val="0"/>
          <w:lang w:val="en-AU"/>
        </w:rPr>
        <w:t>chemotherapies</w:t>
      </w:r>
      <w:r w:rsidR="00991ADB" w:rsidRPr="00480790">
        <w:rPr>
          <w:snapToGrid w:val="0"/>
          <w:lang w:val="en-AU"/>
        </w:rPr>
        <w:t xml:space="preserve"> have limited efficacy and </w:t>
      </w:r>
      <w:r w:rsidR="003B4DED" w:rsidRPr="00480790">
        <w:rPr>
          <w:snapToGrid w:val="0"/>
          <w:lang w:val="en-AU"/>
        </w:rPr>
        <w:t>higher risk of adverse events</w:t>
      </w:r>
      <w:r w:rsidRPr="00480790">
        <w:rPr>
          <w:snapToGrid w:val="0"/>
          <w:lang w:val="en-AU"/>
        </w:rPr>
        <w:t xml:space="preserve">. The input noted that current PBS restrictions for alectinib create significant disparity in access for </w:t>
      </w:r>
      <w:r w:rsidR="0019089F" w:rsidRPr="00480790">
        <w:rPr>
          <w:snapToGrid w:val="0"/>
          <w:lang w:val="en-AU"/>
        </w:rPr>
        <w:t>early-stage</w:t>
      </w:r>
      <w:r w:rsidRPr="00480790">
        <w:rPr>
          <w:snapToGrid w:val="0"/>
          <w:lang w:val="en-AU"/>
        </w:rPr>
        <w:t xml:space="preserve"> patients compared to those with advanced disease. Being able to access a drug in tablet form and reducing the need for hospital visits was felt to allow patients to return to a more normal daily life.</w:t>
      </w:r>
      <w:r w:rsidR="00EB7BE9" w:rsidRPr="00480790">
        <w:rPr>
          <w:snapToGrid w:val="0"/>
          <w:lang w:val="en-AU"/>
        </w:rPr>
        <w:t xml:space="preserve"> </w:t>
      </w:r>
    </w:p>
    <w:p w14:paraId="41E93794" w14:textId="5F2505F2" w:rsidR="001C256F" w:rsidRPr="00480790" w:rsidRDefault="001C256F" w:rsidP="002843F8">
      <w:pPr>
        <w:pStyle w:val="3-BodyText"/>
        <w:rPr>
          <w:snapToGrid w:val="0"/>
          <w:lang w:val="en-AU"/>
        </w:rPr>
      </w:pPr>
      <w:r w:rsidRPr="00480790">
        <w:rPr>
          <w:snapToGrid w:val="0"/>
          <w:lang w:val="en-AU"/>
        </w:rPr>
        <w:t>The Medical Oncology Group of Australia (MOGA) also expressed its strong support for the alectinib submission, categorising it as one of the therapies of “highest priority for PBS listing” on the basis of the A</w:t>
      </w:r>
      <w:r w:rsidR="00221517" w:rsidRPr="00480790">
        <w:rPr>
          <w:snapToGrid w:val="0"/>
          <w:lang w:val="en-AU"/>
        </w:rPr>
        <w:t>LI</w:t>
      </w:r>
      <w:r w:rsidR="0033224F" w:rsidRPr="00480790">
        <w:rPr>
          <w:snapToGrid w:val="0"/>
          <w:lang w:val="en-AU"/>
        </w:rPr>
        <w:t>N</w:t>
      </w:r>
      <w:r w:rsidR="00221517" w:rsidRPr="00480790">
        <w:rPr>
          <w:snapToGrid w:val="0"/>
          <w:lang w:val="en-AU"/>
        </w:rPr>
        <w:t>A</w:t>
      </w:r>
      <w:r w:rsidRPr="00480790">
        <w:rPr>
          <w:snapToGrid w:val="0"/>
          <w:lang w:val="en-AU"/>
        </w:rPr>
        <w:t xml:space="preserve"> 1 trial. The PBAC noted that the MOGA presented a European Society for Medical Oncology Magnitude of Clinical Benefit </w:t>
      </w:r>
      <w:r w:rsidRPr="00480790">
        <w:rPr>
          <w:snapToGrid w:val="0"/>
          <w:lang w:val="en-AU"/>
        </w:rPr>
        <w:lastRenderedPageBreak/>
        <w:t xml:space="preserve">Scale (ESMO-MCBS) for alectinib, </w:t>
      </w:r>
      <w:r w:rsidR="004D7093" w:rsidRPr="00480790">
        <w:rPr>
          <w:snapToGrid w:val="0"/>
          <w:lang w:val="en-AU"/>
        </w:rPr>
        <w:t>of</w:t>
      </w:r>
      <w:r w:rsidRPr="00480790">
        <w:rPr>
          <w:snapToGrid w:val="0"/>
          <w:lang w:val="en-AU"/>
        </w:rPr>
        <w:t xml:space="preserve"> A</w:t>
      </w:r>
      <w:r w:rsidR="004D7093" w:rsidRPr="00480790">
        <w:rPr>
          <w:snapToGrid w:val="0"/>
          <w:lang w:val="en-AU"/>
        </w:rPr>
        <w:t>,</w:t>
      </w:r>
      <w:r w:rsidRPr="00480790">
        <w:rPr>
          <w:snapToGrid w:val="0"/>
          <w:lang w:val="en-AU"/>
        </w:rPr>
        <w:t xml:space="preserve"> acknowledging the treatment as curative, based on a comparison with </w:t>
      </w:r>
      <w:r w:rsidRPr="00480790">
        <w:rPr>
          <w:lang w:val="en-AU"/>
        </w:rPr>
        <w:t>platinum-based chemotherapy.</w:t>
      </w:r>
    </w:p>
    <w:bookmarkEnd w:id="25"/>
    <w:bookmarkEnd w:id="30"/>
    <w:p w14:paraId="2B05FA4A" w14:textId="77777777" w:rsidR="001C256F" w:rsidRPr="00480790" w:rsidRDefault="001C256F" w:rsidP="00751EBB">
      <w:pPr>
        <w:pStyle w:val="4-SubsectionHeading"/>
        <w:rPr>
          <w:lang w:eastAsia="en-AU"/>
        </w:rPr>
      </w:pPr>
      <w:r w:rsidRPr="00480790">
        <w:rPr>
          <w:lang w:eastAsia="en-AU"/>
        </w:rPr>
        <w:t>Clinical trials</w:t>
      </w:r>
      <w:bookmarkEnd w:id="26"/>
      <w:bookmarkEnd w:id="27"/>
    </w:p>
    <w:p w14:paraId="50E5D0A7" w14:textId="77777777" w:rsidR="007E1B53" w:rsidRPr="00480790" w:rsidRDefault="001C256F" w:rsidP="002843F8">
      <w:pPr>
        <w:pStyle w:val="3-BodyText"/>
        <w:rPr>
          <w:lang w:val="en-AU"/>
        </w:rPr>
      </w:pPr>
      <w:bookmarkStart w:id="31" w:name="_Hlk189831456"/>
      <w:r w:rsidRPr="00480790">
        <w:rPr>
          <w:lang w:val="en-AU"/>
        </w:rPr>
        <w:t>The submission was based on one head-to-head trial comparing alectinib to platinum-based chemotherapy</w:t>
      </w:r>
      <w:r w:rsidRPr="00480790">
        <w:rPr>
          <w:rStyle w:val="FootnoteReference"/>
          <w:lang w:val="en-AU"/>
        </w:rPr>
        <w:footnoteReference w:id="20"/>
      </w:r>
      <w:r w:rsidRPr="00480790">
        <w:rPr>
          <w:lang w:val="en-AU"/>
        </w:rPr>
        <w:t xml:space="preserve"> (N=257) (ALINA). </w:t>
      </w:r>
      <w:bookmarkEnd w:id="31"/>
      <w:r w:rsidRPr="00480790">
        <w:rPr>
          <w:lang w:val="en-AU"/>
        </w:rPr>
        <w:t>The ALINA trial was an ongoing global, multicentre, open-label, phase III randomised controlled trial (RCT) that investigated the efficacy and safety of alectinib compared with platinum-based chemotherapy as adjuvant treatment in participants with resected ALK-positive stage IB (tumours ≥4 cm) to IIIA NSCLC (as classified according to the 7th edition of the Cancer Staging Manual of the AJCC/UICC).</w:t>
      </w:r>
    </w:p>
    <w:p w14:paraId="35961DB6" w14:textId="14B952E3" w:rsidR="001C256F" w:rsidRPr="00480790" w:rsidRDefault="001C256F" w:rsidP="002843F8">
      <w:pPr>
        <w:pStyle w:val="3-BodyText"/>
        <w:rPr>
          <w:lang w:val="en-AU"/>
        </w:rPr>
      </w:pPr>
      <w:r w:rsidRPr="00480790">
        <w:rPr>
          <w:lang w:val="en-AU"/>
        </w:rPr>
        <w:t xml:space="preserve">Details of the trials presented in the submission are provided in </w:t>
      </w:r>
      <w:r w:rsidRPr="00480790">
        <w:rPr>
          <w:lang w:val="en-AU"/>
        </w:rPr>
        <w:fldChar w:fldCharType="begin"/>
      </w:r>
      <w:r w:rsidRPr="00480790">
        <w:rPr>
          <w:lang w:val="en-AU"/>
        </w:rPr>
        <w:instrText xml:space="preserve"> REF _Ref190190686 \h </w:instrText>
      </w:r>
      <w:r w:rsidR="00221517" w:rsidRPr="00480790">
        <w:rPr>
          <w:lang w:val="en-AU"/>
        </w:rPr>
        <w:instrText xml:space="preserve"> \* MERGEFORMAT </w:instrText>
      </w:r>
      <w:r w:rsidRPr="00480790">
        <w:rPr>
          <w:lang w:val="en-AU"/>
        </w:rPr>
      </w:r>
      <w:r w:rsidRPr="00480790">
        <w:rPr>
          <w:lang w:val="en-AU"/>
        </w:rPr>
        <w:fldChar w:fldCharType="separate"/>
      </w:r>
      <w:r w:rsidR="002565BE" w:rsidRPr="002565BE">
        <w:rPr>
          <w:lang w:val="en-AU"/>
        </w:rPr>
        <w:t>Table 2</w:t>
      </w:r>
      <w:r w:rsidRPr="00480790">
        <w:rPr>
          <w:lang w:val="en-AU"/>
        </w:rPr>
        <w:fldChar w:fldCharType="end"/>
      </w:r>
      <w:r w:rsidRPr="00480790">
        <w:rPr>
          <w:lang w:val="en-AU"/>
        </w:rPr>
        <w:t>.</w:t>
      </w:r>
    </w:p>
    <w:p w14:paraId="5AFE9A1E" w14:textId="74B74F7E" w:rsidR="001C256F" w:rsidRPr="00480790" w:rsidRDefault="001C256F" w:rsidP="007E1B53">
      <w:pPr>
        <w:pStyle w:val="TableFigureHeading"/>
        <w:rPr>
          <w:rStyle w:val="CommentReference"/>
          <w:b/>
          <w:szCs w:val="24"/>
        </w:rPr>
      </w:pPr>
      <w:bookmarkStart w:id="32" w:name="_Ref190190686"/>
      <w:r w:rsidRPr="00480790">
        <w:lastRenderedPageBreak/>
        <w:t xml:space="preserve">Table </w:t>
      </w:r>
      <w:r w:rsidRPr="00480790">
        <w:fldChar w:fldCharType="begin"/>
      </w:r>
      <w:r w:rsidRPr="00480790">
        <w:instrText xml:space="preserve"> SEQ Table \* ARABIC </w:instrText>
      </w:r>
      <w:r w:rsidRPr="00480790">
        <w:fldChar w:fldCharType="separate"/>
      </w:r>
      <w:r w:rsidR="002565BE">
        <w:rPr>
          <w:noProof/>
        </w:rPr>
        <w:t>2</w:t>
      </w:r>
      <w:r w:rsidRPr="00480790">
        <w:fldChar w:fldCharType="end"/>
      </w:r>
      <w:bookmarkEnd w:id="32"/>
      <w:r w:rsidRPr="00480790">
        <w:t>:</w:t>
      </w:r>
      <w:r w:rsidRPr="00480790">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AB01EA" w:rsidRPr="00480790" w14:paraId="50F31E87" w14:textId="77777777" w:rsidTr="00751EBB">
        <w:trPr>
          <w:cantSplit/>
          <w:tblHeader/>
        </w:trPr>
        <w:tc>
          <w:tcPr>
            <w:tcW w:w="795" w:type="pct"/>
            <w:tcBorders>
              <w:bottom w:val="single" w:sz="4" w:space="0" w:color="auto"/>
            </w:tcBorders>
            <w:vAlign w:val="center"/>
          </w:tcPr>
          <w:p w14:paraId="746B6A48" w14:textId="77777777" w:rsidR="001C256F" w:rsidRPr="00480790" w:rsidRDefault="001C256F">
            <w:pPr>
              <w:pStyle w:val="In-tableHeading"/>
              <w:jc w:val="center"/>
              <w:rPr>
                <w:lang w:val="en-AU"/>
              </w:rPr>
            </w:pPr>
            <w:r w:rsidRPr="00480790">
              <w:rPr>
                <w:lang w:val="en-AU"/>
              </w:rPr>
              <w:t>Trial ID</w:t>
            </w:r>
          </w:p>
        </w:tc>
        <w:tc>
          <w:tcPr>
            <w:tcW w:w="2803" w:type="pct"/>
            <w:tcBorders>
              <w:bottom w:val="single" w:sz="4" w:space="0" w:color="auto"/>
            </w:tcBorders>
            <w:vAlign w:val="center"/>
          </w:tcPr>
          <w:p w14:paraId="57D92FE2" w14:textId="77777777" w:rsidR="001C256F" w:rsidRPr="00480790" w:rsidRDefault="001C256F">
            <w:pPr>
              <w:pStyle w:val="In-tableHeading"/>
              <w:jc w:val="center"/>
              <w:rPr>
                <w:lang w:val="en-AU"/>
              </w:rPr>
            </w:pPr>
            <w:r w:rsidRPr="00480790">
              <w:rPr>
                <w:lang w:val="en-AU"/>
              </w:rPr>
              <w:t>Protocol title/ Publication title</w:t>
            </w:r>
          </w:p>
        </w:tc>
        <w:tc>
          <w:tcPr>
            <w:tcW w:w="1402" w:type="pct"/>
            <w:tcBorders>
              <w:bottom w:val="single" w:sz="4" w:space="0" w:color="auto"/>
            </w:tcBorders>
            <w:vAlign w:val="center"/>
          </w:tcPr>
          <w:p w14:paraId="420EE850" w14:textId="77777777" w:rsidR="001C256F" w:rsidRPr="00480790" w:rsidRDefault="001C256F">
            <w:pPr>
              <w:pStyle w:val="In-tableHeading"/>
              <w:jc w:val="center"/>
              <w:rPr>
                <w:lang w:val="en-AU"/>
              </w:rPr>
            </w:pPr>
            <w:r w:rsidRPr="00480790">
              <w:rPr>
                <w:lang w:val="en-AU"/>
              </w:rPr>
              <w:t>Publication citation</w:t>
            </w:r>
          </w:p>
        </w:tc>
      </w:tr>
      <w:tr w:rsidR="00AB01EA" w:rsidRPr="00480790" w14:paraId="36829EB7" w14:textId="77777777">
        <w:trPr>
          <w:cantSplit/>
        </w:trPr>
        <w:tc>
          <w:tcPr>
            <w:tcW w:w="795" w:type="pct"/>
            <w:vMerge w:val="restart"/>
            <w:tcBorders>
              <w:right w:val="single" w:sz="4" w:space="0" w:color="auto"/>
            </w:tcBorders>
            <w:vAlign w:val="center"/>
          </w:tcPr>
          <w:p w14:paraId="19E6F63D" w14:textId="32A6D3CA" w:rsidR="001C256F" w:rsidRPr="00480790" w:rsidRDefault="001C256F">
            <w:pPr>
              <w:pStyle w:val="TableText0"/>
            </w:pPr>
            <w:r w:rsidRPr="00480790">
              <w:t>ALINA</w:t>
            </w:r>
          </w:p>
          <w:p w14:paraId="4C8149CB" w14:textId="77777777" w:rsidR="001C256F" w:rsidRPr="00480790" w:rsidRDefault="001C256F">
            <w:pPr>
              <w:pStyle w:val="TableText0"/>
            </w:pPr>
            <w:r w:rsidRPr="00480790">
              <w:t>(NCT03456076;</w:t>
            </w:r>
          </w:p>
          <w:p w14:paraId="16F8BD1A" w14:textId="77777777" w:rsidR="001C256F" w:rsidRPr="00480790" w:rsidRDefault="001C256F">
            <w:pPr>
              <w:pStyle w:val="TableText0"/>
            </w:pPr>
            <w:r w:rsidRPr="00480790">
              <w:t>EUCTR2017-004331-37-DE)</w:t>
            </w:r>
          </w:p>
          <w:p w14:paraId="5F7B4571" w14:textId="77777777" w:rsidR="001C256F" w:rsidRPr="00480790" w:rsidRDefault="001C256F">
            <w:pPr>
              <w:pStyle w:val="TableText0"/>
              <w:rPr>
                <w:szCs w:val="20"/>
              </w:rPr>
            </w:pPr>
          </w:p>
        </w:tc>
        <w:tc>
          <w:tcPr>
            <w:tcW w:w="2803" w:type="pct"/>
            <w:tcBorders>
              <w:top w:val="single" w:sz="4" w:space="0" w:color="auto"/>
              <w:left w:val="single" w:sz="4" w:space="0" w:color="auto"/>
              <w:bottom w:val="nil"/>
              <w:right w:val="single" w:sz="4" w:space="0" w:color="auto"/>
            </w:tcBorders>
            <w:vAlign w:val="center"/>
          </w:tcPr>
          <w:p w14:paraId="1723E655" w14:textId="77777777" w:rsidR="001C256F" w:rsidRPr="00480790" w:rsidRDefault="001C256F">
            <w:pPr>
              <w:pStyle w:val="TableText0"/>
            </w:pPr>
            <w:r w:rsidRPr="00480790">
              <w:t>Primary CSR Clinical Report: Study BO40336 (ALINA) - A Phase III, open-label, randomized study to evaluate the efficacy and safety of adjuvant alectinib versus adjuvant platinum-based chemotherapy in patients with completely resected Stage IB (tumours ≥ 4 cm) to Stage IIIA anaplastic lymphoma kinase-positive non-small-cell lung cancer. Report No. 1118922.</w:t>
            </w:r>
          </w:p>
        </w:tc>
        <w:tc>
          <w:tcPr>
            <w:tcW w:w="1402" w:type="pct"/>
            <w:tcBorders>
              <w:top w:val="single" w:sz="4" w:space="0" w:color="auto"/>
              <w:left w:val="single" w:sz="4" w:space="0" w:color="auto"/>
              <w:bottom w:val="nil"/>
              <w:right w:val="single" w:sz="4" w:space="0" w:color="auto"/>
            </w:tcBorders>
            <w:vAlign w:val="center"/>
          </w:tcPr>
          <w:p w14:paraId="5747FC08" w14:textId="77777777" w:rsidR="001C256F" w:rsidRPr="00480790" w:rsidRDefault="001C256F">
            <w:pPr>
              <w:pStyle w:val="TableText0"/>
            </w:pPr>
            <w:r w:rsidRPr="00480790">
              <w:t>CSR for the ALINA trial</w:t>
            </w:r>
          </w:p>
          <w:p w14:paraId="7F9C9EBC" w14:textId="77777777" w:rsidR="001C256F" w:rsidRPr="00480790" w:rsidRDefault="001C256F">
            <w:pPr>
              <w:pStyle w:val="TableText0"/>
              <w:rPr>
                <w:rFonts w:ascii="Times" w:hAnsi="Times"/>
              </w:rPr>
            </w:pPr>
            <w:r w:rsidRPr="00480790">
              <w:t>November 2023</w:t>
            </w:r>
          </w:p>
        </w:tc>
      </w:tr>
      <w:tr w:rsidR="00AB01EA" w:rsidRPr="00480790" w14:paraId="7131DDFD" w14:textId="77777777" w:rsidTr="00751EBB">
        <w:trPr>
          <w:cantSplit/>
        </w:trPr>
        <w:tc>
          <w:tcPr>
            <w:tcW w:w="795" w:type="pct"/>
            <w:vMerge/>
            <w:vAlign w:val="center"/>
          </w:tcPr>
          <w:p w14:paraId="4C0F953E" w14:textId="77777777" w:rsidR="001C256F" w:rsidRPr="00480790" w:rsidRDefault="001C256F">
            <w:pPr>
              <w:pStyle w:val="TableText0"/>
              <w:jc w:val="center"/>
            </w:pPr>
          </w:p>
        </w:tc>
        <w:tc>
          <w:tcPr>
            <w:tcW w:w="2803" w:type="pct"/>
            <w:tcBorders>
              <w:top w:val="nil"/>
              <w:left w:val="single" w:sz="4" w:space="0" w:color="auto"/>
              <w:bottom w:val="nil"/>
              <w:right w:val="single" w:sz="4" w:space="0" w:color="auto"/>
            </w:tcBorders>
            <w:vAlign w:val="center"/>
          </w:tcPr>
          <w:p w14:paraId="0CDD3F4C" w14:textId="77777777" w:rsidR="001C256F" w:rsidRPr="00480790" w:rsidRDefault="001C256F">
            <w:pPr>
              <w:pStyle w:val="TableText0"/>
            </w:pPr>
            <w:r w:rsidRPr="00480790">
              <w:t>Statistical Analysis Plan: A Phase III, open-label, randomized study to evaluate the efficacy and safety of adjuvant alectinib versus adjuvant platinum-based chemotherapy in patients with completely resected Stage IB (tumours ≥ 4 cm) to Stage IIIA anaplastic lymphoma kinase-positive non-small-cell lung cancer. Version Number 2.</w:t>
            </w:r>
          </w:p>
        </w:tc>
        <w:tc>
          <w:tcPr>
            <w:tcW w:w="1402" w:type="pct"/>
            <w:tcBorders>
              <w:top w:val="nil"/>
              <w:left w:val="single" w:sz="4" w:space="0" w:color="auto"/>
              <w:bottom w:val="nil"/>
              <w:right w:val="single" w:sz="4" w:space="0" w:color="auto"/>
            </w:tcBorders>
            <w:vAlign w:val="center"/>
          </w:tcPr>
          <w:p w14:paraId="1ED1FCEF" w14:textId="77777777" w:rsidR="001C256F" w:rsidRPr="00480790" w:rsidRDefault="001C256F">
            <w:pPr>
              <w:pStyle w:val="TableText0"/>
            </w:pPr>
            <w:r w:rsidRPr="00480790">
              <w:t>SAP for the ALINA trial</w:t>
            </w:r>
          </w:p>
          <w:p w14:paraId="78E12ABF" w14:textId="77777777" w:rsidR="001C256F" w:rsidRPr="00480790" w:rsidRDefault="001C256F">
            <w:pPr>
              <w:pStyle w:val="TableText0"/>
            </w:pPr>
            <w:r w:rsidRPr="00480790">
              <w:t>28 February 2022</w:t>
            </w:r>
          </w:p>
        </w:tc>
      </w:tr>
      <w:tr w:rsidR="00AB01EA" w:rsidRPr="00480790" w14:paraId="6C974DDC" w14:textId="77777777" w:rsidTr="00751EBB">
        <w:trPr>
          <w:cantSplit/>
        </w:trPr>
        <w:tc>
          <w:tcPr>
            <w:tcW w:w="795" w:type="pct"/>
            <w:vMerge/>
            <w:vAlign w:val="center"/>
          </w:tcPr>
          <w:p w14:paraId="211E35D0" w14:textId="77777777" w:rsidR="001C256F" w:rsidRPr="00480790" w:rsidRDefault="001C256F">
            <w:pPr>
              <w:pStyle w:val="TableText0"/>
              <w:jc w:val="center"/>
            </w:pPr>
          </w:p>
        </w:tc>
        <w:tc>
          <w:tcPr>
            <w:tcW w:w="2803" w:type="pct"/>
            <w:tcBorders>
              <w:top w:val="nil"/>
              <w:left w:val="single" w:sz="4" w:space="0" w:color="auto"/>
              <w:bottom w:val="nil"/>
              <w:right w:val="single" w:sz="4" w:space="0" w:color="auto"/>
            </w:tcBorders>
            <w:vAlign w:val="center"/>
          </w:tcPr>
          <w:p w14:paraId="1F032CA1" w14:textId="77777777" w:rsidR="001C256F" w:rsidRPr="00480790" w:rsidRDefault="001C256F">
            <w:pPr>
              <w:pStyle w:val="TableText0"/>
            </w:pPr>
            <w:r w:rsidRPr="00480790">
              <w:t>Protocol: A Phase III, open-label, randomized study to evaluate the efficacy and safety of adjuvant alectinib versus adjuvant platinum-based chemotherapy in patients with completely resected Stage IB (tumours ≥ 4 cm) to Stage IIIA anaplastic lymphoma kinase-positive non-small-cell lung cancer. Version Number 7.</w:t>
            </w:r>
          </w:p>
        </w:tc>
        <w:tc>
          <w:tcPr>
            <w:tcW w:w="1402" w:type="pct"/>
            <w:tcBorders>
              <w:top w:val="nil"/>
              <w:left w:val="single" w:sz="4" w:space="0" w:color="auto"/>
              <w:bottom w:val="nil"/>
              <w:right w:val="single" w:sz="4" w:space="0" w:color="auto"/>
            </w:tcBorders>
            <w:vAlign w:val="center"/>
          </w:tcPr>
          <w:p w14:paraId="57D3DB94" w14:textId="77777777" w:rsidR="001C256F" w:rsidRPr="00480790" w:rsidRDefault="001C256F">
            <w:pPr>
              <w:pStyle w:val="TableText0"/>
            </w:pPr>
            <w:r w:rsidRPr="00480790">
              <w:t>Protocol for the ALINA trial</w:t>
            </w:r>
          </w:p>
          <w:p w14:paraId="759B945B" w14:textId="77777777" w:rsidR="001C256F" w:rsidRPr="00480790" w:rsidRDefault="001C256F">
            <w:pPr>
              <w:pStyle w:val="TableText0"/>
              <w:rPr>
                <w:i/>
              </w:rPr>
            </w:pPr>
            <w:r w:rsidRPr="00480790">
              <w:t>16 December 2021</w:t>
            </w:r>
          </w:p>
        </w:tc>
      </w:tr>
      <w:tr w:rsidR="00AB01EA" w:rsidRPr="00480790" w14:paraId="2BA4C933" w14:textId="77777777" w:rsidTr="00751EBB">
        <w:trPr>
          <w:cantSplit/>
        </w:trPr>
        <w:tc>
          <w:tcPr>
            <w:tcW w:w="795" w:type="pct"/>
            <w:vMerge/>
            <w:vAlign w:val="center"/>
          </w:tcPr>
          <w:p w14:paraId="0392D2DB" w14:textId="77777777" w:rsidR="001C256F" w:rsidRPr="00480790" w:rsidRDefault="001C256F">
            <w:pPr>
              <w:pStyle w:val="TableText0"/>
              <w:jc w:val="center"/>
            </w:pPr>
          </w:p>
        </w:tc>
        <w:tc>
          <w:tcPr>
            <w:tcW w:w="2803" w:type="pct"/>
            <w:tcBorders>
              <w:top w:val="nil"/>
              <w:left w:val="single" w:sz="4" w:space="0" w:color="auto"/>
              <w:bottom w:val="nil"/>
              <w:right w:val="single" w:sz="4" w:space="0" w:color="auto"/>
            </w:tcBorders>
            <w:vAlign w:val="center"/>
          </w:tcPr>
          <w:p w14:paraId="32AFDE9F" w14:textId="77777777" w:rsidR="001C256F" w:rsidRPr="00480790" w:rsidRDefault="001C256F">
            <w:pPr>
              <w:pStyle w:val="TableText0"/>
            </w:pPr>
            <w:r w:rsidRPr="00480790">
              <w:t xml:space="preserve">Wu Y, Dziadrziuszko R, Ahn J. Alectinib in resected ALK-positive non-small cell lung cancer. </w:t>
            </w:r>
          </w:p>
        </w:tc>
        <w:tc>
          <w:tcPr>
            <w:tcW w:w="1402" w:type="pct"/>
            <w:tcBorders>
              <w:top w:val="nil"/>
              <w:left w:val="single" w:sz="4" w:space="0" w:color="auto"/>
              <w:bottom w:val="nil"/>
              <w:right w:val="single" w:sz="4" w:space="0" w:color="auto"/>
            </w:tcBorders>
            <w:vAlign w:val="center"/>
          </w:tcPr>
          <w:p w14:paraId="1FFC430B" w14:textId="77777777" w:rsidR="001C256F" w:rsidRPr="00480790" w:rsidRDefault="001C256F">
            <w:pPr>
              <w:pStyle w:val="TableText0"/>
              <w:rPr>
                <w:i/>
              </w:rPr>
            </w:pPr>
            <w:r w:rsidRPr="00480790">
              <w:rPr>
                <w:i/>
                <w:iCs/>
              </w:rPr>
              <w:t>NEJM</w:t>
            </w:r>
            <w:r w:rsidRPr="00480790">
              <w:t xml:space="preserve"> 2024; 390(14):1265-1276</w:t>
            </w:r>
          </w:p>
        </w:tc>
      </w:tr>
      <w:tr w:rsidR="00AB01EA" w:rsidRPr="00480790" w14:paraId="33C19020" w14:textId="77777777" w:rsidTr="00751EBB">
        <w:trPr>
          <w:cantSplit/>
        </w:trPr>
        <w:tc>
          <w:tcPr>
            <w:tcW w:w="795" w:type="pct"/>
            <w:vMerge/>
            <w:vAlign w:val="center"/>
          </w:tcPr>
          <w:p w14:paraId="6BC778F3" w14:textId="77777777" w:rsidR="001C256F" w:rsidRPr="00480790" w:rsidRDefault="001C256F">
            <w:pPr>
              <w:pStyle w:val="TableText0"/>
              <w:jc w:val="center"/>
            </w:pPr>
          </w:p>
        </w:tc>
        <w:tc>
          <w:tcPr>
            <w:tcW w:w="2803" w:type="pct"/>
            <w:tcBorders>
              <w:top w:val="nil"/>
              <w:left w:val="single" w:sz="4" w:space="0" w:color="auto"/>
              <w:bottom w:val="nil"/>
              <w:right w:val="single" w:sz="4" w:space="0" w:color="auto"/>
            </w:tcBorders>
            <w:vAlign w:val="center"/>
          </w:tcPr>
          <w:p w14:paraId="5E77F0CC" w14:textId="77777777" w:rsidR="001C256F" w:rsidRPr="00480790" w:rsidRDefault="001C256F">
            <w:pPr>
              <w:pStyle w:val="TableText0"/>
            </w:pPr>
            <w:r w:rsidRPr="00480790">
              <w:t xml:space="preserve">Nishio M, Wu YL, Barlesi F. Health-related quality of life (HRQoL) results for adjuvant alectinib vs chemotherapy in patients with resected ALK non-small cell lung cancer (NSCLC): Data from ALINA. </w:t>
            </w:r>
          </w:p>
        </w:tc>
        <w:tc>
          <w:tcPr>
            <w:tcW w:w="1402" w:type="pct"/>
            <w:tcBorders>
              <w:top w:val="nil"/>
              <w:left w:val="single" w:sz="4" w:space="0" w:color="auto"/>
              <w:bottom w:val="nil"/>
              <w:right w:val="single" w:sz="4" w:space="0" w:color="auto"/>
            </w:tcBorders>
            <w:vAlign w:val="center"/>
          </w:tcPr>
          <w:p w14:paraId="3A5D98F4" w14:textId="77777777" w:rsidR="001C256F" w:rsidRPr="00480790" w:rsidRDefault="001C256F">
            <w:pPr>
              <w:pStyle w:val="TableText0"/>
              <w:rPr>
                <w:i/>
              </w:rPr>
            </w:pPr>
            <w:r w:rsidRPr="00480790">
              <w:rPr>
                <w:i/>
                <w:iCs/>
              </w:rPr>
              <w:t xml:space="preserve">Journal of Clinical Oncology </w:t>
            </w:r>
            <w:r w:rsidRPr="00480790">
              <w:t>2024; 42(16_suppl)</w:t>
            </w:r>
          </w:p>
        </w:tc>
      </w:tr>
      <w:tr w:rsidR="00AB01EA" w:rsidRPr="00480790" w14:paraId="06BB54B7" w14:textId="77777777" w:rsidTr="00751EBB">
        <w:trPr>
          <w:cantSplit/>
        </w:trPr>
        <w:tc>
          <w:tcPr>
            <w:tcW w:w="795" w:type="pct"/>
            <w:vMerge/>
            <w:vAlign w:val="center"/>
          </w:tcPr>
          <w:p w14:paraId="23C2DA0B" w14:textId="77777777" w:rsidR="001C256F" w:rsidRPr="00480790" w:rsidRDefault="001C256F">
            <w:pPr>
              <w:pStyle w:val="TableText0"/>
              <w:jc w:val="center"/>
            </w:pPr>
          </w:p>
        </w:tc>
        <w:tc>
          <w:tcPr>
            <w:tcW w:w="2803" w:type="pct"/>
            <w:tcBorders>
              <w:top w:val="nil"/>
              <w:left w:val="single" w:sz="4" w:space="0" w:color="auto"/>
              <w:bottom w:val="nil"/>
              <w:right w:val="single" w:sz="4" w:space="0" w:color="auto"/>
            </w:tcBorders>
            <w:vAlign w:val="center"/>
          </w:tcPr>
          <w:p w14:paraId="0533973D" w14:textId="77777777" w:rsidR="001C256F" w:rsidRPr="00480790" w:rsidRDefault="001C256F">
            <w:pPr>
              <w:pStyle w:val="TableText0"/>
            </w:pPr>
            <w:r w:rsidRPr="00480790">
              <w:t xml:space="preserve">Shah R, Solomon B, Ahn J. 1018: ALINA: efficacy and safety of adjuvant alectinib versus chemotherapy in patients with early-stage ALK+ non-small cell lung cancer (NSCLC). </w:t>
            </w:r>
          </w:p>
        </w:tc>
        <w:tc>
          <w:tcPr>
            <w:tcW w:w="1402" w:type="pct"/>
            <w:tcBorders>
              <w:top w:val="nil"/>
              <w:left w:val="single" w:sz="4" w:space="0" w:color="auto"/>
              <w:bottom w:val="nil"/>
              <w:right w:val="single" w:sz="4" w:space="0" w:color="auto"/>
            </w:tcBorders>
            <w:vAlign w:val="center"/>
          </w:tcPr>
          <w:p w14:paraId="273DBE54" w14:textId="77777777" w:rsidR="001C256F" w:rsidRPr="00480790" w:rsidRDefault="001C256F">
            <w:pPr>
              <w:pStyle w:val="TableText0"/>
              <w:rPr>
                <w:i/>
              </w:rPr>
            </w:pPr>
            <w:r w:rsidRPr="00480790">
              <w:rPr>
                <w:i/>
                <w:iCs/>
              </w:rPr>
              <w:t>Oncology Research and Treatment</w:t>
            </w:r>
            <w:r w:rsidRPr="00480790">
              <w:t xml:space="preserve"> 2024; 47:243-244</w:t>
            </w:r>
          </w:p>
        </w:tc>
      </w:tr>
      <w:tr w:rsidR="00AB01EA" w:rsidRPr="00480790" w14:paraId="6CC4CF4F" w14:textId="77777777" w:rsidTr="00751EBB">
        <w:trPr>
          <w:cantSplit/>
        </w:trPr>
        <w:tc>
          <w:tcPr>
            <w:tcW w:w="795" w:type="pct"/>
            <w:vMerge/>
            <w:vAlign w:val="center"/>
          </w:tcPr>
          <w:p w14:paraId="5BADACCC" w14:textId="77777777" w:rsidR="001C256F" w:rsidRPr="00480790" w:rsidRDefault="001C256F">
            <w:pPr>
              <w:pStyle w:val="TableText0"/>
              <w:jc w:val="center"/>
            </w:pPr>
          </w:p>
        </w:tc>
        <w:tc>
          <w:tcPr>
            <w:tcW w:w="2803" w:type="pct"/>
            <w:tcBorders>
              <w:top w:val="nil"/>
              <w:left w:val="single" w:sz="4" w:space="0" w:color="auto"/>
              <w:bottom w:val="nil"/>
              <w:right w:val="single" w:sz="4" w:space="0" w:color="auto"/>
            </w:tcBorders>
            <w:vAlign w:val="center"/>
          </w:tcPr>
          <w:p w14:paraId="30CAF06B" w14:textId="77777777" w:rsidR="001C256F" w:rsidRPr="00480790" w:rsidRDefault="001C256F">
            <w:pPr>
              <w:pStyle w:val="TableText0"/>
            </w:pPr>
            <w:r w:rsidRPr="00480790">
              <w:t>Solomon B, Ahn J. Barlesi F. ALINA: A phase III study of alectinib versus chemotherapy as adjuvant therapy in patients with stage IB–IIIA anaplastic lymphoma kinase-positive (ALK+) non-small cell lung cancer (NSCLC). Journal of Clinical Oncology 2019:37 (15): TPS8569-TPS8569</w:t>
            </w:r>
          </w:p>
        </w:tc>
        <w:tc>
          <w:tcPr>
            <w:tcW w:w="1402" w:type="pct"/>
            <w:tcBorders>
              <w:top w:val="nil"/>
              <w:left w:val="single" w:sz="4" w:space="0" w:color="auto"/>
              <w:bottom w:val="nil"/>
              <w:right w:val="single" w:sz="4" w:space="0" w:color="auto"/>
            </w:tcBorders>
            <w:vAlign w:val="center"/>
          </w:tcPr>
          <w:p w14:paraId="7475F855" w14:textId="77777777" w:rsidR="001C256F" w:rsidRPr="00480790" w:rsidRDefault="001C256F">
            <w:pPr>
              <w:pStyle w:val="TableText0"/>
              <w:rPr>
                <w:i/>
              </w:rPr>
            </w:pPr>
            <w:r w:rsidRPr="00480790">
              <w:rPr>
                <w:i/>
                <w:iCs/>
              </w:rPr>
              <w:t>Journal of Clinical Oncology</w:t>
            </w:r>
            <w:r w:rsidRPr="00480790">
              <w:t xml:space="preserve"> 2019; 37(15): TPS8569-TPS8569</w:t>
            </w:r>
          </w:p>
        </w:tc>
      </w:tr>
      <w:tr w:rsidR="00AB01EA" w:rsidRPr="00480790" w14:paraId="3A5FFABA" w14:textId="77777777" w:rsidTr="00751EBB">
        <w:trPr>
          <w:cantSplit/>
        </w:trPr>
        <w:tc>
          <w:tcPr>
            <w:tcW w:w="795" w:type="pct"/>
            <w:vMerge/>
            <w:vAlign w:val="center"/>
          </w:tcPr>
          <w:p w14:paraId="55520268" w14:textId="77777777" w:rsidR="001C256F" w:rsidRPr="00480790" w:rsidRDefault="001C256F">
            <w:pPr>
              <w:pStyle w:val="TableText0"/>
              <w:jc w:val="center"/>
            </w:pPr>
          </w:p>
        </w:tc>
        <w:tc>
          <w:tcPr>
            <w:tcW w:w="2803" w:type="pct"/>
            <w:tcBorders>
              <w:top w:val="nil"/>
              <w:left w:val="single" w:sz="4" w:space="0" w:color="auto"/>
              <w:bottom w:val="single" w:sz="4" w:space="0" w:color="auto"/>
              <w:right w:val="single" w:sz="4" w:space="0" w:color="auto"/>
            </w:tcBorders>
            <w:vAlign w:val="center"/>
          </w:tcPr>
          <w:p w14:paraId="46334199" w14:textId="77777777" w:rsidR="001C256F" w:rsidRPr="00480790" w:rsidRDefault="001C256F">
            <w:pPr>
              <w:pStyle w:val="TableText0"/>
            </w:pPr>
            <w:r w:rsidRPr="00480790">
              <w:t xml:space="preserve">Solomon B, Ahn J, Dziadziuszko R. LBA2 ALINA: Efficacy and safety of adjuvant alectinib versus chemotherapy in patients with early-stage ALK+ non-small cell lung cancer. </w:t>
            </w:r>
          </w:p>
        </w:tc>
        <w:tc>
          <w:tcPr>
            <w:tcW w:w="1402" w:type="pct"/>
            <w:tcBorders>
              <w:top w:val="nil"/>
              <w:left w:val="single" w:sz="4" w:space="0" w:color="auto"/>
              <w:bottom w:val="single" w:sz="4" w:space="0" w:color="auto"/>
              <w:right w:val="single" w:sz="4" w:space="0" w:color="auto"/>
            </w:tcBorders>
            <w:vAlign w:val="center"/>
          </w:tcPr>
          <w:p w14:paraId="3768610D" w14:textId="77777777" w:rsidR="001C256F" w:rsidRPr="00480790" w:rsidRDefault="001C256F">
            <w:pPr>
              <w:pStyle w:val="TableText0"/>
              <w:rPr>
                <w:i/>
              </w:rPr>
            </w:pPr>
            <w:r w:rsidRPr="00480790">
              <w:rPr>
                <w:i/>
                <w:iCs/>
              </w:rPr>
              <w:t>Annals of Oncology</w:t>
            </w:r>
            <w:r w:rsidRPr="00480790">
              <w:t xml:space="preserve"> 2023; 34 (suppl_2): S1254-S1335.</w:t>
            </w:r>
          </w:p>
        </w:tc>
      </w:tr>
    </w:tbl>
    <w:p w14:paraId="0F228498" w14:textId="77777777" w:rsidR="001C256F" w:rsidRPr="00480790" w:rsidRDefault="001C256F" w:rsidP="00751EBB">
      <w:pPr>
        <w:pStyle w:val="FooterTableFigure"/>
        <w:keepNext/>
      </w:pPr>
      <w:r w:rsidRPr="00480790">
        <w:t>Source: Table 2.3, pp22-23 of the submission.</w:t>
      </w:r>
    </w:p>
    <w:p w14:paraId="3A457896" w14:textId="77777777" w:rsidR="001C256F" w:rsidRPr="00480790" w:rsidRDefault="001C256F" w:rsidP="00C41CD6">
      <w:pPr>
        <w:pStyle w:val="FooterTableFigure"/>
        <w:keepLines/>
        <w:rPr>
          <w:sz w:val="20"/>
          <w:szCs w:val="20"/>
        </w:rPr>
      </w:pPr>
      <w:r w:rsidRPr="00480790">
        <w:t>ALK=anaplastic lymphoma kinase; CSR=clinical study report; HRQoL=Health-related quality of life; NEJM=New England Journal of Medicine; NSCLC=Non-small cell lung cancer; SAP=Statistical analysis plan.</w:t>
      </w:r>
    </w:p>
    <w:p w14:paraId="162FE345" w14:textId="37C2FF55" w:rsidR="001C256F" w:rsidRPr="00480790" w:rsidRDefault="001C256F" w:rsidP="002843F8">
      <w:pPr>
        <w:pStyle w:val="3-BodyText"/>
        <w:rPr>
          <w:lang w:val="en-AU"/>
        </w:rPr>
      </w:pPr>
      <w:r w:rsidRPr="00480790">
        <w:rPr>
          <w:lang w:val="en-AU"/>
        </w:rPr>
        <w:t xml:space="preserve">The key features of the direct randomised trial are summarised in </w:t>
      </w:r>
      <w:r w:rsidRPr="00480790">
        <w:rPr>
          <w:lang w:val="en-AU"/>
        </w:rPr>
        <w:fldChar w:fldCharType="begin"/>
      </w:r>
      <w:r w:rsidRPr="00480790">
        <w:rPr>
          <w:lang w:val="en-AU"/>
        </w:rPr>
        <w:instrText xml:space="preserve"> REF _Ref190190707 \h </w:instrText>
      </w:r>
      <w:r w:rsidRPr="00480790">
        <w:rPr>
          <w:lang w:val="en-AU"/>
        </w:rPr>
      </w:r>
      <w:r w:rsidRPr="00480790">
        <w:rPr>
          <w:lang w:val="en-AU"/>
        </w:rPr>
        <w:fldChar w:fldCharType="separate"/>
      </w:r>
      <w:r w:rsidR="002565BE" w:rsidRPr="00480790">
        <w:t xml:space="preserve">Table </w:t>
      </w:r>
      <w:r w:rsidR="002565BE">
        <w:rPr>
          <w:noProof/>
        </w:rPr>
        <w:t>3</w:t>
      </w:r>
      <w:r w:rsidRPr="00480790">
        <w:rPr>
          <w:lang w:val="en-AU"/>
        </w:rPr>
        <w:fldChar w:fldCharType="end"/>
      </w:r>
      <w:r w:rsidRPr="00480790">
        <w:rPr>
          <w:lang w:val="en-AU"/>
        </w:rPr>
        <w:t>.</w:t>
      </w:r>
    </w:p>
    <w:p w14:paraId="462E7A33" w14:textId="662A5305" w:rsidR="001C256F" w:rsidRPr="00480790" w:rsidRDefault="001C256F" w:rsidP="00751EBB">
      <w:pPr>
        <w:pStyle w:val="Caption"/>
        <w:rPr>
          <w:rStyle w:val="CommentReference"/>
          <w:rFonts w:eastAsiaTheme="majorEastAsia" w:cstheme="majorBidi"/>
          <w:b/>
          <w:szCs w:val="24"/>
        </w:rPr>
      </w:pPr>
      <w:bookmarkStart w:id="33" w:name="_Ref190190707"/>
      <w:r w:rsidRPr="00480790">
        <w:lastRenderedPageBreak/>
        <w:t xml:space="preserve">Table </w:t>
      </w:r>
      <w:r w:rsidRPr="00480790">
        <w:fldChar w:fldCharType="begin"/>
      </w:r>
      <w:r w:rsidRPr="00480790">
        <w:instrText xml:space="preserve"> SEQ Table \* ARABIC </w:instrText>
      </w:r>
      <w:r w:rsidRPr="00480790">
        <w:fldChar w:fldCharType="separate"/>
      </w:r>
      <w:r w:rsidR="002565BE">
        <w:rPr>
          <w:noProof/>
        </w:rPr>
        <w:t>3</w:t>
      </w:r>
      <w:r w:rsidRPr="00480790">
        <w:fldChar w:fldCharType="end"/>
      </w:r>
      <w:bookmarkEnd w:id="33"/>
      <w:r w:rsidRPr="00480790">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0"/>
        <w:gridCol w:w="705"/>
        <w:gridCol w:w="1683"/>
        <w:gridCol w:w="1277"/>
        <w:gridCol w:w="1654"/>
        <w:gridCol w:w="988"/>
        <w:gridCol w:w="1560"/>
      </w:tblGrid>
      <w:tr w:rsidR="00AB01EA" w:rsidRPr="00480790" w14:paraId="1CF5588D" w14:textId="77777777" w:rsidTr="00751EBB">
        <w:trPr>
          <w:cantSplit/>
          <w:tblHeader/>
        </w:trPr>
        <w:tc>
          <w:tcPr>
            <w:tcW w:w="638" w:type="pct"/>
            <w:shd w:val="clear" w:color="auto" w:fill="auto"/>
            <w:vAlign w:val="center"/>
          </w:tcPr>
          <w:p w14:paraId="0012CFD9" w14:textId="77777777" w:rsidR="001C256F" w:rsidRPr="00480790" w:rsidRDefault="001C256F" w:rsidP="00751EBB">
            <w:pPr>
              <w:pStyle w:val="In-tableHeading"/>
              <w:jc w:val="center"/>
              <w:rPr>
                <w:lang w:val="en-AU"/>
              </w:rPr>
            </w:pPr>
            <w:r w:rsidRPr="00480790">
              <w:rPr>
                <w:lang w:val="en-AU"/>
              </w:rPr>
              <w:t>Trial</w:t>
            </w:r>
          </w:p>
        </w:tc>
        <w:tc>
          <w:tcPr>
            <w:tcW w:w="391" w:type="pct"/>
            <w:shd w:val="clear" w:color="auto" w:fill="auto"/>
            <w:vAlign w:val="center"/>
          </w:tcPr>
          <w:p w14:paraId="6CBC58B9" w14:textId="77777777" w:rsidR="001C256F" w:rsidRPr="00480790" w:rsidRDefault="001C256F" w:rsidP="00751EBB">
            <w:pPr>
              <w:pStyle w:val="In-tableHeading"/>
              <w:jc w:val="center"/>
              <w:rPr>
                <w:lang w:val="en-AU"/>
              </w:rPr>
            </w:pPr>
            <w:r w:rsidRPr="00480790">
              <w:rPr>
                <w:lang w:val="en-AU"/>
              </w:rPr>
              <w:t>N</w:t>
            </w:r>
          </w:p>
        </w:tc>
        <w:tc>
          <w:tcPr>
            <w:tcW w:w="933" w:type="pct"/>
            <w:shd w:val="clear" w:color="auto" w:fill="auto"/>
            <w:vAlign w:val="center"/>
          </w:tcPr>
          <w:p w14:paraId="10A4A773" w14:textId="77777777" w:rsidR="001C256F" w:rsidRPr="00480790" w:rsidRDefault="001C256F" w:rsidP="00751EBB">
            <w:pPr>
              <w:pStyle w:val="In-tableHeading"/>
              <w:jc w:val="center"/>
              <w:rPr>
                <w:lang w:val="en-AU"/>
              </w:rPr>
            </w:pPr>
            <w:r w:rsidRPr="00480790">
              <w:rPr>
                <w:lang w:val="en-AU"/>
              </w:rPr>
              <w:t>Design/ duration</w:t>
            </w:r>
          </w:p>
        </w:tc>
        <w:tc>
          <w:tcPr>
            <w:tcW w:w="708" w:type="pct"/>
            <w:shd w:val="clear" w:color="auto" w:fill="auto"/>
            <w:vAlign w:val="center"/>
          </w:tcPr>
          <w:p w14:paraId="17B899CE" w14:textId="77777777" w:rsidR="001C256F" w:rsidRPr="00480790" w:rsidRDefault="001C256F" w:rsidP="00751EBB">
            <w:pPr>
              <w:pStyle w:val="In-tableHeading"/>
              <w:jc w:val="center"/>
              <w:rPr>
                <w:lang w:val="en-AU"/>
              </w:rPr>
            </w:pPr>
            <w:r w:rsidRPr="00480790">
              <w:rPr>
                <w:lang w:val="en-AU"/>
              </w:rPr>
              <w:t>Risk of bias</w:t>
            </w:r>
          </w:p>
        </w:tc>
        <w:tc>
          <w:tcPr>
            <w:tcW w:w="917" w:type="pct"/>
            <w:shd w:val="clear" w:color="auto" w:fill="auto"/>
            <w:vAlign w:val="center"/>
          </w:tcPr>
          <w:p w14:paraId="1FF14210" w14:textId="77777777" w:rsidR="001C256F" w:rsidRPr="00480790" w:rsidRDefault="001C256F" w:rsidP="00751EBB">
            <w:pPr>
              <w:pStyle w:val="In-tableHeading"/>
              <w:jc w:val="center"/>
              <w:rPr>
                <w:lang w:val="en-AU"/>
              </w:rPr>
            </w:pPr>
            <w:r w:rsidRPr="00480790">
              <w:rPr>
                <w:lang w:val="en-AU"/>
              </w:rPr>
              <w:t>Patient population</w:t>
            </w:r>
          </w:p>
        </w:tc>
        <w:tc>
          <w:tcPr>
            <w:tcW w:w="548" w:type="pct"/>
            <w:shd w:val="clear" w:color="auto" w:fill="auto"/>
            <w:vAlign w:val="center"/>
          </w:tcPr>
          <w:p w14:paraId="05802B92" w14:textId="77777777" w:rsidR="001C256F" w:rsidRPr="00480790" w:rsidRDefault="001C256F" w:rsidP="00751EBB">
            <w:pPr>
              <w:pStyle w:val="In-tableHeading"/>
              <w:jc w:val="center"/>
              <w:rPr>
                <w:lang w:val="en-AU"/>
              </w:rPr>
            </w:pPr>
            <w:r w:rsidRPr="00480790">
              <w:rPr>
                <w:lang w:val="en-AU"/>
              </w:rPr>
              <w:t>Outcome(s)</w:t>
            </w:r>
          </w:p>
        </w:tc>
        <w:tc>
          <w:tcPr>
            <w:tcW w:w="865" w:type="pct"/>
            <w:shd w:val="clear" w:color="auto" w:fill="auto"/>
            <w:vAlign w:val="center"/>
          </w:tcPr>
          <w:p w14:paraId="211425A8" w14:textId="77777777" w:rsidR="001C256F" w:rsidRPr="00480790" w:rsidRDefault="001C256F" w:rsidP="00751EBB">
            <w:pPr>
              <w:pStyle w:val="In-tableHeading"/>
              <w:jc w:val="center"/>
              <w:rPr>
                <w:lang w:val="en-AU"/>
              </w:rPr>
            </w:pPr>
            <w:r w:rsidRPr="00480790">
              <w:rPr>
                <w:lang w:val="en-AU"/>
              </w:rPr>
              <w:t>Use in modelled evaluation</w:t>
            </w:r>
          </w:p>
        </w:tc>
      </w:tr>
      <w:tr w:rsidR="00AB01EA" w:rsidRPr="00480790" w14:paraId="077767AC" w14:textId="77777777">
        <w:trPr>
          <w:cantSplit/>
        </w:trPr>
        <w:tc>
          <w:tcPr>
            <w:tcW w:w="5000" w:type="pct"/>
            <w:gridSpan w:val="7"/>
            <w:shd w:val="clear" w:color="auto" w:fill="auto"/>
            <w:vAlign w:val="center"/>
          </w:tcPr>
          <w:p w14:paraId="0B52EDBF" w14:textId="77777777" w:rsidR="001C256F" w:rsidRPr="00480790" w:rsidRDefault="001C256F">
            <w:pPr>
              <w:pStyle w:val="In-tableHeading"/>
              <w:rPr>
                <w:lang w:val="en-AU"/>
              </w:rPr>
            </w:pPr>
            <w:r w:rsidRPr="00480790">
              <w:rPr>
                <w:lang w:val="en-AU"/>
              </w:rPr>
              <w:t>Alectinib vs. platinum-based chemotherapy</w:t>
            </w:r>
          </w:p>
        </w:tc>
      </w:tr>
      <w:tr w:rsidR="00AB01EA" w:rsidRPr="00480790" w14:paraId="700493B7" w14:textId="77777777" w:rsidTr="00751EBB">
        <w:trPr>
          <w:cantSplit/>
        </w:trPr>
        <w:tc>
          <w:tcPr>
            <w:tcW w:w="638" w:type="pct"/>
            <w:vAlign w:val="center"/>
          </w:tcPr>
          <w:p w14:paraId="0AD0D634" w14:textId="77777777" w:rsidR="001C256F" w:rsidRPr="00480790" w:rsidRDefault="001C256F">
            <w:pPr>
              <w:pStyle w:val="TableText0"/>
            </w:pPr>
            <w:r w:rsidRPr="00480790">
              <w:t>ALINA</w:t>
            </w:r>
          </w:p>
        </w:tc>
        <w:tc>
          <w:tcPr>
            <w:tcW w:w="391" w:type="pct"/>
            <w:vAlign w:val="center"/>
          </w:tcPr>
          <w:p w14:paraId="08B63C85" w14:textId="77777777" w:rsidR="001C256F" w:rsidRPr="00480790" w:rsidRDefault="001C256F">
            <w:pPr>
              <w:pStyle w:val="TableText0"/>
              <w:jc w:val="center"/>
            </w:pPr>
            <w:r w:rsidRPr="00480790">
              <w:t>257</w:t>
            </w:r>
          </w:p>
        </w:tc>
        <w:tc>
          <w:tcPr>
            <w:tcW w:w="933" w:type="pct"/>
            <w:vAlign w:val="center"/>
          </w:tcPr>
          <w:p w14:paraId="523C7390" w14:textId="77777777" w:rsidR="001C256F" w:rsidRPr="00480790" w:rsidRDefault="001C256F" w:rsidP="00751EBB">
            <w:pPr>
              <w:pStyle w:val="TableText0"/>
              <w:jc w:val="center"/>
            </w:pPr>
            <w:r w:rsidRPr="00480790">
              <w:t>R, OL, MC, alectinib 600 mg for 2 years or platinum-based chemotherapy (21 days x 4 cycles) as adjuvant therapy.</w:t>
            </w:r>
          </w:p>
          <w:p w14:paraId="742A2C75" w14:textId="77777777" w:rsidR="001C256F" w:rsidRPr="00480790" w:rsidRDefault="001C256F" w:rsidP="00751EBB">
            <w:pPr>
              <w:pStyle w:val="TableText0"/>
              <w:jc w:val="center"/>
            </w:pPr>
            <w:r w:rsidRPr="00480790">
              <w:t>Median duration of follow-up of 27.8 months (at CCOD)</w:t>
            </w:r>
          </w:p>
        </w:tc>
        <w:tc>
          <w:tcPr>
            <w:tcW w:w="708" w:type="pct"/>
            <w:vAlign w:val="center"/>
          </w:tcPr>
          <w:p w14:paraId="10F879D8" w14:textId="77777777" w:rsidR="001C256F" w:rsidRPr="00480790" w:rsidRDefault="001C256F" w:rsidP="00751EBB">
            <w:pPr>
              <w:pStyle w:val="TableText0"/>
              <w:jc w:val="center"/>
              <w:rPr>
                <w:i/>
              </w:rPr>
            </w:pPr>
            <w:r w:rsidRPr="00480790">
              <w:rPr>
                <w:i/>
                <w:iCs/>
              </w:rPr>
              <w:t>Moderate</w:t>
            </w:r>
          </w:p>
        </w:tc>
        <w:tc>
          <w:tcPr>
            <w:tcW w:w="917" w:type="pct"/>
            <w:vAlign w:val="center"/>
          </w:tcPr>
          <w:p w14:paraId="27671854" w14:textId="77777777" w:rsidR="001C256F" w:rsidRPr="00480790" w:rsidRDefault="001C256F" w:rsidP="00751EBB">
            <w:pPr>
              <w:pStyle w:val="TableText0"/>
              <w:jc w:val="center"/>
            </w:pPr>
            <w:r w:rsidRPr="00480790">
              <w:t>Age ≥18</w:t>
            </w:r>
          </w:p>
          <w:p w14:paraId="391D2595" w14:textId="77777777" w:rsidR="001C256F" w:rsidRPr="00480790" w:rsidRDefault="001C256F" w:rsidP="00751EBB">
            <w:pPr>
              <w:pStyle w:val="TableText0"/>
              <w:jc w:val="center"/>
              <w:rPr>
                <w:vertAlign w:val="superscript"/>
              </w:rPr>
            </w:pPr>
            <w:r w:rsidRPr="00480790">
              <w:t>Complete resection of histologically-confirmed, stage IB (tumour ≥4 cm) to stage IIIA NSCLC</w:t>
            </w:r>
            <w:r w:rsidRPr="00480790">
              <w:rPr>
                <w:vertAlign w:val="superscript"/>
              </w:rPr>
              <w:t>a</w:t>
            </w:r>
          </w:p>
          <w:p w14:paraId="2E37A184" w14:textId="77777777" w:rsidR="001C256F" w:rsidRPr="00480790" w:rsidRDefault="001C256F" w:rsidP="00751EBB">
            <w:pPr>
              <w:pStyle w:val="TableText0"/>
              <w:jc w:val="center"/>
            </w:pPr>
            <w:r w:rsidRPr="00480790">
              <w:t>Documented ALK-positive disease according to an FDA-approved and CE-marked test</w:t>
            </w:r>
          </w:p>
          <w:p w14:paraId="273C1D5F" w14:textId="77777777" w:rsidR="001C256F" w:rsidRPr="00480790" w:rsidRDefault="001C256F" w:rsidP="00751EBB">
            <w:pPr>
              <w:pStyle w:val="TableText0"/>
              <w:jc w:val="center"/>
            </w:pPr>
            <w:r w:rsidRPr="00480790">
              <w:t>ECOG PS of Grade 0 or 1</w:t>
            </w:r>
          </w:p>
        </w:tc>
        <w:tc>
          <w:tcPr>
            <w:tcW w:w="548" w:type="pct"/>
            <w:vAlign w:val="center"/>
          </w:tcPr>
          <w:p w14:paraId="483F85E0" w14:textId="77777777" w:rsidR="001C256F" w:rsidRPr="00480790" w:rsidRDefault="001C256F" w:rsidP="00751EBB">
            <w:pPr>
              <w:pStyle w:val="TableText0"/>
              <w:jc w:val="center"/>
            </w:pPr>
            <w:r w:rsidRPr="00480790">
              <w:t>Primary: INV-DFS</w:t>
            </w:r>
          </w:p>
          <w:p w14:paraId="47FFBD56" w14:textId="77777777" w:rsidR="001C256F" w:rsidRPr="00480790" w:rsidRDefault="001C256F" w:rsidP="00751EBB">
            <w:pPr>
              <w:pStyle w:val="TableText0"/>
              <w:jc w:val="center"/>
            </w:pPr>
            <w:r w:rsidRPr="00480790">
              <w:t>Secondary: OS, safety</w:t>
            </w:r>
          </w:p>
          <w:p w14:paraId="390F79B7" w14:textId="77777777" w:rsidR="001C256F" w:rsidRPr="00480790" w:rsidRDefault="001C256F" w:rsidP="00751EBB">
            <w:pPr>
              <w:pStyle w:val="TableText0"/>
              <w:jc w:val="center"/>
            </w:pPr>
            <w:r w:rsidRPr="00480790">
              <w:t>Exploratory: CNS-DFS, SF-36v2</w:t>
            </w:r>
          </w:p>
        </w:tc>
        <w:tc>
          <w:tcPr>
            <w:tcW w:w="865" w:type="pct"/>
            <w:vAlign w:val="center"/>
          </w:tcPr>
          <w:p w14:paraId="21BD236B" w14:textId="77777777" w:rsidR="001C256F" w:rsidRPr="00480790" w:rsidRDefault="001C256F" w:rsidP="00751EBB">
            <w:pPr>
              <w:pStyle w:val="TableText0"/>
              <w:jc w:val="center"/>
            </w:pPr>
            <w:r w:rsidRPr="00480790">
              <w:t>INV-DFS, LRR and death in the early-stage NSCLC setting used in economic model.</w:t>
            </w:r>
          </w:p>
        </w:tc>
      </w:tr>
    </w:tbl>
    <w:p w14:paraId="7AA3B722" w14:textId="77777777" w:rsidR="001C256F" w:rsidRPr="00480790" w:rsidRDefault="001C256F" w:rsidP="00751EBB">
      <w:pPr>
        <w:pStyle w:val="FooterTableFigure"/>
        <w:keepNext/>
      </w:pPr>
      <w:r w:rsidRPr="00480790">
        <w:t>Source: Complied during the evaluation from p24, p27,Table 2.6, p29 and p64 of the submission</w:t>
      </w:r>
    </w:p>
    <w:p w14:paraId="75B583AB" w14:textId="77777777" w:rsidR="001C256F" w:rsidRPr="00480790" w:rsidRDefault="001C256F" w:rsidP="00751EBB">
      <w:pPr>
        <w:pStyle w:val="FooterTableFigure"/>
        <w:keepNext/>
      </w:pPr>
      <w:r w:rsidRPr="00480790">
        <w:t>ALK = anaplastic lymphoma kinase; CCOD = Clinical cut-off date; CE = Conformité Européenne; CNS = Central nervous system; DFS = Disease-free survival; ECOG = Eastern Cooperative Oncology Group; FDA = Food and Drug Administration; INV = investigator assessed; LRR = Locoregional recurrence; MC = Multicentre; NSCLC = Non-small cell lung cancer; OL = Open-label; OS = Overall survival; PS = Performance scale; R = randomised; SF-36v2 = Short Form 36-item health survey</w:t>
      </w:r>
    </w:p>
    <w:p w14:paraId="4F891BC0" w14:textId="77777777" w:rsidR="001C256F" w:rsidRPr="00480790" w:rsidRDefault="001C256F" w:rsidP="00C41CD6">
      <w:pPr>
        <w:pStyle w:val="FooterTableFigure"/>
        <w:keepLines/>
      </w:pPr>
      <w:r w:rsidRPr="00480790">
        <w:t>a As classified according to the 7th edition of the Cancer Staging Manual of the American Joint Committee on Cancer (AJCC) and Union for International Cancer Control (UICC).</w:t>
      </w:r>
    </w:p>
    <w:p w14:paraId="59FA6C7D" w14:textId="77777777" w:rsidR="001C256F" w:rsidRPr="00480790" w:rsidRDefault="001C256F" w:rsidP="002843F8">
      <w:pPr>
        <w:pStyle w:val="3-BodyText"/>
        <w:rPr>
          <w:lang w:val="en-AU"/>
        </w:rPr>
      </w:pPr>
      <w:r w:rsidRPr="00480790">
        <w:rPr>
          <w:lang w:val="en-AU"/>
        </w:rPr>
        <w:t>The submission stated that the ALINA trial had a low risk of bias. The evaluation considered a moderate risk of bias was more appropriate for the following reasons:</w:t>
      </w:r>
    </w:p>
    <w:p w14:paraId="7720EC25" w14:textId="7DFCFF6F" w:rsidR="001C256F" w:rsidRPr="00480790" w:rsidRDefault="001C256F" w:rsidP="00AE7DE0">
      <w:pPr>
        <w:pStyle w:val="ListParagraph"/>
        <w:numPr>
          <w:ilvl w:val="0"/>
          <w:numId w:val="4"/>
        </w:numPr>
        <w:ind w:left="1276" w:hanging="425"/>
      </w:pPr>
      <w:r w:rsidRPr="00480790">
        <w:t xml:space="preserve">Participants and investigators were </w:t>
      </w:r>
      <w:r w:rsidR="00AD5205" w:rsidRPr="00480790">
        <w:t>not blinded to</w:t>
      </w:r>
      <w:r w:rsidRPr="00480790">
        <w:t xml:space="preserve"> the treatment allocation. Most efficacy results were investigator assessed, including the primary outcome: investigator led disease-free survival (INV-DFS); secondary outcomes: overall survival (OS), and time to central nervous system (CNS) recurrence or death (CNS−DFS). Consequently, INV-DFS and subjective outcome measures (e.g., Short Form survey 36 items, Version 2 (SF-36v2) and reporting of adverse events may be biased, unlike those assessed by the independent data monitoring committee (iDMC). The iDMC assessed the prespecified DFS interim analysis when the stopping boundaries were crossed. This interim analysis bec</w:t>
      </w:r>
      <w:r w:rsidR="00AD5205" w:rsidRPr="00480790">
        <w:t>a</w:t>
      </w:r>
      <w:r w:rsidRPr="00480790">
        <w:t>me the primary analysis. Overall, the DFS results were similar between the investigator and blinded independent central review assessments.</w:t>
      </w:r>
      <w:r w:rsidRPr="00480790">
        <w:rPr>
          <w:rStyle w:val="FootnoteReference"/>
        </w:rPr>
        <w:footnoteReference w:id="21"/>
      </w:r>
      <w:r w:rsidRPr="00480790">
        <w:t xml:space="preserve"> </w:t>
      </w:r>
    </w:p>
    <w:p w14:paraId="4510477E" w14:textId="77777777" w:rsidR="001C256F" w:rsidRPr="00480790" w:rsidRDefault="001C256F" w:rsidP="00AE7DE0">
      <w:pPr>
        <w:pStyle w:val="ListParagraph"/>
        <w:numPr>
          <w:ilvl w:val="0"/>
          <w:numId w:val="4"/>
        </w:numPr>
        <w:ind w:left="1276" w:hanging="425"/>
      </w:pPr>
      <w:r w:rsidRPr="00480790">
        <w:t xml:space="preserve">Attrition bias: The total percentage of major protocol deviations was high, although similar across arms (35.4% in the alectinib vs. 31.5% in the chemotherapy arm) with the most common major violation being the omission of a disease assessment (14.6% in the alectinib arm vs. 18.1% in the chemotherapy arm). The impact of missing scheduled tumour assessments on DFS was assessed by sensitivity analyses. Only the primary outcome was assessed by sensitivity analyses. </w:t>
      </w:r>
    </w:p>
    <w:p w14:paraId="1C9396F3" w14:textId="4CA202C7" w:rsidR="001C256F" w:rsidRPr="00480790" w:rsidRDefault="001C256F" w:rsidP="00AE7DE0">
      <w:pPr>
        <w:pStyle w:val="ListParagraph"/>
        <w:numPr>
          <w:ilvl w:val="0"/>
          <w:numId w:val="4"/>
        </w:numPr>
        <w:ind w:left="1276" w:hanging="425"/>
      </w:pPr>
      <w:r w:rsidRPr="00480790">
        <w:lastRenderedPageBreak/>
        <w:t xml:space="preserve">Other sources of bias: A formal cross-over design was not built into the trial. Subsequent treatment after disease recurrence was entirely at the discretion of the investigator. After disease reoccurrence in the alectinib arm, chemotherapy (12%) was most commonly prescribed followed by alectinib (4%). In the chemotherapy arm, alectinib (23%) was most commonly prescribed followed by radiotherapy (7%) then chemotherapy (5%). It was unknown if </w:t>
      </w:r>
      <w:r w:rsidR="00AD5205" w:rsidRPr="00480790">
        <w:t xml:space="preserve">systemic </w:t>
      </w:r>
      <w:r w:rsidRPr="00480790">
        <w:t xml:space="preserve">treatments were given </w:t>
      </w:r>
      <w:r w:rsidR="00AD5205" w:rsidRPr="00480790">
        <w:t xml:space="preserve">concurrently </w:t>
      </w:r>
      <w:r w:rsidRPr="00480790">
        <w:t>with radiotherapy</w:t>
      </w:r>
      <w:r w:rsidR="00AD5205" w:rsidRPr="00480790">
        <w:t>,</w:t>
      </w:r>
      <w:r w:rsidRPr="00480790">
        <w:t xml:space="preserve"> as participants may have received more than one subsequent anti-cancer therapy. Cross-over between the treatment arms </w:t>
      </w:r>
      <w:r w:rsidR="00AD5205" w:rsidRPr="00480790">
        <w:t xml:space="preserve">was likely to </w:t>
      </w:r>
      <w:r w:rsidRPr="00480790">
        <w:t>bias the overall survival results towards the null.</w:t>
      </w:r>
    </w:p>
    <w:p w14:paraId="6512AA83" w14:textId="77777777" w:rsidR="001C256F" w:rsidRPr="00480790" w:rsidRDefault="001C256F" w:rsidP="00AE7DE0">
      <w:pPr>
        <w:pStyle w:val="ListParagraph"/>
        <w:numPr>
          <w:ilvl w:val="0"/>
          <w:numId w:val="4"/>
        </w:numPr>
        <w:ind w:left="1276" w:hanging="425"/>
      </w:pPr>
      <w:r w:rsidRPr="00480790">
        <w:t xml:space="preserve">The ALINA trial permitted the use of both central and local laboratory testing modalities. </w:t>
      </w:r>
    </w:p>
    <w:p w14:paraId="18245350" w14:textId="58AFCC6E" w:rsidR="001C256F" w:rsidRPr="00480790" w:rsidRDefault="001C256F" w:rsidP="002843F8">
      <w:pPr>
        <w:pStyle w:val="3-BodyText"/>
        <w:rPr>
          <w:lang w:val="en-AU"/>
        </w:rPr>
      </w:pPr>
      <w:r w:rsidRPr="00480790">
        <w:rPr>
          <w:lang w:val="en-AU"/>
        </w:rPr>
        <w:t xml:space="preserve">The central ALK-testing result was determined </w:t>
      </w:r>
      <w:r w:rsidR="00AD5205" w:rsidRPr="00480790">
        <w:rPr>
          <w:lang w:val="en-AU"/>
        </w:rPr>
        <w:t xml:space="preserve">to be </w:t>
      </w:r>
      <w:r w:rsidRPr="00480790">
        <w:rPr>
          <w:lang w:val="en-AU"/>
        </w:rPr>
        <w:t>ALK-negative for 6.3% (6</w:t>
      </w:r>
      <w:r w:rsidR="00C067B7">
        <w:rPr>
          <w:lang w:val="en-AU"/>
        </w:rPr>
        <w:t> </w:t>
      </w:r>
      <w:r w:rsidRPr="00480790">
        <w:rPr>
          <w:lang w:val="en-AU"/>
        </w:rPr>
        <w:t xml:space="preserve">participants) in the alectinib arm and 9.3% (8 participants) in the chemotherapy arm. These participants were included in the analysis. The variability in testing approaches led to false-positive identifications and, consequently, affected the interpretation of the therapeutic efficacy; the results would </w:t>
      </w:r>
      <w:r w:rsidR="00AD5205" w:rsidRPr="00480790">
        <w:rPr>
          <w:lang w:val="en-AU"/>
        </w:rPr>
        <w:t xml:space="preserve">likely </w:t>
      </w:r>
      <w:r w:rsidRPr="00480790">
        <w:rPr>
          <w:lang w:val="en-AU"/>
        </w:rPr>
        <w:t>be biased in favour of chemotherapy (which does not depend on ALK status).</w:t>
      </w:r>
    </w:p>
    <w:p w14:paraId="25926A67" w14:textId="068A2498" w:rsidR="00551106" w:rsidRPr="00480790" w:rsidRDefault="001D2343" w:rsidP="002843F8">
      <w:pPr>
        <w:pStyle w:val="3-BodyText"/>
        <w:rPr>
          <w:lang w:val="en-AU"/>
        </w:rPr>
      </w:pPr>
      <w:r w:rsidRPr="00480790">
        <w:rPr>
          <w:lang w:val="en-AU"/>
        </w:rPr>
        <w:t xml:space="preserve">While the ALINA trial had an eligibility criterion of </w:t>
      </w:r>
      <w:r w:rsidR="00485FD1" w:rsidRPr="00480790">
        <w:rPr>
          <w:lang w:val="en-AU"/>
        </w:rPr>
        <w:t xml:space="preserve">randomisation within 12 weeks the PSCR stated that the </w:t>
      </w:r>
      <w:r w:rsidR="00551106" w:rsidRPr="00480790">
        <w:rPr>
          <w:lang w:val="en-AU"/>
        </w:rPr>
        <w:t>timeframe</w:t>
      </w:r>
      <w:r w:rsidR="00485FD1" w:rsidRPr="00480790">
        <w:rPr>
          <w:lang w:val="en-AU"/>
        </w:rPr>
        <w:t xml:space="preserve"> </w:t>
      </w:r>
      <w:r w:rsidR="00E914DE" w:rsidRPr="00480790">
        <w:rPr>
          <w:lang w:val="en-AU"/>
        </w:rPr>
        <w:t xml:space="preserve">for </w:t>
      </w:r>
      <w:r w:rsidR="00AD5205" w:rsidRPr="00480790">
        <w:rPr>
          <w:lang w:val="en-AU"/>
        </w:rPr>
        <w:t xml:space="preserve">PBS-reimbursed </w:t>
      </w:r>
      <w:r w:rsidR="0059275C" w:rsidRPr="00480790">
        <w:rPr>
          <w:lang w:val="en-AU"/>
        </w:rPr>
        <w:t xml:space="preserve">treatment eligibility </w:t>
      </w:r>
      <w:r w:rsidR="00551106" w:rsidRPr="00480790">
        <w:rPr>
          <w:lang w:val="en-AU"/>
        </w:rPr>
        <w:t>should be decided by the treating oncologist</w:t>
      </w:r>
      <w:r w:rsidR="00266AC3" w:rsidRPr="00480790">
        <w:rPr>
          <w:lang w:val="en-AU"/>
        </w:rPr>
        <w:t>.</w:t>
      </w:r>
    </w:p>
    <w:p w14:paraId="449CD0DF" w14:textId="132CBF03" w:rsidR="001C256F" w:rsidRPr="00480790" w:rsidRDefault="001C256F" w:rsidP="002843F8">
      <w:pPr>
        <w:pStyle w:val="3-BodyText"/>
        <w:rPr>
          <w:lang w:val="en-AU"/>
        </w:rPr>
      </w:pPr>
      <w:r w:rsidRPr="00480790">
        <w:rPr>
          <w:lang w:val="en-AU"/>
        </w:rPr>
        <w:t xml:space="preserve">There was a lower frequency of adverse events leading to treatment discontinuation in the alectinib arm (5.5%) compared with the chemotherapy arm (12.5%). </w:t>
      </w:r>
      <w:r w:rsidR="00FB18C7" w:rsidRPr="00480790">
        <w:rPr>
          <w:lang w:val="en-AU"/>
        </w:rPr>
        <w:t>A</w:t>
      </w:r>
      <w:r w:rsidRPr="00480790">
        <w:rPr>
          <w:lang w:val="en-AU"/>
        </w:rPr>
        <w:t xml:space="preserve">lectinib adverse events </w:t>
      </w:r>
      <w:r w:rsidR="008918D0" w:rsidRPr="00480790">
        <w:rPr>
          <w:lang w:val="en-AU"/>
        </w:rPr>
        <w:t>required</w:t>
      </w:r>
      <w:r w:rsidRPr="00480790">
        <w:rPr>
          <w:lang w:val="en-AU"/>
        </w:rPr>
        <w:t xml:space="preserve"> dose reduction</w:t>
      </w:r>
      <w:r w:rsidR="005470AD" w:rsidRPr="00480790">
        <w:rPr>
          <w:lang w:val="en-AU"/>
        </w:rPr>
        <w:t xml:space="preserve"> in more than one-third of patients</w:t>
      </w:r>
      <w:r w:rsidRPr="00480790">
        <w:rPr>
          <w:lang w:val="en-AU"/>
        </w:rPr>
        <w:t xml:space="preserve"> (see Comparative harms).</w:t>
      </w:r>
    </w:p>
    <w:p w14:paraId="4F05C650" w14:textId="6B42735F" w:rsidR="001C256F" w:rsidRPr="00480790" w:rsidRDefault="001C256F" w:rsidP="002843F8">
      <w:pPr>
        <w:pStyle w:val="3-BodyText"/>
        <w:rPr>
          <w:lang w:val="en-AU"/>
        </w:rPr>
      </w:pPr>
      <w:r w:rsidRPr="00480790">
        <w:rPr>
          <w:lang w:val="en-AU"/>
        </w:rPr>
        <w:t xml:space="preserve">Standard endpoints used in oncology studies (including DFS and overall survival) were used to assess efficacy and safety in the ALINA trial. </w:t>
      </w:r>
      <w:r w:rsidR="009F258E" w:rsidRPr="00480790">
        <w:rPr>
          <w:lang w:val="en-AU"/>
        </w:rPr>
        <w:t xml:space="preserve">The submission stated that </w:t>
      </w:r>
      <w:r w:rsidRPr="00480790">
        <w:rPr>
          <w:lang w:val="en-AU"/>
        </w:rPr>
        <w:t xml:space="preserve">DFS </w:t>
      </w:r>
      <w:r w:rsidR="0004330B" w:rsidRPr="00480790">
        <w:rPr>
          <w:lang w:val="en-AU"/>
        </w:rPr>
        <w:t xml:space="preserve">has </w:t>
      </w:r>
      <w:r w:rsidR="00BE7935" w:rsidRPr="00480790">
        <w:rPr>
          <w:lang w:val="en-AU"/>
        </w:rPr>
        <w:t xml:space="preserve">increasingly </w:t>
      </w:r>
      <w:r w:rsidR="0004330B" w:rsidRPr="00480790">
        <w:rPr>
          <w:lang w:val="en-AU"/>
        </w:rPr>
        <w:t xml:space="preserve">been </w:t>
      </w:r>
      <w:r w:rsidRPr="00480790">
        <w:rPr>
          <w:lang w:val="en-AU"/>
        </w:rPr>
        <w:t xml:space="preserve">used in the adjuvant setting as a surrogate for overall survival in early-stage NSCLC. The submission stated that the PBAC recommended osimertinib and atezolizumab based on primary DFS results from IMpower010 and ADAURA with immature overall survival data (para. 7.1, osimertinib, </w:t>
      </w:r>
      <w:r w:rsidR="00C067B7">
        <w:rPr>
          <w:lang w:val="en-AU"/>
        </w:rPr>
        <w:t>Public Summary Docu</w:t>
      </w:r>
      <w:r w:rsidR="004C539F">
        <w:rPr>
          <w:lang w:val="en-AU"/>
        </w:rPr>
        <w:t>ment [</w:t>
      </w:r>
      <w:r w:rsidRPr="00480790">
        <w:rPr>
          <w:lang w:val="en-AU"/>
        </w:rPr>
        <w:t>PSD</w:t>
      </w:r>
      <w:r w:rsidR="004C539F">
        <w:rPr>
          <w:lang w:val="en-AU"/>
        </w:rPr>
        <w:t>]</w:t>
      </w:r>
      <w:r w:rsidRPr="00480790">
        <w:rPr>
          <w:lang w:val="en-AU"/>
        </w:rPr>
        <w:t>, November 2023 PBAC Meeting; para. 7.1, atezolizumab, PSD, November</w:t>
      </w:r>
      <w:r w:rsidR="004C539F">
        <w:rPr>
          <w:lang w:val="en-AU"/>
        </w:rPr>
        <w:t> </w:t>
      </w:r>
      <w:r w:rsidRPr="00480790">
        <w:rPr>
          <w:lang w:val="en-AU"/>
        </w:rPr>
        <w:t xml:space="preserve">2023 PBAC Meeting). In both instances, the final overall survival dataset showed a consistent trend in benefit </w:t>
      </w:r>
      <w:r w:rsidR="005B7688" w:rsidRPr="00480790">
        <w:rPr>
          <w:lang w:val="en-AU"/>
        </w:rPr>
        <w:t xml:space="preserve">with </w:t>
      </w:r>
      <w:r w:rsidRPr="00480790">
        <w:rPr>
          <w:lang w:val="en-AU"/>
        </w:rPr>
        <w:t>the DFS findings.</w:t>
      </w:r>
    </w:p>
    <w:p w14:paraId="2B95D9F5" w14:textId="1936BEB1" w:rsidR="001C256F" w:rsidRPr="00480790" w:rsidRDefault="001C256F" w:rsidP="002843F8">
      <w:pPr>
        <w:pStyle w:val="3-BodyText"/>
        <w:rPr>
          <w:lang w:val="en-AU"/>
        </w:rPr>
      </w:pPr>
      <w:r w:rsidRPr="00480790">
        <w:rPr>
          <w:lang w:val="en-AU"/>
        </w:rPr>
        <w:t>The submission nominated a hazard ratio of 0.60 as the minimal clinically important difference (MCID) for DFS. The MCID was based on the European Society for Medical Oncology (ESMO) Magnitude of Clinical Benefit Scale (MCBS) and 2 positive recommendations by the PBAC for 2 other adjuvant therapies in early-stage NSCLC. The submission justified the choice of MCID by referencing the PSDs for atezolizumab and osimertinib, which reference the ESMO-MCBS. Applying the ESMO-MCBS scale to</w:t>
      </w:r>
      <w:r w:rsidRPr="00480790">
        <w:rPr>
          <w:iCs/>
          <w:lang w:val="en-AU"/>
        </w:rPr>
        <w:t xml:space="preserve"> </w:t>
      </w:r>
      <w:r w:rsidRPr="00480790">
        <w:rPr>
          <w:lang w:val="en-AU"/>
        </w:rPr>
        <w:t xml:space="preserve">the DFS event for alectinib, compared to platinum-based chemotherapy, resulted in a </w:t>
      </w:r>
      <w:r w:rsidRPr="00480790">
        <w:rPr>
          <w:lang w:val="en-AU"/>
        </w:rPr>
        <w:lastRenderedPageBreak/>
        <w:t xml:space="preserve">Grade A rating. This was the highest grade (out of C, where A and B represent the grades with substantial improvement for new approaches to adjuvant therapy or new potentially curative therapies). The ESMO-MCBS does not define an explicit MCID but sets clear criteria for substantial clinical benefit. </w:t>
      </w:r>
      <w:r w:rsidR="007F618A" w:rsidRPr="00480790">
        <w:rPr>
          <w:lang w:val="en-AU"/>
        </w:rPr>
        <w:t>For patient reported outcomes</w:t>
      </w:r>
      <w:r w:rsidR="00505B74" w:rsidRPr="00480790">
        <w:rPr>
          <w:lang w:val="en-AU"/>
        </w:rPr>
        <w:t>, t</w:t>
      </w:r>
      <w:r w:rsidRPr="00480790">
        <w:rPr>
          <w:lang w:val="en-AU"/>
        </w:rPr>
        <w:t xml:space="preserve">he submission proposed the minimal important difference (MID) </w:t>
      </w:r>
      <w:r w:rsidR="00D8481F" w:rsidRPr="00480790">
        <w:rPr>
          <w:lang w:val="en-AU"/>
        </w:rPr>
        <w:t xml:space="preserve">for </w:t>
      </w:r>
      <w:r w:rsidR="00E36238" w:rsidRPr="00480790">
        <w:rPr>
          <w:lang w:val="en-AU"/>
        </w:rPr>
        <w:t xml:space="preserve">measures of mental and physical </w:t>
      </w:r>
      <w:r w:rsidR="00B95092" w:rsidRPr="00480790">
        <w:rPr>
          <w:lang w:val="en-AU"/>
        </w:rPr>
        <w:t xml:space="preserve">treatment </w:t>
      </w:r>
      <w:r w:rsidR="00E36238" w:rsidRPr="00480790">
        <w:rPr>
          <w:lang w:val="en-AU"/>
        </w:rPr>
        <w:t xml:space="preserve">benefits </w:t>
      </w:r>
      <w:r w:rsidRPr="00480790">
        <w:rPr>
          <w:lang w:val="en-AU"/>
        </w:rPr>
        <w:t>based on the SF-36v2, the User’s Manual.</w:t>
      </w:r>
      <w:r w:rsidRPr="00480790">
        <w:rPr>
          <w:rStyle w:val="FootnoteReference"/>
          <w:lang w:val="en-AU"/>
        </w:rPr>
        <w:footnoteReference w:id="22"/>
      </w:r>
    </w:p>
    <w:p w14:paraId="2ED75F40" w14:textId="77777777" w:rsidR="001C256F" w:rsidRPr="00480790" w:rsidRDefault="001C256F" w:rsidP="00751EBB">
      <w:pPr>
        <w:pStyle w:val="4-SubsectionHeading"/>
        <w:rPr>
          <w:lang w:eastAsia="en-AU"/>
        </w:rPr>
      </w:pPr>
      <w:bookmarkStart w:id="34" w:name="_Toc22897641"/>
      <w:bookmarkStart w:id="35" w:name="_Toc190264956"/>
      <w:bookmarkStart w:id="36" w:name="_Toc193106306"/>
      <w:r w:rsidRPr="00480790">
        <w:rPr>
          <w:lang w:eastAsia="en-AU"/>
        </w:rPr>
        <w:t>Comparative effectiveness</w:t>
      </w:r>
      <w:bookmarkEnd w:id="34"/>
      <w:bookmarkEnd w:id="35"/>
      <w:bookmarkEnd w:id="36"/>
    </w:p>
    <w:p w14:paraId="176DEC86" w14:textId="6F50F46D" w:rsidR="001C256F" w:rsidRPr="00480790" w:rsidRDefault="001C256F" w:rsidP="002843F8">
      <w:pPr>
        <w:pStyle w:val="3-BodyText"/>
        <w:rPr>
          <w:lang w:val="en-AU"/>
        </w:rPr>
      </w:pPr>
      <w:r w:rsidRPr="00480790">
        <w:rPr>
          <w:lang w:val="en-AU"/>
        </w:rPr>
        <w:t>In the ALINA trial, the primary efficacy objective was tested hierarchically in 2</w:t>
      </w:r>
      <w:r w:rsidR="008D1940">
        <w:rPr>
          <w:lang w:val="en-AU"/>
        </w:rPr>
        <w:t> </w:t>
      </w:r>
      <w:r w:rsidRPr="00480790">
        <w:rPr>
          <w:lang w:val="en-AU"/>
        </w:rPr>
        <w:t>populations: First in the resected ALK-positive stage II-IIIA NSCLC subpopulation; then in the Intention-to-treat (ITT) population (resected ALK-positive stage IB (tumours ≥4 cm) to IIIA NSCLC). As the stopping boundaries were crossed at the prespecified interim analysis, the interim analysis became the primary analysis. Due to the positive result at the interim analysis most participants had only received alectinib therapy for 18 months (87.5%) and not the estima</w:t>
      </w:r>
      <w:r w:rsidR="00E83A80" w:rsidRPr="00480790">
        <w:rPr>
          <w:lang w:val="en-AU"/>
        </w:rPr>
        <w:t>te</w:t>
      </w:r>
      <w:r w:rsidRPr="00480790">
        <w:rPr>
          <w:lang w:val="en-AU"/>
        </w:rPr>
        <w:t>d duration of 24 months (21.9%) requested in the PBS restriction.</w:t>
      </w:r>
    </w:p>
    <w:p w14:paraId="6F179516" w14:textId="545E6A1C" w:rsidR="001C256F" w:rsidRPr="00480790" w:rsidRDefault="001C256F" w:rsidP="002843F8">
      <w:pPr>
        <w:pStyle w:val="3-BodyText"/>
        <w:rPr>
          <w:lang w:val="en-AU"/>
        </w:rPr>
      </w:pPr>
      <w:r w:rsidRPr="00480790">
        <w:rPr>
          <w:lang w:val="en-AU"/>
        </w:rPr>
        <w:t>The INV-DFS, blinded independent central review</w:t>
      </w:r>
      <w:r w:rsidRPr="00480790">
        <w:rPr>
          <w:rStyle w:val="FootnoteReference"/>
          <w:lang w:val="en-AU"/>
        </w:rPr>
        <w:footnoteReference w:id="23"/>
      </w:r>
      <w:r w:rsidRPr="00480790">
        <w:rPr>
          <w:lang w:val="en-AU"/>
        </w:rPr>
        <w:t xml:space="preserve"> DFS and the overall survival results are summarised in </w:t>
      </w:r>
      <w:r w:rsidRPr="00480790">
        <w:rPr>
          <w:lang w:val="en-AU"/>
        </w:rPr>
        <w:fldChar w:fldCharType="begin"/>
      </w:r>
      <w:r w:rsidRPr="00480790">
        <w:rPr>
          <w:lang w:val="en-AU"/>
        </w:rPr>
        <w:instrText xml:space="preserve"> REF _Ref190190728 \h </w:instrText>
      </w:r>
      <w:r w:rsidRPr="00480790">
        <w:rPr>
          <w:lang w:val="en-AU"/>
        </w:rPr>
      </w:r>
      <w:r w:rsidRPr="00480790">
        <w:rPr>
          <w:lang w:val="en-AU"/>
        </w:rPr>
        <w:fldChar w:fldCharType="separate"/>
      </w:r>
      <w:r w:rsidR="002565BE" w:rsidRPr="00480790">
        <w:t xml:space="preserve">Table </w:t>
      </w:r>
      <w:r w:rsidR="002565BE">
        <w:rPr>
          <w:noProof/>
        </w:rPr>
        <w:t>4</w:t>
      </w:r>
      <w:r w:rsidRPr="00480790">
        <w:rPr>
          <w:lang w:val="en-AU"/>
        </w:rPr>
        <w:fldChar w:fldCharType="end"/>
      </w:r>
      <w:r w:rsidRPr="00480790">
        <w:rPr>
          <w:lang w:val="en-AU"/>
        </w:rPr>
        <w:t xml:space="preserve">. The INV-DFS Kaplan-Meier curves are presented in </w:t>
      </w:r>
      <w:r w:rsidRPr="00480790">
        <w:rPr>
          <w:lang w:val="en-AU"/>
        </w:rPr>
        <w:fldChar w:fldCharType="begin"/>
      </w:r>
      <w:r w:rsidRPr="00480790">
        <w:rPr>
          <w:lang w:val="en-AU"/>
        </w:rPr>
        <w:instrText xml:space="preserve"> REF _Ref190190755 \h </w:instrText>
      </w:r>
      <w:r w:rsidRPr="00480790">
        <w:rPr>
          <w:lang w:val="en-AU"/>
        </w:rPr>
      </w:r>
      <w:r w:rsidRPr="00480790">
        <w:rPr>
          <w:lang w:val="en-AU"/>
        </w:rPr>
        <w:fldChar w:fldCharType="separate"/>
      </w:r>
      <w:r w:rsidR="002565BE" w:rsidRPr="00480790">
        <w:t xml:space="preserve">Figure </w:t>
      </w:r>
      <w:r w:rsidR="002565BE">
        <w:rPr>
          <w:noProof/>
        </w:rPr>
        <w:t>1</w:t>
      </w:r>
      <w:r w:rsidRPr="00480790">
        <w:rPr>
          <w:lang w:val="en-AU"/>
        </w:rPr>
        <w:fldChar w:fldCharType="end"/>
      </w:r>
      <w:r w:rsidRPr="00480790">
        <w:rPr>
          <w:lang w:val="en-AU"/>
        </w:rPr>
        <w:t>.</w:t>
      </w:r>
    </w:p>
    <w:p w14:paraId="76BF66F9" w14:textId="69B8023D" w:rsidR="001C256F" w:rsidRPr="00480790" w:rsidRDefault="001C256F" w:rsidP="00751EBB">
      <w:pPr>
        <w:pStyle w:val="Caption"/>
        <w:rPr>
          <w:rStyle w:val="CommentReference"/>
          <w:rFonts w:eastAsiaTheme="majorEastAsia" w:cstheme="majorBidi"/>
          <w:b/>
          <w:szCs w:val="24"/>
        </w:rPr>
      </w:pPr>
      <w:bookmarkStart w:id="37" w:name="_Ref190190728"/>
      <w:r w:rsidRPr="00480790">
        <w:lastRenderedPageBreak/>
        <w:t xml:space="preserve">Table </w:t>
      </w:r>
      <w:r w:rsidRPr="00480790">
        <w:fldChar w:fldCharType="begin"/>
      </w:r>
      <w:r w:rsidRPr="00480790">
        <w:instrText xml:space="preserve"> SEQ Table \* ARABIC </w:instrText>
      </w:r>
      <w:r w:rsidRPr="00480790">
        <w:fldChar w:fldCharType="separate"/>
      </w:r>
      <w:r w:rsidR="002565BE">
        <w:rPr>
          <w:noProof/>
        </w:rPr>
        <w:t>4</w:t>
      </w:r>
      <w:r w:rsidRPr="00480790">
        <w:fldChar w:fldCharType="end"/>
      </w:r>
      <w:bookmarkEnd w:id="37"/>
      <w:r w:rsidRPr="00480790">
        <w:rPr>
          <w:rStyle w:val="CommentReference"/>
          <w:rFonts w:eastAsiaTheme="majorEastAsia" w:cstheme="majorBidi"/>
          <w:b/>
          <w:szCs w:val="24"/>
        </w:rPr>
        <w:t>: Summary of survival outcomes in the ALINA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4"/>
        <w:gridCol w:w="1812"/>
        <w:gridCol w:w="1820"/>
        <w:gridCol w:w="1814"/>
        <w:gridCol w:w="1767"/>
      </w:tblGrid>
      <w:tr w:rsidR="00AB01EA" w:rsidRPr="00480790" w14:paraId="3C826ECB" w14:textId="77777777" w:rsidTr="00751EBB">
        <w:trPr>
          <w:cantSplit/>
          <w:tblHeader/>
        </w:trPr>
        <w:tc>
          <w:tcPr>
            <w:tcW w:w="1000" w:type="pct"/>
            <w:vAlign w:val="center"/>
          </w:tcPr>
          <w:p w14:paraId="27DE5392" w14:textId="77777777" w:rsidR="001C256F" w:rsidRPr="00480790" w:rsidRDefault="001C256F" w:rsidP="00751EBB">
            <w:pPr>
              <w:pStyle w:val="In-tableHeading"/>
              <w:jc w:val="center"/>
              <w:rPr>
                <w:lang w:val="en-AU"/>
              </w:rPr>
            </w:pPr>
          </w:p>
        </w:tc>
        <w:tc>
          <w:tcPr>
            <w:tcW w:w="1005" w:type="pct"/>
            <w:vAlign w:val="center"/>
          </w:tcPr>
          <w:p w14:paraId="1738DE49" w14:textId="77777777" w:rsidR="001C256F" w:rsidRPr="00480790" w:rsidRDefault="001C256F" w:rsidP="00751EBB">
            <w:pPr>
              <w:pStyle w:val="In-tableHeading"/>
              <w:jc w:val="center"/>
              <w:rPr>
                <w:lang w:val="en-AU"/>
              </w:rPr>
            </w:pPr>
            <w:r w:rsidRPr="00480790">
              <w:rPr>
                <w:lang w:val="en-AU"/>
              </w:rPr>
              <w:t>Alectinib</w:t>
            </w:r>
          </w:p>
          <w:p w14:paraId="7BB44C9D" w14:textId="77777777" w:rsidR="001C256F" w:rsidRPr="00480790" w:rsidRDefault="001C256F" w:rsidP="00751EBB">
            <w:pPr>
              <w:pStyle w:val="In-tableHeading"/>
              <w:jc w:val="center"/>
              <w:rPr>
                <w:lang w:val="en-AU"/>
              </w:rPr>
            </w:pPr>
            <w:r w:rsidRPr="00480790">
              <w:rPr>
                <w:lang w:val="en-AU"/>
              </w:rPr>
              <w:t>n/N (%)</w:t>
            </w:r>
          </w:p>
        </w:tc>
        <w:tc>
          <w:tcPr>
            <w:tcW w:w="1009" w:type="pct"/>
            <w:vAlign w:val="center"/>
          </w:tcPr>
          <w:p w14:paraId="4EEC28C8" w14:textId="77777777" w:rsidR="001C256F" w:rsidRPr="00480790" w:rsidRDefault="001C256F" w:rsidP="00751EBB">
            <w:pPr>
              <w:pStyle w:val="In-tableHeading"/>
              <w:jc w:val="center"/>
              <w:rPr>
                <w:lang w:val="en-AU"/>
              </w:rPr>
            </w:pPr>
            <w:r w:rsidRPr="00480790">
              <w:rPr>
                <w:lang w:val="en-AU"/>
              </w:rPr>
              <w:t>Chemotherapy</w:t>
            </w:r>
          </w:p>
          <w:p w14:paraId="54E56356" w14:textId="77777777" w:rsidR="001C256F" w:rsidRPr="00480790" w:rsidRDefault="001C256F" w:rsidP="00751EBB">
            <w:pPr>
              <w:pStyle w:val="In-tableHeading"/>
              <w:jc w:val="center"/>
              <w:rPr>
                <w:lang w:val="en-AU"/>
              </w:rPr>
            </w:pPr>
            <w:r w:rsidRPr="00480790">
              <w:rPr>
                <w:lang w:val="en-AU"/>
              </w:rPr>
              <w:t>n/N (%)</w:t>
            </w:r>
          </w:p>
        </w:tc>
        <w:tc>
          <w:tcPr>
            <w:tcW w:w="1006" w:type="pct"/>
            <w:vAlign w:val="center"/>
          </w:tcPr>
          <w:p w14:paraId="7F20BC8B" w14:textId="77777777" w:rsidR="001C256F" w:rsidRPr="00480790" w:rsidRDefault="001C256F" w:rsidP="00751EBB">
            <w:pPr>
              <w:pStyle w:val="In-tableHeading"/>
              <w:jc w:val="center"/>
              <w:rPr>
                <w:i/>
                <w:iCs/>
                <w:lang w:val="en-AU"/>
              </w:rPr>
            </w:pPr>
            <w:r w:rsidRPr="00480790">
              <w:rPr>
                <w:i/>
                <w:iCs/>
                <w:lang w:val="en-AU"/>
              </w:rPr>
              <w:t>Absolute difference</w:t>
            </w:r>
          </w:p>
        </w:tc>
        <w:tc>
          <w:tcPr>
            <w:tcW w:w="980" w:type="pct"/>
            <w:vAlign w:val="center"/>
          </w:tcPr>
          <w:p w14:paraId="25EE2CB0" w14:textId="77777777" w:rsidR="001C256F" w:rsidRPr="00480790" w:rsidRDefault="001C256F" w:rsidP="00751EBB">
            <w:pPr>
              <w:pStyle w:val="In-tableHeading"/>
              <w:jc w:val="center"/>
              <w:rPr>
                <w:lang w:val="en-AU"/>
              </w:rPr>
            </w:pPr>
            <w:r w:rsidRPr="00480790">
              <w:rPr>
                <w:lang w:val="en-AU"/>
              </w:rPr>
              <w:t>HR (95% CI)</w:t>
            </w:r>
          </w:p>
          <w:p w14:paraId="3D353015" w14:textId="77777777" w:rsidR="001C256F" w:rsidRPr="00480790" w:rsidRDefault="001C256F" w:rsidP="00751EBB">
            <w:pPr>
              <w:pStyle w:val="In-tableHeading"/>
              <w:jc w:val="center"/>
              <w:rPr>
                <w:lang w:val="en-AU"/>
              </w:rPr>
            </w:pPr>
          </w:p>
        </w:tc>
      </w:tr>
      <w:tr w:rsidR="00AB01EA" w:rsidRPr="00480790" w14:paraId="4697F114" w14:textId="77777777" w:rsidTr="00751EBB">
        <w:trPr>
          <w:cantSplit/>
        </w:trPr>
        <w:tc>
          <w:tcPr>
            <w:tcW w:w="5000" w:type="pct"/>
            <w:gridSpan w:val="5"/>
            <w:vAlign w:val="center"/>
          </w:tcPr>
          <w:p w14:paraId="72E1416D" w14:textId="77777777" w:rsidR="001C256F" w:rsidRPr="00480790" w:rsidRDefault="001C256F" w:rsidP="00751EBB">
            <w:pPr>
              <w:pStyle w:val="In-tableHeading"/>
              <w:rPr>
                <w:lang w:val="en-AU"/>
              </w:rPr>
            </w:pPr>
            <w:r w:rsidRPr="00480790">
              <w:rPr>
                <w:lang w:val="en-AU"/>
              </w:rPr>
              <w:t>INV-DFS (ITT) interim analysis at CCOD</w:t>
            </w:r>
            <w:r w:rsidRPr="00480790">
              <w:rPr>
                <w:vertAlign w:val="superscript"/>
                <w:lang w:val="en-AU"/>
              </w:rPr>
              <w:t>a</w:t>
            </w:r>
          </w:p>
        </w:tc>
      </w:tr>
      <w:tr w:rsidR="00AB01EA" w:rsidRPr="00480790" w14:paraId="1463CA14" w14:textId="77777777" w:rsidTr="00751EBB">
        <w:trPr>
          <w:cantSplit/>
        </w:trPr>
        <w:tc>
          <w:tcPr>
            <w:tcW w:w="1000" w:type="pct"/>
            <w:vAlign w:val="center"/>
          </w:tcPr>
          <w:p w14:paraId="4E08571E" w14:textId="77777777" w:rsidR="001C256F" w:rsidRPr="00480790" w:rsidRDefault="001C256F" w:rsidP="00751EBB">
            <w:pPr>
              <w:pStyle w:val="TableText0"/>
            </w:pPr>
            <w:r w:rsidRPr="00480790">
              <w:t>Events, n (%)</w:t>
            </w:r>
          </w:p>
        </w:tc>
        <w:tc>
          <w:tcPr>
            <w:tcW w:w="1005" w:type="pct"/>
          </w:tcPr>
          <w:p w14:paraId="31030559" w14:textId="77777777" w:rsidR="001C256F" w:rsidRPr="00480790" w:rsidRDefault="001C256F" w:rsidP="00751EBB">
            <w:pPr>
              <w:pStyle w:val="TableText0"/>
              <w:jc w:val="center"/>
            </w:pPr>
            <w:r w:rsidRPr="00480790">
              <w:t>15/130 (11.5)</w:t>
            </w:r>
          </w:p>
        </w:tc>
        <w:tc>
          <w:tcPr>
            <w:tcW w:w="1009" w:type="pct"/>
          </w:tcPr>
          <w:p w14:paraId="5BF0ECF0" w14:textId="77777777" w:rsidR="001C256F" w:rsidRPr="00480790" w:rsidRDefault="001C256F" w:rsidP="00751EBB">
            <w:pPr>
              <w:pStyle w:val="TableText0"/>
              <w:jc w:val="center"/>
            </w:pPr>
            <w:r w:rsidRPr="00480790">
              <w:t>50/127 (39.4)</w:t>
            </w:r>
          </w:p>
        </w:tc>
        <w:tc>
          <w:tcPr>
            <w:tcW w:w="1006" w:type="pct"/>
          </w:tcPr>
          <w:p w14:paraId="44BEA993" w14:textId="77777777" w:rsidR="001C256F" w:rsidRPr="00480790" w:rsidRDefault="001C256F" w:rsidP="00751EBB">
            <w:pPr>
              <w:pStyle w:val="TableText0"/>
              <w:jc w:val="center"/>
              <w:rPr>
                <w:i/>
                <w:iCs/>
              </w:rPr>
            </w:pPr>
            <w:r w:rsidRPr="00480790">
              <w:rPr>
                <w:i/>
                <w:iCs/>
              </w:rPr>
              <w:t>27.9%</w:t>
            </w:r>
            <w:r w:rsidRPr="00480790">
              <w:rPr>
                <w:i/>
                <w:iCs/>
                <w:vertAlign w:val="superscript"/>
              </w:rPr>
              <w:t>b</w:t>
            </w:r>
          </w:p>
        </w:tc>
        <w:tc>
          <w:tcPr>
            <w:tcW w:w="980" w:type="pct"/>
            <w:vMerge w:val="restart"/>
          </w:tcPr>
          <w:p w14:paraId="617C45F1" w14:textId="77777777" w:rsidR="001C256F" w:rsidRPr="00480790" w:rsidRDefault="001C256F" w:rsidP="00751EBB">
            <w:pPr>
              <w:pStyle w:val="TableText0"/>
              <w:jc w:val="center"/>
              <w:rPr>
                <w:b/>
                <w:bCs w:val="0"/>
              </w:rPr>
            </w:pPr>
            <w:r w:rsidRPr="00480790">
              <w:rPr>
                <w:b/>
                <w:bCs w:val="0"/>
              </w:rPr>
              <w:t>0.24</w:t>
            </w:r>
          </w:p>
          <w:p w14:paraId="77940AB6" w14:textId="77777777" w:rsidR="001C256F" w:rsidRPr="00480790" w:rsidRDefault="001C256F" w:rsidP="00751EBB">
            <w:pPr>
              <w:pStyle w:val="TableText0"/>
              <w:jc w:val="center"/>
              <w:rPr>
                <w:b/>
                <w:bCs w:val="0"/>
              </w:rPr>
            </w:pPr>
            <w:r w:rsidRPr="00480790">
              <w:rPr>
                <w:b/>
                <w:bCs w:val="0"/>
              </w:rPr>
              <w:t>(0.13, 0.43)</w:t>
            </w:r>
          </w:p>
          <w:p w14:paraId="056BD1FF" w14:textId="77777777" w:rsidR="001C256F" w:rsidRPr="00480790" w:rsidRDefault="001C256F" w:rsidP="00751EBB">
            <w:pPr>
              <w:pStyle w:val="TableText0"/>
              <w:jc w:val="center"/>
            </w:pPr>
            <w:r w:rsidRPr="00480790">
              <w:rPr>
                <w:b/>
                <w:bCs w:val="0"/>
              </w:rPr>
              <w:t>P=&lt;0.0001</w:t>
            </w:r>
          </w:p>
        </w:tc>
      </w:tr>
      <w:tr w:rsidR="00AB01EA" w:rsidRPr="00480790" w14:paraId="7E50FF33" w14:textId="77777777" w:rsidTr="00751EBB">
        <w:trPr>
          <w:cantSplit/>
        </w:trPr>
        <w:tc>
          <w:tcPr>
            <w:tcW w:w="1000" w:type="pct"/>
            <w:vAlign w:val="center"/>
          </w:tcPr>
          <w:p w14:paraId="534C1BB5" w14:textId="77777777" w:rsidR="001C256F" w:rsidRPr="00480790" w:rsidRDefault="001C256F" w:rsidP="00751EBB">
            <w:pPr>
              <w:pStyle w:val="TableText0"/>
            </w:pPr>
            <w:r w:rsidRPr="00480790">
              <w:t>Median DFS, months (95% CI)</w:t>
            </w:r>
          </w:p>
        </w:tc>
        <w:tc>
          <w:tcPr>
            <w:tcW w:w="1005" w:type="pct"/>
          </w:tcPr>
          <w:p w14:paraId="29CFE2AB" w14:textId="77777777" w:rsidR="001C256F" w:rsidRPr="00480790" w:rsidRDefault="001C256F" w:rsidP="00751EBB">
            <w:pPr>
              <w:pStyle w:val="TableText0"/>
              <w:jc w:val="center"/>
            </w:pPr>
            <w:r w:rsidRPr="00480790">
              <w:t>NE (NE, NE)</w:t>
            </w:r>
          </w:p>
        </w:tc>
        <w:tc>
          <w:tcPr>
            <w:tcW w:w="1009" w:type="pct"/>
          </w:tcPr>
          <w:p w14:paraId="273793E3" w14:textId="77777777" w:rsidR="001C256F" w:rsidRPr="00480790" w:rsidRDefault="001C256F" w:rsidP="00751EBB">
            <w:pPr>
              <w:pStyle w:val="TableText0"/>
              <w:jc w:val="center"/>
            </w:pPr>
            <w:r w:rsidRPr="00480790">
              <w:t>41.3 (28.5, NE)</w:t>
            </w:r>
          </w:p>
        </w:tc>
        <w:tc>
          <w:tcPr>
            <w:tcW w:w="1006" w:type="pct"/>
          </w:tcPr>
          <w:p w14:paraId="1A31362C" w14:textId="77777777" w:rsidR="001C256F" w:rsidRPr="00480790" w:rsidRDefault="001C256F" w:rsidP="00751EBB">
            <w:pPr>
              <w:pStyle w:val="TableText0"/>
              <w:jc w:val="center"/>
              <w:rPr>
                <w:i/>
                <w:iCs/>
              </w:rPr>
            </w:pPr>
            <w:r w:rsidRPr="00480790">
              <w:rPr>
                <w:i/>
                <w:iCs/>
              </w:rPr>
              <w:t xml:space="preserve">NE </w:t>
            </w:r>
          </w:p>
        </w:tc>
        <w:tc>
          <w:tcPr>
            <w:tcW w:w="980" w:type="pct"/>
            <w:vMerge/>
          </w:tcPr>
          <w:p w14:paraId="6CF7ED21" w14:textId="77777777" w:rsidR="001C256F" w:rsidRPr="00480790" w:rsidRDefault="001C256F" w:rsidP="00751EBB">
            <w:pPr>
              <w:pStyle w:val="TableText0"/>
              <w:jc w:val="center"/>
            </w:pPr>
          </w:p>
        </w:tc>
      </w:tr>
      <w:tr w:rsidR="00AB01EA" w:rsidRPr="00480790" w14:paraId="3B4934C9" w14:textId="77777777" w:rsidTr="00751EBB">
        <w:trPr>
          <w:cantSplit/>
        </w:trPr>
        <w:tc>
          <w:tcPr>
            <w:tcW w:w="5000" w:type="pct"/>
            <w:gridSpan w:val="5"/>
            <w:vAlign w:val="center"/>
          </w:tcPr>
          <w:p w14:paraId="045B3D3E" w14:textId="77777777" w:rsidR="001C256F" w:rsidRPr="00480790" w:rsidRDefault="001C256F" w:rsidP="00751EBB">
            <w:pPr>
              <w:pStyle w:val="TableText0"/>
            </w:pPr>
            <w:r w:rsidRPr="00480790">
              <w:t>K-M landmark estimates (% of participants INV-DFS at time points):</w:t>
            </w:r>
          </w:p>
        </w:tc>
      </w:tr>
      <w:tr w:rsidR="00AB01EA" w:rsidRPr="00480790" w14:paraId="159B936E" w14:textId="77777777" w:rsidTr="00751EBB">
        <w:trPr>
          <w:cantSplit/>
        </w:trPr>
        <w:tc>
          <w:tcPr>
            <w:tcW w:w="1000" w:type="pct"/>
            <w:vAlign w:val="center"/>
          </w:tcPr>
          <w:p w14:paraId="027AE4E1" w14:textId="77777777" w:rsidR="001C256F" w:rsidRPr="00480790" w:rsidRDefault="001C256F" w:rsidP="00751EBB">
            <w:pPr>
              <w:pStyle w:val="TableText0"/>
            </w:pPr>
            <w:r w:rsidRPr="00480790">
              <w:t>% not progressed at 24 months (95% CI)</w:t>
            </w:r>
          </w:p>
        </w:tc>
        <w:tc>
          <w:tcPr>
            <w:tcW w:w="1005" w:type="pct"/>
          </w:tcPr>
          <w:p w14:paraId="3FAB47C2" w14:textId="77777777" w:rsidR="001C256F" w:rsidRPr="00480790" w:rsidRDefault="001C256F" w:rsidP="00751EBB">
            <w:pPr>
              <w:pStyle w:val="TableText0"/>
              <w:jc w:val="center"/>
            </w:pPr>
            <w:r w:rsidRPr="00480790">
              <w:t xml:space="preserve"> 93.6</w:t>
            </w:r>
          </w:p>
          <w:p w14:paraId="28ECA3EA" w14:textId="77777777" w:rsidR="001C256F" w:rsidRPr="00480790" w:rsidRDefault="001C256F" w:rsidP="00751EBB">
            <w:pPr>
              <w:pStyle w:val="TableText0"/>
              <w:jc w:val="center"/>
              <w:rPr>
                <w:rFonts w:cs="Arial"/>
              </w:rPr>
            </w:pPr>
            <w:r w:rsidRPr="00480790">
              <w:t>(89.4, 97.9)</w:t>
            </w:r>
          </w:p>
        </w:tc>
        <w:tc>
          <w:tcPr>
            <w:tcW w:w="1009" w:type="pct"/>
          </w:tcPr>
          <w:p w14:paraId="19590899" w14:textId="77777777" w:rsidR="001C256F" w:rsidRPr="00480790" w:rsidRDefault="001C256F" w:rsidP="00751EBB">
            <w:pPr>
              <w:pStyle w:val="TableText0"/>
              <w:jc w:val="center"/>
            </w:pPr>
            <w:r w:rsidRPr="00480790">
              <w:t>63.7</w:t>
            </w:r>
          </w:p>
          <w:p w14:paraId="07AB9F17" w14:textId="77777777" w:rsidR="001C256F" w:rsidRPr="00480790" w:rsidRDefault="001C256F" w:rsidP="00751EBB">
            <w:pPr>
              <w:pStyle w:val="TableText0"/>
              <w:jc w:val="center"/>
              <w:rPr>
                <w:rFonts w:cs="Arial"/>
              </w:rPr>
            </w:pPr>
            <w:r w:rsidRPr="00480790">
              <w:t>(54.6, 72.9)</w:t>
            </w:r>
          </w:p>
        </w:tc>
        <w:tc>
          <w:tcPr>
            <w:tcW w:w="1006" w:type="pct"/>
          </w:tcPr>
          <w:p w14:paraId="5E02F019" w14:textId="77777777" w:rsidR="001C256F" w:rsidRPr="00480790" w:rsidRDefault="001C256F" w:rsidP="00751EBB">
            <w:pPr>
              <w:pStyle w:val="TableText0"/>
              <w:jc w:val="center"/>
            </w:pPr>
            <w:r w:rsidRPr="00480790">
              <w:t>29.9%</w:t>
            </w:r>
          </w:p>
          <w:p w14:paraId="31C1D882" w14:textId="77777777" w:rsidR="001C256F" w:rsidRPr="00480790" w:rsidRDefault="001C256F" w:rsidP="00751EBB">
            <w:pPr>
              <w:pStyle w:val="TableText0"/>
              <w:jc w:val="center"/>
              <w:rPr>
                <w:rFonts w:cs="Arial"/>
              </w:rPr>
            </w:pPr>
            <w:r w:rsidRPr="00480790">
              <w:t>(19.8, 40.0)</w:t>
            </w:r>
          </w:p>
        </w:tc>
        <w:tc>
          <w:tcPr>
            <w:tcW w:w="980" w:type="pct"/>
          </w:tcPr>
          <w:p w14:paraId="749BBC81" w14:textId="77777777" w:rsidR="001C256F" w:rsidRPr="00480790" w:rsidRDefault="001C256F" w:rsidP="00751EBB">
            <w:pPr>
              <w:pStyle w:val="TableText0"/>
              <w:jc w:val="center"/>
              <w:rPr>
                <w:b/>
                <w:bCs w:val="0"/>
              </w:rPr>
            </w:pPr>
            <w:r w:rsidRPr="00480790">
              <w:rPr>
                <w:b/>
                <w:bCs w:val="0"/>
              </w:rPr>
              <w:t>P=&lt;.0001</w:t>
            </w:r>
          </w:p>
        </w:tc>
      </w:tr>
      <w:tr w:rsidR="00AB01EA" w:rsidRPr="00480790" w14:paraId="50986467" w14:textId="77777777" w:rsidTr="00751EBB">
        <w:trPr>
          <w:cantSplit/>
        </w:trPr>
        <w:tc>
          <w:tcPr>
            <w:tcW w:w="1000" w:type="pct"/>
            <w:vAlign w:val="center"/>
          </w:tcPr>
          <w:p w14:paraId="0C73B277" w14:textId="77777777" w:rsidR="001C256F" w:rsidRPr="00480790" w:rsidRDefault="001C256F" w:rsidP="00751EBB">
            <w:pPr>
              <w:pStyle w:val="TableText0"/>
            </w:pPr>
            <w:r w:rsidRPr="00480790">
              <w:t>% not progressed at 36 months (95% CI)</w:t>
            </w:r>
          </w:p>
        </w:tc>
        <w:tc>
          <w:tcPr>
            <w:tcW w:w="1005" w:type="pct"/>
          </w:tcPr>
          <w:p w14:paraId="4D9227FE" w14:textId="77777777" w:rsidR="001C256F" w:rsidRPr="00480790" w:rsidRDefault="001C256F" w:rsidP="00751EBB">
            <w:pPr>
              <w:pStyle w:val="TableText0"/>
              <w:jc w:val="center"/>
            </w:pPr>
            <w:r w:rsidRPr="00480790">
              <w:t>88.7</w:t>
            </w:r>
          </w:p>
          <w:p w14:paraId="7B150DEB" w14:textId="77777777" w:rsidR="001C256F" w:rsidRPr="00480790" w:rsidRDefault="001C256F" w:rsidP="00751EBB">
            <w:pPr>
              <w:pStyle w:val="TableText0"/>
              <w:jc w:val="center"/>
              <w:rPr>
                <w:rFonts w:cs="Arial"/>
              </w:rPr>
            </w:pPr>
            <w:r w:rsidRPr="00480790">
              <w:t>(81.8, 95.6)</w:t>
            </w:r>
          </w:p>
        </w:tc>
        <w:tc>
          <w:tcPr>
            <w:tcW w:w="1009" w:type="pct"/>
          </w:tcPr>
          <w:p w14:paraId="71C3D79F" w14:textId="77777777" w:rsidR="001C256F" w:rsidRPr="00480790" w:rsidRDefault="001C256F" w:rsidP="00751EBB">
            <w:pPr>
              <w:pStyle w:val="TableText0"/>
              <w:jc w:val="center"/>
            </w:pPr>
            <w:r w:rsidRPr="00480790">
              <w:t>54.0</w:t>
            </w:r>
          </w:p>
          <w:p w14:paraId="0133D44B" w14:textId="77777777" w:rsidR="001C256F" w:rsidRPr="00480790" w:rsidRDefault="001C256F" w:rsidP="00751EBB">
            <w:pPr>
              <w:pStyle w:val="TableText0"/>
              <w:jc w:val="center"/>
              <w:rPr>
                <w:rFonts w:cs="Arial"/>
              </w:rPr>
            </w:pPr>
            <w:r w:rsidRPr="00480790">
              <w:t>(43.7, 64.2)</w:t>
            </w:r>
          </w:p>
        </w:tc>
        <w:tc>
          <w:tcPr>
            <w:tcW w:w="1006" w:type="pct"/>
          </w:tcPr>
          <w:p w14:paraId="3C63F985" w14:textId="77777777" w:rsidR="001C256F" w:rsidRPr="00480790" w:rsidRDefault="001C256F" w:rsidP="00751EBB">
            <w:pPr>
              <w:pStyle w:val="TableText0"/>
              <w:jc w:val="center"/>
            </w:pPr>
            <w:r w:rsidRPr="00480790">
              <w:t>34.7%</w:t>
            </w:r>
          </w:p>
          <w:p w14:paraId="6268269A" w14:textId="77777777" w:rsidR="001C256F" w:rsidRPr="00480790" w:rsidRDefault="001C256F" w:rsidP="00751EBB">
            <w:pPr>
              <w:pStyle w:val="TableText0"/>
              <w:jc w:val="center"/>
              <w:rPr>
                <w:rFonts w:cs="Arial"/>
              </w:rPr>
            </w:pPr>
            <w:r w:rsidRPr="00480790">
              <w:t>(22.4, 47.1)</w:t>
            </w:r>
          </w:p>
        </w:tc>
        <w:tc>
          <w:tcPr>
            <w:tcW w:w="980" w:type="pct"/>
          </w:tcPr>
          <w:p w14:paraId="509DCB98" w14:textId="77777777" w:rsidR="001C256F" w:rsidRPr="00480790" w:rsidRDefault="001C256F" w:rsidP="00751EBB">
            <w:pPr>
              <w:pStyle w:val="TableText0"/>
              <w:jc w:val="center"/>
              <w:rPr>
                <w:b/>
                <w:bCs w:val="0"/>
              </w:rPr>
            </w:pPr>
            <w:r w:rsidRPr="00480790">
              <w:rPr>
                <w:b/>
                <w:bCs w:val="0"/>
              </w:rPr>
              <w:t>P=&lt;.0001</w:t>
            </w:r>
          </w:p>
        </w:tc>
      </w:tr>
      <w:tr w:rsidR="00AB01EA" w:rsidRPr="00480790" w14:paraId="44B3CAA8" w14:textId="77777777" w:rsidTr="00751EBB">
        <w:trPr>
          <w:cantSplit/>
        </w:trPr>
        <w:tc>
          <w:tcPr>
            <w:tcW w:w="1000" w:type="pct"/>
            <w:vAlign w:val="center"/>
          </w:tcPr>
          <w:p w14:paraId="0150A9A0" w14:textId="77777777" w:rsidR="001C256F" w:rsidRPr="00480790" w:rsidRDefault="001C256F" w:rsidP="00751EBB">
            <w:pPr>
              <w:pStyle w:val="TableText0"/>
            </w:pPr>
            <w:r w:rsidRPr="00480790">
              <w:t>% not progressed at 48 months (95% CI)</w:t>
            </w:r>
          </w:p>
        </w:tc>
        <w:tc>
          <w:tcPr>
            <w:tcW w:w="1005" w:type="pct"/>
          </w:tcPr>
          <w:p w14:paraId="0E880950" w14:textId="77777777" w:rsidR="001C256F" w:rsidRPr="00480790" w:rsidRDefault="001C256F" w:rsidP="00751EBB">
            <w:pPr>
              <w:pStyle w:val="TableText0"/>
              <w:jc w:val="center"/>
            </w:pPr>
            <w:r w:rsidRPr="00480790">
              <w:t>77.3</w:t>
            </w:r>
          </w:p>
          <w:p w14:paraId="13D9FFA8" w14:textId="77777777" w:rsidR="001C256F" w:rsidRPr="00480790" w:rsidRDefault="001C256F" w:rsidP="00751EBB">
            <w:pPr>
              <w:pStyle w:val="TableText0"/>
              <w:jc w:val="center"/>
              <w:rPr>
                <w:rFonts w:cs="Arial"/>
              </w:rPr>
            </w:pPr>
            <w:r w:rsidRPr="00480790">
              <w:t>(65.0, 89.5)</w:t>
            </w:r>
          </w:p>
        </w:tc>
        <w:tc>
          <w:tcPr>
            <w:tcW w:w="1009" w:type="pct"/>
          </w:tcPr>
          <w:p w14:paraId="2D319AD9" w14:textId="77777777" w:rsidR="001C256F" w:rsidRPr="00480790" w:rsidRDefault="001C256F" w:rsidP="00751EBB">
            <w:pPr>
              <w:pStyle w:val="TableText0"/>
              <w:jc w:val="center"/>
            </w:pPr>
            <w:r w:rsidRPr="00480790">
              <w:t>46.2</w:t>
            </w:r>
          </w:p>
          <w:p w14:paraId="630E4B9D" w14:textId="77777777" w:rsidR="001C256F" w:rsidRPr="00480790" w:rsidRDefault="001C256F" w:rsidP="00751EBB">
            <w:pPr>
              <w:pStyle w:val="TableText0"/>
              <w:jc w:val="center"/>
              <w:rPr>
                <w:rFonts w:cs="Arial"/>
              </w:rPr>
            </w:pPr>
            <w:r w:rsidRPr="00480790">
              <w:t>(34.2, 58.3)</w:t>
            </w:r>
          </w:p>
        </w:tc>
        <w:tc>
          <w:tcPr>
            <w:tcW w:w="1006" w:type="pct"/>
          </w:tcPr>
          <w:p w14:paraId="3677A0E3" w14:textId="77777777" w:rsidR="001C256F" w:rsidRPr="00480790" w:rsidRDefault="001C256F" w:rsidP="00751EBB">
            <w:pPr>
              <w:pStyle w:val="TableText0"/>
              <w:jc w:val="center"/>
            </w:pPr>
            <w:r w:rsidRPr="00480790">
              <w:t>31.0%</w:t>
            </w:r>
          </w:p>
          <w:p w14:paraId="2663F457" w14:textId="77777777" w:rsidR="001C256F" w:rsidRPr="00480790" w:rsidRDefault="001C256F" w:rsidP="00751EBB">
            <w:pPr>
              <w:pStyle w:val="TableText0"/>
              <w:jc w:val="center"/>
              <w:rPr>
                <w:rFonts w:cs="Arial"/>
              </w:rPr>
            </w:pPr>
            <w:r w:rsidRPr="00480790">
              <w:t>(13.8, 48.3)</w:t>
            </w:r>
          </w:p>
        </w:tc>
        <w:tc>
          <w:tcPr>
            <w:tcW w:w="980" w:type="pct"/>
          </w:tcPr>
          <w:p w14:paraId="63A17935" w14:textId="77777777" w:rsidR="001C256F" w:rsidRPr="00480790" w:rsidRDefault="001C256F" w:rsidP="00751EBB">
            <w:pPr>
              <w:pStyle w:val="TableText0"/>
              <w:jc w:val="center"/>
              <w:rPr>
                <w:b/>
                <w:bCs w:val="0"/>
              </w:rPr>
            </w:pPr>
            <w:r w:rsidRPr="00480790">
              <w:rPr>
                <w:b/>
                <w:bCs w:val="0"/>
              </w:rPr>
              <w:t>P=0.0004</w:t>
            </w:r>
          </w:p>
        </w:tc>
      </w:tr>
      <w:tr w:rsidR="00AB01EA" w:rsidRPr="00480790" w14:paraId="02786A4E" w14:textId="77777777" w:rsidTr="00751EBB">
        <w:trPr>
          <w:cantSplit/>
        </w:trPr>
        <w:tc>
          <w:tcPr>
            <w:tcW w:w="5000" w:type="pct"/>
            <w:gridSpan w:val="5"/>
            <w:vAlign w:val="center"/>
          </w:tcPr>
          <w:p w14:paraId="40727828" w14:textId="77777777" w:rsidR="001C256F" w:rsidRPr="00480790" w:rsidRDefault="001C256F" w:rsidP="00751EBB">
            <w:pPr>
              <w:pStyle w:val="TableText0"/>
              <w:rPr>
                <w:b/>
                <w:bCs w:val="0"/>
              </w:rPr>
            </w:pPr>
            <w:r w:rsidRPr="00480790">
              <w:rPr>
                <w:b/>
                <w:bCs w:val="0"/>
              </w:rPr>
              <w:t>BICR-DFS (ITT) interim analysis at CCOD</w:t>
            </w:r>
            <w:r w:rsidRPr="00480790">
              <w:rPr>
                <w:b/>
                <w:bCs w:val="0"/>
                <w:vertAlign w:val="superscript"/>
              </w:rPr>
              <w:t>a</w:t>
            </w:r>
          </w:p>
        </w:tc>
      </w:tr>
      <w:tr w:rsidR="00AB01EA" w:rsidRPr="00480790" w14:paraId="765C9B95" w14:textId="77777777" w:rsidTr="00751EBB">
        <w:trPr>
          <w:cantSplit/>
        </w:trPr>
        <w:tc>
          <w:tcPr>
            <w:tcW w:w="1000" w:type="pct"/>
            <w:vAlign w:val="center"/>
          </w:tcPr>
          <w:p w14:paraId="6092E8A8" w14:textId="77777777" w:rsidR="001C256F" w:rsidRPr="00480790" w:rsidRDefault="001C256F" w:rsidP="00751EBB">
            <w:pPr>
              <w:pStyle w:val="TableText0"/>
            </w:pPr>
            <w:r w:rsidRPr="00480790">
              <w:t>Events, n (%)</w:t>
            </w:r>
          </w:p>
        </w:tc>
        <w:tc>
          <w:tcPr>
            <w:tcW w:w="1005" w:type="pct"/>
          </w:tcPr>
          <w:p w14:paraId="7EF46952" w14:textId="77777777" w:rsidR="001C256F" w:rsidRPr="00480790" w:rsidRDefault="001C256F" w:rsidP="00751EBB">
            <w:pPr>
              <w:pStyle w:val="TableText0"/>
              <w:jc w:val="center"/>
            </w:pPr>
            <w:r w:rsidRPr="00480790">
              <w:t>16/130 (12.3)</w:t>
            </w:r>
          </w:p>
        </w:tc>
        <w:tc>
          <w:tcPr>
            <w:tcW w:w="1009" w:type="pct"/>
          </w:tcPr>
          <w:p w14:paraId="01795C0A" w14:textId="77777777" w:rsidR="001C256F" w:rsidRPr="00480790" w:rsidRDefault="001C256F" w:rsidP="00751EBB">
            <w:pPr>
              <w:pStyle w:val="TableText0"/>
              <w:jc w:val="center"/>
            </w:pPr>
            <w:r w:rsidRPr="00480790">
              <w:t>39/127 (30.7)</w:t>
            </w:r>
          </w:p>
        </w:tc>
        <w:tc>
          <w:tcPr>
            <w:tcW w:w="1006" w:type="pct"/>
          </w:tcPr>
          <w:p w14:paraId="27CC98D1" w14:textId="77777777" w:rsidR="001C256F" w:rsidRPr="00480790" w:rsidRDefault="001C256F" w:rsidP="00751EBB">
            <w:pPr>
              <w:pStyle w:val="TableText0"/>
              <w:jc w:val="center"/>
              <w:rPr>
                <w:i/>
                <w:iCs/>
              </w:rPr>
            </w:pPr>
            <w:r w:rsidRPr="00480790">
              <w:rPr>
                <w:i/>
                <w:iCs/>
              </w:rPr>
              <w:t>18.4%</w:t>
            </w:r>
          </w:p>
        </w:tc>
        <w:tc>
          <w:tcPr>
            <w:tcW w:w="980" w:type="pct"/>
            <w:vMerge w:val="restart"/>
          </w:tcPr>
          <w:p w14:paraId="6F0F51B5" w14:textId="77777777" w:rsidR="001C256F" w:rsidRPr="00480790" w:rsidRDefault="001C256F" w:rsidP="00751EBB">
            <w:pPr>
              <w:pStyle w:val="TableText0"/>
              <w:jc w:val="center"/>
              <w:rPr>
                <w:b/>
                <w:bCs w:val="0"/>
              </w:rPr>
            </w:pPr>
            <w:r w:rsidRPr="00480790">
              <w:rPr>
                <w:b/>
                <w:bCs w:val="0"/>
              </w:rPr>
              <w:t>0.30</w:t>
            </w:r>
          </w:p>
          <w:p w14:paraId="39BE728B" w14:textId="77777777" w:rsidR="001C256F" w:rsidRPr="00480790" w:rsidRDefault="001C256F" w:rsidP="00751EBB">
            <w:pPr>
              <w:pStyle w:val="TableText0"/>
              <w:jc w:val="center"/>
              <w:rPr>
                <w:b/>
                <w:bCs w:val="0"/>
              </w:rPr>
            </w:pPr>
            <w:r w:rsidRPr="00480790">
              <w:rPr>
                <w:b/>
                <w:bCs w:val="0"/>
              </w:rPr>
              <w:t>(0.17, 0.54)</w:t>
            </w:r>
          </w:p>
          <w:p w14:paraId="5A3D2260" w14:textId="77777777" w:rsidR="001C256F" w:rsidRPr="00480790" w:rsidRDefault="001C256F" w:rsidP="00751EBB">
            <w:pPr>
              <w:pStyle w:val="TableText0"/>
              <w:jc w:val="center"/>
              <w:rPr>
                <w:b/>
                <w:bCs w:val="0"/>
              </w:rPr>
            </w:pPr>
            <w:r w:rsidRPr="00480790">
              <w:rPr>
                <w:b/>
                <w:bCs w:val="0"/>
              </w:rPr>
              <w:t>P=&lt;0.0001</w:t>
            </w:r>
          </w:p>
        </w:tc>
      </w:tr>
      <w:tr w:rsidR="00AB01EA" w:rsidRPr="00480790" w14:paraId="5D4B1186" w14:textId="77777777" w:rsidTr="00751EBB">
        <w:trPr>
          <w:cantSplit/>
        </w:trPr>
        <w:tc>
          <w:tcPr>
            <w:tcW w:w="1000" w:type="pct"/>
            <w:vAlign w:val="center"/>
          </w:tcPr>
          <w:p w14:paraId="59C993BF" w14:textId="77777777" w:rsidR="001C256F" w:rsidRPr="00480790" w:rsidRDefault="001C256F" w:rsidP="00751EBB">
            <w:pPr>
              <w:pStyle w:val="TableText0"/>
            </w:pPr>
            <w:r w:rsidRPr="00480790">
              <w:t>Median DFS, months (95% CI)</w:t>
            </w:r>
          </w:p>
        </w:tc>
        <w:tc>
          <w:tcPr>
            <w:tcW w:w="1005" w:type="pct"/>
          </w:tcPr>
          <w:p w14:paraId="2535E087" w14:textId="77777777" w:rsidR="001C256F" w:rsidRPr="00480790" w:rsidRDefault="001C256F" w:rsidP="00751EBB">
            <w:pPr>
              <w:pStyle w:val="TableText0"/>
              <w:jc w:val="center"/>
            </w:pPr>
            <w:r w:rsidRPr="00480790">
              <w:t>NE (NE, NE)</w:t>
            </w:r>
          </w:p>
        </w:tc>
        <w:tc>
          <w:tcPr>
            <w:tcW w:w="1009" w:type="pct"/>
          </w:tcPr>
          <w:p w14:paraId="1EF3623A" w14:textId="77777777" w:rsidR="001C256F" w:rsidRPr="00480790" w:rsidRDefault="001C256F" w:rsidP="00751EBB">
            <w:pPr>
              <w:pStyle w:val="TableText0"/>
              <w:jc w:val="center"/>
            </w:pPr>
            <w:r w:rsidRPr="00480790">
              <w:t>NE (37.4, NE)</w:t>
            </w:r>
          </w:p>
        </w:tc>
        <w:tc>
          <w:tcPr>
            <w:tcW w:w="1006" w:type="pct"/>
          </w:tcPr>
          <w:p w14:paraId="7A0C13F9" w14:textId="77777777" w:rsidR="001C256F" w:rsidRPr="00480790" w:rsidRDefault="001C256F" w:rsidP="00751EBB">
            <w:pPr>
              <w:pStyle w:val="TableText0"/>
              <w:jc w:val="center"/>
              <w:rPr>
                <w:i/>
                <w:iCs/>
              </w:rPr>
            </w:pPr>
            <w:r w:rsidRPr="00480790">
              <w:rPr>
                <w:i/>
                <w:iCs/>
              </w:rPr>
              <w:t xml:space="preserve">NE </w:t>
            </w:r>
          </w:p>
        </w:tc>
        <w:tc>
          <w:tcPr>
            <w:tcW w:w="980" w:type="pct"/>
            <w:vMerge/>
          </w:tcPr>
          <w:p w14:paraId="3C672D8B" w14:textId="77777777" w:rsidR="001C256F" w:rsidRPr="00480790" w:rsidRDefault="001C256F" w:rsidP="00751EBB">
            <w:pPr>
              <w:pStyle w:val="TableText0"/>
              <w:jc w:val="center"/>
              <w:rPr>
                <w:b/>
                <w:bCs w:val="0"/>
              </w:rPr>
            </w:pPr>
          </w:p>
        </w:tc>
      </w:tr>
      <w:tr w:rsidR="00AB01EA" w:rsidRPr="00480790" w14:paraId="36BA0E87" w14:textId="77777777" w:rsidTr="00751EBB">
        <w:trPr>
          <w:cantSplit/>
        </w:trPr>
        <w:tc>
          <w:tcPr>
            <w:tcW w:w="5000" w:type="pct"/>
            <w:gridSpan w:val="5"/>
            <w:vAlign w:val="center"/>
          </w:tcPr>
          <w:p w14:paraId="23EC2E54" w14:textId="77777777" w:rsidR="001C256F" w:rsidRPr="00480790" w:rsidRDefault="001C256F" w:rsidP="00751EBB">
            <w:pPr>
              <w:pStyle w:val="TableText0"/>
              <w:rPr>
                <w:b/>
                <w:bCs w:val="0"/>
              </w:rPr>
            </w:pPr>
            <w:r w:rsidRPr="00480790">
              <w:t>K-M landmark estimates (% of participants BICR-DFS at time points):</w:t>
            </w:r>
          </w:p>
        </w:tc>
      </w:tr>
      <w:tr w:rsidR="00AB01EA" w:rsidRPr="00480790" w14:paraId="7E3081D1" w14:textId="77777777" w:rsidTr="00751EBB">
        <w:trPr>
          <w:cantSplit/>
        </w:trPr>
        <w:tc>
          <w:tcPr>
            <w:tcW w:w="1000" w:type="pct"/>
            <w:vAlign w:val="center"/>
          </w:tcPr>
          <w:p w14:paraId="1ACC2BDC" w14:textId="77777777" w:rsidR="001C256F" w:rsidRPr="00480790" w:rsidRDefault="001C256F" w:rsidP="00751EBB">
            <w:pPr>
              <w:pStyle w:val="TableText0"/>
            </w:pPr>
            <w:r w:rsidRPr="00480790">
              <w:t>% not progressed at 24 months (95% CI)</w:t>
            </w:r>
          </w:p>
        </w:tc>
        <w:tc>
          <w:tcPr>
            <w:tcW w:w="1005" w:type="pct"/>
          </w:tcPr>
          <w:p w14:paraId="25BB5018" w14:textId="77777777" w:rsidR="001C256F" w:rsidRPr="00480790" w:rsidRDefault="001C256F" w:rsidP="00751EBB">
            <w:pPr>
              <w:pStyle w:val="TableText0"/>
              <w:jc w:val="center"/>
              <w:rPr>
                <w:szCs w:val="20"/>
              </w:rPr>
            </w:pPr>
            <w:r w:rsidRPr="00480790">
              <w:rPr>
                <w:szCs w:val="20"/>
              </w:rPr>
              <w:t>92.0</w:t>
            </w:r>
          </w:p>
          <w:p w14:paraId="1DFC72E6" w14:textId="77777777" w:rsidR="001C256F" w:rsidRPr="00480790" w:rsidRDefault="001C256F" w:rsidP="00751EBB">
            <w:pPr>
              <w:pStyle w:val="TableText0"/>
              <w:jc w:val="center"/>
            </w:pPr>
            <w:r w:rsidRPr="00480790">
              <w:rPr>
                <w:szCs w:val="20"/>
              </w:rPr>
              <w:t>(87.2, 96.8)</w:t>
            </w:r>
          </w:p>
        </w:tc>
        <w:tc>
          <w:tcPr>
            <w:tcW w:w="1009" w:type="pct"/>
          </w:tcPr>
          <w:p w14:paraId="78D0B4A6" w14:textId="77777777" w:rsidR="001C256F" w:rsidRPr="00480790" w:rsidRDefault="001C256F" w:rsidP="00751EBB">
            <w:pPr>
              <w:pStyle w:val="TableText0"/>
              <w:jc w:val="center"/>
              <w:rPr>
                <w:szCs w:val="20"/>
              </w:rPr>
            </w:pPr>
            <w:r w:rsidRPr="00480790">
              <w:rPr>
                <w:szCs w:val="20"/>
              </w:rPr>
              <w:t>71.3</w:t>
            </w:r>
          </w:p>
          <w:p w14:paraId="79AF2F00" w14:textId="77777777" w:rsidR="001C256F" w:rsidRPr="00480790" w:rsidRDefault="001C256F" w:rsidP="00751EBB">
            <w:pPr>
              <w:pStyle w:val="TableText0"/>
              <w:jc w:val="center"/>
            </w:pPr>
            <w:r w:rsidRPr="00480790">
              <w:rPr>
                <w:szCs w:val="20"/>
              </w:rPr>
              <w:t>(62.5, 80.1)</w:t>
            </w:r>
          </w:p>
        </w:tc>
        <w:tc>
          <w:tcPr>
            <w:tcW w:w="1006" w:type="pct"/>
          </w:tcPr>
          <w:p w14:paraId="50AB0604" w14:textId="77777777" w:rsidR="001C256F" w:rsidRPr="00480790" w:rsidRDefault="001C256F" w:rsidP="00751EBB">
            <w:pPr>
              <w:pStyle w:val="TableText0"/>
              <w:jc w:val="center"/>
              <w:rPr>
                <w:szCs w:val="20"/>
              </w:rPr>
            </w:pPr>
            <w:r w:rsidRPr="00480790">
              <w:rPr>
                <w:szCs w:val="20"/>
              </w:rPr>
              <w:t>20.7</w:t>
            </w:r>
          </w:p>
          <w:p w14:paraId="4C129A66" w14:textId="77777777" w:rsidR="001C256F" w:rsidRPr="00480790" w:rsidRDefault="001C256F" w:rsidP="00751EBB">
            <w:pPr>
              <w:pStyle w:val="TableText0"/>
              <w:jc w:val="center"/>
            </w:pPr>
            <w:r w:rsidRPr="00480790">
              <w:rPr>
                <w:szCs w:val="20"/>
              </w:rPr>
              <w:t>(10.7, 30.7)</w:t>
            </w:r>
          </w:p>
        </w:tc>
        <w:tc>
          <w:tcPr>
            <w:tcW w:w="980" w:type="pct"/>
          </w:tcPr>
          <w:p w14:paraId="00BA17D2" w14:textId="77777777" w:rsidR="001C256F" w:rsidRPr="00480790" w:rsidRDefault="001C256F" w:rsidP="00751EBB">
            <w:pPr>
              <w:pStyle w:val="TableText0"/>
              <w:jc w:val="center"/>
              <w:rPr>
                <w:b/>
                <w:bCs w:val="0"/>
              </w:rPr>
            </w:pPr>
            <w:r w:rsidRPr="00480790">
              <w:rPr>
                <w:b/>
                <w:bCs w:val="0"/>
              </w:rPr>
              <w:t>P=&lt;.0001</w:t>
            </w:r>
          </w:p>
        </w:tc>
      </w:tr>
      <w:tr w:rsidR="00AB01EA" w:rsidRPr="00480790" w14:paraId="09764976" w14:textId="77777777" w:rsidTr="00751EBB">
        <w:trPr>
          <w:cantSplit/>
        </w:trPr>
        <w:tc>
          <w:tcPr>
            <w:tcW w:w="1000" w:type="pct"/>
            <w:vAlign w:val="center"/>
          </w:tcPr>
          <w:p w14:paraId="25F1276A" w14:textId="77777777" w:rsidR="001C256F" w:rsidRPr="00480790" w:rsidRDefault="001C256F" w:rsidP="00751EBB">
            <w:pPr>
              <w:pStyle w:val="TableText0"/>
            </w:pPr>
            <w:r w:rsidRPr="00480790">
              <w:t>% not progressed at 36 months (95% CI)</w:t>
            </w:r>
          </w:p>
        </w:tc>
        <w:tc>
          <w:tcPr>
            <w:tcW w:w="1005" w:type="pct"/>
          </w:tcPr>
          <w:p w14:paraId="2F81CF85" w14:textId="77777777" w:rsidR="001C256F" w:rsidRPr="00480790" w:rsidRDefault="001C256F" w:rsidP="00751EBB">
            <w:pPr>
              <w:pStyle w:val="TableText0"/>
              <w:jc w:val="center"/>
              <w:rPr>
                <w:szCs w:val="20"/>
              </w:rPr>
            </w:pPr>
            <w:r w:rsidRPr="00480790">
              <w:rPr>
                <w:szCs w:val="20"/>
              </w:rPr>
              <w:t>88.5</w:t>
            </w:r>
          </w:p>
          <w:p w14:paraId="2202FC22" w14:textId="77777777" w:rsidR="001C256F" w:rsidRPr="00480790" w:rsidRDefault="001C256F" w:rsidP="00751EBB">
            <w:pPr>
              <w:pStyle w:val="TableText0"/>
              <w:jc w:val="center"/>
            </w:pPr>
            <w:r w:rsidRPr="00480790">
              <w:rPr>
                <w:szCs w:val="20"/>
              </w:rPr>
              <w:t>(81.7, 95.2)</w:t>
            </w:r>
          </w:p>
        </w:tc>
        <w:tc>
          <w:tcPr>
            <w:tcW w:w="1009" w:type="pct"/>
          </w:tcPr>
          <w:p w14:paraId="678F5D85" w14:textId="77777777" w:rsidR="001C256F" w:rsidRPr="00480790" w:rsidRDefault="001C256F" w:rsidP="00751EBB">
            <w:pPr>
              <w:pStyle w:val="TableText0"/>
              <w:jc w:val="center"/>
              <w:rPr>
                <w:szCs w:val="20"/>
              </w:rPr>
            </w:pPr>
            <w:r w:rsidRPr="00480790">
              <w:rPr>
                <w:szCs w:val="20"/>
              </w:rPr>
              <w:t>61.3</w:t>
            </w:r>
          </w:p>
          <w:p w14:paraId="0203A7DD" w14:textId="77777777" w:rsidR="001C256F" w:rsidRPr="00480790" w:rsidRDefault="001C256F" w:rsidP="00751EBB">
            <w:pPr>
              <w:pStyle w:val="TableText0"/>
              <w:jc w:val="center"/>
            </w:pPr>
            <w:r w:rsidRPr="00480790">
              <w:rPr>
                <w:szCs w:val="20"/>
              </w:rPr>
              <w:t>(50.6, 71.9)</w:t>
            </w:r>
          </w:p>
        </w:tc>
        <w:tc>
          <w:tcPr>
            <w:tcW w:w="1006" w:type="pct"/>
          </w:tcPr>
          <w:p w14:paraId="614B7604" w14:textId="77777777" w:rsidR="001C256F" w:rsidRPr="00480790" w:rsidRDefault="001C256F" w:rsidP="00751EBB">
            <w:pPr>
              <w:pStyle w:val="TableText0"/>
              <w:jc w:val="center"/>
              <w:rPr>
                <w:szCs w:val="20"/>
              </w:rPr>
            </w:pPr>
            <w:r w:rsidRPr="00480790">
              <w:rPr>
                <w:szCs w:val="20"/>
              </w:rPr>
              <w:t>27.1</w:t>
            </w:r>
          </w:p>
          <w:p w14:paraId="26FB6228" w14:textId="77777777" w:rsidR="001C256F" w:rsidRPr="00480790" w:rsidRDefault="001C256F" w:rsidP="00751EBB">
            <w:pPr>
              <w:pStyle w:val="TableText0"/>
              <w:jc w:val="center"/>
            </w:pPr>
            <w:r w:rsidRPr="00480790">
              <w:rPr>
                <w:szCs w:val="20"/>
              </w:rPr>
              <w:t>(14.6, 39.8)</w:t>
            </w:r>
          </w:p>
        </w:tc>
        <w:tc>
          <w:tcPr>
            <w:tcW w:w="980" w:type="pct"/>
          </w:tcPr>
          <w:p w14:paraId="14F155D3" w14:textId="77777777" w:rsidR="001C256F" w:rsidRPr="00480790" w:rsidRDefault="001C256F" w:rsidP="00751EBB">
            <w:pPr>
              <w:pStyle w:val="TableText0"/>
              <w:jc w:val="center"/>
              <w:rPr>
                <w:b/>
                <w:bCs w:val="0"/>
              </w:rPr>
            </w:pPr>
            <w:r w:rsidRPr="00480790">
              <w:rPr>
                <w:b/>
                <w:bCs w:val="0"/>
              </w:rPr>
              <w:t>P=&lt;.0001</w:t>
            </w:r>
          </w:p>
        </w:tc>
      </w:tr>
      <w:tr w:rsidR="00AB01EA" w:rsidRPr="00480790" w14:paraId="1D37E977" w14:textId="77777777" w:rsidTr="00751EBB">
        <w:trPr>
          <w:cantSplit/>
        </w:trPr>
        <w:tc>
          <w:tcPr>
            <w:tcW w:w="1000" w:type="pct"/>
            <w:vAlign w:val="center"/>
          </w:tcPr>
          <w:p w14:paraId="19ECE420" w14:textId="77777777" w:rsidR="001C256F" w:rsidRPr="00480790" w:rsidRDefault="001C256F" w:rsidP="00751EBB">
            <w:pPr>
              <w:pStyle w:val="TableText0"/>
            </w:pPr>
            <w:r w:rsidRPr="00480790">
              <w:t>% not progressed at 48 months (95% CI)</w:t>
            </w:r>
          </w:p>
        </w:tc>
        <w:tc>
          <w:tcPr>
            <w:tcW w:w="1005" w:type="pct"/>
          </w:tcPr>
          <w:p w14:paraId="2FF85234" w14:textId="77777777" w:rsidR="001C256F" w:rsidRPr="00480790" w:rsidRDefault="001C256F" w:rsidP="00751EBB">
            <w:pPr>
              <w:pStyle w:val="TableText0"/>
              <w:jc w:val="center"/>
              <w:rPr>
                <w:szCs w:val="20"/>
              </w:rPr>
            </w:pPr>
            <w:r w:rsidRPr="00480790">
              <w:rPr>
                <w:szCs w:val="20"/>
              </w:rPr>
              <w:t>75.3</w:t>
            </w:r>
          </w:p>
          <w:p w14:paraId="64765FAB" w14:textId="77777777" w:rsidR="001C256F" w:rsidRPr="00480790" w:rsidRDefault="001C256F" w:rsidP="00751EBB">
            <w:pPr>
              <w:pStyle w:val="TableText0"/>
              <w:jc w:val="center"/>
            </w:pPr>
            <w:r w:rsidRPr="00480790">
              <w:rPr>
                <w:szCs w:val="20"/>
              </w:rPr>
              <w:t>(61.6, 89.1)</w:t>
            </w:r>
          </w:p>
        </w:tc>
        <w:tc>
          <w:tcPr>
            <w:tcW w:w="1009" w:type="pct"/>
          </w:tcPr>
          <w:p w14:paraId="2C41079A" w14:textId="77777777" w:rsidR="001C256F" w:rsidRPr="00480790" w:rsidRDefault="001C256F" w:rsidP="00751EBB">
            <w:pPr>
              <w:pStyle w:val="TableText0"/>
              <w:jc w:val="center"/>
              <w:rPr>
                <w:szCs w:val="20"/>
              </w:rPr>
            </w:pPr>
            <w:r w:rsidRPr="00480790">
              <w:rPr>
                <w:szCs w:val="20"/>
              </w:rPr>
              <w:t>51.4</w:t>
            </w:r>
          </w:p>
          <w:p w14:paraId="55CD68AC" w14:textId="77777777" w:rsidR="001C256F" w:rsidRPr="00480790" w:rsidRDefault="001C256F" w:rsidP="00751EBB">
            <w:pPr>
              <w:pStyle w:val="TableText0"/>
              <w:jc w:val="center"/>
            </w:pPr>
            <w:r w:rsidRPr="00480790">
              <w:rPr>
                <w:szCs w:val="20"/>
              </w:rPr>
              <w:t>(37.6, 65.2)</w:t>
            </w:r>
          </w:p>
        </w:tc>
        <w:tc>
          <w:tcPr>
            <w:tcW w:w="1006" w:type="pct"/>
          </w:tcPr>
          <w:p w14:paraId="4435847F" w14:textId="77777777" w:rsidR="001C256F" w:rsidRPr="00480790" w:rsidRDefault="001C256F" w:rsidP="00751EBB">
            <w:pPr>
              <w:pStyle w:val="TableText0"/>
              <w:jc w:val="center"/>
              <w:rPr>
                <w:szCs w:val="20"/>
              </w:rPr>
            </w:pPr>
            <w:r w:rsidRPr="00480790">
              <w:rPr>
                <w:szCs w:val="20"/>
              </w:rPr>
              <w:t>23.9</w:t>
            </w:r>
          </w:p>
          <w:p w14:paraId="5428D932" w14:textId="77777777" w:rsidR="001C256F" w:rsidRPr="00480790" w:rsidRDefault="001C256F" w:rsidP="00751EBB">
            <w:pPr>
              <w:pStyle w:val="TableText0"/>
              <w:jc w:val="center"/>
            </w:pPr>
            <w:r w:rsidRPr="00480790">
              <w:rPr>
                <w:szCs w:val="20"/>
              </w:rPr>
              <w:t>(4.4, 43.5)</w:t>
            </w:r>
          </w:p>
        </w:tc>
        <w:tc>
          <w:tcPr>
            <w:tcW w:w="980" w:type="pct"/>
          </w:tcPr>
          <w:p w14:paraId="3E2143EE" w14:textId="77777777" w:rsidR="001C256F" w:rsidRPr="00480790" w:rsidRDefault="001C256F" w:rsidP="00751EBB">
            <w:pPr>
              <w:pStyle w:val="TableText0"/>
              <w:jc w:val="center"/>
              <w:rPr>
                <w:b/>
                <w:bCs w:val="0"/>
              </w:rPr>
            </w:pPr>
            <w:r w:rsidRPr="00480790">
              <w:rPr>
                <w:b/>
                <w:bCs w:val="0"/>
              </w:rPr>
              <w:t>P=0.0161</w:t>
            </w:r>
          </w:p>
        </w:tc>
      </w:tr>
      <w:tr w:rsidR="00AB01EA" w:rsidRPr="00480790" w14:paraId="0D06C2AB" w14:textId="77777777" w:rsidTr="00751EBB">
        <w:trPr>
          <w:cantSplit/>
        </w:trPr>
        <w:tc>
          <w:tcPr>
            <w:tcW w:w="5000" w:type="pct"/>
            <w:gridSpan w:val="5"/>
            <w:vAlign w:val="center"/>
          </w:tcPr>
          <w:p w14:paraId="05043235" w14:textId="77777777" w:rsidR="001C256F" w:rsidRPr="00480790" w:rsidRDefault="001C256F" w:rsidP="00751EBB">
            <w:pPr>
              <w:pStyle w:val="In-tableHeading"/>
              <w:rPr>
                <w:lang w:val="en-AU"/>
              </w:rPr>
            </w:pPr>
            <w:r w:rsidRPr="00480790">
              <w:rPr>
                <w:lang w:val="en-AU"/>
              </w:rPr>
              <w:t>Overall survival</w:t>
            </w:r>
          </w:p>
        </w:tc>
      </w:tr>
      <w:tr w:rsidR="00AB01EA" w:rsidRPr="00480790" w14:paraId="7C950F61" w14:textId="77777777" w:rsidTr="00751EBB">
        <w:trPr>
          <w:cantSplit/>
        </w:trPr>
        <w:tc>
          <w:tcPr>
            <w:tcW w:w="1000" w:type="pct"/>
            <w:vAlign w:val="center"/>
          </w:tcPr>
          <w:p w14:paraId="5766E26D" w14:textId="77777777" w:rsidR="001C256F" w:rsidRPr="00480790" w:rsidRDefault="001C256F" w:rsidP="00751EBB">
            <w:pPr>
              <w:pStyle w:val="TableText0"/>
            </w:pPr>
            <w:r w:rsidRPr="00480790">
              <w:t>Deaths, n/N (%)</w:t>
            </w:r>
          </w:p>
        </w:tc>
        <w:tc>
          <w:tcPr>
            <w:tcW w:w="1005" w:type="pct"/>
            <w:vAlign w:val="center"/>
          </w:tcPr>
          <w:p w14:paraId="2109544E" w14:textId="77777777" w:rsidR="001C256F" w:rsidRPr="00480790" w:rsidRDefault="001C256F" w:rsidP="00751EBB">
            <w:pPr>
              <w:pStyle w:val="TableText0"/>
              <w:jc w:val="center"/>
            </w:pPr>
            <w:r w:rsidRPr="00480790">
              <w:t xml:space="preserve">2/130 (1.5) </w:t>
            </w:r>
          </w:p>
        </w:tc>
        <w:tc>
          <w:tcPr>
            <w:tcW w:w="1009" w:type="pct"/>
            <w:vAlign w:val="center"/>
          </w:tcPr>
          <w:p w14:paraId="7DF3EC9B" w14:textId="77777777" w:rsidR="001C256F" w:rsidRPr="00480790" w:rsidRDefault="001C256F" w:rsidP="00751EBB">
            <w:pPr>
              <w:pStyle w:val="TableText0"/>
              <w:jc w:val="center"/>
            </w:pPr>
            <w:r w:rsidRPr="00480790">
              <w:t xml:space="preserve">4/127 (3.1) </w:t>
            </w:r>
          </w:p>
        </w:tc>
        <w:tc>
          <w:tcPr>
            <w:tcW w:w="1006" w:type="pct"/>
            <w:vAlign w:val="center"/>
          </w:tcPr>
          <w:p w14:paraId="11C8DFF6" w14:textId="77777777" w:rsidR="001C256F" w:rsidRPr="00480790" w:rsidRDefault="001C256F" w:rsidP="00751EBB">
            <w:pPr>
              <w:pStyle w:val="TableText0"/>
              <w:jc w:val="center"/>
              <w:rPr>
                <w:i/>
                <w:iCs/>
              </w:rPr>
            </w:pPr>
            <w:r w:rsidRPr="00480790">
              <w:rPr>
                <w:i/>
                <w:iCs/>
              </w:rPr>
              <w:t>1.6%</w:t>
            </w:r>
          </w:p>
        </w:tc>
        <w:tc>
          <w:tcPr>
            <w:tcW w:w="980" w:type="pct"/>
            <w:vAlign w:val="center"/>
          </w:tcPr>
          <w:p w14:paraId="62449856" w14:textId="77777777" w:rsidR="001C256F" w:rsidRPr="00480790" w:rsidRDefault="001C256F" w:rsidP="00751EBB">
            <w:pPr>
              <w:pStyle w:val="TableText0"/>
              <w:jc w:val="center"/>
            </w:pPr>
            <w:r w:rsidRPr="00480790">
              <w:t>-</w:t>
            </w:r>
          </w:p>
        </w:tc>
      </w:tr>
      <w:tr w:rsidR="00AB01EA" w:rsidRPr="00480790" w14:paraId="2AD1D549" w14:textId="77777777" w:rsidTr="00751EBB">
        <w:trPr>
          <w:cantSplit/>
        </w:trPr>
        <w:tc>
          <w:tcPr>
            <w:tcW w:w="1000" w:type="pct"/>
            <w:vAlign w:val="center"/>
          </w:tcPr>
          <w:p w14:paraId="7D7BEAE7" w14:textId="77777777" w:rsidR="001C256F" w:rsidRPr="00480790" w:rsidRDefault="001C256F" w:rsidP="00751EBB">
            <w:pPr>
              <w:pStyle w:val="TableText0"/>
            </w:pPr>
            <w:r w:rsidRPr="00480790">
              <w:t>Median months OS (95% CI)</w:t>
            </w:r>
          </w:p>
        </w:tc>
        <w:tc>
          <w:tcPr>
            <w:tcW w:w="1005" w:type="pct"/>
            <w:vAlign w:val="center"/>
          </w:tcPr>
          <w:p w14:paraId="15EFAB10" w14:textId="77777777" w:rsidR="001C256F" w:rsidRPr="00480790" w:rsidRDefault="001C256F" w:rsidP="00751EBB">
            <w:pPr>
              <w:pStyle w:val="TableText0"/>
              <w:jc w:val="center"/>
            </w:pPr>
            <w:r w:rsidRPr="00480790">
              <w:t xml:space="preserve">NE (NE) </w:t>
            </w:r>
          </w:p>
        </w:tc>
        <w:tc>
          <w:tcPr>
            <w:tcW w:w="1009" w:type="pct"/>
            <w:vAlign w:val="center"/>
          </w:tcPr>
          <w:p w14:paraId="26824421" w14:textId="77777777" w:rsidR="001C256F" w:rsidRPr="00480790" w:rsidRDefault="001C256F" w:rsidP="00751EBB">
            <w:pPr>
              <w:pStyle w:val="TableText0"/>
              <w:jc w:val="center"/>
            </w:pPr>
            <w:r w:rsidRPr="00480790">
              <w:t xml:space="preserve">NE (NE) </w:t>
            </w:r>
          </w:p>
        </w:tc>
        <w:tc>
          <w:tcPr>
            <w:tcW w:w="1006" w:type="pct"/>
            <w:vAlign w:val="center"/>
          </w:tcPr>
          <w:p w14:paraId="6E7C6C1E" w14:textId="77777777" w:rsidR="001C256F" w:rsidRPr="00480790" w:rsidRDefault="001C256F" w:rsidP="00751EBB">
            <w:pPr>
              <w:pStyle w:val="TableText0"/>
              <w:jc w:val="center"/>
              <w:rPr>
                <w:i/>
                <w:iCs/>
              </w:rPr>
            </w:pPr>
            <w:r w:rsidRPr="00480790">
              <w:rPr>
                <w:i/>
                <w:iCs/>
              </w:rPr>
              <w:t xml:space="preserve">NE </w:t>
            </w:r>
          </w:p>
        </w:tc>
        <w:tc>
          <w:tcPr>
            <w:tcW w:w="980" w:type="pct"/>
            <w:vAlign w:val="center"/>
          </w:tcPr>
          <w:p w14:paraId="364CBBB3" w14:textId="77777777" w:rsidR="001C256F" w:rsidRPr="00480790" w:rsidRDefault="001C256F" w:rsidP="00751EBB">
            <w:pPr>
              <w:pStyle w:val="TableText0"/>
              <w:jc w:val="center"/>
            </w:pPr>
            <w:r w:rsidRPr="00480790">
              <w:t>0.46 (0.08, 2.52)</w:t>
            </w:r>
          </w:p>
          <w:p w14:paraId="38C9A529" w14:textId="77777777" w:rsidR="001C256F" w:rsidRPr="00480790" w:rsidRDefault="001C256F" w:rsidP="00751EBB">
            <w:pPr>
              <w:pStyle w:val="TableText0"/>
              <w:jc w:val="center"/>
            </w:pPr>
            <w:r w:rsidRPr="00480790">
              <w:t>P=0.3603</w:t>
            </w:r>
            <w:r w:rsidRPr="00480790">
              <w:rPr>
                <w:vertAlign w:val="superscript"/>
              </w:rPr>
              <w:t>c</w:t>
            </w:r>
          </w:p>
        </w:tc>
      </w:tr>
    </w:tbl>
    <w:p w14:paraId="4EF01E9F" w14:textId="77777777" w:rsidR="001C256F" w:rsidRPr="00480790" w:rsidRDefault="001C256F" w:rsidP="00751EBB">
      <w:pPr>
        <w:pStyle w:val="TableFigureFooter"/>
        <w:keepNext/>
        <w:rPr>
          <w:rFonts w:eastAsia="Calibri"/>
        </w:rPr>
      </w:pPr>
      <w:r w:rsidRPr="00480790">
        <w:rPr>
          <w:rFonts w:eastAsia="Calibri"/>
        </w:rPr>
        <w:t xml:space="preserve">Source: Table 2.14, p39; Table 2.15, p40 of the submission </w:t>
      </w:r>
      <w:bookmarkStart w:id="38" w:name="_Hlk190690408"/>
      <w:r w:rsidRPr="00480790">
        <w:rPr>
          <w:rFonts w:eastAsia="Calibri"/>
        </w:rPr>
        <w:t xml:space="preserve">and Appendix 2, pp10-11 </w:t>
      </w:r>
      <w:r w:rsidRPr="00480790">
        <w:t xml:space="preserve">of </w:t>
      </w:r>
      <w:r w:rsidRPr="00480790">
        <w:rPr>
          <w:rFonts w:eastAsia="Calibri"/>
        </w:rPr>
        <w:t>Study BO40336 (ALINA) Retrospective Blinded Independent Central Review of Disease-Free Survival Data November 2023.</w:t>
      </w:r>
      <w:bookmarkEnd w:id="38"/>
    </w:p>
    <w:p w14:paraId="6CD39014" w14:textId="77777777" w:rsidR="001C256F" w:rsidRPr="00480790" w:rsidRDefault="001C256F" w:rsidP="00751EBB">
      <w:pPr>
        <w:pStyle w:val="TableFigureFooter"/>
        <w:keepNext/>
        <w:rPr>
          <w:rFonts w:eastAsia="Calibri"/>
        </w:rPr>
      </w:pPr>
      <w:bookmarkStart w:id="39" w:name="_Hlk190690431"/>
      <w:r w:rsidRPr="00480790">
        <w:rPr>
          <w:rFonts w:eastAsia="Calibri"/>
        </w:rPr>
        <w:t xml:space="preserve">BICR= Blinded independent central review; </w:t>
      </w:r>
      <w:bookmarkEnd w:id="39"/>
      <w:r w:rsidRPr="00480790">
        <w:rPr>
          <w:rFonts w:eastAsia="Calibri"/>
        </w:rPr>
        <w:t>CCOD=Clinical cut-off date; CI=confidence interval; INV-DFS=</w:t>
      </w:r>
      <w:r w:rsidRPr="00480790">
        <w:t>I</w:t>
      </w:r>
      <w:r w:rsidRPr="00480790">
        <w:rPr>
          <w:rFonts w:eastAsia="Calibri"/>
        </w:rPr>
        <w:t xml:space="preserve">nvestigator </w:t>
      </w:r>
      <w:r w:rsidRPr="00480790">
        <w:t>assessed</w:t>
      </w:r>
      <w:r w:rsidRPr="00480790">
        <w:rPr>
          <w:rFonts w:eastAsia="Calibri"/>
        </w:rPr>
        <w:t xml:space="preserve"> disease-free survival; HR=hazard ratio; ITT=Intent-to-treat; K-M=Kaplan-Meier; N=number randomised; NE=not estimable; OS=</w:t>
      </w:r>
      <w:r w:rsidRPr="00480790">
        <w:t>Overall survival.</w:t>
      </w:r>
    </w:p>
    <w:p w14:paraId="0B4B32B3" w14:textId="77777777" w:rsidR="001C256F" w:rsidRPr="00480790" w:rsidRDefault="001C256F" w:rsidP="00751EBB">
      <w:pPr>
        <w:pStyle w:val="TableFigureFooter"/>
        <w:keepNext/>
        <w:rPr>
          <w:rFonts w:eastAsia="Calibri"/>
        </w:rPr>
      </w:pPr>
      <w:r w:rsidRPr="00480790">
        <w:rPr>
          <w:rFonts w:eastAsia="Calibri"/>
        </w:rPr>
        <w:t>a Snapshot Date: 03AUG2023, Clinical Data Cut-off Date: 26JUN2023.</w:t>
      </w:r>
    </w:p>
    <w:p w14:paraId="5EE4B200" w14:textId="77777777" w:rsidR="001C256F" w:rsidRPr="00480790" w:rsidRDefault="001C256F" w:rsidP="00751EBB">
      <w:pPr>
        <w:pStyle w:val="TableFigureFooter"/>
        <w:keepNext/>
      </w:pPr>
      <w:r w:rsidRPr="00480790">
        <w:t>b The relative risk reduction was 76%</w:t>
      </w:r>
    </w:p>
    <w:p w14:paraId="068D93F4" w14:textId="77777777" w:rsidR="001C256F" w:rsidRPr="00480790" w:rsidRDefault="001C256F" w:rsidP="00751EBB">
      <w:pPr>
        <w:pStyle w:val="TableFigureFooter"/>
        <w:keepNext/>
        <w:rPr>
          <w:rFonts w:eastAsia="Calibri"/>
        </w:rPr>
      </w:pPr>
      <w:r w:rsidRPr="00480790">
        <w:t>c Overall survival was not formally tested.</w:t>
      </w:r>
    </w:p>
    <w:p w14:paraId="0071A4FA" w14:textId="77777777" w:rsidR="001C256F" w:rsidRPr="00480790" w:rsidRDefault="001C256F" w:rsidP="00751EBB">
      <w:pPr>
        <w:pStyle w:val="TableFigureFooter"/>
        <w:keepNext/>
        <w:rPr>
          <w:rFonts w:eastAsia="Calibri"/>
        </w:rPr>
      </w:pPr>
      <w:r w:rsidRPr="00480790">
        <w:rPr>
          <w:rFonts w:eastAsia="Calibri"/>
        </w:rPr>
        <w:t>Summaries of DFS (median, percentiles) were Kaplan-Meier estimates. 95% CI for median was computed using the method of Brookmeyer and Crowley. Strata are: race from IxRS (Asian vs. non-Asian) and stage from IxRS (IB vs. II vs. IIIA). Hazard ratios were estimated by Cox regression.</w:t>
      </w:r>
    </w:p>
    <w:p w14:paraId="22D2BA2D" w14:textId="77777777" w:rsidR="001C256F" w:rsidRPr="00480790" w:rsidRDefault="001C256F" w:rsidP="00751EBB">
      <w:pPr>
        <w:pStyle w:val="TableFigureFooter"/>
        <w:keepNext/>
        <w:rPr>
          <w:rFonts w:eastAsia="Calibri"/>
          <w:i/>
          <w:iCs/>
        </w:rPr>
      </w:pPr>
      <w:r w:rsidRPr="00480790">
        <w:rPr>
          <w:rFonts w:eastAsia="Calibri"/>
          <w:i/>
        </w:rPr>
        <w:t>Absolute difference calculated post hoc during the evaluation.</w:t>
      </w:r>
    </w:p>
    <w:p w14:paraId="095D5E10" w14:textId="3DBE12EB" w:rsidR="001C256F" w:rsidRPr="00480790" w:rsidRDefault="001C256F" w:rsidP="008D1940">
      <w:pPr>
        <w:pStyle w:val="TableFigureFooter"/>
      </w:pPr>
      <w:r w:rsidRPr="00480790">
        <w:rPr>
          <w:rFonts w:eastAsia="Calibri"/>
          <w:b/>
          <w:bCs/>
        </w:rPr>
        <w:t>Bold</w:t>
      </w:r>
      <w:r w:rsidRPr="00480790">
        <w:rPr>
          <w:rFonts w:eastAsia="Calibri"/>
        </w:rPr>
        <w:t xml:space="preserve"> indicates statistically significant results.</w:t>
      </w:r>
    </w:p>
    <w:p w14:paraId="5DEE5414" w14:textId="0B52B9DC" w:rsidR="001C256F" w:rsidRPr="00480790" w:rsidRDefault="001C256F" w:rsidP="00751EBB">
      <w:pPr>
        <w:pStyle w:val="Caption"/>
      </w:pPr>
      <w:bookmarkStart w:id="40" w:name="_Ref190190755"/>
      <w:r w:rsidRPr="00480790">
        <w:lastRenderedPageBreak/>
        <w:t xml:space="preserve">Figure </w:t>
      </w:r>
      <w:r w:rsidRPr="00480790">
        <w:fldChar w:fldCharType="begin"/>
      </w:r>
      <w:r w:rsidRPr="00480790">
        <w:instrText xml:space="preserve"> SEQ Figure \* ARABIC </w:instrText>
      </w:r>
      <w:r w:rsidRPr="00480790">
        <w:fldChar w:fldCharType="separate"/>
      </w:r>
      <w:r w:rsidR="002565BE">
        <w:rPr>
          <w:noProof/>
        </w:rPr>
        <w:t>1</w:t>
      </w:r>
      <w:r w:rsidRPr="00480790">
        <w:fldChar w:fldCharType="end"/>
      </w:r>
      <w:bookmarkEnd w:id="40"/>
      <w:r w:rsidRPr="00480790">
        <w:t>: Kaplan-Meier plot of investigator led disease-free survival (INV-DFS)</w:t>
      </w:r>
    </w:p>
    <w:p w14:paraId="1B1C77AB" w14:textId="77777777" w:rsidR="001C256F" w:rsidRPr="00480790" w:rsidRDefault="001C256F" w:rsidP="00751EBB">
      <w:pPr>
        <w:keepNext/>
      </w:pPr>
      <w:r w:rsidRPr="00480790">
        <w:rPr>
          <w:noProof/>
        </w:rPr>
        <w:drawing>
          <wp:inline distT="0" distB="0" distL="0" distR="0" wp14:anchorId="407F80D8" wp14:editId="02EE703B">
            <wp:extent cx="5705475" cy="3145790"/>
            <wp:effectExtent l="0" t="0" r="9525" b="0"/>
            <wp:docPr id="2109680835" name="Picture 1" descr="A graph of a number of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80835" name="Picture 1" descr="A graph of a number of pati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3145790"/>
                    </a:xfrm>
                    <a:prstGeom prst="rect">
                      <a:avLst/>
                    </a:prstGeom>
                    <a:noFill/>
                  </pic:spPr>
                </pic:pic>
              </a:graphicData>
            </a:graphic>
          </wp:inline>
        </w:drawing>
      </w:r>
    </w:p>
    <w:p w14:paraId="2E27A899" w14:textId="77777777" w:rsidR="001C256F" w:rsidRPr="00480790" w:rsidRDefault="001C256F" w:rsidP="008D1940">
      <w:pPr>
        <w:pStyle w:val="TableFigureFooter"/>
      </w:pPr>
      <w:r w:rsidRPr="00480790">
        <w:t>Source: Figure 2.4, p40 of the submission.</w:t>
      </w:r>
    </w:p>
    <w:p w14:paraId="21C30011" w14:textId="3FE8A015" w:rsidR="001C256F" w:rsidRPr="00480790" w:rsidRDefault="001C256F" w:rsidP="002843F8">
      <w:pPr>
        <w:pStyle w:val="3-BodyText"/>
        <w:rPr>
          <w:lang w:val="en-AU"/>
        </w:rPr>
      </w:pPr>
      <w:r w:rsidRPr="00480790">
        <w:rPr>
          <w:lang w:val="en-AU"/>
        </w:rPr>
        <w:t>In the ALINA trial, at the prespecified interim analysis (clinical cut-off date (CCOD): 26</w:t>
      </w:r>
      <w:r w:rsidR="008D1940">
        <w:rPr>
          <w:lang w:val="en-AU"/>
        </w:rPr>
        <w:t> </w:t>
      </w:r>
      <w:r w:rsidRPr="00480790">
        <w:rPr>
          <w:lang w:val="en-AU"/>
        </w:rPr>
        <w:t>June 2023), the stratified hazard ratio for INV-DFS was 0.24 (95% CI: 0.13-0.43, p&lt;0.001) for alectinib compared with chemotherapy. The reduction in risk of disease recurrence or death was statistically significant. The hazard ratio of 0.24 was less than the proposed MCID of 0.60 representing substantial improvement.</w:t>
      </w:r>
      <w:r w:rsidRPr="00480790">
        <w:rPr>
          <w:rStyle w:val="FootnoteReference"/>
          <w:lang w:val="en-AU"/>
        </w:rPr>
        <w:footnoteReference w:id="24"/>
      </w:r>
    </w:p>
    <w:p w14:paraId="50E642F3" w14:textId="5EC61142" w:rsidR="001C256F" w:rsidRPr="00480790" w:rsidRDefault="001C256F" w:rsidP="002843F8">
      <w:pPr>
        <w:pStyle w:val="3-BodyText"/>
        <w:rPr>
          <w:lang w:val="en-AU"/>
        </w:rPr>
      </w:pPr>
      <w:bookmarkStart w:id="41" w:name="_Hlk190688931"/>
      <w:r w:rsidRPr="00480790">
        <w:rPr>
          <w:lang w:val="en-AU"/>
        </w:rPr>
        <w:t>Investigator assessed and blinded independent central review DFS analysis</w:t>
      </w:r>
      <w:r w:rsidRPr="00480790">
        <w:rPr>
          <w:rStyle w:val="FootnoteReference"/>
          <w:lang w:val="en-AU"/>
        </w:rPr>
        <w:footnoteReference w:id="25"/>
      </w:r>
      <w:r w:rsidRPr="00480790">
        <w:rPr>
          <w:lang w:val="en-AU"/>
        </w:rPr>
        <w:t xml:space="preserve"> showed comparable concordance with minimal difference between them, slightly favouring chemotherapy (see paragraph 6.4).</w:t>
      </w:r>
    </w:p>
    <w:bookmarkEnd w:id="41"/>
    <w:p w14:paraId="2CA335A7" w14:textId="350C523A" w:rsidR="001C256F" w:rsidRPr="00480790" w:rsidRDefault="001C256F" w:rsidP="002843F8">
      <w:pPr>
        <w:pStyle w:val="3-BodyText"/>
        <w:rPr>
          <w:lang w:val="en-AU"/>
        </w:rPr>
      </w:pPr>
      <w:r w:rsidRPr="00480790">
        <w:rPr>
          <w:lang w:val="en-AU"/>
        </w:rPr>
        <w:t>The median INV-DFS was not reached for alectinib compared with 41.3 months (95% CI: 28.5, NE) for chemotherapy. The Kaplan-Meier curves for INV-DFS began to separate at approximately 3 months after randomisation in favour of the alectinib arm and maintained thereafter (</w:t>
      </w:r>
      <w:r w:rsidRPr="00480790">
        <w:rPr>
          <w:lang w:val="en-AU"/>
        </w:rPr>
        <w:fldChar w:fldCharType="begin"/>
      </w:r>
      <w:r w:rsidRPr="00480790">
        <w:rPr>
          <w:lang w:val="en-AU"/>
        </w:rPr>
        <w:instrText xml:space="preserve"> REF _Ref190190755 \h  \* MERGEFORMAT </w:instrText>
      </w:r>
      <w:r w:rsidRPr="00480790">
        <w:rPr>
          <w:lang w:val="en-AU"/>
        </w:rPr>
      </w:r>
      <w:r w:rsidRPr="00480790">
        <w:rPr>
          <w:lang w:val="en-AU"/>
        </w:rPr>
        <w:fldChar w:fldCharType="separate"/>
      </w:r>
      <w:r w:rsidR="002565BE" w:rsidRPr="002565BE">
        <w:rPr>
          <w:lang w:val="en-AU"/>
        </w:rPr>
        <w:t>Figure 1</w:t>
      </w:r>
      <w:r w:rsidRPr="00480790">
        <w:rPr>
          <w:lang w:val="en-AU"/>
        </w:rPr>
        <w:fldChar w:fldCharType="end"/>
      </w:r>
      <w:r w:rsidRPr="00480790">
        <w:rPr>
          <w:lang w:val="en-AU"/>
        </w:rPr>
        <w:t>).</w:t>
      </w:r>
    </w:p>
    <w:p w14:paraId="0C4E0530" w14:textId="77777777" w:rsidR="001C256F" w:rsidRPr="00480790" w:rsidRDefault="001C256F" w:rsidP="002843F8">
      <w:pPr>
        <w:pStyle w:val="3-BodyText"/>
        <w:rPr>
          <w:lang w:val="en-AU"/>
        </w:rPr>
      </w:pPr>
      <w:r w:rsidRPr="00480790">
        <w:rPr>
          <w:lang w:val="en-AU"/>
        </w:rPr>
        <w:t>There was a significantly higher proportion of participants alive and disease-free in the alectinib arm when compared to the chemotherapy arm at 24 months (93.6% vs. 63.7%, p=0.0001 respectively), 36 months (88.7% vs. 54.0%, p=0.0001 respectively) and 48 months (77.35% vs. 46.2%, p=0.0004 respectively).</w:t>
      </w:r>
    </w:p>
    <w:p w14:paraId="2829BAC9" w14:textId="77777777" w:rsidR="001C256F" w:rsidRPr="00480790" w:rsidRDefault="001C256F" w:rsidP="002843F8">
      <w:pPr>
        <w:pStyle w:val="3-BodyText"/>
        <w:rPr>
          <w:lang w:val="en-AU"/>
        </w:rPr>
      </w:pPr>
      <w:r w:rsidRPr="00480790">
        <w:rPr>
          <w:lang w:val="en-AU"/>
        </w:rPr>
        <w:lastRenderedPageBreak/>
        <w:t>In the ALINA trial, at the prespecified interim analysis (CCOD: 26 June 2023), the overall survival data were immature, with 98.5% vs. 96.9% alive in the alectinib and chemotherapy arms, respectively. The stratified hazard ratio for overall survival was 0.46 (95% CI: 0.08-2.52, p=0.3603). There was an additional death in the chemotherapy arm where only the year was reported for the date of death. This event was censored at the last date the participant was known to be alive. The median overall survival was not estimable. Further follow-up of overall survival was likely to be biased towards the null due to cross-over across the treatment arms.</w:t>
      </w:r>
    </w:p>
    <w:p w14:paraId="63EF7B46" w14:textId="77777777" w:rsidR="001C256F" w:rsidRPr="00480790" w:rsidRDefault="001C256F" w:rsidP="002843F8">
      <w:pPr>
        <w:pStyle w:val="3-BodyText"/>
        <w:rPr>
          <w:lang w:val="en-AU"/>
        </w:rPr>
      </w:pPr>
      <w:r w:rsidRPr="00480790">
        <w:rPr>
          <w:lang w:val="en-AU"/>
        </w:rPr>
        <w:t>Health-related quality of life (QoL) was assessed using the SF-36v2. Participants randomised to the chemotherapy arm could receive 4 (21-day) cycles of treatment whereas participants randomised to the alectinib arm could continue to receive treatment up to week 104. Due to this difference in the treatment schedules, patient reported outcome comparisons between arms were only made up to and including week 12.</w:t>
      </w:r>
    </w:p>
    <w:p w14:paraId="7559067E" w14:textId="27908E3E" w:rsidR="001C256F" w:rsidRPr="00480790" w:rsidRDefault="001C256F" w:rsidP="002843F8">
      <w:pPr>
        <w:pStyle w:val="3-BodyText"/>
        <w:rPr>
          <w:lang w:val="en-AU"/>
        </w:rPr>
      </w:pPr>
      <w:r w:rsidRPr="00480790">
        <w:rPr>
          <w:lang w:val="en-AU"/>
        </w:rPr>
        <w:t>In the ALINA trial, the mean change from baseline in the SF-36v2 Mental Component Summary score (MCS) at week 12 was 3.45 for alectinib versus -2.40 for chemotherapy (difference = 5.85). Similarly, the mean change in the SF36v2 Physical Component Summary score (PCS) at the same time point was 1.02 vs. -0.49 for alectinib and chemotherapy, respectively (difference = 1.52). Overall, the mean difference (MD) calculated post hoc during the evaluation, demonstrated that all domains exceeded the MID except for physical functioning (MD=-0.2) and PCS (MD=1.5).</w:t>
      </w:r>
    </w:p>
    <w:p w14:paraId="735AF659" w14:textId="77777777" w:rsidR="001C256F" w:rsidRPr="00480790" w:rsidRDefault="001C256F" w:rsidP="00751EBB">
      <w:pPr>
        <w:pStyle w:val="4-SubsectionHeading"/>
      </w:pPr>
      <w:bookmarkStart w:id="43" w:name="_Toc22897642"/>
      <w:bookmarkStart w:id="44" w:name="_Toc190264957"/>
      <w:bookmarkStart w:id="45" w:name="_Toc193106307"/>
      <w:r w:rsidRPr="00480790">
        <w:t>Comparative harms</w:t>
      </w:r>
      <w:bookmarkEnd w:id="43"/>
      <w:bookmarkEnd w:id="44"/>
      <w:bookmarkEnd w:id="45"/>
    </w:p>
    <w:bookmarkStart w:id="46" w:name="_Hlk190164435"/>
    <w:p w14:paraId="03A9A7CD" w14:textId="18B71AD1" w:rsidR="001C256F" w:rsidRPr="00480790" w:rsidRDefault="001C256F" w:rsidP="002843F8">
      <w:pPr>
        <w:pStyle w:val="3-BodyText"/>
        <w:rPr>
          <w:lang w:val="en-AU"/>
        </w:rPr>
      </w:pPr>
      <w:r w:rsidRPr="00480790">
        <w:rPr>
          <w:lang w:val="en-AU"/>
        </w:rPr>
        <w:fldChar w:fldCharType="begin"/>
      </w:r>
      <w:r w:rsidRPr="00480790">
        <w:rPr>
          <w:lang w:val="en-AU"/>
        </w:rPr>
        <w:instrText xml:space="preserve"> REF _Ref190190795 \h </w:instrText>
      </w:r>
      <w:r w:rsidRPr="00480790">
        <w:rPr>
          <w:lang w:val="en-AU"/>
        </w:rPr>
      </w:r>
      <w:r w:rsidRPr="00480790">
        <w:rPr>
          <w:lang w:val="en-AU"/>
        </w:rPr>
        <w:fldChar w:fldCharType="separate"/>
      </w:r>
      <w:r w:rsidR="002565BE" w:rsidRPr="00480790">
        <w:t xml:space="preserve">Table </w:t>
      </w:r>
      <w:r w:rsidR="002565BE">
        <w:rPr>
          <w:noProof/>
        </w:rPr>
        <w:t>5</w:t>
      </w:r>
      <w:r w:rsidRPr="00480790">
        <w:rPr>
          <w:lang w:val="en-AU"/>
        </w:rPr>
        <w:fldChar w:fldCharType="end"/>
      </w:r>
      <w:r w:rsidRPr="00480790">
        <w:rPr>
          <w:lang w:val="en-AU"/>
        </w:rPr>
        <w:t xml:space="preserve"> summarises the overview of adverse events and deaths; and the treatment-related adverse events in the ALINA trial.</w:t>
      </w:r>
    </w:p>
    <w:p w14:paraId="1E971381" w14:textId="6644F0FA" w:rsidR="001C256F" w:rsidRPr="00480790" w:rsidRDefault="001C256F" w:rsidP="00751EBB">
      <w:pPr>
        <w:pStyle w:val="Caption"/>
        <w:rPr>
          <w:rStyle w:val="CommentReference"/>
          <w:b/>
          <w:szCs w:val="24"/>
        </w:rPr>
      </w:pPr>
      <w:bookmarkStart w:id="47" w:name="_Ref190190795"/>
      <w:bookmarkEnd w:id="46"/>
      <w:r w:rsidRPr="00480790">
        <w:lastRenderedPageBreak/>
        <w:t xml:space="preserve">Table </w:t>
      </w:r>
      <w:r w:rsidRPr="00480790">
        <w:fldChar w:fldCharType="begin"/>
      </w:r>
      <w:r w:rsidRPr="00480790">
        <w:instrText xml:space="preserve"> SEQ Table \* ARABIC </w:instrText>
      </w:r>
      <w:r w:rsidRPr="00480790">
        <w:fldChar w:fldCharType="separate"/>
      </w:r>
      <w:r w:rsidR="002565BE">
        <w:rPr>
          <w:noProof/>
        </w:rPr>
        <w:t>5</w:t>
      </w:r>
      <w:r w:rsidRPr="00480790">
        <w:fldChar w:fldCharType="end"/>
      </w:r>
      <w:bookmarkEnd w:id="47"/>
      <w:r w:rsidRPr="00480790">
        <w:t xml:space="preserve">: </w:t>
      </w:r>
      <w:r w:rsidRPr="00480790">
        <w:rPr>
          <w:rStyle w:val="CommentReference"/>
          <w:b/>
          <w:szCs w:val="24"/>
        </w:rPr>
        <w:t>Summary of key adverse events in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2330"/>
        <w:gridCol w:w="2231"/>
        <w:gridCol w:w="2234"/>
        <w:gridCol w:w="2222"/>
      </w:tblGrid>
      <w:tr w:rsidR="00AB01EA" w:rsidRPr="00480790" w14:paraId="3A7B7F28" w14:textId="77777777" w:rsidTr="00751EBB">
        <w:trPr>
          <w:cantSplit/>
          <w:tblHeader/>
        </w:trPr>
        <w:tc>
          <w:tcPr>
            <w:tcW w:w="1292" w:type="pct"/>
            <w:vAlign w:val="center"/>
          </w:tcPr>
          <w:p w14:paraId="24D3FFE6" w14:textId="77777777" w:rsidR="001C256F" w:rsidRPr="00480790" w:rsidRDefault="001C256F" w:rsidP="00751EBB">
            <w:pPr>
              <w:pStyle w:val="In-tableHeading"/>
              <w:jc w:val="center"/>
              <w:rPr>
                <w:lang w:val="en-AU"/>
              </w:rPr>
            </w:pPr>
            <w:r w:rsidRPr="00480790">
              <w:rPr>
                <w:lang w:val="en-AU"/>
              </w:rPr>
              <w:t>Trial ID</w:t>
            </w:r>
          </w:p>
        </w:tc>
        <w:tc>
          <w:tcPr>
            <w:tcW w:w="1237" w:type="pct"/>
            <w:vAlign w:val="center"/>
          </w:tcPr>
          <w:p w14:paraId="740CF1B2" w14:textId="77777777" w:rsidR="001C256F" w:rsidRPr="00480790" w:rsidRDefault="001C256F" w:rsidP="00751EBB">
            <w:pPr>
              <w:pStyle w:val="In-tableHeading"/>
              <w:jc w:val="center"/>
              <w:rPr>
                <w:lang w:val="en-AU"/>
              </w:rPr>
            </w:pPr>
            <w:r w:rsidRPr="00480790">
              <w:rPr>
                <w:lang w:val="en-AU"/>
              </w:rPr>
              <w:t>Alectinib</w:t>
            </w:r>
          </w:p>
          <w:p w14:paraId="2FA11D05" w14:textId="77777777" w:rsidR="001C256F" w:rsidRPr="00480790" w:rsidRDefault="001C256F" w:rsidP="00751EBB">
            <w:pPr>
              <w:pStyle w:val="In-tableHeading"/>
              <w:jc w:val="center"/>
              <w:rPr>
                <w:lang w:val="en-AU"/>
              </w:rPr>
            </w:pPr>
            <w:r w:rsidRPr="00480790">
              <w:rPr>
                <w:lang w:val="en-AU"/>
              </w:rPr>
              <w:t>n with event/N (%)</w:t>
            </w:r>
          </w:p>
        </w:tc>
        <w:tc>
          <w:tcPr>
            <w:tcW w:w="1239" w:type="pct"/>
            <w:vAlign w:val="center"/>
          </w:tcPr>
          <w:p w14:paraId="52E31D42" w14:textId="77777777" w:rsidR="001C256F" w:rsidRPr="00480790" w:rsidRDefault="001C256F" w:rsidP="00751EBB">
            <w:pPr>
              <w:pStyle w:val="In-tableHeading"/>
              <w:jc w:val="center"/>
              <w:rPr>
                <w:lang w:val="en-AU"/>
              </w:rPr>
            </w:pPr>
            <w:r w:rsidRPr="00480790">
              <w:rPr>
                <w:lang w:val="en-AU"/>
              </w:rPr>
              <w:t>Chemotherapy</w:t>
            </w:r>
          </w:p>
          <w:p w14:paraId="6DE66203" w14:textId="77777777" w:rsidR="001C256F" w:rsidRPr="00480790" w:rsidRDefault="001C256F" w:rsidP="00751EBB">
            <w:pPr>
              <w:pStyle w:val="In-tableHeading"/>
              <w:jc w:val="center"/>
              <w:rPr>
                <w:lang w:val="en-AU"/>
              </w:rPr>
            </w:pPr>
            <w:r w:rsidRPr="00480790">
              <w:rPr>
                <w:lang w:val="en-AU"/>
              </w:rPr>
              <w:t>n with event/N (%)</w:t>
            </w:r>
          </w:p>
        </w:tc>
        <w:tc>
          <w:tcPr>
            <w:tcW w:w="1232" w:type="pct"/>
            <w:vAlign w:val="center"/>
          </w:tcPr>
          <w:p w14:paraId="3A4B02A7" w14:textId="77777777" w:rsidR="001C256F" w:rsidRPr="00480790" w:rsidRDefault="001C256F" w:rsidP="00751EBB">
            <w:pPr>
              <w:pStyle w:val="In-tableHeading"/>
              <w:jc w:val="center"/>
              <w:rPr>
                <w:lang w:val="en-AU"/>
              </w:rPr>
            </w:pPr>
            <w:r w:rsidRPr="00480790">
              <w:rPr>
                <w:lang w:val="en-AU"/>
              </w:rPr>
              <w:t xml:space="preserve">RD </w:t>
            </w:r>
          </w:p>
          <w:p w14:paraId="6AB19A5B" w14:textId="77777777" w:rsidR="001C256F" w:rsidRPr="00480790" w:rsidRDefault="001C256F" w:rsidP="00751EBB">
            <w:pPr>
              <w:pStyle w:val="In-tableHeading"/>
              <w:jc w:val="center"/>
              <w:rPr>
                <w:lang w:val="en-AU"/>
              </w:rPr>
            </w:pPr>
            <w:r w:rsidRPr="00480790">
              <w:rPr>
                <w:lang w:val="en-AU"/>
              </w:rPr>
              <w:t>(95% CI)</w:t>
            </w:r>
          </w:p>
        </w:tc>
      </w:tr>
      <w:tr w:rsidR="00AB01EA" w:rsidRPr="00480790" w14:paraId="16E82FBD" w14:textId="77777777" w:rsidTr="00751EBB">
        <w:trPr>
          <w:cantSplit/>
        </w:trPr>
        <w:tc>
          <w:tcPr>
            <w:tcW w:w="5000" w:type="pct"/>
            <w:gridSpan w:val="4"/>
            <w:vAlign w:val="center"/>
          </w:tcPr>
          <w:p w14:paraId="2ECA032A" w14:textId="77777777" w:rsidR="001C256F" w:rsidRPr="00480790" w:rsidRDefault="001C256F" w:rsidP="00751EBB">
            <w:pPr>
              <w:pStyle w:val="TableText0"/>
              <w:rPr>
                <w:b/>
                <w:bCs w:val="0"/>
              </w:rPr>
            </w:pPr>
            <w:r w:rsidRPr="00480790">
              <w:rPr>
                <w:b/>
                <w:bCs w:val="0"/>
              </w:rPr>
              <w:t xml:space="preserve">ALINA </w:t>
            </w:r>
          </w:p>
        </w:tc>
      </w:tr>
      <w:tr w:rsidR="00AB01EA" w:rsidRPr="00480790" w14:paraId="06CEF18C" w14:textId="77777777" w:rsidTr="00751EBB">
        <w:trPr>
          <w:cantSplit/>
        </w:trPr>
        <w:tc>
          <w:tcPr>
            <w:tcW w:w="5000" w:type="pct"/>
            <w:gridSpan w:val="4"/>
            <w:vAlign w:val="center"/>
          </w:tcPr>
          <w:p w14:paraId="647C1217" w14:textId="77777777" w:rsidR="001C256F" w:rsidRPr="00480790" w:rsidRDefault="001C256F" w:rsidP="00751EBB">
            <w:pPr>
              <w:pStyle w:val="TableText0"/>
              <w:rPr>
                <w:b/>
                <w:bCs w:val="0"/>
              </w:rPr>
            </w:pPr>
            <w:r w:rsidRPr="00480790">
              <w:rPr>
                <w:b/>
                <w:bCs w:val="0"/>
              </w:rPr>
              <w:t>Type of adverse event, n (%)</w:t>
            </w:r>
          </w:p>
        </w:tc>
      </w:tr>
      <w:tr w:rsidR="00AB01EA" w:rsidRPr="00480790" w14:paraId="11EE5E26"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vAlign w:val="center"/>
          </w:tcPr>
          <w:p w14:paraId="4C153EA2" w14:textId="77777777" w:rsidR="001C256F" w:rsidRPr="00480790" w:rsidRDefault="001C256F" w:rsidP="00751EBB">
            <w:pPr>
              <w:pStyle w:val="TableText0"/>
            </w:pPr>
            <w:r w:rsidRPr="00480790">
              <w:rPr>
                <w:szCs w:val="20"/>
              </w:rPr>
              <w:t>Any AE</w:t>
            </w:r>
          </w:p>
        </w:tc>
        <w:tc>
          <w:tcPr>
            <w:tcW w:w="1237" w:type="pct"/>
          </w:tcPr>
          <w:p w14:paraId="66109E39" w14:textId="77777777" w:rsidR="001C256F" w:rsidRPr="00480790" w:rsidRDefault="001C256F" w:rsidP="00751EBB">
            <w:pPr>
              <w:pStyle w:val="TableText0"/>
              <w:jc w:val="center"/>
            </w:pPr>
            <w:r w:rsidRPr="00480790">
              <w:t>126 (98.4)</w:t>
            </w:r>
          </w:p>
        </w:tc>
        <w:tc>
          <w:tcPr>
            <w:tcW w:w="1239" w:type="pct"/>
          </w:tcPr>
          <w:p w14:paraId="2692D497" w14:textId="77777777" w:rsidR="001C256F" w:rsidRPr="00480790" w:rsidRDefault="001C256F" w:rsidP="00751EBB">
            <w:pPr>
              <w:pStyle w:val="TableText0"/>
              <w:jc w:val="center"/>
            </w:pPr>
            <w:r w:rsidRPr="00480790">
              <w:t>112 (93.3)</w:t>
            </w:r>
          </w:p>
        </w:tc>
        <w:tc>
          <w:tcPr>
            <w:tcW w:w="1232" w:type="pct"/>
            <w:vAlign w:val="center"/>
          </w:tcPr>
          <w:p w14:paraId="69F25D33" w14:textId="77777777" w:rsidR="001C256F" w:rsidRPr="00480790" w:rsidRDefault="001C256F" w:rsidP="00751EBB">
            <w:pPr>
              <w:pStyle w:val="TableText0"/>
              <w:jc w:val="center"/>
              <w:rPr>
                <w:i/>
                <w:iCs/>
              </w:rPr>
            </w:pPr>
            <w:r w:rsidRPr="00480790">
              <w:rPr>
                <w:i/>
                <w:iCs/>
              </w:rPr>
              <w:t xml:space="preserve">0.1 (0.0, 0.1) </w:t>
            </w:r>
          </w:p>
        </w:tc>
      </w:tr>
      <w:tr w:rsidR="00AB01EA" w:rsidRPr="00480790" w14:paraId="4E684ECC"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vAlign w:val="center"/>
          </w:tcPr>
          <w:p w14:paraId="009E8B82" w14:textId="77777777" w:rsidR="001C256F" w:rsidRPr="00480790" w:rsidRDefault="001C256F" w:rsidP="00751EBB">
            <w:pPr>
              <w:pStyle w:val="TableText0"/>
              <w:rPr>
                <w:szCs w:val="20"/>
              </w:rPr>
            </w:pPr>
            <w:r w:rsidRPr="00480790">
              <w:rPr>
                <w:szCs w:val="20"/>
              </w:rPr>
              <w:t>Grade ≥3 AE</w:t>
            </w:r>
          </w:p>
        </w:tc>
        <w:tc>
          <w:tcPr>
            <w:tcW w:w="1237" w:type="pct"/>
            <w:vAlign w:val="center"/>
          </w:tcPr>
          <w:p w14:paraId="5D5ABA70" w14:textId="77777777" w:rsidR="001C256F" w:rsidRPr="00480790" w:rsidRDefault="001C256F" w:rsidP="00751EBB">
            <w:pPr>
              <w:pStyle w:val="TableText0"/>
              <w:jc w:val="center"/>
            </w:pPr>
            <w:r w:rsidRPr="00480790">
              <w:t>38 (29.7)</w:t>
            </w:r>
          </w:p>
        </w:tc>
        <w:tc>
          <w:tcPr>
            <w:tcW w:w="1239" w:type="pct"/>
            <w:vAlign w:val="center"/>
          </w:tcPr>
          <w:p w14:paraId="7CAF4E13" w14:textId="77777777" w:rsidR="001C256F" w:rsidRPr="00480790" w:rsidRDefault="001C256F" w:rsidP="00751EBB">
            <w:pPr>
              <w:pStyle w:val="TableText0"/>
              <w:jc w:val="center"/>
            </w:pPr>
            <w:r w:rsidRPr="00480790">
              <w:t>37 (30.8)</w:t>
            </w:r>
          </w:p>
        </w:tc>
        <w:tc>
          <w:tcPr>
            <w:tcW w:w="1232" w:type="pct"/>
            <w:vAlign w:val="center"/>
          </w:tcPr>
          <w:p w14:paraId="6C533014" w14:textId="77777777" w:rsidR="001C256F" w:rsidRPr="00480790" w:rsidRDefault="001C256F" w:rsidP="00751EBB">
            <w:pPr>
              <w:pStyle w:val="TableText0"/>
              <w:jc w:val="center"/>
              <w:rPr>
                <w:i/>
                <w:iCs/>
              </w:rPr>
            </w:pPr>
            <w:r w:rsidRPr="00480790">
              <w:rPr>
                <w:i/>
                <w:iCs/>
              </w:rPr>
              <w:t xml:space="preserve">0.0 (-0.1, 0.1) </w:t>
            </w:r>
          </w:p>
        </w:tc>
      </w:tr>
      <w:tr w:rsidR="00AB01EA" w:rsidRPr="00480790" w14:paraId="19EE2B43"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vAlign w:val="center"/>
          </w:tcPr>
          <w:p w14:paraId="12A3D8BB" w14:textId="77777777" w:rsidR="001C256F" w:rsidRPr="00480790" w:rsidRDefault="001C256F" w:rsidP="00751EBB">
            <w:pPr>
              <w:pStyle w:val="TableText0"/>
              <w:rPr>
                <w:szCs w:val="20"/>
              </w:rPr>
            </w:pPr>
            <w:r w:rsidRPr="00480790">
              <w:rPr>
                <w:szCs w:val="20"/>
              </w:rPr>
              <w:t>Serious AE</w:t>
            </w:r>
          </w:p>
        </w:tc>
        <w:tc>
          <w:tcPr>
            <w:tcW w:w="1237" w:type="pct"/>
            <w:vAlign w:val="center"/>
          </w:tcPr>
          <w:p w14:paraId="32BE31A3" w14:textId="77777777" w:rsidR="001C256F" w:rsidRPr="00480790" w:rsidRDefault="001C256F" w:rsidP="00751EBB">
            <w:pPr>
              <w:pStyle w:val="TableText0"/>
              <w:jc w:val="center"/>
            </w:pPr>
            <w:r w:rsidRPr="00480790">
              <w:rPr>
                <w:bCs w:val="0"/>
              </w:rPr>
              <w:t>17 (13.3)</w:t>
            </w:r>
          </w:p>
        </w:tc>
        <w:tc>
          <w:tcPr>
            <w:tcW w:w="1239" w:type="pct"/>
            <w:vAlign w:val="center"/>
          </w:tcPr>
          <w:p w14:paraId="4582FA6E" w14:textId="77777777" w:rsidR="001C256F" w:rsidRPr="00480790" w:rsidRDefault="001C256F" w:rsidP="00751EBB">
            <w:pPr>
              <w:pStyle w:val="TableText0"/>
              <w:jc w:val="center"/>
            </w:pPr>
            <w:r w:rsidRPr="00480790">
              <w:rPr>
                <w:bCs w:val="0"/>
              </w:rPr>
              <w:t>10 (8.3)</w:t>
            </w:r>
          </w:p>
        </w:tc>
        <w:tc>
          <w:tcPr>
            <w:tcW w:w="1232" w:type="pct"/>
            <w:vAlign w:val="center"/>
          </w:tcPr>
          <w:p w14:paraId="4CCE1AFD" w14:textId="77777777" w:rsidR="001C256F" w:rsidRPr="00480790" w:rsidRDefault="001C256F" w:rsidP="00751EBB">
            <w:pPr>
              <w:pStyle w:val="TableText0"/>
              <w:jc w:val="center"/>
              <w:rPr>
                <w:i/>
                <w:iCs/>
              </w:rPr>
            </w:pPr>
            <w:r w:rsidRPr="00480790">
              <w:rPr>
                <w:bCs w:val="0"/>
                <w:i/>
                <w:iCs/>
              </w:rPr>
              <w:t>0.0 (0.0, 0.1)</w:t>
            </w:r>
          </w:p>
        </w:tc>
      </w:tr>
      <w:tr w:rsidR="00AB01EA" w:rsidRPr="00480790" w14:paraId="15989159"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vAlign w:val="center"/>
          </w:tcPr>
          <w:p w14:paraId="00BB1010" w14:textId="214F86DD" w:rsidR="00820001" w:rsidRPr="00480790" w:rsidRDefault="00820001" w:rsidP="00820001">
            <w:pPr>
              <w:pStyle w:val="TableText0"/>
              <w:rPr>
                <w:szCs w:val="20"/>
              </w:rPr>
            </w:pPr>
            <w:r w:rsidRPr="00480790">
              <w:t>Adverse events leading to discontinuation from treatment</w:t>
            </w:r>
          </w:p>
        </w:tc>
        <w:tc>
          <w:tcPr>
            <w:tcW w:w="1237" w:type="pct"/>
            <w:vAlign w:val="center"/>
          </w:tcPr>
          <w:p w14:paraId="2363F940" w14:textId="02F59AF7" w:rsidR="00820001" w:rsidRPr="00480790" w:rsidRDefault="00820001" w:rsidP="00820001">
            <w:pPr>
              <w:pStyle w:val="TableText0"/>
              <w:jc w:val="center"/>
            </w:pPr>
            <w:r w:rsidRPr="00480790">
              <w:t>7 (5.5)</w:t>
            </w:r>
          </w:p>
        </w:tc>
        <w:tc>
          <w:tcPr>
            <w:tcW w:w="1239" w:type="pct"/>
            <w:vAlign w:val="center"/>
          </w:tcPr>
          <w:p w14:paraId="4D5DD202" w14:textId="23469E92" w:rsidR="00820001" w:rsidRPr="00480790" w:rsidRDefault="00820001" w:rsidP="00820001">
            <w:pPr>
              <w:pStyle w:val="TableText0"/>
              <w:jc w:val="center"/>
            </w:pPr>
            <w:r w:rsidRPr="00480790">
              <w:t>15 (12.5)</w:t>
            </w:r>
          </w:p>
        </w:tc>
        <w:tc>
          <w:tcPr>
            <w:tcW w:w="1232" w:type="pct"/>
            <w:vAlign w:val="center"/>
          </w:tcPr>
          <w:p w14:paraId="234E8031" w14:textId="673DFA4A" w:rsidR="00820001" w:rsidRPr="00480790" w:rsidRDefault="00820001" w:rsidP="00820001">
            <w:pPr>
              <w:pStyle w:val="TableText0"/>
              <w:jc w:val="center"/>
              <w:rPr>
                <w:i/>
                <w:iCs/>
              </w:rPr>
            </w:pPr>
            <w:r w:rsidRPr="00480790">
              <w:rPr>
                <w:i/>
                <w:iCs/>
              </w:rPr>
              <w:t>-0.1 (-0.1, 0.0)</w:t>
            </w:r>
          </w:p>
        </w:tc>
      </w:tr>
      <w:tr w:rsidR="00AB01EA" w:rsidRPr="00480790" w14:paraId="7EF020ED"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vAlign w:val="center"/>
          </w:tcPr>
          <w:p w14:paraId="60FE6A87" w14:textId="77777777" w:rsidR="00820001" w:rsidRPr="00480790" w:rsidRDefault="00820001" w:rsidP="00820001">
            <w:pPr>
              <w:pStyle w:val="TableText0"/>
            </w:pPr>
            <w:r w:rsidRPr="00480790">
              <w:rPr>
                <w:szCs w:val="20"/>
              </w:rPr>
              <w:t>Treatment-related AE (any)</w:t>
            </w:r>
          </w:p>
        </w:tc>
        <w:tc>
          <w:tcPr>
            <w:tcW w:w="1237" w:type="pct"/>
            <w:vAlign w:val="center"/>
          </w:tcPr>
          <w:p w14:paraId="1B4997EF" w14:textId="77777777" w:rsidR="00820001" w:rsidRPr="00480790" w:rsidRDefault="00820001" w:rsidP="00820001">
            <w:pPr>
              <w:pStyle w:val="TableText0"/>
              <w:jc w:val="center"/>
            </w:pPr>
            <w:r w:rsidRPr="00480790">
              <w:t>120 (93.8)</w:t>
            </w:r>
          </w:p>
        </w:tc>
        <w:tc>
          <w:tcPr>
            <w:tcW w:w="1239" w:type="pct"/>
            <w:vAlign w:val="center"/>
          </w:tcPr>
          <w:p w14:paraId="71566BF6" w14:textId="77777777" w:rsidR="00820001" w:rsidRPr="00480790" w:rsidRDefault="00820001" w:rsidP="00820001">
            <w:pPr>
              <w:pStyle w:val="TableText0"/>
              <w:jc w:val="center"/>
            </w:pPr>
            <w:r w:rsidRPr="00480790">
              <w:t>107 (89.2)</w:t>
            </w:r>
          </w:p>
        </w:tc>
        <w:tc>
          <w:tcPr>
            <w:tcW w:w="1232" w:type="pct"/>
            <w:vAlign w:val="center"/>
          </w:tcPr>
          <w:p w14:paraId="1B78A8CA" w14:textId="77777777" w:rsidR="00820001" w:rsidRPr="00480790" w:rsidRDefault="00820001" w:rsidP="00820001">
            <w:pPr>
              <w:pStyle w:val="TableText0"/>
              <w:jc w:val="center"/>
              <w:rPr>
                <w:i/>
                <w:iCs/>
              </w:rPr>
            </w:pPr>
            <w:r w:rsidRPr="00480790">
              <w:rPr>
                <w:i/>
                <w:iCs/>
              </w:rPr>
              <w:t>0.0 (0.0, 0.1)</w:t>
            </w:r>
          </w:p>
        </w:tc>
      </w:tr>
      <w:tr w:rsidR="00AB01EA" w:rsidRPr="00480790" w14:paraId="254C8CC8"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vAlign w:val="center"/>
          </w:tcPr>
          <w:p w14:paraId="5D2C123E" w14:textId="77777777" w:rsidR="00820001" w:rsidRPr="00480790" w:rsidRDefault="00820001" w:rsidP="00820001">
            <w:pPr>
              <w:pStyle w:val="TableText0"/>
              <w:rPr>
                <w:szCs w:val="20"/>
              </w:rPr>
            </w:pPr>
            <w:r w:rsidRPr="00480790">
              <w:rPr>
                <w:szCs w:val="20"/>
              </w:rPr>
              <w:t>Treatment-related AE grade ≥3 AEs</w:t>
            </w:r>
          </w:p>
        </w:tc>
        <w:tc>
          <w:tcPr>
            <w:tcW w:w="1237" w:type="pct"/>
            <w:vAlign w:val="center"/>
          </w:tcPr>
          <w:p w14:paraId="7EC4AEF5" w14:textId="77777777" w:rsidR="00820001" w:rsidRPr="00480790" w:rsidRDefault="00820001" w:rsidP="00820001">
            <w:pPr>
              <w:pStyle w:val="TableText0"/>
              <w:jc w:val="center"/>
            </w:pPr>
            <w:r w:rsidRPr="00480790">
              <w:rPr>
                <w:bCs w:val="0"/>
              </w:rPr>
              <w:t>23 (18.0)</w:t>
            </w:r>
          </w:p>
        </w:tc>
        <w:tc>
          <w:tcPr>
            <w:tcW w:w="1239" w:type="pct"/>
            <w:vAlign w:val="center"/>
          </w:tcPr>
          <w:p w14:paraId="5A78F66C" w14:textId="77777777" w:rsidR="00820001" w:rsidRPr="00480790" w:rsidRDefault="00820001" w:rsidP="00820001">
            <w:pPr>
              <w:pStyle w:val="TableText0"/>
              <w:jc w:val="center"/>
            </w:pPr>
            <w:r w:rsidRPr="00480790">
              <w:rPr>
                <w:bCs w:val="0"/>
              </w:rPr>
              <w:t>33 (27.5)</w:t>
            </w:r>
          </w:p>
        </w:tc>
        <w:tc>
          <w:tcPr>
            <w:tcW w:w="1232" w:type="pct"/>
            <w:vAlign w:val="center"/>
          </w:tcPr>
          <w:p w14:paraId="6D926C2B" w14:textId="77777777" w:rsidR="00820001" w:rsidRPr="00480790" w:rsidRDefault="00820001" w:rsidP="00820001">
            <w:pPr>
              <w:pStyle w:val="TableText0"/>
              <w:jc w:val="center"/>
              <w:rPr>
                <w:i/>
                <w:iCs/>
              </w:rPr>
            </w:pPr>
            <w:r w:rsidRPr="00480790">
              <w:rPr>
                <w:bCs w:val="0"/>
                <w:i/>
                <w:iCs/>
              </w:rPr>
              <w:t>-0.1 (-0.2, 0.0)</w:t>
            </w:r>
          </w:p>
        </w:tc>
      </w:tr>
      <w:tr w:rsidR="00AB01EA" w:rsidRPr="00480790" w14:paraId="42824258"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tcPr>
          <w:p w14:paraId="04C1A283" w14:textId="77777777" w:rsidR="00820001" w:rsidRPr="00480790" w:rsidRDefault="00820001" w:rsidP="00820001">
            <w:pPr>
              <w:pStyle w:val="TableText0"/>
              <w:rPr>
                <w:szCs w:val="20"/>
              </w:rPr>
            </w:pPr>
            <w:r w:rsidRPr="00480790">
              <w:rPr>
                <w:bCs w:val="0"/>
              </w:rPr>
              <w:t>Treatment-related serious adverse events</w:t>
            </w:r>
          </w:p>
        </w:tc>
        <w:tc>
          <w:tcPr>
            <w:tcW w:w="1237" w:type="pct"/>
            <w:vAlign w:val="center"/>
          </w:tcPr>
          <w:p w14:paraId="13842481" w14:textId="77777777" w:rsidR="00820001" w:rsidRPr="00480790" w:rsidRDefault="00820001" w:rsidP="00820001">
            <w:pPr>
              <w:pStyle w:val="TableText0"/>
              <w:jc w:val="center"/>
              <w:rPr>
                <w:bCs w:val="0"/>
              </w:rPr>
            </w:pPr>
            <w:r w:rsidRPr="00480790">
              <w:rPr>
                <w:bCs w:val="0"/>
              </w:rPr>
              <w:t>2 (1.6)</w:t>
            </w:r>
          </w:p>
        </w:tc>
        <w:tc>
          <w:tcPr>
            <w:tcW w:w="1239" w:type="pct"/>
            <w:vAlign w:val="center"/>
          </w:tcPr>
          <w:p w14:paraId="4F792315" w14:textId="77777777" w:rsidR="00820001" w:rsidRPr="00480790" w:rsidRDefault="00820001" w:rsidP="00820001">
            <w:pPr>
              <w:pStyle w:val="TableText0"/>
              <w:jc w:val="center"/>
              <w:rPr>
                <w:bCs w:val="0"/>
              </w:rPr>
            </w:pPr>
            <w:r w:rsidRPr="00480790">
              <w:rPr>
                <w:bCs w:val="0"/>
              </w:rPr>
              <w:t>8 (6.7)</w:t>
            </w:r>
          </w:p>
        </w:tc>
        <w:tc>
          <w:tcPr>
            <w:tcW w:w="1232" w:type="pct"/>
            <w:vAlign w:val="center"/>
          </w:tcPr>
          <w:p w14:paraId="7543BBA3" w14:textId="77777777" w:rsidR="00820001" w:rsidRPr="00480790" w:rsidRDefault="00820001" w:rsidP="00820001">
            <w:pPr>
              <w:pStyle w:val="TableText0"/>
              <w:jc w:val="center"/>
              <w:rPr>
                <w:bCs w:val="0"/>
                <w:i/>
                <w:iCs/>
              </w:rPr>
            </w:pPr>
            <w:r w:rsidRPr="00480790">
              <w:rPr>
                <w:bCs w:val="0"/>
                <w:i/>
                <w:iCs/>
              </w:rPr>
              <w:t>-0.1 (-0.1, 0.0)</w:t>
            </w:r>
          </w:p>
        </w:tc>
      </w:tr>
      <w:tr w:rsidR="00AB01EA" w:rsidRPr="00480790" w:rsidDel="001122E4" w14:paraId="4344DBDD"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tcPr>
          <w:p w14:paraId="1A37F3A0" w14:textId="77777777" w:rsidR="00820001" w:rsidRPr="00480790" w:rsidDel="001122E4" w:rsidRDefault="00820001" w:rsidP="00820001">
            <w:pPr>
              <w:pStyle w:val="TableText0"/>
              <w:rPr>
                <w:szCs w:val="20"/>
              </w:rPr>
            </w:pPr>
            <w:r w:rsidRPr="00480790">
              <w:rPr>
                <w:bCs w:val="0"/>
              </w:rPr>
              <w:t>Treatment-related adverse events leading to discontinuation from treatment</w:t>
            </w:r>
          </w:p>
        </w:tc>
        <w:tc>
          <w:tcPr>
            <w:tcW w:w="1237" w:type="pct"/>
            <w:vAlign w:val="center"/>
          </w:tcPr>
          <w:p w14:paraId="6F8A09CE" w14:textId="77777777" w:rsidR="00820001" w:rsidRPr="00480790" w:rsidDel="001122E4" w:rsidRDefault="00820001" w:rsidP="00820001">
            <w:pPr>
              <w:pStyle w:val="TableText0"/>
              <w:jc w:val="center"/>
            </w:pPr>
            <w:r w:rsidRPr="00480790">
              <w:rPr>
                <w:bCs w:val="0"/>
              </w:rPr>
              <w:t>7 (5.5)</w:t>
            </w:r>
          </w:p>
        </w:tc>
        <w:tc>
          <w:tcPr>
            <w:tcW w:w="1239" w:type="pct"/>
            <w:vAlign w:val="center"/>
          </w:tcPr>
          <w:p w14:paraId="1DA70505" w14:textId="77777777" w:rsidR="00820001" w:rsidRPr="00480790" w:rsidDel="001122E4" w:rsidRDefault="00820001" w:rsidP="00820001">
            <w:pPr>
              <w:pStyle w:val="TableText0"/>
              <w:jc w:val="center"/>
            </w:pPr>
            <w:r w:rsidRPr="00480790">
              <w:rPr>
                <w:bCs w:val="0"/>
              </w:rPr>
              <w:t>14 (11.7)</w:t>
            </w:r>
          </w:p>
        </w:tc>
        <w:tc>
          <w:tcPr>
            <w:tcW w:w="1232" w:type="pct"/>
            <w:vAlign w:val="center"/>
          </w:tcPr>
          <w:p w14:paraId="2B785AEC" w14:textId="77777777" w:rsidR="00820001" w:rsidRPr="00480790" w:rsidDel="001122E4" w:rsidRDefault="00820001" w:rsidP="00820001">
            <w:pPr>
              <w:pStyle w:val="TableText0"/>
              <w:jc w:val="center"/>
              <w:rPr>
                <w:i/>
                <w:iCs/>
              </w:rPr>
            </w:pPr>
            <w:r w:rsidRPr="00480790">
              <w:rPr>
                <w:bCs w:val="0"/>
                <w:i/>
                <w:iCs/>
              </w:rPr>
              <w:t>-0.1 (-0.1, 0.0)</w:t>
            </w:r>
          </w:p>
        </w:tc>
      </w:tr>
      <w:tr w:rsidR="00AB01EA" w:rsidRPr="00480790" w14:paraId="13805238"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vAlign w:val="center"/>
          </w:tcPr>
          <w:p w14:paraId="43B375BE" w14:textId="77777777" w:rsidR="00820001" w:rsidRPr="00480790" w:rsidRDefault="00820001" w:rsidP="00820001">
            <w:pPr>
              <w:pStyle w:val="TableText0"/>
            </w:pPr>
            <w:r w:rsidRPr="00480790">
              <w:rPr>
                <w:szCs w:val="20"/>
              </w:rPr>
              <w:t xml:space="preserve">Treatment-related AE </w:t>
            </w:r>
            <w:bookmarkStart w:id="48" w:name="_Hlk190183265"/>
            <w:r w:rsidRPr="00480790">
              <w:rPr>
                <w:szCs w:val="20"/>
              </w:rPr>
              <w:t>leading to dose modification /interruption</w:t>
            </w:r>
            <w:bookmarkEnd w:id="48"/>
          </w:p>
        </w:tc>
        <w:tc>
          <w:tcPr>
            <w:tcW w:w="1237" w:type="pct"/>
            <w:vAlign w:val="center"/>
          </w:tcPr>
          <w:p w14:paraId="56B8C64D" w14:textId="77777777" w:rsidR="00820001" w:rsidRPr="00480790" w:rsidRDefault="00820001" w:rsidP="00820001">
            <w:pPr>
              <w:pStyle w:val="TableText0"/>
              <w:jc w:val="center"/>
            </w:pPr>
            <w:r w:rsidRPr="00480790">
              <w:t>49 (38.3)</w:t>
            </w:r>
          </w:p>
        </w:tc>
        <w:tc>
          <w:tcPr>
            <w:tcW w:w="1239" w:type="pct"/>
            <w:vAlign w:val="center"/>
          </w:tcPr>
          <w:p w14:paraId="099C4E5E" w14:textId="77777777" w:rsidR="00820001" w:rsidRPr="00480790" w:rsidRDefault="00820001" w:rsidP="00820001">
            <w:pPr>
              <w:pStyle w:val="TableText0"/>
              <w:jc w:val="center"/>
            </w:pPr>
            <w:r w:rsidRPr="00480790">
              <w:t>26 (21.7)</w:t>
            </w:r>
          </w:p>
        </w:tc>
        <w:tc>
          <w:tcPr>
            <w:tcW w:w="1232" w:type="pct"/>
            <w:vAlign w:val="center"/>
          </w:tcPr>
          <w:p w14:paraId="4C77302F" w14:textId="77777777" w:rsidR="00820001" w:rsidRPr="00480790" w:rsidRDefault="00820001" w:rsidP="00820001">
            <w:pPr>
              <w:pStyle w:val="TableText0"/>
              <w:jc w:val="center"/>
              <w:rPr>
                <w:i/>
                <w:iCs/>
              </w:rPr>
            </w:pPr>
            <w:r w:rsidRPr="00480790">
              <w:rPr>
                <w:i/>
                <w:iCs/>
              </w:rPr>
              <w:t xml:space="preserve">0.2 (0.1, 0.3) </w:t>
            </w:r>
          </w:p>
        </w:tc>
      </w:tr>
      <w:tr w:rsidR="00AB01EA" w:rsidRPr="00480790" w14:paraId="1C310115"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vAlign w:val="center"/>
          </w:tcPr>
          <w:p w14:paraId="3CDEEB56" w14:textId="77777777" w:rsidR="00820001" w:rsidRPr="00480790" w:rsidRDefault="00820001" w:rsidP="00820001">
            <w:pPr>
              <w:pStyle w:val="TableText0"/>
              <w:rPr>
                <w:szCs w:val="20"/>
              </w:rPr>
            </w:pPr>
            <w:r w:rsidRPr="00480790">
              <w:rPr>
                <w:szCs w:val="20"/>
              </w:rPr>
              <w:t>AEs leading to dose modification /interruption</w:t>
            </w:r>
          </w:p>
        </w:tc>
        <w:tc>
          <w:tcPr>
            <w:tcW w:w="1237" w:type="pct"/>
            <w:vAlign w:val="center"/>
          </w:tcPr>
          <w:p w14:paraId="4EF71689" w14:textId="77777777" w:rsidR="00820001" w:rsidRPr="00480790" w:rsidRDefault="00820001" w:rsidP="00820001">
            <w:pPr>
              <w:pStyle w:val="TableText0"/>
              <w:jc w:val="center"/>
            </w:pPr>
            <w:r w:rsidRPr="00480790">
              <w:t>55 (43.0)</w:t>
            </w:r>
          </w:p>
        </w:tc>
        <w:tc>
          <w:tcPr>
            <w:tcW w:w="1239" w:type="pct"/>
            <w:vAlign w:val="center"/>
          </w:tcPr>
          <w:p w14:paraId="78286CDE" w14:textId="77777777" w:rsidR="00820001" w:rsidRPr="00480790" w:rsidRDefault="00820001" w:rsidP="00820001">
            <w:pPr>
              <w:pStyle w:val="TableText0"/>
              <w:jc w:val="center"/>
            </w:pPr>
            <w:r w:rsidRPr="00480790">
              <w:t>27 (22.5)</w:t>
            </w:r>
          </w:p>
        </w:tc>
        <w:tc>
          <w:tcPr>
            <w:tcW w:w="1232" w:type="pct"/>
            <w:vAlign w:val="center"/>
          </w:tcPr>
          <w:p w14:paraId="41E57E74" w14:textId="77777777" w:rsidR="00820001" w:rsidRPr="00480790" w:rsidRDefault="00820001" w:rsidP="00820001">
            <w:pPr>
              <w:pStyle w:val="TableText0"/>
              <w:jc w:val="center"/>
              <w:rPr>
                <w:i/>
                <w:iCs/>
              </w:rPr>
            </w:pPr>
            <w:r w:rsidRPr="00480790">
              <w:rPr>
                <w:i/>
                <w:iCs/>
              </w:rPr>
              <w:t>0.2 (0.1, 0.3)</w:t>
            </w:r>
          </w:p>
        </w:tc>
      </w:tr>
      <w:tr w:rsidR="00AB01EA" w:rsidRPr="00480790" w14:paraId="5CBD7342" w14:textId="77777777" w:rsidTr="00751EBB">
        <w:trPr>
          <w:cantSplit/>
        </w:trPr>
        <w:tc>
          <w:tcPr>
            <w:tcW w:w="5000" w:type="pct"/>
            <w:gridSpan w:val="4"/>
            <w:tcBorders>
              <w:top w:val="nil"/>
              <w:left w:val="single" w:sz="8" w:space="0" w:color="auto"/>
              <w:bottom w:val="single" w:sz="8" w:space="0" w:color="auto"/>
            </w:tcBorders>
            <w:shd w:val="clear" w:color="auto" w:fill="auto"/>
            <w:vAlign w:val="center"/>
          </w:tcPr>
          <w:p w14:paraId="1F034D69" w14:textId="77777777" w:rsidR="00820001" w:rsidRPr="00480790" w:rsidRDefault="00820001" w:rsidP="00820001">
            <w:pPr>
              <w:pStyle w:val="TableText0"/>
              <w:rPr>
                <w:b/>
                <w:bCs w:val="0"/>
              </w:rPr>
            </w:pPr>
            <w:r w:rsidRPr="00480790">
              <w:rPr>
                <w:b/>
                <w:bCs w:val="0"/>
              </w:rPr>
              <w:t>Treatment-related adverse events</w:t>
            </w:r>
          </w:p>
        </w:tc>
      </w:tr>
      <w:tr w:rsidR="00AB01EA" w:rsidRPr="00480790" w14:paraId="5178D130" w14:textId="77777777" w:rsidTr="00751EBB">
        <w:trPr>
          <w:cantSplit/>
        </w:trPr>
        <w:tc>
          <w:tcPr>
            <w:tcW w:w="5000" w:type="pct"/>
            <w:gridSpan w:val="4"/>
            <w:tcBorders>
              <w:top w:val="nil"/>
              <w:left w:val="single" w:sz="8" w:space="0" w:color="auto"/>
              <w:bottom w:val="single" w:sz="8" w:space="0" w:color="auto"/>
            </w:tcBorders>
            <w:shd w:val="clear" w:color="auto" w:fill="auto"/>
            <w:vAlign w:val="center"/>
          </w:tcPr>
          <w:p w14:paraId="6AFB9B11" w14:textId="77777777" w:rsidR="00820001" w:rsidRPr="00480790" w:rsidRDefault="00820001" w:rsidP="00820001">
            <w:pPr>
              <w:pStyle w:val="TableText0"/>
              <w:rPr>
                <w:b/>
                <w:bCs w:val="0"/>
              </w:rPr>
            </w:pPr>
            <w:r w:rsidRPr="00480790">
              <w:rPr>
                <w:b/>
                <w:bCs w:val="0"/>
              </w:rPr>
              <w:t xml:space="preserve">Adverse events with a difference in incidence rate of at least 5% between treatment arms </w:t>
            </w:r>
          </w:p>
        </w:tc>
      </w:tr>
      <w:tr w:rsidR="00AB01EA" w:rsidRPr="00480790" w14:paraId="589595E6" w14:textId="77777777" w:rsidTr="00751EBB">
        <w:trPr>
          <w:cantSplit/>
        </w:trPr>
        <w:tc>
          <w:tcPr>
            <w:tcW w:w="1292" w:type="pct"/>
            <w:tcBorders>
              <w:top w:val="single" w:sz="8" w:space="0" w:color="auto"/>
              <w:left w:val="single" w:sz="8" w:space="0" w:color="auto"/>
              <w:bottom w:val="single" w:sz="8" w:space="0" w:color="auto"/>
              <w:right w:val="single" w:sz="8" w:space="0" w:color="auto"/>
            </w:tcBorders>
            <w:shd w:val="clear" w:color="auto" w:fill="auto"/>
          </w:tcPr>
          <w:p w14:paraId="22FDFB93" w14:textId="77777777" w:rsidR="00820001" w:rsidRPr="00480790" w:rsidRDefault="00820001" w:rsidP="00820001">
            <w:pPr>
              <w:pStyle w:val="TableText0"/>
            </w:pPr>
            <w:r w:rsidRPr="00480790">
              <w:t>Nausea</w:t>
            </w:r>
          </w:p>
        </w:tc>
        <w:tc>
          <w:tcPr>
            <w:tcW w:w="1237" w:type="pct"/>
          </w:tcPr>
          <w:p w14:paraId="04A907C7" w14:textId="77777777" w:rsidR="00820001" w:rsidRPr="00480790" w:rsidRDefault="00820001" w:rsidP="00820001">
            <w:pPr>
              <w:pStyle w:val="TableText0"/>
              <w:jc w:val="center"/>
            </w:pPr>
            <w:r w:rsidRPr="00480790">
              <w:t>10 (7.8)</w:t>
            </w:r>
          </w:p>
        </w:tc>
        <w:tc>
          <w:tcPr>
            <w:tcW w:w="1239" w:type="pct"/>
          </w:tcPr>
          <w:p w14:paraId="639C1ACF" w14:textId="77777777" w:rsidR="00820001" w:rsidRPr="00480790" w:rsidRDefault="00820001" w:rsidP="00820001">
            <w:pPr>
              <w:pStyle w:val="TableText0"/>
              <w:jc w:val="center"/>
            </w:pPr>
            <w:r w:rsidRPr="00480790">
              <w:t>87 (72.5)</w:t>
            </w:r>
          </w:p>
        </w:tc>
        <w:tc>
          <w:tcPr>
            <w:tcW w:w="1232" w:type="pct"/>
            <w:vAlign w:val="center"/>
          </w:tcPr>
          <w:p w14:paraId="76BD55E8" w14:textId="77777777" w:rsidR="00820001" w:rsidRPr="00480790" w:rsidRDefault="00820001" w:rsidP="00820001">
            <w:pPr>
              <w:pStyle w:val="TableText0"/>
              <w:jc w:val="center"/>
              <w:rPr>
                <w:i/>
                <w:iCs/>
              </w:rPr>
            </w:pPr>
            <w:r w:rsidRPr="00480790">
              <w:rPr>
                <w:i/>
                <w:iCs/>
              </w:rPr>
              <w:t xml:space="preserve">0.6 (0.7, 0.6) </w:t>
            </w:r>
          </w:p>
        </w:tc>
      </w:tr>
      <w:tr w:rsidR="00AB01EA" w:rsidRPr="00480790" w14:paraId="4BCC8790"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tcPr>
          <w:p w14:paraId="7DA472B1" w14:textId="77777777" w:rsidR="00820001" w:rsidRPr="00480790" w:rsidRDefault="00820001" w:rsidP="00820001">
            <w:pPr>
              <w:pStyle w:val="TableText0"/>
            </w:pPr>
            <w:r w:rsidRPr="00480790">
              <w:t xml:space="preserve">Blood CPK increased </w:t>
            </w:r>
          </w:p>
        </w:tc>
        <w:tc>
          <w:tcPr>
            <w:tcW w:w="1237" w:type="pct"/>
          </w:tcPr>
          <w:p w14:paraId="28D0DDD9" w14:textId="77777777" w:rsidR="00820001" w:rsidRPr="00480790" w:rsidRDefault="00820001" w:rsidP="00820001">
            <w:pPr>
              <w:pStyle w:val="TableText0"/>
              <w:jc w:val="center"/>
            </w:pPr>
            <w:r w:rsidRPr="00480790">
              <w:t>55 (43.0)</w:t>
            </w:r>
          </w:p>
        </w:tc>
        <w:tc>
          <w:tcPr>
            <w:tcW w:w="1239" w:type="pct"/>
          </w:tcPr>
          <w:p w14:paraId="6FDB96E2" w14:textId="77777777" w:rsidR="00820001" w:rsidRPr="00480790" w:rsidRDefault="00820001" w:rsidP="00820001">
            <w:pPr>
              <w:pStyle w:val="TableText0"/>
              <w:jc w:val="center"/>
            </w:pPr>
            <w:r w:rsidRPr="00480790">
              <w:t>1 (0.8)</w:t>
            </w:r>
          </w:p>
        </w:tc>
        <w:tc>
          <w:tcPr>
            <w:tcW w:w="1232" w:type="pct"/>
            <w:vAlign w:val="center"/>
          </w:tcPr>
          <w:p w14:paraId="56386020" w14:textId="77777777" w:rsidR="00820001" w:rsidRPr="00480790" w:rsidRDefault="00820001" w:rsidP="00820001">
            <w:pPr>
              <w:pStyle w:val="TableText0"/>
              <w:jc w:val="center"/>
              <w:rPr>
                <w:i/>
                <w:iCs/>
              </w:rPr>
            </w:pPr>
            <w:r w:rsidRPr="00480790">
              <w:rPr>
                <w:i/>
                <w:iCs/>
              </w:rPr>
              <w:t>0.4 (0.3, 0.5)</w:t>
            </w:r>
          </w:p>
        </w:tc>
      </w:tr>
      <w:tr w:rsidR="00AB01EA" w:rsidRPr="00480790" w14:paraId="168005C5"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tcPr>
          <w:p w14:paraId="00797449" w14:textId="77777777" w:rsidR="00820001" w:rsidRPr="00480790" w:rsidRDefault="00820001" w:rsidP="00820001">
            <w:pPr>
              <w:pStyle w:val="TableText0"/>
            </w:pPr>
            <w:r w:rsidRPr="00480790">
              <w:t>Constipation</w:t>
            </w:r>
          </w:p>
        </w:tc>
        <w:tc>
          <w:tcPr>
            <w:tcW w:w="1237" w:type="pct"/>
          </w:tcPr>
          <w:p w14:paraId="4E6EC73F" w14:textId="77777777" w:rsidR="00820001" w:rsidRPr="00480790" w:rsidRDefault="00820001" w:rsidP="00820001">
            <w:pPr>
              <w:pStyle w:val="TableText0"/>
              <w:jc w:val="center"/>
            </w:pPr>
            <w:r w:rsidRPr="00480790">
              <w:t>54 (42.2)</w:t>
            </w:r>
          </w:p>
        </w:tc>
        <w:tc>
          <w:tcPr>
            <w:tcW w:w="1239" w:type="pct"/>
          </w:tcPr>
          <w:p w14:paraId="0ADE949B" w14:textId="77777777" w:rsidR="00820001" w:rsidRPr="00480790" w:rsidRDefault="00820001" w:rsidP="00820001">
            <w:pPr>
              <w:pStyle w:val="TableText0"/>
              <w:jc w:val="center"/>
            </w:pPr>
            <w:r w:rsidRPr="00480790">
              <w:t>30 (25.0)</w:t>
            </w:r>
          </w:p>
        </w:tc>
        <w:tc>
          <w:tcPr>
            <w:tcW w:w="1232" w:type="pct"/>
            <w:vAlign w:val="center"/>
          </w:tcPr>
          <w:p w14:paraId="17F7BFA6" w14:textId="77777777" w:rsidR="00820001" w:rsidRPr="00480790" w:rsidRDefault="00820001" w:rsidP="00820001">
            <w:pPr>
              <w:pStyle w:val="TableText0"/>
              <w:jc w:val="center"/>
              <w:rPr>
                <w:i/>
                <w:iCs/>
              </w:rPr>
            </w:pPr>
            <w:r w:rsidRPr="00480790">
              <w:rPr>
                <w:i/>
                <w:iCs/>
              </w:rPr>
              <w:t>0.2 (0.1, 0.3)</w:t>
            </w:r>
          </w:p>
        </w:tc>
      </w:tr>
      <w:tr w:rsidR="00AB01EA" w:rsidRPr="00480790" w14:paraId="3EE29173"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tcPr>
          <w:p w14:paraId="486A0E76" w14:textId="77777777" w:rsidR="00820001" w:rsidRPr="00480790" w:rsidRDefault="00820001" w:rsidP="00820001">
            <w:pPr>
              <w:pStyle w:val="TableText0"/>
            </w:pPr>
            <w:r w:rsidRPr="00480790">
              <w:t>AST increased</w:t>
            </w:r>
          </w:p>
        </w:tc>
        <w:tc>
          <w:tcPr>
            <w:tcW w:w="1237" w:type="pct"/>
          </w:tcPr>
          <w:p w14:paraId="27B9B20A" w14:textId="77777777" w:rsidR="00820001" w:rsidRPr="00480790" w:rsidRDefault="00820001" w:rsidP="00820001">
            <w:pPr>
              <w:pStyle w:val="TableText0"/>
              <w:jc w:val="center"/>
            </w:pPr>
            <w:r w:rsidRPr="00480790">
              <w:t>53 (41.4)</w:t>
            </w:r>
          </w:p>
        </w:tc>
        <w:tc>
          <w:tcPr>
            <w:tcW w:w="1239" w:type="pct"/>
          </w:tcPr>
          <w:p w14:paraId="19EFF610" w14:textId="77777777" w:rsidR="00820001" w:rsidRPr="00480790" w:rsidRDefault="00820001" w:rsidP="00820001">
            <w:pPr>
              <w:pStyle w:val="TableText0"/>
              <w:jc w:val="center"/>
            </w:pPr>
            <w:r w:rsidRPr="00480790">
              <w:t>6 (5.0)</w:t>
            </w:r>
          </w:p>
        </w:tc>
        <w:tc>
          <w:tcPr>
            <w:tcW w:w="1232" w:type="pct"/>
            <w:vAlign w:val="center"/>
          </w:tcPr>
          <w:p w14:paraId="25BF81C8" w14:textId="77777777" w:rsidR="00820001" w:rsidRPr="00480790" w:rsidRDefault="00820001" w:rsidP="00820001">
            <w:pPr>
              <w:pStyle w:val="TableText0"/>
              <w:jc w:val="center"/>
              <w:rPr>
                <w:i/>
                <w:iCs/>
              </w:rPr>
            </w:pPr>
            <w:r w:rsidRPr="00480790">
              <w:rPr>
                <w:i/>
                <w:iCs/>
              </w:rPr>
              <w:t>0.4 (0.3, 0.5)</w:t>
            </w:r>
          </w:p>
        </w:tc>
      </w:tr>
      <w:tr w:rsidR="00AB01EA" w:rsidRPr="00480790" w14:paraId="2D3CE419"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tcPr>
          <w:p w14:paraId="14F2C0AC" w14:textId="77777777" w:rsidR="00820001" w:rsidRPr="00480790" w:rsidRDefault="00820001" w:rsidP="00820001">
            <w:pPr>
              <w:pStyle w:val="TableText0"/>
            </w:pPr>
            <w:r w:rsidRPr="00480790">
              <w:t xml:space="preserve">ALT increased </w:t>
            </w:r>
          </w:p>
        </w:tc>
        <w:tc>
          <w:tcPr>
            <w:tcW w:w="1237" w:type="pct"/>
          </w:tcPr>
          <w:p w14:paraId="3FD63C6F" w14:textId="77777777" w:rsidR="00820001" w:rsidRPr="00480790" w:rsidRDefault="00820001" w:rsidP="00820001">
            <w:pPr>
              <w:pStyle w:val="TableText0"/>
              <w:jc w:val="center"/>
            </w:pPr>
            <w:r w:rsidRPr="00480790">
              <w:t>43 (33.6)</w:t>
            </w:r>
          </w:p>
        </w:tc>
        <w:tc>
          <w:tcPr>
            <w:tcW w:w="1239" w:type="pct"/>
          </w:tcPr>
          <w:p w14:paraId="18D93FC6" w14:textId="77777777" w:rsidR="00820001" w:rsidRPr="00480790" w:rsidRDefault="00820001" w:rsidP="00820001">
            <w:pPr>
              <w:pStyle w:val="TableText0"/>
              <w:jc w:val="center"/>
            </w:pPr>
            <w:r w:rsidRPr="00480790">
              <w:t>11 (9.2)</w:t>
            </w:r>
          </w:p>
        </w:tc>
        <w:tc>
          <w:tcPr>
            <w:tcW w:w="1232" w:type="pct"/>
            <w:vAlign w:val="center"/>
          </w:tcPr>
          <w:p w14:paraId="6170536A" w14:textId="77777777" w:rsidR="00820001" w:rsidRPr="00480790" w:rsidRDefault="00820001" w:rsidP="00820001">
            <w:pPr>
              <w:pStyle w:val="TableText0"/>
              <w:jc w:val="center"/>
              <w:rPr>
                <w:i/>
                <w:iCs/>
              </w:rPr>
            </w:pPr>
            <w:r w:rsidRPr="00480790">
              <w:rPr>
                <w:i/>
                <w:iCs/>
              </w:rPr>
              <w:t xml:space="preserve">0.2 (0.1, 0.3) </w:t>
            </w:r>
          </w:p>
        </w:tc>
      </w:tr>
      <w:tr w:rsidR="00AB01EA" w:rsidRPr="00480790" w14:paraId="69322747" w14:textId="77777777" w:rsidTr="00751EBB">
        <w:trPr>
          <w:cantSplit/>
        </w:trPr>
        <w:tc>
          <w:tcPr>
            <w:tcW w:w="1292" w:type="pct"/>
            <w:tcBorders>
              <w:top w:val="nil"/>
              <w:left w:val="single" w:sz="8" w:space="0" w:color="auto"/>
              <w:bottom w:val="single" w:sz="8" w:space="0" w:color="auto"/>
              <w:right w:val="single" w:sz="8" w:space="0" w:color="auto"/>
            </w:tcBorders>
            <w:shd w:val="clear" w:color="auto" w:fill="auto"/>
          </w:tcPr>
          <w:p w14:paraId="14075DB7" w14:textId="77777777" w:rsidR="00820001" w:rsidRPr="00480790" w:rsidRDefault="00820001" w:rsidP="00820001">
            <w:pPr>
              <w:pStyle w:val="TableText0"/>
            </w:pPr>
            <w:r w:rsidRPr="00480790">
              <w:t xml:space="preserve">Blood bilirubin increased </w:t>
            </w:r>
          </w:p>
        </w:tc>
        <w:tc>
          <w:tcPr>
            <w:tcW w:w="1237" w:type="pct"/>
          </w:tcPr>
          <w:p w14:paraId="79A2E5A8" w14:textId="77777777" w:rsidR="00820001" w:rsidRPr="00480790" w:rsidRDefault="00820001" w:rsidP="00820001">
            <w:pPr>
              <w:pStyle w:val="TableText0"/>
              <w:jc w:val="center"/>
            </w:pPr>
            <w:r w:rsidRPr="00480790">
              <w:t>43 (33.6)</w:t>
            </w:r>
          </w:p>
        </w:tc>
        <w:tc>
          <w:tcPr>
            <w:tcW w:w="1239" w:type="pct"/>
          </w:tcPr>
          <w:p w14:paraId="7951565D" w14:textId="77777777" w:rsidR="00820001" w:rsidRPr="00480790" w:rsidRDefault="00820001" w:rsidP="00820001">
            <w:pPr>
              <w:pStyle w:val="TableText0"/>
              <w:jc w:val="center"/>
            </w:pPr>
            <w:r w:rsidRPr="00480790">
              <w:t>1 (0.8)</w:t>
            </w:r>
          </w:p>
        </w:tc>
        <w:tc>
          <w:tcPr>
            <w:tcW w:w="1232" w:type="pct"/>
            <w:vAlign w:val="center"/>
          </w:tcPr>
          <w:p w14:paraId="406B2333" w14:textId="77777777" w:rsidR="00820001" w:rsidRPr="00480790" w:rsidRDefault="00820001" w:rsidP="00820001">
            <w:pPr>
              <w:pStyle w:val="TableText0"/>
              <w:jc w:val="center"/>
              <w:rPr>
                <w:i/>
                <w:iCs/>
              </w:rPr>
            </w:pPr>
            <w:r w:rsidRPr="00480790">
              <w:rPr>
                <w:i/>
                <w:iCs/>
              </w:rPr>
              <w:t>0.3 (0.2, 0.4)</w:t>
            </w:r>
          </w:p>
        </w:tc>
      </w:tr>
    </w:tbl>
    <w:p w14:paraId="4419C122" w14:textId="77777777" w:rsidR="001C256F" w:rsidRPr="00480790" w:rsidRDefault="001C256F" w:rsidP="00751EBB">
      <w:pPr>
        <w:pStyle w:val="FooterTableFigure"/>
        <w:keepNext/>
        <w:rPr>
          <w:sz w:val="20"/>
        </w:rPr>
      </w:pPr>
      <w:r w:rsidRPr="00480790">
        <w:t>Source: Table 2.19, p44; Table 2.20, p44-45 of the submission.</w:t>
      </w:r>
    </w:p>
    <w:p w14:paraId="2B13163C" w14:textId="77777777" w:rsidR="001C256F" w:rsidRPr="00480790" w:rsidRDefault="001C256F" w:rsidP="00751EBB">
      <w:pPr>
        <w:pStyle w:val="FooterTableFigure"/>
        <w:keepNext/>
        <w:rPr>
          <w:rFonts w:eastAsia="Calibri"/>
        </w:rPr>
      </w:pPr>
      <w:r w:rsidRPr="00480790">
        <w:rPr>
          <w:rFonts w:eastAsia="Calibri"/>
        </w:rPr>
        <w:t>AE=adverse events; ALT=alanine aminotransferase; AST=aspartate aminotransferase; CI=confidence interval; CPK=creatine phosphokinase; n=number of participants reporting data; N=total participants in arm; RD=risk difference</w:t>
      </w:r>
    </w:p>
    <w:p w14:paraId="1648D052" w14:textId="77777777" w:rsidR="001C256F" w:rsidRPr="00480790" w:rsidRDefault="001C256F" w:rsidP="00197215">
      <w:pPr>
        <w:pStyle w:val="FooterTableFigure"/>
        <w:rPr>
          <w:rFonts w:eastAsia="Calibri"/>
          <w:i/>
          <w:iCs/>
        </w:rPr>
      </w:pPr>
      <w:r w:rsidRPr="00480790">
        <w:rPr>
          <w:rFonts w:eastAsia="Calibri"/>
          <w:i/>
          <w:iCs/>
        </w:rPr>
        <w:t>Italics calculated during the evaluation.</w:t>
      </w:r>
    </w:p>
    <w:p w14:paraId="026C8913" w14:textId="77777777" w:rsidR="001C256F" w:rsidRPr="00480790" w:rsidRDefault="001C256F" w:rsidP="002843F8">
      <w:pPr>
        <w:pStyle w:val="3-BodyText"/>
        <w:rPr>
          <w:lang w:val="en-AU"/>
        </w:rPr>
      </w:pPr>
      <w:r w:rsidRPr="00480790">
        <w:rPr>
          <w:lang w:val="en-AU"/>
        </w:rPr>
        <w:t>The submission noted that the median duration of treatment was different between the 2 arms (23.9 months in the alectinib arm vs. 2.1 months in the chemotherapy arm).</w:t>
      </w:r>
    </w:p>
    <w:p w14:paraId="1D997745" w14:textId="77777777" w:rsidR="002309A3" w:rsidRPr="00480790" w:rsidRDefault="002309A3" w:rsidP="002843F8">
      <w:pPr>
        <w:pStyle w:val="3-BodyText"/>
        <w:rPr>
          <w:lang w:val="en-AU"/>
        </w:rPr>
      </w:pPr>
      <w:r w:rsidRPr="00480790">
        <w:rPr>
          <w:lang w:val="en-AU"/>
        </w:rPr>
        <w:t xml:space="preserve">The proportion of participants who experienced at least one grade ≥3 adverse event in the alectinib arm (29.7%) was comparable to the chemotherapy arm (30.8%). The proportion of participants who experienced at least one serious adverse event was 13.3% in the alectinib arm and 8.3% in the chemotherapy arm. </w:t>
      </w:r>
    </w:p>
    <w:p w14:paraId="23814E29" w14:textId="77777777" w:rsidR="002309A3" w:rsidRPr="00480790" w:rsidRDefault="002309A3" w:rsidP="002843F8">
      <w:pPr>
        <w:pStyle w:val="3-BodyText"/>
        <w:rPr>
          <w:lang w:val="en-AU"/>
        </w:rPr>
      </w:pPr>
      <w:r w:rsidRPr="00480790">
        <w:rPr>
          <w:lang w:val="en-AU"/>
        </w:rPr>
        <w:t>The 2 most frequent adverse event (≥30% of participants in either arm) were:</w:t>
      </w:r>
    </w:p>
    <w:p w14:paraId="32A0484C" w14:textId="77777777" w:rsidR="002309A3" w:rsidRPr="00480790" w:rsidRDefault="002309A3" w:rsidP="00AE7DE0">
      <w:pPr>
        <w:pStyle w:val="ListParagraph"/>
        <w:numPr>
          <w:ilvl w:val="0"/>
          <w:numId w:val="5"/>
        </w:numPr>
        <w:ind w:left="1134" w:hanging="357"/>
      </w:pPr>
      <w:r w:rsidRPr="00480790">
        <w:t>Nausea (alectinib 7.8% vs. chemotherapy 72.5%).</w:t>
      </w:r>
    </w:p>
    <w:p w14:paraId="4A025770" w14:textId="77777777" w:rsidR="002309A3" w:rsidRPr="00480790" w:rsidRDefault="002309A3" w:rsidP="00AE7DE0">
      <w:pPr>
        <w:pStyle w:val="ListParagraph"/>
        <w:numPr>
          <w:ilvl w:val="0"/>
          <w:numId w:val="5"/>
        </w:numPr>
        <w:ind w:left="1134" w:hanging="357"/>
      </w:pPr>
      <w:r w:rsidRPr="00480790">
        <w:t>Blood creatine phosphokinase (CPK) increased (alectinib 43.0% vs. chemotherapy 0.8%).</w:t>
      </w:r>
    </w:p>
    <w:p w14:paraId="03E5E681" w14:textId="2289D7F4" w:rsidR="001C256F" w:rsidRPr="00480790" w:rsidRDefault="002309A3" w:rsidP="002843F8">
      <w:pPr>
        <w:pStyle w:val="3-BodyText"/>
        <w:rPr>
          <w:lang w:val="en-AU"/>
        </w:rPr>
      </w:pPr>
      <w:r w:rsidRPr="00480790">
        <w:rPr>
          <w:lang w:val="en-AU"/>
        </w:rPr>
        <w:t xml:space="preserve">A total of 2 participants (1.6%) in the alectinib arm and 5 participants (4.2%) in the chemotherapy arm died. In the alectinib arm, both participants died due to disease </w:t>
      </w:r>
      <w:r w:rsidRPr="00480790">
        <w:rPr>
          <w:lang w:val="en-AU"/>
        </w:rPr>
        <w:lastRenderedPageBreak/>
        <w:t>recurrence. The causes of death for the 5 participants in the chemotherapy arm were disease recurrence (2 participants), bilateral pneumonia (one participant), COVID 19 (one participant) and unknown (one patient).</w:t>
      </w:r>
    </w:p>
    <w:p w14:paraId="25C8A361" w14:textId="77777777" w:rsidR="001C256F" w:rsidRPr="00480790" w:rsidRDefault="001C256F" w:rsidP="002843F8">
      <w:pPr>
        <w:pStyle w:val="3-BodyText"/>
        <w:rPr>
          <w:lang w:val="en-AU"/>
        </w:rPr>
      </w:pPr>
      <w:r w:rsidRPr="00480790">
        <w:rPr>
          <w:lang w:val="en-AU"/>
        </w:rPr>
        <w:t>Treatment-related adverse events leading to dose modification/interruption were higher in the alectinib arm (38.8%) than the chemotherapy arm (21.7%), however, and this difference may have biased the DFS results. Dose reductions or interruptions were permitted by the investigator according to prespecified criteria (e.g. reductions in steps of 150 mg up to 2 times for drug-related toxicities, a dose below 300 mg was not allowed). This was consistent with the TGA Product Information.</w:t>
      </w:r>
    </w:p>
    <w:p w14:paraId="1D3099C5" w14:textId="77777777" w:rsidR="001C256F" w:rsidRPr="00480790" w:rsidRDefault="001C256F" w:rsidP="002843F8">
      <w:pPr>
        <w:pStyle w:val="3-BodyText"/>
        <w:rPr>
          <w:lang w:val="en-AU"/>
        </w:rPr>
      </w:pPr>
      <w:r w:rsidRPr="00480790">
        <w:rPr>
          <w:lang w:val="en-AU"/>
        </w:rPr>
        <w:t xml:space="preserve">Participants treated with alectinib were more likely to experience grade ≥ 3 increased blood CPK (alectinib: 6.3% vs chemotherapy: 0.8%). </w:t>
      </w:r>
      <w:r w:rsidRPr="00480790">
        <w:rPr>
          <w:iCs/>
          <w:lang w:val="en-AU"/>
        </w:rPr>
        <w:t>The ESC noted the alectinib arm had higher rates liver function test dysfunction, myalgia, dysgeusia and oedema.</w:t>
      </w:r>
      <w:r w:rsidRPr="00480790">
        <w:rPr>
          <w:lang w:val="en-AU"/>
        </w:rPr>
        <w:t xml:space="preserve"> In contrast, participants treated with chemotherapy were more likely to experience grade ≥ 3 nausea (alectinib: 0% vs chemotherapy: 4.2%) and neutropenia (alectinib: 0% vs chemotherapy: 8.3%). </w:t>
      </w:r>
      <w:r w:rsidRPr="00480790">
        <w:rPr>
          <w:iCs/>
          <w:lang w:val="en-AU"/>
        </w:rPr>
        <w:t>The ESC noted higher rates of transient haematological dysfunction in the chemotherapy arm.</w:t>
      </w:r>
    </w:p>
    <w:p w14:paraId="6C87E77A" w14:textId="77777777" w:rsidR="001C256F" w:rsidRPr="00480790" w:rsidRDefault="001C256F" w:rsidP="002843F8">
      <w:pPr>
        <w:pStyle w:val="3-BodyText"/>
        <w:rPr>
          <w:lang w:val="en-AU"/>
        </w:rPr>
      </w:pPr>
      <w:r w:rsidRPr="00480790">
        <w:rPr>
          <w:lang w:val="en-AU"/>
        </w:rPr>
        <w:t xml:space="preserve">Generally, the submission claimed that the overall safety experience with alectinib in the ALINA trial was consistent with the safety profile in the locally advanced and metastatic setting and no new safety signals were identified. </w:t>
      </w:r>
    </w:p>
    <w:p w14:paraId="34C831C3" w14:textId="77777777" w:rsidR="001C256F" w:rsidRPr="00480790" w:rsidRDefault="001C256F" w:rsidP="00751EBB">
      <w:pPr>
        <w:pStyle w:val="4-SubsectionHeading"/>
      </w:pPr>
      <w:bookmarkStart w:id="49" w:name="_Toc22897643"/>
      <w:bookmarkStart w:id="50" w:name="_Toc190264958"/>
      <w:bookmarkStart w:id="51" w:name="_Toc193106308"/>
      <w:r w:rsidRPr="00480790">
        <w:t>Benefits/harms</w:t>
      </w:r>
      <w:bookmarkEnd w:id="49"/>
      <w:bookmarkEnd w:id="50"/>
      <w:bookmarkEnd w:id="51"/>
    </w:p>
    <w:p w14:paraId="7F29E06D" w14:textId="06BB682B" w:rsidR="001C256F" w:rsidRPr="00480790" w:rsidRDefault="001C256F" w:rsidP="002843F8">
      <w:pPr>
        <w:pStyle w:val="3-BodyText"/>
        <w:rPr>
          <w:rStyle w:val="CommentReference"/>
          <w:rFonts w:asciiTheme="minorHAnsi" w:hAnsiTheme="minorHAnsi"/>
          <w:b w:val="0"/>
          <w:sz w:val="24"/>
          <w:szCs w:val="24"/>
          <w:lang w:val="en-AU"/>
        </w:rPr>
      </w:pPr>
      <w:r w:rsidRPr="00480790">
        <w:rPr>
          <w:lang w:val="en-AU"/>
        </w:rPr>
        <w:t xml:space="preserve">A summary of the comparative benefits and harms for alectinib versus platinum-based chemotherapy is presented in </w:t>
      </w:r>
      <w:r w:rsidRPr="00480790">
        <w:rPr>
          <w:lang w:val="en-AU"/>
        </w:rPr>
        <w:fldChar w:fldCharType="begin"/>
      </w:r>
      <w:r w:rsidRPr="00480790">
        <w:rPr>
          <w:lang w:val="en-AU"/>
        </w:rPr>
        <w:instrText xml:space="preserve"> REF _Ref190190844 \h </w:instrText>
      </w:r>
      <w:r w:rsidRPr="00480790">
        <w:rPr>
          <w:lang w:val="en-AU"/>
        </w:rPr>
      </w:r>
      <w:r w:rsidRPr="00480790">
        <w:rPr>
          <w:lang w:val="en-AU"/>
        </w:rPr>
        <w:fldChar w:fldCharType="separate"/>
      </w:r>
      <w:r w:rsidR="002565BE" w:rsidRPr="00480790">
        <w:t xml:space="preserve">Table </w:t>
      </w:r>
      <w:r w:rsidR="002565BE">
        <w:rPr>
          <w:noProof/>
        </w:rPr>
        <w:t>6</w:t>
      </w:r>
      <w:r w:rsidRPr="00480790">
        <w:rPr>
          <w:lang w:val="en-AU"/>
        </w:rPr>
        <w:fldChar w:fldCharType="end"/>
      </w:r>
      <w:r w:rsidRPr="00480790">
        <w:rPr>
          <w:lang w:val="en-AU"/>
        </w:rPr>
        <w:t>.</w:t>
      </w:r>
    </w:p>
    <w:p w14:paraId="0493A698" w14:textId="49B621D0" w:rsidR="001C256F" w:rsidRPr="00480790" w:rsidRDefault="001C256F" w:rsidP="00751EBB">
      <w:pPr>
        <w:pStyle w:val="Caption"/>
        <w:rPr>
          <w:rStyle w:val="CommentReference"/>
          <w:b/>
        </w:rPr>
      </w:pPr>
      <w:bookmarkStart w:id="52" w:name="_Ref190190844"/>
      <w:r w:rsidRPr="00480790">
        <w:lastRenderedPageBreak/>
        <w:t xml:space="preserve">Table </w:t>
      </w:r>
      <w:r w:rsidRPr="00480790">
        <w:fldChar w:fldCharType="begin"/>
      </w:r>
      <w:r w:rsidRPr="00480790">
        <w:instrText xml:space="preserve"> SEQ Table \* ARABIC </w:instrText>
      </w:r>
      <w:r w:rsidRPr="00480790">
        <w:fldChar w:fldCharType="separate"/>
      </w:r>
      <w:r w:rsidR="002565BE">
        <w:rPr>
          <w:noProof/>
        </w:rPr>
        <w:t>6</w:t>
      </w:r>
      <w:r w:rsidRPr="00480790">
        <w:fldChar w:fldCharType="end"/>
      </w:r>
      <w:bookmarkEnd w:id="52"/>
      <w:r w:rsidRPr="00480790">
        <w:t xml:space="preserve">: </w:t>
      </w:r>
      <w:r w:rsidRPr="00480790">
        <w:rPr>
          <w:rStyle w:val="CommentReference"/>
          <w:b/>
        </w:rPr>
        <w:t>Summary of comparative benefits and harms for alectinib and platinum-based chemotherapy</w:t>
      </w:r>
    </w:p>
    <w:tbl>
      <w:tblPr>
        <w:tblStyle w:val="TableGrid"/>
        <w:tblW w:w="5000" w:type="pct"/>
        <w:tblLayout w:type="fixed"/>
        <w:tblCellMar>
          <w:left w:w="28" w:type="dxa"/>
          <w:right w:w="28" w:type="dxa"/>
        </w:tblCellMar>
        <w:tblLook w:val="04A0" w:firstRow="1" w:lastRow="0" w:firstColumn="1" w:lastColumn="0" w:noHBand="0" w:noVBand="1"/>
      </w:tblPr>
      <w:tblGrid>
        <w:gridCol w:w="2464"/>
        <w:gridCol w:w="1446"/>
        <w:gridCol w:w="1515"/>
        <w:gridCol w:w="2007"/>
        <w:gridCol w:w="1585"/>
      </w:tblGrid>
      <w:tr w:rsidR="00AB01EA" w:rsidRPr="00480790" w14:paraId="2E23AC07" w14:textId="77777777">
        <w:trPr>
          <w:trHeight w:val="20"/>
        </w:trPr>
        <w:tc>
          <w:tcPr>
            <w:tcW w:w="5000" w:type="pct"/>
            <w:gridSpan w:val="5"/>
            <w:shd w:val="clear" w:color="auto" w:fill="auto"/>
          </w:tcPr>
          <w:p w14:paraId="2F6AC566" w14:textId="77777777" w:rsidR="001C256F" w:rsidRPr="00480790" w:rsidRDefault="001C256F" w:rsidP="00751EBB">
            <w:pPr>
              <w:pStyle w:val="In-tableHeading"/>
              <w:rPr>
                <w:lang w:val="en-AU"/>
              </w:rPr>
            </w:pPr>
            <w:r w:rsidRPr="00480790">
              <w:rPr>
                <w:lang w:val="en-AU"/>
              </w:rPr>
              <w:t>Disease-free survival (duration of follow-up 24 months)</w:t>
            </w:r>
            <w:r w:rsidRPr="00480790">
              <w:rPr>
                <w:vertAlign w:val="superscript"/>
                <w:lang w:val="en-AU"/>
              </w:rPr>
              <w:t>a</w:t>
            </w:r>
          </w:p>
        </w:tc>
      </w:tr>
      <w:tr w:rsidR="00AB01EA" w:rsidRPr="00480790" w14:paraId="59CADEAC" w14:textId="77777777" w:rsidTr="00751EBB">
        <w:trPr>
          <w:trHeight w:val="20"/>
        </w:trPr>
        <w:tc>
          <w:tcPr>
            <w:tcW w:w="1366" w:type="pct"/>
            <w:tcBorders>
              <w:bottom w:val="single" w:sz="4" w:space="0" w:color="auto"/>
            </w:tcBorders>
            <w:shd w:val="clear" w:color="auto" w:fill="auto"/>
          </w:tcPr>
          <w:p w14:paraId="298B5772" w14:textId="77777777" w:rsidR="001C256F" w:rsidRPr="00480790" w:rsidRDefault="001C256F" w:rsidP="00751EBB">
            <w:pPr>
              <w:pStyle w:val="In-tableHeading"/>
              <w:rPr>
                <w:lang w:val="en-AU"/>
              </w:rPr>
            </w:pPr>
          </w:p>
        </w:tc>
        <w:tc>
          <w:tcPr>
            <w:tcW w:w="802" w:type="pct"/>
            <w:vAlign w:val="center"/>
          </w:tcPr>
          <w:p w14:paraId="61A66E27" w14:textId="77777777" w:rsidR="001C256F" w:rsidRPr="00480790" w:rsidRDefault="001C256F" w:rsidP="00751EBB">
            <w:pPr>
              <w:pStyle w:val="In-tableHeading"/>
              <w:jc w:val="center"/>
              <w:rPr>
                <w:lang w:val="en-AU"/>
              </w:rPr>
            </w:pPr>
            <w:r w:rsidRPr="00480790">
              <w:rPr>
                <w:lang w:val="en-AU"/>
              </w:rPr>
              <w:t>Alectinib</w:t>
            </w:r>
          </w:p>
          <w:p w14:paraId="48DCC1C8" w14:textId="77777777" w:rsidR="001C256F" w:rsidRPr="00480790" w:rsidRDefault="001C256F" w:rsidP="00751EBB">
            <w:pPr>
              <w:pStyle w:val="In-tableHeading"/>
              <w:jc w:val="center"/>
              <w:rPr>
                <w:lang w:val="en-AU"/>
              </w:rPr>
            </w:pPr>
            <w:r w:rsidRPr="00480790">
              <w:rPr>
                <w:lang w:val="en-AU"/>
              </w:rPr>
              <w:t>n/N (%)</w:t>
            </w:r>
          </w:p>
        </w:tc>
        <w:tc>
          <w:tcPr>
            <w:tcW w:w="840" w:type="pct"/>
            <w:vAlign w:val="center"/>
          </w:tcPr>
          <w:p w14:paraId="5802F9E9" w14:textId="77777777" w:rsidR="001C256F" w:rsidRPr="00480790" w:rsidRDefault="001C256F" w:rsidP="00751EBB">
            <w:pPr>
              <w:pStyle w:val="In-tableHeading"/>
              <w:jc w:val="center"/>
              <w:rPr>
                <w:lang w:val="en-AU"/>
              </w:rPr>
            </w:pPr>
            <w:r w:rsidRPr="00480790">
              <w:rPr>
                <w:lang w:val="en-AU"/>
              </w:rPr>
              <w:t>Chemotherapy</w:t>
            </w:r>
          </w:p>
          <w:p w14:paraId="053A3AD6" w14:textId="77777777" w:rsidR="001C256F" w:rsidRPr="00480790" w:rsidRDefault="001C256F" w:rsidP="00751EBB">
            <w:pPr>
              <w:pStyle w:val="In-tableHeading"/>
              <w:jc w:val="center"/>
              <w:rPr>
                <w:lang w:val="en-AU"/>
              </w:rPr>
            </w:pPr>
            <w:r w:rsidRPr="00480790">
              <w:rPr>
                <w:lang w:val="en-AU"/>
              </w:rPr>
              <w:t>n/N (%)</w:t>
            </w:r>
          </w:p>
        </w:tc>
        <w:tc>
          <w:tcPr>
            <w:tcW w:w="1113" w:type="pct"/>
            <w:tcBorders>
              <w:bottom w:val="single" w:sz="4" w:space="0" w:color="auto"/>
            </w:tcBorders>
            <w:shd w:val="clear" w:color="auto" w:fill="auto"/>
            <w:vAlign w:val="center"/>
          </w:tcPr>
          <w:p w14:paraId="25EFD965" w14:textId="77777777" w:rsidR="001C256F" w:rsidRPr="00480790" w:rsidRDefault="001C256F" w:rsidP="00751EBB">
            <w:pPr>
              <w:pStyle w:val="In-tableHeading"/>
              <w:jc w:val="center"/>
              <w:rPr>
                <w:rFonts w:asciiTheme="minorHAnsi" w:hAnsiTheme="minorHAnsi"/>
                <w:lang w:val="en-AU"/>
              </w:rPr>
            </w:pPr>
            <w:r w:rsidRPr="00480790">
              <w:rPr>
                <w:lang w:val="en-AU"/>
              </w:rPr>
              <w:t>Absolute Risk Difference</w:t>
            </w:r>
          </w:p>
        </w:tc>
        <w:tc>
          <w:tcPr>
            <w:tcW w:w="879" w:type="pct"/>
            <w:tcBorders>
              <w:bottom w:val="single" w:sz="4" w:space="0" w:color="auto"/>
            </w:tcBorders>
            <w:shd w:val="clear" w:color="auto" w:fill="auto"/>
            <w:vAlign w:val="center"/>
          </w:tcPr>
          <w:p w14:paraId="7D73AD43" w14:textId="77777777" w:rsidR="001C256F" w:rsidRPr="00480790" w:rsidRDefault="001C256F" w:rsidP="00751EBB">
            <w:pPr>
              <w:pStyle w:val="In-tableHeading"/>
              <w:jc w:val="center"/>
              <w:rPr>
                <w:lang w:val="en-AU"/>
              </w:rPr>
            </w:pPr>
            <w:r w:rsidRPr="00480790">
              <w:rPr>
                <w:lang w:val="en-AU"/>
              </w:rPr>
              <w:t>HR (95% CI)</w:t>
            </w:r>
          </w:p>
        </w:tc>
      </w:tr>
      <w:tr w:rsidR="00AB01EA" w:rsidRPr="00480790" w14:paraId="6D7D27D4" w14:textId="77777777">
        <w:trPr>
          <w:trHeight w:val="20"/>
        </w:trPr>
        <w:tc>
          <w:tcPr>
            <w:tcW w:w="1366" w:type="pct"/>
            <w:tcBorders>
              <w:bottom w:val="single" w:sz="4" w:space="0" w:color="auto"/>
              <w:right w:val="single" w:sz="4" w:space="0" w:color="auto"/>
            </w:tcBorders>
            <w:shd w:val="clear" w:color="auto" w:fill="auto"/>
          </w:tcPr>
          <w:p w14:paraId="56CD45B9" w14:textId="77777777" w:rsidR="001C256F" w:rsidRPr="00480790" w:rsidRDefault="001C256F" w:rsidP="00751EBB">
            <w:pPr>
              <w:pStyle w:val="TableText0"/>
              <w:widowControl w:val="0"/>
            </w:pPr>
            <w:r w:rsidRPr="00480790">
              <w:t>Progressed, n (%)</w:t>
            </w:r>
          </w:p>
        </w:tc>
        <w:tc>
          <w:tcPr>
            <w:tcW w:w="802" w:type="pct"/>
            <w:tcBorders>
              <w:left w:val="single" w:sz="4" w:space="0" w:color="auto"/>
              <w:bottom w:val="single" w:sz="4" w:space="0" w:color="auto"/>
              <w:right w:val="single" w:sz="4" w:space="0" w:color="auto"/>
            </w:tcBorders>
            <w:shd w:val="clear" w:color="auto" w:fill="auto"/>
          </w:tcPr>
          <w:p w14:paraId="1BF8B0DC" w14:textId="77777777" w:rsidR="001C256F" w:rsidRPr="00480790" w:rsidRDefault="001C256F" w:rsidP="00751EBB">
            <w:pPr>
              <w:pStyle w:val="TableText0"/>
              <w:widowControl w:val="0"/>
              <w:jc w:val="center"/>
            </w:pPr>
            <w:r w:rsidRPr="00480790">
              <w:t>15/130 (11.5)</w:t>
            </w:r>
          </w:p>
        </w:tc>
        <w:tc>
          <w:tcPr>
            <w:tcW w:w="840" w:type="pct"/>
            <w:tcBorders>
              <w:left w:val="single" w:sz="4" w:space="0" w:color="auto"/>
              <w:bottom w:val="single" w:sz="4" w:space="0" w:color="auto"/>
              <w:right w:val="single" w:sz="4" w:space="0" w:color="auto"/>
            </w:tcBorders>
            <w:shd w:val="clear" w:color="auto" w:fill="auto"/>
          </w:tcPr>
          <w:p w14:paraId="2EA5BBEB" w14:textId="77777777" w:rsidR="001C256F" w:rsidRPr="00480790" w:rsidRDefault="001C256F" w:rsidP="00751EBB">
            <w:pPr>
              <w:pStyle w:val="TableText0"/>
              <w:widowControl w:val="0"/>
              <w:jc w:val="center"/>
            </w:pPr>
            <w:r w:rsidRPr="00480790">
              <w:t>50/127 (39.4)</w:t>
            </w:r>
          </w:p>
        </w:tc>
        <w:tc>
          <w:tcPr>
            <w:tcW w:w="1113" w:type="pct"/>
            <w:tcBorders>
              <w:left w:val="single" w:sz="4" w:space="0" w:color="auto"/>
              <w:bottom w:val="single" w:sz="4" w:space="0" w:color="auto"/>
              <w:right w:val="single" w:sz="4" w:space="0" w:color="auto"/>
            </w:tcBorders>
            <w:shd w:val="clear" w:color="auto" w:fill="auto"/>
          </w:tcPr>
          <w:p w14:paraId="2726F19A" w14:textId="77777777" w:rsidR="001C256F" w:rsidRPr="00480790" w:rsidRDefault="001C256F" w:rsidP="00751EBB">
            <w:pPr>
              <w:pStyle w:val="TableText0"/>
              <w:widowControl w:val="0"/>
              <w:jc w:val="center"/>
              <w:rPr>
                <w:i/>
                <w:iCs/>
              </w:rPr>
            </w:pPr>
            <w:r w:rsidRPr="00480790">
              <w:rPr>
                <w:i/>
                <w:iCs/>
              </w:rPr>
              <w:t>-27.9%</w:t>
            </w:r>
            <w:r w:rsidRPr="00480790">
              <w:rPr>
                <w:i/>
                <w:iCs/>
                <w:vertAlign w:val="superscript"/>
              </w:rPr>
              <w:t>b</w:t>
            </w:r>
          </w:p>
        </w:tc>
        <w:tc>
          <w:tcPr>
            <w:tcW w:w="879" w:type="pct"/>
            <w:vMerge w:val="restart"/>
            <w:tcBorders>
              <w:top w:val="nil"/>
              <w:left w:val="single" w:sz="4" w:space="0" w:color="auto"/>
            </w:tcBorders>
            <w:shd w:val="clear" w:color="auto" w:fill="auto"/>
          </w:tcPr>
          <w:p w14:paraId="1C0F6283" w14:textId="77777777" w:rsidR="001C256F" w:rsidRPr="00480790" w:rsidRDefault="001C256F" w:rsidP="00751EBB">
            <w:pPr>
              <w:pStyle w:val="TableText0"/>
              <w:widowControl w:val="0"/>
              <w:jc w:val="center"/>
              <w:rPr>
                <w:b/>
                <w:bCs w:val="0"/>
                <w:szCs w:val="20"/>
              </w:rPr>
            </w:pPr>
            <w:r w:rsidRPr="00480790">
              <w:rPr>
                <w:b/>
                <w:bCs w:val="0"/>
                <w:szCs w:val="20"/>
              </w:rPr>
              <w:t>0.24</w:t>
            </w:r>
          </w:p>
          <w:p w14:paraId="1542EC99" w14:textId="77777777" w:rsidR="001C256F" w:rsidRPr="00480790" w:rsidRDefault="001C256F" w:rsidP="00751EBB">
            <w:pPr>
              <w:pStyle w:val="TableText0"/>
              <w:widowControl w:val="0"/>
              <w:jc w:val="center"/>
              <w:rPr>
                <w:b/>
                <w:bCs w:val="0"/>
                <w:szCs w:val="20"/>
              </w:rPr>
            </w:pPr>
            <w:r w:rsidRPr="00480790">
              <w:rPr>
                <w:b/>
                <w:bCs w:val="0"/>
                <w:szCs w:val="20"/>
              </w:rPr>
              <w:t>(0.13, 0.43)</w:t>
            </w:r>
          </w:p>
          <w:p w14:paraId="437B551E" w14:textId="77777777" w:rsidR="001C256F" w:rsidRPr="00480790" w:rsidRDefault="001C256F" w:rsidP="00751EBB">
            <w:pPr>
              <w:pStyle w:val="TableText0"/>
              <w:widowControl w:val="0"/>
              <w:jc w:val="center"/>
              <w:rPr>
                <w:szCs w:val="20"/>
              </w:rPr>
            </w:pPr>
            <w:r w:rsidRPr="00480790">
              <w:rPr>
                <w:b/>
                <w:bCs w:val="0"/>
                <w:szCs w:val="20"/>
              </w:rPr>
              <w:t>P=&lt;0.0001</w:t>
            </w:r>
          </w:p>
        </w:tc>
      </w:tr>
      <w:tr w:rsidR="00AB01EA" w:rsidRPr="00480790" w14:paraId="58B5FE6F" w14:textId="77777777">
        <w:trPr>
          <w:trHeight w:val="20"/>
        </w:trPr>
        <w:tc>
          <w:tcPr>
            <w:tcW w:w="1366" w:type="pct"/>
            <w:tcBorders>
              <w:bottom w:val="single" w:sz="4" w:space="0" w:color="auto"/>
              <w:right w:val="single" w:sz="4" w:space="0" w:color="auto"/>
            </w:tcBorders>
            <w:shd w:val="clear" w:color="auto" w:fill="auto"/>
          </w:tcPr>
          <w:p w14:paraId="756DD83D" w14:textId="77777777" w:rsidR="001C256F" w:rsidRPr="00480790" w:rsidRDefault="001C256F" w:rsidP="00751EBB">
            <w:pPr>
              <w:pStyle w:val="TableText0"/>
              <w:widowControl w:val="0"/>
            </w:pPr>
            <w:r w:rsidRPr="00480790">
              <w:t>Median DFS, months (95% CI)</w:t>
            </w:r>
          </w:p>
        </w:tc>
        <w:tc>
          <w:tcPr>
            <w:tcW w:w="802" w:type="pct"/>
            <w:tcBorders>
              <w:left w:val="single" w:sz="4" w:space="0" w:color="auto"/>
              <w:bottom w:val="single" w:sz="4" w:space="0" w:color="auto"/>
              <w:right w:val="single" w:sz="4" w:space="0" w:color="auto"/>
            </w:tcBorders>
            <w:shd w:val="clear" w:color="auto" w:fill="auto"/>
          </w:tcPr>
          <w:p w14:paraId="120D8F7A" w14:textId="77777777" w:rsidR="001C256F" w:rsidRPr="00480790" w:rsidRDefault="001C256F" w:rsidP="00751EBB">
            <w:pPr>
              <w:pStyle w:val="TableText0"/>
              <w:widowControl w:val="0"/>
              <w:jc w:val="center"/>
              <w:rPr>
                <w:rFonts w:cs="Times New Roman"/>
                <w:szCs w:val="20"/>
              </w:rPr>
            </w:pPr>
            <w:r w:rsidRPr="00480790">
              <w:t>NE (NE, NE)</w:t>
            </w:r>
          </w:p>
        </w:tc>
        <w:tc>
          <w:tcPr>
            <w:tcW w:w="840" w:type="pct"/>
            <w:tcBorders>
              <w:left w:val="single" w:sz="4" w:space="0" w:color="auto"/>
              <w:bottom w:val="single" w:sz="4" w:space="0" w:color="auto"/>
              <w:right w:val="single" w:sz="4" w:space="0" w:color="auto"/>
            </w:tcBorders>
            <w:shd w:val="clear" w:color="auto" w:fill="auto"/>
          </w:tcPr>
          <w:p w14:paraId="2D4603C7" w14:textId="77777777" w:rsidR="001C256F" w:rsidRPr="00480790" w:rsidRDefault="001C256F" w:rsidP="00751EBB">
            <w:pPr>
              <w:pStyle w:val="TableText0"/>
              <w:widowControl w:val="0"/>
              <w:jc w:val="center"/>
              <w:rPr>
                <w:rFonts w:cs="Times New Roman"/>
                <w:szCs w:val="20"/>
              </w:rPr>
            </w:pPr>
            <w:r w:rsidRPr="00480790">
              <w:t>41.3 (28.5, NE)</w:t>
            </w:r>
          </w:p>
        </w:tc>
        <w:tc>
          <w:tcPr>
            <w:tcW w:w="1113" w:type="pct"/>
            <w:tcBorders>
              <w:left w:val="single" w:sz="4" w:space="0" w:color="auto"/>
              <w:bottom w:val="single" w:sz="4" w:space="0" w:color="auto"/>
              <w:right w:val="single" w:sz="4" w:space="0" w:color="auto"/>
            </w:tcBorders>
            <w:shd w:val="clear" w:color="auto" w:fill="auto"/>
          </w:tcPr>
          <w:p w14:paraId="720BB591" w14:textId="77777777" w:rsidR="001C256F" w:rsidRPr="00480790" w:rsidRDefault="001C256F" w:rsidP="00751EBB">
            <w:pPr>
              <w:pStyle w:val="TableText0"/>
              <w:widowControl w:val="0"/>
              <w:jc w:val="center"/>
            </w:pPr>
            <w:r w:rsidRPr="00480790">
              <w:rPr>
                <w:i/>
                <w:iCs/>
              </w:rPr>
              <w:t>NE</w:t>
            </w:r>
            <w:r w:rsidRPr="00480790">
              <w:t xml:space="preserve"> </w:t>
            </w:r>
          </w:p>
        </w:tc>
        <w:tc>
          <w:tcPr>
            <w:tcW w:w="879" w:type="pct"/>
            <w:vMerge/>
            <w:tcBorders>
              <w:left w:val="single" w:sz="4" w:space="0" w:color="auto"/>
              <w:bottom w:val="nil"/>
            </w:tcBorders>
            <w:shd w:val="clear" w:color="auto" w:fill="auto"/>
          </w:tcPr>
          <w:p w14:paraId="4641786E" w14:textId="77777777" w:rsidR="001C256F" w:rsidRPr="00480790" w:rsidRDefault="001C256F" w:rsidP="00751EBB">
            <w:pPr>
              <w:pStyle w:val="TableText0"/>
              <w:widowControl w:val="0"/>
              <w:rPr>
                <w:szCs w:val="20"/>
              </w:rPr>
            </w:pPr>
          </w:p>
        </w:tc>
      </w:tr>
      <w:tr w:rsidR="00AB01EA" w:rsidRPr="00480790" w14:paraId="5B3F6F8F" w14:textId="77777777">
        <w:trPr>
          <w:trHeight w:val="20"/>
        </w:trPr>
        <w:tc>
          <w:tcPr>
            <w:tcW w:w="5000" w:type="pct"/>
            <w:gridSpan w:val="5"/>
            <w:tcBorders>
              <w:top w:val="single" w:sz="4" w:space="0" w:color="auto"/>
              <w:bottom w:val="single" w:sz="4" w:space="0" w:color="auto"/>
            </w:tcBorders>
            <w:shd w:val="clear" w:color="auto" w:fill="auto"/>
          </w:tcPr>
          <w:p w14:paraId="58EEC66F" w14:textId="77777777" w:rsidR="001C256F" w:rsidRPr="00480790" w:rsidRDefault="001C256F" w:rsidP="00751EBB">
            <w:pPr>
              <w:pStyle w:val="TableText0"/>
              <w:widowControl w:val="0"/>
            </w:pPr>
            <w:r w:rsidRPr="00480790">
              <w:t>K-M landmark estimates (% of participants INV-DFS at time points):</w:t>
            </w:r>
          </w:p>
        </w:tc>
      </w:tr>
      <w:tr w:rsidR="00AB01EA" w:rsidRPr="00480790" w14:paraId="023D9D6B" w14:textId="77777777" w:rsidTr="00751EBB">
        <w:trPr>
          <w:trHeight w:val="20"/>
        </w:trPr>
        <w:tc>
          <w:tcPr>
            <w:tcW w:w="1366" w:type="pct"/>
            <w:vAlign w:val="center"/>
          </w:tcPr>
          <w:p w14:paraId="2BA7959F" w14:textId="77777777" w:rsidR="001C256F" w:rsidRPr="00480790" w:rsidRDefault="001C256F" w:rsidP="00751EBB">
            <w:pPr>
              <w:pStyle w:val="TableText0"/>
              <w:widowControl w:val="0"/>
            </w:pPr>
            <w:r w:rsidRPr="00480790">
              <w:t>% not progressed at 24 months (95% CI)</w:t>
            </w:r>
          </w:p>
        </w:tc>
        <w:tc>
          <w:tcPr>
            <w:tcW w:w="802" w:type="pct"/>
          </w:tcPr>
          <w:p w14:paraId="5723B1FA" w14:textId="77777777" w:rsidR="001C256F" w:rsidRPr="00480790" w:rsidRDefault="001C256F" w:rsidP="00751EBB">
            <w:pPr>
              <w:pStyle w:val="TableText0"/>
              <w:jc w:val="center"/>
            </w:pPr>
            <w:r w:rsidRPr="00480790">
              <w:t>93.6</w:t>
            </w:r>
          </w:p>
          <w:p w14:paraId="0F6FAD06" w14:textId="77777777" w:rsidR="001C256F" w:rsidRPr="00480790" w:rsidRDefault="001C256F" w:rsidP="00751EBB">
            <w:pPr>
              <w:pStyle w:val="TableText0"/>
              <w:widowControl w:val="0"/>
              <w:jc w:val="center"/>
              <w:rPr>
                <w:szCs w:val="20"/>
              </w:rPr>
            </w:pPr>
            <w:r w:rsidRPr="00480790">
              <w:t>(89.4, 97.9)</w:t>
            </w:r>
          </w:p>
        </w:tc>
        <w:tc>
          <w:tcPr>
            <w:tcW w:w="840" w:type="pct"/>
          </w:tcPr>
          <w:p w14:paraId="4A4D738E" w14:textId="77777777" w:rsidR="001C256F" w:rsidRPr="00480790" w:rsidRDefault="001C256F" w:rsidP="00751EBB">
            <w:pPr>
              <w:pStyle w:val="TableText0"/>
              <w:jc w:val="center"/>
            </w:pPr>
            <w:r w:rsidRPr="00480790">
              <w:t>63.7</w:t>
            </w:r>
          </w:p>
          <w:p w14:paraId="1856E727" w14:textId="77777777" w:rsidR="001C256F" w:rsidRPr="00480790" w:rsidRDefault="001C256F" w:rsidP="00751EBB">
            <w:pPr>
              <w:pStyle w:val="TableText0"/>
              <w:widowControl w:val="0"/>
              <w:jc w:val="center"/>
              <w:rPr>
                <w:szCs w:val="20"/>
              </w:rPr>
            </w:pPr>
            <w:r w:rsidRPr="00480790">
              <w:t>(54.6, 72.9)</w:t>
            </w:r>
          </w:p>
        </w:tc>
        <w:tc>
          <w:tcPr>
            <w:tcW w:w="1113" w:type="pct"/>
          </w:tcPr>
          <w:p w14:paraId="58EE9178" w14:textId="77777777" w:rsidR="001C256F" w:rsidRPr="00480790" w:rsidRDefault="001C256F" w:rsidP="00751EBB">
            <w:pPr>
              <w:pStyle w:val="TableText0"/>
              <w:jc w:val="center"/>
            </w:pPr>
            <w:r w:rsidRPr="00480790">
              <w:t>29.9%</w:t>
            </w:r>
          </w:p>
          <w:p w14:paraId="534F7B50" w14:textId="77777777" w:rsidR="001C256F" w:rsidRPr="00480790" w:rsidRDefault="001C256F" w:rsidP="00751EBB">
            <w:pPr>
              <w:pStyle w:val="TableText0"/>
              <w:widowControl w:val="0"/>
              <w:jc w:val="center"/>
              <w:rPr>
                <w:rFonts w:cs="Times New Roman"/>
                <w:szCs w:val="20"/>
              </w:rPr>
            </w:pPr>
            <w:r w:rsidRPr="00480790">
              <w:t>(19.8, 40.0)</w:t>
            </w:r>
          </w:p>
        </w:tc>
        <w:tc>
          <w:tcPr>
            <w:tcW w:w="879" w:type="pct"/>
          </w:tcPr>
          <w:p w14:paraId="2B3A9A49" w14:textId="77777777" w:rsidR="001C256F" w:rsidRPr="00480790" w:rsidRDefault="001C256F" w:rsidP="00751EBB">
            <w:pPr>
              <w:pStyle w:val="TableText0"/>
              <w:widowControl w:val="0"/>
              <w:jc w:val="center"/>
            </w:pPr>
            <w:r w:rsidRPr="00480790">
              <w:rPr>
                <w:b/>
                <w:bCs w:val="0"/>
              </w:rPr>
              <w:t>P=&lt;.0001</w:t>
            </w:r>
          </w:p>
        </w:tc>
      </w:tr>
      <w:tr w:rsidR="00AB01EA" w:rsidRPr="00480790" w14:paraId="07577CAD" w14:textId="77777777" w:rsidTr="00751EBB">
        <w:trPr>
          <w:trHeight w:val="20"/>
        </w:trPr>
        <w:tc>
          <w:tcPr>
            <w:tcW w:w="1366" w:type="pct"/>
            <w:vAlign w:val="center"/>
          </w:tcPr>
          <w:p w14:paraId="10CCBC82" w14:textId="77777777" w:rsidR="001C256F" w:rsidRPr="00480790" w:rsidRDefault="001C256F" w:rsidP="00751EBB">
            <w:pPr>
              <w:pStyle w:val="TableText0"/>
              <w:widowControl w:val="0"/>
            </w:pPr>
            <w:r w:rsidRPr="00480790">
              <w:t>% not progressed at 36 months (95% CI)</w:t>
            </w:r>
          </w:p>
        </w:tc>
        <w:tc>
          <w:tcPr>
            <w:tcW w:w="802" w:type="pct"/>
          </w:tcPr>
          <w:p w14:paraId="19688845" w14:textId="77777777" w:rsidR="001C256F" w:rsidRPr="00480790" w:rsidRDefault="001C256F" w:rsidP="00751EBB">
            <w:pPr>
              <w:pStyle w:val="TableText0"/>
              <w:jc w:val="center"/>
            </w:pPr>
            <w:r w:rsidRPr="00480790">
              <w:t>88.7</w:t>
            </w:r>
          </w:p>
          <w:p w14:paraId="5A407CA8" w14:textId="77777777" w:rsidR="001C256F" w:rsidRPr="00480790" w:rsidRDefault="001C256F" w:rsidP="00751EBB">
            <w:pPr>
              <w:pStyle w:val="TableText0"/>
              <w:widowControl w:val="0"/>
              <w:jc w:val="center"/>
              <w:rPr>
                <w:szCs w:val="20"/>
              </w:rPr>
            </w:pPr>
            <w:r w:rsidRPr="00480790">
              <w:t>(81.8, 95.6)</w:t>
            </w:r>
          </w:p>
        </w:tc>
        <w:tc>
          <w:tcPr>
            <w:tcW w:w="840" w:type="pct"/>
          </w:tcPr>
          <w:p w14:paraId="76FB1EB5" w14:textId="77777777" w:rsidR="001C256F" w:rsidRPr="00480790" w:rsidRDefault="001C256F" w:rsidP="00751EBB">
            <w:pPr>
              <w:pStyle w:val="TableText0"/>
              <w:jc w:val="center"/>
            </w:pPr>
            <w:r w:rsidRPr="00480790">
              <w:t>54.0</w:t>
            </w:r>
          </w:p>
          <w:p w14:paraId="1AD5F241" w14:textId="77777777" w:rsidR="001C256F" w:rsidRPr="00480790" w:rsidRDefault="001C256F" w:rsidP="00751EBB">
            <w:pPr>
              <w:pStyle w:val="TableText0"/>
              <w:widowControl w:val="0"/>
              <w:jc w:val="center"/>
              <w:rPr>
                <w:szCs w:val="20"/>
              </w:rPr>
            </w:pPr>
            <w:r w:rsidRPr="00480790">
              <w:t>(43.7, 64.2)</w:t>
            </w:r>
          </w:p>
        </w:tc>
        <w:tc>
          <w:tcPr>
            <w:tcW w:w="1113" w:type="pct"/>
          </w:tcPr>
          <w:p w14:paraId="1CBB5BB1" w14:textId="77777777" w:rsidR="001C256F" w:rsidRPr="00480790" w:rsidRDefault="001C256F" w:rsidP="00751EBB">
            <w:pPr>
              <w:pStyle w:val="TableText0"/>
              <w:jc w:val="center"/>
            </w:pPr>
            <w:r w:rsidRPr="00480790">
              <w:t>34.7%</w:t>
            </w:r>
          </w:p>
          <w:p w14:paraId="5AB951FE" w14:textId="77777777" w:rsidR="001C256F" w:rsidRPr="00480790" w:rsidRDefault="001C256F" w:rsidP="00751EBB">
            <w:pPr>
              <w:pStyle w:val="TableText0"/>
              <w:widowControl w:val="0"/>
              <w:jc w:val="center"/>
              <w:rPr>
                <w:rFonts w:cs="Times New Roman"/>
                <w:szCs w:val="20"/>
              </w:rPr>
            </w:pPr>
            <w:r w:rsidRPr="00480790">
              <w:t>(22.4, 47.1)</w:t>
            </w:r>
          </w:p>
        </w:tc>
        <w:tc>
          <w:tcPr>
            <w:tcW w:w="879" w:type="pct"/>
          </w:tcPr>
          <w:p w14:paraId="128B5C10" w14:textId="77777777" w:rsidR="001C256F" w:rsidRPr="00480790" w:rsidRDefault="001C256F" w:rsidP="00751EBB">
            <w:pPr>
              <w:pStyle w:val="TableText0"/>
              <w:widowControl w:val="0"/>
              <w:jc w:val="center"/>
            </w:pPr>
            <w:r w:rsidRPr="00480790">
              <w:rPr>
                <w:b/>
                <w:bCs w:val="0"/>
              </w:rPr>
              <w:t>P=&lt;.0001</w:t>
            </w:r>
          </w:p>
        </w:tc>
      </w:tr>
      <w:tr w:rsidR="00AB01EA" w:rsidRPr="00480790" w14:paraId="4AF25F02" w14:textId="77777777" w:rsidTr="00751EBB">
        <w:trPr>
          <w:trHeight w:val="20"/>
        </w:trPr>
        <w:tc>
          <w:tcPr>
            <w:tcW w:w="1366" w:type="pct"/>
            <w:vAlign w:val="center"/>
          </w:tcPr>
          <w:p w14:paraId="4256A86D" w14:textId="77777777" w:rsidR="001C256F" w:rsidRPr="00480790" w:rsidRDefault="001C256F" w:rsidP="00751EBB">
            <w:pPr>
              <w:pStyle w:val="TableText0"/>
              <w:widowControl w:val="0"/>
            </w:pPr>
            <w:r w:rsidRPr="00480790">
              <w:t>% not progressed at 48 months (95% CI)</w:t>
            </w:r>
          </w:p>
        </w:tc>
        <w:tc>
          <w:tcPr>
            <w:tcW w:w="802" w:type="pct"/>
          </w:tcPr>
          <w:p w14:paraId="1188448D" w14:textId="77777777" w:rsidR="001C256F" w:rsidRPr="00480790" w:rsidRDefault="001C256F" w:rsidP="00751EBB">
            <w:pPr>
              <w:pStyle w:val="TableText0"/>
              <w:jc w:val="center"/>
            </w:pPr>
            <w:r w:rsidRPr="00480790">
              <w:t>77.3</w:t>
            </w:r>
          </w:p>
          <w:p w14:paraId="33BA9EBA" w14:textId="77777777" w:rsidR="001C256F" w:rsidRPr="00480790" w:rsidRDefault="001C256F" w:rsidP="00751EBB">
            <w:pPr>
              <w:pStyle w:val="TableText0"/>
              <w:widowControl w:val="0"/>
              <w:jc w:val="center"/>
              <w:rPr>
                <w:szCs w:val="20"/>
              </w:rPr>
            </w:pPr>
            <w:r w:rsidRPr="00480790">
              <w:t>(65.0, 89.5)</w:t>
            </w:r>
          </w:p>
        </w:tc>
        <w:tc>
          <w:tcPr>
            <w:tcW w:w="840" w:type="pct"/>
          </w:tcPr>
          <w:p w14:paraId="196826AE" w14:textId="77777777" w:rsidR="001C256F" w:rsidRPr="00480790" w:rsidRDefault="001C256F" w:rsidP="00751EBB">
            <w:pPr>
              <w:pStyle w:val="TableText0"/>
              <w:jc w:val="center"/>
            </w:pPr>
            <w:r w:rsidRPr="00480790">
              <w:t>46.2</w:t>
            </w:r>
          </w:p>
          <w:p w14:paraId="4BA0A445" w14:textId="77777777" w:rsidR="001C256F" w:rsidRPr="00480790" w:rsidRDefault="001C256F" w:rsidP="00751EBB">
            <w:pPr>
              <w:pStyle w:val="TableText0"/>
              <w:widowControl w:val="0"/>
              <w:jc w:val="center"/>
              <w:rPr>
                <w:szCs w:val="20"/>
              </w:rPr>
            </w:pPr>
            <w:r w:rsidRPr="00480790">
              <w:t>(34.2, 58.3)</w:t>
            </w:r>
          </w:p>
        </w:tc>
        <w:tc>
          <w:tcPr>
            <w:tcW w:w="1113" w:type="pct"/>
          </w:tcPr>
          <w:p w14:paraId="6CCADAB5" w14:textId="77777777" w:rsidR="001C256F" w:rsidRPr="00480790" w:rsidRDefault="001C256F" w:rsidP="00751EBB">
            <w:pPr>
              <w:pStyle w:val="TableText0"/>
              <w:jc w:val="center"/>
            </w:pPr>
            <w:r w:rsidRPr="00480790">
              <w:t>31.0%</w:t>
            </w:r>
          </w:p>
          <w:p w14:paraId="3D354452" w14:textId="77777777" w:rsidR="001C256F" w:rsidRPr="00480790" w:rsidRDefault="001C256F" w:rsidP="00751EBB">
            <w:pPr>
              <w:pStyle w:val="TableText0"/>
              <w:widowControl w:val="0"/>
              <w:jc w:val="center"/>
              <w:rPr>
                <w:rFonts w:cs="Times New Roman"/>
                <w:szCs w:val="20"/>
              </w:rPr>
            </w:pPr>
            <w:r w:rsidRPr="00480790">
              <w:t>(13.8, 48.3)</w:t>
            </w:r>
          </w:p>
        </w:tc>
        <w:tc>
          <w:tcPr>
            <w:tcW w:w="879" w:type="pct"/>
          </w:tcPr>
          <w:p w14:paraId="3F8ACD4A" w14:textId="77777777" w:rsidR="001C256F" w:rsidRPr="00480790" w:rsidRDefault="001C256F" w:rsidP="00751EBB">
            <w:pPr>
              <w:pStyle w:val="TableText0"/>
              <w:widowControl w:val="0"/>
              <w:jc w:val="center"/>
            </w:pPr>
            <w:r w:rsidRPr="00480790">
              <w:rPr>
                <w:b/>
                <w:bCs w:val="0"/>
              </w:rPr>
              <w:t>P=0.0004</w:t>
            </w:r>
          </w:p>
        </w:tc>
      </w:tr>
      <w:tr w:rsidR="00AB01EA" w:rsidRPr="00480790" w14:paraId="0AE8FDC4" w14:textId="7777777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F33A25F" w14:textId="77777777" w:rsidR="001C256F" w:rsidRPr="00480790" w:rsidRDefault="001C256F" w:rsidP="00751EBB">
            <w:pPr>
              <w:pStyle w:val="In-tableHeading"/>
              <w:rPr>
                <w:lang w:val="en-AU"/>
              </w:rPr>
            </w:pPr>
            <w:r w:rsidRPr="00480790">
              <w:rPr>
                <w:lang w:val="en-AU"/>
              </w:rPr>
              <w:t>Overall survival (duration of follow-up 2 years)</w:t>
            </w:r>
          </w:p>
        </w:tc>
      </w:tr>
      <w:tr w:rsidR="00AB01EA" w:rsidRPr="00480790" w14:paraId="342D9406" w14:textId="7777777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275C0738" w14:textId="77777777" w:rsidR="001C256F" w:rsidRPr="00480790" w:rsidRDefault="001C256F" w:rsidP="00751EBB">
            <w:pPr>
              <w:pStyle w:val="TableText0"/>
              <w:widowControl w:val="0"/>
            </w:pPr>
            <w:r w:rsidRPr="00480790">
              <w:t xml:space="preserve">Deaths, n/N (%) </w:t>
            </w:r>
          </w:p>
        </w:tc>
        <w:tc>
          <w:tcPr>
            <w:tcW w:w="802" w:type="pct"/>
            <w:vAlign w:val="center"/>
          </w:tcPr>
          <w:p w14:paraId="108DBFF8" w14:textId="77777777" w:rsidR="001C256F" w:rsidRPr="00480790" w:rsidRDefault="001C256F" w:rsidP="00751EBB">
            <w:pPr>
              <w:pStyle w:val="TableText0"/>
              <w:widowControl w:val="0"/>
              <w:jc w:val="center"/>
            </w:pPr>
            <w:r w:rsidRPr="00480790">
              <w:t xml:space="preserve">2/130 (1.5) </w:t>
            </w:r>
          </w:p>
        </w:tc>
        <w:tc>
          <w:tcPr>
            <w:tcW w:w="840" w:type="pct"/>
            <w:vAlign w:val="center"/>
          </w:tcPr>
          <w:p w14:paraId="290A51A8" w14:textId="77777777" w:rsidR="001C256F" w:rsidRPr="00480790" w:rsidRDefault="001C256F" w:rsidP="00751EBB">
            <w:pPr>
              <w:pStyle w:val="TableText0"/>
              <w:widowControl w:val="0"/>
              <w:jc w:val="center"/>
            </w:pPr>
            <w:r w:rsidRPr="00480790">
              <w:t xml:space="preserve">4/127 (3.1) </w:t>
            </w:r>
          </w:p>
        </w:tc>
        <w:tc>
          <w:tcPr>
            <w:tcW w:w="1113" w:type="pct"/>
            <w:vAlign w:val="center"/>
          </w:tcPr>
          <w:p w14:paraId="0BEB553A" w14:textId="77777777" w:rsidR="001C256F" w:rsidRPr="00480790" w:rsidRDefault="001C256F" w:rsidP="00751EBB">
            <w:pPr>
              <w:pStyle w:val="TableText0"/>
              <w:widowControl w:val="0"/>
              <w:jc w:val="center"/>
            </w:pPr>
            <w:r w:rsidRPr="00480790">
              <w:t>1.6%</w:t>
            </w:r>
          </w:p>
        </w:tc>
        <w:tc>
          <w:tcPr>
            <w:tcW w:w="879" w:type="pct"/>
            <w:vMerge w:val="restart"/>
            <w:tcBorders>
              <w:top w:val="single" w:sz="4" w:space="0" w:color="auto"/>
              <w:left w:val="single" w:sz="4" w:space="0" w:color="auto"/>
              <w:right w:val="single" w:sz="4" w:space="0" w:color="auto"/>
            </w:tcBorders>
            <w:shd w:val="clear" w:color="auto" w:fill="auto"/>
          </w:tcPr>
          <w:p w14:paraId="5E315894" w14:textId="77777777" w:rsidR="001C256F" w:rsidRPr="00480790" w:rsidRDefault="001C256F" w:rsidP="00751EBB">
            <w:pPr>
              <w:pStyle w:val="TableText0"/>
              <w:widowControl w:val="0"/>
              <w:jc w:val="center"/>
            </w:pPr>
            <w:r w:rsidRPr="00480790">
              <w:t>0.46 (0.08, 2.52)</w:t>
            </w:r>
          </w:p>
          <w:p w14:paraId="261FFCAF" w14:textId="77777777" w:rsidR="001C256F" w:rsidRPr="00480790" w:rsidRDefault="001C256F" w:rsidP="00751EBB">
            <w:pPr>
              <w:pStyle w:val="TableText0"/>
              <w:widowControl w:val="0"/>
              <w:jc w:val="center"/>
            </w:pPr>
            <w:r w:rsidRPr="00480790">
              <w:t>P=0.3603</w:t>
            </w:r>
            <w:r w:rsidRPr="00480790">
              <w:rPr>
                <w:vertAlign w:val="superscript"/>
              </w:rPr>
              <w:t>b</w:t>
            </w:r>
          </w:p>
        </w:tc>
      </w:tr>
      <w:tr w:rsidR="00AB01EA" w:rsidRPr="00480790" w14:paraId="0B8DA220" w14:textId="77777777">
        <w:trPr>
          <w:trHeight w:val="20"/>
        </w:trPr>
        <w:tc>
          <w:tcPr>
            <w:tcW w:w="1366" w:type="pct"/>
            <w:tcBorders>
              <w:top w:val="single" w:sz="4" w:space="0" w:color="auto"/>
              <w:left w:val="single" w:sz="4" w:space="0" w:color="auto"/>
              <w:bottom w:val="double" w:sz="4" w:space="0" w:color="auto"/>
              <w:right w:val="single" w:sz="4" w:space="0" w:color="auto"/>
            </w:tcBorders>
            <w:shd w:val="clear" w:color="auto" w:fill="auto"/>
          </w:tcPr>
          <w:p w14:paraId="53948AD6" w14:textId="77777777" w:rsidR="001C256F" w:rsidRPr="00480790" w:rsidRDefault="001C256F" w:rsidP="00751EBB">
            <w:pPr>
              <w:pStyle w:val="TableText0"/>
              <w:widowControl w:val="0"/>
            </w:pPr>
            <w:r w:rsidRPr="00480790">
              <w:t>Median OS, months (95% CI)</w:t>
            </w:r>
          </w:p>
        </w:tc>
        <w:tc>
          <w:tcPr>
            <w:tcW w:w="802" w:type="pct"/>
            <w:tcBorders>
              <w:top w:val="single" w:sz="4" w:space="0" w:color="auto"/>
              <w:left w:val="single" w:sz="4" w:space="0" w:color="auto"/>
              <w:bottom w:val="double" w:sz="4" w:space="0" w:color="auto"/>
              <w:right w:val="single" w:sz="4" w:space="0" w:color="auto"/>
            </w:tcBorders>
            <w:shd w:val="clear" w:color="auto" w:fill="auto"/>
          </w:tcPr>
          <w:p w14:paraId="049F19B9" w14:textId="77777777" w:rsidR="001C256F" w:rsidRPr="00480790" w:rsidRDefault="001C256F" w:rsidP="00751EBB">
            <w:pPr>
              <w:pStyle w:val="TableText0"/>
              <w:widowControl w:val="0"/>
              <w:jc w:val="center"/>
              <w:rPr>
                <w:rFonts w:cs="Times New Roman"/>
                <w:szCs w:val="20"/>
              </w:rPr>
            </w:pPr>
            <w:r w:rsidRPr="00480790">
              <w:t xml:space="preserve">NE (NE) </w:t>
            </w:r>
          </w:p>
        </w:tc>
        <w:tc>
          <w:tcPr>
            <w:tcW w:w="840" w:type="pct"/>
            <w:tcBorders>
              <w:top w:val="single" w:sz="4" w:space="0" w:color="auto"/>
              <w:left w:val="single" w:sz="4" w:space="0" w:color="auto"/>
              <w:bottom w:val="double" w:sz="4" w:space="0" w:color="auto"/>
              <w:right w:val="single" w:sz="4" w:space="0" w:color="auto"/>
            </w:tcBorders>
            <w:shd w:val="clear" w:color="auto" w:fill="auto"/>
          </w:tcPr>
          <w:p w14:paraId="66AA89D9" w14:textId="77777777" w:rsidR="001C256F" w:rsidRPr="00480790" w:rsidRDefault="001C256F" w:rsidP="00751EBB">
            <w:pPr>
              <w:pStyle w:val="TableText0"/>
              <w:widowControl w:val="0"/>
              <w:jc w:val="center"/>
              <w:rPr>
                <w:rFonts w:cs="Times New Roman"/>
                <w:szCs w:val="20"/>
              </w:rPr>
            </w:pPr>
            <w:r w:rsidRPr="00480790">
              <w:t xml:space="preserve">NE (NE) </w:t>
            </w:r>
          </w:p>
        </w:tc>
        <w:tc>
          <w:tcPr>
            <w:tcW w:w="1113" w:type="pct"/>
            <w:tcBorders>
              <w:top w:val="single" w:sz="4" w:space="0" w:color="auto"/>
              <w:left w:val="single" w:sz="4" w:space="0" w:color="auto"/>
              <w:bottom w:val="double" w:sz="4" w:space="0" w:color="auto"/>
              <w:right w:val="single" w:sz="4" w:space="0" w:color="auto"/>
            </w:tcBorders>
            <w:shd w:val="clear" w:color="auto" w:fill="auto"/>
          </w:tcPr>
          <w:p w14:paraId="37773A26" w14:textId="77777777" w:rsidR="001C256F" w:rsidRPr="00480790" w:rsidRDefault="001C256F" w:rsidP="00751EBB">
            <w:pPr>
              <w:pStyle w:val="TableText0"/>
              <w:widowControl w:val="0"/>
              <w:jc w:val="center"/>
            </w:pPr>
            <w:r w:rsidRPr="00480790">
              <w:rPr>
                <w:i/>
                <w:iCs/>
              </w:rPr>
              <w:t>NE</w:t>
            </w:r>
          </w:p>
        </w:tc>
        <w:tc>
          <w:tcPr>
            <w:tcW w:w="879" w:type="pct"/>
            <w:vMerge/>
            <w:tcBorders>
              <w:left w:val="single" w:sz="4" w:space="0" w:color="auto"/>
              <w:bottom w:val="double" w:sz="4" w:space="0" w:color="auto"/>
              <w:right w:val="single" w:sz="4" w:space="0" w:color="auto"/>
            </w:tcBorders>
            <w:shd w:val="clear" w:color="auto" w:fill="auto"/>
          </w:tcPr>
          <w:p w14:paraId="73FEA85B" w14:textId="77777777" w:rsidR="001C256F" w:rsidRPr="00480790" w:rsidRDefault="001C256F" w:rsidP="00751EBB">
            <w:pPr>
              <w:pStyle w:val="TableText0"/>
              <w:widowControl w:val="0"/>
              <w:jc w:val="center"/>
              <w:rPr>
                <w:szCs w:val="20"/>
              </w:rPr>
            </w:pPr>
          </w:p>
        </w:tc>
      </w:tr>
    </w:tbl>
    <w:tbl>
      <w:tblPr>
        <w:tblW w:w="5000" w:type="pct"/>
        <w:tblLayout w:type="fixed"/>
        <w:tblCellMar>
          <w:left w:w="0" w:type="dxa"/>
          <w:right w:w="28" w:type="dxa"/>
        </w:tblCellMar>
        <w:tblLook w:val="04A0" w:firstRow="1" w:lastRow="0" w:firstColumn="1" w:lastColumn="0" w:noHBand="0" w:noVBand="1"/>
      </w:tblPr>
      <w:tblGrid>
        <w:gridCol w:w="2549"/>
        <w:gridCol w:w="1417"/>
        <w:gridCol w:w="1558"/>
        <w:gridCol w:w="1843"/>
        <w:gridCol w:w="1650"/>
      </w:tblGrid>
      <w:tr w:rsidR="00AB01EA" w:rsidRPr="00480790" w14:paraId="07F1E4B1" w14:textId="77777777" w:rsidTr="00751EBB">
        <w:tc>
          <w:tcPr>
            <w:tcW w:w="5000" w:type="pct"/>
            <w:gridSpan w:val="5"/>
            <w:tcBorders>
              <w:top w:val="double" w:sz="4" w:space="0" w:color="auto"/>
              <w:left w:val="single" w:sz="4" w:space="0" w:color="auto"/>
              <w:bottom w:val="single" w:sz="4" w:space="0" w:color="auto"/>
              <w:right w:val="single" w:sz="4" w:space="0" w:color="auto"/>
            </w:tcBorders>
            <w:shd w:val="clear" w:color="auto" w:fill="auto"/>
            <w:vAlign w:val="center"/>
          </w:tcPr>
          <w:p w14:paraId="53914ADD" w14:textId="77777777" w:rsidR="001C256F" w:rsidRPr="00480790" w:rsidRDefault="001C256F" w:rsidP="00751EBB">
            <w:pPr>
              <w:pStyle w:val="In-tableHeading"/>
              <w:rPr>
                <w:lang w:val="en-AU"/>
              </w:rPr>
            </w:pPr>
            <w:r w:rsidRPr="00480790">
              <w:rPr>
                <w:lang w:val="en-AU"/>
              </w:rPr>
              <w:t xml:space="preserve">Harms </w:t>
            </w:r>
          </w:p>
        </w:tc>
      </w:tr>
      <w:tr w:rsidR="00AB01EA" w:rsidRPr="00480790" w14:paraId="00287557" w14:textId="77777777" w:rsidTr="00751EBB">
        <w:trPr>
          <w:trHeight w:val="629"/>
        </w:trPr>
        <w:tc>
          <w:tcPr>
            <w:tcW w:w="1413" w:type="pct"/>
            <w:tcBorders>
              <w:top w:val="single" w:sz="4" w:space="0" w:color="auto"/>
              <w:left w:val="single" w:sz="4" w:space="0" w:color="auto"/>
              <w:right w:val="single" w:sz="4" w:space="0" w:color="auto"/>
            </w:tcBorders>
            <w:shd w:val="clear" w:color="auto" w:fill="auto"/>
            <w:vAlign w:val="center"/>
          </w:tcPr>
          <w:p w14:paraId="65DF1D0F" w14:textId="77777777" w:rsidR="001C256F" w:rsidRPr="00480790" w:rsidRDefault="001C256F" w:rsidP="00751EBB">
            <w:pPr>
              <w:pStyle w:val="In-tableHeading"/>
              <w:rPr>
                <w:lang w:val="en-AU"/>
              </w:rPr>
            </w:pPr>
          </w:p>
        </w:tc>
        <w:tc>
          <w:tcPr>
            <w:tcW w:w="786" w:type="pct"/>
            <w:tcBorders>
              <w:top w:val="single" w:sz="4" w:space="0" w:color="auto"/>
              <w:left w:val="single" w:sz="4" w:space="0" w:color="auto"/>
              <w:bottom w:val="single" w:sz="4" w:space="0" w:color="auto"/>
              <w:right w:val="single" w:sz="4" w:space="0" w:color="auto"/>
            </w:tcBorders>
            <w:vAlign w:val="center"/>
          </w:tcPr>
          <w:p w14:paraId="3B6AC295" w14:textId="77777777" w:rsidR="001C256F" w:rsidRPr="00480790" w:rsidRDefault="001C256F" w:rsidP="00751EBB">
            <w:pPr>
              <w:pStyle w:val="In-tableHeading"/>
              <w:jc w:val="center"/>
              <w:rPr>
                <w:lang w:val="en-AU"/>
              </w:rPr>
            </w:pPr>
            <w:r w:rsidRPr="00480790">
              <w:rPr>
                <w:lang w:val="en-AU"/>
              </w:rPr>
              <w:t>Alectinib</w:t>
            </w:r>
          </w:p>
          <w:p w14:paraId="09B7AAD2" w14:textId="77777777" w:rsidR="001C256F" w:rsidRPr="00480790" w:rsidRDefault="001C256F" w:rsidP="00751EBB">
            <w:pPr>
              <w:pStyle w:val="In-tableHeading"/>
              <w:jc w:val="center"/>
              <w:rPr>
                <w:lang w:val="en-AU"/>
              </w:rPr>
            </w:pPr>
            <w:r w:rsidRPr="00480790">
              <w:rPr>
                <w:lang w:val="en-AU"/>
              </w:rPr>
              <w:t>n with event/N (%)</w:t>
            </w:r>
          </w:p>
        </w:tc>
        <w:tc>
          <w:tcPr>
            <w:tcW w:w="864" w:type="pct"/>
            <w:tcBorders>
              <w:top w:val="single" w:sz="4" w:space="0" w:color="auto"/>
              <w:left w:val="single" w:sz="4" w:space="0" w:color="auto"/>
              <w:bottom w:val="single" w:sz="4" w:space="0" w:color="auto"/>
              <w:right w:val="single" w:sz="4" w:space="0" w:color="auto"/>
            </w:tcBorders>
            <w:vAlign w:val="center"/>
          </w:tcPr>
          <w:p w14:paraId="6620E1D9" w14:textId="77777777" w:rsidR="001C256F" w:rsidRPr="00480790" w:rsidRDefault="001C256F" w:rsidP="00751EBB">
            <w:pPr>
              <w:pStyle w:val="In-tableHeading"/>
              <w:jc w:val="center"/>
              <w:rPr>
                <w:lang w:val="en-AU"/>
              </w:rPr>
            </w:pPr>
            <w:r w:rsidRPr="00480790">
              <w:rPr>
                <w:lang w:val="en-AU"/>
              </w:rPr>
              <w:t>Chemotherapy</w:t>
            </w:r>
          </w:p>
          <w:p w14:paraId="16853E71" w14:textId="77777777" w:rsidR="001C256F" w:rsidRPr="00480790" w:rsidRDefault="001C256F" w:rsidP="00751EBB">
            <w:pPr>
              <w:pStyle w:val="In-tableHeading"/>
              <w:jc w:val="center"/>
              <w:rPr>
                <w:lang w:val="en-AU"/>
              </w:rPr>
            </w:pPr>
            <w:r w:rsidRPr="00480790">
              <w:rPr>
                <w:lang w:val="en-AU"/>
              </w:rPr>
              <w:t>n with event/N (%)</w:t>
            </w:r>
          </w:p>
        </w:tc>
        <w:tc>
          <w:tcPr>
            <w:tcW w:w="1022" w:type="pct"/>
            <w:tcBorders>
              <w:top w:val="single" w:sz="4" w:space="0" w:color="auto"/>
              <w:left w:val="single" w:sz="4" w:space="0" w:color="auto"/>
              <w:right w:val="single" w:sz="4" w:space="0" w:color="auto"/>
            </w:tcBorders>
            <w:vAlign w:val="center"/>
          </w:tcPr>
          <w:p w14:paraId="10B92B27" w14:textId="77777777" w:rsidR="001C256F" w:rsidRPr="00480790" w:rsidRDefault="001C256F" w:rsidP="00751EBB">
            <w:pPr>
              <w:pStyle w:val="In-tableHeading"/>
              <w:jc w:val="center"/>
              <w:rPr>
                <w:lang w:val="en-AU"/>
              </w:rPr>
            </w:pPr>
            <w:r w:rsidRPr="00480790">
              <w:rPr>
                <w:lang w:val="en-AU"/>
              </w:rPr>
              <w:t>Absolute Risk difference</w:t>
            </w:r>
          </w:p>
        </w:tc>
        <w:tc>
          <w:tcPr>
            <w:tcW w:w="915" w:type="pct"/>
            <w:tcBorders>
              <w:top w:val="single" w:sz="4" w:space="0" w:color="auto"/>
              <w:left w:val="single" w:sz="4" w:space="0" w:color="auto"/>
              <w:bottom w:val="single" w:sz="4" w:space="0" w:color="auto"/>
              <w:right w:val="single" w:sz="4" w:space="0" w:color="auto"/>
            </w:tcBorders>
            <w:vAlign w:val="center"/>
          </w:tcPr>
          <w:p w14:paraId="2AB93031" w14:textId="77777777" w:rsidR="001C256F" w:rsidRPr="00480790" w:rsidRDefault="001C256F" w:rsidP="00751EBB">
            <w:pPr>
              <w:pStyle w:val="In-tableHeading"/>
              <w:jc w:val="center"/>
              <w:rPr>
                <w:lang w:val="en-AU"/>
              </w:rPr>
            </w:pPr>
            <w:r w:rsidRPr="00480790">
              <w:rPr>
                <w:lang w:val="en-AU"/>
              </w:rPr>
              <w:t>RD</w:t>
            </w:r>
          </w:p>
          <w:p w14:paraId="1D7A840C" w14:textId="77777777" w:rsidR="001C256F" w:rsidRPr="00480790" w:rsidRDefault="001C256F" w:rsidP="00751EBB">
            <w:pPr>
              <w:pStyle w:val="In-tableHeading"/>
              <w:jc w:val="center"/>
              <w:rPr>
                <w:lang w:val="en-AU"/>
              </w:rPr>
            </w:pPr>
            <w:r w:rsidRPr="00480790">
              <w:rPr>
                <w:lang w:val="en-AU"/>
              </w:rPr>
              <w:t>(95% CI)</w:t>
            </w:r>
          </w:p>
        </w:tc>
      </w:tr>
      <w:tr w:rsidR="00AB01EA" w:rsidRPr="00480790" w14:paraId="0B46C3B7" w14:textId="77777777" w:rsidTr="00751EBB">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2A27D4" w14:textId="77777777" w:rsidR="001C256F" w:rsidRPr="00480790" w:rsidRDefault="001C256F" w:rsidP="00751EBB">
            <w:pPr>
              <w:pStyle w:val="TableText0"/>
              <w:rPr>
                <w:b/>
                <w:bCs w:val="0"/>
              </w:rPr>
            </w:pPr>
            <w:r w:rsidRPr="00480790">
              <w:rPr>
                <w:b/>
                <w:bCs w:val="0"/>
              </w:rPr>
              <w:t>Type of adverse event, n (%)</w:t>
            </w:r>
          </w:p>
        </w:tc>
      </w:tr>
      <w:tr w:rsidR="00AB01EA" w:rsidRPr="00480790" w14:paraId="0C925002" w14:textId="77777777" w:rsidTr="00751EBB">
        <w:tc>
          <w:tcPr>
            <w:tcW w:w="1413" w:type="pct"/>
            <w:tcBorders>
              <w:top w:val="single" w:sz="4" w:space="0" w:color="auto"/>
              <w:left w:val="single" w:sz="4" w:space="0" w:color="auto"/>
              <w:bottom w:val="single" w:sz="4" w:space="0" w:color="auto"/>
              <w:right w:val="single" w:sz="4" w:space="0" w:color="auto"/>
            </w:tcBorders>
            <w:shd w:val="clear" w:color="auto" w:fill="auto"/>
          </w:tcPr>
          <w:p w14:paraId="34CF0139" w14:textId="77777777" w:rsidR="001C256F" w:rsidRPr="00480790" w:rsidRDefault="001C256F" w:rsidP="00751EBB">
            <w:pPr>
              <w:pStyle w:val="TableText0"/>
            </w:pPr>
            <w:r w:rsidRPr="00480790">
              <w:t>Any AE</w:t>
            </w:r>
          </w:p>
        </w:tc>
        <w:tc>
          <w:tcPr>
            <w:tcW w:w="786" w:type="pct"/>
            <w:tcBorders>
              <w:top w:val="single" w:sz="4" w:space="0" w:color="auto"/>
              <w:left w:val="single" w:sz="4" w:space="0" w:color="auto"/>
              <w:bottom w:val="single" w:sz="4" w:space="0" w:color="auto"/>
              <w:right w:val="single" w:sz="4" w:space="0" w:color="auto"/>
            </w:tcBorders>
          </w:tcPr>
          <w:p w14:paraId="046EB4F6" w14:textId="77777777" w:rsidR="001C256F" w:rsidRPr="00480790" w:rsidRDefault="001C256F" w:rsidP="00751EBB">
            <w:pPr>
              <w:pStyle w:val="TableText0"/>
              <w:jc w:val="center"/>
            </w:pPr>
            <w:r w:rsidRPr="00480790">
              <w:t>126 (98.4)</w:t>
            </w:r>
          </w:p>
        </w:tc>
        <w:tc>
          <w:tcPr>
            <w:tcW w:w="864" w:type="pct"/>
            <w:tcBorders>
              <w:top w:val="single" w:sz="4" w:space="0" w:color="auto"/>
              <w:left w:val="single" w:sz="4" w:space="0" w:color="auto"/>
              <w:bottom w:val="single" w:sz="4" w:space="0" w:color="auto"/>
              <w:right w:val="single" w:sz="4" w:space="0" w:color="auto"/>
            </w:tcBorders>
          </w:tcPr>
          <w:p w14:paraId="2620FF43" w14:textId="77777777" w:rsidR="001C256F" w:rsidRPr="00480790" w:rsidRDefault="001C256F" w:rsidP="00751EBB">
            <w:pPr>
              <w:pStyle w:val="TableText0"/>
              <w:jc w:val="center"/>
            </w:pPr>
            <w:r w:rsidRPr="00480790">
              <w:t>112 (93.3)</w:t>
            </w:r>
          </w:p>
        </w:tc>
        <w:tc>
          <w:tcPr>
            <w:tcW w:w="1022" w:type="pct"/>
            <w:tcBorders>
              <w:top w:val="single" w:sz="4" w:space="0" w:color="auto"/>
              <w:left w:val="single" w:sz="4" w:space="0" w:color="auto"/>
              <w:bottom w:val="single" w:sz="4" w:space="0" w:color="auto"/>
              <w:right w:val="single" w:sz="4" w:space="0" w:color="auto"/>
            </w:tcBorders>
            <w:vAlign w:val="center"/>
          </w:tcPr>
          <w:p w14:paraId="5AED622A" w14:textId="77777777" w:rsidR="001C256F" w:rsidRPr="00480790" w:rsidRDefault="001C256F" w:rsidP="00751EBB">
            <w:pPr>
              <w:pStyle w:val="TableText0"/>
              <w:jc w:val="center"/>
              <w:rPr>
                <w:i/>
                <w:iCs/>
              </w:rPr>
            </w:pPr>
            <w:r w:rsidRPr="00480790">
              <w:rPr>
                <w:i/>
                <w:iCs/>
              </w:rPr>
              <w:t>5.1%</w:t>
            </w:r>
          </w:p>
        </w:tc>
        <w:tc>
          <w:tcPr>
            <w:tcW w:w="915" w:type="pct"/>
            <w:tcBorders>
              <w:top w:val="single" w:sz="4" w:space="0" w:color="auto"/>
              <w:left w:val="single" w:sz="4" w:space="0" w:color="auto"/>
              <w:bottom w:val="single" w:sz="4" w:space="0" w:color="auto"/>
              <w:right w:val="single" w:sz="4" w:space="0" w:color="auto"/>
            </w:tcBorders>
            <w:vAlign w:val="center"/>
          </w:tcPr>
          <w:p w14:paraId="5FDBC145" w14:textId="77777777" w:rsidR="001C256F" w:rsidRPr="00480790" w:rsidRDefault="001C256F" w:rsidP="00751EBB">
            <w:pPr>
              <w:pStyle w:val="TableText0"/>
              <w:jc w:val="center"/>
              <w:rPr>
                <w:i/>
                <w:iCs/>
              </w:rPr>
            </w:pPr>
            <w:r w:rsidRPr="00480790">
              <w:rPr>
                <w:i/>
                <w:iCs/>
              </w:rPr>
              <w:t xml:space="preserve">0.1 (0.0, 0.1) </w:t>
            </w:r>
          </w:p>
        </w:tc>
      </w:tr>
      <w:tr w:rsidR="00AB01EA" w:rsidRPr="00480790" w14:paraId="15362861" w14:textId="77777777" w:rsidTr="00751EBB">
        <w:tc>
          <w:tcPr>
            <w:tcW w:w="1413" w:type="pct"/>
            <w:tcBorders>
              <w:top w:val="single" w:sz="4" w:space="0" w:color="auto"/>
              <w:left w:val="single" w:sz="4" w:space="0" w:color="auto"/>
              <w:bottom w:val="single" w:sz="4" w:space="0" w:color="auto"/>
              <w:right w:val="single" w:sz="4" w:space="0" w:color="auto"/>
            </w:tcBorders>
            <w:shd w:val="clear" w:color="auto" w:fill="auto"/>
          </w:tcPr>
          <w:p w14:paraId="64140B55" w14:textId="77777777" w:rsidR="001C256F" w:rsidRPr="00480790" w:rsidRDefault="001C256F" w:rsidP="00751EBB">
            <w:pPr>
              <w:pStyle w:val="TableText0"/>
            </w:pPr>
            <w:r w:rsidRPr="00480790">
              <w:t>Treatment-related AE (any)</w:t>
            </w:r>
          </w:p>
        </w:tc>
        <w:tc>
          <w:tcPr>
            <w:tcW w:w="786" w:type="pct"/>
            <w:tcBorders>
              <w:top w:val="single" w:sz="4" w:space="0" w:color="auto"/>
              <w:left w:val="single" w:sz="4" w:space="0" w:color="auto"/>
              <w:bottom w:val="single" w:sz="4" w:space="0" w:color="auto"/>
              <w:right w:val="single" w:sz="4" w:space="0" w:color="auto"/>
            </w:tcBorders>
          </w:tcPr>
          <w:p w14:paraId="700394F7" w14:textId="77777777" w:rsidR="001C256F" w:rsidRPr="00480790" w:rsidRDefault="001C256F" w:rsidP="00751EBB">
            <w:pPr>
              <w:pStyle w:val="TableText0"/>
              <w:jc w:val="center"/>
            </w:pPr>
            <w:r w:rsidRPr="00480790">
              <w:t>120 (93.8)</w:t>
            </w:r>
          </w:p>
        </w:tc>
        <w:tc>
          <w:tcPr>
            <w:tcW w:w="864" w:type="pct"/>
            <w:tcBorders>
              <w:top w:val="single" w:sz="4" w:space="0" w:color="auto"/>
              <w:left w:val="single" w:sz="4" w:space="0" w:color="auto"/>
              <w:bottom w:val="single" w:sz="4" w:space="0" w:color="auto"/>
              <w:right w:val="single" w:sz="4" w:space="0" w:color="auto"/>
            </w:tcBorders>
          </w:tcPr>
          <w:p w14:paraId="5476C6CF" w14:textId="77777777" w:rsidR="001C256F" w:rsidRPr="00480790" w:rsidRDefault="001C256F" w:rsidP="00751EBB">
            <w:pPr>
              <w:pStyle w:val="TableText0"/>
              <w:jc w:val="center"/>
            </w:pPr>
            <w:r w:rsidRPr="00480790">
              <w:t>107 (89.2)</w:t>
            </w:r>
          </w:p>
        </w:tc>
        <w:tc>
          <w:tcPr>
            <w:tcW w:w="1022" w:type="pct"/>
            <w:tcBorders>
              <w:top w:val="single" w:sz="4" w:space="0" w:color="auto"/>
              <w:left w:val="single" w:sz="4" w:space="0" w:color="auto"/>
              <w:bottom w:val="single" w:sz="4" w:space="0" w:color="auto"/>
              <w:right w:val="single" w:sz="4" w:space="0" w:color="auto"/>
            </w:tcBorders>
            <w:vAlign w:val="center"/>
          </w:tcPr>
          <w:p w14:paraId="6BB5CF6F" w14:textId="77777777" w:rsidR="001C256F" w:rsidRPr="00480790" w:rsidRDefault="001C256F" w:rsidP="00751EBB">
            <w:pPr>
              <w:pStyle w:val="TableText0"/>
              <w:jc w:val="center"/>
              <w:rPr>
                <w:i/>
                <w:iCs/>
              </w:rPr>
            </w:pPr>
            <w:r w:rsidRPr="00480790">
              <w:rPr>
                <w:i/>
                <w:iCs/>
              </w:rPr>
              <w:t>4.6%</w:t>
            </w:r>
          </w:p>
        </w:tc>
        <w:tc>
          <w:tcPr>
            <w:tcW w:w="915" w:type="pct"/>
            <w:tcBorders>
              <w:top w:val="single" w:sz="4" w:space="0" w:color="auto"/>
              <w:left w:val="single" w:sz="4" w:space="0" w:color="auto"/>
              <w:bottom w:val="single" w:sz="4" w:space="0" w:color="auto"/>
              <w:right w:val="single" w:sz="4" w:space="0" w:color="auto"/>
            </w:tcBorders>
            <w:vAlign w:val="center"/>
          </w:tcPr>
          <w:p w14:paraId="38E3C62B" w14:textId="77777777" w:rsidR="001C256F" w:rsidRPr="00480790" w:rsidRDefault="001C256F" w:rsidP="00751EBB">
            <w:pPr>
              <w:pStyle w:val="TableText0"/>
              <w:jc w:val="center"/>
              <w:rPr>
                <w:i/>
                <w:iCs/>
              </w:rPr>
            </w:pPr>
            <w:r w:rsidRPr="00480790">
              <w:rPr>
                <w:i/>
                <w:iCs/>
              </w:rPr>
              <w:t xml:space="preserve">0.0 (0.0, 0.1) </w:t>
            </w:r>
          </w:p>
        </w:tc>
      </w:tr>
      <w:tr w:rsidR="00AB01EA" w:rsidRPr="00480790" w14:paraId="10A1618E" w14:textId="77777777" w:rsidTr="00751EBB">
        <w:tc>
          <w:tcPr>
            <w:tcW w:w="1413" w:type="pct"/>
            <w:tcBorders>
              <w:top w:val="single" w:sz="4" w:space="0" w:color="auto"/>
              <w:left w:val="single" w:sz="4" w:space="0" w:color="auto"/>
              <w:bottom w:val="single" w:sz="4" w:space="0" w:color="auto"/>
              <w:right w:val="single" w:sz="4" w:space="0" w:color="auto"/>
            </w:tcBorders>
            <w:shd w:val="clear" w:color="auto" w:fill="auto"/>
          </w:tcPr>
          <w:p w14:paraId="59B7D306" w14:textId="77777777" w:rsidR="001C256F" w:rsidRPr="00480790" w:rsidRDefault="001C256F" w:rsidP="00751EBB">
            <w:pPr>
              <w:pStyle w:val="TableText0"/>
              <w:rPr>
                <w:vertAlign w:val="superscript"/>
              </w:rPr>
            </w:pPr>
            <w:r w:rsidRPr="00480790">
              <w:t>Grade ≥3 AE</w:t>
            </w:r>
            <w:r w:rsidRPr="00480790">
              <w:rPr>
                <w:vertAlign w:val="superscript"/>
              </w:rPr>
              <w:t>a</w:t>
            </w:r>
          </w:p>
        </w:tc>
        <w:tc>
          <w:tcPr>
            <w:tcW w:w="786" w:type="pct"/>
            <w:tcBorders>
              <w:top w:val="single" w:sz="4" w:space="0" w:color="auto"/>
              <w:left w:val="single" w:sz="4" w:space="0" w:color="auto"/>
              <w:bottom w:val="single" w:sz="4" w:space="0" w:color="auto"/>
              <w:right w:val="single" w:sz="4" w:space="0" w:color="auto"/>
            </w:tcBorders>
          </w:tcPr>
          <w:p w14:paraId="7C277973" w14:textId="77777777" w:rsidR="001C256F" w:rsidRPr="00480790" w:rsidRDefault="001C256F" w:rsidP="00751EBB">
            <w:pPr>
              <w:pStyle w:val="TableText0"/>
              <w:jc w:val="center"/>
            </w:pPr>
            <w:r w:rsidRPr="00480790">
              <w:t>38 (29.7)</w:t>
            </w:r>
          </w:p>
        </w:tc>
        <w:tc>
          <w:tcPr>
            <w:tcW w:w="864" w:type="pct"/>
            <w:tcBorders>
              <w:top w:val="single" w:sz="4" w:space="0" w:color="auto"/>
              <w:left w:val="single" w:sz="4" w:space="0" w:color="auto"/>
              <w:bottom w:val="single" w:sz="4" w:space="0" w:color="auto"/>
              <w:right w:val="single" w:sz="4" w:space="0" w:color="auto"/>
            </w:tcBorders>
          </w:tcPr>
          <w:p w14:paraId="116B1CAD" w14:textId="77777777" w:rsidR="001C256F" w:rsidRPr="00480790" w:rsidRDefault="001C256F" w:rsidP="00751EBB">
            <w:pPr>
              <w:pStyle w:val="TableText0"/>
              <w:jc w:val="center"/>
            </w:pPr>
            <w:r w:rsidRPr="00480790">
              <w:t>37 (30.8)</w:t>
            </w:r>
          </w:p>
        </w:tc>
        <w:tc>
          <w:tcPr>
            <w:tcW w:w="1022" w:type="pct"/>
            <w:tcBorders>
              <w:top w:val="single" w:sz="4" w:space="0" w:color="auto"/>
              <w:left w:val="single" w:sz="4" w:space="0" w:color="auto"/>
              <w:bottom w:val="single" w:sz="4" w:space="0" w:color="auto"/>
              <w:right w:val="single" w:sz="4" w:space="0" w:color="auto"/>
            </w:tcBorders>
            <w:vAlign w:val="center"/>
          </w:tcPr>
          <w:p w14:paraId="5537E1E7" w14:textId="77777777" w:rsidR="001C256F" w:rsidRPr="00480790" w:rsidRDefault="001C256F" w:rsidP="00751EBB">
            <w:pPr>
              <w:pStyle w:val="TableText0"/>
              <w:jc w:val="center"/>
              <w:rPr>
                <w:i/>
                <w:iCs/>
              </w:rPr>
            </w:pPr>
            <w:r w:rsidRPr="00480790">
              <w:rPr>
                <w:i/>
                <w:iCs/>
              </w:rPr>
              <w:t>-1.1%</w:t>
            </w:r>
          </w:p>
        </w:tc>
        <w:tc>
          <w:tcPr>
            <w:tcW w:w="915" w:type="pct"/>
            <w:tcBorders>
              <w:top w:val="single" w:sz="4" w:space="0" w:color="auto"/>
              <w:left w:val="single" w:sz="4" w:space="0" w:color="auto"/>
              <w:bottom w:val="single" w:sz="4" w:space="0" w:color="auto"/>
              <w:right w:val="single" w:sz="4" w:space="0" w:color="auto"/>
            </w:tcBorders>
            <w:vAlign w:val="center"/>
          </w:tcPr>
          <w:p w14:paraId="5BE23894" w14:textId="77777777" w:rsidR="001C256F" w:rsidRPr="00480790" w:rsidRDefault="001C256F" w:rsidP="00751EBB">
            <w:pPr>
              <w:pStyle w:val="TableText0"/>
              <w:jc w:val="center"/>
              <w:rPr>
                <w:i/>
                <w:iCs/>
              </w:rPr>
            </w:pPr>
            <w:r w:rsidRPr="00480790">
              <w:rPr>
                <w:i/>
                <w:iCs/>
              </w:rPr>
              <w:t xml:space="preserve">0.0 (-0.1, 0.1) </w:t>
            </w:r>
          </w:p>
        </w:tc>
      </w:tr>
      <w:tr w:rsidR="00AB01EA" w:rsidRPr="00480790" w14:paraId="16E9CDBC" w14:textId="77777777" w:rsidTr="00751EB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A284B9F" w14:textId="77777777" w:rsidR="001C256F" w:rsidRPr="00480790" w:rsidRDefault="001C256F" w:rsidP="00751EBB">
            <w:pPr>
              <w:pStyle w:val="TableText0"/>
              <w:rPr>
                <w:b/>
                <w:bCs w:val="0"/>
              </w:rPr>
            </w:pPr>
            <w:r w:rsidRPr="00480790">
              <w:rPr>
                <w:b/>
                <w:bCs w:val="0"/>
              </w:rPr>
              <w:t>Treatment-related adverse events</w:t>
            </w:r>
          </w:p>
        </w:tc>
      </w:tr>
      <w:tr w:rsidR="00AB01EA" w:rsidRPr="00480790" w14:paraId="16C098D6" w14:textId="77777777" w:rsidTr="00751EB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28656E7" w14:textId="77777777" w:rsidR="001C256F" w:rsidRPr="00480790" w:rsidRDefault="001C256F" w:rsidP="00751EBB">
            <w:pPr>
              <w:pStyle w:val="TableText0"/>
              <w:rPr>
                <w:b/>
                <w:bCs w:val="0"/>
              </w:rPr>
            </w:pPr>
            <w:r w:rsidRPr="00480790">
              <w:t xml:space="preserve"> </w:t>
            </w:r>
            <w:r w:rsidRPr="00480790">
              <w:rPr>
                <w:b/>
                <w:bCs w:val="0"/>
              </w:rPr>
              <w:t>Adverse events with a difference in incidence rate of at least 5% between treatment arms</w:t>
            </w:r>
          </w:p>
        </w:tc>
      </w:tr>
      <w:tr w:rsidR="00AB01EA" w:rsidRPr="00480790" w14:paraId="6C1EFCC5" w14:textId="77777777" w:rsidTr="00751EBB">
        <w:tc>
          <w:tcPr>
            <w:tcW w:w="1413" w:type="pct"/>
            <w:tcBorders>
              <w:top w:val="single" w:sz="4" w:space="0" w:color="auto"/>
              <w:left w:val="single" w:sz="4" w:space="0" w:color="auto"/>
              <w:bottom w:val="single" w:sz="4" w:space="0" w:color="auto"/>
              <w:right w:val="single" w:sz="4" w:space="0" w:color="auto"/>
            </w:tcBorders>
            <w:shd w:val="clear" w:color="auto" w:fill="auto"/>
          </w:tcPr>
          <w:p w14:paraId="75B41711" w14:textId="77777777" w:rsidR="001C256F" w:rsidRPr="00480790" w:rsidRDefault="001C256F" w:rsidP="00751EBB">
            <w:pPr>
              <w:pStyle w:val="TableText0"/>
            </w:pPr>
            <w:r w:rsidRPr="00480790">
              <w:t>Nausea</w:t>
            </w:r>
          </w:p>
        </w:tc>
        <w:tc>
          <w:tcPr>
            <w:tcW w:w="786" w:type="pct"/>
            <w:tcBorders>
              <w:top w:val="single" w:sz="4" w:space="0" w:color="auto"/>
              <w:left w:val="single" w:sz="4" w:space="0" w:color="auto"/>
              <w:bottom w:val="single" w:sz="4" w:space="0" w:color="auto"/>
              <w:right w:val="single" w:sz="4" w:space="0" w:color="auto"/>
            </w:tcBorders>
          </w:tcPr>
          <w:p w14:paraId="18E5D267" w14:textId="77777777" w:rsidR="001C256F" w:rsidRPr="00480790" w:rsidRDefault="001C256F" w:rsidP="00751EBB">
            <w:pPr>
              <w:pStyle w:val="TableText0"/>
              <w:jc w:val="center"/>
            </w:pPr>
            <w:r w:rsidRPr="00480790">
              <w:t>10 (7.8)</w:t>
            </w:r>
          </w:p>
        </w:tc>
        <w:tc>
          <w:tcPr>
            <w:tcW w:w="864" w:type="pct"/>
            <w:tcBorders>
              <w:top w:val="single" w:sz="4" w:space="0" w:color="auto"/>
              <w:left w:val="single" w:sz="4" w:space="0" w:color="auto"/>
              <w:bottom w:val="single" w:sz="4" w:space="0" w:color="auto"/>
              <w:right w:val="single" w:sz="4" w:space="0" w:color="auto"/>
            </w:tcBorders>
          </w:tcPr>
          <w:p w14:paraId="43C56A32" w14:textId="77777777" w:rsidR="001C256F" w:rsidRPr="00480790" w:rsidRDefault="001C256F" w:rsidP="00751EBB">
            <w:pPr>
              <w:pStyle w:val="TableText0"/>
              <w:jc w:val="center"/>
            </w:pPr>
            <w:r w:rsidRPr="00480790">
              <w:t>87 (72.5)</w:t>
            </w:r>
          </w:p>
        </w:tc>
        <w:tc>
          <w:tcPr>
            <w:tcW w:w="1022" w:type="pct"/>
            <w:tcBorders>
              <w:top w:val="single" w:sz="4" w:space="0" w:color="auto"/>
              <w:left w:val="single" w:sz="4" w:space="0" w:color="auto"/>
              <w:bottom w:val="single" w:sz="4" w:space="0" w:color="auto"/>
              <w:right w:val="single" w:sz="4" w:space="0" w:color="auto"/>
            </w:tcBorders>
            <w:vAlign w:val="center"/>
          </w:tcPr>
          <w:p w14:paraId="0787E386" w14:textId="77777777" w:rsidR="001C256F" w:rsidRPr="00480790" w:rsidRDefault="001C256F" w:rsidP="00751EBB">
            <w:pPr>
              <w:pStyle w:val="TableText0"/>
              <w:jc w:val="center"/>
              <w:rPr>
                <w:i/>
                <w:iCs/>
              </w:rPr>
            </w:pPr>
            <w:r w:rsidRPr="00480790">
              <w:rPr>
                <w:i/>
                <w:iCs/>
              </w:rPr>
              <w:t>-64.7</w:t>
            </w:r>
          </w:p>
        </w:tc>
        <w:tc>
          <w:tcPr>
            <w:tcW w:w="915" w:type="pct"/>
            <w:tcBorders>
              <w:top w:val="single" w:sz="4" w:space="0" w:color="auto"/>
              <w:left w:val="single" w:sz="4" w:space="0" w:color="auto"/>
              <w:bottom w:val="single" w:sz="4" w:space="0" w:color="auto"/>
              <w:right w:val="single" w:sz="4" w:space="0" w:color="auto"/>
            </w:tcBorders>
          </w:tcPr>
          <w:p w14:paraId="0330399D" w14:textId="77777777" w:rsidR="001C256F" w:rsidRPr="00480790" w:rsidRDefault="001C256F" w:rsidP="00751EBB">
            <w:pPr>
              <w:pStyle w:val="TableText0"/>
              <w:jc w:val="center"/>
              <w:rPr>
                <w:i/>
                <w:iCs/>
              </w:rPr>
            </w:pPr>
            <w:r w:rsidRPr="00480790">
              <w:rPr>
                <w:i/>
                <w:iCs/>
              </w:rPr>
              <w:t xml:space="preserve">0.6 (0.7, 0.6) </w:t>
            </w:r>
          </w:p>
        </w:tc>
      </w:tr>
      <w:tr w:rsidR="00AB01EA" w:rsidRPr="00480790" w14:paraId="40094DDD" w14:textId="77777777" w:rsidTr="00751EBB">
        <w:tc>
          <w:tcPr>
            <w:tcW w:w="1413" w:type="pct"/>
            <w:tcBorders>
              <w:top w:val="single" w:sz="4" w:space="0" w:color="auto"/>
              <w:left w:val="single" w:sz="4" w:space="0" w:color="auto"/>
              <w:bottom w:val="single" w:sz="4" w:space="0" w:color="auto"/>
              <w:right w:val="single" w:sz="4" w:space="0" w:color="auto"/>
            </w:tcBorders>
            <w:shd w:val="clear" w:color="auto" w:fill="auto"/>
          </w:tcPr>
          <w:p w14:paraId="7BD40F5F" w14:textId="77777777" w:rsidR="001C256F" w:rsidRPr="00480790" w:rsidRDefault="001C256F" w:rsidP="00751EBB">
            <w:pPr>
              <w:pStyle w:val="TableText0"/>
            </w:pPr>
            <w:r w:rsidRPr="00480790">
              <w:t xml:space="preserve">Blood CPK increased </w:t>
            </w:r>
          </w:p>
        </w:tc>
        <w:tc>
          <w:tcPr>
            <w:tcW w:w="786" w:type="pct"/>
            <w:tcBorders>
              <w:top w:val="single" w:sz="4" w:space="0" w:color="auto"/>
              <w:left w:val="single" w:sz="4" w:space="0" w:color="auto"/>
              <w:bottom w:val="single" w:sz="4" w:space="0" w:color="auto"/>
              <w:right w:val="single" w:sz="4" w:space="0" w:color="auto"/>
            </w:tcBorders>
          </w:tcPr>
          <w:p w14:paraId="115E9F62" w14:textId="77777777" w:rsidR="001C256F" w:rsidRPr="00480790" w:rsidRDefault="001C256F" w:rsidP="00751EBB">
            <w:pPr>
              <w:pStyle w:val="TableText0"/>
              <w:jc w:val="center"/>
            </w:pPr>
            <w:r w:rsidRPr="00480790">
              <w:t>55 (43.0)</w:t>
            </w:r>
          </w:p>
        </w:tc>
        <w:tc>
          <w:tcPr>
            <w:tcW w:w="864" w:type="pct"/>
            <w:tcBorders>
              <w:top w:val="single" w:sz="4" w:space="0" w:color="auto"/>
              <w:left w:val="single" w:sz="4" w:space="0" w:color="auto"/>
              <w:bottom w:val="single" w:sz="4" w:space="0" w:color="auto"/>
              <w:right w:val="single" w:sz="4" w:space="0" w:color="auto"/>
            </w:tcBorders>
          </w:tcPr>
          <w:p w14:paraId="76152D6B" w14:textId="77777777" w:rsidR="001C256F" w:rsidRPr="00480790" w:rsidRDefault="001C256F" w:rsidP="00751EBB">
            <w:pPr>
              <w:pStyle w:val="TableText0"/>
              <w:jc w:val="center"/>
            </w:pPr>
            <w:r w:rsidRPr="00480790">
              <w:t>1 (0.8)</w:t>
            </w:r>
          </w:p>
        </w:tc>
        <w:tc>
          <w:tcPr>
            <w:tcW w:w="1022" w:type="pct"/>
            <w:tcBorders>
              <w:top w:val="single" w:sz="4" w:space="0" w:color="auto"/>
              <w:left w:val="single" w:sz="4" w:space="0" w:color="auto"/>
              <w:bottom w:val="single" w:sz="4" w:space="0" w:color="auto"/>
              <w:right w:val="single" w:sz="4" w:space="0" w:color="auto"/>
            </w:tcBorders>
            <w:vAlign w:val="center"/>
          </w:tcPr>
          <w:p w14:paraId="257C5244" w14:textId="77777777" w:rsidR="001C256F" w:rsidRPr="00480790" w:rsidRDefault="001C256F" w:rsidP="00751EBB">
            <w:pPr>
              <w:pStyle w:val="TableText0"/>
              <w:jc w:val="center"/>
              <w:rPr>
                <w:i/>
                <w:iCs/>
              </w:rPr>
            </w:pPr>
            <w:r w:rsidRPr="00480790">
              <w:rPr>
                <w:i/>
                <w:iCs/>
              </w:rPr>
              <w:t>42.2</w:t>
            </w:r>
          </w:p>
        </w:tc>
        <w:tc>
          <w:tcPr>
            <w:tcW w:w="915" w:type="pct"/>
            <w:tcBorders>
              <w:top w:val="single" w:sz="4" w:space="0" w:color="auto"/>
              <w:left w:val="single" w:sz="4" w:space="0" w:color="auto"/>
              <w:bottom w:val="single" w:sz="4" w:space="0" w:color="auto"/>
              <w:right w:val="single" w:sz="4" w:space="0" w:color="auto"/>
            </w:tcBorders>
          </w:tcPr>
          <w:p w14:paraId="2D6CBFDD" w14:textId="77777777" w:rsidR="001C256F" w:rsidRPr="00480790" w:rsidRDefault="001C256F" w:rsidP="00751EBB">
            <w:pPr>
              <w:pStyle w:val="TableText0"/>
              <w:jc w:val="center"/>
              <w:rPr>
                <w:i/>
                <w:iCs/>
              </w:rPr>
            </w:pPr>
            <w:r w:rsidRPr="00480790">
              <w:rPr>
                <w:i/>
                <w:iCs/>
              </w:rPr>
              <w:t>0.4 (0.3, 0.5)</w:t>
            </w:r>
          </w:p>
        </w:tc>
      </w:tr>
      <w:tr w:rsidR="00AB01EA" w:rsidRPr="00480790" w14:paraId="450E1308" w14:textId="77777777" w:rsidTr="00751EBB">
        <w:tc>
          <w:tcPr>
            <w:tcW w:w="1413" w:type="pct"/>
            <w:tcBorders>
              <w:top w:val="single" w:sz="4" w:space="0" w:color="auto"/>
              <w:left w:val="single" w:sz="4" w:space="0" w:color="auto"/>
              <w:bottom w:val="single" w:sz="4" w:space="0" w:color="auto"/>
              <w:right w:val="single" w:sz="4" w:space="0" w:color="auto"/>
            </w:tcBorders>
            <w:shd w:val="clear" w:color="auto" w:fill="auto"/>
          </w:tcPr>
          <w:p w14:paraId="3FFCE330" w14:textId="77777777" w:rsidR="001C256F" w:rsidRPr="00480790" w:rsidRDefault="001C256F" w:rsidP="00751EBB">
            <w:pPr>
              <w:pStyle w:val="TableText0"/>
            </w:pPr>
            <w:r w:rsidRPr="00480790">
              <w:t>Constipation</w:t>
            </w:r>
          </w:p>
        </w:tc>
        <w:tc>
          <w:tcPr>
            <w:tcW w:w="786" w:type="pct"/>
            <w:tcBorders>
              <w:top w:val="single" w:sz="4" w:space="0" w:color="auto"/>
              <w:left w:val="single" w:sz="4" w:space="0" w:color="auto"/>
              <w:bottom w:val="single" w:sz="4" w:space="0" w:color="auto"/>
              <w:right w:val="single" w:sz="4" w:space="0" w:color="auto"/>
            </w:tcBorders>
          </w:tcPr>
          <w:p w14:paraId="63A48259" w14:textId="77777777" w:rsidR="001C256F" w:rsidRPr="00480790" w:rsidRDefault="001C256F" w:rsidP="00751EBB">
            <w:pPr>
              <w:pStyle w:val="TableText0"/>
              <w:jc w:val="center"/>
            </w:pPr>
            <w:r w:rsidRPr="00480790">
              <w:t>54 (42.2)</w:t>
            </w:r>
          </w:p>
        </w:tc>
        <w:tc>
          <w:tcPr>
            <w:tcW w:w="864" w:type="pct"/>
            <w:tcBorders>
              <w:top w:val="single" w:sz="4" w:space="0" w:color="auto"/>
              <w:left w:val="single" w:sz="4" w:space="0" w:color="auto"/>
              <w:bottom w:val="single" w:sz="4" w:space="0" w:color="auto"/>
              <w:right w:val="single" w:sz="4" w:space="0" w:color="auto"/>
            </w:tcBorders>
          </w:tcPr>
          <w:p w14:paraId="39298F56" w14:textId="77777777" w:rsidR="001C256F" w:rsidRPr="00480790" w:rsidRDefault="001C256F" w:rsidP="00751EBB">
            <w:pPr>
              <w:pStyle w:val="TableText0"/>
              <w:jc w:val="center"/>
            </w:pPr>
            <w:r w:rsidRPr="00480790">
              <w:t>30 (25.0)</w:t>
            </w:r>
          </w:p>
        </w:tc>
        <w:tc>
          <w:tcPr>
            <w:tcW w:w="1022" w:type="pct"/>
            <w:tcBorders>
              <w:top w:val="single" w:sz="4" w:space="0" w:color="auto"/>
              <w:left w:val="single" w:sz="4" w:space="0" w:color="auto"/>
              <w:bottom w:val="single" w:sz="4" w:space="0" w:color="auto"/>
              <w:right w:val="single" w:sz="4" w:space="0" w:color="auto"/>
            </w:tcBorders>
            <w:vAlign w:val="center"/>
          </w:tcPr>
          <w:p w14:paraId="0A6CAB84" w14:textId="77777777" w:rsidR="001C256F" w:rsidRPr="00480790" w:rsidRDefault="001C256F" w:rsidP="00751EBB">
            <w:pPr>
              <w:pStyle w:val="TableText0"/>
              <w:jc w:val="center"/>
              <w:rPr>
                <w:i/>
                <w:iCs/>
              </w:rPr>
            </w:pPr>
            <w:r w:rsidRPr="00480790">
              <w:rPr>
                <w:i/>
                <w:iCs/>
              </w:rPr>
              <w:t>17.2</w:t>
            </w:r>
          </w:p>
        </w:tc>
        <w:tc>
          <w:tcPr>
            <w:tcW w:w="915" w:type="pct"/>
            <w:tcBorders>
              <w:top w:val="single" w:sz="4" w:space="0" w:color="auto"/>
              <w:left w:val="single" w:sz="4" w:space="0" w:color="auto"/>
              <w:bottom w:val="single" w:sz="4" w:space="0" w:color="auto"/>
              <w:right w:val="single" w:sz="4" w:space="0" w:color="auto"/>
            </w:tcBorders>
          </w:tcPr>
          <w:p w14:paraId="05FC8F32" w14:textId="77777777" w:rsidR="001C256F" w:rsidRPr="00480790" w:rsidRDefault="001C256F" w:rsidP="00751EBB">
            <w:pPr>
              <w:pStyle w:val="TableText0"/>
              <w:jc w:val="center"/>
              <w:rPr>
                <w:i/>
                <w:iCs/>
              </w:rPr>
            </w:pPr>
            <w:r w:rsidRPr="00480790">
              <w:rPr>
                <w:i/>
                <w:iCs/>
              </w:rPr>
              <w:t>0.2 (0.1, 0.3)</w:t>
            </w:r>
          </w:p>
        </w:tc>
      </w:tr>
      <w:tr w:rsidR="00AB01EA" w:rsidRPr="00480790" w14:paraId="252177F7" w14:textId="77777777" w:rsidTr="00751EBB">
        <w:tc>
          <w:tcPr>
            <w:tcW w:w="1413" w:type="pct"/>
            <w:tcBorders>
              <w:top w:val="single" w:sz="4" w:space="0" w:color="auto"/>
              <w:left w:val="single" w:sz="4" w:space="0" w:color="auto"/>
              <w:bottom w:val="single" w:sz="4" w:space="0" w:color="auto"/>
              <w:right w:val="single" w:sz="4" w:space="0" w:color="auto"/>
            </w:tcBorders>
            <w:shd w:val="clear" w:color="auto" w:fill="auto"/>
          </w:tcPr>
          <w:p w14:paraId="47FCF7A4" w14:textId="77777777" w:rsidR="001C256F" w:rsidRPr="00480790" w:rsidRDefault="001C256F" w:rsidP="00751EBB">
            <w:pPr>
              <w:pStyle w:val="TableText0"/>
            </w:pPr>
            <w:r w:rsidRPr="00480790">
              <w:t>AST increased</w:t>
            </w:r>
          </w:p>
        </w:tc>
        <w:tc>
          <w:tcPr>
            <w:tcW w:w="786" w:type="pct"/>
            <w:tcBorders>
              <w:top w:val="single" w:sz="4" w:space="0" w:color="auto"/>
              <w:left w:val="single" w:sz="4" w:space="0" w:color="auto"/>
              <w:bottom w:val="single" w:sz="4" w:space="0" w:color="auto"/>
              <w:right w:val="single" w:sz="4" w:space="0" w:color="auto"/>
            </w:tcBorders>
          </w:tcPr>
          <w:p w14:paraId="4EB53155" w14:textId="77777777" w:rsidR="001C256F" w:rsidRPr="00480790" w:rsidRDefault="001C256F" w:rsidP="00751EBB">
            <w:pPr>
              <w:pStyle w:val="TableText0"/>
              <w:jc w:val="center"/>
            </w:pPr>
            <w:r w:rsidRPr="00480790">
              <w:t>53 (41.4)</w:t>
            </w:r>
          </w:p>
        </w:tc>
        <w:tc>
          <w:tcPr>
            <w:tcW w:w="864" w:type="pct"/>
            <w:tcBorders>
              <w:top w:val="single" w:sz="4" w:space="0" w:color="auto"/>
              <w:left w:val="single" w:sz="4" w:space="0" w:color="auto"/>
              <w:bottom w:val="single" w:sz="4" w:space="0" w:color="auto"/>
              <w:right w:val="single" w:sz="4" w:space="0" w:color="auto"/>
            </w:tcBorders>
          </w:tcPr>
          <w:p w14:paraId="18327328" w14:textId="77777777" w:rsidR="001C256F" w:rsidRPr="00480790" w:rsidRDefault="001C256F" w:rsidP="00751EBB">
            <w:pPr>
              <w:pStyle w:val="TableText0"/>
              <w:jc w:val="center"/>
            </w:pPr>
            <w:r w:rsidRPr="00480790">
              <w:t>6 (5.0)</w:t>
            </w:r>
          </w:p>
        </w:tc>
        <w:tc>
          <w:tcPr>
            <w:tcW w:w="1022" w:type="pct"/>
            <w:tcBorders>
              <w:top w:val="single" w:sz="4" w:space="0" w:color="auto"/>
              <w:left w:val="single" w:sz="4" w:space="0" w:color="auto"/>
              <w:bottom w:val="single" w:sz="4" w:space="0" w:color="auto"/>
              <w:right w:val="single" w:sz="4" w:space="0" w:color="auto"/>
            </w:tcBorders>
            <w:vAlign w:val="center"/>
          </w:tcPr>
          <w:p w14:paraId="627880DF" w14:textId="77777777" w:rsidR="001C256F" w:rsidRPr="00480790" w:rsidRDefault="001C256F" w:rsidP="00751EBB">
            <w:pPr>
              <w:pStyle w:val="TableText0"/>
              <w:jc w:val="center"/>
              <w:rPr>
                <w:i/>
                <w:iCs/>
              </w:rPr>
            </w:pPr>
            <w:r w:rsidRPr="00480790">
              <w:rPr>
                <w:i/>
                <w:iCs/>
              </w:rPr>
              <w:t>36.4</w:t>
            </w:r>
          </w:p>
        </w:tc>
        <w:tc>
          <w:tcPr>
            <w:tcW w:w="915" w:type="pct"/>
            <w:tcBorders>
              <w:top w:val="single" w:sz="4" w:space="0" w:color="auto"/>
              <w:left w:val="single" w:sz="4" w:space="0" w:color="auto"/>
              <w:bottom w:val="single" w:sz="4" w:space="0" w:color="auto"/>
              <w:right w:val="single" w:sz="4" w:space="0" w:color="auto"/>
            </w:tcBorders>
          </w:tcPr>
          <w:p w14:paraId="43F4E5D2" w14:textId="77777777" w:rsidR="001C256F" w:rsidRPr="00480790" w:rsidRDefault="001C256F" w:rsidP="00751EBB">
            <w:pPr>
              <w:pStyle w:val="TableText0"/>
              <w:jc w:val="center"/>
              <w:rPr>
                <w:i/>
                <w:iCs/>
              </w:rPr>
            </w:pPr>
            <w:r w:rsidRPr="00480790">
              <w:rPr>
                <w:i/>
                <w:iCs/>
              </w:rPr>
              <w:t>0.4 (0.3, 0.5)</w:t>
            </w:r>
          </w:p>
        </w:tc>
      </w:tr>
      <w:tr w:rsidR="00AB01EA" w:rsidRPr="00480790" w14:paraId="4FBA8F32" w14:textId="77777777" w:rsidTr="00751EBB">
        <w:tc>
          <w:tcPr>
            <w:tcW w:w="1413" w:type="pct"/>
            <w:tcBorders>
              <w:top w:val="single" w:sz="4" w:space="0" w:color="auto"/>
              <w:left w:val="single" w:sz="4" w:space="0" w:color="auto"/>
              <w:bottom w:val="single" w:sz="4" w:space="0" w:color="auto"/>
              <w:right w:val="single" w:sz="4" w:space="0" w:color="auto"/>
            </w:tcBorders>
            <w:shd w:val="clear" w:color="auto" w:fill="auto"/>
          </w:tcPr>
          <w:p w14:paraId="10040DEF" w14:textId="77777777" w:rsidR="001C256F" w:rsidRPr="00480790" w:rsidRDefault="001C256F" w:rsidP="00751EBB">
            <w:pPr>
              <w:pStyle w:val="TableText0"/>
            </w:pPr>
            <w:r w:rsidRPr="00480790">
              <w:t xml:space="preserve">ALT increased </w:t>
            </w:r>
          </w:p>
        </w:tc>
        <w:tc>
          <w:tcPr>
            <w:tcW w:w="786" w:type="pct"/>
            <w:tcBorders>
              <w:top w:val="single" w:sz="4" w:space="0" w:color="auto"/>
              <w:left w:val="single" w:sz="4" w:space="0" w:color="auto"/>
              <w:bottom w:val="single" w:sz="4" w:space="0" w:color="auto"/>
              <w:right w:val="single" w:sz="4" w:space="0" w:color="auto"/>
            </w:tcBorders>
          </w:tcPr>
          <w:p w14:paraId="06973D14" w14:textId="77777777" w:rsidR="001C256F" w:rsidRPr="00480790" w:rsidRDefault="001C256F" w:rsidP="00751EBB">
            <w:pPr>
              <w:pStyle w:val="TableText0"/>
              <w:jc w:val="center"/>
            </w:pPr>
            <w:r w:rsidRPr="00480790">
              <w:t>43 (33.6)</w:t>
            </w:r>
          </w:p>
        </w:tc>
        <w:tc>
          <w:tcPr>
            <w:tcW w:w="864" w:type="pct"/>
            <w:tcBorders>
              <w:top w:val="single" w:sz="4" w:space="0" w:color="auto"/>
              <w:left w:val="single" w:sz="4" w:space="0" w:color="auto"/>
              <w:bottom w:val="single" w:sz="4" w:space="0" w:color="auto"/>
              <w:right w:val="single" w:sz="4" w:space="0" w:color="auto"/>
            </w:tcBorders>
          </w:tcPr>
          <w:p w14:paraId="730EE508" w14:textId="77777777" w:rsidR="001C256F" w:rsidRPr="00480790" w:rsidRDefault="001C256F" w:rsidP="00751EBB">
            <w:pPr>
              <w:pStyle w:val="TableText0"/>
              <w:jc w:val="center"/>
            </w:pPr>
            <w:r w:rsidRPr="00480790">
              <w:t>11 (9.2)</w:t>
            </w:r>
          </w:p>
        </w:tc>
        <w:tc>
          <w:tcPr>
            <w:tcW w:w="1022" w:type="pct"/>
            <w:tcBorders>
              <w:top w:val="single" w:sz="4" w:space="0" w:color="auto"/>
              <w:left w:val="single" w:sz="4" w:space="0" w:color="auto"/>
              <w:bottom w:val="single" w:sz="4" w:space="0" w:color="auto"/>
              <w:right w:val="single" w:sz="4" w:space="0" w:color="auto"/>
            </w:tcBorders>
            <w:vAlign w:val="center"/>
          </w:tcPr>
          <w:p w14:paraId="1D7549A9" w14:textId="77777777" w:rsidR="001C256F" w:rsidRPr="00480790" w:rsidRDefault="001C256F" w:rsidP="00751EBB">
            <w:pPr>
              <w:pStyle w:val="TableText0"/>
              <w:jc w:val="center"/>
              <w:rPr>
                <w:i/>
                <w:iCs/>
              </w:rPr>
            </w:pPr>
            <w:r w:rsidRPr="00480790">
              <w:rPr>
                <w:i/>
                <w:iCs/>
              </w:rPr>
              <w:t>24.4</w:t>
            </w:r>
          </w:p>
        </w:tc>
        <w:tc>
          <w:tcPr>
            <w:tcW w:w="915" w:type="pct"/>
            <w:tcBorders>
              <w:top w:val="single" w:sz="4" w:space="0" w:color="auto"/>
              <w:left w:val="single" w:sz="4" w:space="0" w:color="auto"/>
              <w:bottom w:val="single" w:sz="4" w:space="0" w:color="auto"/>
              <w:right w:val="single" w:sz="4" w:space="0" w:color="auto"/>
            </w:tcBorders>
          </w:tcPr>
          <w:p w14:paraId="3797A5A5" w14:textId="77777777" w:rsidR="001C256F" w:rsidRPr="00480790" w:rsidRDefault="001C256F" w:rsidP="00751EBB">
            <w:pPr>
              <w:pStyle w:val="TableText0"/>
              <w:jc w:val="center"/>
              <w:rPr>
                <w:i/>
                <w:iCs/>
              </w:rPr>
            </w:pPr>
            <w:r w:rsidRPr="00480790">
              <w:rPr>
                <w:i/>
                <w:iCs/>
              </w:rPr>
              <w:t xml:space="preserve">0.2 (0.1, 0.3) </w:t>
            </w:r>
          </w:p>
        </w:tc>
      </w:tr>
      <w:tr w:rsidR="00AB01EA" w:rsidRPr="00480790" w14:paraId="1F5F3F24" w14:textId="77777777" w:rsidTr="00751EBB">
        <w:tc>
          <w:tcPr>
            <w:tcW w:w="1413" w:type="pct"/>
            <w:tcBorders>
              <w:top w:val="single" w:sz="4" w:space="0" w:color="auto"/>
              <w:left w:val="single" w:sz="4" w:space="0" w:color="auto"/>
              <w:bottom w:val="single" w:sz="4" w:space="0" w:color="auto"/>
              <w:right w:val="single" w:sz="4" w:space="0" w:color="auto"/>
            </w:tcBorders>
            <w:shd w:val="clear" w:color="auto" w:fill="auto"/>
          </w:tcPr>
          <w:p w14:paraId="43144C5A" w14:textId="77777777" w:rsidR="001C256F" w:rsidRPr="00480790" w:rsidRDefault="001C256F" w:rsidP="00751EBB">
            <w:pPr>
              <w:pStyle w:val="TableText0"/>
            </w:pPr>
            <w:r w:rsidRPr="00480790">
              <w:t xml:space="preserve">Blood bilirubin increased </w:t>
            </w:r>
          </w:p>
        </w:tc>
        <w:tc>
          <w:tcPr>
            <w:tcW w:w="786" w:type="pct"/>
            <w:tcBorders>
              <w:top w:val="single" w:sz="4" w:space="0" w:color="auto"/>
              <w:left w:val="single" w:sz="4" w:space="0" w:color="auto"/>
              <w:bottom w:val="single" w:sz="4" w:space="0" w:color="auto"/>
              <w:right w:val="single" w:sz="4" w:space="0" w:color="auto"/>
            </w:tcBorders>
          </w:tcPr>
          <w:p w14:paraId="7CC1F4B4" w14:textId="77777777" w:rsidR="001C256F" w:rsidRPr="00480790" w:rsidRDefault="001C256F" w:rsidP="00751EBB">
            <w:pPr>
              <w:pStyle w:val="TableText0"/>
              <w:jc w:val="center"/>
            </w:pPr>
            <w:r w:rsidRPr="00480790">
              <w:t>43 (33.6)</w:t>
            </w:r>
          </w:p>
        </w:tc>
        <w:tc>
          <w:tcPr>
            <w:tcW w:w="864" w:type="pct"/>
            <w:tcBorders>
              <w:top w:val="single" w:sz="4" w:space="0" w:color="auto"/>
              <w:left w:val="single" w:sz="4" w:space="0" w:color="auto"/>
              <w:bottom w:val="single" w:sz="4" w:space="0" w:color="auto"/>
              <w:right w:val="single" w:sz="4" w:space="0" w:color="auto"/>
            </w:tcBorders>
          </w:tcPr>
          <w:p w14:paraId="37D59FB1" w14:textId="77777777" w:rsidR="001C256F" w:rsidRPr="00480790" w:rsidRDefault="001C256F" w:rsidP="00751EBB">
            <w:pPr>
              <w:pStyle w:val="TableText0"/>
              <w:jc w:val="center"/>
            </w:pPr>
            <w:r w:rsidRPr="00480790">
              <w:t>1 (0.8)</w:t>
            </w:r>
          </w:p>
        </w:tc>
        <w:tc>
          <w:tcPr>
            <w:tcW w:w="1022" w:type="pct"/>
            <w:tcBorders>
              <w:top w:val="single" w:sz="4" w:space="0" w:color="auto"/>
              <w:left w:val="single" w:sz="4" w:space="0" w:color="auto"/>
              <w:bottom w:val="single" w:sz="4" w:space="0" w:color="auto"/>
              <w:right w:val="single" w:sz="4" w:space="0" w:color="auto"/>
            </w:tcBorders>
            <w:vAlign w:val="center"/>
          </w:tcPr>
          <w:p w14:paraId="195C1E59" w14:textId="77777777" w:rsidR="001C256F" w:rsidRPr="00480790" w:rsidRDefault="001C256F" w:rsidP="00751EBB">
            <w:pPr>
              <w:pStyle w:val="TableText0"/>
              <w:jc w:val="center"/>
              <w:rPr>
                <w:i/>
                <w:iCs/>
              </w:rPr>
            </w:pPr>
            <w:r w:rsidRPr="00480790">
              <w:rPr>
                <w:i/>
                <w:iCs/>
              </w:rPr>
              <w:t>32.8</w:t>
            </w:r>
          </w:p>
        </w:tc>
        <w:tc>
          <w:tcPr>
            <w:tcW w:w="915" w:type="pct"/>
            <w:tcBorders>
              <w:top w:val="single" w:sz="4" w:space="0" w:color="auto"/>
              <w:left w:val="single" w:sz="4" w:space="0" w:color="auto"/>
              <w:bottom w:val="single" w:sz="4" w:space="0" w:color="auto"/>
              <w:right w:val="single" w:sz="4" w:space="0" w:color="auto"/>
            </w:tcBorders>
          </w:tcPr>
          <w:p w14:paraId="7E04F606" w14:textId="77777777" w:rsidR="001C256F" w:rsidRPr="00480790" w:rsidRDefault="001C256F" w:rsidP="00751EBB">
            <w:pPr>
              <w:pStyle w:val="TableText0"/>
              <w:jc w:val="center"/>
              <w:rPr>
                <w:i/>
                <w:iCs/>
              </w:rPr>
            </w:pPr>
            <w:r w:rsidRPr="00480790">
              <w:rPr>
                <w:i/>
                <w:iCs/>
              </w:rPr>
              <w:t>0.3 (0.2, 0.4)</w:t>
            </w:r>
          </w:p>
        </w:tc>
      </w:tr>
    </w:tbl>
    <w:p w14:paraId="2405FE67" w14:textId="77777777" w:rsidR="001C256F" w:rsidRPr="00480790" w:rsidRDefault="001C256F" w:rsidP="00751EBB">
      <w:pPr>
        <w:pStyle w:val="TableFigureFooter"/>
        <w:keepNext/>
      </w:pPr>
      <w:r w:rsidRPr="00480790">
        <w:t>Source: Table 2.14, p39; Table 2.15, p40; Table 2.19, p44; Table 2.20, p44-45 of the submission.</w:t>
      </w:r>
    </w:p>
    <w:p w14:paraId="14FD8359" w14:textId="77777777" w:rsidR="001C256F" w:rsidRPr="00480790" w:rsidRDefault="001C256F" w:rsidP="00751EBB">
      <w:pPr>
        <w:pStyle w:val="TableFigureFooter"/>
        <w:keepNext/>
      </w:pPr>
      <w:r w:rsidRPr="00480790">
        <w:t>AE=adverse events; ALT=alanine aminotransferase; AST=aspartate aminotransferase; CCOD=Clinical cut-off date; CI=confidence interval; CPK=creatine phosphokinase; INV-DFS=investigator disease-free survival; HR=hazard ratio; ITT=Intent-to-treat; KM=Kaplan-Meier; N=number randomised; NE=not estimable; RD=risk difference</w:t>
      </w:r>
    </w:p>
    <w:p w14:paraId="5CA49D36" w14:textId="77777777" w:rsidR="001C256F" w:rsidRPr="00480790" w:rsidRDefault="001C256F" w:rsidP="00751EBB">
      <w:pPr>
        <w:pStyle w:val="TableFigureFooter"/>
        <w:keepNext/>
      </w:pPr>
      <w:r w:rsidRPr="00480790">
        <w:t>Summaries of DFS (median, percentiles) were Kaplan-Meier estimates. 95% CI for median was computed using the method of Brookmeyer and Crowley. Strata are: race from IxRS (Asian vs. non-Asian) and stage from IxRS (IB vs. II vs. IIIA). Hazard ratios were estimated by Cox regression.</w:t>
      </w:r>
    </w:p>
    <w:p w14:paraId="322FFD14" w14:textId="77777777" w:rsidR="001C256F" w:rsidRPr="00480790" w:rsidRDefault="001C256F" w:rsidP="00751EBB">
      <w:pPr>
        <w:pStyle w:val="TableFigureFooter"/>
        <w:keepNext/>
      </w:pPr>
      <w:r w:rsidRPr="00480790">
        <w:t>a Snapshot Date: 03AUG2023, Clinical Data Cut-off Date: 26JUN2023.</w:t>
      </w:r>
    </w:p>
    <w:p w14:paraId="760CC7A5" w14:textId="77777777" w:rsidR="001C256F" w:rsidRPr="00480790" w:rsidRDefault="001C256F" w:rsidP="00751EBB">
      <w:pPr>
        <w:pStyle w:val="TableFigureFooter"/>
        <w:keepNext/>
      </w:pPr>
      <w:r w:rsidRPr="00480790">
        <w:t>b The relative risk reduction was 76%.</w:t>
      </w:r>
    </w:p>
    <w:p w14:paraId="63540DE9" w14:textId="77777777" w:rsidR="001C256F" w:rsidRPr="00480790" w:rsidRDefault="001C256F" w:rsidP="00751EBB">
      <w:pPr>
        <w:pStyle w:val="TableFigureFooter"/>
        <w:keepNext/>
        <w:rPr>
          <w:i/>
          <w:iCs/>
        </w:rPr>
      </w:pPr>
      <w:r w:rsidRPr="00480790">
        <w:rPr>
          <w:i/>
        </w:rPr>
        <w:t>Absolute difference calculated post hoc during the evaluation.</w:t>
      </w:r>
    </w:p>
    <w:p w14:paraId="2AA67EFC" w14:textId="77777777" w:rsidR="001C256F" w:rsidRPr="00480790" w:rsidRDefault="001C256F" w:rsidP="0028384B">
      <w:pPr>
        <w:pStyle w:val="TableFigureFooter"/>
      </w:pPr>
      <w:r w:rsidRPr="00480790">
        <w:rPr>
          <w:b/>
          <w:bCs/>
        </w:rPr>
        <w:t>Bold</w:t>
      </w:r>
      <w:r w:rsidRPr="00480790">
        <w:t xml:space="preserve"> indicates statistically significant results.</w:t>
      </w:r>
    </w:p>
    <w:p w14:paraId="50624D22" w14:textId="77777777" w:rsidR="001C256F" w:rsidRPr="00480790" w:rsidRDefault="001C256F" w:rsidP="002843F8">
      <w:pPr>
        <w:pStyle w:val="3-BodyText"/>
        <w:rPr>
          <w:lang w:val="en-AU"/>
        </w:rPr>
      </w:pPr>
      <w:r w:rsidRPr="00480790">
        <w:rPr>
          <w:lang w:val="en-AU"/>
        </w:rPr>
        <w:t>On the basis of direct evidence presented by the submission, for every 100 patients treated with alectinib in comparison with platinum-based chemotherapy:</w:t>
      </w:r>
    </w:p>
    <w:p w14:paraId="6635E50B" w14:textId="77777777" w:rsidR="001C256F" w:rsidRPr="00480790" w:rsidRDefault="001C256F" w:rsidP="00AE7DE0">
      <w:pPr>
        <w:pStyle w:val="ListParagraph"/>
        <w:numPr>
          <w:ilvl w:val="0"/>
          <w:numId w:val="4"/>
        </w:numPr>
        <w:ind w:left="1134" w:hanging="357"/>
      </w:pPr>
      <w:r w:rsidRPr="00480790">
        <w:t>Approximately 30 additional patients will remain disease-free at 2 years, however, there would be no difference in overall survival after 2 years.</w:t>
      </w:r>
    </w:p>
    <w:p w14:paraId="3CA0D314" w14:textId="77777777" w:rsidR="001C256F" w:rsidRPr="00480790" w:rsidRDefault="001C256F" w:rsidP="002843F8">
      <w:pPr>
        <w:pStyle w:val="3-BodyText"/>
        <w:rPr>
          <w:lang w:val="en-AU"/>
        </w:rPr>
      </w:pPr>
      <w:r w:rsidRPr="00480790">
        <w:rPr>
          <w:lang w:val="en-AU"/>
        </w:rPr>
        <w:t>On the basis of direct evidence presented by the submission, for every 100 patients treated with alectinib in comparison with platinum-based chemotherapy over a duration of follow-up 24 months:</w:t>
      </w:r>
    </w:p>
    <w:p w14:paraId="00CE7851" w14:textId="77777777" w:rsidR="001C256F" w:rsidRPr="00480790" w:rsidRDefault="001C256F" w:rsidP="00AE7DE0">
      <w:pPr>
        <w:pStyle w:val="ListParagraph"/>
        <w:numPr>
          <w:ilvl w:val="0"/>
          <w:numId w:val="4"/>
        </w:numPr>
        <w:ind w:left="1134" w:hanging="357"/>
      </w:pPr>
      <w:r w:rsidRPr="00480790">
        <w:lastRenderedPageBreak/>
        <w:t>Approximately 6 additional patients would experience an adverse event or treatment-related adverse event.</w:t>
      </w:r>
    </w:p>
    <w:p w14:paraId="0BEA6AEF" w14:textId="77777777" w:rsidR="001C256F" w:rsidRPr="00480790" w:rsidRDefault="001C256F" w:rsidP="00AE7DE0">
      <w:pPr>
        <w:pStyle w:val="ListParagraph"/>
        <w:numPr>
          <w:ilvl w:val="0"/>
          <w:numId w:val="4"/>
        </w:numPr>
        <w:ind w:left="1134" w:hanging="357"/>
      </w:pPr>
      <w:r w:rsidRPr="00480790">
        <w:t xml:space="preserve">Approximately 65 fewer patients would experience nausea. </w:t>
      </w:r>
    </w:p>
    <w:p w14:paraId="3B150C72" w14:textId="77777777" w:rsidR="001C256F" w:rsidRPr="00480790" w:rsidRDefault="001C256F" w:rsidP="00AE7DE0">
      <w:pPr>
        <w:pStyle w:val="ListParagraph"/>
        <w:numPr>
          <w:ilvl w:val="0"/>
          <w:numId w:val="4"/>
        </w:numPr>
        <w:ind w:left="1134" w:hanging="357"/>
      </w:pPr>
      <w:r w:rsidRPr="00480790">
        <w:t xml:space="preserve">Approximately 43 additional patients would experience increased blood creatine phosphokinase. </w:t>
      </w:r>
    </w:p>
    <w:p w14:paraId="318B4A8B" w14:textId="77777777" w:rsidR="001C256F" w:rsidRPr="00480790" w:rsidRDefault="001C256F" w:rsidP="00AE7DE0">
      <w:pPr>
        <w:pStyle w:val="ListParagraph"/>
        <w:numPr>
          <w:ilvl w:val="0"/>
          <w:numId w:val="4"/>
        </w:numPr>
        <w:ind w:left="1134" w:hanging="357"/>
      </w:pPr>
      <w:r w:rsidRPr="00480790">
        <w:t xml:space="preserve">Approximately 18 additional patients would experience constipation. </w:t>
      </w:r>
    </w:p>
    <w:p w14:paraId="47B77F7A" w14:textId="77777777" w:rsidR="001C256F" w:rsidRPr="00480790" w:rsidRDefault="001C256F" w:rsidP="00AE7DE0">
      <w:pPr>
        <w:pStyle w:val="ListParagraph"/>
        <w:numPr>
          <w:ilvl w:val="0"/>
          <w:numId w:val="4"/>
        </w:numPr>
        <w:ind w:left="1134" w:hanging="357"/>
      </w:pPr>
      <w:r w:rsidRPr="00480790">
        <w:t>Approximately 37 additional patients would experience increased aspartate aminotransferase.</w:t>
      </w:r>
    </w:p>
    <w:p w14:paraId="65A24203" w14:textId="77777777" w:rsidR="001C256F" w:rsidRPr="00480790" w:rsidRDefault="001C256F" w:rsidP="00AE7DE0">
      <w:pPr>
        <w:pStyle w:val="ListParagraph"/>
        <w:numPr>
          <w:ilvl w:val="0"/>
          <w:numId w:val="4"/>
        </w:numPr>
        <w:ind w:left="1134" w:hanging="357"/>
      </w:pPr>
      <w:r w:rsidRPr="00480790">
        <w:t xml:space="preserve">Approximately 25 additional patients would experience increased alanine aminotransferase. </w:t>
      </w:r>
    </w:p>
    <w:p w14:paraId="1CCB4D00" w14:textId="77777777" w:rsidR="001C256F" w:rsidRPr="00480790" w:rsidRDefault="001C256F" w:rsidP="00AE7DE0">
      <w:pPr>
        <w:pStyle w:val="ListParagraph"/>
        <w:numPr>
          <w:ilvl w:val="0"/>
          <w:numId w:val="4"/>
        </w:numPr>
        <w:ind w:left="1134" w:hanging="357"/>
      </w:pPr>
      <w:r w:rsidRPr="00480790">
        <w:t xml:space="preserve">Approximately 33 additional patients would experience increased blood bilirubin. </w:t>
      </w:r>
    </w:p>
    <w:p w14:paraId="3E55BFA8" w14:textId="77777777" w:rsidR="001C256F" w:rsidRPr="00480790" w:rsidRDefault="001C256F" w:rsidP="00751EBB">
      <w:pPr>
        <w:pStyle w:val="4-SubsectionHeading"/>
      </w:pPr>
      <w:bookmarkStart w:id="53" w:name="_Toc22897644"/>
      <w:bookmarkStart w:id="54" w:name="_Toc190264959"/>
      <w:bookmarkStart w:id="55" w:name="_Toc193106309"/>
      <w:r w:rsidRPr="00480790">
        <w:t>Clinical claim</w:t>
      </w:r>
      <w:bookmarkEnd w:id="53"/>
      <w:bookmarkEnd w:id="54"/>
      <w:bookmarkEnd w:id="55"/>
    </w:p>
    <w:p w14:paraId="7AA674E2" w14:textId="326C1F37" w:rsidR="001C256F" w:rsidRPr="00480790" w:rsidRDefault="001C256F" w:rsidP="002843F8">
      <w:pPr>
        <w:pStyle w:val="3-BodyText"/>
        <w:rPr>
          <w:lang w:val="en-AU"/>
        </w:rPr>
      </w:pPr>
      <w:r w:rsidRPr="00480790">
        <w:rPr>
          <w:lang w:val="en-AU"/>
        </w:rPr>
        <w:t xml:space="preserve">The submission described alectinib as superior in terms of effectiveness compared to platinum-based chemotherapy. This claim was adequately supported. The key issues were the moderate risk of bias in the key trial and that the overall survival results were </w:t>
      </w:r>
      <w:r w:rsidR="00103004" w:rsidRPr="00480790">
        <w:rPr>
          <w:lang w:val="en-AU"/>
        </w:rPr>
        <w:t>immature</w:t>
      </w:r>
      <w:r w:rsidRPr="00480790">
        <w:rPr>
          <w:lang w:val="en-AU"/>
        </w:rPr>
        <w:t xml:space="preserve">. </w:t>
      </w:r>
      <w:r w:rsidRPr="00480790">
        <w:rPr>
          <w:iCs/>
          <w:lang w:val="en-AU"/>
        </w:rPr>
        <w:t xml:space="preserve">The ESC considered some of the issues contributing to the risk of bias were unavoidable and that the uncertainty may bias results in both directions. Overall ESC considered the disease-free survival outcome was convincing, noting significant separation in the curves (see </w:t>
      </w:r>
      <w:r w:rsidRPr="00480790">
        <w:rPr>
          <w:iCs/>
          <w:lang w:val="en-AU"/>
        </w:rPr>
        <w:fldChar w:fldCharType="begin"/>
      </w:r>
      <w:r w:rsidRPr="00480790">
        <w:rPr>
          <w:iCs/>
          <w:lang w:val="en-AU"/>
        </w:rPr>
        <w:instrText xml:space="preserve"> REF _Ref190190755 \h  \* MERGEFORMAT </w:instrText>
      </w:r>
      <w:r w:rsidRPr="00480790">
        <w:rPr>
          <w:iCs/>
          <w:lang w:val="en-AU"/>
        </w:rPr>
      </w:r>
      <w:r w:rsidRPr="00480790">
        <w:rPr>
          <w:iCs/>
          <w:lang w:val="en-AU"/>
        </w:rPr>
        <w:fldChar w:fldCharType="separate"/>
      </w:r>
      <w:r w:rsidR="002565BE" w:rsidRPr="002565BE">
        <w:rPr>
          <w:iCs/>
          <w:lang w:val="en-AU"/>
        </w:rPr>
        <w:t>Figure 1</w:t>
      </w:r>
      <w:r w:rsidRPr="00480790">
        <w:rPr>
          <w:iCs/>
          <w:lang w:val="en-AU"/>
        </w:rPr>
        <w:fldChar w:fldCharType="end"/>
      </w:r>
      <w:r w:rsidRPr="00480790">
        <w:rPr>
          <w:iCs/>
          <w:lang w:val="en-AU"/>
        </w:rPr>
        <w:t>). The ESC also considered, given the high use of effective therapies in the metastatic setting, the OS data would be uninterpretable even with longer follow-up.</w:t>
      </w:r>
    </w:p>
    <w:p w14:paraId="5EDEEEAC" w14:textId="39AF04E6" w:rsidR="001C256F" w:rsidRPr="00480790" w:rsidRDefault="001C256F" w:rsidP="002843F8">
      <w:pPr>
        <w:pStyle w:val="3-BodyText"/>
        <w:rPr>
          <w:lang w:val="en-AU"/>
        </w:rPr>
      </w:pPr>
      <w:r w:rsidRPr="00480790">
        <w:rPr>
          <w:lang w:val="en-AU"/>
        </w:rPr>
        <w:t xml:space="preserve">The submission described alectinib as similar in terms of safety compared to platinum-based chemotherapy. This claim was adequately supported. </w:t>
      </w:r>
      <w:r w:rsidRPr="00480790">
        <w:rPr>
          <w:iCs/>
          <w:lang w:val="en-AU"/>
        </w:rPr>
        <w:t xml:space="preserve">The ESC noted toxicities were well known and </w:t>
      </w:r>
      <w:r w:rsidR="007D6EB4" w:rsidRPr="00480790">
        <w:rPr>
          <w:iCs/>
          <w:lang w:val="en-AU"/>
        </w:rPr>
        <w:t xml:space="preserve">mild </w:t>
      </w:r>
      <w:r w:rsidRPr="00480790">
        <w:rPr>
          <w:iCs/>
          <w:lang w:val="en-AU"/>
        </w:rPr>
        <w:t>for both the intervention and comparator.</w:t>
      </w:r>
    </w:p>
    <w:p w14:paraId="29771DF8" w14:textId="5CC54991" w:rsidR="001C256F" w:rsidRPr="00480790" w:rsidRDefault="001C256F" w:rsidP="002843F8">
      <w:pPr>
        <w:pStyle w:val="3-BodyText"/>
        <w:rPr>
          <w:snapToGrid w:val="0"/>
          <w:lang w:val="en-AU"/>
        </w:rPr>
      </w:pPr>
      <w:bookmarkStart w:id="56" w:name="_Hlk76376200"/>
      <w:r w:rsidRPr="00480790">
        <w:rPr>
          <w:iCs/>
          <w:snapToGrid w:val="0"/>
          <w:lang w:val="en-AU"/>
        </w:rPr>
        <w:t>The</w:t>
      </w:r>
      <w:r w:rsidRPr="00480790">
        <w:rPr>
          <w:snapToGrid w:val="0"/>
          <w:lang w:val="en-AU"/>
        </w:rPr>
        <w:t xml:space="preserve"> PBAC considered that the claim of superior comparative effectiveness was reasonable</w:t>
      </w:r>
      <w:r w:rsidR="00F30B7E" w:rsidRPr="00480790">
        <w:rPr>
          <w:snapToGrid w:val="0"/>
          <w:lang w:val="en-AU"/>
        </w:rPr>
        <w:t xml:space="preserve"> and</w:t>
      </w:r>
      <w:r w:rsidRPr="00480790">
        <w:rPr>
          <w:snapToGrid w:val="0"/>
          <w:lang w:val="en-AU"/>
        </w:rPr>
        <w:t xml:space="preserve"> adequately supported by the </w:t>
      </w:r>
      <w:r w:rsidR="001966B3" w:rsidRPr="00480790">
        <w:rPr>
          <w:snapToGrid w:val="0"/>
          <w:lang w:val="en-AU"/>
        </w:rPr>
        <w:t>data but</w:t>
      </w:r>
      <w:r w:rsidR="0030134C" w:rsidRPr="00480790">
        <w:rPr>
          <w:snapToGrid w:val="0"/>
          <w:lang w:val="en-AU"/>
        </w:rPr>
        <w:t xml:space="preserve"> did note that there was no signal of overall survival benefit at the prespecified DFS interim analysis</w:t>
      </w:r>
      <w:r w:rsidRPr="00480790">
        <w:rPr>
          <w:snapToGrid w:val="0"/>
          <w:lang w:val="en-AU"/>
        </w:rPr>
        <w:t>.</w:t>
      </w:r>
    </w:p>
    <w:p w14:paraId="59C572A2" w14:textId="02036688" w:rsidR="001C256F" w:rsidRPr="00480790" w:rsidRDefault="001C256F" w:rsidP="002843F8">
      <w:pPr>
        <w:pStyle w:val="3-BodyText"/>
        <w:rPr>
          <w:snapToGrid w:val="0"/>
          <w:lang w:val="en-AU"/>
        </w:rPr>
      </w:pPr>
      <w:r w:rsidRPr="00480790">
        <w:rPr>
          <w:snapToGrid w:val="0"/>
          <w:lang w:val="en-AU"/>
        </w:rPr>
        <w:t>The PBAC considered that the claim of non-inferior comparative safety was reasonable</w:t>
      </w:r>
      <w:r w:rsidR="00F81520" w:rsidRPr="00480790">
        <w:rPr>
          <w:snapToGrid w:val="0"/>
          <w:lang w:val="en-AU"/>
        </w:rPr>
        <w:t xml:space="preserve"> and </w:t>
      </w:r>
      <w:r w:rsidRPr="00480790">
        <w:rPr>
          <w:snapToGrid w:val="0"/>
          <w:lang w:val="en-AU"/>
        </w:rPr>
        <w:t xml:space="preserve">adequately supported by the </w:t>
      </w:r>
      <w:r w:rsidR="001966B3" w:rsidRPr="00480790">
        <w:rPr>
          <w:snapToGrid w:val="0"/>
          <w:lang w:val="en-AU"/>
        </w:rPr>
        <w:t>data but</w:t>
      </w:r>
      <w:r w:rsidR="003971E3" w:rsidRPr="00480790">
        <w:rPr>
          <w:snapToGrid w:val="0"/>
          <w:lang w:val="en-AU"/>
        </w:rPr>
        <w:t xml:space="preserve"> did note that the impact of adverse events from adjuvant alectinib would typically be substantially prolonged compared to the adverse events from the comparator of adjuvant chemotherapy, due to the difference in planned treatment durations (2 years compared to 12 weeks)</w:t>
      </w:r>
      <w:r w:rsidRPr="00480790">
        <w:rPr>
          <w:snapToGrid w:val="0"/>
          <w:lang w:val="en-AU"/>
        </w:rPr>
        <w:t>.</w:t>
      </w:r>
      <w:bookmarkEnd w:id="56"/>
    </w:p>
    <w:p w14:paraId="06CB8BE5" w14:textId="77777777" w:rsidR="001C256F" w:rsidRPr="00480790" w:rsidRDefault="001C256F" w:rsidP="00751EBB">
      <w:pPr>
        <w:pStyle w:val="4-SubsectionHeading"/>
      </w:pPr>
      <w:bookmarkStart w:id="57" w:name="_Toc190264960"/>
      <w:bookmarkStart w:id="58" w:name="_Toc193106310"/>
      <w:r w:rsidRPr="00480790">
        <w:t>Economic analysis</w:t>
      </w:r>
      <w:bookmarkEnd w:id="28"/>
      <w:bookmarkEnd w:id="57"/>
      <w:bookmarkEnd w:id="58"/>
    </w:p>
    <w:p w14:paraId="49C277E7" w14:textId="35997474" w:rsidR="001C256F" w:rsidRPr="00480790" w:rsidRDefault="001C256F" w:rsidP="002843F8">
      <w:pPr>
        <w:pStyle w:val="3-BodyText"/>
        <w:rPr>
          <w:lang w:val="en-AU"/>
        </w:rPr>
      </w:pPr>
      <w:bookmarkStart w:id="59" w:name="_Toc22897646"/>
      <w:bookmarkStart w:id="60" w:name="_Ref104805102"/>
      <w:r w:rsidRPr="00480790">
        <w:rPr>
          <w:lang w:val="en-AU"/>
        </w:rPr>
        <w:t xml:space="preserve">The submission presented a cost-utility analysis. A summary of the model structure, key inputs and rationale is given in </w:t>
      </w:r>
      <w:r w:rsidRPr="00480790">
        <w:rPr>
          <w:lang w:val="en-AU"/>
        </w:rPr>
        <w:fldChar w:fldCharType="begin"/>
      </w:r>
      <w:r w:rsidRPr="00480790">
        <w:rPr>
          <w:lang w:val="en-AU"/>
        </w:rPr>
        <w:instrText xml:space="preserve"> REF _Ref187848182 \h  \* MERGEFORMAT </w:instrText>
      </w:r>
      <w:r w:rsidRPr="00480790">
        <w:rPr>
          <w:lang w:val="en-AU"/>
        </w:rPr>
      </w:r>
      <w:r w:rsidRPr="00480790">
        <w:rPr>
          <w:lang w:val="en-AU"/>
        </w:rPr>
        <w:fldChar w:fldCharType="separate"/>
      </w:r>
      <w:r w:rsidR="002565BE" w:rsidRPr="002565BE">
        <w:rPr>
          <w:lang w:val="en-AU"/>
        </w:rPr>
        <w:t>Table 7</w:t>
      </w:r>
      <w:r w:rsidRPr="00480790">
        <w:rPr>
          <w:lang w:val="en-AU"/>
        </w:rPr>
        <w:fldChar w:fldCharType="end"/>
      </w:r>
      <w:r w:rsidRPr="00480790">
        <w:rPr>
          <w:lang w:val="en-AU"/>
        </w:rPr>
        <w:t>.</w:t>
      </w:r>
    </w:p>
    <w:p w14:paraId="447EBD19" w14:textId="6E4A9F54" w:rsidR="001C256F" w:rsidRPr="00480790" w:rsidRDefault="001C256F" w:rsidP="00751EBB">
      <w:pPr>
        <w:pStyle w:val="Caption"/>
        <w:jc w:val="left"/>
        <w:rPr>
          <w:rStyle w:val="CommentReference"/>
          <w:b/>
        </w:rPr>
      </w:pPr>
      <w:bookmarkStart w:id="61" w:name="_Ref187848182"/>
      <w:r w:rsidRPr="00480790">
        <w:lastRenderedPageBreak/>
        <w:t xml:space="preserve">Table </w:t>
      </w:r>
      <w:r w:rsidRPr="00480790">
        <w:fldChar w:fldCharType="begin"/>
      </w:r>
      <w:r w:rsidRPr="00480790">
        <w:instrText xml:space="preserve"> SEQ Table \* ARABIC </w:instrText>
      </w:r>
      <w:r w:rsidRPr="00480790">
        <w:fldChar w:fldCharType="separate"/>
      </w:r>
      <w:r w:rsidR="002565BE">
        <w:rPr>
          <w:noProof/>
        </w:rPr>
        <w:t>7</w:t>
      </w:r>
      <w:r w:rsidRPr="00480790">
        <w:fldChar w:fldCharType="end"/>
      </w:r>
      <w:bookmarkEnd w:id="61"/>
      <w:r w:rsidRPr="00480790">
        <w:t>:</w:t>
      </w:r>
      <w:r w:rsidRPr="00480790">
        <w:rPr>
          <w:rStyle w:val="CommentReference"/>
          <w:b/>
        </w:rPr>
        <w:t xml:space="preserve"> Summary of model structure, key inputs and rationale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4"/>
        <w:gridCol w:w="7603"/>
      </w:tblGrid>
      <w:tr w:rsidR="00AB01EA" w:rsidRPr="00480790" w14:paraId="5D57855F" w14:textId="77777777" w:rsidTr="00751EBB">
        <w:trPr>
          <w:tblHeader/>
        </w:trPr>
        <w:tc>
          <w:tcPr>
            <w:tcW w:w="784" w:type="pct"/>
            <w:vAlign w:val="center"/>
          </w:tcPr>
          <w:p w14:paraId="4D293C4D" w14:textId="77777777" w:rsidR="001C256F" w:rsidRPr="00480790" w:rsidRDefault="001C256F" w:rsidP="00751EBB">
            <w:pPr>
              <w:pStyle w:val="In-tableHeading"/>
              <w:keepNext w:val="0"/>
              <w:jc w:val="center"/>
              <w:rPr>
                <w:lang w:val="en-AU"/>
              </w:rPr>
            </w:pPr>
            <w:bookmarkStart w:id="62" w:name="_Hlk187850248"/>
            <w:r w:rsidRPr="00480790">
              <w:rPr>
                <w:lang w:val="en-AU"/>
              </w:rPr>
              <w:t>Component</w:t>
            </w:r>
          </w:p>
        </w:tc>
        <w:tc>
          <w:tcPr>
            <w:tcW w:w="4216" w:type="pct"/>
            <w:vAlign w:val="center"/>
          </w:tcPr>
          <w:p w14:paraId="41FB361B" w14:textId="77777777" w:rsidR="001C256F" w:rsidRPr="00480790" w:rsidRDefault="001C256F" w:rsidP="00751EBB">
            <w:pPr>
              <w:pStyle w:val="In-tableHeading"/>
              <w:keepNext w:val="0"/>
              <w:jc w:val="center"/>
              <w:rPr>
                <w:lang w:val="en-AU"/>
              </w:rPr>
            </w:pPr>
            <w:r w:rsidRPr="00480790">
              <w:rPr>
                <w:lang w:val="en-AU"/>
              </w:rPr>
              <w:t>Summary</w:t>
            </w:r>
          </w:p>
        </w:tc>
      </w:tr>
      <w:tr w:rsidR="00AB01EA" w:rsidRPr="00480790" w14:paraId="656D242F" w14:textId="77777777" w:rsidTr="00751EBB">
        <w:tc>
          <w:tcPr>
            <w:tcW w:w="784" w:type="pct"/>
            <w:vAlign w:val="center"/>
          </w:tcPr>
          <w:p w14:paraId="01A46602" w14:textId="77777777" w:rsidR="001C256F" w:rsidRPr="00480790" w:rsidRDefault="001C256F">
            <w:pPr>
              <w:pStyle w:val="In-tableHeading"/>
              <w:keepNext w:val="0"/>
              <w:rPr>
                <w:b w:val="0"/>
                <w:bCs/>
                <w:lang w:val="en-AU"/>
              </w:rPr>
            </w:pPr>
            <w:r w:rsidRPr="00480790">
              <w:rPr>
                <w:b w:val="0"/>
                <w:bCs/>
                <w:lang w:val="en-AU"/>
              </w:rPr>
              <w:t>Treatments</w:t>
            </w:r>
          </w:p>
        </w:tc>
        <w:tc>
          <w:tcPr>
            <w:tcW w:w="4216" w:type="pct"/>
          </w:tcPr>
          <w:p w14:paraId="1AE9FBB3" w14:textId="77777777" w:rsidR="001C256F" w:rsidRPr="00480790" w:rsidRDefault="001C256F">
            <w:pPr>
              <w:pStyle w:val="In-tableHeading"/>
              <w:keepNext w:val="0"/>
              <w:rPr>
                <w:b w:val="0"/>
                <w:bCs/>
                <w:lang w:val="en-AU"/>
              </w:rPr>
            </w:pPr>
            <w:r w:rsidRPr="00480790">
              <w:rPr>
                <w:b w:val="0"/>
                <w:bCs/>
                <w:lang w:val="en-AU"/>
              </w:rPr>
              <w:t>Adjuvant: alectinib vs platinum-based chemotherapy, cisplatin with pemetrexed.</w:t>
            </w:r>
          </w:p>
          <w:p w14:paraId="1D69B282" w14:textId="77777777" w:rsidR="001C256F" w:rsidRPr="00480790" w:rsidRDefault="001C256F">
            <w:pPr>
              <w:pStyle w:val="In-tableHeading"/>
              <w:keepNext w:val="0"/>
              <w:rPr>
                <w:b w:val="0"/>
                <w:bCs/>
                <w:lang w:val="en-AU"/>
              </w:rPr>
            </w:pPr>
            <w:r w:rsidRPr="00480790">
              <w:rPr>
                <w:b w:val="0"/>
                <w:bCs/>
                <w:lang w:val="en-AU"/>
              </w:rPr>
              <w:t>Locoregional recurrence: radiotherapy, chemotherapy.</w:t>
            </w:r>
          </w:p>
          <w:p w14:paraId="7AF1F835" w14:textId="77777777" w:rsidR="001C256F" w:rsidRPr="00480790" w:rsidRDefault="001C256F">
            <w:pPr>
              <w:pStyle w:val="In-tableHeading"/>
              <w:keepNext w:val="0"/>
              <w:rPr>
                <w:b w:val="0"/>
                <w:bCs/>
                <w:lang w:val="en-AU"/>
              </w:rPr>
            </w:pPr>
            <w:r w:rsidRPr="00480790">
              <w:rPr>
                <w:b w:val="0"/>
                <w:bCs/>
                <w:lang w:val="en-AU"/>
              </w:rPr>
              <w:t xml:space="preserve">1L DR: lorlatinib, alectinib, </w:t>
            </w:r>
          </w:p>
          <w:p w14:paraId="2FCBFCAF" w14:textId="77777777" w:rsidR="001C256F" w:rsidRPr="00480790" w:rsidRDefault="001C256F">
            <w:pPr>
              <w:pStyle w:val="In-tableHeading"/>
              <w:keepNext w:val="0"/>
              <w:rPr>
                <w:b w:val="0"/>
                <w:bCs/>
                <w:lang w:val="en-AU"/>
              </w:rPr>
            </w:pPr>
            <w:r w:rsidRPr="00480790">
              <w:rPr>
                <w:b w:val="0"/>
                <w:bCs/>
                <w:lang w:val="en-AU"/>
              </w:rPr>
              <w:t>2L DR: brigatinib, lorlatinib.</w:t>
            </w:r>
          </w:p>
          <w:p w14:paraId="3FA98557" w14:textId="3FCA52AE" w:rsidR="001C256F" w:rsidRPr="00480790" w:rsidRDefault="00BB5733">
            <w:pPr>
              <w:pStyle w:val="In-tableHeading"/>
              <w:keepNext w:val="0"/>
              <w:rPr>
                <w:b w:val="0"/>
                <w:bCs/>
                <w:lang w:val="en-AU"/>
              </w:rPr>
            </w:pPr>
            <w:r w:rsidRPr="00480790">
              <w:rPr>
                <w:b w:val="0"/>
                <w:bCs/>
                <w:lang w:val="en-AU"/>
              </w:rPr>
              <w:t>The evaluation considered it as uncertain</w:t>
            </w:r>
            <w:r w:rsidR="009543B8" w:rsidRPr="00480790">
              <w:rPr>
                <w:b w:val="0"/>
                <w:bCs/>
                <w:lang w:val="en-AU"/>
              </w:rPr>
              <w:t xml:space="preserve"> if it was</w:t>
            </w:r>
            <w:r w:rsidR="001C256F" w:rsidRPr="00480790">
              <w:rPr>
                <w:b w:val="0"/>
                <w:bCs/>
                <w:lang w:val="en-AU"/>
              </w:rPr>
              <w:t xml:space="preserve"> appropriate to allow later line use of an alternative ALK-TKI if patients have had alectinib in the adjuvant setting. The PSCR (p4) noted key international clinical practice guidelines (including NCCN, ESMO and ASCO) recommend sequential ALK TKI therapy for sustained ALK inhibition in ALK-positive disease (NCCN 2025, Hendriks 2023, Owen 2024). The treatments received following locoregional recurrence, 1L and 2L DR may be reasonable, as they are based on current market shares and international guidelines. However,</w:t>
            </w:r>
            <w:r w:rsidR="001C256F" w:rsidRPr="00480790" w:rsidDel="00A02B94">
              <w:rPr>
                <w:b w:val="0"/>
                <w:bCs/>
                <w:lang w:val="en-AU"/>
              </w:rPr>
              <w:t xml:space="preserve"> </w:t>
            </w:r>
            <w:r w:rsidR="001C256F" w:rsidRPr="00480790">
              <w:rPr>
                <w:b w:val="0"/>
                <w:bCs/>
                <w:lang w:val="en-AU"/>
              </w:rPr>
              <w:t>brigatinib is unlikely to be taken in 2L DR as this would represent the third drug in the same class. It is more likely that patients would receive chemotherapy. The PSCR (p2) argued the PBS restrictions for the ALK TKIs that are PBS listed in the locally advanced/metastatic NSCLC setting have no explicit limitations on eligibility based on previous ALK TKI treatments. Brigatinib was therefore argued to be a reasonable 2L DR treatment option.</w:t>
            </w:r>
          </w:p>
        </w:tc>
      </w:tr>
      <w:tr w:rsidR="00AB01EA" w:rsidRPr="00480790" w14:paraId="688E55D3" w14:textId="77777777" w:rsidTr="00751EBB">
        <w:trPr>
          <w:trHeight w:val="252"/>
        </w:trPr>
        <w:tc>
          <w:tcPr>
            <w:tcW w:w="784" w:type="pct"/>
          </w:tcPr>
          <w:p w14:paraId="27120727" w14:textId="77777777" w:rsidR="001C256F" w:rsidRPr="00480790" w:rsidRDefault="001C256F">
            <w:pPr>
              <w:pStyle w:val="TableText0"/>
            </w:pPr>
            <w:r w:rsidRPr="00480790">
              <w:t>Type of analysis</w:t>
            </w:r>
          </w:p>
        </w:tc>
        <w:tc>
          <w:tcPr>
            <w:tcW w:w="4216" w:type="pct"/>
          </w:tcPr>
          <w:p w14:paraId="79A9221B" w14:textId="77777777" w:rsidR="001C256F" w:rsidRPr="00480790" w:rsidRDefault="001C256F">
            <w:pPr>
              <w:pStyle w:val="TableText0"/>
            </w:pPr>
            <w:r w:rsidRPr="00480790">
              <w:t>Cost-effectiveness and cost-utility analysis. Appropriate.</w:t>
            </w:r>
          </w:p>
        </w:tc>
      </w:tr>
      <w:tr w:rsidR="00AB01EA" w:rsidRPr="00480790" w14:paraId="7F034FC0" w14:textId="77777777" w:rsidTr="00751EBB">
        <w:tc>
          <w:tcPr>
            <w:tcW w:w="784" w:type="pct"/>
            <w:vAlign w:val="center"/>
          </w:tcPr>
          <w:p w14:paraId="377F6EC6" w14:textId="77777777" w:rsidR="001C256F" w:rsidRPr="00480790" w:rsidRDefault="001C256F">
            <w:pPr>
              <w:pStyle w:val="TableText0"/>
            </w:pPr>
            <w:r w:rsidRPr="00480790">
              <w:t>Time horizon</w:t>
            </w:r>
          </w:p>
        </w:tc>
        <w:tc>
          <w:tcPr>
            <w:tcW w:w="4216" w:type="pct"/>
          </w:tcPr>
          <w:p w14:paraId="2EC963B8" w14:textId="3FF59D5B" w:rsidR="001C256F" w:rsidRPr="00480790" w:rsidRDefault="001C256F">
            <w:pPr>
              <w:pStyle w:val="TableText0"/>
            </w:pPr>
            <w:r w:rsidRPr="00480790">
              <w:t>20 years in the model base case. The time horizon was relatively long compared to the median duration of follow-up in the ALINA trial (2.6 years). A 15-year time horizon</w:t>
            </w:r>
            <w:r w:rsidRPr="00480790" w:rsidDel="00EF06EC">
              <w:t xml:space="preserve"> </w:t>
            </w:r>
            <w:r w:rsidRPr="00480790">
              <w:t>may be more appropriate (para. 6.37, atezolizumab, PSD, July 2022 PBAC meeting and para. 6.28, osimertinib, PSD, November 2023 PBAC meeting). The ICER was sensitive to the time horizon. The ICER increased from $</w:t>
            </w:r>
            <w:r w:rsidR="00487E5A" w:rsidRPr="00487E5A">
              <w:rPr>
                <w:color w:val="000000"/>
                <w:spacing w:val="53"/>
                <w:shd w:val="solid" w:color="000000" w:fill="000000"/>
                <w:fitText w:val="330" w:id="-663539968"/>
                <w14:textFill>
                  <w14:solidFill>
                    <w14:srgbClr w14:val="000000">
                      <w14:alpha w14:val="100000"/>
                    </w14:srgbClr>
                  </w14:solidFill>
                </w14:textFill>
              </w:rPr>
              <w:t>|||</w:t>
            </w:r>
            <w:r w:rsidR="00487E5A" w:rsidRPr="00487E5A">
              <w:rPr>
                <w:color w:val="000000"/>
                <w:spacing w:val="1"/>
                <w:shd w:val="solid" w:color="000000" w:fill="000000"/>
                <w:fitText w:val="330" w:id="-663539968"/>
                <w14:textFill>
                  <w14:solidFill>
                    <w14:srgbClr w14:val="000000">
                      <w14:alpha w14:val="100000"/>
                    </w14:srgbClr>
                  </w14:solidFill>
                </w14:textFill>
              </w:rPr>
              <w:t>|</w:t>
            </w:r>
            <w:r w:rsidR="003F18A3">
              <w:t xml:space="preserve"> </w:t>
            </w:r>
            <w:r w:rsidR="003F18A3">
              <w:rPr>
                <w:vertAlign w:val="superscript"/>
              </w:rPr>
              <w:t>1</w:t>
            </w:r>
            <w:r w:rsidRPr="00480790">
              <w:t xml:space="preserve"> to $</w:t>
            </w:r>
            <w:r w:rsidR="00487E5A" w:rsidRPr="00487E5A">
              <w:rPr>
                <w:color w:val="000000"/>
                <w:spacing w:val="53"/>
                <w:shd w:val="solid" w:color="000000" w:fill="000000"/>
                <w:fitText w:val="330" w:id="-663539967"/>
                <w14:textFill>
                  <w14:solidFill>
                    <w14:srgbClr w14:val="000000">
                      <w14:alpha w14:val="100000"/>
                    </w14:srgbClr>
                  </w14:solidFill>
                </w14:textFill>
              </w:rPr>
              <w:t>|||</w:t>
            </w:r>
            <w:r w:rsidR="00487E5A" w:rsidRPr="00487E5A">
              <w:rPr>
                <w:color w:val="000000"/>
                <w:spacing w:val="1"/>
                <w:shd w:val="solid" w:color="000000" w:fill="000000"/>
                <w:fitText w:val="330" w:id="-663539967"/>
                <w14:textFill>
                  <w14:solidFill>
                    <w14:srgbClr w14:val="000000">
                      <w14:alpha w14:val="100000"/>
                    </w14:srgbClr>
                  </w14:solidFill>
                </w14:textFill>
              </w:rPr>
              <w:t>|</w:t>
            </w:r>
            <w:r w:rsidR="003F18A3">
              <w:t xml:space="preserve"> </w:t>
            </w:r>
            <w:r w:rsidR="003F18A3">
              <w:rPr>
                <w:vertAlign w:val="superscript"/>
              </w:rPr>
              <w:t>2</w:t>
            </w:r>
            <w:r w:rsidRPr="00480790">
              <w:t xml:space="preserve"> per QALY gained when the time horizon was changed from 20 years to 15 years.</w:t>
            </w:r>
          </w:p>
        </w:tc>
      </w:tr>
      <w:tr w:rsidR="00AB01EA" w:rsidRPr="00480790" w14:paraId="67109015" w14:textId="77777777" w:rsidTr="00751EBB">
        <w:tc>
          <w:tcPr>
            <w:tcW w:w="784" w:type="pct"/>
          </w:tcPr>
          <w:p w14:paraId="3D1764A6" w14:textId="77777777" w:rsidR="001C256F" w:rsidRPr="00480790" w:rsidRDefault="001C256F">
            <w:pPr>
              <w:pStyle w:val="TableText0"/>
            </w:pPr>
            <w:r w:rsidRPr="00480790">
              <w:t>Methods used to generate results</w:t>
            </w:r>
          </w:p>
        </w:tc>
        <w:tc>
          <w:tcPr>
            <w:tcW w:w="4216" w:type="pct"/>
          </w:tcPr>
          <w:p w14:paraId="457CFD5C" w14:textId="77777777" w:rsidR="001C256F" w:rsidRPr="00480790" w:rsidRDefault="001C256F">
            <w:pPr>
              <w:pStyle w:val="TableText0"/>
            </w:pPr>
            <w:r w:rsidRPr="00480790">
              <w:t>Markov model. Reasonable.</w:t>
            </w:r>
          </w:p>
        </w:tc>
      </w:tr>
      <w:tr w:rsidR="00AB01EA" w:rsidRPr="00480790" w14:paraId="66B901B4" w14:textId="77777777" w:rsidTr="00751EBB">
        <w:tc>
          <w:tcPr>
            <w:tcW w:w="784" w:type="pct"/>
          </w:tcPr>
          <w:p w14:paraId="0174516C" w14:textId="77777777" w:rsidR="001C256F" w:rsidRPr="00480790" w:rsidRDefault="001C256F">
            <w:pPr>
              <w:pStyle w:val="TableText0"/>
            </w:pPr>
            <w:r w:rsidRPr="00480790">
              <w:t>Health states</w:t>
            </w:r>
          </w:p>
        </w:tc>
        <w:tc>
          <w:tcPr>
            <w:tcW w:w="4216" w:type="pct"/>
          </w:tcPr>
          <w:p w14:paraId="66643CE7" w14:textId="77777777" w:rsidR="001C256F" w:rsidRPr="00480790" w:rsidRDefault="001C256F">
            <w:pPr>
              <w:pStyle w:val="TableText0"/>
            </w:pPr>
            <w:r w:rsidRPr="00480790">
              <w:t>1.</w:t>
            </w:r>
            <w:r w:rsidRPr="00480790">
              <w:tab/>
              <w:t>Disease-free survival (DFS)</w:t>
            </w:r>
          </w:p>
          <w:p w14:paraId="2E814B41" w14:textId="77777777" w:rsidR="001C256F" w:rsidRPr="00480790" w:rsidRDefault="001C256F">
            <w:pPr>
              <w:pStyle w:val="TableText0"/>
            </w:pPr>
            <w:r w:rsidRPr="00480790">
              <w:t>2.</w:t>
            </w:r>
            <w:r w:rsidRPr="00480790">
              <w:tab/>
              <w:t>Locoregional recurrence (LRR)</w:t>
            </w:r>
          </w:p>
          <w:p w14:paraId="3130B9AE" w14:textId="77777777" w:rsidR="001C256F" w:rsidRPr="00480790" w:rsidRDefault="001C256F">
            <w:pPr>
              <w:pStyle w:val="TableText0"/>
            </w:pPr>
            <w:r w:rsidRPr="00480790">
              <w:t>3.</w:t>
            </w:r>
            <w:r w:rsidRPr="00480790">
              <w:tab/>
              <w:t>First-line distant recurrence (1L DR)</w:t>
            </w:r>
          </w:p>
          <w:p w14:paraId="35502379" w14:textId="77777777" w:rsidR="001C256F" w:rsidRPr="00480790" w:rsidRDefault="001C256F">
            <w:pPr>
              <w:pStyle w:val="TableText0"/>
            </w:pPr>
            <w:r w:rsidRPr="00480790">
              <w:t>4.</w:t>
            </w:r>
            <w:r w:rsidRPr="00480790">
              <w:tab/>
              <w:t>Second-line distant recurrence (2L DR)</w:t>
            </w:r>
          </w:p>
          <w:p w14:paraId="5E6DBBF0" w14:textId="77777777" w:rsidR="001C256F" w:rsidRPr="00480790" w:rsidRDefault="001C256F">
            <w:pPr>
              <w:pStyle w:val="TableText0"/>
            </w:pPr>
            <w:r w:rsidRPr="00480790">
              <w:t>5.</w:t>
            </w:r>
            <w:r w:rsidRPr="00480790">
              <w:tab/>
              <w:t>Death</w:t>
            </w:r>
          </w:p>
          <w:p w14:paraId="32CFBE01" w14:textId="77777777" w:rsidR="001C256F" w:rsidRPr="00480790" w:rsidRDefault="001C256F">
            <w:pPr>
              <w:pStyle w:val="TableText0"/>
            </w:pPr>
            <w:r w:rsidRPr="00480790">
              <w:t>This was consistent with other models for NSCLC, which were considered reasonable (Table 11, atezolizumab, PSD, July 2022 PBAC meeting and Table 8, osimertinib, PSD, November 2023 PBAC meeting).</w:t>
            </w:r>
          </w:p>
        </w:tc>
      </w:tr>
      <w:tr w:rsidR="00AB01EA" w:rsidRPr="00480790" w14:paraId="2B9C2E74" w14:textId="77777777" w:rsidTr="00751EBB">
        <w:tc>
          <w:tcPr>
            <w:tcW w:w="784" w:type="pct"/>
          </w:tcPr>
          <w:p w14:paraId="62835252" w14:textId="77777777" w:rsidR="001C256F" w:rsidRPr="00480790" w:rsidRDefault="001C256F">
            <w:pPr>
              <w:pStyle w:val="TableText0"/>
            </w:pPr>
            <w:r w:rsidRPr="00480790">
              <w:t>Cycle length</w:t>
            </w:r>
          </w:p>
        </w:tc>
        <w:tc>
          <w:tcPr>
            <w:tcW w:w="4216" w:type="pct"/>
          </w:tcPr>
          <w:p w14:paraId="62F9FE43" w14:textId="77777777" w:rsidR="001C256F" w:rsidRPr="00480790" w:rsidRDefault="001C256F">
            <w:pPr>
              <w:pStyle w:val="TableText0"/>
            </w:pPr>
            <w:r w:rsidRPr="00480790">
              <w:t xml:space="preserve">One week. </w:t>
            </w:r>
          </w:p>
        </w:tc>
      </w:tr>
      <w:tr w:rsidR="00AB01EA" w:rsidRPr="00480790" w14:paraId="63F1AF41" w14:textId="77777777" w:rsidTr="00751EBB">
        <w:tc>
          <w:tcPr>
            <w:tcW w:w="784" w:type="pct"/>
          </w:tcPr>
          <w:p w14:paraId="21AED103" w14:textId="77777777" w:rsidR="001C256F" w:rsidRPr="00480790" w:rsidRDefault="001C256F">
            <w:pPr>
              <w:pStyle w:val="TableText0"/>
            </w:pPr>
            <w:r w:rsidRPr="00480790">
              <w:t>Population</w:t>
            </w:r>
          </w:p>
        </w:tc>
        <w:tc>
          <w:tcPr>
            <w:tcW w:w="4216" w:type="pct"/>
          </w:tcPr>
          <w:p w14:paraId="4A9534C2" w14:textId="77777777" w:rsidR="001C256F" w:rsidRPr="00480790" w:rsidRDefault="001C256F">
            <w:pPr>
              <w:pStyle w:val="TableText0"/>
            </w:pPr>
            <w:r w:rsidRPr="00480790">
              <w:t>Mean age 54.9 years.</w:t>
            </w:r>
          </w:p>
          <w:p w14:paraId="5915DA0E" w14:textId="77777777" w:rsidR="001C256F" w:rsidRPr="00480790" w:rsidRDefault="001C256F">
            <w:pPr>
              <w:pStyle w:val="TableText0"/>
            </w:pPr>
            <w:r w:rsidRPr="00480790">
              <w:t>Adjuvant treatment in patients with resected ALK-positive stage IB (tumours ≥4 cm) to IIIA NSCLC.</w:t>
            </w:r>
          </w:p>
          <w:p w14:paraId="365B3449" w14:textId="77777777" w:rsidR="001C256F" w:rsidRPr="00480790" w:rsidRDefault="001C256F">
            <w:pPr>
              <w:pStyle w:val="TableText0"/>
            </w:pPr>
            <w:r w:rsidRPr="00480790">
              <w:t>Represents the population in the ALINA trial.</w:t>
            </w:r>
          </w:p>
        </w:tc>
      </w:tr>
      <w:tr w:rsidR="00AB01EA" w:rsidRPr="00480790" w14:paraId="1A7DD1DC" w14:textId="77777777" w:rsidTr="00751EBB">
        <w:tc>
          <w:tcPr>
            <w:tcW w:w="784" w:type="pct"/>
          </w:tcPr>
          <w:p w14:paraId="49DD4F8B" w14:textId="77777777" w:rsidR="001C256F" w:rsidRPr="00480790" w:rsidRDefault="001C256F">
            <w:pPr>
              <w:pStyle w:val="TableText0"/>
            </w:pPr>
            <w:r w:rsidRPr="00480790">
              <w:t>Transition probabilities</w:t>
            </w:r>
          </w:p>
        </w:tc>
        <w:tc>
          <w:tcPr>
            <w:tcW w:w="4216" w:type="pct"/>
          </w:tcPr>
          <w:p w14:paraId="4A4155CC" w14:textId="77777777" w:rsidR="001C256F" w:rsidRPr="00480790" w:rsidRDefault="001C256F" w:rsidP="00AE7DE0">
            <w:pPr>
              <w:pStyle w:val="TableText0"/>
              <w:keepLines/>
              <w:numPr>
                <w:ilvl w:val="0"/>
                <w:numId w:val="7"/>
              </w:numPr>
            </w:pPr>
            <w:r w:rsidRPr="00480790">
              <w:t>INV-DFS, LRR and death in the early-stage NSCLC setting: ALINA trial. This was reasonable.</w:t>
            </w:r>
          </w:p>
          <w:p w14:paraId="478545D4" w14:textId="77777777" w:rsidR="001C256F" w:rsidRPr="00480790" w:rsidRDefault="001C256F" w:rsidP="00AE7DE0">
            <w:pPr>
              <w:pStyle w:val="TableText0"/>
              <w:numPr>
                <w:ilvl w:val="0"/>
                <w:numId w:val="7"/>
              </w:numPr>
            </w:pPr>
            <w:r w:rsidRPr="00480790">
              <w:t>LRR to DR: Nakamichi et al (2017)</w:t>
            </w:r>
            <w:r w:rsidRPr="00480790">
              <w:rPr>
                <w:rStyle w:val="FootnoteReference"/>
              </w:rPr>
              <w:footnoteReference w:id="26"/>
            </w:r>
            <w:r w:rsidRPr="00480790">
              <w:t xml:space="preserve"> study investigating chemotherapy and radiotherapy. The study reported by Nakamichi et al. (2017) estimated the progression rate of patients with NSCLC that have had a LRR to 1L DR, and was accepted by the PBAC as the source for transitioning from the LRR to 1L DR health state in the economic model for adjuvant atezolizumab in NSCLC (Table 11, atezolizumab, PSD, July 2022 PBAC meeting).</w:t>
            </w:r>
          </w:p>
          <w:p w14:paraId="5ED4C43C" w14:textId="77777777" w:rsidR="001C256F" w:rsidRPr="00480790" w:rsidRDefault="001C256F" w:rsidP="00AE7DE0">
            <w:pPr>
              <w:pStyle w:val="TableText0"/>
              <w:numPr>
                <w:ilvl w:val="0"/>
                <w:numId w:val="7"/>
              </w:numPr>
            </w:pPr>
            <w:r w:rsidRPr="00480790">
              <w:t xml:space="preserve">1L DR to 2L DR: ALEX trial. </w:t>
            </w:r>
            <w:bookmarkStart w:id="63" w:name="_Hlk189037429"/>
            <w:r w:rsidRPr="00480790">
              <w:t>ALEX was an open-label trial of alectinib versus crizotinib in untreated advanced/metastatic ALK-positive NSCLC. The PBAC has not previously seen the ALEX trial in previous assessments of alectinib or crizotinib for NSCLC.</w:t>
            </w:r>
          </w:p>
          <w:p w14:paraId="2379130E" w14:textId="77777777" w:rsidR="001C256F" w:rsidRPr="00480790" w:rsidRDefault="001C256F" w:rsidP="00AE7DE0">
            <w:pPr>
              <w:pStyle w:val="TableText0"/>
              <w:numPr>
                <w:ilvl w:val="0"/>
                <w:numId w:val="7"/>
              </w:numPr>
            </w:pPr>
            <w:r w:rsidRPr="00480790">
              <w:t xml:space="preserve">1L DR to death: ALEX trial or general population mortality (ABS Life Tables). Source of data was inconsistent with costing of treatment in 1L DR. For example, the data for the transition probabilities from 1st line distant recurrence to death was taken from the ALEX trial of alectinib </w:t>
            </w:r>
            <w:r w:rsidRPr="00480790">
              <w:lastRenderedPageBreak/>
              <w:t>versus crizotinib. However, the model costed for IL DR lorlatinib and alectinib in the alectinib and chemotherapy arms respectively.</w:t>
            </w:r>
          </w:p>
          <w:p w14:paraId="76DCD115" w14:textId="77777777" w:rsidR="001C256F" w:rsidRPr="00480790" w:rsidRDefault="001C256F" w:rsidP="00AE7DE0">
            <w:pPr>
              <w:pStyle w:val="TableText0"/>
              <w:numPr>
                <w:ilvl w:val="0"/>
                <w:numId w:val="7"/>
              </w:numPr>
            </w:pPr>
            <w:r w:rsidRPr="00480790">
              <w:t>2L DR to death: ALUR trial or general population mortality (ABS Life Tables). ALUR was an open-label trial of alectinib versus chemotherapy in crizotinib-pretreated ALK-positive NSCLC. The PBAC has previously seen the ALUR trial.</w:t>
            </w:r>
            <w:r w:rsidRPr="00480790">
              <w:rPr>
                <w:rStyle w:val="FootnoteReference"/>
              </w:rPr>
              <w:footnoteReference w:id="27"/>
            </w:r>
            <w:r w:rsidRPr="00480790">
              <w:t xml:space="preserve"> Source of data was inconsistent with costing of treatment in 2L DR.</w:t>
            </w:r>
          </w:p>
          <w:bookmarkEnd w:id="63"/>
          <w:p w14:paraId="104DFA08" w14:textId="2AE38040" w:rsidR="001C256F" w:rsidRPr="00480790" w:rsidRDefault="001C256F" w:rsidP="00AE7DE0">
            <w:pPr>
              <w:pStyle w:val="TableText0"/>
              <w:keepLines/>
              <w:numPr>
                <w:ilvl w:val="0"/>
                <w:numId w:val="7"/>
              </w:numPr>
            </w:pPr>
            <w:r w:rsidRPr="00480790">
              <w:t>LRR to death: The submission assumed 2 different sources of data; the weekly rate of 0.0046 for the chemotherapy arm was taken from Nakamichi et al (2017), and a much higher weekly rate of 0.111 for the alectinib arm was taken from the ALEX trial, where patients received alectinib. The ESC considered the use of different sources of data was selective</w:t>
            </w:r>
            <w:r w:rsidRPr="00480790">
              <w:rPr>
                <w:bCs w:val="0"/>
              </w:rPr>
              <w:t xml:space="preserve"> and not well justified</w:t>
            </w:r>
            <w:r w:rsidRPr="00480790">
              <w:t>. Maximum of proportion of alive patients treated with alectinib with a LRR event (time-dependent) who die (ALEX trial) and general population mortality (ABS Life Tables). Applying both transition probabilities from Nakamichi et al (2017) increased the ICER from $</w:t>
            </w:r>
            <w:r w:rsidR="00487E5A" w:rsidRPr="00AB0DBE">
              <w:rPr>
                <w:color w:val="000000"/>
                <w:spacing w:val="53"/>
                <w:shd w:val="solid" w:color="000000" w:fill="000000"/>
                <w:fitText w:val="330" w:id="-663539966"/>
                <w14:textFill>
                  <w14:solidFill>
                    <w14:srgbClr w14:val="000000">
                      <w14:alpha w14:val="100000"/>
                    </w14:srgbClr>
                  </w14:solidFill>
                </w14:textFill>
              </w:rPr>
              <w:t>|||</w:t>
            </w:r>
            <w:r w:rsidR="00487E5A" w:rsidRPr="00AB0DBE">
              <w:rPr>
                <w:color w:val="000000"/>
                <w:spacing w:val="1"/>
                <w:shd w:val="solid" w:color="000000" w:fill="000000"/>
                <w:fitText w:val="330" w:id="-663539966"/>
                <w14:textFill>
                  <w14:solidFill>
                    <w14:srgbClr w14:val="000000">
                      <w14:alpha w14:val="100000"/>
                    </w14:srgbClr>
                  </w14:solidFill>
                </w14:textFill>
              </w:rPr>
              <w:t>|</w:t>
            </w:r>
            <w:r w:rsidR="003F18A3">
              <w:t xml:space="preserve"> </w:t>
            </w:r>
            <w:r w:rsidR="003F18A3">
              <w:rPr>
                <w:vertAlign w:val="superscript"/>
              </w:rPr>
              <w:t>1</w:t>
            </w:r>
            <w:r w:rsidRPr="00480790">
              <w:t xml:space="preserve"> to $</w:t>
            </w:r>
            <w:r w:rsidR="00487E5A" w:rsidRPr="00AB0DBE">
              <w:rPr>
                <w:color w:val="000000"/>
                <w:spacing w:val="53"/>
                <w:shd w:val="solid" w:color="000000" w:fill="000000"/>
                <w:fitText w:val="330" w:id="-663539965"/>
                <w14:textFill>
                  <w14:solidFill>
                    <w14:srgbClr w14:val="000000">
                      <w14:alpha w14:val="100000"/>
                    </w14:srgbClr>
                  </w14:solidFill>
                </w14:textFill>
              </w:rPr>
              <w:t>|||</w:t>
            </w:r>
            <w:r w:rsidR="00487E5A" w:rsidRPr="00AB0DBE">
              <w:rPr>
                <w:color w:val="000000"/>
                <w:spacing w:val="1"/>
                <w:shd w:val="solid" w:color="000000" w:fill="000000"/>
                <w:fitText w:val="330" w:id="-663539965"/>
                <w14:textFill>
                  <w14:solidFill>
                    <w14:srgbClr w14:val="000000">
                      <w14:alpha w14:val="100000"/>
                    </w14:srgbClr>
                  </w14:solidFill>
                </w14:textFill>
              </w:rPr>
              <w:t>|</w:t>
            </w:r>
            <w:r w:rsidR="003F18A3">
              <w:t xml:space="preserve"> </w:t>
            </w:r>
            <w:r w:rsidR="003F18A3">
              <w:rPr>
                <w:vertAlign w:val="superscript"/>
              </w:rPr>
              <w:t>2</w:t>
            </w:r>
            <w:r w:rsidRPr="00480790">
              <w:t xml:space="preserve"> per QALY gained.</w:t>
            </w:r>
          </w:p>
        </w:tc>
      </w:tr>
      <w:tr w:rsidR="00AB01EA" w:rsidRPr="00480790" w14:paraId="289B2746" w14:textId="77777777" w:rsidTr="00751EBB">
        <w:tc>
          <w:tcPr>
            <w:tcW w:w="784" w:type="pct"/>
          </w:tcPr>
          <w:p w14:paraId="67E8AD4D" w14:textId="77777777" w:rsidR="001C256F" w:rsidRPr="00480790" w:rsidRDefault="001C256F">
            <w:pPr>
              <w:pStyle w:val="TableText0"/>
            </w:pPr>
            <w:r w:rsidRPr="00480790">
              <w:lastRenderedPageBreak/>
              <w:t>Extrapolation method</w:t>
            </w:r>
          </w:p>
        </w:tc>
        <w:tc>
          <w:tcPr>
            <w:tcW w:w="4216" w:type="pct"/>
          </w:tcPr>
          <w:p w14:paraId="644D4EA5" w14:textId="77777777" w:rsidR="001C256F" w:rsidRPr="00480790" w:rsidRDefault="001C256F">
            <w:pPr>
              <w:pStyle w:val="TableText0"/>
            </w:pPr>
            <w:r w:rsidRPr="00480790">
              <w:t>DFS was extrapolated using the log-logistic function. This function had the best fit to the data based on AIC (Akaike information criterion) and BIC (Akaike information criterion). The Kaplan-Meier curve was used up to 30.1 months.</w:t>
            </w:r>
          </w:p>
          <w:p w14:paraId="04CEEA75" w14:textId="77777777" w:rsidR="001C256F" w:rsidRPr="00480790" w:rsidRDefault="001C256F">
            <w:pPr>
              <w:pStyle w:val="TableText0"/>
            </w:pPr>
            <w:r w:rsidRPr="00480790">
              <w:t>The log-logistic function assumption was reasonable. The ICER was moderately sensitive to the choice of function.</w:t>
            </w:r>
          </w:p>
          <w:p w14:paraId="11054E2B" w14:textId="77777777" w:rsidR="001C256F" w:rsidRPr="00480790" w:rsidRDefault="001C256F">
            <w:pPr>
              <w:pStyle w:val="TableText0"/>
            </w:pPr>
            <w:r w:rsidRPr="00480790">
              <w:t>The model assumed time independent transition probabilities from the other trials. This was reasonable.</w:t>
            </w:r>
          </w:p>
          <w:p w14:paraId="13947BED" w14:textId="77777777" w:rsidR="001C256F" w:rsidRPr="00480790" w:rsidRDefault="001C256F">
            <w:pPr>
              <w:pStyle w:val="TableText0"/>
            </w:pPr>
          </w:p>
          <w:p w14:paraId="4262DE55" w14:textId="77777777" w:rsidR="001C256F" w:rsidRPr="00480790" w:rsidRDefault="001C256F">
            <w:pPr>
              <w:pStyle w:val="TableText0"/>
            </w:pPr>
            <w:r w:rsidRPr="00480790">
              <w:t>The economic model applied 2 adjustments to the extrapolated DFS: first, the model allowed the treatment effect of alectinib to decrease over time from no decrease at 5 years to treatment effect null at 10 years.</w:t>
            </w:r>
          </w:p>
          <w:p w14:paraId="65F8354C" w14:textId="56F2F8C6" w:rsidR="001C256F" w:rsidRPr="00480790" w:rsidRDefault="001C256F" w:rsidP="00AE7DE0">
            <w:pPr>
              <w:pStyle w:val="TableText0"/>
              <w:numPr>
                <w:ilvl w:val="0"/>
                <w:numId w:val="7"/>
              </w:numPr>
            </w:pPr>
            <w:r w:rsidRPr="00480790">
              <w:t>The submission claimed that there was a lack of external evidence specific to the adjuvant NSCLC treatment setting to inform at what time point the treatment effect of alectinib ceases. The submission claimed that, consistent with the adjuvant atezolizumab submission to the PBAC (Atezolizumab, PSD, July 2022 PBAC meeting), the submission adopted a conservative approach and assumed the treatment effect started to decrease at year 5 and ceased at year 10. The treatment effect waning assumption was reasonable. The ICER was not sensitive to this parameter. Removing the treatment waning assumption, the ICER decreased from $</w:t>
            </w:r>
            <w:r w:rsidR="00487E5A" w:rsidRPr="00487E5A">
              <w:rPr>
                <w:color w:val="000000"/>
                <w:spacing w:val="49"/>
                <w:shd w:val="solid" w:color="000000" w:fill="000000"/>
                <w:fitText w:val="320" w:id="-663539964"/>
                <w14:textFill>
                  <w14:solidFill>
                    <w14:srgbClr w14:val="000000">
                      <w14:alpha w14:val="100000"/>
                    </w14:srgbClr>
                  </w14:solidFill>
                </w14:textFill>
              </w:rPr>
              <w:t>|||</w:t>
            </w:r>
            <w:r w:rsidR="00487E5A" w:rsidRPr="00487E5A">
              <w:rPr>
                <w:color w:val="000000"/>
                <w:spacing w:val="3"/>
                <w:shd w:val="solid" w:color="000000" w:fill="000000"/>
                <w:fitText w:val="320" w:id="-663539964"/>
                <w14:textFill>
                  <w14:solidFill>
                    <w14:srgbClr w14:val="000000">
                      <w14:alpha w14:val="100000"/>
                    </w14:srgbClr>
                  </w14:solidFill>
                </w14:textFill>
              </w:rPr>
              <w:t>|</w:t>
            </w:r>
            <w:r w:rsidR="001D07AC">
              <w:t xml:space="preserve"> </w:t>
            </w:r>
            <w:r w:rsidR="001D07AC">
              <w:rPr>
                <w:vertAlign w:val="superscript"/>
              </w:rPr>
              <w:t>1</w:t>
            </w:r>
            <w:r w:rsidRPr="00480790">
              <w:t xml:space="preserve"> to $</w:t>
            </w:r>
            <w:r w:rsidR="00487E5A" w:rsidRPr="00AB0DBE">
              <w:rPr>
                <w:color w:val="000000"/>
                <w:spacing w:val="53"/>
                <w:shd w:val="solid" w:color="000000" w:fill="000000"/>
                <w:fitText w:val="330" w:id="-663539963"/>
                <w14:textFill>
                  <w14:solidFill>
                    <w14:srgbClr w14:val="000000">
                      <w14:alpha w14:val="100000"/>
                    </w14:srgbClr>
                  </w14:solidFill>
                </w14:textFill>
              </w:rPr>
              <w:t>|||</w:t>
            </w:r>
            <w:r w:rsidR="00487E5A" w:rsidRPr="00AB0DBE">
              <w:rPr>
                <w:color w:val="000000"/>
                <w:spacing w:val="1"/>
                <w:shd w:val="solid" w:color="000000" w:fill="000000"/>
                <w:fitText w:val="330" w:id="-663539963"/>
                <w14:textFill>
                  <w14:solidFill>
                    <w14:srgbClr w14:val="000000">
                      <w14:alpha w14:val="100000"/>
                    </w14:srgbClr>
                  </w14:solidFill>
                </w14:textFill>
              </w:rPr>
              <w:t>|</w:t>
            </w:r>
            <w:r w:rsidR="001D07AC">
              <w:t xml:space="preserve"> </w:t>
            </w:r>
            <w:r w:rsidR="001D07AC">
              <w:rPr>
                <w:vertAlign w:val="superscript"/>
              </w:rPr>
              <w:t>1</w:t>
            </w:r>
            <w:r w:rsidRPr="00480790">
              <w:t xml:space="preserve"> per QALY gained.</w:t>
            </w:r>
          </w:p>
          <w:p w14:paraId="7E219D51" w14:textId="77777777" w:rsidR="001C256F" w:rsidRPr="00480790" w:rsidRDefault="001C256F">
            <w:pPr>
              <w:pStyle w:val="TableText0"/>
            </w:pPr>
          </w:p>
          <w:p w14:paraId="6A9D1E2A" w14:textId="66B6B8EE" w:rsidR="001C256F" w:rsidRPr="00480790" w:rsidRDefault="001C256F" w:rsidP="00AE7DE0">
            <w:pPr>
              <w:pStyle w:val="TableText0"/>
              <w:numPr>
                <w:ilvl w:val="0"/>
                <w:numId w:val="7"/>
              </w:numPr>
            </w:pPr>
            <w:r w:rsidRPr="00480790">
              <w:t>The submission applied a cure adjustment where the model allowed patients to be considered cured if they were disease-free for a certain number of years. In the base case, the risk of recurrence started to decrease at 4 years and the minimum risk of recurrence was reached at 5 years, at which time it was assumed that if patients had not experienced recurrence then 92% of patients were cured. A 91% cure rate at 10 years was used in the model submitted to NICE based on discussions with UK clinicians using a modified structured expert elicitation method. The ICER was sensitive to the cure assumption. Changing the cure assumption to 91% cure rate at 10 years increased the ICER from $</w:t>
            </w:r>
            <w:r w:rsidR="00487E5A" w:rsidRPr="00AB0DBE">
              <w:rPr>
                <w:color w:val="000000"/>
                <w:spacing w:val="53"/>
                <w:shd w:val="solid" w:color="000000" w:fill="000000"/>
                <w:fitText w:val="330" w:id="-663539962"/>
                <w14:textFill>
                  <w14:solidFill>
                    <w14:srgbClr w14:val="000000">
                      <w14:alpha w14:val="100000"/>
                    </w14:srgbClr>
                  </w14:solidFill>
                </w14:textFill>
              </w:rPr>
              <w:t>|||</w:t>
            </w:r>
            <w:r w:rsidR="00487E5A" w:rsidRPr="00AB0DBE">
              <w:rPr>
                <w:color w:val="000000"/>
                <w:spacing w:val="1"/>
                <w:shd w:val="solid" w:color="000000" w:fill="000000"/>
                <w:fitText w:val="330" w:id="-663539962"/>
                <w14:textFill>
                  <w14:solidFill>
                    <w14:srgbClr w14:val="000000">
                      <w14:alpha w14:val="100000"/>
                    </w14:srgbClr>
                  </w14:solidFill>
                </w14:textFill>
              </w:rPr>
              <w:t>|</w:t>
            </w:r>
            <w:r w:rsidRPr="00480790">
              <w:t xml:space="preserve"> </w:t>
            </w:r>
            <w:r w:rsidR="001D07AC" w:rsidRPr="001D07AC">
              <w:rPr>
                <w:vertAlign w:val="superscript"/>
              </w:rPr>
              <w:t>1</w:t>
            </w:r>
            <w:r w:rsidR="001D07AC">
              <w:t xml:space="preserve"> </w:t>
            </w:r>
            <w:r w:rsidRPr="001D07AC">
              <w:t>to</w:t>
            </w:r>
            <w:r w:rsidRPr="00480790">
              <w:t xml:space="preserve"> $</w:t>
            </w:r>
            <w:r w:rsidR="00487E5A" w:rsidRPr="00487E5A">
              <w:rPr>
                <w:color w:val="000000"/>
                <w:spacing w:val="49"/>
                <w:shd w:val="solid" w:color="000000" w:fill="000000"/>
                <w:fitText w:val="320" w:id="-663539961"/>
                <w14:textFill>
                  <w14:solidFill>
                    <w14:srgbClr w14:val="000000">
                      <w14:alpha w14:val="100000"/>
                    </w14:srgbClr>
                  </w14:solidFill>
                </w14:textFill>
              </w:rPr>
              <w:t>|||</w:t>
            </w:r>
            <w:r w:rsidR="00487E5A" w:rsidRPr="00487E5A">
              <w:rPr>
                <w:color w:val="000000"/>
                <w:spacing w:val="3"/>
                <w:shd w:val="solid" w:color="000000" w:fill="000000"/>
                <w:fitText w:val="320" w:id="-663539961"/>
                <w14:textFill>
                  <w14:solidFill>
                    <w14:srgbClr w14:val="000000">
                      <w14:alpha w14:val="100000"/>
                    </w14:srgbClr>
                  </w14:solidFill>
                </w14:textFill>
              </w:rPr>
              <w:t>|</w:t>
            </w:r>
            <w:r w:rsidR="001D07AC">
              <w:t xml:space="preserve"> </w:t>
            </w:r>
            <w:r w:rsidR="001D07AC">
              <w:rPr>
                <w:vertAlign w:val="superscript"/>
              </w:rPr>
              <w:t>3</w:t>
            </w:r>
            <w:r w:rsidRPr="00480790">
              <w:t xml:space="preserve"> per QALY gained.</w:t>
            </w:r>
          </w:p>
        </w:tc>
      </w:tr>
      <w:tr w:rsidR="00AB01EA" w:rsidRPr="00480790" w14:paraId="1FB1C202" w14:textId="77777777" w:rsidTr="00751EBB">
        <w:tc>
          <w:tcPr>
            <w:tcW w:w="784" w:type="pct"/>
          </w:tcPr>
          <w:p w14:paraId="633E5F20" w14:textId="77777777" w:rsidR="001C256F" w:rsidRPr="00480790" w:rsidRDefault="001C256F">
            <w:pPr>
              <w:pStyle w:val="TableText0"/>
            </w:pPr>
            <w:r w:rsidRPr="00480790">
              <w:t>Utilities</w:t>
            </w:r>
          </w:p>
        </w:tc>
        <w:tc>
          <w:tcPr>
            <w:tcW w:w="4216" w:type="pct"/>
          </w:tcPr>
          <w:p w14:paraId="6AD43F64" w14:textId="77777777" w:rsidR="001C256F" w:rsidRPr="00480790" w:rsidRDefault="001C256F">
            <w:pPr>
              <w:pStyle w:val="TableText0"/>
            </w:pPr>
            <w:r w:rsidRPr="00480790">
              <w:t>DFS = on-treatment 0.813 (alectinib), 0.776 (chemotherapy) (ALINA trial)</w:t>
            </w:r>
          </w:p>
          <w:p w14:paraId="6B90C754" w14:textId="77777777" w:rsidR="001C256F" w:rsidRPr="00480790" w:rsidRDefault="001C256F">
            <w:pPr>
              <w:pStyle w:val="TableText0"/>
            </w:pPr>
            <w:r w:rsidRPr="00480790">
              <w:t>DFS = off-treatment 0.861 (alectinib), 0.847 (chemotherapy) (ALINA trial)</w:t>
            </w:r>
          </w:p>
          <w:p w14:paraId="2C3BBFDA" w14:textId="77777777" w:rsidR="001C256F" w:rsidRPr="00480790" w:rsidRDefault="001C256F">
            <w:pPr>
              <w:pStyle w:val="TableText0"/>
            </w:pPr>
            <w:r w:rsidRPr="00480790">
              <w:t>LRR = 0.770 (Chouaid 2013)</w:t>
            </w:r>
            <w:r w:rsidRPr="00480790">
              <w:rPr>
                <w:rStyle w:val="FootnoteReference"/>
              </w:rPr>
              <w:footnoteReference w:id="28"/>
            </w:r>
          </w:p>
          <w:p w14:paraId="0B3BDC0D" w14:textId="77777777" w:rsidR="001C256F" w:rsidRPr="00480790" w:rsidRDefault="001C256F">
            <w:pPr>
              <w:pStyle w:val="TableText0"/>
            </w:pPr>
            <w:r w:rsidRPr="00480790">
              <w:t>1L DR = 0.730 (Chouaid 2013)</w:t>
            </w:r>
          </w:p>
          <w:p w14:paraId="127587A3" w14:textId="77777777" w:rsidR="001C256F" w:rsidRPr="00480790" w:rsidRDefault="001C256F">
            <w:pPr>
              <w:pStyle w:val="TableText0"/>
            </w:pPr>
            <w:r w:rsidRPr="00480790">
              <w:t>2L DR = 0.660 (Chouaid 2013)</w:t>
            </w:r>
          </w:p>
          <w:p w14:paraId="41E1326F" w14:textId="08E0A4F7" w:rsidR="001C256F" w:rsidRPr="00480790" w:rsidRDefault="001C256F">
            <w:pPr>
              <w:pStyle w:val="TableText0"/>
            </w:pPr>
            <w:r w:rsidRPr="00480790">
              <w:lastRenderedPageBreak/>
              <w:t>The ESC considered application of different utilities across treatment arms in the DFS health state when patients are off-treatment was not appropriate. Applying a utility of 0.854 for both treatment arms increased the ICER from $</w:t>
            </w:r>
            <w:r w:rsidR="00487E5A" w:rsidRPr="00AB0DBE">
              <w:rPr>
                <w:color w:val="000000"/>
                <w:spacing w:val="55"/>
                <w:w w:val="96"/>
                <w:shd w:val="solid" w:color="000000" w:fill="000000"/>
                <w:fitText w:val="330" w:id="-663539960"/>
                <w14:textFill>
                  <w14:solidFill>
                    <w14:srgbClr w14:val="000000">
                      <w14:alpha w14:val="100000"/>
                    </w14:srgbClr>
                  </w14:solidFill>
                </w14:textFill>
              </w:rPr>
              <w:t>|||</w:t>
            </w:r>
            <w:r w:rsidR="00487E5A" w:rsidRPr="00AB0DBE">
              <w:rPr>
                <w:color w:val="000000"/>
                <w:spacing w:val="2"/>
                <w:w w:val="96"/>
                <w:shd w:val="solid" w:color="000000" w:fill="000000"/>
                <w:fitText w:val="330" w:id="-663539960"/>
                <w14:textFill>
                  <w14:solidFill>
                    <w14:srgbClr w14:val="000000">
                      <w14:alpha w14:val="100000"/>
                    </w14:srgbClr>
                  </w14:solidFill>
                </w14:textFill>
              </w:rPr>
              <w:t>|</w:t>
            </w:r>
            <w:r w:rsidR="00B5400A">
              <w:t xml:space="preserve"> </w:t>
            </w:r>
            <w:r w:rsidR="00B5400A">
              <w:rPr>
                <w:vertAlign w:val="superscript"/>
              </w:rPr>
              <w:t>1</w:t>
            </w:r>
            <w:r w:rsidRPr="00480790">
              <w:t xml:space="preserve"> to $</w:t>
            </w:r>
            <w:r w:rsidR="00487E5A" w:rsidRPr="00487E5A">
              <w:rPr>
                <w:color w:val="000000"/>
                <w:spacing w:val="49"/>
                <w:shd w:val="solid" w:color="000000" w:fill="000000"/>
                <w:fitText w:val="320" w:id="-663539959"/>
                <w14:textFill>
                  <w14:solidFill>
                    <w14:srgbClr w14:val="000000">
                      <w14:alpha w14:val="100000"/>
                    </w14:srgbClr>
                  </w14:solidFill>
                </w14:textFill>
              </w:rPr>
              <w:t>|||</w:t>
            </w:r>
            <w:r w:rsidR="00487E5A" w:rsidRPr="00487E5A">
              <w:rPr>
                <w:color w:val="000000"/>
                <w:spacing w:val="3"/>
                <w:shd w:val="solid" w:color="000000" w:fill="000000"/>
                <w:fitText w:val="320" w:id="-663539959"/>
                <w14:textFill>
                  <w14:solidFill>
                    <w14:srgbClr w14:val="000000">
                      <w14:alpha w14:val="100000"/>
                    </w14:srgbClr>
                  </w14:solidFill>
                </w14:textFill>
              </w:rPr>
              <w:t>|</w:t>
            </w:r>
            <w:r w:rsidR="00B5400A">
              <w:t xml:space="preserve"> </w:t>
            </w:r>
            <w:r w:rsidR="00B5400A">
              <w:rPr>
                <w:vertAlign w:val="superscript"/>
              </w:rPr>
              <w:t>1</w:t>
            </w:r>
            <w:r w:rsidRPr="00480790">
              <w:t xml:space="preserve"> per QALY gained.</w:t>
            </w:r>
          </w:p>
          <w:p w14:paraId="7758AB55" w14:textId="77777777" w:rsidR="001C256F" w:rsidRPr="00480790" w:rsidRDefault="001C256F">
            <w:pPr>
              <w:pStyle w:val="TableText0"/>
            </w:pPr>
            <w:r w:rsidRPr="00480790">
              <w:t xml:space="preserve">The economic evaluation did not apply utilities that decreased with age. </w:t>
            </w:r>
          </w:p>
        </w:tc>
      </w:tr>
      <w:tr w:rsidR="00AB01EA" w:rsidRPr="00480790" w14:paraId="17505355" w14:textId="77777777" w:rsidTr="00751EBB">
        <w:tc>
          <w:tcPr>
            <w:tcW w:w="784" w:type="pct"/>
          </w:tcPr>
          <w:p w14:paraId="016C9063" w14:textId="77777777" w:rsidR="001C256F" w:rsidRPr="00480790" w:rsidRDefault="001C256F">
            <w:pPr>
              <w:pStyle w:val="TableText0"/>
            </w:pPr>
            <w:r w:rsidRPr="00480790">
              <w:lastRenderedPageBreak/>
              <w:t xml:space="preserve">Costs </w:t>
            </w:r>
          </w:p>
        </w:tc>
        <w:tc>
          <w:tcPr>
            <w:tcW w:w="4216" w:type="pct"/>
          </w:tcPr>
          <w:p w14:paraId="3CEBC848" w14:textId="0C6B15D4" w:rsidR="001C256F" w:rsidRPr="00480790" w:rsidRDefault="001C256F">
            <w:pPr>
              <w:pStyle w:val="TableText0"/>
            </w:pPr>
            <w:r w:rsidRPr="00480790">
              <w:t>Alectinib (150 mg tablet) 600 mg (4 x 150 mg tablets) BID DPMQ $</w:t>
            </w:r>
            <w:r w:rsidR="00487E5A" w:rsidRPr="00487E5A">
              <w:rPr>
                <w:color w:val="000000"/>
                <w:spacing w:val="53"/>
                <w:shd w:val="solid" w:color="000000" w:fill="000000"/>
                <w:fitText w:val="330" w:id="-663539958"/>
                <w14:textFill>
                  <w14:solidFill>
                    <w14:srgbClr w14:val="000000">
                      <w14:alpha w14:val="100000"/>
                    </w14:srgbClr>
                  </w14:solidFill>
                </w14:textFill>
              </w:rPr>
              <w:t>|||</w:t>
            </w:r>
            <w:r w:rsidR="00487E5A" w:rsidRPr="00487E5A">
              <w:rPr>
                <w:color w:val="000000"/>
                <w:spacing w:val="1"/>
                <w:shd w:val="solid" w:color="000000" w:fill="000000"/>
                <w:fitText w:val="330" w:id="-663539958"/>
                <w14:textFill>
                  <w14:solidFill>
                    <w14:srgbClr w14:val="000000">
                      <w14:alpha w14:val="100000"/>
                    </w14:srgbClr>
                  </w14:solidFill>
                </w14:textFill>
              </w:rPr>
              <w:t>|</w:t>
            </w:r>
            <w:r w:rsidRPr="00480790">
              <w:t>, up to 2 years.</w:t>
            </w:r>
          </w:p>
          <w:p w14:paraId="3C6F5357" w14:textId="77777777" w:rsidR="001C256F" w:rsidRPr="00480790" w:rsidRDefault="001C256F">
            <w:pPr>
              <w:pStyle w:val="TableText0"/>
            </w:pPr>
            <w:r w:rsidRPr="00480790">
              <w:t>Chemotherapy every 21 days for 4 cycles, 133 mg of cisplatin and 887 mg of pemetrexed per administration:</w:t>
            </w:r>
          </w:p>
          <w:p w14:paraId="15DD061A" w14:textId="77777777" w:rsidR="001C256F" w:rsidRPr="00480790" w:rsidRDefault="001C256F" w:rsidP="00AE7DE0">
            <w:pPr>
              <w:pStyle w:val="ListParagraph"/>
              <w:numPr>
                <w:ilvl w:val="0"/>
                <w:numId w:val="7"/>
              </w:numPr>
              <w:spacing w:after="0"/>
              <w:ind w:left="357" w:hanging="357"/>
              <w:rPr>
                <w:rFonts w:ascii="Arial Narrow" w:hAnsi="Arial Narrow"/>
                <w:sz w:val="20"/>
                <w:szCs w:val="20"/>
              </w:rPr>
            </w:pPr>
            <w:r w:rsidRPr="00480790">
              <w:rPr>
                <w:rFonts w:ascii="Arial Narrow" w:hAnsi="Arial Narrow"/>
                <w:sz w:val="20"/>
                <w:szCs w:val="20"/>
              </w:rPr>
              <w:t>Cisplatin (50 mg/50 mL, 50 mL vial) published DPMQ $184.46</w:t>
            </w:r>
          </w:p>
          <w:p w14:paraId="5B3FD096" w14:textId="77777777" w:rsidR="001C256F" w:rsidRPr="00480790" w:rsidRDefault="001C256F" w:rsidP="00AE7DE0">
            <w:pPr>
              <w:pStyle w:val="ListParagraph"/>
              <w:numPr>
                <w:ilvl w:val="0"/>
                <w:numId w:val="7"/>
              </w:numPr>
              <w:spacing w:after="0"/>
              <w:ind w:left="357" w:hanging="357"/>
              <w:rPr>
                <w:rFonts w:ascii="Arial Narrow" w:hAnsi="Arial Narrow"/>
                <w:sz w:val="20"/>
                <w:szCs w:val="20"/>
              </w:rPr>
            </w:pPr>
            <w:r w:rsidRPr="00480790">
              <w:rPr>
                <w:rFonts w:ascii="Arial Narrow" w:hAnsi="Arial Narrow"/>
                <w:sz w:val="20"/>
                <w:szCs w:val="20"/>
              </w:rPr>
              <w:t>Cisplatin (100 mg/100 mL, 100 mL vial) published DPMQ $184.46</w:t>
            </w:r>
          </w:p>
          <w:p w14:paraId="3A31ECB9" w14:textId="77777777" w:rsidR="001C256F" w:rsidRPr="00480790" w:rsidRDefault="001C256F" w:rsidP="00AE7DE0">
            <w:pPr>
              <w:pStyle w:val="ListParagraph"/>
              <w:numPr>
                <w:ilvl w:val="0"/>
                <w:numId w:val="7"/>
              </w:numPr>
              <w:spacing w:after="0"/>
              <w:ind w:left="357" w:hanging="357"/>
              <w:rPr>
                <w:rFonts w:ascii="Arial Narrow" w:hAnsi="Arial Narrow"/>
                <w:sz w:val="20"/>
                <w:szCs w:val="20"/>
              </w:rPr>
            </w:pPr>
            <w:r w:rsidRPr="00480790">
              <w:rPr>
                <w:rFonts w:ascii="Arial Narrow" w:hAnsi="Arial Narrow"/>
                <w:sz w:val="20"/>
                <w:szCs w:val="20"/>
              </w:rPr>
              <w:t>Pemetrexed (100 mg vial) published DPMQ $193.98</w:t>
            </w:r>
          </w:p>
          <w:p w14:paraId="28535411" w14:textId="77777777" w:rsidR="001C256F" w:rsidRPr="00480790" w:rsidRDefault="001C256F" w:rsidP="00AE7DE0">
            <w:pPr>
              <w:pStyle w:val="ListParagraph"/>
              <w:numPr>
                <w:ilvl w:val="0"/>
                <w:numId w:val="7"/>
              </w:numPr>
              <w:spacing w:after="0"/>
              <w:ind w:left="357" w:hanging="357"/>
              <w:rPr>
                <w:rFonts w:ascii="Arial Narrow" w:hAnsi="Arial Narrow"/>
                <w:sz w:val="20"/>
                <w:szCs w:val="20"/>
              </w:rPr>
            </w:pPr>
            <w:r w:rsidRPr="00480790">
              <w:rPr>
                <w:rFonts w:ascii="Arial Narrow" w:hAnsi="Arial Narrow"/>
                <w:sz w:val="20"/>
                <w:szCs w:val="20"/>
              </w:rPr>
              <w:t>Pemetrexed (500 mg vial) published DPMQ $148.52</w:t>
            </w:r>
          </w:p>
          <w:p w14:paraId="1FCCE85E" w14:textId="77777777" w:rsidR="001C256F" w:rsidRPr="00480790" w:rsidRDefault="001C256F" w:rsidP="00AE7DE0">
            <w:pPr>
              <w:pStyle w:val="ListParagraph"/>
              <w:numPr>
                <w:ilvl w:val="0"/>
                <w:numId w:val="7"/>
              </w:numPr>
              <w:spacing w:after="0"/>
              <w:ind w:left="357" w:hanging="357"/>
              <w:rPr>
                <w:rFonts w:ascii="Arial Narrow" w:hAnsi="Arial Narrow"/>
                <w:sz w:val="20"/>
                <w:szCs w:val="20"/>
              </w:rPr>
            </w:pPr>
            <w:r w:rsidRPr="00480790">
              <w:rPr>
                <w:rFonts w:ascii="Arial Narrow" w:hAnsi="Arial Narrow"/>
                <w:sz w:val="20"/>
                <w:szCs w:val="20"/>
              </w:rPr>
              <w:t>Pemetrexed (1000 mg vial) published DPMQ $193.98</w:t>
            </w:r>
          </w:p>
          <w:p w14:paraId="12FB2FF9" w14:textId="77777777" w:rsidR="001C256F" w:rsidRPr="00480790" w:rsidRDefault="001C256F">
            <w:pPr>
              <w:rPr>
                <w:rFonts w:ascii="Arial Narrow" w:hAnsi="Arial Narrow"/>
                <w:sz w:val="20"/>
                <w:szCs w:val="20"/>
              </w:rPr>
            </w:pPr>
          </w:p>
          <w:p w14:paraId="496C246B" w14:textId="77777777" w:rsidR="001C256F" w:rsidRPr="00480790" w:rsidRDefault="001C256F">
            <w:pPr>
              <w:pStyle w:val="TableText0"/>
            </w:pPr>
            <w:r w:rsidRPr="00480790">
              <w:t>Medical services, such as CT scans were taken from relevant MBS items.</w:t>
            </w:r>
          </w:p>
          <w:p w14:paraId="54BE0937" w14:textId="77777777" w:rsidR="001C256F" w:rsidRPr="00480790" w:rsidRDefault="001C256F">
            <w:pPr>
              <w:pStyle w:val="TableText0"/>
            </w:pPr>
            <w:r w:rsidRPr="00480790">
              <w:t>The cost of management of adverse events was taken from NHCDC report version 11.0 2020-21.</w:t>
            </w:r>
            <w:r w:rsidRPr="00480790">
              <w:rPr>
                <w:rStyle w:val="FootnoteReference"/>
              </w:rPr>
              <w:footnoteReference w:id="29"/>
            </w:r>
            <w:r w:rsidRPr="00480790">
              <w:t xml:space="preserve"> This was reasonable.</w:t>
            </w:r>
          </w:p>
          <w:p w14:paraId="197475D9" w14:textId="77777777" w:rsidR="001C256F" w:rsidRPr="00480790" w:rsidRDefault="001C256F">
            <w:pPr>
              <w:rPr>
                <w:sz w:val="20"/>
                <w:szCs w:val="20"/>
              </w:rPr>
            </w:pPr>
          </w:p>
          <w:p w14:paraId="23D9CAC5" w14:textId="77777777" w:rsidR="001C256F" w:rsidRPr="00480790" w:rsidRDefault="001C256F">
            <w:pPr>
              <w:pStyle w:val="TableText0"/>
            </w:pPr>
            <w:r w:rsidRPr="00480790">
              <w:t>The costs in LRR included chemotherapy in the alectinib arm and radiotherapy in the chemotherapy arm. The cost of chemotherapy was as given for the chemotherapy arm above and the cost of radiotherapy was taken from Batumalai et al. (2019).</w:t>
            </w:r>
            <w:r w:rsidRPr="00480790">
              <w:rPr>
                <w:rStyle w:val="FootnoteReference"/>
              </w:rPr>
              <w:footnoteReference w:id="30"/>
            </w:r>
            <w:r w:rsidRPr="00480790">
              <w:t xml:space="preserve"> This was reasonable.</w:t>
            </w:r>
          </w:p>
          <w:p w14:paraId="75449F3C" w14:textId="77777777" w:rsidR="001C256F" w:rsidRPr="00480790" w:rsidRDefault="001C256F">
            <w:pPr>
              <w:rPr>
                <w:rFonts w:ascii="Arial Narrow" w:hAnsi="Arial Narrow"/>
                <w:sz w:val="20"/>
                <w:szCs w:val="20"/>
              </w:rPr>
            </w:pPr>
          </w:p>
          <w:p w14:paraId="649DBF6C" w14:textId="77777777" w:rsidR="001C256F" w:rsidRPr="00480790" w:rsidRDefault="001C256F" w:rsidP="00751EBB">
            <w:pPr>
              <w:pStyle w:val="TableText0"/>
            </w:pPr>
            <w:r w:rsidRPr="00480790">
              <w:t>On progression to 2L DR, patients in the alectinib arm were assumed to be treated with brigatinib. It is unlikely that patients would be treated with brigatinib, as this would be the third drug in this class. Patients are more likely to receive chemotherapy.</w:t>
            </w:r>
          </w:p>
          <w:p w14:paraId="12C5918A" w14:textId="77777777" w:rsidR="001C256F" w:rsidRPr="00480790" w:rsidRDefault="001C256F">
            <w:pPr>
              <w:pStyle w:val="TableText0"/>
            </w:pPr>
          </w:p>
          <w:p w14:paraId="406D25E9" w14:textId="77777777" w:rsidR="001C256F" w:rsidRPr="00480790" w:rsidRDefault="001C256F">
            <w:pPr>
              <w:pStyle w:val="TableText0"/>
            </w:pPr>
            <w:r w:rsidRPr="00480790">
              <w:t>The submission assumed median treatment durations for the costs of treatment in 1L and 2L DR. It was preferable to assume mean treatment durations.</w:t>
            </w:r>
          </w:p>
          <w:p w14:paraId="36544020" w14:textId="77777777" w:rsidR="001C256F" w:rsidRPr="00480790" w:rsidRDefault="001C256F" w:rsidP="00751EBB">
            <w:pPr>
              <w:pStyle w:val="TableText0"/>
            </w:pPr>
          </w:p>
          <w:p w14:paraId="592CD55A" w14:textId="77777777" w:rsidR="001C256F" w:rsidRPr="00480790" w:rsidRDefault="001C256F">
            <w:pPr>
              <w:pStyle w:val="TableText0"/>
            </w:pPr>
            <w:r w:rsidRPr="00480790">
              <w:t>The submission estimated the effective prices of lorlatinib and brigatinib. The true effective prices are given in the Committee-in-Confidence section.</w:t>
            </w:r>
          </w:p>
          <w:p w14:paraId="2801D3B6" w14:textId="77777777" w:rsidR="001C256F" w:rsidRPr="00480790" w:rsidRDefault="001C256F">
            <w:pPr>
              <w:pStyle w:val="TableText0"/>
            </w:pPr>
          </w:p>
          <w:p w14:paraId="6923A3D0" w14:textId="4B14E4DA" w:rsidR="001C256F" w:rsidRPr="00480790" w:rsidRDefault="001C256F">
            <w:pPr>
              <w:pStyle w:val="TableText0"/>
            </w:pPr>
            <w:r w:rsidRPr="00480790">
              <w:t xml:space="preserve">The submission applied an </w:t>
            </w:r>
            <w:r w:rsidR="00866B92" w:rsidRPr="00480790">
              <w:t>end-of-life</w:t>
            </w:r>
            <w:r w:rsidRPr="00480790">
              <w:t xml:space="preserve"> cost of $6,409, representing the average monthly cost over the last 6 months of life. This was taken from the </w:t>
            </w:r>
            <w:r w:rsidR="00866B92" w:rsidRPr="00480790">
              <w:t>end-of-life</w:t>
            </w:r>
            <w:r w:rsidRPr="00480790">
              <w:t xml:space="preserve"> care costs associated with lung cancer using participants in the Sax Institute’s 45 and Up Study, which was a longitudinal study of 267,153 people aged ≥45 years in New South Wales (Goldsbury et al 2020).</w:t>
            </w:r>
            <w:r w:rsidRPr="00480790">
              <w:rPr>
                <w:rStyle w:val="FootnoteReference"/>
              </w:rPr>
              <w:footnoteReference w:id="31"/>
            </w:r>
            <w:r w:rsidRPr="00480790">
              <w:t xml:space="preserve"> It was more appropriate to add the costs in the final 6 months of life, which gave a total of $38,454. By far the greatest source of costs in Goldsbury et al (2020) related to hospital-based care (Figure 4, Goldsbury et al 2020). Therefore there was likely to be little double counting with PBS costs already included in the model. With the change of using the total cost of $</w:t>
            </w:r>
            <w:r w:rsidRPr="009E216D">
              <w:t>38,454</w:t>
            </w:r>
            <w:r w:rsidRPr="00480790">
              <w:t>, the ICER decreased from $</w:t>
            </w:r>
            <w:r w:rsidR="00487E5A" w:rsidRPr="00487E5A">
              <w:rPr>
                <w:color w:val="000000"/>
                <w:spacing w:val="49"/>
                <w:shd w:val="solid" w:color="000000" w:fill="000000"/>
                <w:fitText w:val="320" w:id="-663539957"/>
                <w14:textFill>
                  <w14:solidFill>
                    <w14:srgbClr w14:val="000000">
                      <w14:alpha w14:val="100000"/>
                    </w14:srgbClr>
                  </w14:solidFill>
                </w14:textFill>
              </w:rPr>
              <w:t>|||</w:t>
            </w:r>
            <w:r w:rsidR="00487E5A" w:rsidRPr="00487E5A">
              <w:rPr>
                <w:color w:val="000000"/>
                <w:spacing w:val="3"/>
                <w:shd w:val="solid" w:color="000000" w:fill="000000"/>
                <w:fitText w:val="320" w:id="-663539957"/>
                <w14:textFill>
                  <w14:solidFill>
                    <w14:srgbClr w14:val="000000">
                      <w14:alpha w14:val="100000"/>
                    </w14:srgbClr>
                  </w14:solidFill>
                </w14:textFill>
              </w:rPr>
              <w:t>|</w:t>
            </w:r>
            <w:r w:rsidR="00453DB2">
              <w:t xml:space="preserve"> </w:t>
            </w:r>
            <w:r w:rsidR="00453DB2">
              <w:rPr>
                <w:vertAlign w:val="superscript"/>
              </w:rPr>
              <w:t>1</w:t>
            </w:r>
            <w:r w:rsidRPr="00480790">
              <w:t xml:space="preserve"> to $</w:t>
            </w:r>
            <w:r w:rsidR="00487E5A" w:rsidRPr="00487E5A">
              <w:rPr>
                <w:color w:val="000000"/>
                <w:spacing w:val="53"/>
                <w:shd w:val="solid" w:color="000000" w:fill="000000"/>
                <w:fitText w:val="330" w:id="-663539956"/>
                <w14:textFill>
                  <w14:solidFill>
                    <w14:srgbClr w14:val="000000">
                      <w14:alpha w14:val="100000"/>
                    </w14:srgbClr>
                  </w14:solidFill>
                </w14:textFill>
              </w:rPr>
              <w:t>|||</w:t>
            </w:r>
            <w:r w:rsidR="00487E5A" w:rsidRPr="00487E5A">
              <w:rPr>
                <w:color w:val="000000"/>
                <w:spacing w:val="1"/>
                <w:shd w:val="solid" w:color="000000" w:fill="000000"/>
                <w:fitText w:val="330" w:id="-663539956"/>
                <w14:textFill>
                  <w14:solidFill>
                    <w14:srgbClr w14:val="000000">
                      <w14:alpha w14:val="100000"/>
                    </w14:srgbClr>
                  </w14:solidFill>
                </w14:textFill>
              </w:rPr>
              <w:t>|</w:t>
            </w:r>
            <w:r w:rsidR="00453DB2">
              <w:t xml:space="preserve"> </w:t>
            </w:r>
            <w:r w:rsidR="00453DB2">
              <w:rPr>
                <w:vertAlign w:val="superscript"/>
              </w:rPr>
              <w:t>1</w:t>
            </w:r>
            <w:r w:rsidRPr="00480790">
              <w:t xml:space="preserve"> per QALY gained</w:t>
            </w:r>
          </w:p>
        </w:tc>
      </w:tr>
      <w:tr w:rsidR="00AB01EA" w:rsidRPr="00480790" w14:paraId="080BBFBD" w14:textId="77777777" w:rsidTr="00751EBB">
        <w:tc>
          <w:tcPr>
            <w:tcW w:w="784" w:type="pct"/>
          </w:tcPr>
          <w:p w14:paraId="7F99A583" w14:textId="77777777" w:rsidR="001C256F" w:rsidRPr="00480790" w:rsidRDefault="001C256F">
            <w:pPr>
              <w:pStyle w:val="TableText0"/>
            </w:pPr>
            <w:r w:rsidRPr="00480790">
              <w:t>Discounting</w:t>
            </w:r>
          </w:p>
        </w:tc>
        <w:tc>
          <w:tcPr>
            <w:tcW w:w="4216" w:type="pct"/>
          </w:tcPr>
          <w:p w14:paraId="446F974A" w14:textId="77777777" w:rsidR="001C256F" w:rsidRPr="00480790" w:rsidRDefault="001C256F">
            <w:pPr>
              <w:pStyle w:val="TableText0"/>
            </w:pPr>
            <w:r w:rsidRPr="00480790">
              <w:t>5% per year for costs and benefits. This was appropriate.</w:t>
            </w:r>
          </w:p>
        </w:tc>
      </w:tr>
      <w:tr w:rsidR="00AB01EA" w:rsidRPr="00480790" w14:paraId="3B599DC5" w14:textId="77777777" w:rsidTr="00751EBB">
        <w:tc>
          <w:tcPr>
            <w:tcW w:w="784" w:type="pct"/>
          </w:tcPr>
          <w:p w14:paraId="45C75E92" w14:textId="77777777" w:rsidR="001C256F" w:rsidRPr="00480790" w:rsidRDefault="001C256F">
            <w:pPr>
              <w:pStyle w:val="TableText0"/>
            </w:pPr>
            <w:r w:rsidRPr="00480790">
              <w:t>Software package</w:t>
            </w:r>
          </w:p>
        </w:tc>
        <w:tc>
          <w:tcPr>
            <w:tcW w:w="4216" w:type="pct"/>
          </w:tcPr>
          <w:p w14:paraId="0C83E7A0" w14:textId="77777777" w:rsidR="001C256F" w:rsidRPr="00480790" w:rsidRDefault="001C256F">
            <w:pPr>
              <w:pStyle w:val="TableText0"/>
            </w:pPr>
            <w:r w:rsidRPr="00480790">
              <w:t>Microsoft Excel 2016. Reasonable.</w:t>
            </w:r>
          </w:p>
        </w:tc>
      </w:tr>
    </w:tbl>
    <w:bookmarkEnd w:id="62"/>
    <w:p w14:paraId="780674B1" w14:textId="77777777" w:rsidR="001C256F" w:rsidRPr="00480790" w:rsidRDefault="001C256F" w:rsidP="00751EBB">
      <w:pPr>
        <w:pStyle w:val="FooterTableFigure"/>
      </w:pPr>
      <w:r w:rsidRPr="00480790">
        <w:t xml:space="preserve">Source: Table 3.2, p58-59 of the submission. </w:t>
      </w:r>
      <w:r w:rsidRPr="00480790">
        <w:rPr>
          <w:i/>
          <w:iCs/>
        </w:rPr>
        <w:t>Text in italics from the evaluation</w:t>
      </w:r>
      <w:r w:rsidRPr="00480790">
        <w:t>.</w:t>
      </w:r>
    </w:p>
    <w:p w14:paraId="60A524BF" w14:textId="0F1349A4" w:rsidR="001C256F" w:rsidRDefault="001C256F" w:rsidP="00133CE8">
      <w:pPr>
        <w:pStyle w:val="FooterTableFigure"/>
        <w:spacing w:after="0"/>
      </w:pPr>
      <w:r w:rsidRPr="00480790">
        <w:t>CT = computed tomography, DFS = disease-free survival, DPMQ = Dispensed Price for Maximum Quantity, ICER = incremental cost-effectiveness ratio, INV = investigator assessed, LRR = locoregional recurrence, MHCDC = National Hospital Cost Data Collection, NICE = National Institute for Health and Care Excellence, NSCLC = non-small cell lung cancer, PBAC = Pharmaceutical Benefits Advisory Committee, QALY = Quality-Adjusted Life-Year, 1L DR = 1</w:t>
      </w:r>
      <w:r w:rsidRPr="00480790">
        <w:rPr>
          <w:vertAlign w:val="superscript"/>
        </w:rPr>
        <w:t>st</w:t>
      </w:r>
      <w:r w:rsidRPr="00480790">
        <w:t xml:space="preserve"> line distant recurrence, 2L DR = 2</w:t>
      </w:r>
      <w:r w:rsidRPr="00480790">
        <w:rPr>
          <w:vertAlign w:val="superscript"/>
        </w:rPr>
        <w:t>nd</w:t>
      </w:r>
      <w:r w:rsidRPr="00480790">
        <w:t xml:space="preserve"> line distant recurrence.</w:t>
      </w:r>
    </w:p>
    <w:p w14:paraId="44A4606E" w14:textId="77777777" w:rsidR="00133CE8" w:rsidRPr="009A6D58" w:rsidRDefault="00133CE8" w:rsidP="00133CE8">
      <w:pPr>
        <w:rPr>
          <w:rFonts w:ascii="Arial Narrow" w:hAnsi="Arial Narrow"/>
          <w:i/>
          <w:sz w:val="18"/>
          <w:szCs w:val="18"/>
        </w:rPr>
      </w:pPr>
      <w:r w:rsidRPr="009A6D58">
        <w:rPr>
          <w:rFonts w:ascii="Arial Narrow" w:hAnsi="Arial Narrow"/>
          <w:i/>
          <w:sz w:val="18"/>
          <w:szCs w:val="18"/>
        </w:rPr>
        <w:lastRenderedPageBreak/>
        <w:t xml:space="preserve">The redacted values correspond to the following ranges: </w:t>
      </w:r>
    </w:p>
    <w:p w14:paraId="7114442F" w14:textId="48A9C56E" w:rsidR="00133CE8" w:rsidRPr="009A6D58" w:rsidRDefault="00133CE8" w:rsidP="00133CE8">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C56BF2" w:rsidRPr="00C56BF2">
        <w:rPr>
          <w:rFonts w:ascii="Arial Narrow" w:hAnsi="Arial Narrow"/>
          <w:i/>
          <w:sz w:val="18"/>
          <w:szCs w:val="18"/>
        </w:rPr>
        <w:t>$25,000 to &lt; $35,000</w:t>
      </w:r>
    </w:p>
    <w:p w14:paraId="3188B251" w14:textId="29D14499" w:rsidR="00133CE8" w:rsidRPr="009A6D58" w:rsidRDefault="00133CE8" w:rsidP="00133CE8">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1C2FC5" w:rsidRPr="001C2FC5">
        <w:rPr>
          <w:rFonts w:ascii="Arial Narrow" w:hAnsi="Arial Narrow"/>
          <w:i/>
          <w:sz w:val="18"/>
          <w:szCs w:val="18"/>
        </w:rPr>
        <w:t>$35,000 to &lt; $45,000</w:t>
      </w:r>
    </w:p>
    <w:p w14:paraId="227D94FA" w14:textId="18DE8B26" w:rsidR="00133CE8" w:rsidRPr="00133CE8" w:rsidRDefault="00133CE8" w:rsidP="00133CE8">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705BBE" w:rsidRPr="00705BBE">
        <w:rPr>
          <w:rFonts w:ascii="Arial Narrow" w:hAnsi="Arial Narrow"/>
          <w:i/>
          <w:sz w:val="18"/>
          <w:szCs w:val="18"/>
        </w:rPr>
        <w:t>$45,000 to &lt; $55,000</w:t>
      </w:r>
    </w:p>
    <w:p w14:paraId="4E282FE6" w14:textId="11D7C9CE" w:rsidR="001C256F" w:rsidRPr="007F6FF6" w:rsidRDefault="001C256F" w:rsidP="007F6FF6">
      <w:pPr>
        <w:pStyle w:val="3-BodyText"/>
        <w:rPr>
          <w:lang w:val="en-AU"/>
        </w:rPr>
      </w:pPr>
      <w:r w:rsidRPr="00480790">
        <w:rPr>
          <w:lang w:val="en-AU"/>
        </w:rPr>
        <w:fldChar w:fldCharType="begin"/>
      </w:r>
      <w:r w:rsidRPr="00480790">
        <w:rPr>
          <w:lang w:val="en-AU"/>
        </w:rPr>
        <w:instrText xml:space="preserve"> REF _Ref187851850 \h  \* MERGEFORMAT </w:instrText>
      </w:r>
      <w:r w:rsidRPr="00480790">
        <w:rPr>
          <w:lang w:val="en-AU"/>
        </w:rPr>
      </w:r>
      <w:r w:rsidRPr="00480790">
        <w:rPr>
          <w:lang w:val="en-AU"/>
        </w:rPr>
        <w:fldChar w:fldCharType="separate"/>
      </w:r>
      <w:r w:rsidR="002565BE" w:rsidRPr="002565BE">
        <w:rPr>
          <w:lang w:val="en-AU"/>
        </w:rPr>
        <w:t>Figure 2</w:t>
      </w:r>
      <w:r w:rsidRPr="00480790">
        <w:rPr>
          <w:lang w:val="en-AU"/>
        </w:rPr>
        <w:fldChar w:fldCharType="end"/>
      </w:r>
      <w:r w:rsidRPr="00480790" w:rsidDel="000A22C2">
        <w:rPr>
          <w:lang w:val="en-AU"/>
        </w:rPr>
        <w:t xml:space="preserve"> </w:t>
      </w:r>
      <w:r w:rsidRPr="00480790">
        <w:rPr>
          <w:lang w:val="en-AU"/>
        </w:rPr>
        <w:t xml:space="preserve">presents the health states and transition pathways in the economic model. The submission claimed that the economic model structure aligned with the treatment algorithm, reflected the disease course and was aligned with the economic model structure accepted by the PBAC in its positive recommendation for adjuvant atezolizumab in resected PD-L1≥50% stage II-IIIA NSCLC and adjuvant osimertinib in resected epidermal growth factor receptor (EGFR)-mutation positive stage IB-IIIA NSCLC (atezolizumab, PSD, July 2022 PBAC meeting; osimertinib, PSD, </w:t>
      </w:r>
      <w:r w:rsidR="007F6FF6" w:rsidRPr="00480790">
        <w:rPr>
          <w:lang w:val="en-AU"/>
        </w:rPr>
        <w:t>November</w:t>
      </w:r>
      <w:r w:rsidR="007F6FF6">
        <w:rPr>
          <w:lang w:val="en-AU"/>
        </w:rPr>
        <w:t> </w:t>
      </w:r>
      <w:r w:rsidRPr="00480790">
        <w:rPr>
          <w:lang w:val="en-AU"/>
        </w:rPr>
        <w:t xml:space="preserve">2023 PBAC meeting). </w:t>
      </w:r>
      <w:r w:rsidRPr="00480790">
        <w:rPr>
          <w:iCs/>
          <w:lang w:val="en-AU"/>
        </w:rPr>
        <w:t>The ESC noted the figure did not accurately reflect the use of different data sources across treatment arms for the transition from LRR to Death (ALEX trial for the alectinib arm and Nakamichi 2017 for the chemotherapy arm).</w:t>
      </w:r>
    </w:p>
    <w:p w14:paraId="76C27A58" w14:textId="71564067" w:rsidR="001C256F" w:rsidRPr="00480790" w:rsidRDefault="001C256F" w:rsidP="00751EBB">
      <w:pPr>
        <w:pStyle w:val="Caption"/>
      </w:pPr>
      <w:bookmarkStart w:id="64" w:name="_Ref187851850"/>
      <w:r w:rsidRPr="00480790">
        <w:t xml:space="preserve">Figure </w:t>
      </w:r>
      <w:r w:rsidRPr="00480790">
        <w:fldChar w:fldCharType="begin"/>
      </w:r>
      <w:r w:rsidRPr="00480790">
        <w:instrText xml:space="preserve"> SEQ Figure \* ARABIC </w:instrText>
      </w:r>
      <w:r w:rsidRPr="00480790">
        <w:fldChar w:fldCharType="separate"/>
      </w:r>
      <w:r w:rsidR="002565BE">
        <w:rPr>
          <w:noProof/>
        </w:rPr>
        <w:t>2</w:t>
      </w:r>
      <w:r w:rsidRPr="00480790">
        <w:fldChar w:fldCharType="end"/>
      </w:r>
      <w:bookmarkEnd w:id="64"/>
      <w:r w:rsidRPr="00480790">
        <w:t xml:space="preserve"> Health states and transition pathways in the economic evaluation</w:t>
      </w:r>
    </w:p>
    <w:p w14:paraId="1DDC8279" w14:textId="77777777" w:rsidR="001C256F" w:rsidRPr="00480790" w:rsidRDefault="001C256F" w:rsidP="00D26F6B">
      <w:pPr>
        <w:pStyle w:val="3-BodyText"/>
        <w:numPr>
          <w:ilvl w:val="0"/>
          <w:numId w:val="0"/>
        </w:numPr>
        <w:spacing w:before="0" w:after="0"/>
        <w:rPr>
          <w:lang w:val="en-AU"/>
        </w:rPr>
      </w:pPr>
      <w:r w:rsidRPr="00480790">
        <w:rPr>
          <w:noProof/>
          <w:lang w:val="en-AU"/>
        </w:rPr>
        <w:drawing>
          <wp:inline distT="0" distB="0" distL="0" distR="0" wp14:anchorId="73AE602F" wp14:editId="0D3619A8">
            <wp:extent cx="5732145" cy="3616960"/>
            <wp:effectExtent l="0" t="0" r="1905" b="2540"/>
            <wp:docPr id="29" name="Picture 29" descr="Health states and transition pathways in the economic evalu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Health states and transition pathways in the economic evaluation&#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3616960"/>
                    </a:xfrm>
                    <a:prstGeom prst="rect">
                      <a:avLst/>
                    </a:prstGeom>
                    <a:noFill/>
                  </pic:spPr>
                </pic:pic>
              </a:graphicData>
            </a:graphic>
          </wp:inline>
        </w:drawing>
      </w:r>
    </w:p>
    <w:p w14:paraId="2F862337" w14:textId="77777777" w:rsidR="001C256F" w:rsidRPr="00480790" w:rsidRDefault="001C256F" w:rsidP="007F6FF6">
      <w:pPr>
        <w:pStyle w:val="FooterTableFigure"/>
      </w:pPr>
      <w:r w:rsidRPr="00480790">
        <w:t>Source: Figure 3.2, p64 of the submission.</w:t>
      </w:r>
    </w:p>
    <w:p w14:paraId="06E9D12A" w14:textId="2E76FF51" w:rsidR="001C256F" w:rsidRPr="00480790" w:rsidRDefault="001C256F" w:rsidP="002843F8">
      <w:pPr>
        <w:pStyle w:val="3-BodyText"/>
        <w:rPr>
          <w:lang w:val="en-AU"/>
        </w:rPr>
      </w:pPr>
      <w:bookmarkStart w:id="65" w:name="_Ref199344930"/>
      <w:r w:rsidRPr="00480790">
        <w:rPr>
          <w:lang w:val="en-AU"/>
        </w:rPr>
        <w:t>The model time horizon was 20 years vs. 2.6 years in the ALINA trial. The PBAC preferred a 15-year time horizon in the atezolizumab (para. 6.37, atezolizumab, PSD, July 2022 PBAC meeting) and osimertinib (para. 6.28, osimertinib, PSD, November</w:t>
      </w:r>
      <w:r w:rsidR="00D26F6B">
        <w:rPr>
          <w:lang w:val="en-AU"/>
        </w:rPr>
        <w:t> </w:t>
      </w:r>
      <w:r w:rsidRPr="00480790">
        <w:rPr>
          <w:lang w:val="en-AU"/>
        </w:rPr>
        <w:t xml:space="preserve">2023 PBAC meeting) submissions. When the time horizon </w:t>
      </w:r>
      <w:r w:rsidR="00681478" w:rsidRPr="00480790">
        <w:rPr>
          <w:lang w:val="en-AU"/>
        </w:rPr>
        <w:t xml:space="preserve">was </w:t>
      </w:r>
      <w:r w:rsidRPr="00480790">
        <w:rPr>
          <w:lang w:val="en-AU"/>
        </w:rPr>
        <w:t xml:space="preserve">decreased from the base case value of 20 years to 15 years, the ICER increased from </w:t>
      </w:r>
      <w:r w:rsidR="00FE4CE2" w:rsidRPr="00FE4CE2">
        <w:rPr>
          <w:lang w:val="en-AU"/>
        </w:rPr>
        <w:t>$25,000 to &lt; $35,000</w:t>
      </w:r>
      <w:r w:rsidR="00FE4CE2">
        <w:rPr>
          <w:lang w:val="en-AU"/>
        </w:rPr>
        <w:t xml:space="preserve"> </w:t>
      </w:r>
      <w:r w:rsidRPr="00480790">
        <w:rPr>
          <w:lang w:val="en-AU"/>
        </w:rPr>
        <w:t xml:space="preserve">to </w:t>
      </w:r>
      <w:r w:rsidR="00BF7DF3" w:rsidRPr="00BF7DF3">
        <w:rPr>
          <w:lang w:val="en-AU"/>
        </w:rPr>
        <w:t>$35,000 to &lt; $45,000</w:t>
      </w:r>
      <w:r w:rsidRPr="00480790">
        <w:rPr>
          <w:lang w:val="en-AU"/>
        </w:rPr>
        <w:t xml:space="preserve"> per quality-adjusted life-year (QALY) gained.</w:t>
      </w:r>
      <w:r w:rsidRPr="00480790">
        <w:rPr>
          <w:bCs/>
          <w:iCs/>
          <w:lang w:val="en-AU"/>
        </w:rPr>
        <w:t xml:space="preserve"> The ESC noted 56% economic evaluations of adjuvant treatment of early-stage adjuvant NSCLC from the literature used a time horizon &lt;</w:t>
      </w:r>
      <w:r w:rsidR="00BF7DF3">
        <w:rPr>
          <w:bCs/>
          <w:iCs/>
          <w:lang w:val="en-AU"/>
        </w:rPr>
        <w:t> </w:t>
      </w:r>
      <w:r w:rsidRPr="00480790">
        <w:rPr>
          <w:bCs/>
          <w:iCs/>
          <w:lang w:val="en-AU"/>
        </w:rPr>
        <w:t>10</w:t>
      </w:r>
      <w:r w:rsidR="00BF7DF3">
        <w:rPr>
          <w:bCs/>
          <w:iCs/>
          <w:lang w:val="en-AU"/>
        </w:rPr>
        <w:t> </w:t>
      </w:r>
      <w:r w:rsidRPr="00480790">
        <w:rPr>
          <w:bCs/>
          <w:iCs/>
          <w:lang w:val="en-AU"/>
        </w:rPr>
        <w:t xml:space="preserve">years. The ESC noted the </w:t>
      </w:r>
      <w:r w:rsidRPr="00480790">
        <w:rPr>
          <w:bCs/>
          <w:iCs/>
          <w:lang w:val="en-AU"/>
        </w:rPr>
        <w:lastRenderedPageBreak/>
        <w:t>PSCR emphasised the importance of the time horizon to adequately capture differences in outcomes and costs incurred throughout all stages of NSCLC. However, the ESC considered the precedent of 15 years from atezolizumab and osimertinib was appropriate as the shorter time horizon can be used to mitigate uncertainty in the estimated long-term costs and outcomes.</w:t>
      </w:r>
      <w:bookmarkEnd w:id="65"/>
      <w:r w:rsidRPr="00480790">
        <w:rPr>
          <w:bCs/>
          <w:iCs/>
          <w:lang w:val="en-AU"/>
        </w:rPr>
        <w:t xml:space="preserve"> </w:t>
      </w:r>
    </w:p>
    <w:p w14:paraId="5309F64C" w14:textId="262D9DCB" w:rsidR="001C256F" w:rsidRPr="00480790" w:rsidRDefault="001C256F" w:rsidP="002843F8">
      <w:pPr>
        <w:pStyle w:val="3-BodyText"/>
        <w:rPr>
          <w:lang w:val="en-AU"/>
        </w:rPr>
      </w:pPr>
      <w:r w:rsidRPr="00480790">
        <w:rPr>
          <w:lang w:val="en-AU"/>
        </w:rPr>
        <w:t xml:space="preserve">The submission assumed 2 different sources of data for the transition probabilities of LRR to death: the weekly rate of 0.0046 for the chemotherapy arm was taken from Nakamichi et al (2017), and a higher weekly rate of 0.111 for the alectinib arm was taken from the ALEX trial (open-label trial of alectinib vs crizotinib in patients with untreated advanced/metastatic ALK-positive NSCLC). </w:t>
      </w:r>
      <w:r w:rsidRPr="00480790">
        <w:rPr>
          <w:bCs/>
          <w:iCs/>
          <w:lang w:val="en-AU"/>
        </w:rPr>
        <w:t xml:space="preserve">The PSCR argued </w:t>
      </w:r>
      <w:r w:rsidRPr="00480790">
        <w:rPr>
          <w:iCs/>
          <w:lang w:val="en-AU"/>
        </w:rPr>
        <w:t xml:space="preserve">it is clinically reasonable to consider that a patient who received targeted treatment would receive a greater survival benefit compared with a patient who only received chemotherapy or radiotherapy. </w:t>
      </w:r>
      <w:r w:rsidRPr="00480790">
        <w:rPr>
          <w:bCs/>
          <w:iCs/>
          <w:lang w:val="en-AU"/>
        </w:rPr>
        <w:t>The ESC considered the use of different sources of data was selective and not well justified</w:t>
      </w:r>
      <w:r w:rsidRPr="00480790">
        <w:rPr>
          <w:iCs/>
          <w:lang w:val="en-AU"/>
        </w:rPr>
        <w:t>.</w:t>
      </w:r>
    </w:p>
    <w:p w14:paraId="403AAABC" w14:textId="2EA1EFE0" w:rsidR="001C256F" w:rsidRPr="00480790" w:rsidRDefault="001C256F" w:rsidP="002843F8">
      <w:pPr>
        <w:pStyle w:val="3-BodyText"/>
        <w:rPr>
          <w:lang w:val="en-AU"/>
        </w:rPr>
      </w:pPr>
      <w:r w:rsidRPr="00480790">
        <w:rPr>
          <w:lang w:val="en-AU"/>
        </w:rPr>
        <w:t xml:space="preserve">It was not clear why the submission assumed one data source (Nakamichi 2017) for transitions from LRR to 1L DR, but 2 different sources (Nakamichi 2017 and ALEX trial) for transitions from LRR to death. Furthermore, in the ALEX trial, patients were treated with alectinib. This was not appropriate as it was assumed that patients in the LRR health state received either chemotherapy or radiotherapy. Applying transition probabilities from Nakamichi 2017 (cell C27, worksheet “Transition Inputs” set to 0.0046) increased the ICER from </w:t>
      </w:r>
      <w:r w:rsidR="00920618" w:rsidRPr="00920618">
        <w:rPr>
          <w:lang w:val="en-AU"/>
        </w:rPr>
        <w:t>$25,000 to &lt; $35,000</w:t>
      </w:r>
      <w:r w:rsidRPr="00480790">
        <w:rPr>
          <w:lang w:val="en-AU"/>
        </w:rPr>
        <w:t xml:space="preserve"> to </w:t>
      </w:r>
      <w:r w:rsidR="00356C29" w:rsidRPr="00356C29">
        <w:rPr>
          <w:lang w:val="en-AU"/>
        </w:rPr>
        <w:t>$35,000 to &lt; $45,000</w:t>
      </w:r>
      <w:r w:rsidRPr="00480790">
        <w:rPr>
          <w:lang w:val="en-AU"/>
        </w:rPr>
        <w:t xml:space="preserve"> per QALY gained.</w:t>
      </w:r>
    </w:p>
    <w:p w14:paraId="25B4C212" w14:textId="77777777" w:rsidR="001C256F" w:rsidRPr="00480790" w:rsidRDefault="001C256F" w:rsidP="002843F8">
      <w:pPr>
        <w:pStyle w:val="3-BodyText"/>
        <w:rPr>
          <w:lang w:val="en-AU"/>
        </w:rPr>
      </w:pPr>
      <w:r w:rsidRPr="00480790">
        <w:rPr>
          <w:lang w:val="en-AU"/>
        </w:rPr>
        <w:t>The data for the transition probabilities from 1L DR to 2L DR was taken from the ALEX trial of alectinib versus crizotinib. Specifically, the transition probability for the alectinib arm was assumed equal to that from the alectinib arm of the ALEX trial, and the transition probability for the chemotherapy arm was assumed equal to that from the crizotinib arm of the ALEX trial. However, the model costed for 1L DR lorlatinib and alectinib in the alectinib and chemotherapy arms respectively. Therefore, the costs and transition probabilities were not consistent. It would be preferable to source the transition probability for the alectinib arm from a trial of lorlatinib and to use the transition probability from alectinib from the ALEX trial for the chemotherapy arm. Furthermore, the weekly probability of transition from 1L DR to 2L DR for both the alectinib and chemotherapy treatment arms was incorrect. These values were very high, at 0.889 and 0.893 respectively. They were derived from the ratio of the number of 1L to 2L transitions, divided by the total number of events. Instead, the weekly probability of transition from 1L DR to 2L DR should be calculated based on the number of events and time over which the events occurred.</w:t>
      </w:r>
    </w:p>
    <w:p w14:paraId="2285E2DD" w14:textId="157C263D" w:rsidR="001C256F" w:rsidRPr="00480790" w:rsidRDefault="001C256F" w:rsidP="002843F8">
      <w:pPr>
        <w:pStyle w:val="3-BodyText"/>
        <w:rPr>
          <w:lang w:val="en-AU"/>
        </w:rPr>
      </w:pPr>
      <w:r w:rsidRPr="00480790">
        <w:rPr>
          <w:lang w:val="en-AU"/>
        </w:rPr>
        <w:t xml:space="preserve">Similarly, the data for the transition probabilities from 1L DR to death was taken from the ALEX trial of alectinib versus crizotinib. However, the model costed for 1L DR lorlatinib and alectinib in the alectinib and chemotherapy arms respectively. Therefore, the costs and transition probabilities were not consistent. </w:t>
      </w:r>
      <w:r w:rsidRPr="00480790">
        <w:rPr>
          <w:iCs/>
          <w:lang w:val="en-AU"/>
        </w:rPr>
        <w:t xml:space="preserve">The PSCR noted that the PBAC had accepted the ALK tyrosine kinase inhibitors (TKIs; lorlatinib, </w:t>
      </w:r>
      <w:r w:rsidRPr="00480790">
        <w:rPr>
          <w:iCs/>
          <w:lang w:val="en-AU"/>
        </w:rPr>
        <w:lastRenderedPageBreak/>
        <w:t>brigatinib and alectinib) to be non-inferior in efficacy and safety in the locally advanced/metastatic NSCLC setting, and they are PBS listed on a cost-minimisation basis.</w:t>
      </w:r>
    </w:p>
    <w:p w14:paraId="055D0637" w14:textId="77777777" w:rsidR="001C256F" w:rsidRPr="00480790" w:rsidRDefault="001C256F" w:rsidP="002843F8">
      <w:pPr>
        <w:pStyle w:val="3-BodyText"/>
        <w:rPr>
          <w:lang w:val="en-AU"/>
        </w:rPr>
      </w:pPr>
      <w:r w:rsidRPr="00480790">
        <w:rPr>
          <w:lang w:val="en-AU"/>
        </w:rPr>
        <w:t>The transition probability of 2L DR to death of the alectinib treatment arm from the ALUR trial was allocated to both treatment arms in the adjuvant setting (i.e. alectinib and platinum-based chemotherapy arms) as the overall survival was not evaluable for chemotherapy patients in ALUR. However, the model costed for patients in the alectinib arm to receive brigatinib treatment, not alectinib treatment, in 2L DR and patients in the chemotherapy arm were costed to receive lorlatinib treatment, not alectinib treatment. Therefore, the treatments costed and the transition probabilities in the 2L DR setting were not consistent.</w:t>
      </w:r>
    </w:p>
    <w:p w14:paraId="6A6DA362" w14:textId="2FE16745" w:rsidR="001C256F" w:rsidRPr="00480790" w:rsidRDefault="001C256F" w:rsidP="002843F8">
      <w:pPr>
        <w:pStyle w:val="3-BodyText"/>
        <w:rPr>
          <w:lang w:val="en-AU"/>
        </w:rPr>
      </w:pPr>
      <w:r w:rsidRPr="00480790">
        <w:rPr>
          <w:lang w:val="en-AU"/>
        </w:rPr>
        <w:fldChar w:fldCharType="begin"/>
      </w:r>
      <w:r w:rsidRPr="00480790">
        <w:rPr>
          <w:lang w:val="en-AU"/>
        </w:rPr>
        <w:instrText xml:space="preserve"> REF _Ref190703703 \h  \* MERGEFORMAT </w:instrText>
      </w:r>
      <w:r w:rsidRPr="00480790">
        <w:rPr>
          <w:lang w:val="en-AU"/>
        </w:rPr>
      </w:r>
      <w:r w:rsidRPr="00480790">
        <w:rPr>
          <w:lang w:val="en-AU"/>
        </w:rPr>
        <w:fldChar w:fldCharType="separate"/>
      </w:r>
      <w:r w:rsidR="002565BE" w:rsidRPr="00480790">
        <w:t>Disease-free survival and overall survival</w:t>
      </w:r>
      <w:r w:rsidRPr="00480790">
        <w:rPr>
          <w:lang w:val="en-AU"/>
        </w:rPr>
        <w:fldChar w:fldCharType="end"/>
      </w:r>
      <w:r w:rsidRPr="00480790">
        <w:rPr>
          <w:lang w:val="en-AU"/>
        </w:rPr>
        <w:fldChar w:fldCharType="begin"/>
      </w:r>
      <w:r w:rsidRPr="00480790">
        <w:rPr>
          <w:lang w:val="en-AU"/>
        </w:rPr>
        <w:instrText xml:space="preserve"> REF _Ref190703713 \h  \* MERGEFORMAT </w:instrText>
      </w:r>
      <w:r w:rsidRPr="00480790">
        <w:rPr>
          <w:lang w:val="en-AU"/>
        </w:rPr>
      </w:r>
      <w:r w:rsidRPr="00480790">
        <w:rPr>
          <w:lang w:val="en-AU"/>
        </w:rPr>
        <w:fldChar w:fldCharType="separate"/>
      </w:r>
      <w:r w:rsidR="002565BE" w:rsidRPr="002565BE">
        <w:rPr>
          <w:lang w:val="en-AU"/>
        </w:rPr>
        <w:t>Figure 3</w:t>
      </w:r>
      <w:r w:rsidRPr="00480790">
        <w:rPr>
          <w:lang w:val="en-AU"/>
        </w:rPr>
        <w:fldChar w:fldCharType="end"/>
      </w:r>
      <w:r w:rsidRPr="00480790">
        <w:rPr>
          <w:lang w:val="en-AU"/>
        </w:rPr>
        <w:t xml:space="preserve"> presents DFS and overall survival over time. The time horizon of the model was truncated at 20 years after initiation of adjuvant treatment with alectinib or chemotherapy. This showed that patients were predicted to spend the great majority of the time in the DFS health state, especially for the alectinib treatment arm.</w:t>
      </w:r>
    </w:p>
    <w:p w14:paraId="0B21C5FD" w14:textId="344AA65A" w:rsidR="001C256F" w:rsidRPr="00480790" w:rsidRDefault="001C256F" w:rsidP="00751EBB">
      <w:pPr>
        <w:pStyle w:val="Caption"/>
      </w:pPr>
      <w:bookmarkStart w:id="66" w:name="_Ref190703713"/>
      <w:r w:rsidRPr="00480790">
        <w:t xml:space="preserve">Figure </w:t>
      </w:r>
      <w:r w:rsidRPr="00480790">
        <w:fldChar w:fldCharType="begin"/>
      </w:r>
      <w:r w:rsidRPr="00480790">
        <w:instrText xml:space="preserve"> SEQ Figure \* ARABIC </w:instrText>
      </w:r>
      <w:r w:rsidRPr="00480790">
        <w:fldChar w:fldCharType="separate"/>
      </w:r>
      <w:r w:rsidR="002565BE">
        <w:rPr>
          <w:noProof/>
        </w:rPr>
        <w:t>3</w:t>
      </w:r>
      <w:r w:rsidRPr="00480790">
        <w:fldChar w:fldCharType="end"/>
      </w:r>
      <w:bookmarkEnd w:id="66"/>
      <w:r w:rsidRPr="00480790">
        <w:t xml:space="preserve">: </w:t>
      </w:r>
      <w:bookmarkStart w:id="67" w:name="_Ref190703703"/>
      <w:r w:rsidRPr="00480790">
        <w:t>Disease-free survival and overall survival</w:t>
      </w:r>
      <w:bookmarkEnd w:id="67"/>
    </w:p>
    <w:p w14:paraId="29B53727" w14:textId="77777777" w:rsidR="001C256F" w:rsidRPr="00480790" w:rsidRDefault="001C256F" w:rsidP="00751EBB">
      <w:pPr>
        <w:keepNext/>
      </w:pPr>
      <w:r w:rsidRPr="00480790">
        <w:rPr>
          <w:noProof/>
        </w:rPr>
        <w:drawing>
          <wp:inline distT="0" distB="0" distL="0" distR="0" wp14:anchorId="186C7B57" wp14:editId="74F46F36">
            <wp:extent cx="5732145" cy="3181350"/>
            <wp:effectExtent l="0" t="0" r="1905" b="0"/>
            <wp:docPr id="2000099774" name="Picture 1" descr="Figure 3: Disease-free survival and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99774" name="Picture 1" descr="Figure 3: Disease-free survival and overall surviv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145" cy="3181350"/>
                    </a:xfrm>
                    <a:prstGeom prst="rect">
                      <a:avLst/>
                    </a:prstGeom>
                    <a:noFill/>
                    <a:ln>
                      <a:noFill/>
                    </a:ln>
                  </pic:spPr>
                </pic:pic>
              </a:graphicData>
            </a:graphic>
          </wp:inline>
        </w:drawing>
      </w:r>
    </w:p>
    <w:p w14:paraId="2811AE82" w14:textId="77777777" w:rsidR="001C256F" w:rsidRPr="00480790" w:rsidRDefault="001C256F" w:rsidP="00751EBB">
      <w:pPr>
        <w:pStyle w:val="FooterTableFigure"/>
        <w:keepNext/>
      </w:pPr>
      <w:r w:rsidRPr="00480790">
        <w:t>Source: Adapted from Figure 3.10 of the submission, “Alectinib” and “Chemo” worksheets of economic model.</w:t>
      </w:r>
    </w:p>
    <w:p w14:paraId="496074D0" w14:textId="77777777" w:rsidR="001C256F" w:rsidRPr="00480790" w:rsidRDefault="001C256F" w:rsidP="00920618">
      <w:pPr>
        <w:pStyle w:val="FooterTableFigure"/>
      </w:pPr>
      <w:r w:rsidRPr="00480790">
        <w:t>Chemo = chemotherapy, DFS = disease-free survival, KM = Kaplan-Meier, OS = overall survival.</w:t>
      </w:r>
    </w:p>
    <w:p w14:paraId="146E2343" w14:textId="77777777" w:rsidR="001C256F" w:rsidRPr="00480790" w:rsidRDefault="001C256F" w:rsidP="002843F8">
      <w:pPr>
        <w:pStyle w:val="3-BodyText"/>
        <w:rPr>
          <w:lang w:val="en-AU"/>
        </w:rPr>
      </w:pPr>
      <w:r w:rsidRPr="00480790">
        <w:rPr>
          <w:lang w:val="en-AU"/>
        </w:rPr>
        <w:t xml:space="preserve">Extrapolation beyond the available trial data across the model time horizon was performed by fitting parametric functions to the patient-level DFS results. Based on the AIC (Akaike Information Criterion), BIC (Bayesian Information Criterion) statistics and visual inspection, the log-logistic function was considered the overall best fit for DFS Kaplan-Meier data extrapolation of the alectinib and platinum-based </w:t>
      </w:r>
      <w:r w:rsidRPr="00480790">
        <w:rPr>
          <w:lang w:val="en-AU"/>
        </w:rPr>
        <w:lastRenderedPageBreak/>
        <w:t xml:space="preserve">chemotherapy treatment arms in the base case of the economic evaluation. </w:t>
      </w:r>
      <w:r w:rsidRPr="00480790">
        <w:rPr>
          <w:iCs/>
          <w:lang w:val="en-AU"/>
        </w:rPr>
        <w:t xml:space="preserve">The Esc considered </w:t>
      </w:r>
      <w:r w:rsidRPr="00480790">
        <w:rPr>
          <w:lang w:val="en-AU"/>
        </w:rPr>
        <w:t>this was reasonable.</w:t>
      </w:r>
    </w:p>
    <w:p w14:paraId="604B70B1" w14:textId="77777777" w:rsidR="001C256F" w:rsidRPr="00480790" w:rsidRDefault="001C256F" w:rsidP="002843F8">
      <w:pPr>
        <w:pStyle w:val="3-BodyText"/>
        <w:rPr>
          <w:lang w:val="en-AU"/>
        </w:rPr>
      </w:pPr>
      <w:r w:rsidRPr="00480790">
        <w:rPr>
          <w:lang w:val="en-AU"/>
        </w:rPr>
        <w:t>The economic model applied 2 adjustments to the extrapolated DFS, including the limitation of treatment effect where the model allowed the treatment effect of alectinib to decrease over time and a cure adjustment where the model allowed patients to be considered cured (i.e. not experience recurrence or disease-related death) if they were disease-free for a certain number of years.</w:t>
      </w:r>
    </w:p>
    <w:p w14:paraId="492F2EB6" w14:textId="1454A40C" w:rsidR="001C256F" w:rsidRPr="00480790" w:rsidRDefault="001C256F" w:rsidP="00751EBB">
      <w:pPr>
        <w:pStyle w:val="ListParagraph"/>
        <w:numPr>
          <w:ilvl w:val="0"/>
          <w:numId w:val="2"/>
        </w:numPr>
        <w:tabs>
          <w:tab w:val="clear" w:pos="360"/>
        </w:tabs>
        <w:ind w:left="1134" w:hanging="357"/>
      </w:pPr>
      <w:r w:rsidRPr="00480790">
        <w:t xml:space="preserve">Consistent with the adjuvant atezolizumab submission to the PBAC (Table 11, atezolizumab, PSD, July 2022 PBAC meeting), the economic model adopted a conservative approach and assumed the treatment effect started to decrease at year 5 and ceased at year 10. This was reasonable. Cost-effectiveness was minimally sensitive to the assumption of a treatment waning effect, as the base case ICER of </w:t>
      </w:r>
      <w:r w:rsidR="007202CC" w:rsidRPr="007202CC">
        <w:t>$25,000 to &lt; $35,000</w:t>
      </w:r>
      <w:r w:rsidRPr="00480790">
        <w:t xml:space="preserve"> per QALY gained decreased to </w:t>
      </w:r>
      <w:r w:rsidR="007202CC" w:rsidRPr="007202CC">
        <w:t>$25,000 to &lt; $35,000</w:t>
      </w:r>
      <w:r w:rsidRPr="00480790">
        <w:t xml:space="preserve"> per QALY gained when the assumption of waning effect was removed.</w:t>
      </w:r>
    </w:p>
    <w:p w14:paraId="321FD1FC" w14:textId="72E49B3B" w:rsidR="001C256F" w:rsidRPr="00480790" w:rsidRDefault="001C256F" w:rsidP="00751EBB">
      <w:pPr>
        <w:pStyle w:val="ListParagraph"/>
        <w:numPr>
          <w:ilvl w:val="0"/>
          <w:numId w:val="2"/>
        </w:numPr>
        <w:tabs>
          <w:tab w:val="clear" w:pos="360"/>
        </w:tabs>
        <w:ind w:left="1134" w:hanging="357"/>
      </w:pPr>
      <w:r w:rsidRPr="00480790">
        <w:t xml:space="preserve">The submission applied a cure rate that began from Year 4 (i.e. 2 years after cessation of therapy) and increased linearly to a maximum of 92% at Year 5 for patients in the DFS health state in both the alectinib and chemotherapy arms. This yielded the modelled DFS as given in </w:t>
      </w:r>
      <w:r w:rsidRPr="00480790">
        <w:fldChar w:fldCharType="begin"/>
      </w:r>
      <w:r w:rsidRPr="00480790">
        <w:instrText xml:space="preserve"> REF _Ref187921682 \h  \* MERGEFORMAT </w:instrText>
      </w:r>
      <w:r w:rsidRPr="00480790">
        <w:fldChar w:fldCharType="separate"/>
      </w:r>
      <w:r w:rsidR="002565BE" w:rsidRPr="00480790">
        <w:t xml:space="preserve">Figure </w:t>
      </w:r>
      <w:r w:rsidR="002565BE">
        <w:t>4</w:t>
      </w:r>
      <w:r w:rsidRPr="00480790">
        <w:fldChar w:fldCharType="end"/>
      </w:r>
      <w:r w:rsidRPr="00480790">
        <w:t xml:space="preserve">. As can be seen from this figure, the cure assumption has a very large effect on the extrapolation of DFS. Cost-effectiveness was very sensitive to the assumption of a cure, as the base case ICER of </w:t>
      </w:r>
      <w:r w:rsidR="007202CC" w:rsidRPr="007202CC">
        <w:t>$25,000 to &lt; $35,000</w:t>
      </w:r>
      <w:r w:rsidRPr="00480790">
        <w:t xml:space="preserve"> per QALY gained increased to </w:t>
      </w:r>
      <w:r w:rsidR="007F0065" w:rsidRPr="007F0065">
        <w:t>$55,000 to &lt; $75,000</w:t>
      </w:r>
      <w:r w:rsidRPr="00480790">
        <w:t xml:space="preserve"> per QALY gained when the assumption of a cure was removed. </w:t>
      </w:r>
    </w:p>
    <w:p w14:paraId="48007F08" w14:textId="730D89C8" w:rsidR="001C256F" w:rsidRPr="00480790" w:rsidRDefault="001C256F" w:rsidP="00751EBB">
      <w:pPr>
        <w:pStyle w:val="Caption"/>
        <w:rPr>
          <w:rStyle w:val="CommentReference"/>
          <w:b/>
        </w:rPr>
      </w:pPr>
      <w:bookmarkStart w:id="68" w:name="_Ref187921682"/>
      <w:r w:rsidRPr="00480790">
        <w:lastRenderedPageBreak/>
        <w:t xml:space="preserve">Figure </w:t>
      </w:r>
      <w:r w:rsidRPr="00480790">
        <w:fldChar w:fldCharType="begin"/>
      </w:r>
      <w:r w:rsidRPr="00480790">
        <w:instrText xml:space="preserve"> SEQ Figure \* ARABIC </w:instrText>
      </w:r>
      <w:r w:rsidRPr="00480790">
        <w:fldChar w:fldCharType="separate"/>
      </w:r>
      <w:r w:rsidR="002565BE">
        <w:rPr>
          <w:noProof/>
        </w:rPr>
        <w:t>4</w:t>
      </w:r>
      <w:r w:rsidRPr="00480790">
        <w:fldChar w:fldCharType="end"/>
      </w:r>
      <w:bookmarkEnd w:id="68"/>
      <w:r w:rsidRPr="00480790">
        <w:rPr>
          <w:rStyle w:val="CommentReference"/>
          <w:b/>
        </w:rPr>
        <w:t>: Extrapolation of DFS for alectinib and chemotherapy with and without the treatment waning and cure assumptions</w:t>
      </w:r>
    </w:p>
    <w:p w14:paraId="561636A3" w14:textId="77777777" w:rsidR="001C256F" w:rsidRPr="00480790" w:rsidRDefault="001C256F" w:rsidP="00751EBB">
      <w:pPr>
        <w:keepNext/>
      </w:pPr>
      <w:r w:rsidRPr="00480790">
        <w:rPr>
          <w:noProof/>
        </w:rPr>
        <w:drawing>
          <wp:inline distT="0" distB="0" distL="0" distR="0" wp14:anchorId="50BAB90C" wp14:editId="0628CB2F">
            <wp:extent cx="5732145" cy="4090035"/>
            <wp:effectExtent l="0" t="0" r="1905" b="5715"/>
            <wp:docPr id="273708854" name="Picture 3" descr="Figure 4: Extrapolation of DFS for alectinib and chemotherapy with and without the treatment waning and cure assum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08854" name="Picture 3" descr="Figure 4: Extrapolation of DFS for alectinib and chemotherapy with and without the treatment waning and cure assumpti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4090035"/>
                    </a:xfrm>
                    <a:prstGeom prst="rect">
                      <a:avLst/>
                    </a:prstGeom>
                    <a:noFill/>
                    <a:ln>
                      <a:noFill/>
                    </a:ln>
                  </pic:spPr>
                </pic:pic>
              </a:graphicData>
            </a:graphic>
          </wp:inline>
        </w:drawing>
      </w:r>
    </w:p>
    <w:p w14:paraId="2D3AF829" w14:textId="77777777" w:rsidR="001C256F" w:rsidRPr="00480790" w:rsidRDefault="001C256F" w:rsidP="00751EBB">
      <w:pPr>
        <w:keepNext/>
        <w:rPr>
          <w:rFonts w:ascii="Arial Narrow" w:hAnsi="Arial Narrow"/>
          <w:sz w:val="18"/>
          <w:szCs w:val="18"/>
        </w:rPr>
      </w:pPr>
      <w:r w:rsidRPr="00480790">
        <w:rPr>
          <w:rFonts w:ascii="Arial Narrow" w:hAnsi="Arial Narrow"/>
          <w:sz w:val="18"/>
          <w:szCs w:val="18"/>
        </w:rPr>
        <w:t>Figure complied during this evaluation from data in worksheets</w:t>
      </w:r>
      <w:r w:rsidRPr="00480790">
        <w:t xml:space="preserve"> “</w:t>
      </w:r>
      <w:r w:rsidRPr="00480790">
        <w:rPr>
          <w:rFonts w:ascii="Arial Narrow" w:hAnsi="Arial Narrow"/>
          <w:sz w:val="18"/>
          <w:szCs w:val="18"/>
        </w:rPr>
        <w:t>Alectinib” and “Chemo” in the economic model.</w:t>
      </w:r>
    </w:p>
    <w:p w14:paraId="4A4F1AC8" w14:textId="77777777" w:rsidR="001C256F" w:rsidRPr="00480790" w:rsidRDefault="001C256F" w:rsidP="007F0065">
      <w:pPr>
        <w:rPr>
          <w:rFonts w:ascii="Arial Narrow" w:hAnsi="Arial Narrow"/>
          <w:sz w:val="18"/>
          <w:szCs w:val="18"/>
        </w:rPr>
      </w:pPr>
      <w:r w:rsidRPr="00480790">
        <w:rPr>
          <w:rFonts w:ascii="Arial Narrow" w:hAnsi="Arial Narrow"/>
          <w:sz w:val="18"/>
          <w:szCs w:val="18"/>
        </w:rPr>
        <w:t>DFS = disease-free survival</w:t>
      </w:r>
    </w:p>
    <w:p w14:paraId="76D48893" w14:textId="3FA04FDD" w:rsidR="001C256F" w:rsidRPr="00480790" w:rsidRDefault="001C256F" w:rsidP="002843F8">
      <w:pPr>
        <w:pStyle w:val="3-BodyText"/>
        <w:rPr>
          <w:lang w:val="en-AU"/>
        </w:rPr>
      </w:pPr>
      <w:r w:rsidRPr="00480790">
        <w:rPr>
          <w:lang w:val="en-AU"/>
        </w:rPr>
        <w:t>In the atezolizumab submission an adjustment for time limited treatment effect was applied to the economic model by assuming that the treatment effect of atezolizumab over BSC decreased linearly between Year 5 and Year 10. An adjustment for sustained DFS was applied by assuming that the proportion of ‘cured’ patients (i.e. no disease recurrence) increased linearly from Year 2 to a maximum of 91.5% in Year 5 (para. 7.7, atezolizumab, PSD, July 2022 PBAC meeting). The PBAC considered the assumptions regarding the proportion of patients achieving sustained DFS (i.e., ‘cured’) were not well justified in the submission. (para 7.7, atezolizumab, PSD, July 2022 PBAC meeting).</w:t>
      </w:r>
    </w:p>
    <w:p w14:paraId="52887838" w14:textId="77777777" w:rsidR="001C256F" w:rsidRPr="00480790" w:rsidRDefault="001C256F" w:rsidP="002843F8">
      <w:pPr>
        <w:pStyle w:val="3-BodyText"/>
        <w:rPr>
          <w:lang w:val="en-AU"/>
        </w:rPr>
      </w:pPr>
      <w:r w:rsidRPr="00480790">
        <w:rPr>
          <w:lang w:val="en-AU"/>
        </w:rPr>
        <w:t xml:space="preserve">In the osimertinib submission, it was assumed that the proportion of patients cured in both treatment arms increased linearly from Year 4 (from 0%) to a maximum cure rate of 92% by Year 5 (i.e., transition to cure period = 1 year (Table 9, osimertinib PSD, November 2023 PBAC meeting). </w:t>
      </w:r>
      <w:r w:rsidRPr="00480790" w:rsidDel="00AE25B7">
        <w:rPr>
          <w:lang w:val="en-AU"/>
        </w:rPr>
        <w:t xml:space="preserve">In the osimertinib submission, the </w:t>
      </w:r>
      <w:r w:rsidRPr="00480790">
        <w:rPr>
          <w:lang w:val="en-AU"/>
        </w:rPr>
        <w:t xml:space="preserve">“PBAC considered assuming a cure from Year 5 with the maximum cure at Year 7, which resulted in an absolute difference in the proportion of patients developing distant recurrence of 11% was more reasonable in the context of the remaining uncertainties associated with </w:t>
      </w:r>
      <w:r w:rsidRPr="00480790">
        <w:rPr>
          <w:lang w:val="en-AU"/>
        </w:rPr>
        <w:lastRenderedPageBreak/>
        <w:t>the durability of the DFS response” (para. 7.10, osimertinib, PSD, November 2023 PBAC meeting).</w:t>
      </w:r>
    </w:p>
    <w:p w14:paraId="5878F042" w14:textId="77777777" w:rsidR="001C256F" w:rsidRPr="00480790" w:rsidRDefault="001C256F" w:rsidP="002843F8">
      <w:pPr>
        <w:pStyle w:val="3-BodyText"/>
        <w:rPr>
          <w:lang w:val="en-AU"/>
        </w:rPr>
      </w:pPr>
      <w:r w:rsidRPr="00480790">
        <w:rPr>
          <w:lang w:val="en-AU"/>
        </w:rPr>
        <w:t>In the UK, NICE (National Institute for Health and Care and Excellence) recently (November 2024) published guidance</w:t>
      </w:r>
      <w:r w:rsidRPr="00480790">
        <w:rPr>
          <w:rStyle w:val="FootnoteReference"/>
          <w:lang w:val="en-AU"/>
        </w:rPr>
        <w:footnoteReference w:id="32"/>
      </w:r>
      <w:r w:rsidRPr="00480790">
        <w:rPr>
          <w:lang w:val="en-AU"/>
        </w:rPr>
        <w:t xml:space="preserve"> on the assessment of alectinib in the same patient population as the current assessment for the PBAC. In the submission to NICE, it was it was assumed that a fixed proportion of patients would be considered cured at the 10-year timepoint, after which patients would experience no disease progression, and would only experience background rates of mortality (p96 NICE Committee Papers, Expert Assessment Group, EAG). The proportion of patients experiencing a cure was based on the mean of the most likely cure proportion estimates at the 10-year timepoint provided by clinicians. The EAG considered that the application of a cure assumption was broadly appropriate; the inclusion of a cure assumption was validated by the EAG’s clinical experts, and the methodology used was aligned with previous NICE appraisals (p105 NICE Committee Papers, EAG). Since comparison of ICERs suggested that this was a conservative assumption compared to a cure timepoint of 5 years, the EAG considered this approach to be acceptable. The judgement of the NICE committee regarding the assumption of a cure was not available on the NICE website. However, the EAG’s preferred cure proportion was 91% at 10 years based on the mean of clinicians’ responses from the company’s advisory board pooled across both treatments (p106, NICE Committee Papers, EAG).</w:t>
      </w:r>
    </w:p>
    <w:p w14:paraId="32A5EDBE" w14:textId="0B3C1987" w:rsidR="001C256F" w:rsidRPr="00480790" w:rsidRDefault="001C256F" w:rsidP="002843F8">
      <w:pPr>
        <w:pStyle w:val="3-BodyText"/>
        <w:rPr>
          <w:lang w:val="en-AU"/>
        </w:rPr>
      </w:pPr>
      <w:r w:rsidRPr="00480790">
        <w:rPr>
          <w:lang w:val="en-AU"/>
        </w:rPr>
        <w:t>In summary, there was very little relevant evidence regarding an appropriate assumption for modelling a cure proportion for the current assessment.</w:t>
      </w:r>
      <w:r w:rsidRPr="00480790" w:rsidDel="0033597D">
        <w:rPr>
          <w:lang w:val="en-AU"/>
        </w:rPr>
        <w:t xml:space="preserve"> </w:t>
      </w:r>
      <w:r w:rsidRPr="00480790">
        <w:rPr>
          <w:iCs/>
          <w:lang w:val="en-AU"/>
        </w:rPr>
        <w:t xml:space="preserve">The evaluation suggested </w:t>
      </w:r>
      <w:r w:rsidRPr="00480790">
        <w:rPr>
          <w:lang w:val="en-AU"/>
        </w:rPr>
        <w:t xml:space="preserve">applying the cure estimate from UK clinicians using a modified structured expert elicitation method, as reported by NICE, may be a better estimate as it related to the same patient population as the current submission. Applying a cure rate of 91% at 10 years increased the ICER from </w:t>
      </w:r>
      <w:r w:rsidR="00D30649" w:rsidRPr="00D30649">
        <w:rPr>
          <w:lang w:val="en-AU"/>
        </w:rPr>
        <w:t>$25,000 to &lt; $35,000</w:t>
      </w:r>
      <w:r w:rsidRPr="00480790">
        <w:rPr>
          <w:lang w:val="en-AU"/>
        </w:rPr>
        <w:t xml:space="preserve"> to </w:t>
      </w:r>
      <w:r w:rsidR="00E3543D" w:rsidRPr="00E3543D">
        <w:rPr>
          <w:lang w:val="en-AU"/>
        </w:rPr>
        <w:t>$45,000 to &lt; $55,000</w:t>
      </w:r>
      <w:r w:rsidRPr="00480790">
        <w:rPr>
          <w:lang w:val="en-AU"/>
        </w:rPr>
        <w:t xml:space="preserve"> per QALY gained. </w:t>
      </w:r>
    </w:p>
    <w:p w14:paraId="229E5CBB" w14:textId="17B70E86" w:rsidR="001C256F" w:rsidRPr="00480790" w:rsidRDefault="001C256F" w:rsidP="002843F8">
      <w:pPr>
        <w:pStyle w:val="3-BodyText"/>
        <w:rPr>
          <w:lang w:val="en-AU"/>
        </w:rPr>
      </w:pPr>
      <w:bookmarkStart w:id="69" w:name="_Ref199345027"/>
      <w:r w:rsidRPr="00480790">
        <w:rPr>
          <w:lang w:val="en-AU"/>
        </w:rPr>
        <w:t xml:space="preserve">The ESC advised that the NICE example was very conservative and that from a clinical perspective, a patient may be considered cured if disease-free at 5 years after ceasing active treatment. This aligned with previous PBAC consideration for osimertinib (paragraph 7.10, osimertinib, PSD, November 2023 PBAC meeting), which also factored in the absolute difference in the proportion of patients developing distant recurrence over a time horizon of 15 years. The ESC noted that </w:t>
      </w:r>
      <w:r w:rsidR="00BA6FD7" w:rsidRPr="00480790">
        <w:rPr>
          <w:lang w:val="en-AU"/>
        </w:rPr>
        <w:t xml:space="preserve">the </w:t>
      </w:r>
      <w:r w:rsidRPr="00480790">
        <w:rPr>
          <w:lang w:val="en-AU"/>
        </w:rPr>
        <w:t xml:space="preserve">alectinib submission assumption of 92% cure rate at 5 years may be reasonable, however OS may have been overestimated, as the OS curves did not converge over the time horizon see </w:t>
      </w:r>
      <w:r w:rsidRPr="00480790">
        <w:rPr>
          <w:lang w:val="en-AU"/>
        </w:rPr>
        <w:fldChar w:fldCharType="begin"/>
      </w:r>
      <w:r w:rsidRPr="00480790">
        <w:rPr>
          <w:lang w:val="en-AU"/>
        </w:rPr>
        <w:instrText xml:space="preserve"> REF _Ref187921682 \h  \* MERGEFORMAT </w:instrText>
      </w:r>
      <w:r w:rsidRPr="00480790">
        <w:rPr>
          <w:lang w:val="en-AU"/>
        </w:rPr>
      </w:r>
      <w:r w:rsidRPr="00480790">
        <w:rPr>
          <w:lang w:val="en-AU"/>
        </w:rPr>
        <w:fldChar w:fldCharType="separate"/>
      </w:r>
      <w:r w:rsidR="002565BE" w:rsidRPr="002565BE">
        <w:rPr>
          <w:lang w:val="en-AU"/>
        </w:rPr>
        <w:t>Figure 4</w:t>
      </w:r>
      <w:r w:rsidRPr="00480790">
        <w:rPr>
          <w:lang w:val="en-AU"/>
        </w:rPr>
        <w:fldChar w:fldCharType="end"/>
      </w:r>
      <w:r w:rsidRPr="00480790">
        <w:rPr>
          <w:lang w:val="en-AU"/>
        </w:rPr>
        <w:t>).</w:t>
      </w:r>
      <w:bookmarkEnd w:id="69"/>
    </w:p>
    <w:p w14:paraId="30582915" w14:textId="3296C567" w:rsidR="001C256F" w:rsidRPr="00480790" w:rsidRDefault="001C256F" w:rsidP="002843F8">
      <w:pPr>
        <w:pStyle w:val="3-BodyText"/>
        <w:rPr>
          <w:lang w:val="en-AU"/>
        </w:rPr>
      </w:pPr>
      <w:bookmarkStart w:id="70" w:name="_Ref195436312"/>
      <w:r w:rsidRPr="00480790">
        <w:rPr>
          <w:lang w:val="en-AU"/>
        </w:rPr>
        <w:lastRenderedPageBreak/>
        <w:t xml:space="preserve">The submission did not vary the utilities by age. This was not appropriate, especially for patients who are considered “cured”. When the utilities are adjusted for age, the ICER would increase. </w:t>
      </w:r>
      <w:r w:rsidRPr="00480790">
        <w:rPr>
          <w:iCs/>
          <w:lang w:val="en-AU"/>
        </w:rPr>
        <w:t xml:space="preserve">The PSCR provided a revised modelled economic evaluation incorporating time-dependent utility values as suggested by the evaluator, resulting in an increase in the ICER from </w:t>
      </w:r>
      <w:r w:rsidR="00E3543D" w:rsidRPr="00D30649">
        <w:rPr>
          <w:lang w:val="en-AU"/>
        </w:rPr>
        <w:t>$25,000 to &lt; $35,000</w:t>
      </w:r>
      <w:r w:rsidRPr="00480790">
        <w:rPr>
          <w:iCs/>
          <w:lang w:val="en-AU"/>
        </w:rPr>
        <w:t xml:space="preserve"> to </w:t>
      </w:r>
      <w:r w:rsidR="000261DC" w:rsidRPr="000261DC">
        <w:rPr>
          <w:iCs/>
          <w:lang w:val="en-AU"/>
        </w:rPr>
        <w:t>$35,000 to &lt; $45,000</w:t>
      </w:r>
      <w:r w:rsidRPr="00480790">
        <w:rPr>
          <w:iCs/>
          <w:lang w:val="en-AU"/>
        </w:rPr>
        <w:t xml:space="preserve"> per QALY gained.</w:t>
      </w:r>
      <w:bookmarkEnd w:id="70"/>
    </w:p>
    <w:p w14:paraId="412CD87B" w14:textId="2672D0C7" w:rsidR="001C256F" w:rsidRPr="00480790" w:rsidRDefault="001C256F" w:rsidP="002843F8">
      <w:pPr>
        <w:pStyle w:val="3-BodyText"/>
        <w:rPr>
          <w:lang w:val="en-AU"/>
        </w:rPr>
      </w:pPr>
      <w:r w:rsidRPr="00480790">
        <w:rPr>
          <w:lang w:val="en-AU"/>
        </w:rPr>
        <w:t xml:space="preserve">The utility in DFS off-treatment was estimated as 0.861 in the alectinib arm and 0.847 in the chemotherapy arm, based on the ALINA trial. </w:t>
      </w:r>
      <w:r w:rsidRPr="00480790">
        <w:rPr>
          <w:iCs/>
          <w:lang w:val="en-AU"/>
        </w:rPr>
        <w:t xml:space="preserve">The ESC noted treatment dependent utilities were applied in both the on-treatment and off-treatment health states and considered </w:t>
      </w:r>
      <w:r w:rsidR="00395DE0" w:rsidRPr="00480790">
        <w:rPr>
          <w:iCs/>
          <w:lang w:val="en-AU"/>
        </w:rPr>
        <w:t xml:space="preserve">that </w:t>
      </w:r>
      <w:r w:rsidRPr="00480790">
        <w:rPr>
          <w:iCs/>
          <w:lang w:val="en-AU"/>
        </w:rPr>
        <w:t>the application of different utilities when patients are off-treatment was not appropriate.</w:t>
      </w:r>
      <w:r w:rsidRPr="00480790">
        <w:rPr>
          <w:lang w:val="en-AU"/>
        </w:rPr>
        <w:t xml:space="preserve"> </w:t>
      </w:r>
      <w:r w:rsidRPr="00480790">
        <w:rPr>
          <w:iCs/>
          <w:lang w:val="en-AU"/>
        </w:rPr>
        <w:t xml:space="preserve">It was noted NICE also considered the same utility appropriate for both arms when off-treatment. </w:t>
      </w:r>
      <w:r w:rsidRPr="00480790">
        <w:rPr>
          <w:lang w:val="en-AU"/>
        </w:rPr>
        <w:t xml:space="preserve">When the average value of 0.854 was used in both treatment arms, the ICER increased marginally from </w:t>
      </w:r>
      <w:r w:rsidR="000261DC" w:rsidRPr="000261DC">
        <w:rPr>
          <w:lang w:val="en-AU"/>
        </w:rPr>
        <w:t>$25,000 to &lt; $35,000</w:t>
      </w:r>
      <w:r w:rsidRPr="00480790">
        <w:rPr>
          <w:lang w:val="en-AU"/>
        </w:rPr>
        <w:t xml:space="preserve"> to </w:t>
      </w:r>
      <w:r w:rsidR="000261DC" w:rsidRPr="000261DC">
        <w:rPr>
          <w:lang w:val="en-AU"/>
        </w:rPr>
        <w:t>$25,000 to &lt; $35,000</w:t>
      </w:r>
      <w:r w:rsidRPr="00480790">
        <w:rPr>
          <w:lang w:val="en-AU"/>
        </w:rPr>
        <w:t xml:space="preserve"> per QALY gained.</w:t>
      </w:r>
    </w:p>
    <w:p w14:paraId="7079B5F5" w14:textId="6DEA6E68" w:rsidR="001C256F" w:rsidRPr="00480790" w:rsidRDefault="001C256F" w:rsidP="002843F8">
      <w:pPr>
        <w:pStyle w:val="3-BodyText"/>
        <w:rPr>
          <w:lang w:val="en-AU"/>
        </w:rPr>
      </w:pPr>
      <w:r w:rsidRPr="00480790">
        <w:rPr>
          <w:lang w:val="en-AU"/>
        </w:rPr>
        <w:t xml:space="preserve">The ICER was sensitive to the costs in the first-line distant recurrence health state. Setting these costs to $0, the ICER increased from </w:t>
      </w:r>
      <w:r w:rsidR="000261DC" w:rsidRPr="000261DC">
        <w:rPr>
          <w:lang w:val="en-AU"/>
        </w:rPr>
        <w:t>$25,000 to &lt; $35,000</w:t>
      </w:r>
      <w:r w:rsidRPr="00480790">
        <w:rPr>
          <w:lang w:val="en-AU"/>
        </w:rPr>
        <w:t xml:space="preserve"> to </w:t>
      </w:r>
      <w:r w:rsidR="000261DC" w:rsidRPr="000261DC">
        <w:rPr>
          <w:iCs/>
          <w:lang w:val="en-AU"/>
        </w:rPr>
        <w:t>$35,000 to &lt; $45,000</w:t>
      </w:r>
      <w:r w:rsidRPr="00480790">
        <w:rPr>
          <w:lang w:val="en-AU"/>
        </w:rPr>
        <w:t xml:space="preserve"> per QALY gained.</w:t>
      </w:r>
    </w:p>
    <w:p w14:paraId="08465897" w14:textId="23F65FEF" w:rsidR="001C256F" w:rsidRPr="00480790" w:rsidRDefault="001C256F" w:rsidP="002843F8">
      <w:pPr>
        <w:pStyle w:val="3-BodyText"/>
        <w:rPr>
          <w:lang w:val="en-AU"/>
        </w:rPr>
      </w:pPr>
      <w:r w:rsidRPr="00480790">
        <w:rPr>
          <w:lang w:val="en-AU"/>
        </w:rPr>
        <w:t>In the chemotherapy arm, patients who experience distant recurrence and who were ALK-positive would be expected to be treated with alectinib, which currently has dominant market share in the advanced or metastatic setting. This was consistent with international guideline recommendations (NCCN, 2024;</w:t>
      </w:r>
      <w:r w:rsidRPr="00480790">
        <w:rPr>
          <w:rStyle w:val="FootnoteReference"/>
          <w:lang w:val="en-AU"/>
        </w:rPr>
        <w:footnoteReference w:id="33"/>
      </w:r>
      <w:r w:rsidRPr="00480790">
        <w:rPr>
          <w:lang w:val="en-AU"/>
        </w:rPr>
        <w:t xml:space="preserve"> NICE, 2024</w:t>
      </w:r>
      <w:r w:rsidRPr="00480790">
        <w:rPr>
          <w:rStyle w:val="FootnoteReference"/>
          <w:lang w:val="en-AU"/>
        </w:rPr>
        <w:footnoteReference w:id="34"/>
      </w:r>
      <w:r w:rsidRPr="00480790">
        <w:rPr>
          <w:lang w:val="en-AU"/>
        </w:rPr>
        <w:t>) and it was recommended that treatment with alectinib continue until disease progression occurs. Therefore, a treatment duration of 28.1 months for alectinib in 1L DR was applied in the economic model as per the median duration of alectinib treatment in the ALEX trial (Mok et al. 2020</w:t>
      </w:r>
      <w:r w:rsidRPr="00480790">
        <w:rPr>
          <w:rStyle w:val="FootnoteReference"/>
          <w:lang w:val="en-AU"/>
        </w:rPr>
        <w:footnoteReference w:id="35"/>
      </w:r>
      <w:r w:rsidRPr="00480790">
        <w:rPr>
          <w:lang w:val="en-AU"/>
        </w:rPr>
        <w:t xml:space="preserve">). This data source was appropriate. However, it was more appropriate to apply the mean treatment duration for the economic model. With the most parsimonious assumption that this follows an exponential function, the mean equals the median / ln(2) = 40.5 months. In this case, the ICER decreased from </w:t>
      </w:r>
      <w:r w:rsidR="00CF4218" w:rsidRPr="000261DC">
        <w:rPr>
          <w:lang w:val="en-AU"/>
        </w:rPr>
        <w:t>$25,000 to &lt; $35,000</w:t>
      </w:r>
      <w:r w:rsidRPr="00480790">
        <w:rPr>
          <w:lang w:val="en-AU"/>
        </w:rPr>
        <w:t xml:space="preserve"> to </w:t>
      </w:r>
      <w:r w:rsidR="00CF4218" w:rsidRPr="000261DC">
        <w:rPr>
          <w:lang w:val="en-AU"/>
        </w:rPr>
        <w:t>$25,000 to &lt; $35,000</w:t>
      </w:r>
      <w:r w:rsidRPr="00480790">
        <w:rPr>
          <w:lang w:val="en-AU"/>
        </w:rPr>
        <w:t xml:space="preserve"> per QALY gained.</w:t>
      </w:r>
    </w:p>
    <w:p w14:paraId="0DC15194" w14:textId="77777777" w:rsidR="001C256F" w:rsidRPr="00480790" w:rsidRDefault="001C256F" w:rsidP="002843F8">
      <w:pPr>
        <w:pStyle w:val="3-BodyText"/>
        <w:rPr>
          <w:lang w:val="en-AU"/>
        </w:rPr>
      </w:pPr>
      <w:r w:rsidRPr="00480790">
        <w:rPr>
          <w:lang w:val="en-AU"/>
        </w:rPr>
        <w:t xml:space="preserve">It was recommended that lorlatinib treatment continues until disease progression occurs. The submission stated that a treatment duration of 57.0 months for lorlatinib in 1L DR was applied in the economic model as per the median duration of lorlatinib treatment in the CROWN study (Solomon et al. </w:t>
      </w:r>
      <w:r w:rsidRPr="00480790">
        <w:rPr>
          <w:iCs/>
          <w:lang w:val="en-AU"/>
        </w:rPr>
        <w:t>2024</w:t>
      </w:r>
      <w:r w:rsidRPr="00480790">
        <w:rPr>
          <w:lang w:val="en-AU"/>
        </w:rPr>
        <w:t>).</w:t>
      </w:r>
      <w:r w:rsidRPr="00480790">
        <w:rPr>
          <w:rStyle w:val="FootnoteReference"/>
          <w:lang w:val="en-AU"/>
        </w:rPr>
        <w:footnoteReference w:id="36"/>
      </w:r>
      <w:r w:rsidRPr="00480790">
        <w:rPr>
          <w:lang w:val="en-AU"/>
        </w:rPr>
        <w:t xml:space="preserve"> The mean treatment duration </w:t>
      </w:r>
      <w:r w:rsidRPr="00480790">
        <w:rPr>
          <w:lang w:val="en-AU"/>
        </w:rPr>
        <w:lastRenderedPageBreak/>
        <w:t xml:space="preserve">was then estimated as </w:t>
      </w:r>
      <w:r w:rsidRPr="00480790">
        <w:rPr>
          <w:iCs/>
          <w:lang w:val="en-AU"/>
        </w:rPr>
        <w:t xml:space="preserve">57.0 / ln(2) = 82.2 </w:t>
      </w:r>
      <w:r w:rsidRPr="00480790">
        <w:rPr>
          <w:lang w:val="en-AU"/>
        </w:rPr>
        <w:t>months, as above using the ratio of mean to median treatment durations.</w:t>
      </w:r>
    </w:p>
    <w:p w14:paraId="4C63617F" w14:textId="5676A81A" w:rsidR="001C256F" w:rsidRPr="00480790" w:rsidRDefault="001C256F" w:rsidP="002843F8">
      <w:pPr>
        <w:pStyle w:val="3-BodyText"/>
        <w:rPr>
          <w:lang w:val="en-AU"/>
        </w:rPr>
      </w:pPr>
      <w:r w:rsidRPr="00480790">
        <w:rPr>
          <w:lang w:val="en-AU"/>
        </w:rPr>
        <w:t>The submission estimated the effective prices of lorlatinib and brigatinib and used these in the economic model.</w:t>
      </w:r>
    </w:p>
    <w:p w14:paraId="1BA030F6" w14:textId="35B50F2A" w:rsidR="001C256F" w:rsidRPr="00480790" w:rsidRDefault="001C256F" w:rsidP="002843F8">
      <w:pPr>
        <w:pStyle w:val="3-BodyText"/>
        <w:rPr>
          <w:lang w:val="en-AU"/>
        </w:rPr>
      </w:pPr>
      <w:r w:rsidRPr="00480790">
        <w:rPr>
          <w:lang w:val="en-AU"/>
        </w:rPr>
        <w:t xml:space="preserve">The ICER was moderately sensitive to the costs in the second-line distant recurrence health state. Setting these costs to $0, the ICER increased from </w:t>
      </w:r>
      <w:r w:rsidR="00BE2F72" w:rsidRPr="000261DC">
        <w:rPr>
          <w:lang w:val="en-AU"/>
        </w:rPr>
        <w:t>$25,000 to &lt; $35,000</w:t>
      </w:r>
      <w:r w:rsidRPr="00480790">
        <w:rPr>
          <w:lang w:val="en-AU"/>
        </w:rPr>
        <w:t xml:space="preserve"> to </w:t>
      </w:r>
      <w:r w:rsidR="00BE2F72" w:rsidRPr="000261DC">
        <w:rPr>
          <w:iCs/>
          <w:lang w:val="en-AU"/>
        </w:rPr>
        <w:t>$35,000 to &lt; $45,000</w:t>
      </w:r>
      <w:r w:rsidRPr="00480790">
        <w:rPr>
          <w:lang w:val="en-AU"/>
        </w:rPr>
        <w:t xml:space="preserve"> per QALY gained.</w:t>
      </w:r>
    </w:p>
    <w:p w14:paraId="6B830F74" w14:textId="26AE28F0" w:rsidR="001C256F" w:rsidRPr="00480790" w:rsidRDefault="001C256F" w:rsidP="002843F8">
      <w:pPr>
        <w:pStyle w:val="3-BodyText"/>
        <w:rPr>
          <w:lang w:val="en-AU"/>
        </w:rPr>
      </w:pPr>
      <w:r w:rsidRPr="00480790">
        <w:rPr>
          <w:lang w:val="en-AU"/>
        </w:rPr>
        <w:t>In</w:t>
      </w:r>
      <w:r w:rsidRPr="00480790" w:rsidDel="00323B56">
        <w:rPr>
          <w:lang w:val="en-AU"/>
        </w:rPr>
        <w:t xml:space="preserve"> the </w:t>
      </w:r>
      <w:r w:rsidRPr="00480790">
        <w:rPr>
          <w:lang w:val="en-AU"/>
        </w:rPr>
        <w:t>chemotherapy arm, it was expected that a patient with 2L DR would receive lorlatinib or alectinib again. However, for simplicity only lorlatinib was applied in the economic evaluation presented. As per the lorlatinib PSD, the median PFS (8.0</w:t>
      </w:r>
      <w:r w:rsidR="00BE2F72">
        <w:rPr>
          <w:lang w:val="en-AU"/>
        </w:rPr>
        <w:t> </w:t>
      </w:r>
      <w:r w:rsidRPr="00480790">
        <w:rPr>
          <w:lang w:val="en-AU"/>
        </w:rPr>
        <w:t xml:space="preserve">months) from Study 1001 was used as a proxy for the treatment duration for second- and subsequent-line lorlatinib therapy (Table 10, p14, lorlatinib, PSD, PBAC July 2021 meeting). This data source was reasonable. However, it was more appropriate to apply the mean treatment duration for the economic model. With the most parsimonious assumption that this follows an exponential function, the mean was the median / ln(2) = 11.5 months. In this case, the ICER decreased from </w:t>
      </w:r>
      <w:r w:rsidR="00FD3DAB" w:rsidRPr="000261DC">
        <w:rPr>
          <w:lang w:val="en-AU"/>
        </w:rPr>
        <w:t>$25,000 to &lt; $35,000</w:t>
      </w:r>
      <w:r w:rsidRPr="00480790">
        <w:rPr>
          <w:lang w:val="en-AU"/>
        </w:rPr>
        <w:t xml:space="preserve"> to </w:t>
      </w:r>
      <w:r w:rsidR="00FD3DAB" w:rsidRPr="000261DC">
        <w:rPr>
          <w:lang w:val="en-AU"/>
        </w:rPr>
        <w:t>$25,000 to &lt; $35,000</w:t>
      </w:r>
      <w:r w:rsidRPr="00480790">
        <w:rPr>
          <w:lang w:val="en-AU"/>
        </w:rPr>
        <w:t xml:space="preserve"> per QALY gained.</w:t>
      </w:r>
    </w:p>
    <w:p w14:paraId="1DF4B6ED" w14:textId="20D78F15" w:rsidR="001C256F" w:rsidRPr="00480790" w:rsidRDefault="001C256F" w:rsidP="002843F8">
      <w:pPr>
        <w:pStyle w:val="3-BodyText"/>
        <w:rPr>
          <w:lang w:val="en-AU"/>
        </w:rPr>
      </w:pPr>
      <w:r w:rsidRPr="00480790">
        <w:rPr>
          <w:lang w:val="en-AU"/>
        </w:rPr>
        <w:t xml:space="preserve">By comparison, patients in the adjuvant alectinib treatment arm that had 2L DR, were assumed to be treated with brigatinib or alectinib. However, for simplicity only brigatinib was applied in the economic evaluation presented. It is unlikely that patients would be treated with brigatinib, because this would represent a third drug in the same class. Patients are more likely to receive chemotherapy. A median treatment duration of 34.9 months for brigatinib, derived from the ALTA-1L trial, was applied in the economic evaluation (p24 &amp; p26, brigatinib, PSD, PBAC November 2019 meeting). </w:t>
      </w:r>
      <w:r w:rsidRPr="00480790">
        <w:rPr>
          <w:iCs/>
          <w:lang w:val="en-AU"/>
        </w:rPr>
        <w:t>The</w:t>
      </w:r>
      <w:r w:rsidRPr="00480790" w:rsidDel="00B51923">
        <w:rPr>
          <w:iCs/>
          <w:lang w:val="en-AU"/>
        </w:rPr>
        <w:t xml:space="preserve"> </w:t>
      </w:r>
      <w:r w:rsidRPr="00480790">
        <w:rPr>
          <w:iCs/>
          <w:lang w:val="en-AU"/>
        </w:rPr>
        <w:t xml:space="preserve">mean duration of </w:t>
      </w:r>
      <w:r w:rsidR="00480790" w:rsidRPr="00480790">
        <w:rPr>
          <w:iCs/>
          <w:lang w:val="en-AU"/>
        </w:rPr>
        <w:t>brigatinib</w:t>
      </w:r>
      <w:r w:rsidRPr="00480790">
        <w:rPr>
          <w:iCs/>
          <w:lang w:val="en-AU"/>
        </w:rPr>
        <w:t xml:space="preserve"> treatment was 50.4 months.</w:t>
      </w:r>
    </w:p>
    <w:p w14:paraId="501A5739" w14:textId="01A2BAEC" w:rsidR="001C256F" w:rsidRPr="00480790" w:rsidRDefault="001C256F" w:rsidP="002843F8">
      <w:pPr>
        <w:pStyle w:val="3-BodyText"/>
        <w:rPr>
          <w:iCs/>
          <w:lang w:val="en-AU"/>
        </w:rPr>
      </w:pPr>
      <w:r w:rsidRPr="00480790">
        <w:rPr>
          <w:lang w:val="en-AU"/>
        </w:rPr>
        <w:t>End of life care costs associated with lung cancer were estimated using participants in the Sax Institute’s 45 and Up Study, which was a longitudinal study of 267,153 people aged ≥45 years in New South Wales (Goldsbury et al. 2020).</w:t>
      </w:r>
      <w:r w:rsidRPr="00480790">
        <w:rPr>
          <w:rStyle w:val="FootnoteReference"/>
          <w:lang w:val="en-AU"/>
        </w:rPr>
        <w:footnoteReference w:id="37"/>
      </w:r>
      <w:r w:rsidRPr="00480790">
        <w:rPr>
          <w:lang w:val="en-AU"/>
        </w:rPr>
        <w:t>. The average monthly cost at the end of life of $6,409 was applied in the economic evaluation for both arms at the time at which patients die. However, it was more appropriate to add the costs in the final 6 months of life, which gives a total of $38,454. This value was a slight over-estimate given that a relatively small proportion of total costs from Goldsbury et al. (2020) included PBS costs. Hence there may be some double counting of costs as the model also assumed costs of targeted PBS pharmaceutical treatment in 1L DR and 2L DR (Figure 4, Goldsbury et al. 2020). However, by far the greatest source of costs in Goldsbury et al. (2020) related to hospital-based care (Figure 4, Goldsbury et al. 2020).</w:t>
      </w:r>
      <w:r w:rsidRPr="00480790">
        <w:rPr>
          <w:iCs/>
          <w:lang w:val="en-AU"/>
        </w:rPr>
        <w:t xml:space="preserve"> </w:t>
      </w:r>
      <w:r w:rsidRPr="00480790">
        <w:rPr>
          <w:lang w:val="en-AU"/>
        </w:rPr>
        <w:lastRenderedPageBreak/>
        <w:t xml:space="preserve">With the change of using the total cost for end of life of $38,454, the ICER decreased from </w:t>
      </w:r>
      <w:r w:rsidR="009E216D" w:rsidRPr="000261DC">
        <w:rPr>
          <w:lang w:val="en-AU"/>
        </w:rPr>
        <w:t>$25,000 to &lt; $35,000</w:t>
      </w:r>
      <w:r w:rsidRPr="00480790">
        <w:rPr>
          <w:lang w:val="en-AU"/>
        </w:rPr>
        <w:t xml:space="preserve"> to </w:t>
      </w:r>
      <w:r w:rsidR="009E216D" w:rsidRPr="000261DC">
        <w:rPr>
          <w:lang w:val="en-AU"/>
        </w:rPr>
        <w:t>$25,000 to &lt; $35,000</w:t>
      </w:r>
      <w:r w:rsidRPr="00480790">
        <w:rPr>
          <w:lang w:val="en-AU"/>
        </w:rPr>
        <w:t xml:space="preserve"> per QALY gained.</w:t>
      </w:r>
    </w:p>
    <w:p w14:paraId="1D90F73B" w14:textId="038A69DB" w:rsidR="001C256F" w:rsidRPr="00480790" w:rsidRDefault="001C256F" w:rsidP="002843F8">
      <w:pPr>
        <w:pStyle w:val="3-BodyText"/>
        <w:rPr>
          <w:lang w:val="en-AU"/>
        </w:rPr>
      </w:pPr>
      <w:r w:rsidRPr="00480790">
        <w:rPr>
          <w:lang w:val="en-AU"/>
        </w:rPr>
        <w:fldChar w:fldCharType="begin"/>
      </w:r>
      <w:r w:rsidRPr="00480790">
        <w:rPr>
          <w:lang w:val="en-AU"/>
        </w:rPr>
        <w:instrText xml:space="preserve"> REF _Ref188008868 \h </w:instrText>
      </w:r>
      <w:r w:rsidRPr="00480790">
        <w:rPr>
          <w:lang w:val="en-AU"/>
        </w:rPr>
      </w:r>
      <w:r w:rsidRPr="00480790">
        <w:rPr>
          <w:lang w:val="en-AU"/>
        </w:rPr>
        <w:fldChar w:fldCharType="separate"/>
      </w:r>
      <w:r w:rsidR="002565BE" w:rsidRPr="00480790">
        <w:t xml:space="preserve">Table </w:t>
      </w:r>
      <w:r w:rsidR="002565BE">
        <w:rPr>
          <w:noProof/>
        </w:rPr>
        <w:t>8</w:t>
      </w:r>
      <w:r w:rsidRPr="00480790">
        <w:rPr>
          <w:lang w:val="en-AU"/>
        </w:rPr>
        <w:fldChar w:fldCharType="end"/>
      </w:r>
      <w:r w:rsidRPr="00480790">
        <w:rPr>
          <w:lang w:val="en-AU"/>
        </w:rPr>
        <w:t xml:space="preserve"> gives the key drivers of the model.</w:t>
      </w:r>
    </w:p>
    <w:p w14:paraId="2E43A3EF" w14:textId="74A17871" w:rsidR="001C256F" w:rsidRPr="00480790" w:rsidRDefault="001C256F" w:rsidP="00751EBB">
      <w:pPr>
        <w:pStyle w:val="TableFigureHeading"/>
        <w:rPr>
          <w:rStyle w:val="CommentReference"/>
          <w:b/>
          <w:szCs w:val="24"/>
        </w:rPr>
      </w:pPr>
      <w:bookmarkStart w:id="71" w:name="_Ref188008868"/>
      <w:bookmarkStart w:id="72" w:name="_Hlk187933257"/>
      <w:r w:rsidRPr="00480790">
        <w:t xml:space="preserve">Table </w:t>
      </w:r>
      <w:r w:rsidRPr="00480790">
        <w:fldChar w:fldCharType="begin"/>
      </w:r>
      <w:r w:rsidRPr="00480790">
        <w:instrText xml:space="preserve"> SEQ Table \* ARABIC </w:instrText>
      </w:r>
      <w:r w:rsidRPr="00480790">
        <w:fldChar w:fldCharType="separate"/>
      </w:r>
      <w:r w:rsidR="002565BE">
        <w:rPr>
          <w:noProof/>
        </w:rPr>
        <w:t>8</w:t>
      </w:r>
      <w:r w:rsidRPr="00480790">
        <w:fldChar w:fldCharType="end"/>
      </w:r>
      <w:bookmarkEnd w:id="71"/>
      <w:r w:rsidRPr="00480790">
        <w:t>:</w:t>
      </w:r>
      <w:r w:rsidRPr="00480790">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2409"/>
        <w:gridCol w:w="5479"/>
      </w:tblGrid>
      <w:tr w:rsidR="00AB01EA" w:rsidRPr="00480790" w14:paraId="2BE55D6D" w14:textId="77777777" w:rsidTr="00751EBB">
        <w:trPr>
          <w:tblHeader/>
        </w:trPr>
        <w:tc>
          <w:tcPr>
            <w:tcW w:w="626" w:type="pct"/>
            <w:shd w:val="clear" w:color="auto" w:fill="auto"/>
            <w:vAlign w:val="center"/>
          </w:tcPr>
          <w:p w14:paraId="73F4D2D3" w14:textId="77777777" w:rsidR="001C256F" w:rsidRPr="00480790" w:rsidRDefault="001C256F" w:rsidP="00751EBB">
            <w:pPr>
              <w:pStyle w:val="In-tableHeading"/>
              <w:jc w:val="center"/>
              <w:rPr>
                <w:lang w:val="en-AU"/>
              </w:rPr>
            </w:pPr>
            <w:r w:rsidRPr="00480790">
              <w:rPr>
                <w:lang w:val="en-AU"/>
              </w:rPr>
              <w:t>Description</w:t>
            </w:r>
          </w:p>
        </w:tc>
        <w:tc>
          <w:tcPr>
            <w:tcW w:w="1336" w:type="pct"/>
            <w:shd w:val="clear" w:color="auto" w:fill="auto"/>
            <w:vAlign w:val="center"/>
          </w:tcPr>
          <w:p w14:paraId="1248E20A" w14:textId="77777777" w:rsidR="001C256F" w:rsidRPr="00480790" w:rsidRDefault="001C256F" w:rsidP="00751EBB">
            <w:pPr>
              <w:pStyle w:val="In-tableHeading"/>
              <w:jc w:val="center"/>
              <w:rPr>
                <w:lang w:val="en-AU"/>
              </w:rPr>
            </w:pPr>
            <w:r w:rsidRPr="00480790">
              <w:rPr>
                <w:lang w:val="en-AU"/>
              </w:rPr>
              <w:t>Method/Value</w:t>
            </w:r>
          </w:p>
        </w:tc>
        <w:tc>
          <w:tcPr>
            <w:tcW w:w="3038" w:type="pct"/>
            <w:shd w:val="clear" w:color="auto" w:fill="auto"/>
            <w:vAlign w:val="center"/>
          </w:tcPr>
          <w:p w14:paraId="11145701" w14:textId="77777777" w:rsidR="001C256F" w:rsidRPr="00480790" w:rsidRDefault="001C256F" w:rsidP="00751EBB">
            <w:pPr>
              <w:pStyle w:val="In-tableHeading"/>
              <w:jc w:val="center"/>
              <w:rPr>
                <w:lang w:val="en-AU"/>
              </w:rPr>
            </w:pPr>
            <w:r w:rsidRPr="00480790">
              <w:rPr>
                <w:lang w:val="en-AU"/>
              </w:rPr>
              <w:t>Impact</w:t>
            </w:r>
          </w:p>
          <w:p w14:paraId="545A6BC6" w14:textId="5BBECD03" w:rsidR="001C256F" w:rsidRPr="00480790" w:rsidRDefault="001C256F" w:rsidP="00751EBB">
            <w:pPr>
              <w:pStyle w:val="In-tableHeading"/>
              <w:jc w:val="center"/>
              <w:rPr>
                <w:lang w:val="en-AU"/>
              </w:rPr>
            </w:pPr>
            <w:r w:rsidRPr="00480790">
              <w:rPr>
                <w:rFonts w:cs="Arial"/>
                <w:szCs w:val="20"/>
                <w:lang w:val="en-AU"/>
              </w:rPr>
              <w:t xml:space="preserve"> Base case: $</w:t>
            </w:r>
            <w:r w:rsidR="00487E5A" w:rsidRPr="00487E5A">
              <w:rPr>
                <w:rFonts w:cs="Arial"/>
                <w:color w:val="000000"/>
                <w:spacing w:val="58"/>
                <w:szCs w:val="20"/>
                <w:shd w:val="solid" w:color="000000" w:fill="000000"/>
                <w:fitText w:val="360" w:id="-663539955"/>
                <w:lang w:val="en-AU"/>
                <w14:textFill>
                  <w14:solidFill>
                    <w14:srgbClr w14:val="000000">
                      <w14:alpha w14:val="100000"/>
                    </w14:srgbClr>
                  </w14:solidFill>
                </w14:textFill>
              </w:rPr>
              <w:t>|||</w:t>
            </w:r>
            <w:r w:rsidR="00487E5A" w:rsidRPr="00487E5A">
              <w:rPr>
                <w:rFonts w:cs="Arial"/>
                <w:color w:val="000000"/>
                <w:spacing w:val="3"/>
                <w:szCs w:val="20"/>
                <w:shd w:val="solid" w:color="000000" w:fill="000000"/>
                <w:fitText w:val="360" w:id="-663539955"/>
                <w:lang w:val="en-AU"/>
                <w14:textFill>
                  <w14:solidFill>
                    <w14:srgbClr w14:val="000000">
                      <w14:alpha w14:val="100000"/>
                    </w14:srgbClr>
                  </w14:solidFill>
                </w14:textFill>
              </w:rPr>
              <w:t>|</w:t>
            </w:r>
            <w:r w:rsidR="009E216D">
              <w:rPr>
                <w:rFonts w:cs="Arial"/>
                <w:szCs w:val="20"/>
                <w:lang w:val="en-AU"/>
              </w:rPr>
              <w:t xml:space="preserve"> </w:t>
            </w:r>
            <w:r w:rsidR="009E216D">
              <w:rPr>
                <w:rFonts w:cs="Arial"/>
                <w:szCs w:val="20"/>
                <w:vertAlign w:val="superscript"/>
                <w:lang w:val="en-AU"/>
              </w:rPr>
              <w:t>1</w:t>
            </w:r>
            <w:r w:rsidRPr="00480790">
              <w:rPr>
                <w:rFonts w:cs="Arial"/>
                <w:szCs w:val="20"/>
                <w:lang w:val="en-AU"/>
              </w:rPr>
              <w:t>/QALY gained</w:t>
            </w:r>
          </w:p>
        </w:tc>
      </w:tr>
      <w:tr w:rsidR="00AB01EA" w:rsidRPr="00480790" w14:paraId="2BB46485" w14:textId="77777777" w:rsidTr="00751EBB">
        <w:trPr>
          <w:tblHeader/>
        </w:trPr>
        <w:tc>
          <w:tcPr>
            <w:tcW w:w="626" w:type="pct"/>
            <w:shd w:val="clear" w:color="auto" w:fill="auto"/>
            <w:vAlign w:val="center"/>
          </w:tcPr>
          <w:p w14:paraId="193DF7EA" w14:textId="77777777" w:rsidR="001C256F" w:rsidRPr="00480790" w:rsidRDefault="001C256F" w:rsidP="00751EBB">
            <w:pPr>
              <w:pStyle w:val="In-tableHeading"/>
              <w:rPr>
                <w:b w:val="0"/>
                <w:bCs/>
                <w:lang w:val="en-AU"/>
              </w:rPr>
            </w:pPr>
            <w:r w:rsidRPr="00480790">
              <w:rPr>
                <w:b w:val="0"/>
                <w:bCs/>
                <w:lang w:val="en-AU"/>
              </w:rPr>
              <w:t>Time horizon</w:t>
            </w:r>
          </w:p>
        </w:tc>
        <w:tc>
          <w:tcPr>
            <w:tcW w:w="1336" w:type="pct"/>
            <w:shd w:val="clear" w:color="auto" w:fill="auto"/>
            <w:vAlign w:val="center"/>
          </w:tcPr>
          <w:p w14:paraId="795C9343" w14:textId="77777777" w:rsidR="001C256F" w:rsidRPr="00480790" w:rsidRDefault="001C256F" w:rsidP="00751EBB">
            <w:pPr>
              <w:pStyle w:val="In-tableHeading"/>
              <w:rPr>
                <w:b w:val="0"/>
                <w:bCs/>
                <w:lang w:val="en-AU"/>
              </w:rPr>
            </w:pPr>
            <w:r w:rsidRPr="00480790">
              <w:rPr>
                <w:b w:val="0"/>
                <w:bCs/>
                <w:lang w:val="en-AU"/>
              </w:rPr>
              <w:t>Assumed 20 years.</w:t>
            </w:r>
          </w:p>
        </w:tc>
        <w:tc>
          <w:tcPr>
            <w:tcW w:w="3038" w:type="pct"/>
            <w:shd w:val="clear" w:color="auto" w:fill="auto"/>
            <w:vAlign w:val="center"/>
          </w:tcPr>
          <w:p w14:paraId="6F8A6793" w14:textId="321B6E99" w:rsidR="001C256F" w:rsidRPr="00480790" w:rsidRDefault="001C256F" w:rsidP="00751EBB">
            <w:pPr>
              <w:pStyle w:val="In-tableHeading"/>
              <w:rPr>
                <w:b w:val="0"/>
                <w:bCs/>
                <w:lang w:val="en-AU"/>
              </w:rPr>
            </w:pPr>
            <w:r w:rsidRPr="00480790">
              <w:rPr>
                <w:b w:val="0"/>
                <w:bCs/>
                <w:lang w:val="en-AU"/>
              </w:rPr>
              <w:t>High, favours alectinib. Assuming a time horizon of 15 years, for consistency with the recent submissions for atezolizumab (July 2022 PBAC meeting) and osimertinib (November 2023 PBAC meeting), increased the ICER to $</w:t>
            </w:r>
            <w:r w:rsidR="00487E5A" w:rsidRPr="00487E5A">
              <w:rPr>
                <w:b w:val="0"/>
                <w:bCs/>
                <w:color w:val="000000"/>
                <w:spacing w:val="53"/>
                <w:shd w:val="solid" w:color="000000" w:fill="000000"/>
                <w:fitText w:val="330" w:id="-663539954"/>
                <w:lang w:val="en-AU"/>
                <w14:textFill>
                  <w14:solidFill>
                    <w14:srgbClr w14:val="000000">
                      <w14:alpha w14:val="100000"/>
                    </w14:srgbClr>
                  </w14:solidFill>
                </w14:textFill>
              </w:rPr>
              <w:t>|||</w:t>
            </w:r>
            <w:r w:rsidR="00487E5A" w:rsidRPr="00487E5A">
              <w:rPr>
                <w:b w:val="0"/>
                <w:bCs/>
                <w:color w:val="000000"/>
                <w:spacing w:val="1"/>
                <w:shd w:val="solid" w:color="000000" w:fill="000000"/>
                <w:fitText w:val="330" w:id="-663539954"/>
                <w:lang w:val="en-AU"/>
                <w14:textFill>
                  <w14:solidFill>
                    <w14:srgbClr w14:val="000000">
                      <w14:alpha w14:val="100000"/>
                    </w14:srgbClr>
                  </w14:solidFill>
                </w14:textFill>
              </w:rPr>
              <w:t>|</w:t>
            </w:r>
            <w:r w:rsidR="00860139">
              <w:rPr>
                <w:b w:val="0"/>
                <w:bCs/>
                <w:lang w:val="en-AU"/>
              </w:rPr>
              <w:t xml:space="preserve"> </w:t>
            </w:r>
            <w:r w:rsidR="00860139">
              <w:rPr>
                <w:b w:val="0"/>
                <w:bCs/>
                <w:vertAlign w:val="superscript"/>
                <w:lang w:val="en-AU"/>
              </w:rPr>
              <w:t>2</w:t>
            </w:r>
            <w:r w:rsidRPr="00480790">
              <w:rPr>
                <w:b w:val="0"/>
                <w:bCs/>
                <w:lang w:val="en-AU"/>
              </w:rPr>
              <w:t xml:space="preserve"> per QALY gained.</w:t>
            </w:r>
          </w:p>
        </w:tc>
      </w:tr>
      <w:tr w:rsidR="00AB01EA" w:rsidRPr="00480790" w14:paraId="36D06326" w14:textId="77777777" w:rsidTr="00751EBB">
        <w:trPr>
          <w:tblHeader/>
        </w:trPr>
        <w:tc>
          <w:tcPr>
            <w:tcW w:w="626" w:type="pct"/>
            <w:shd w:val="clear" w:color="auto" w:fill="auto"/>
            <w:vAlign w:val="center"/>
          </w:tcPr>
          <w:p w14:paraId="42810E5E" w14:textId="77777777" w:rsidR="001C256F" w:rsidRPr="00480790" w:rsidRDefault="001C256F" w:rsidP="00751EBB">
            <w:pPr>
              <w:pStyle w:val="In-tableHeading"/>
              <w:rPr>
                <w:b w:val="0"/>
                <w:bCs/>
                <w:lang w:val="en-AU"/>
              </w:rPr>
            </w:pPr>
            <w:r w:rsidRPr="00480790">
              <w:rPr>
                <w:b w:val="0"/>
                <w:bCs/>
                <w:lang w:val="en-AU"/>
              </w:rPr>
              <w:t>Transition probabilities of LRR to death</w:t>
            </w:r>
          </w:p>
        </w:tc>
        <w:tc>
          <w:tcPr>
            <w:tcW w:w="1336" w:type="pct"/>
            <w:shd w:val="clear" w:color="auto" w:fill="auto"/>
            <w:vAlign w:val="center"/>
          </w:tcPr>
          <w:p w14:paraId="6C1113FF" w14:textId="77777777" w:rsidR="001C256F" w:rsidRPr="00480790" w:rsidRDefault="001C256F" w:rsidP="00751EBB">
            <w:pPr>
              <w:pStyle w:val="In-tableHeading"/>
              <w:rPr>
                <w:b w:val="0"/>
                <w:bCs/>
                <w:lang w:val="en-AU"/>
              </w:rPr>
            </w:pPr>
            <w:r w:rsidRPr="00480790">
              <w:rPr>
                <w:b w:val="0"/>
                <w:bCs/>
                <w:lang w:val="en-AU"/>
              </w:rPr>
              <w:t>The weekly rate of 0.0046 for the chemotherapy arm was taken from Nakamichi et al (2017), and a higher weekly rate of 0.111 for the alectinib arm was taken from the ALEX trial.</w:t>
            </w:r>
          </w:p>
        </w:tc>
        <w:tc>
          <w:tcPr>
            <w:tcW w:w="3038" w:type="pct"/>
            <w:shd w:val="clear" w:color="auto" w:fill="auto"/>
            <w:vAlign w:val="center"/>
          </w:tcPr>
          <w:p w14:paraId="66391465" w14:textId="1ABF19F8" w:rsidR="001C256F" w:rsidRPr="00480790" w:rsidRDefault="001C256F" w:rsidP="00751EBB">
            <w:pPr>
              <w:pStyle w:val="In-tableHeading"/>
              <w:rPr>
                <w:b w:val="0"/>
                <w:bCs/>
                <w:lang w:val="en-AU"/>
              </w:rPr>
            </w:pPr>
            <w:r w:rsidRPr="00480790">
              <w:rPr>
                <w:b w:val="0"/>
                <w:bCs/>
                <w:lang w:val="en-AU"/>
              </w:rPr>
              <w:t>High, favours alectinib. In the ALEX trial, patients received alectinib. This was not appropriate for estimating the transitions from LRR, as it was assumed that patients in this health state received either chemotherapy or radiotherapy. Applying both transition probabilities from Nakamichi et al (2017) increased the ICER from $</w:t>
            </w:r>
            <w:r w:rsidR="00487E5A" w:rsidRPr="00487E5A">
              <w:rPr>
                <w:b w:val="0"/>
                <w:bCs/>
                <w:color w:val="000000"/>
                <w:spacing w:val="53"/>
                <w:shd w:val="solid" w:color="000000" w:fill="000000"/>
                <w:fitText w:val="330" w:id="-663539953"/>
                <w:lang w:val="en-AU"/>
                <w14:textFill>
                  <w14:solidFill>
                    <w14:srgbClr w14:val="000000">
                      <w14:alpha w14:val="100000"/>
                    </w14:srgbClr>
                  </w14:solidFill>
                </w14:textFill>
              </w:rPr>
              <w:t>|||</w:t>
            </w:r>
            <w:r w:rsidR="00487E5A" w:rsidRPr="00487E5A">
              <w:rPr>
                <w:b w:val="0"/>
                <w:bCs/>
                <w:color w:val="000000"/>
                <w:spacing w:val="1"/>
                <w:shd w:val="solid" w:color="000000" w:fill="000000"/>
                <w:fitText w:val="330" w:id="-663539953"/>
                <w:lang w:val="en-AU"/>
                <w14:textFill>
                  <w14:solidFill>
                    <w14:srgbClr w14:val="000000">
                      <w14:alpha w14:val="100000"/>
                    </w14:srgbClr>
                  </w14:solidFill>
                </w14:textFill>
              </w:rPr>
              <w:t>|</w:t>
            </w:r>
            <w:r w:rsidR="00860139">
              <w:rPr>
                <w:rFonts w:cs="Arial"/>
                <w:szCs w:val="20"/>
                <w:lang w:val="en-AU"/>
              </w:rPr>
              <w:t xml:space="preserve"> </w:t>
            </w:r>
            <w:r w:rsidR="00860139">
              <w:rPr>
                <w:rFonts w:cs="Arial"/>
                <w:szCs w:val="20"/>
                <w:vertAlign w:val="superscript"/>
                <w:lang w:val="en-AU"/>
              </w:rPr>
              <w:t>1</w:t>
            </w:r>
            <w:r w:rsidRPr="00480790">
              <w:rPr>
                <w:b w:val="0"/>
                <w:bCs/>
                <w:lang w:val="en-AU"/>
              </w:rPr>
              <w:t xml:space="preserve"> to $</w:t>
            </w:r>
            <w:r w:rsidR="00487E5A" w:rsidRPr="00487E5A">
              <w:rPr>
                <w:b w:val="0"/>
                <w:bCs/>
                <w:color w:val="000000"/>
                <w:spacing w:val="49"/>
                <w:shd w:val="solid" w:color="000000" w:fill="000000"/>
                <w:fitText w:val="320" w:id="-663539952"/>
                <w:lang w:val="en-AU"/>
                <w14:textFill>
                  <w14:solidFill>
                    <w14:srgbClr w14:val="000000">
                      <w14:alpha w14:val="100000"/>
                    </w14:srgbClr>
                  </w14:solidFill>
                </w14:textFill>
              </w:rPr>
              <w:t>|||</w:t>
            </w:r>
            <w:r w:rsidR="00487E5A" w:rsidRPr="00487E5A">
              <w:rPr>
                <w:b w:val="0"/>
                <w:bCs/>
                <w:color w:val="000000"/>
                <w:spacing w:val="3"/>
                <w:shd w:val="solid" w:color="000000" w:fill="000000"/>
                <w:fitText w:val="320" w:id="-663539952"/>
                <w:lang w:val="en-AU"/>
                <w14:textFill>
                  <w14:solidFill>
                    <w14:srgbClr w14:val="000000">
                      <w14:alpha w14:val="100000"/>
                    </w14:srgbClr>
                  </w14:solidFill>
                </w14:textFill>
              </w:rPr>
              <w:t>|</w:t>
            </w:r>
            <w:r w:rsidR="00860139">
              <w:rPr>
                <w:rFonts w:cs="Arial"/>
                <w:szCs w:val="20"/>
                <w:lang w:val="en-AU"/>
              </w:rPr>
              <w:t xml:space="preserve"> </w:t>
            </w:r>
            <w:r w:rsidR="00860139">
              <w:rPr>
                <w:rFonts w:cs="Arial"/>
                <w:szCs w:val="20"/>
                <w:vertAlign w:val="superscript"/>
                <w:lang w:val="en-AU"/>
              </w:rPr>
              <w:t>2</w:t>
            </w:r>
            <w:r w:rsidRPr="00480790">
              <w:rPr>
                <w:b w:val="0"/>
                <w:bCs/>
                <w:lang w:val="en-AU"/>
              </w:rPr>
              <w:t xml:space="preserve"> per QALY gained.</w:t>
            </w:r>
          </w:p>
        </w:tc>
      </w:tr>
      <w:tr w:rsidR="00AB01EA" w:rsidRPr="00480790" w14:paraId="35974227" w14:textId="77777777" w:rsidTr="00751EBB">
        <w:trPr>
          <w:trHeight w:val="1161"/>
        </w:trPr>
        <w:tc>
          <w:tcPr>
            <w:tcW w:w="626" w:type="pct"/>
            <w:shd w:val="clear" w:color="auto" w:fill="auto"/>
            <w:vAlign w:val="center"/>
          </w:tcPr>
          <w:p w14:paraId="73787754" w14:textId="77777777" w:rsidR="001C256F" w:rsidRPr="00480790" w:rsidRDefault="001C256F" w:rsidP="00751EBB">
            <w:pPr>
              <w:pStyle w:val="TableText0"/>
            </w:pPr>
            <w:r w:rsidRPr="00480790">
              <w:t>Cure rate</w:t>
            </w:r>
          </w:p>
        </w:tc>
        <w:tc>
          <w:tcPr>
            <w:tcW w:w="1336" w:type="pct"/>
            <w:shd w:val="clear" w:color="auto" w:fill="auto"/>
            <w:vAlign w:val="center"/>
          </w:tcPr>
          <w:p w14:paraId="6F86B924" w14:textId="77777777" w:rsidR="001C256F" w:rsidRPr="00480790" w:rsidRDefault="001C256F" w:rsidP="00751EBB">
            <w:pPr>
              <w:pStyle w:val="TableText0"/>
            </w:pPr>
            <w:r w:rsidRPr="00480790">
              <w:t>The submission applied a cure rate that began at Year 4 and increased linearly to a maximum of 92% at Year 5 for patients in the DFS health state</w:t>
            </w:r>
            <w:r w:rsidRPr="00480790">
              <w:rPr>
                <w:b/>
                <w:bCs w:val="0"/>
              </w:rPr>
              <w:t>.</w:t>
            </w:r>
          </w:p>
        </w:tc>
        <w:tc>
          <w:tcPr>
            <w:tcW w:w="3038" w:type="pct"/>
            <w:shd w:val="clear" w:color="auto" w:fill="auto"/>
            <w:vAlign w:val="center"/>
          </w:tcPr>
          <w:p w14:paraId="1E797C03" w14:textId="49EB34CF" w:rsidR="001C256F" w:rsidRPr="00480790" w:rsidRDefault="001C256F" w:rsidP="00751EBB">
            <w:pPr>
              <w:pStyle w:val="TableText0"/>
            </w:pPr>
            <w:r w:rsidRPr="00480790">
              <w:t>High, favours alectinib. Assuming a cure rate of 91% at 10 years (as per recent NICE appraisal of alectinib) increased the ICER to $</w:t>
            </w:r>
            <w:r w:rsidR="00487E5A" w:rsidRPr="00487E5A">
              <w:rPr>
                <w:color w:val="000000"/>
                <w:spacing w:val="53"/>
                <w:shd w:val="solid" w:color="000000" w:fill="000000"/>
                <w:fitText w:val="330" w:id="-663539968"/>
                <w14:textFill>
                  <w14:solidFill>
                    <w14:srgbClr w14:val="000000">
                      <w14:alpha w14:val="100000"/>
                    </w14:srgbClr>
                  </w14:solidFill>
                </w14:textFill>
              </w:rPr>
              <w:t>|||</w:t>
            </w:r>
            <w:r w:rsidR="00487E5A" w:rsidRPr="00487E5A">
              <w:rPr>
                <w:color w:val="000000"/>
                <w:spacing w:val="1"/>
                <w:shd w:val="solid" w:color="000000" w:fill="000000"/>
                <w:fitText w:val="330" w:id="-663539968"/>
                <w14:textFill>
                  <w14:solidFill>
                    <w14:srgbClr w14:val="000000">
                      <w14:alpha w14:val="100000"/>
                    </w14:srgbClr>
                  </w14:solidFill>
                </w14:textFill>
              </w:rPr>
              <w:t>|</w:t>
            </w:r>
            <w:r w:rsidR="007E2976">
              <w:rPr>
                <w:rFonts w:cs="Arial"/>
                <w:szCs w:val="20"/>
              </w:rPr>
              <w:t xml:space="preserve"> </w:t>
            </w:r>
            <w:r w:rsidR="007E2976">
              <w:rPr>
                <w:rFonts w:cs="Arial"/>
                <w:szCs w:val="20"/>
                <w:vertAlign w:val="superscript"/>
              </w:rPr>
              <w:t>3</w:t>
            </w:r>
            <w:r w:rsidRPr="00480790">
              <w:t xml:space="preserve"> per QALY gained. </w:t>
            </w:r>
          </w:p>
        </w:tc>
      </w:tr>
      <w:tr w:rsidR="00AB01EA" w:rsidRPr="00480790" w14:paraId="4B6BEAD4" w14:textId="77777777" w:rsidTr="00751EBB">
        <w:tc>
          <w:tcPr>
            <w:tcW w:w="626" w:type="pct"/>
            <w:shd w:val="clear" w:color="auto" w:fill="auto"/>
            <w:vAlign w:val="center"/>
          </w:tcPr>
          <w:p w14:paraId="06D19B74" w14:textId="77777777" w:rsidR="001C256F" w:rsidRPr="00480790" w:rsidRDefault="001C256F" w:rsidP="00751EBB">
            <w:pPr>
              <w:pStyle w:val="TableText0"/>
            </w:pPr>
            <w:r w:rsidRPr="00480790">
              <w:t>Treatment duration in 1L DR and 2L DR</w:t>
            </w:r>
          </w:p>
        </w:tc>
        <w:tc>
          <w:tcPr>
            <w:tcW w:w="1336" w:type="pct"/>
            <w:shd w:val="clear" w:color="auto" w:fill="auto"/>
            <w:vAlign w:val="center"/>
          </w:tcPr>
          <w:p w14:paraId="324556FB" w14:textId="77777777" w:rsidR="001C256F" w:rsidRPr="00480790" w:rsidRDefault="001C256F" w:rsidP="00751EBB">
            <w:pPr>
              <w:pStyle w:val="TableText0"/>
            </w:pPr>
            <w:r w:rsidRPr="00480790">
              <w:t>Submission assumed median durations in the model.</w:t>
            </w:r>
          </w:p>
        </w:tc>
        <w:tc>
          <w:tcPr>
            <w:tcW w:w="3038" w:type="pct"/>
            <w:shd w:val="clear" w:color="auto" w:fill="auto"/>
            <w:vAlign w:val="center"/>
          </w:tcPr>
          <w:p w14:paraId="2926AA9C" w14:textId="5C601736" w:rsidR="001C256F" w:rsidRPr="00480790" w:rsidRDefault="001C256F" w:rsidP="00751EBB">
            <w:pPr>
              <w:pStyle w:val="TableText0"/>
            </w:pPr>
            <w:r w:rsidRPr="00480790">
              <w:t xml:space="preserve">High, favours chemotherapy. Assuming mean treatment durations and correcting the source for 2 treatment duration values, the ICER decreased to </w:t>
            </w:r>
            <w:r w:rsidRPr="00480790">
              <w:rPr>
                <w:i/>
                <w:iCs/>
              </w:rPr>
              <w:t>$</w:t>
            </w:r>
            <w:r w:rsidR="00487E5A" w:rsidRPr="00487E5A">
              <w:rPr>
                <w:i/>
                <w:iCs/>
                <w:color w:val="000000"/>
                <w:spacing w:val="53"/>
                <w:shd w:val="solid" w:color="000000" w:fill="000000"/>
                <w:fitText w:val="330" w:id="-663539967"/>
                <w14:textFill>
                  <w14:solidFill>
                    <w14:srgbClr w14:val="000000">
                      <w14:alpha w14:val="100000"/>
                    </w14:srgbClr>
                  </w14:solidFill>
                </w14:textFill>
              </w:rPr>
              <w:t>|||</w:t>
            </w:r>
            <w:r w:rsidR="00487E5A" w:rsidRPr="00487E5A">
              <w:rPr>
                <w:i/>
                <w:iCs/>
                <w:color w:val="000000"/>
                <w:spacing w:val="1"/>
                <w:shd w:val="solid" w:color="000000" w:fill="000000"/>
                <w:fitText w:val="330" w:id="-663539967"/>
                <w14:textFill>
                  <w14:solidFill>
                    <w14:srgbClr w14:val="000000">
                      <w14:alpha w14:val="100000"/>
                    </w14:srgbClr>
                  </w14:solidFill>
                </w14:textFill>
              </w:rPr>
              <w:t>|</w:t>
            </w:r>
            <w:r w:rsidR="002B341B">
              <w:rPr>
                <w:rFonts w:cs="Arial"/>
                <w:szCs w:val="20"/>
              </w:rPr>
              <w:t xml:space="preserve"> </w:t>
            </w:r>
            <w:r w:rsidR="002B341B">
              <w:rPr>
                <w:rFonts w:cs="Arial"/>
                <w:szCs w:val="20"/>
                <w:vertAlign w:val="superscript"/>
              </w:rPr>
              <w:t>1</w:t>
            </w:r>
            <w:r w:rsidRPr="00480790">
              <w:t xml:space="preserve"> per QALY gained. </w:t>
            </w:r>
          </w:p>
        </w:tc>
      </w:tr>
    </w:tbl>
    <w:p w14:paraId="061C9DC9" w14:textId="77777777" w:rsidR="001C256F" w:rsidRPr="00480790" w:rsidRDefault="001C256F" w:rsidP="00751EBB">
      <w:pPr>
        <w:pStyle w:val="FooterTableFigure"/>
        <w:keepNext/>
      </w:pPr>
      <w:r w:rsidRPr="00480790">
        <w:t>Source: Table 3.2, p58, Section 2.1.1.43, p89, Section 3.4.1, p67, p73, Section 2.1.1.37, p75, Section 2.1.1.43, p90 of the submission.</w:t>
      </w:r>
    </w:p>
    <w:p w14:paraId="662E924E" w14:textId="77777777" w:rsidR="001C256F" w:rsidRDefault="001C256F" w:rsidP="00E6524A">
      <w:pPr>
        <w:pStyle w:val="FooterTableFigure"/>
        <w:keepNext/>
        <w:spacing w:after="0"/>
      </w:pPr>
      <w:r w:rsidRPr="00480790">
        <w:t>DFS = disease-free survival, ICER = incremental cost-effectiveness ratio, LRR = locoregional recurrence, NICE = National Institute for Health and Care Excellence, QALY = quality-adjusted life years, 1L DR = 1</w:t>
      </w:r>
      <w:r w:rsidRPr="00480790">
        <w:rPr>
          <w:vertAlign w:val="superscript"/>
        </w:rPr>
        <w:t>st</w:t>
      </w:r>
      <w:r w:rsidRPr="00480790">
        <w:t xml:space="preserve"> line distant recurrence, 2L DR = 2</w:t>
      </w:r>
      <w:r w:rsidRPr="00480790">
        <w:rPr>
          <w:vertAlign w:val="superscript"/>
        </w:rPr>
        <w:t>nd</w:t>
      </w:r>
      <w:r w:rsidRPr="00480790">
        <w:t xml:space="preserve"> line distant recurrence</w:t>
      </w:r>
    </w:p>
    <w:p w14:paraId="3448B6E6" w14:textId="77777777" w:rsidR="00E6524A" w:rsidRPr="009A6D58" w:rsidRDefault="00E6524A" w:rsidP="00E6524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49D6A12" w14:textId="3DBFCB0B" w:rsidR="00E6524A" w:rsidRPr="009A6D58" w:rsidRDefault="00E6524A" w:rsidP="00E6524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3105A8" w:rsidRPr="003105A8">
        <w:rPr>
          <w:rFonts w:ascii="Arial Narrow" w:hAnsi="Arial Narrow"/>
          <w:i/>
          <w:sz w:val="18"/>
          <w:szCs w:val="18"/>
        </w:rPr>
        <w:t>$25,000 to &lt; $35,000</w:t>
      </w:r>
    </w:p>
    <w:p w14:paraId="05FB308D" w14:textId="5B0F1C96" w:rsidR="00E6524A" w:rsidRPr="009A6D58" w:rsidRDefault="00E6524A" w:rsidP="00E6524A">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1C146A" w:rsidRPr="001C146A">
        <w:rPr>
          <w:rFonts w:ascii="Arial Narrow" w:hAnsi="Arial Narrow"/>
          <w:i/>
          <w:sz w:val="18"/>
          <w:szCs w:val="18"/>
        </w:rPr>
        <w:t>$35,000 to &lt; $45,000</w:t>
      </w:r>
    </w:p>
    <w:p w14:paraId="3BBE347F" w14:textId="5404F209" w:rsidR="00E6524A" w:rsidRPr="00E6524A" w:rsidRDefault="00E6524A" w:rsidP="00E6524A">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BC19F3" w:rsidRPr="00BC19F3">
        <w:rPr>
          <w:rFonts w:ascii="Arial Narrow" w:hAnsi="Arial Narrow"/>
          <w:i/>
          <w:sz w:val="18"/>
          <w:szCs w:val="18"/>
        </w:rPr>
        <w:t>$45,000 to &lt; $55,000</w:t>
      </w:r>
    </w:p>
    <w:bookmarkEnd w:id="72"/>
    <w:p w14:paraId="23AF9F91" w14:textId="781A4346" w:rsidR="001C256F" w:rsidRPr="00480790" w:rsidRDefault="001C256F" w:rsidP="002843F8">
      <w:pPr>
        <w:pStyle w:val="3-BodyText"/>
        <w:rPr>
          <w:lang w:val="en-AU"/>
        </w:rPr>
      </w:pPr>
      <w:r w:rsidRPr="00480790">
        <w:rPr>
          <w:lang w:val="en-AU"/>
        </w:rPr>
        <w:fldChar w:fldCharType="begin"/>
      </w:r>
      <w:r w:rsidRPr="00480790">
        <w:rPr>
          <w:lang w:val="en-AU"/>
        </w:rPr>
        <w:instrText xml:space="preserve"> REF _Ref187936286 \h </w:instrText>
      </w:r>
      <w:r w:rsidRPr="00480790">
        <w:rPr>
          <w:lang w:val="en-AU"/>
        </w:rPr>
      </w:r>
      <w:r w:rsidRPr="00480790">
        <w:rPr>
          <w:lang w:val="en-AU"/>
        </w:rPr>
        <w:fldChar w:fldCharType="separate"/>
      </w:r>
      <w:r w:rsidR="002565BE" w:rsidRPr="00480790">
        <w:t xml:space="preserve">Table </w:t>
      </w:r>
      <w:r w:rsidR="002565BE">
        <w:rPr>
          <w:noProof/>
        </w:rPr>
        <w:t>9</w:t>
      </w:r>
      <w:r w:rsidRPr="00480790">
        <w:rPr>
          <w:lang w:val="en-AU"/>
        </w:rPr>
        <w:fldChar w:fldCharType="end"/>
      </w:r>
      <w:r w:rsidRPr="00480790">
        <w:rPr>
          <w:lang w:val="en-AU"/>
        </w:rPr>
        <w:t xml:space="preserve"> presents the results of the stepped economic evaluation. The ICER fell substantially when extrapolating outcomes to 20 years and when applying the cure adjustment to DFS.</w:t>
      </w:r>
    </w:p>
    <w:p w14:paraId="2389405D" w14:textId="1CCDB387" w:rsidR="001C256F" w:rsidRPr="00480790" w:rsidRDefault="001C256F" w:rsidP="00751EBB">
      <w:pPr>
        <w:pStyle w:val="Caption"/>
        <w:rPr>
          <w:rStyle w:val="CommentReference"/>
          <w:b/>
          <w:szCs w:val="24"/>
        </w:rPr>
      </w:pPr>
      <w:bookmarkStart w:id="73" w:name="_Ref187936286"/>
      <w:r w:rsidRPr="00480790">
        <w:lastRenderedPageBreak/>
        <w:t xml:space="preserve">Table </w:t>
      </w:r>
      <w:r w:rsidRPr="00480790">
        <w:fldChar w:fldCharType="begin"/>
      </w:r>
      <w:r w:rsidRPr="00480790">
        <w:instrText xml:space="preserve"> SEQ Table \* ARABIC </w:instrText>
      </w:r>
      <w:r w:rsidRPr="00480790">
        <w:fldChar w:fldCharType="separate"/>
      </w:r>
      <w:r w:rsidR="002565BE">
        <w:rPr>
          <w:noProof/>
        </w:rPr>
        <w:t>9</w:t>
      </w:r>
      <w:r w:rsidRPr="00480790">
        <w:fldChar w:fldCharType="end"/>
      </w:r>
      <w:bookmarkEnd w:id="73"/>
      <w:r w:rsidRPr="00480790">
        <w:rPr>
          <w:rStyle w:val="CommentReference"/>
          <w:b/>
          <w:szCs w:val="24"/>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AB01EA" w:rsidRPr="00480790" w14:paraId="3C10281E" w14:textId="77777777">
        <w:trPr>
          <w:tblHeader/>
        </w:trPr>
        <w:tc>
          <w:tcPr>
            <w:tcW w:w="1529" w:type="pct"/>
            <w:vAlign w:val="center"/>
          </w:tcPr>
          <w:p w14:paraId="6376FC96" w14:textId="77777777" w:rsidR="001C256F" w:rsidRPr="00480790" w:rsidRDefault="001C256F" w:rsidP="00751EBB">
            <w:pPr>
              <w:pStyle w:val="In-tableHeading"/>
              <w:rPr>
                <w:szCs w:val="20"/>
                <w:lang w:val="en-AU"/>
              </w:rPr>
            </w:pPr>
            <w:r w:rsidRPr="00480790">
              <w:rPr>
                <w:szCs w:val="20"/>
                <w:lang w:val="en-AU"/>
              </w:rPr>
              <w:t>Step and component</w:t>
            </w:r>
          </w:p>
        </w:tc>
        <w:tc>
          <w:tcPr>
            <w:tcW w:w="1359" w:type="pct"/>
            <w:vAlign w:val="center"/>
          </w:tcPr>
          <w:p w14:paraId="66C4E74C" w14:textId="77777777" w:rsidR="001C256F" w:rsidRPr="00480790" w:rsidRDefault="001C256F" w:rsidP="00751EBB">
            <w:pPr>
              <w:pStyle w:val="In-tableHeading"/>
              <w:jc w:val="center"/>
              <w:rPr>
                <w:szCs w:val="20"/>
                <w:lang w:val="en-AU"/>
              </w:rPr>
            </w:pPr>
            <w:r w:rsidRPr="00480790">
              <w:rPr>
                <w:szCs w:val="20"/>
                <w:lang w:val="en-AU"/>
              </w:rPr>
              <w:t>Alectinib</w:t>
            </w:r>
          </w:p>
        </w:tc>
        <w:tc>
          <w:tcPr>
            <w:tcW w:w="1274" w:type="pct"/>
            <w:vAlign w:val="center"/>
          </w:tcPr>
          <w:p w14:paraId="2AEA4286" w14:textId="77777777" w:rsidR="001C256F" w:rsidRPr="00480790" w:rsidRDefault="001C256F" w:rsidP="00751EBB">
            <w:pPr>
              <w:pStyle w:val="In-tableHeading"/>
              <w:jc w:val="center"/>
              <w:rPr>
                <w:szCs w:val="20"/>
                <w:lang w:val="en-AU"/>
              </w:rPr>
            </w:pPr>
            <w:r w:rsidRPr="00480790">
              <w:rPr>
                <w:szCs w:val="20"/>
                <w:lang w:val="en-AU"/>
              </w:rPr>
              <w:t>Chemotherapy</w:t>
            </w:r>
          </w:p>
        </w:tc>
        <w:tc>
          <w:tcPr>
            <w:tcW w:w="838" w:type="pct"/>
            <w:vAlign w:val="center"/>
          </w:tcPr>
          <w:p w14:paraId="7806E871" w14:textId="77777777" w:rsidR="001C256F" w:rsidRPr="00480790" w:rsidRDefault="001C256F" w:rsidP="00751EBB">
            <w:pPr>
              <w:pStyle w:val="In-tableHeading"/>
              <w:jc w:val="center"/>
              <w:rPr>
                <w:szCs w:val="20"/>
                <w:lang w:val="en-AU"/>
              </w:rPr>
            </w:pPr>
            <w:r w:rsidRPr="00480790">
              <w:rPr>
                <w:szCs w:val="20"/>
                <w:lang w:val="en-AU"/>
              </w:rPr>
              <w:t>Increment</w:t>
            </w:r>
          </w:p>
        </w:tc>
      </w:tr>
      <w:tr w:rsidR="00AB01EA" w:rsidRPr="00480790" w14:paraId="724D3DDD" w14:textId="77777777">
        <w:tc>
          <w:tcPr>
            <w:tcW w:w="5000" w:type="pct"/>
            <w:gridSpan w:val="4"/>
            <w:vAlign w:val="center"/>
          </w:tcPr>
          <w:p w14:paraId="52DFE47C" w14:textId="77777777" w:rsidR="001C256F" w:rsidRPr="00480790" w:rsidRDefault="001C256F" w:rsidP="00751EBB">
            <w:pPr>
              <w:pStyle w:val="TableText0"/>
              <w:rPr>
                <w:szCs w:val="20"/>
              </w:rPr>
            </w:pPr>
            <w:r w:rsidRPr="00480790">
              <w:rPr>
                <w:szCs w:val="20"/>
              </w:rPr>
              <w:t>Step 1: trial-based costs and outcomes</w:t>
            </w:r>
          </w:p>
        </w:tc>
      </w:tr>
      <w:tr w:rsidR="00AB01EA" w:rsidRPr="00480790" w14:paraId="15D462A2" w14:textId="77777777">
        <w:tc>
          <w:tcPr>
            <w:tcW w:w="1529" w:type="pct"/>
            <w:vAlign w:val="center"/>
          </w:tcPr>
          <w:p w14:paraId="184B38CE" w14:textId="77777777" w:rsidR="001C256F" w:rsidRPr="00480790" w:rsidRDefault="001C256F" w:rsidP="00751EBB">
            <w:pPr>
              <w:pStyle w:val="TableText0"/>
              <w:rPr>
                <w:szCs w:val="20"/>
              </w:rPr>
            </w:pPr>
            <w:r w:rsidRPr="00480790">
              <w:rPr>
                <w:szCs w:val="20"/>
              </w:rPr>
              <w:t>Costs (discounted)</w:t>
            </w:r>
          </w:p>
        </w:tc>
        <w:tc>
          <w:tcPr>
            <w:tcW w:w="1359" w:type="pct"/>
            <w:vAlign w:val="center"/>
          </w:tcPr>
          <w:p w14:paraId="18CEF182" w14:textId="56632B1B"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66"/>
                <w14:textFill>
                  <w14:solidFill>
                    <w14:srgbClr w14:val="000000">
                      <w14:alpha w14:val="100000"/>
                    </w14:srgbClr>
                  </w14:solidFill>
                </w14:textFill>
              </w:rPr>
              <w:t>|||</w:t>
            </w:r>
            <w:r w:rsidR="00487E5A" w:rsidRPr="00487E5A">
              <w:rPr>
                <w:color w:val="000000"/>
                <w:spacing w:val="1"/>
                <w:szCs w:val="20"/>
                <w:shd w:val="solid" w:color="000000" w:fill="000000"/>
                <w:fitText w:val="330" w:id="-663539966"/>
                <w14:textFill>
                  <w14:solidFill>
                    <w14:srgbClr w14:val="000000">
                      <w14:alpha w14:val="100000"/>
                    </w14:srgbClr>
                  </w14:solidFill>
                </w14:textFill>
              </w:rPr>
              <w:t>|</w:t>
            </w:r>
          </w:p>
        </w:tc>
        <w:tc>
          <w:tcPr>
            <w:tcW w:w="1274" w:type="pct"/>
            <w:vAlign w:val="center"/>
          </w:tcPr>
          <w:p w14:paraId="5613C451" w14:textId="77777777" w:rsidR="001C256F" w:rsidRPr="00480790" w:rsidRDefault="001C256F" w:rsidP="00751EBB">
            <w:pPr>
              <w:pStyle w:val="TableText0"/>
              <w:jc w:val="center"/>
              <w:rPr>
                <w:szCs w:val="20"/>
              </w:rPr>
            </w:pPr>
            <w:r w:rsidRPr="00480790">
              <w:rPr>
                <w:szCs w:val="20"/>
              </w:rPr>
              <w:t>$47,044</w:t>
            </w:r>
          </w:p>
        </w:tc>
        <w:tc>
          <w:tcPr>
            <w:tcW w:w="838" w:type="pct"/>
            <w:vAlign w:val="center"/>
          </w:tcPr>
          <w:p w14:paraId="4F5F4B30" w14:textId="3AE7C101"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65"/>
                <w14:textFill>
                  <w14:solidFill>
                    <w14:srgbClr w14:val="000000">
                      <w14:alpha w14:val="100000"/>
                    </w14:srgbClr>
                  </w14:solidFill>
                </w14:textFill>
              </w:rPr>
              <w:t>|||</w:t>
            </w:r>
            <w:r w:rsidR="00487E5A" w:rsidRPr="00487E5A">
              <w:rPr>
                <w:color w:val="000000"/>
                <w:spacing w:val="1"/>
                <w:szCs w:val="20"/>
                <w:shd w:val="solid" w:color="000000" w:fill="000000"/>
                <w:fitText w:val="330" w:id="-663539965"/>
                <w14:textFill>
                  <w14:solidFill>
                    <w14:srgbClr w14:val="000000">
                      <w14:alpha w14:val="100000"/>
                    </w14:srgbClr>
                  </w14:solidFill>
                </w14:textFill>
              </w:rPr>
              <w:t>|</w:t>
            </w:r>
          </w:p>
        </w:tc>
      </w:tr>
      <w:tr w:rsidR="00AB01EA" w:rsidRPr="00480790" w14:paraId="6685E454" w14:textId="77777777">
        <w:tc>
          <w:tcPr>
            <w:tcW w:w="1529" w:type="pct"/>
            <w:vAlign w:val="center"/>
          </w:tcPr>
          <w:p w14:paraId="0FD88D70" w14:textId="77777777" w:rsidR="001C256F" w:rsidRPr="00480790" w:rsidRDefault="001C256F" w:rsidP="00751EBB">
            <w:pPr>
              <w:pStyle w:val="TableText0"/>
              <w:rPr>
                <w:szCs w:val="20"/>
              </w:rPr>
            </w:pPr>
            <w:r w:rsidRPr="00480790">
              <w:rPr>
                <w:szCs w:val="20"/>
              </w:rPr>
              <w:t>LYG (discounted)</w:t>
            </w:r>
          </w:p>
        </w:tc>
        <w:tc>
          <w:tcPr>
            <w:tcW w:w="1359" w:type="pct"/>
            <w:vAlign w:val="center"/>
          </w:tcPr>
          <w:p w14:paraId="01B6B817" w14:textId="77777777" w:rsidR="001C256F" w:rsidRPr="00480790" w:rsidRDefault="001C256F" w:rsidP="00751EBB">
            <w:pPr>
              <w:pStyle w:val="TableText0"/>
              <w:jc w:val="center"/>
              <w:rPr>
                <w:szCs w:val="20"/>
              </w:rPr>
            </w:pPr>
            <w:r w:rsidRPr="00480790">
              <w:rPr>
                <w:szCs w:val="20"/>
              </w:rPr>
              <w:t>2.408</w:t>
            </w:r>
          </w:p>
        </w:tc>
        <w:tc>
          <w:tcPr>
            <w:tcW w:w="1274" w:type="pct"/>
            <w:vAlign w:val="center"/>
          </w:tcPr>
          <w:p w14:paraId="59C0F8E2" w14:textId="77777777" w:rsidR="001C256F" w:rsidRPr="00480790" w:rsidRDefault="001C256F" w:rsidP="00751EBB">
            <w:pPr>
              <w:pStyle w:val="TableText0"/>
              <w:jc w:val="center"/>
              <w:rPr>
                <w:szCs w:val="20"/>
              </w:rPr>
            </w:pPr>
            <w:r w:rsidRPr="00480790">
              <w:rPr>
                <w:szCs w:val="20"/>
              </w:rPr>
              <w:t>2.334</w:t>
            </w:r>
          </w:p>
        </w:tc>
        <w:tc>
          <w:tcPr>
            <w:tcW w:w="838" w:type="pct"/>
            <w:vAlign w:val="center"/>
          </w:tcPr>
          <w:p w14:paraId="5B18EE96" w14:textId="77777777" w:rsidR="001C256F" w:rsidRPr="00480790" w:rsidRDefault="001C256F" w:rsidP="00751EBB">
            <w:pPr>
              <w:pStyle w:val="TableText0"/>
              <w:jc w:val="center"/>
              <w:rPr>
                <w:szCs w:val="20"/>
              </w:rPr>
            </w:pPr>
            <w:r w:rsidRPr="00480790">
              <w:rPr>
                <w:szCs w:val="20"/>
              </w:rPr>
              <w:t>0.074</w:t>
            </w:r>
          </w:p>
        </w:tc>
      </w:tr>
      <w:tr w:rsidR="00AB01EA" w:rsidRPr="00480790" w14:paraId="155C4DA0" w14:textId="77777777">
        <w:tc>
          <w:tcPr>
            <w:tcW w:w="4162" w:type="pct"/>
            <w:gridSpan w:val="3"/>
            <w:vAlign w:val="center"/>
          </w:tcPr>
          <w:p w14:paraId="399563AD" w14:textId="77777777" w:rsidR="001C256F" w:rsidRPr="00480790" w:rsidRDefault="001C256F" w:rsidP="00751EBB">
            <w:pPr>
              <w:pStyle w:val="TableText0"/>
              <w:rPr>
                <w:szCs w:val="20"/>
              </w:rPr>
            </w:pPr>
            <w:r w:rsidRPr="00480790">
              <w:rPr>
                <w:szCs w:val="20"/>
              </w:rPr>
              <w:t>Incremental cost/extra LYG gained</w:t>
            </w:r>
          </w:p>
        </w:tc>
        <w:tc>
          <w:tcPr>
            <w:tcW w:w="838" w:type="pct"/>
            <w:vAlign w:val="center"/>
          </w:tcPr>
          <w:p w14:paraId="331DB2AC" w14:textId="2E65D160" w:rsidR="001C256F" w:rsidRPr="0094513C" w:rsidRDefault="001C256F" w:rsidP="00751EBB">
            <w:pPr>
              <w:pStyle w:val="TableText0"/>
              <w:jc w:val="center"/>
              <w:rPr>
                <w:szCs w:val="20"/>
                <w:vertAlign w:val="superscript"/>
              </w:rPr>
            </w:pPr>
            <w:r w:rsidRPr="00480790">
              <w:rPr>
                <w:szCs w:val="20"/>
              </w:rPr>
              <w:t>$</w:t>
            </w:r>
            <w:r w:rsidR="00487E5A" w:rsidRPr="00487E5A">
              <w:rPr>
                <w:color w:val="000000"/>
                <w:spacing w:val="53"/>
                <w:szCs w:val="20"/>
                <w:shd w:val="solid" w:color="000000" w:fill="000000"/>
                <w:fitText w:val="330" w:id="-663539964"/>
                <w14:textFill>
                  <w14:solidFill>
                    <w14:srgbClr w14:val="000000">
                      <w14:alpha w14:val="100000"/>
                    </w14:srgbClr>
                  </w14:solidFill>
                </w14:textFill>
              </w:rPr>
              <w:t>|||</w:t>
            </w:r>
            <w:r w:rsidR="00487E5A" w:rsidRPr="00487E5A">
              <w:rPr>
                <w:color w:val="000000"/>
                <w:spacing w:val="1"/>
                <w:szCs w:val="20"/>
                <w:shd w:val="solid" w:color="000000" w:fill="000000"/>
                <w:fitText w:val="330" w:id="-663539964"/>
                <w14:textFill>
                  <w14:solidFill>
                    <w14:srgbClr w14:val="000000">
                      <w14:alpha w14:val="100000"/>
                    </w14:srgbClr>
                  </w14:solidFill>
                </w14:textFill>
              </w:rPr>
              <w:t>|</w:t>
            </w:r>
            <w:r w:rsidR="0094513C">
              <w:rPr>
                <w:szCs w:val="20"/>
              </w:rPr>
              <w:t xml:space="preserve"> </w:t>
            </w:r>
            <w:r w:rsidR="0094513C">
              <w:rPr>
                <w:szCs w:val="20"/>
                <w:vertAlign w:val="superscript"/>
              </w:rPr>
              <w:t>1</w:t>
            </w:r>
          </w:p>
        </w:tc>
      </w:tr>
      <w:tr w:rsidR="00AB01EA" w:rsidRPr="00480790" w14:paraId="4531623B" w14:textId="77777777">
        <w:tc>
          <w:tcPr>
            <w:tcW w:w="5000" w:type="pct"/>
            <w:gridSpan w:val="4"/>
            <w:vAlign w:val="center"/>
          </w:tcPr>
          <w:p w14:paraId="111A9E23" w14:textId="77777777" w:rsidR="001C256F" w:rsidRPr="00480790" w:rsidRDefault="001C256F" w:rsidP="00751EBB">
            <w:pPr>
              <w:pStyle w:val="In-tableHeading"/>
              <w:rPr>
                <w:szCs w:val="20"/>
                <w:lang w:val="en-AU"/>
              </w:rPr>
            </w:pPr>
            <w:r w:rsidRPr="00480790">
              <w:rPr>
                <w:szCs w:val="20"/>
                <w:lang w:val="en-AU"/>
              </w:rPr>
              <w:t>Step 2: time horizon extended to 20 years</w:t>
            </w:r>
          </w:p>
        </w:tc>
      </w:tr>
      <w:tr w:rsidR="00AB01EA" w:rsidRPr="00480790" w14:paraId="70A39BE7" w14:textId="77777777">
        <w:tc>
          <w:tcPr>
            <w:tcW w:w="1529" w:type="pct"/>
            <w:vAlign w:val="center"/>
          </w:tcPr>
          <w:p w14:paraId="12925025" w14:textId="77777777" w:rsidR="001C256F" w:rsidRPr="00480790" w:rsidRDefault="001C256F" w:rsidP="00751EBB">
            <w:pPr>
              <w:pStyle w:val="TableText0"/>
              <w:rPr>
                <w:szCs w:val="20"/>
              </w:rPr>
            </w:pPr>
            <w:r w:rsidRPr="00480790">
              <w:rPr>
                <w:szCs w:val="20"/>
              </w:rPr>
              <w:t>Costs (discounted)</w:t>
            </w:r>
          </w:p>
        </w:tc>
        <w:tc>
          <w:tcPr>
            <w:tcW w:w="1359" w:type="pct"/>
            <w:vAlign w:val="center"/>
          </w:tcPr>
          <w:p w14:paraId="121965B3" w14:textId="31890218"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63"/>
                <w14:textFill>
                  <w14:solidFill>
                    <w14:srgbClr w14:val="000000">
                      <w14:alpha w14:val="100000"/>
                    </w14:srgbClr>
                  </w14:solidFill>
                </w14:textFill>
              </w:rPr>
              <w:t>|||</w:t>
            </w:r>
            <w:r w:rsidR="00487E5A" w:rsidRPr="00487E5A">
              <w:rPr>
                <w:color w:val="000000"/>
                <w:spacing w:val="1"/>
                <w:szCs w:val="20"/>
                <w:shd w:val="solid" w:color="000000" w:fill="000000"/>
                <w:fitText w:val="330" w:id="-663539963"/>
                <w14:textFill>
                  <w14:solidFill>
                    <w14:srgbClr w14:val="000000">
                      <w14:alpha w14:val="100000"/>
                    </w14:srgbClr>
                  </w14:solidFill>
                </w14:textFill>
              </w:rPr>
              <w:t>|</w:t>
            </w:r>
          </w:p>
        </w:tc>
        <w:tc>
          <w:tcPr>
            <w:tcW w:w="1274" w:type="pct"/>
            <w:vAlign w:val="center"/>
          </w:tcPr>
          <w:p w14:paraId="735F37BA" w14:textId="77777777" w:rsidR="001C256F" w:rsidRPr="00480790" w:rsidRDefault="001C256F" w:rsidP="00751EBB">
            <w:pPr>
              <w:pStyle w:val="TableText0"/>
              <w:jc w:val="center"/>
              <w:rPr>
                <w:szCs w:val="20"/>
              </w:rPr>
            </w:pPr>
            <w:r w:rsidRPr="00480790">
              <w:rPr>
                <w:szCs w:val="20"/>
              </w:rPr>
              <w:t>$99,014</w:t>
            </w:r>
          </w:p>
        </w:tc>
        <w:tc>
          <w:tcPr>
            <w:tcW w:w="838" w:type="pct"/>
            <w:vAlign w:val="center"/>
          </w:tcPr>
          <w:p w14:paraId="26E9C126" w14:textId="0C3447A0"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62"/>
                <w14:textFill>
                  <w14:solidFill>
                    <w14:srgbClr w14:val="000000">
                      <w14:alpha w14:val="100000"/>
                    </w14:srgbClr>
                  </w14:solidFill>
                </w14:textFill>
              </w:rPr>
              <w:t>|||</w:t>
            </w:r>
            <w:r w:rsidR="00487E5A" w:rsidRPr="00487E5A">
              <w:rPr>
                <w:color w:val="000000"/>
                <w:spacing w:val="1"/>
                <w:szCs w:val="20"/>
                <w:shd w:val="solid" w:color="000000" w:fill="000000"/>
                <w:fitText w:val="330" w:id="-663539962"/>
                <w14:textFill>
                  <w14:solidFill>
                    <w14:srgbClr w14:val="000000">
                      <w14:alpha w14:val="100000"/>
                    </w14:srgbClr>
                  </w14:solidFill>
                </w14:textFill>
              </w:rPr>
              <w:t>|</w:t>
            </w:r>
          </w:p>
        </w:tc>
      </w:tr>
      <w:tr w:rsidR="00AB01EA" w:rsidRPr="00480790" w14:paraId="45FB937B" w14:textId="77777777">
        <w:tc>
          <w:tcPr>
            <w:tcW w:w="1529" w:type="pct"/>
            <w:vAlign w:val="center"/>
          </w:tcPr>
          <w:p w14:paraId="4FA0E999" w14:textId="77777777" w:rsidR="001C256F" w:rsidRPr="00480790" w:rsidRDefault="001C256F" w:rsidP="00751EBB">
            <w:pPr>
              <w:pStyle w:val="TableText0"/>
              <w:rPr>
                <w:szCs w:val="20"/>
              </w:rPr>
            </w:pPr>
            <w:r w:rsidRPr="00480790">
              <w:rPr>
                <w:szCs w:val="20"/>
              </w:rPr>
              <w:t>LYG (discounted)</w:t>
            </w:r>
          </w:p>
        </w:tc>
        <w:tc>
          <w:tcPr>
            <w:tcW w:w="1359" w:type="pct"/>
            <w:vAlign w:val="center"/>
          </w:tcPr>
          <w:p w14:paraId="6B2E7602" w14:textId="77777777" w:rsidR="001C256F" w:rsidRPr="00480790" w:rsidRDefault="001C256F" w:rsidP="00751EBB">
            <w:pPr>
              <w:pStyle w:val="TableText0"/>
              <w:jc w:val="center"/>
              <w:rPr>
                <w:szCs w:val="20"/>
              </w:rPr>
            </w:pPr>
            <w:r w:rsidRPr="00480790">
              <w:rPr>
                <w:szCs w:val="20"/>
              </w:rPr>
              <w:t>8.702</w:t>
            </w:r>
          </w:p>
        </w:tc>
        <w:tc>
          <w:tcPr>
            <w:tcW w:w="1274" w:type="pct"/>
            <w:vAlign w:val="center"/>
          </w:tcPr>
          <w:p w14:paraId="70722C5A" w14:textId="77777777" w:rsidR="001C256F" w:rsidRPr="00480790" w:rsidRDefault="001C256F" w:rsidP="00751EBB">
            <w:pPr>
              <w:pStyle w:val="TableText0"/>
              <w:jc w:val="center"/>
              <w:rPr>
                <w:szCs w:val="20"/>
              </w:rPr>
            </w:pPr>
            <w:r w:rsidRPr="00480790">
              <w:rPr>
                <w:szCs w:val="20"/>
              </w:rPr>
              <w:t>5.508</w:t>
            </w:r>
          </w:p>
        </w:tc>
        <w:tc>
          <w:tcPr>
            <w:tcW w:w="838" w:type="pct"/>
            <w:vAlign w:val="center"/>
          </w:tcPr>
          <w:p w14:paraId="671C5BD3" w14:textId="77777777" w:rsidR="001C256F" w:rsidRPr="00480790" w:rsidRDefault="001C256F" w:rsidP="00751EBB">
            <w:pPr>
              <w:pStyle w:val="TableText0"/>
              <w:jc w:val="center"/>
              <w:rPr>
                <w:szCs w:val="20"/>
              </w:rPr>
            </w:pPr>
            <w:r w:rsidRPr="00480790">
              <w:rPr>
                <w:szCs w:val="20"/>
              </w:rPr>
              <w:t>3.194</w:t>
            </w:r>
          </w:p>
        </w:tc>
      </w:tr>
      <w:tr w:rsidR="00AB01EA" w:rsidRPr="00480790" w14:paraId="5A7D7181" w14:textId="77777777">
        <w:tc>
          <w:tcPr>
            <w:tcW w:w="4162" w:type="pct"/>
            <w:gridSpan w:val="3"/>
            <w:vAlign w:val="center"/>
          </w:tcPr>
          <w:p w14:paraId="5F55A9C0" w14:textId="77777777" w:rsidR="001C256F" w:rsidRPr="00480790" w:rsidRDefault="001C256F" w:rsidP="00751EBB">
            <w:pPr>
              <w:pStyle w:val="TableText0"/>
              <w:rPr>
                <w:szCs w:val="20"/>
              </w:rPr>
            </w:pPr>
            <w:r w:rsidRPr="00480790">
              <w:rPr>
                <w:szCs w:val="20"/>
              </w:rPr>
              <w:t>Incremental cost/extra LYG gained</w:t>
            </w:r>
          </w:p>
        </w:tc>
        <w:tc>
          <w:tcPr>
            <w:tcW w:w="838" w:type="pct"/>
            <w:vAlign w:val="center"/>
          </w:tcPr>
          <w:p w14:paraId="745E234F" w14:textId="3781E250"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61"/>
                <w14:textFill>
                  <w14:solidFill>
                    <w14:srgbClr w14:val="000000">
                      <w14:alpha w14:val="100000"/>
                    </w14:srgbClr>
                  </w14:solidFill>
                </w14:textFill>
              </w:rPr>
              <w:t>|||</w:t>
            </w:r>
            <w:r w:rsidR="00487E5A" w:rsidRPr="00487E5A">
              <w:rPr>
                <w:color w:val="000000"/>
                <w:spacing w:val="1"/>
                <w:szCs w:val="20"/>
                <w:shd w:val="solid" w:color="000000" w:fill="000000"/>
                <w:fitText w:val="330" w:id="-663539961"/>
                <w14:textFill>
                  <w14:solidFill>
                    <w14:srgbClr w14:val="000000">
                      <w14:alpha w14:val="100000"/>
                    </w14:srgbClr>
                  </w14:solidFill>
                </w14:textFill>
              </w:rPr>
              <w:t>|</w:t>
            </w:r>
            <w:r w:rsidR="0094513C">
              <w:rPr>
                <w:szCs w:val="20"/>
              </w:rPr>
              <w:t xml:space="preserve"> </w:t>
            </w:r>
            <w:r w:rsidR="0094513C">
              <w:rPr>
                <w:szCs w:val="20"/>
                <w:vertAlign w:val="superscript"/>
              </w:rPr>
              <w:t>2</w:t>
            </w:r>
          </w:p>
        </w:tc>
      </w:tr>
      <w:tr w:rsidR="00AB01EA" w:rsidRPr="00480790" w14:paraId="3446BDAF" w14:textId="77777777">
        <w:tc>
          <w:tcPr>
            <w:tcW w:w="5000" w:type="pct"/>
            <w:gridSpan w:val="4"/>
            <w:vAlign w:val="center"/>
          </w:tcPr>
          <w:p w14:paraId="1978399B" w14:textId="77777777" w:rsidR="001C256F" w:rsidRPr="00480790" w:rsidRDefault="001C256F" w:rsidP="00751EBB">
            <w:pPr>
              <w:pStyle w:val="In-tableHeading"/>
              <w:rPr>
                <w:szCs w:val="20"/>
                <w:lang w:val="en-AU"/>
              </w:rPr>
            </w:pPr>
            <w:r w:rsidRPr="00480790">
              <w:rPr>
                <w:szCs w:val="20"/>
                <w:lang w:val="en-AU"/>
              </w:rPr>
              <w:t>Step 3: treatment effect starts to decrease at year 5 and ceases at year 10</w:t>
            </w:r>
          </w:p>
        </w:tc>
      </w:tr>
      <w:tr w:rsidR="00AB01EA" w:rsidRPr="00480790" w14:paraId="5752187F" w14:textId="77777777">
        <w:tc>
          <w:tcPr>
            <w:tcW w:w="1529" w:type="pct"/>
            <w:vAlign w:val="center"/>
          </w:tcPr>
          <w:p w14:paraId="18E7BC44" w14:textId="77777777" w:rsidR="001C256F" w:rsidRPr="00480790" w:rsidRDefault="001C256F" w:rsidP="00751EBB">
            <w:pPr>
              <w:pStyle w:val="TableText0"/>
              <w:rPr>
                <w:szCs w:val="20"/>
              </w:rPr>
            </w:pPr>
            <w:r w:rsidRPr="00480790">
              <w:rPr>
                <w:szCs w:val="20"/>
              </w:rPr>
              <w:t>Costs (discounted)</w:t>
            </w:r>
          </w:p>
        </w:tc>
        <w:tc>
          <w:tcPr>
            <w:tcW w:w="1359" w:type="pct"/>
            <w:vAlign w:val="center"/>
          </w:tcPr>
          <w:p w14:paraId="0D2E4071" w14:textId="329530C4"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60"/>
                <w14:textFill>
                  <w14:solidFill>
                    <w14:srgbClr w14:val="000000">
                      <w14:alpha w14:val="100000"/>
                    </w14:srgbClr>
                  </w14:solidFill>
                </w14:textFill>
              </w:rPr>
              <w:t>|||</w:t>
            </w:r>
            <w:r w:rsidR="00487E5A" w:rsidRPr="00487E5A">
              <w:rPr>
                <w:color w:val="000000"/>
                <w:spacing w:val="1"/>
                <w:szCs w:val="20"/>
                <w:shd w:val="solid" w:color="000000" w:fill="000000"/>
                <w:fitText w:val="330" w:id="-663539960"/>
                <w14:textFill>
                  <w14:solidFill>
                    <w14:srgbClr w14:val="000000">
                      <w14:alpha w14:val="100000"/>
                    </w14:srgbClr>
                  </w14:solidFill>
                </w14:textFill>
              </w:rPr>
              <w:t>|</w:t>
            </w:r>
          </w:p>
        </w:tc>
        <w:tc>
          <w:tcPr>
            <w:tcW w:w="1274" w:type="pct"/>
            <w:vAlign w:val="center"/>
          </w:tcPr>
          <w:p w14:paraId="426AEA52" w14:textId="77777777" w:rsidR="001C256F" w:rsidRPr="00480790" w:rsidRDefault="001C256F" w:rsidP="00751EBB">
            <w:pPr>
              <w:pStyle w:val="TableText0"/>
              <w:jc w:val="center"/>
              <w:rPr>
                <w:szCs w:val="20"/>
              </w:rPr>
            </w:pPr>
            <w:r w:rsidRPr="00480790">
              <w:rPr>
                <w:szCs w:val="20"/>
              </w:rPr>
              <w:t>$99,014</w:t>
            </w:r>
          </w:p>
        </w:tc>
        <w:tc>
          <w:tcPr>
            <w:tcW w:w="838" w:type="pct"/>
            <w:vAlign w:val="center"/>
          </w:tcPr>
          <w:p w14:paraId="1AAC1944" w14:textId="356AD9E1"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59"/>
                <w14:textFill>
                  <w14:solidFill>
                    <w14:srgbClr w14:val="000000">
                      <w14:alpha w14:val="100000"/>
                    </w14:srgbClr>
                  </w14:solidFill>
                </w14:textFill>
              </w:rPr>
              <w:t>|||</w:t>
            </w:r>
            <w:r w:rsidR="00487E5A" w:rsidRPr="00487E5A">
              <w:rPr>
                <w:color w:val="000000"/>
                <w:spacing w:val="1"/>
                <w:szCs w:val="20"/>
                <w:shd w:val="solid" w:color="000000" w:fill="000000"/>
                <w:fitText w:val="330" w:id="-663539959"/>
                <w14:textFill>
                  <w14:solidFill>
                    <w14:srgbClr w14:val="000000">
                      <w14:alpha w14:val="100000"/>
                    </w14:srgbClr>
                  </w14:solidFill>
                </w14:textFill>
              </w:rPr>
              <w:t>|</w:t>
            </w:r>
          </w:p>
        </w:tc>
      </w:tr>
      <w:tr w:rsidR="00AB01EA" w:rsidRPr="00480790" w14:paraId="297AAB7C" w14:textId="77777777">
        <w:tc>
          <w:tcPr>
            <w:tcW w:w="1529" w:type="pct"/>
            <w:vAlign w:val="center"/>
          </w:tcPr>
          <w:p w14:paraId="0382B554" w14:textId="77777777" w:rsidR="001C256F" w:rsidRPr="00480790" w:rsidRDefault="001C256F" w:rsidP="00751EBB">
            <w:pPr>
              <w:pStyle w:val="TableText0"/>
              <w:rPr>
                <w:szCs w:val="20"/>
              </w:rPr>
            </w:pPr>
            <w:r w:rsidRPr="00480790">
              <w:rPr>
                <w:szCs w:val="20"/>
              </w:rPr>
              <w:t>LYG (discounted)</w:t>
            </w:r>
          </w:p>
        </w:tc>
        <w:tc>
          <w:tcPr>
            <w:tcW w:w="1359" w:type="pct"/>
            <w:vAlign w:val="center"/>
          </w:tcPr>
          <w:p w14:paraId="48730E4A" w14:textId="77777777" w:rsidR="001C256F" w:rsidRPr="00480790" w:rsidRDefault="001C256F" w:rsidP="00751EBB">
            <w:pPr>
              <w:pStyle w:val="TableText0"/>
              <w:jc w:val="center"/>
              <w:rPr>
                <w:szCs w:val="20"/>
              </w:rPr>
            </w:pPr>
            <w:r w:rsidRPr="00480790">
              <w:rPr>
                <w:szCs w:val="20"/>
              </w:rPr>
              <w:t>8.096</w:t>
            </w:r>
          </w:p>
        </w:tc>
        <w:tc>
          <w:tcPr>
            <w:tcW w:w="1274" w:type="pct"/>
            <w:vAlign w:val="center"/>
          </w:tcPr>
          <w:p w14:paraId="00F7FE42" w14:textId="77777777" w:rsidR="001C256F" w:rsidRPr="00480790" w:rsidRDefault="001C256F" w:rsidP="00751EBB">
            <w:pPr>
              <w:pStyle w:val="TableText0"/>
              <w:jc w:val="center"/>
              <w:rPr>
                <w:szCs w:val="20"/>
              </w:rPr>
            </w:pPr>
            <w:r w:rsidRPr="00480790">
              <w:rPr>
                <w:szCs w:val="20"/>
              </w:rPr>
              <w:t>5.508</w:t>
            </w:r>
          </w:p>
        </w:tc>
        <w:tc>
          <w:tcPr>
            <w:tcW w:w="838" w:type="pct"/>
            <w:vAlign w:val="center"/>
          </w:tcPr>
          <w:p w14:paraId="44E1E77E" w14:textId="77777777" w:rsidR="001C256F" w:rsidRPr="00480790" w:rsidRDefault="001C256F" w:rsidP="00751EBB">
            <w:pPr>
              <w:pStyle w:val="TableText0"/>
              <w:jc w:val="center"/>
              <w:rPr>
                <w:szCs w:val="20"/>
              </w:rPr>
            </w:pPr>
            <w:r w:rsidRPr="00480790">
              <w:rPr>
                <w:szCs w:val="20"/>
              </w:rPr>
              <w:t>2.588</w:t>
            </w:r>
          </w:p>
        </w:tc>
      </w:tr>
      <w:tr w:rsidR="00AB01EA" w:rsidRPr="00480790" w14:paraId="6599CB1E" w14:textId="77777777">
        <w:tc>
          <w:tcPr>
            <w:tcW w:w="4162" w:type="pct"/>
            <w:gridSpan w:val="3"/>
            <w:vAlign w:val="center"/>
          </w:tcPr>
          <w:p w14:paraId="621189C3" w14:textId="77777777" w:rsidR="001C256F" w:rsidRPr="00480790" w:rsidRDefault="001C256F" w:rsidP="00751EBB">
            <w:pPr>
              <w:pStyle w:val="TableText0"/>
              <w:rPr>
                <w:szCs w:val="20"/>
              </w:rPr>
            </w:pPr>
            <w:r w:rsidRPr="00480790">
              <w:rPr>
                <w:szCs w:val="20"/>
              </w:rPr>
              <w:t>Incremental cost/extra LYG gained</w:t>
            </w:r>
          </w:p>
        </w:tc>
        <w:tc>
          <w:tcPr>
            <w:tcW w:w="838" w:type="pct"/>
            <w:vAlign w:val="center"/>
          </w:tcPr>
          <w:p w14:paraId="55DEF640" w14:textId="12AD56F8"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58"/>
                <w14:textFill>
                  <w14:solidFill>
                    <w14:srgbClr w14:val="000000">
                      <w14:alpha w14:val="100000"/>
                    </w14:srgbClr>
                  </w14:solidFill>
                </w14:textFill>
              </w:rPr>
              <w:t>|||</w:t>
            </w:r>
            <w:r w:rsidR="00487E5A" w:rsidRPr="00487E5A">
              <w:rPr>
                <w:color w:val="000000"/>
                <w:spacing w:val="1"/>
                <w:szCs w:val="20"/>
                <w:shd w:val="solid" w:color="000000" w:fill="000000"/>
                <w:fitText w:val="330" w:id="-663539958"/>
                <w14:textFill>
                  <w14:solidFill>
                    <w14:srgbClr w14:val="000000">
                      <w14:alpha w14:val="100000"/>
                    </w14:srgbClr>
                  </w14:solidFill>
                </w14:textFill>
              </w:rPr>
              <w:t>|</w:t>
            </w:r>
            <w:r w:rsidR="0094513C">
              <w:rPr>
                <w:szCs w:val="20"/>
              </w:rPr>
              <w:t xml:space="preserve"> </w:t>
            </w:r>
            <w:r w:rsidR="0094513C">
              <w:rPr>
                <w:szCs w:val="20"/>
                <w:vertAlign w:val="superscript"/>
              </w:rPr>
              <w:t>3</w:t>
            </w:r>
          </w:p>
        </w:tc>
      </w:tr>
      <w:tr w:rsidR="00AB01EA" w:rsidRPr="00480790" w14:paraId="4A1134BA" w14:textId="77777777">
        <w:tc>
          <w:tcPr>
            <w:tcW w:w="5000" w:type="pct"/>
            <w:gridSpan w:val="4"/>
            <w:vAlign w:val="center"/>
          </w:tcPr>
          <w:p w14:paraId="58121DE1" w14:textId="77777777" w:rsidR="001C256F" w:rsidRPr="00480790" w:rsidRDefault="001C256F" w:rsidP="00751EBB">
            <w:pPr>
              <w:pStyle w:val="In-tableHeading"/>
              <w:rPr>
                <w:szCs w:val="20"/>
                <w:lang w:val="en-AU"/>
              </w:rPr>
            </w:pPr>
            <w:r w:rsidRPr="00480790">
              <w:rPr>
                <w:szCs w:val="20"/>
                <w:lang w:val="en-AU"/>
              </w:rPr>
              <w:t>Step 4: cure adjustment to the DFS curves</w:t>
            </w:r>
          </w:p>
        </w:tc>
      </w:tr>
      <w:tr w:rsidR="00AB01EA" w:rsidRPr="00480790" w14:paraId="56B7765E" w14:textId="77777777">
        <w:tc>
          <w:tcPr>
            <w:tcW w:w="1529" w:type="pct"/>
            <w:vAlign w:val="center"/>
          </w:tcPr>
          <w:p w14:paraId="1120A44E" w14:textId="77777777" w:rsidR="001C256F" w:rsidRPr="00480790" w:rsidRDefault="001C256F" w:rsidP="00751EBB">
            <w:pPr>
              <w:pStyle w:val="TableText0"/>
              <w:rPr>
                <w:szCs w:val="20"/>
              </w:rPr>
            </w:pPr>
            <w:r w:rsidRPr="00480790">
              <w:rPr>
                <w:szCs w:val="20"/>
              </w:rPr>
              <w:t>Costs (discounted)</w:t>
            </w:r>
          </w:p>
        </w:tc>
        <w:tc>
          <w:tcPr>
            <w:tcW w:w="1359" w:type="pct"/>
            <w:vAlign w:val="center"/>
          </w:tcPr>
          <w:p w14:paraId="2C4C0AEB" w14:textId="340AE75E"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57"/>
                <w14:textFill>
                  <w14:solidFill>
                    <w14:srgbClr w14:val="000000">
                      <w14:alpha w14:val="100000"/>
                    </w14:srgbClr>
                  </w14:solidFill>
                </w14:textFill>
              </w:rPr>
              <w:t>|||</w:t>
            </w:r>
            <w:r w:rsidR="00487E5A" w:rsidRPr="00487E5A">
              <w:rPr>
                <w:color w:val="000000"/>
                <w:spacing w:val="1"/>
                <w:szCs w:val="20"/>
                <w:shd w:val="solid" w:color="000000" w:fill="000000"/>
                <w:fitText w:val="330" w:id="-663539957"/>
                <w14:textFill>
                  <w14:solidFill>
                    <w14:srgbClr w14:val="000000">
                      <w14:alpha w14:val="100000"/>
                    </w14:srgbClr>
                  </w14:solidFill>
                </w14:textFill>
              </w:rPr>
              <w:t>|</w:t>
            </w:r>
          </w:p>
        </w:tc>
        <w:tc>
          <w:tcPr>
            <w:tcW w:w="1274" w:type="pct"/>
            <w:vAlign w:val="center"/>
          </w:tcPr>
          <w:p w14:paraId="7C4BB741" w14:textId="77777777" w:rsidR="001C256F" w:rsidRPr="00480790" w:rsidRDefault="001C256F" w:rsidP="00751EBB">
            <w:pPr>
              <w:pStyle w:val="TableText0"/>
              <w:jc w:val="center"/>
              <w:rPr>
                <w:szCs w:val="20"/>
              </w:rPr>
            </w:pPr>
            <w:r w:rsidRPr="00480790">
              <w:rPr>
                <w:szCs w:val="20"/>
              </w:rPr>
              <w:t>$77,926</w:t>
            </w:r>
          </w:p>
        </w:tc>
        <w:tc>
          <w:tcPr>
            <w:tcW w:w="838" w:type="pct"/>
            <w:vAlign w:val="center"/>
          </w:tcPr>
          <w:p w14:paraId="7FC2294D" w14:textId="1764B720"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56"/>
                <w14:textFill>
                  <w14:solidFill>
                    <w14:srgbClr w14:val="000000">
                      <w14:alpha w14:val="100000"/>
                    </w14:srgbClr>
                  </w14:solidFill>
                </w14:textFill>
              </w:rPr>
              <w:t>|||</w:t>
            </w:r>
            <w:r w:rsidR="00487E5A" w:rsidRPr="00487E5A">
              <w:rPr>
                <w:color w:val="000000"/>
                <w:spacing w:val="1"/>
                <w:szCs w:val="20"/>
                <w:shd w:val="solid" w:color="000000" w:fill="000000"/>
                <w:fitText w:val="330" w:id="-663539956"/>
                <w14:textFill>
                  <w14:solidFill>
                    <w14:srgbClr w14:val="000000">
                      <w14:alpha w14:val="100000"/>
                    </w14:srgbClr>
                  </w14:solidFill>
                </w14:textFill>
              </w:rPr>
              <w:t>|</w:t>
            </w:r>
          </w:p>
        </w:tc>
      </w:tr>
      <w:tr w:rsidR="00AB01EA" w:rsidRPr="00480790" w14:paraId="0562DC0E" w14:textId="77777777">
        <w:tc>
          <w:tcPr>
            <w:tcW w:w="1529" w:type="pct"/>
            <w:vAlign w:val="center"/>
          </w:tcPr>
          <w:p w14:paraId="5744D6AE" w14:textId="77777777" w:rsidR="001C256F" w:rsidRPr="00480790" w:rsidRDefault="001C256F" w:rsidP="00751EBB">
            <w:pPr>
              <w:pStyle w:val="TableText0"/>
              <w:rPr>
                <w:szCs w:val="20"/>
              </w:rPr>
            </w:pPr>
            <w:r w:rsidRPr="00480790">
              <w:rPr>
                <w:szCs w:val="20"/>
              </w:rPr>
              <w:t>LYG (discounted)</w:t>
            </w:r>
          </w:p>
        </w:tc>
        <w:tc>
          <w:tcPr>
            <w:tcW w:w="1359" w:type="pct"/>
            <w:vAlign w:val="center"/>
          </w:tcPr>
          <w:p w14:paraId="06ECA596" w14:textId="77777777" w:rsidR="001C256F" w:rsidRPr="00480790" w:rsidRDefault="001C256F" w:rsidP="00751EBB">
            <w:pPr>
              <w:pStyle w:val="TableText0"/>
              <w:jc w:val="center"/>
              <w:rPr>
                <w:szCs w:val="20"/>
              </w:rPr>
            </w:pPr>
            <w:r w:rsidRPr="00480790">
              <w:rPr>
                <w:szCs w:val="20"/>
              </w:rPr>
              <w:t>10.452</w:t>
            </w:r>
          </w:p>
        </w:tc>
        <w:tc>
          <w:tcPr>
            <w:tcW w:w="1274" w:type="pct"/>
            <w:vAlign w:val="center"/>
          </w:tcPr>
          <w:p w14:paraId="3F990CD6" w14:textId="77777777" w:rsidR="001C256F" w:rsidRPr="00480790" w:rsidRDefault="001C256F" w:rsidP="00751EBB">
            <w:pPr>
              <w:pStyle w:val="TableText0"/>
              <w:jc w:val="center"/>
              <w:rPr>
                <w:szCs w:val="20"/>
              </w:rPr>
            </w:pPr>
            <w:r w:rsidRPr="00480790">
              <w:rPr>
                <w:szCs w:val="20"/>
              </w:rPr>
              <w:t>6.713</w:t>
            </w:r>
          </w:p>
        </w:tc>
        <w:tc>
          <w:tcPr>
            <w:tcW w:w="838" w:type="pct"/>
            <w:vAlign w:val="center"/>
          </w:tcPr>
          <w:p w14:paraId="6D8E410F" w14:textId="77777777" w:rsidR="001C256F" w:rsidRPr="00480790" w:rsidRDefault="001C256F" w:rsidP="00751EBB">
            <w:pPr>
              <w:pStyle w:val="TableText0"/>
              <w:jc w:val="center"/>
              <w:rPr>
                <w:szCs w:val="20"/>
              </w:rPr>
            </w:pPr>
            <w:r w:rsidRPr="00480790">
              <w:rPr>
                <w:szCs w:val="20"/>
              </w:rPr>
              <w:t>3.739</w:t>
            </w:r>
          </w:p>
        </w:tc>
      </w:tr>
      <w:tr w:rsidR="00AB01EA" w:rsidRPr="00480790" w14:paraId="3306EB22" w14:textId="77777777">
        <w:tc>
          <w:tcPr>
            <w:tcW w:w="4162" w:type="pct"/>
            <w:gridSpan w:val="3"/>
            <w:vAlign w:val="center"/>
          </w:tcPr>
          <w:p w14:paraId="3CA0C573" w14:textId="77777777" w:rsidR="001C256F" w:rsidRPr="00480790" w:rsidRDefault="001C256F" w:rsidP="00751EBB">
            <w:pPr>
              <w:pStyle w:val="TableText0"/>
              <w:rPr>
                <w:szCs w:val="20"/>
              </w:rPr>
            </w:pPr>
            <w:r w:rsidRPr="00480790">
              <w:rPr>
                <w:szCs w:val="20"/>
              </w:rPr>
              <w:t>Incremental cost/extra LYG gained</w:t>
            </w:r>
          </w:p>
        </w:tc>
        <w:tc>
          <w:tcPr>
            <w:tcW w:w="838" w:type="pct"/>
            <w:vAlign w:val="center"/>
          </w:tcPr>
          <w:p w14:paraId="7EC3A7BD" w14:textId="2190BF2F"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55"/>
                <w14:textFill>
                  <w14:solidFill>
                    <w14:srgbClr w14:val="000000">
                      <w14:alpha w14:val="100000"/>
                    </w14:srgbClr>
                  </w14:solidFill>
                </w14:textFill>
              </w:rPr>
              <w:t>|||</w:t>
            </w:r>
            <w:r w:rsidR="00487E5A" w:rsidRPr="00487E5A">
              <w:rPr>
                <w:color w:val="000000"/>
                <w:spacing w:val="1"/>
                <w:szCs w:val="20"/>
                <w:shd w:val="solid" w:color="000000" w:fill="000000"/>
                <w:fitText w:val="330" w:id="-663539955"/>
                <w14:textFill>
                  <w14:solidFill>
                    <w14:srgbClr w14:val="000000">
                      <w14:alpha w14:val="100000"/>
                    </w14:srgbClr>
                  </w14:solidFill>
                </w14:textFill>
              </w:rPr>
              <w:t>|</w:t>
            </w:r>
            <w:r w:rsidR="00FF16E8">
              <w:rPr>
                <w:szCs w:val="20"/>
              </w:rPr>
              <w:t xml:space="preserve"> </w:t>
            </w:r>
            <w:r w:rsidR="00FF16E8">
              <w:rPr>
                <w:szCs w:val="20"/>
                <w:vertAlign w:val="superscript"/>
              </w:rPr>
              <w:t>4</w:t>
            </w:r>
          </w:p>
        </w:tc>
      </w:tr>
      <w:tr w:rsidR="00AB01EA" w:rsidRPr="00480790" w14:paraId="1A8BF01E" w14:textId="77777777">
        <w:tc>
          <w:tcPr>
            <w:tcW w:w="4162" w:type="pct"/>
            <w:gridSpan w:val="3"/>
            <w:vAlign w:val="center"/>
          </w:tcPr>
          <w:p w14:paraId="2B77395D" w14:textId="77777777" w:rsidR="001C256F" w:rsidRPr="00480790" w:rsidRDefault="001C256F" w:rsidP="00751EBB">
            <w:pPr>
              <w:pStyle w:val="TableText0"/>
              <w:rPr>
                <w:b/>
                <w:bCs w:val="0"/>
                <w:szCs w:val="20"/>
              </w:rPr>
            </w:pPr>
            <w:r w:rsidRPr="00480790">
              <w:rPr>
                <w:b/>
                <w:bCs w:val="0"/>
                <w:szCs w:val="20"/>
              </w:rPr>
              <w:t>Step 5: Inclusion of medical resource use costs</w:t>
            </w:r>
          </w:p>
        </w:tc>
        <w:tc>
          <w:tcPr>
            <w:tcW w:w="838" w:type="pct"/>
            <w:vAlign w:val="center"/>
          </w:tcPr>
          <w:p w14:paraId="17E07F9A" w14:textId="77777777" w:rsidR="001C256F" w:rsidRPr="00480790" w:rsidRDefault="001C256F" w:rsidP="00751EBB">
            <w:pPr>
              <w:pStyle w:val="TableText0"/>
              <w:jc w:val="center"/>
              <w:rPr>
                <w:szCs w:val="20"/>
              </w:rPr>
            </w:pPr>
          </w:p>
        </w:tc>
      </w:tr>
      <w:tr w:rsidR="00AB01EA" w:rsidRPr="00480790" w14:paraId="70CF27F3" w14:textId="77777777">
        <w:tc>
          <w:tcPr>
            <w:tcW w:w="1529" w:type="pct"/>
            <w:vAlign w:val="center"/>
          </w:tcPr>
          <w:p w14:paraId="05877915" w14:textId="77777777" w:rsidR="001C256F" w:rsidRPr="00480790" w:rsidRDefault="001C256F" w:rsidP="00751EBB">
            <w:pPr>
              <w:pStyle w:val="TableText0"/>
              <w:rPr>
                <w:szCs w:val="20"/>
              </w:rPr>
            </w:pPr>
            <w:r w:rsidRPr="00480790">
              <w:rPr>
                <w:szCs w:val="20"/>
              </w:rPr>
              <w:t>Costs (discounted)</w:t>
            </w:r>
          </w:p>
        </w:tc>
        <w:tc>
          <w:tcPr>
            <w:tcW w:w="1359" w:type="pct"/>
            <w:vAlign w:val="center"/>
          </w:tcPr>
          <w:p w14:paraId="393CC75D" w14:textId="195D1B6D"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54"/>
                <w14:textFill>
                  <w14:solidFill>
                    <w14:srgbClr w14:val="000000">
                      <w14:alpha w14:val="100000"/>
                    </w14:srgbClr>
                  </w14:solidFill>
                </w14:textFill>
              </w:rPr>
              <w:t>|||</w:t>
            </w:r>
            <w:r w:rsidR="00487E5A" w:rsidRPr="00487E5A">
              <w:rPr>
                <w:color w:val="000000"/>
                <w:spacing w:val="1"/>
                <w:szCs w:val="20"/>
                <w:shd w:val="solid" w:color="000000" w:fill="000000"/>
                <w:fitText w:val="330" w:id="-663539954"/>
                <w14:textFill>
                  <w14:solidFill>
                    <w14:srgbClr w14:val="000000">
                      <w14:alpha w14:val="100000"/>
                    </w14:srgbClr>
                  </w14:solidFill>
                </w14:textFill>
              </w:rPr>
              <w:t>|</w:t>
            </w:r>
          </w:p>
        </w:tc>
        <w:tc>
          <w:tcPr>
            <w:tcW w:w="1274" w:type="pct"/>
            <w:vAlign w:val="center"/>
          </w:tcPr>
          <w:p w14:paraId="6BB8FF1E" w14:textId="77777777" w:rsidR="001C256F" w:rsidRPr="00480790" w:rsidRDefault="001C256F" w:rsidP="00751EBB">
            <w:pPr>
              <w:pStyle w:val="TableText0"/>
              <w:jc w:val="center"/>
              <w:rPr>
                <w:szCs w:val="20"/>
              </w:rPr>
            </w:pPr>
            <w:r w:rsidRPr="00480790">
              <w:rPr>
                <w:szCs w:val="20"/>
              </w:rPr>
              <w:t>$98,572</w:t>
            </w:r>
          </w:p>
        </w:tc>
        <w:tc>
          <w:tcPr>
            <w:tcW w:w="838" w:type="pct"/>
            <w:vAlign w:val="center"/>
          </w:tcPr>
          <w:p w14:paraId="332014EA" w14:textId="417E0ED1"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53"/>
                <w14:textFill>
                  <w14:solidFill>
                    <w14:srgbClr w14:val="000000">
                      <w14:alpha w14:val="100000"/>
                    </w14:srgbClr>
                  </w14:solidFill>
                </w14:textFill>
              </w:rPr>
              <w:t>|||</w:t>
            </w:r>
            <w:r w:rsidR="00487E5A" w:rsidRPr="00487E5A">
              <w:rPr>
                <w:color w:val="000000"/>
                <w:spacing w:val="1"/>
                <w:szCs w:val="20"/>
                <w:shd w:val="solid" w:color="000000" w:fill="000000"/>
                <w:fitText w:val="330" w:id="-663539953"/>
                <w14:textFill>
                  <w14:solidFill>
                    <w14:srgbClr w14:val="000000">
                      <w14:alpha w14:val="100000"/>
                    </w14:srgbClr>
                  </w14:solidFill>
                </w14:textFill>
              </w:rPr>
              <w:t>|</w:t>
            </w:r>
          </w:p>
        </w:tc>
      </w:tr>
      <w:tr w:rsidR="00AB01EA" w:rsidRPr="00480790" w14:paraId="65EE04A7" w14:textId="77777777">
        <w:tc>
          <w:tcPr>
            <w:tcW w:w="1529" w:type="pct"/>
            <w:vAlign w:val="center"/>
          </w:tcPr>
          <w:p w14:paraId="563C9867" w14:textId="77777777" w:rsidR="001C256F" w:rsidRPr="00480790" w:rsidRDefault="001C256F" w:rsidP="00751EBB">
            <w:pPr>
              <w:pStyle w:val="TableText0"/>
              <w:rPr>
                <w:szCs w:val="20"/>
              </w:rPr>
            </w:pPr>
            <w:r w:rsidRPr="00480790">
              <w:rPr>
                <w:szCs w:val="20"/>
              </w:rPr>
              <w:t>LYG (discounted)</w:t>
            </w:r>
          </w:p>
        </w:tc>
        <w:tc>
          <w:tcPr>
            <w:tcW w:w="1359" w:type="pct"/>
            <w:vAlign w:val="center"/>
          </w:tcPr>
          <w:p w14:paraId="6DAF7C76" w14:textId="77777777" w:rsidR="001C256F" w:rsidRPr="00480790" w:rsidRDefault="001C256F" w:rsidP="00751EBB">
            <w:pPr>
              <w:pStyle w:val="TableText0"/>
              <w:jc w:val="center"/>
              <w:rPr>
                <w:szCs w:val="20"/>
              </w:rPr>
            </w:pPr>
            <w:r w:rsidRPr="00480790">
              <w:rPr>
                <w:szCs w:val="20"/>
              </w:rPr>
              <w:t>10.452</w:t>
            </w:r>
          </w:p>
        </w:tc>
        <w:tc>
          <w:tcPr>
            <w:tcW w:w="1274" w:type="pct"/>
            <w:vAlign w:val="center"/>
          </w:tcPr>
          <w:p w14:paraId="00469AEE" w14:textId="77777777" w:rsidR="001C256F" w:rsidRPr="00480790" w:rsidRDefault="001C256F" w:rsidP="00751EBB">
            <w:pPr>
              <w:pStyle w:val="TableText0"/>
              <w:jc w:val="center"/>
              <w:rPr>
                <w:szCs w:val="20"/>
              </w:rPr>
            </w:pPr>
            <w:r w:rsidRPr="00480790">
              <w:rPr>
                <w:szCs w:val="20"/>
              </w:rPr>
              <w:t>6.713</w:t>
            </w:r>
          </w:p>
        </w:tc>
        <w:tc>
          <w:tcPr>
            <w:tcW w:w="838" w:type="pct"/>
            <w:vAlign w:val="center"/>
          </w:tcPr>
          <w:p w14:paraId="2FB24AD8" w14:textId="77777777" w:rsidR="001C256F" w:rsidRPr="00480790" w:rsidRDefault="001C256F" w:rsidP="00751EBB">
            <w:pPr>
              <w:pStyle w:val="TableText0"/>
              <w:jc w:val="center"/>
              <w:rPr>
                <w:szCs w:val="20"/>
              </w:rPr>
            </w:pPr>
            <w:r w:rsidRPr="00480790">
              <w:rPr>
                <w:szCs w:val="20"/>
              </w:rPr>
              <w:t>3.739</w:t>
            </w:r>
          </w:p>
        </w:tc>
      </w:tr>
      <w:tr w:rsidR="00AB01EA" w:rsidRPr="00480790" w14:paraId="3727578D" w14:textId="77777777">
        <w:tc>
          <w:tcPr>
            <w:tcW w:w="4162" w:type="pct"/>
            <w:gridSpan w:val="3"/>
            <w:vAlign w:val="center"/>
          </w:tcPr>
          <w:p w14:paraId="77356E21" w14:textId="77777777" w:rsidR="001C256F" w:rsidRPr="00480790" w:rsidRDefault="001C256F" w:rsidP="00751EBB">
            <w:pPr>
              <w:pStyle w:val="TableText0"/>
              <w:rPr>
                <w:szCs w:val="20"/>
              </w:rPr>
            </w:pPr>
            <w:r w:rsidRPr="00480790">
              <w:rPr>
                <w:szCs w:val="20"/>
              </w:rPr>
              <w:t>Incremental cost/extra LYG gained</w:t>
            </w:r>
          </w:p>
        </w:tc>
        <w:tc>
          <w:tcPr>
            <w:tcW w:w="838" w:type="pct"/>
            <w:vAlign w:val="center"/>
          </w:tcPr>
          <w:p w14:paraId="57CEE4AB" w14:textId="7A06F893"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52"/>
                <w14:textFill>
                  <w14:solidFill>
                    <w14:srgbClr w14:val="000000">
                      <w14:alpha w14:val="100000"/>
                    </w14:srgbClr>
                  </w14:solidFill>
                </w14:textFill>
              </w:rPr>
              <w:t>|||</w:t>
            </w:r>
            <w:r w:rsidR="00487E5A" w:rsidRPr="00487E5A">
              <w:rPr>
                <w:color w:val="000000"/>
                <w:spacing w:val="1"/>
                <w:szCs w:val="20"/>
                <w:shd w:val="solid" w:color="000000" w:fill="000000"/>
                <w:fitText w:val="330" w:id="-663539952"/>
                <w14:textFill>
                  <w14:solidFill>
                    <w14:srgbClr w14:val="000000">
                      <w14:alpha w14:val="100000"/>
                    </w14:srgbClr>
                  </w14:solidFill>
                </w14:textFill>
              </w:rPr>
              <w:t>|</w:t>
            </w:r>
            <w:r w:rsidR="00FF16E8">
              <w:rPr>
                <w:szCs w:val="20"/>
              </w:rPr>
              <w:t xml:space="preserve"> </w:t>
            </w:r>
            <w:r w:rsidR="00FF16E8">
              <w:rPr>
                <w:szCs w:val="20"/>
                <w:vertAlign w:val="superscript"/>
              </w:rPr>
              <w:t>4</w:t>
            </w:r>
          </w:p>
        </w:tc>
      </w:tr>
      <w:tr w:rsidR="00AB01EA" w:rsidRPr="00480790" w14:paraId="43FE5307" w14:textId="77777777">
        <w:tc>
          <w:tcPr>
            <w:tcW w:w="5000" w:type="pct"/>
            <w:gridSpan w:val="4"/>
            <w:vAlign w:val="center"/>
          </w:tcPr>
          <w:p w14:paraId="7B56977B" w14:textId="77777777" w:rsidR="001C256F" w:rsidRPr="00480790" w:rsidRDefault="001C256F" w:rsidP="00751EBB">
            <w:pPr>
              <w:pStyle w:val="In-tableHeading"/>
              <w:rPr>
                <w:szCs w:val="20"/>
                <w:lang w:val="en-AU"/>
              </w:rPr>
            </w:pPr>
            <w:r w:rsidRPr="00480790">
              <w:rPr>
                <w:szCs w:val="20"/>
                <w:lang w:val="en-AU"/>
              </w:rPr>
              <w:t>Step 6: Inclusion of AE costs</w:t>
            </w:r>
          </w:p>
        </w:tc>
      </w:tr>
      <w:tr w:rsidR="00AB01EA" w:rsidRPr="00480790" w14:paraId="70AFCA1C" w14:textId="77777777">
        <w:tc>
          <w:tcPr>
            <w:tcW w:w="1529" w:type="pct"/>
            <w:vAlign w:val="center"/>
          </w:tcPr>
          <w:p w14:paraId="0EC40B70" w14:textId="77777777" w:rsidR="001C256F" w:rsidRPr="00480790" w:rsidRDefault="001C256F" w:rsidP="00751EBB">
            <w:pPr>
              <w:pStyle w:val="TableText0"/>
              <w:rPr>
                <w:szCs w:val="20"/>
              </w:rPr>
            </w:pPr>
            <w:r w:rsidRPr="00480790">
              <w:rPr>
                <w:szCs w:val="20"/>
              </w:rPr>
              <w:t>Costs (discounted)</w:t>
            </w:r>
          </w:p>
        </w:tc>
        <w:tc>
          <w:tcPr>
            <w:tcW w:w="1359" w:type="pct"/>
            <w:vAlign w:val="center"/>
          </w:tcPr>
          <w:p w14:paraId="11F77DA4" w14:textId="1660082D"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68"/>
                <w14:textFill>
                  <w14:solidFill>
                    <w14:srgbClr w14:val="000000">
                      <w14:alpha w14:val="100000"/>
                    </w14:srgbClr>
                  </w14:solidFill>
                </w14:textFill>
              </w:rPr>
              <w:t>|||</w:t>
            </w:r>
            <w:r w:rsidR="00487E5A" w:rsidRPr="00487E5A">
              <w:rPr>
                <w:color w:val="000000"/>
                <w:spacing w:val="1"/>
                <w:szCs w:val="20"/>
                <w:shd w:val="solid" w:color="000000" w:fill="000000"/>
                <w:fitText w:val="330" w:id="-663539968"/>
                <w14:textFill>
                  <w14:solidFill>
                    <w14:srgbClr w14:val="000000">
                      <w14:alpha w14:val="100000"/>
                    </w14:srgbClr>
                  </w14:solidFill>
                </w14:textFill>
              </w:rPr>
              <w:t>|</w:t>
            </w:r>
          </w:p>
        </w:tc>
        <w:tc>
          <w:tcPr>
            <w:tcW w:w="1274" w:type="pct"/>
            <w:vAlign w:val="center"/>
          </w:tcPr>
          <w:p w14:paraId="5E9BA7A9" w14:textId="77777777" w:rsidR="001C256F" w:rsidRPr="00480790" w:rsidRDefault="001C256F" w:rsidP="00751EBB">
            <w:pPr>
              <w:pStyle w:val="TableText0"/>
              <w:jc w:val="center"/>
              <w:rPr>
                <w:szCs w:val="20"/>
              </w:rPr>
            </w:pPr>
            <w:r w:rsidRPr="00480790">
              <w:rPr>
                <w:szCs w:val="20"/>
              </w:rPr>
              <w:t>$99,850</w:t>
            </w:r>
          </w:p>
        </w:tc>
        <w:tc>
          <w:tcPr>
            <w:tcW w:w="838" w:type="pct"/>
            <w:vAlign w:val="center"/>
          </w:tcPr>
          <w:p w14:paraId="147BE93F" w14:textId="7C3DD3B1"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67"/>
                <w14:textFill>
                  <w14:solidFill>
                    <w14:srgbClr w14:val="000000">
                      <w14:alpha w14:val="100000"/>
                    </w14:srgbClr>
                  </w14:solidFill>
                </w14:textFill>
              </w:rPr>
              <w:t>|||</w:t>
            </w:r>
            <w:r w:rsidR="00487E5A" w:rsidRPr="00487E5A">
              <w:rPr>
                <w:color w:val="000000"/>
                <w:spacing w:val="1"/>
                <w:szCs w:val="20"/>
                <w:shd w:val="solid" w:color="000000" w:fill="000000"/>
                <w:fitText w:val="330" w:id="-663539967"/>
                <w14:textFill>
                  <w14:solidFill>
                    <w14:srgbClr w14:val="000000">
                      <w14:alpha w14:val="100000"/>
                    </w14:srgbClr>
                  </w14:solidFill>
                </w14:textFill>
              </w:rPr>
              <w:t>|</w:t>
            </w:r>
          </w:p>
        </w:tc>
      </w:tr>
      <w:tr w:rsidR="00AB01EA" w:rsidRPr="00480790" w14:paraId="163408E9" w14:textId="77777777">
        <w:tc>
          <w:tcPr>
            <w:tcW w:w="1529" w:type="pct"/>
            <w:vAlign w:val="center"/>
          </w:tcPr>
          <w:p w14:paraId="22E9852A" w14:textId="77777777" w:rsidR="001C256F" w:rsidRPr="00480790" w:rsidRDefault="001C256F" w:rsidP="00751EBB">
            <w:pPr>
              <w:pStyle w:val="TableText0"/>
              <w:rPr>
                <w:szCs w:val="20"/>
              </w:rPr>
            </w:pPr>
            <w:r w:rsidRPr="00480790">
              <w:rPr>
                <w:szCs w:val="20"/>
              </w:rPr>
              <w:t>LYG (discounted)</w:t>
            </w:r>
          </w:p>
        </w:tc>
        <w:tc>
          <w:tcPr>
            <w:tcW w:w="1359" w:type="pct"/>
            <w:vAlign w:val="center"/>
          </w:tcPr>
          <w:p w14:paraId="73A672CC" w14:textId="77777777" w:rsidR="001C256F" w:rsidRPr="00480790" w:rsidRDefault="001C256F" w:rsidP="00751EBB">
            <w:pPr>
              <w:pStyle w:val="TableText0"/>
              <w:jc w:val="center"/>
              <w:rPr>
                <w:szCs w:val="20"/>
              </w:rPr>
            </w:pPr>
            <w:r w:rsidRPr="00480790">
              <w:rPr>
                <w:szCs w:val="20"/>
              </w:rPr>
              <w:t>10.452</w:t>
            </w:r>
          </w:p>
        </w:tc>
        <w:tc>
          <w:tcPr>
            <w:tcW w:w="1274" w:type="pct"/>
            <w:vAlign w:val="center"/>
          </w:tcPr>
          <w:p w14:paraId="538EF471" w14:textId="77777777" w:rsidR="001C256F" w:rsidRPr="00480790" w:rsidRDefault="001C256F" w:rsidP="00751EBB">
            <w:pPr>
              <w:pStyle w:val="TableText0"/>
              <w:jc w:val="center"/>
              <w:rPr>
                <w:szCs w:val="20"/>
              </w:rPr>
            </w:pPr>
            <w:r w:rsidRPr="00480790">
              <w:rPr>
                <w:szCs w:val="20"/>
              </w:rPr>
              <w:t>6.713</w:t>
            </w:r>
          </w:p>
        </w:tc>
        <w:tc>
          <w:tcPr>
            <w:tcW w:w="838" w:type="pct"/>
            <w:vAlign w:val="center"/>
          </w:tcPr>
          <w:p w14:paraId="2E448877" w14:textId="77777777" w:rsidR="001C256F" w:rsidRPr="00480790" w:rsidRDefault="001C256F" w:rsidP="00751EBB">
            <w:pPr>
              <w:pStyle w:val="TableText0"/>
              <w:jc w:val="center"/>
              <w:rPr>
                <w:szCs w:val="20"/>
              </w:rPr>
            </w:pPr>
            <w:r w:rsidRPr="00480790">
              <w:rPr>
                <w:szCs w:val="20"/>
              </w:rPr>
              <w:t>3.739</w:t>
            </w:r>
          </w:p>
        </w:tc>
      </w:tr>
      <w:tr w:rsidR="00AB01EA" w:rsidRPr="00480790" w14:paraId="63B688A1" w14:textId="77777777">
        <w:tc>
          <w:tcPr>
            <w:tcW w:w="4162" w:type="pct"/>
            <w:gridSpan w:val="3"/>
            <w:vAlign w:val="center"/>
          </w:tcPr>
          <w:p w14:paraId="654697A7" w14:textId="77777777" w:rsidR="001C256F" w:rsidRPr="00480790" w:rsidRDefault="001C256F" w:rsidP="00751EBB">
            <w:pPr>
              <w:pStyle w:val="TableText0"/>
              <w:rPr>
                <w:szCs w:val="20"/>
              </w:rPr>
            </w:pPr>
            <w:r w:rsidRPr="00480790">
              <w:rPr>
                <w:szCs w:val="20"/>
              </w:rPr>
              <w:t>Incremental cost/extra LYG gained</w:t>
            </w:r>
          </w:p>
        </w:tc>
        <w:tc>
          <w:tcPr>
            <w:tcW w:w="838" w:type="pct"/>
            <w:vAlign w:val="center"/>
          </w:tcPr>
          <w:p w14:paraId="6034C6AB" w14:textId="5ABF11BF" w:rsidR="001C256F" w:rsidRPr="00480790" w:rsidRDefault="001C256F" w:rsidP="00751EBB">
            <w:pPr>
              <w:pStyle w:val="TableText0"/>
              <w:jc w:val="center"/>
              <w:rPr>
                <w:szCs w:val="20"/>
              </w:rPr>
            </w:pPr>
            <w:r w:rsidRPr="00285233">
              <w:rPr>
                <w:szCs w:val="20"/>
              </w:rPr>
              <w:t>$</w:t>
            </w:r>
            <w:r w:rsidR="00487E5A" w:rsidRPr="00487E5A">
              <w:rPr>
                <w:color w:val="000000"/>
                <w:spacing w:val="53"/>
                <w:szCs w:val="20"/>
                <w:shd w:val="solid" w:color="000000" w:fill="000000"/>
                <w:fitText w:val="330" w:id="-663539966"/>
                <w14:textFill>
                  <w14:solidFill>
                    <w14:srgbClr w14:val="000000">
                      <w14:alpha w14:val="100000"/>
                    </w14:srgbClr>
                  </w14:solidFill>
                </w14:textFill>
              </w:rPr>
              <w:t>|||</w:t>
            </w:r>
            <w:r w:rsidR="00487E5A" w:rsidRPr="00487E5A">
              <w:rPr>
                <w:color w:val="000000"/>
                <w:spacing w:val="1"/>
                <w:szCs w:val="20"/>
                <w:shd w:val="solid" w:color="000000" w:fill="000000"/>
                <w:fitText w:val="330" w:id="-663539966"/>
                <w14:textFill>
                  <w14:solidFill>
                    <w14:srgbClr w14:val="000000">
                      <w14:alpha w14:val="100000"/>
                    </w14:srgbClr>
                  </w14:solidFill>
                </w14:textFill>
              </w:rPr>
              <w:t>|</w:t>
            </w:r>
            <w:r w:rsidR="00FF16E8">
              <w:rPr>
                <w:szCs w:val="20"/>
              </w:rPr>
              <w:t xml:space="preserve"> </w:t>
            </w:r>
            <w:r w:rsidR="00FF16E8">
              <w:rPr>
                <w:szCs w:val="20"/>
                <w:vertAlign w:val="superscript"/>
              </w:rPr>
              <w:t>4</w:t>
            </w:r>
          </w:p>
        </w:tc>
      </w:tr>
      <w:tr w:rsidR="00AB01EA" w:rsidRPr="00480790" w14:paraId="79432359" w14:textId="77777777">
        <w:tc>
          <w:tcPr>
            <w:tcW w:w="5000" w:type="pct"/>
            <w:gridSpan w:val="4"/>
            <w:vAlign w:val="center"/>
          </w:tcPr>
          <w:p w14:paraId="6CA461A7" w14:textId="77777777" w:rsidR="001C256F" w:rsidRPr="00480790" w:rsidRDefault="001C256F" w:rsidP="00751EBB">
            <w:pPr>
              <w:pStyle w:val="In-tableHeading"/>
              <w:rPr>
                <w:szCs w:val="20"/>
                <w:lang w:val="en-AU"/>
              </w:rPr>
            </w:pPr>
            <w:r w:rsidRPr="00480790">
              <w:rPr>
                <w:szCs w:val="20"/>
                <w:lang w:val="en-AU"/>
              </w:rPr>
              <w:t>Step 7: Inclusion of end-of-life costs</w:t>
            </w:r>
          </w:p>
        </w:tc>
      </w:tr>
      <w:tr w:rsidR="00AB01EA" w:rsidRPr="00480790" w14:paraId="139B48B5" w14:textId="77777777">
        <w:tc>
          <w:tcPr>
            <w:tcW w:w="1529" w:type="pct"/>
            <w:vAlign w:val="center"/>
          </w:tcPr>
          <w:p w14:paraId="1FB00BE3" w14:textId="77777777" w:rsidR="001C256F" w:rsidRPr="00480790" w:rsidRDefault="001C256F" w:rsidP="00751EBB">
            <w:pPr>
              <w:pStyle w:val="TableText0"/>
              <w:rPr>
                <w:szCs w:val="20"/>
              </w:rPr>
            </w:pPr>
            <w:r w:rsidRPr="00480790">
              <w:rPr>
                <w:szCs w:val="20"/>
              </w:rPr>
              <w:t>Costs (discounted)</w:t>
            </w:r>
          </w:p>
        </w:tc>
        <w:tc>
          <w:tcPr>
            <w:tcW w:w="1359" w:type="pct"/>
            <w:vAlign w:val="center"/>
          </w:tcPr>
          <w:p w14:paraId="3FC4D55D" w14:textId="1D9F2C6B"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65"/>
                <w14:textFill>
                  <w14:solidFill>
                    <w14:srgbClr w14:val="000000">
                      <w14:alpha w14:val="100000"/>
                    </w14:srgbClr>
                  </w14:solidFill>
                </w14:textFill>
              </w:rPr>
              <w:t>|||</w:t>
            </w:r>
            <w:r w:rsidR="00487E5A" w:rsidRPr="00487E5A">
              <w:rPr>
                <w:color w:val="000000"/>
                <w:spacing w:val="1"/>
                <w:szCs w:val="20"/>
                <w:shd w:val="solid" w:color="000000" w:fill="000000"/>
                <w:fitText w:val="330" w:id="-663539965"/>
                <w14:textFill>
                  <w14:solidFill>
                    <w14:srgbClr w14:val="000000">
                      <w14:alpha w14:val="100000"/>
                    </w14:srgbClr>
                  </w14:solidFill>
                </w14:textFill>
              </w:rPr>
              <w:t>|</w:t>
            </w:r>
          </w:p>
        </w:tc>
        <w:tc>
          <w:tcPr>
            <w:tcW w:w="1274" w:type="pct"/>
            <w:vAlign w:val="center"/>
          </w:tcPr>
          <w:p w14:paraId="7D3A18B7" w14:textId="77777777" w:rsidR="001C256F" w:rsidRPr="00480790" w:rsidRDefault="001C256F" w:rsidP="00751EBB">
            <w:pPr>
              <w:pStyle w:val="TableText0"/>
              <w:jc w:val="center"/>
              <w:rPr>
                <w:szCs w:val="20"/>
              </w:rPr>
            </w:pPr>
            <w:r w:rsidRPr="00480790">
              <w:rPr>
                <w:szCs w:val="20"/>
              </w:rPr>
              <w:t>$103,599</w:t>
            </w:r>
          </w:p>
        </w:tc>
        <w:tc>
          <w:tcPr>
            <w:tcW w:w="838" w:type="pct"/>
            <w:vAlign w:val="center"/>
          </w:tcPr>
          <w:p w14:paraId="38D30CB5" w14:textId="4228BAE0"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64"/>
                <w14:textFill>
                  <w14:solidFill>
                    <w14:srgbClr w14:val="000000">
                      <w14:alpha w14:val="100000"/>
                    </w14:srgbClr>
                  </w14:solidFill>
                </w14:textFill>
              </w:rPr>
              <w:t>|||</w:t>
            </w:r>
            <w:r w:rsidR="00487E5A" w:rsidRPr="00487E5A">
              <w:rPr>
                <w:color w:val="000000"/>
                <w:spacing w:val="1"/>
                <w:szCs w:val="20"/>
                <w:shd w:val="solid" w:color="000000" w:fill="000000"/>
                <w:fitText w:val="330" w:id="-663539964"/>
                <w14:textFill>
                  <w14:solidFill>
                    <w14:srgbClr w14:val="000000">
                      <w14:alpha w14:val="100000"/>
                    </w14:srgbClr>
                  </w14:solidFill>
                </w14:textFill>
              </w:rPr>
              <w:t>|</w:t>
            </w:r>
          </w:p>
        </w:tc>
      </w:tr>
      <w:tr w:rsidR="00AB01EA" w:rsidRPr="00480790" w14:paraId="37A0DED1" w14:textId="77777777">
        <w:tc>
          <w:tcPr>
            <w:tcW w:w="1529" w:type="pct"/>
            <w:vAlign w:val="center"/>
          </w:tcPr>
          <w:p w14:paraId="47411022" w14:textId="77777777" w:rsidR="001C256F" w:rsidRPr="00480790" w:rsidRDefault="001C256F" w:rsidP="00751EBB">
            <w:pPr>
              <w:pStyle w:val="TableText0"/>
              <w:rPr>
                <w:szCs w:val="20"/>
              </w:rPr>
            </w:pPr>
            <w:r w:rsidRPr="00480790">
              <w:rPr>
                <w:szCs w:val="20"/>
              </w:rPr>
              <w:t>LYG (discounted)</w:t>
            </w:r>
          </w:p>
        </w:tc>
        <w:tc>
          <w:tcPr>
            <w:tcW w:w="1359" w:type="pct"/>
            <w:vAlign w:val="center"/>
          </w:tcPr>
          <w:p w14:paraId="2614D407" w14:textId="77777777" w:rsidR="001C256F" w:rsidRPr="00480790" w:rsidRDefault="001C256F" w:rsidP="00751EBB">
            <w:pPr>
              <w:pStyle w:val="TableText0"/>
              <w:jc w:val="center"/>
              <w:rPr>
                <w:szCs w:val="20"/>
              </w:rPr>
            </w:pPr>
            <w:r w:rsidRPr="00480790">
              <w:rPr>
                <w:szCs w:val="20"/>
              </w:rPr>
              <w:t>10.452</w:t>
            </w:r>
          </w:p>
        </w:tc>
        <w:tc>
          <w:tcPr>
            <w:tcW w:w="1274" w:type="pct"/>
            <w:vAlign w:val="center"/>
          </w:tcPr>
          <w:p w14:paraId="0816C4B2" w14:textId="77777777" w:rsidR="001C256F" w:rsidRPr="00480790" w:rsidRDefault="001C256F" w:rsidP="00751EBB">
            <w:pPr>
              <w:pStyle w:val="TableText0"/>
              <w:jc w:val="center"/>
              <w:rPr>
                <w:szCs w:val="20"/>
              </w:rPr>
            </w:pPr>
            <w:r w:rsidRPr="00480790">
              <w:rPr>
                <w:szCs w:val="20"/>
              </w:rPr>
              <w:t>6.713</w:t>
            </w:r>
          </w:p>
        </w:tc>
        <w:tc>
          <w:tcPr>
            <w:tcW w:w="838" w:type="pct"/>
            <w:vAlign w:val="center"/>
          </w:tcPr>
          <w:p w14:paraId="6C84A452" w14:textId="77777777" w:rsidR="001C256F" w:rsidRPr="00480790" w:rsidRDefault="001C256F" w:rsidP="00751EBB">
            <w:pPr>
              <w:pStyle w:val="TableText0"/>
              <w:jc w:val="center"/>
              <w:rPr>
                <w:szCs w:val="20"/>
              </w:rPr>
            </w:pPr>
            <w:r w:rsidRPr="00480790">
              <w:rPr>
                <w:szCs w:val="20"/>
              </w:rPr>
              <w:t>3.739</w:t>
            </w:r>
          </w:p>
        </w:tc>
      </w:tr>
      <w:tr w:rsidR="00AB01EA" w:rsidRPr="00480790" w14:paraId="7AEE4792" w14:textId="77777777">
        <w:tc>
          <w:tcPr>
            <w:tcW w:w="4162" w:type="pct"/>
            <w:gridSpan w:val="3"/>
            <w:vAlign w:val="center"/>
          </w:tcPr>
          <w:p w14:paraId="3190C9AC" w14:textId="77777777" w:rsidR="001C256F" w:rsidRPr="00480790" w:rsidRDefault="001C256F" w:rsidP="00751EBB">
            <w:pPr>
              <w:pStyle w:val="TableText0"/>
              <w:rPr>
                <w:szCs w:val="20"/>
              </w:rPr>
            </w:pPr>
            <w:r w:rsidRPr="00480790">
              <w:rPr>
                <w:szCs w:val="20"/>
              </w:rPr>
              <w:t>Incremental cost/extra LYG gained</w:t>
            </w:r>
          </w:p>
        </w:tc>
        <w:tc>
          <w:tcPr>
            <w:tcW w:w="838" w:type="pct"/>
            <w:vAlign w:val="center"/>
          </w:tcPr>
          <w:p w14:paraId="1A95ABD8" w14:textId="6A4FE4B7"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63"/>
                <w14:textFill>
                  <w14:solidFill>
                    <w14:srgbClr w14:val="000000">
                      <w14:alpha w14:val="100000"/>
                    </w14:srgbClr>
                  </w14:solidFill>
                </w14:textFill>
              </w:rPr>
              <w:t>|||</w:t>
            </w:r>
            <w:r w:rsidR="00487E5A" w:rsidRPr="00487E5A">
              <w:rPr>
                <w:color w:val="000000"/>
                <w:spacing w:val="1"/>
                <w:szCs w:val="20"/>
                <w:shd w:val="solid" w:color="000000" w:fill="000000"/>
                <w:fitText w:val="330" w:id="-663539963"/>
                <w14:textFill>
                  <w14:solidFill>
                    <w14:srgbClr w14:val="000000">
                      <w14:alpha w14:val="100000"/>
                    </w14:srgbClr>
                  </w14:solidFill>
                </w14:textFill>
              </w:rPr>
              <w:t>|</w:t>
            </w:r>
            <w:r w:rsidR="00FF16E8">
              <w:rPr>
                <w:szCs w:val="20"/>
              </w:rPr>
              <w:t xml:space="preserve"> </w:t>
            </w:r>
            <w:r w:rsidR="00FF16E8">
              <w:rPr>
                <w:szCs w:val="20"/>
                <w:vertAlign w:val="superscript"/>
              </w:rPr>
              <w:t>4</w:t>
            </w:r>
          </w:p>
        </w:tc>
      </w:tr>
      <w:tr w:rsidR="00AB01EA" w:rsidRPr="00480790" w14:paraId="0A9A8FDE" w14:textId="77777777">
        <w:tc>
          <w:tcPr>
            <w:tcW w:w="5000" w:type="pct"/>
            <w:gridSpan w:val="4"/>
            <w:vAlign w:val="center"/>
          </w:tcPr>
          <w:p w14:paraId="223C9E88" w14:textId="77777777" w:rsidR="001C256F" w:rsidRPr="00480790" w:rsidRDefault="001C256F" w:rsidP="00751EBB">
            <w:pPr>
              <w:pStyle w:val="In-tableHeading"/>
              <w:rPr>
                <w:szCs w:val="20"/>
                <w:lang w:val="en-AU"/>
              </w:rPr>
            </w:pPr>
            <w:r w:rsidRPr="00480790">
              <w:rPr>
                <w:szCs w:val="20"/>
                <w:lang w:val="en-AU"/>
              </w:rPr>
              <w:t>Step 8: Inclusion of utilities</w:t>
            </w:r>
          </w:p>
        </w:tc>
      </w:tr>
      <w:tr w:rsidR="00AB01EA" w:rsidRPr="00480790" w14:paraId="3812DE09" w14:textId="77777777">
        <w:tc>
          <w:tcPr>
            <w:tcW w:w="1529" w:type="pct"/>
            <w:vAlign w:val="center"/>
          </w:tcPr>
          <w:p w14:paraId="668DDD8F" w14:textId="77777777" w:rsidR="001C256F" w:rsidRPr="00480790" w:rsidRDefault="001C256F" w:rsidP="00751EBB">
            <w:pPr>
              <w:pStyle w:val="TableText0"/>
              <w:rPr>
                <w:szCs w:val="20"/>
              </w:rPr>
            </w:pPr>
            <w:r w:rsidRPr="00480790">
              <w:rPr>
                <w:szCs w:val="20"/>
              </w:rPr>
              <w:t>Costs (discounted)</w:t>
            </w:r>
          </w:p>
        </w:tc>
        <w:tc>
          <w:tcPr>
            <w:tcW w:w="1359" w:type="pct"/>
            <w:vAlign w:val="center"/>
          </w:tcPr>
          <w:p w14:paraId="6B79B3B4" w14:textId="0B05A69B"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62"/>
                <w14:textFill>
                  <w14:solidFill>
                    <w14:srgbClr w14:val="000000">
                      <w14:alpha w14:val="100000"/>
                    </w14:srgbClr>
                  </w14:solidFill>
                </w14:textFill>
              </w:rPr>
              <w:t>|||</w:t>
            </w:r>
            <w:r w:rsidR="00487E5A" w:rsidRPr="00487E5A">
              <w:rPr>
                <w:color w:val="000000"/>
                <w:spacing w:val="1"/>
                <w:szCs w:val="20"/>
                <w:shd w:val="solid" w:color="000000" w:fill="000000"/>
                <w:fitText w:val="330" w:id="-663539962"/>
                <w14:textFill>
                  <w14:solidFill>
                    <w14:srgbClr w14:val="000000">
                      <w14:alpha w14:val="100000"/>
                    </w14:srgbClr>
                  </w14:solidFill>
                </w14:textFill>
              </w:rPr>
              <w:t>|</w:t>
            </w:r>
          </w:p>
        </w:tc>
        <w:tc>
          <w:tcPr>
            <w:tcW w:w="1274" w:type="pct"/>
            <w:vAlign w:val="center"/>
          </w:tcPr>
          <w:p w14:paraId="36EFEACA" w14:textId="77777777" w:rsidR="001C256F" w:rsidRPr="00480790" w:rsidRDefault="001C256F" w:rsidP="00751EBB">
            <w:pPr>
              <w:pStyle w:val="TableText0"/>
              <w:jc w:val="center"/>
              <w:rPr>
                <w:szCs w:val="20"/>
              </w:rPr>
            </w:pPr>
            <w:r w:rsidRPr="00480790">
              <w:rPr>
                <w:szCs w:val="20"/>
              </w:rPr>
              <w:t>$103,599</w:t>
            </w:r>
          </w:p>
        </w:tc>
        <w:tc>
          <w:tcPr>
            <w:tcW w:w="838" w:type="pct"/>
            <w:vAlign w:val="center"/>
          </w:tcPr>
          <w:p w14:paraId="2D0F1E87" w14:textId="290EE5C3" w:rsidR="001C256F" w:rsidRPr="00480790" w:rsidRDefault="001C256F" w:rsidP="00751EBB">
            <w:pPr>
              <w:pStyle w:val="TableText0"/>
              <w:jc w:val="center"/>
              <w:rPr>
                <w:szCs w:val="20"/>
              </w:rPr>
            </w:pPr>
            <w:r w:rsidRPr="00480790">
              <w:rPr>
                <w:szCs w:val="20"/>
              </w:rPr>
              <w:t>$</w:t>
            </w:r>
            <w:r w:rsidR="00487E5A" w:rsidRPr="00487E5A">
              <w:rPr>
                <w:color w:val="000000"/>
                <w:spacing w:val="53"/>
                <w:szCs w:val="20"/>
                <w:shd w:val="solid" w:color="000000" w:fill="000000"/>
                <w:fitText w:val="330" w:id="-663539961"/>
                <w14:textFill>
                  <w14:solidFill>
                    <w14:srgbClr w14:val="000000">
                      <w14:alpha w14:val="100000"/>
                    </w14:srgbClr>
                  </w14:solidFill>
                </w14:textFill>
              </w:rPr>
              <w:t>|||</w:t>
            </w:r>
            <w:r w:rsidR="00487E5A" w:rsidRPr="00487E5A">
              <w:rPr>
                <w:color w:val="000000"/>
                <w:spacing w:val="1"/>
                <w:szCs w:val="20"/>
                <w:shd w:val="solid" w:color="000000" w:fill="000000"/>
                <w:fitText w:val="330" w:id="-663539961"/>
                <w14:textFill>
                  <w14:solidFill>
                    <w14:srgbClr w14:val="000000">
                      <w14:alpha w14:val="100000"/>
                    </w14:srgbClr>
                  </w14:solidFill>
                </w14:textFill>
              </w:rPr>
              <w:t>|</w:t>
            </w:r>
          </w:p>
        </w:tc>
      </w:tr>
      <w:tr w:rsidR="00AB01EA" w:rsidRPr="00480790" w14:paraId="3CFD9141" w14:textId="77777777">
        <w:tc>
          <w:tcPr>
            <w:tcW w:w="1529" w:type="pct"/>
            <w:vAlign w:val="center"/>
          </w:tcPr>
          <w:p w14:paraId="46DCD390" w14:textId="77777777" w:rsidR="001C256F" w:rsidRPr="00480790" w:rsidRDefault="001C256F" w:rsidP="00751EBB">
            <w:pPr>
              <w:pStyle w:val="TableText0"/>
              <w:rPr>
                <w:szCs w:val="20"/>
              </w:rPr>
            </w:pPr>
            <w:r w:rsidRPr="00480790">
              <w:rPr>
                <w:szCs w:val="20"/>
              </w:rPr>
              <w:t>QALYs (discounted)</w:t>
            </w:r>
          </w:p>
        </w:tc>
        <w:tc>
          <w:tcPr>
            <w:tcW w:w="1359" w:type="pct"/>
            <w:vAlign w:val="center"/>
          </w:tcPr>
          <w:p w14:paraId="20AD226B" w14:textId="77777777" w:rsidR="001C256F" w:rsidRPr="00480790" w:rsidRDefault="001C256F" w:rsidP="00751EBB">
            <w:pPr>
              <w:pStyle w:val="TableText0"/>
              <w:jc w:val="center"/>
              <w:rPr>
                <w:szCs w:val="20"/>
              </w:rPr>
            </w:pPr>
            <w:r w:rsidRPr="00480790">
              <w:rPr>
                <w:szCs w:val="20"/>
              </w:rPr>
              <w:t>8.883</w:t>
            </w:r>
          </w:p>
        </w:tc>
        <w:tc>
          <w:tcPr>
            <w:tcW w:w="1274" w:type="pct"/>
            <w:vAlign w:val="center"/>
          </w:tcPr>
          <w:p w14:paraId="2D0E13F3" w14:textId="77777777" w:rsidR="001C256F" w:rsidRPr="00480790" w:rsidRDefault="001C256F" w:rsidP="00751EBB">
            <w:pPr>
              <w:pStyle w:val="TableText0"/>
              <w:jc w:val="center"/>
              <w:rPr>
                <w:szCs w:val="20"/>
              </w:rPr>
            </w:pPr>
            <w:r w:rsidRPr="00480790">
              <w:rPr>
                <w:szCs w:val="20"/>
              </w:rPr>
              <w:t>5.511</w:t>
            </w:r>
          </w:p>
        </w:tc>
        <w:tc>
          <w:tcPr>
            <w:tcW w:w="838" w:type="pct"/>
            <w:vAlign w:val="center"/>
          </w:tcPr>
          <w:p w14:paraId="10202A25" w14:textId="77777777" w:rsidR="001C256F" w:rsidRPr="00480790" w:rsidRDefault="001C256F" w:rsidP="00751EBB">
            <w:pPr>
              <w:pStyle w:val="TableText0"/>
              <w:jc w:val="center"/>
              <w:rPr>
                <w:szCs w:val="20"/>
              </w:rPr>
            </w:pPr>
            <w:r w:rsidRPr="00480790">
              <w:rPr>
                <w:szCs w:val="20"/>
              </w:rPr>
              <w:t>3.373</w:t>
            </w:r>
          </w:p>
        </w:tc>
      </w:tr>
      <w:tr w:rsidR="00AB01EA" w:rsidRPr="00480790" w14:paraId="2885A465" w14:textId="77777777">
        <w:tc>
          <w:tcPr>
            <w:tcW w:w="4162" w:type="pct"/>
            <w:gridSpan w:val="3"/>
            <w:vAlign w:val="center"/>
          </w:tcPr>
          <w:p w14:paraId="66BA2CD9" w14:textId="77777777" w:rsidR="001C256F" w:rsidRPr="00480790" w:rsidRDefault="001C256F" w:rsidP="00751EBB">
            <w:pPr>
              <w:pStyle w:val="TableText0"/>
              <w:rPr>
                <w:b/>
                <w:szCs w:val="20"/>
              </w:rPr>
            </w:pPr>
            <w:r w:rsidRPr="00480790">
              <w:rPr>
                <w:b/>
                <w:szCs w:val="20"/>
              </w:rPr>
              <w:t>Incremental cost/extra QALY gained (base case)</w:t>
            </w:r>
          </w:p>
        </w:tc>
        <w:tc>
          <w:tcPr>
            <w:tcW w:w="838" w:type="pct"/>
            <w:vAlign w:val="center"/>
          </w:tcPr>
          <w:p w14:paraId="0F57708E" w14:textId="2AAA4C29" w:rsidR="001C256F" w:rsidRPr="00480790" w:rsidRDefault="001C256F" w:rsidP="00751EBB">
            <w:pPr>
              <w:pStyle w:val="TableText0"/>
              <w:jc w:val="center"/>
              <w:rPr>
                <w:b/>
                <w:szCs w:val="20"/>
              </w:rPr>
            </w:pPr>
            <w:r w:rsidRPr="00480790">
              <w:rPr>
                <w:b/>
                <w:szCs w:val="20"/>
              </w:rPr>
              <w:t>$</w:t>
            </w:r>
            <w:r w:rsidR="00487E5A" w:rsidRPr="00AB0DBE">
              <w:rPr>
                <w:b/>
                <w:color w:val="000000"/>
                <w:spacing w:val="58"/>
                <w:szCs w:val="20"/>
                <w:shd w:val="solid" w:color="000000" w:fill="000000"/>
                <w:fitText w:val="360" w:id="-663539960"/>
                <w14:textFill>
                  <w14:solidFill>
                    <w14:srgbClr w14:val="000000">
                      <w14:alpha w14:val="100000"/>
                    </w14:srgbClr>
                  </w14:solidFill>
                </w14:textFill>
              </w:rPr>
              <w:t>|||</w:t>
            </w:r>
            <w:r w:rsidR="00487E5A" w:rsidRPr="00AB0DBE">
              <w:rPr>
                <w:b/>
                <w:color w:val="000000"/>
                <w:spacing w:val="3"/>
                <w:szCs w:val="20"/>
                <w:shd w:val="solid" w:color="000000" w:fill="000000"/>
                <w:fitText w:val="360" w:id="-663539960"/>
                <w14:textFill>
                  <w14:solidFill>
                    <w14:srgbClr w14:val="000000">
                      <w14:alpha w14:val="100000"/>
                    </w14:srgbClr>
                  </w14:solidFill>
                </w14:textFill>
              </w:rPr>
              <w:t>|</w:t>
            </w:r>
            <w:r w:rsidR="00FF16E8">
              <w:rPr>
                <w:szCs w:val="20"/>
              </w:rPr>
              <w:t xml:space="preserve"> </w:t>
            </w:r>
            <w:r w:rsidR="00FF16E8">
              <w:rPr>
                <w:szCs w:val="20"/>
                <w:vertAlign w:val="superscript"/>
              </w:rPr>
              <w:t>4</w:t>
            </w:r>
          </w:p>
        </w:tc>
      </w:tr>
    </w:tbl>
    <w:p w14:paraId="2A0081FF" w14:textId="77777777" w:rsidR="001C256F" w:rsidRPr="00480790" w:rsidRDefault="001C256F" w:rsidP="00751EBB">
      <w:pPr>
        <w:pStyle w:val="FooterTableFigure"/>
        <w:keepNext/>
      </w:pPr>
      <w:r w:rsidRPr="00480790">
        <w:t>Source: Based on Table 3.18, p94, Table 3.19, p95, Table 3.20, p95, Table 3.21, p96, Table 3.22, p96, Table 3.23, p97, Table 3.24, p97 of the submission and the economic model, worksheet “Results”.</w:t>
      </w:r>
    </w:p>
    <w:p w14:paraId="7087DC2A" w14:textId="77777777" w:rsidR="001C256F" w:rsidRDefault="001C256F" w:rsidP="00FC3D4B">
      <w:pPr>
        <w:pStyle w:val="FooterTableFigure"/>
        <w:keepNext/>
        <w:spacing w:after="0"/>
      </w:pPr>
      <w:r w:rsidRPr="00480790">
        <w:t>AE = adverse event, DFS = disease-free survival, LYG = life years gained, QALY = quality-adjusted life-year.</w:t>
      </w:r>
    </w:p>
    <w:p w14:paraId="57319BB4" w14:textId="77777777" w:rsidR="00FC3D4B" w:rsidRPr="009A6D58" w:rsidRDefault="00FC3D4B" w:rsidP="00FC3D4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52F34E4" w14:textId="276089D0" w:rsidR="00FC3D4B" w:rsidRPr="009A6D58" w:rsidRDefault="00FC3D4B" w:rsidP="00FC3D4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285233" w:rsidRPr="00285233">
        <w:rPr>
          <w:rFonts w:ascii="Arial Narrow" w:hAnsi="Arial Narrow"/>
          <w:i/>
          <w:sz w:val="18"/>
          <w:szCs w:val="18"/>
        </w:rPr>
        <w:t>&gt; $1,055,000</w:t>
      </w:r>
    </w:p>
    <w:p w14:paraId="1F0CCE5F" w14:textId="155F2E42" w:rsidR="00FC3D4B" w:rsidRPr="009A6D58" w:rsidRDefault="00FC3D4B" w:rsidP="00FC3D4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950F35" w:rsidRPr="00950F35">
        <w:rPr>
          <w:rFonts w:ascii="Arial Narrow" w:hAnsi="Arial Narrow"/>
          <w:i/>
          <w:sz w:val="18"/>
          <w:szCs w:val="18"/>
        </w:rPr>
        <w:t>$35,000 to &lt; $45,000</w:t>
      </w:r>
    </w:p>
    <w:p w14:paraId="4955C730" w14:textId="411B2AE3" w:rsidR="00FC3D4B" w:rsidRDefault="00FC3D4B" w:rsidP="00FC3D4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69739B" w:rsidRPr="0069739B">
        <w:rPr>
          <w:rFonts w:ascii="Arial Narrow" w:hAnsi="Arial Narrow"/>
          <w:i/>
          <w:sz w:val="18"/>
          <w:szCs w:val="18"/>
        </w:rPr>
        <w:t>$45,000 to &lt; $55,000</w:t>
      </w:r>
    </w:p>
    <w:p w14:paraId="6A1B1ED7" w14:textId="0CBA8CD7" w:rsidR="00FC3D4B" w:rsidRPr="00FC3D4B" w:rsidRDefault="00FC3D4B" w:rsidP="00FC3D4B">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375DF0" w:rsidRPr="00375DF0">
        <w:rPr>
          <w:rFonts w:ascii="Arial Narrow" w:hAnsi="Arial Narrow"/>
          <w:i/>
          <w:sz w:val="18"/>
          <w:szCs w:val="18"/>
        </w:rPr>
        <w:t>$25,000 to &lt; $35,000</w:t>
      </w:r>
    </w:p>
    <w:p w14:paraId="271630DE" w14:textId="46E81CAE" w:rsidR="001C256F" w:rsidRPr="00480790" w:rsidRDefault="001C256F" w:rsidP="002843F8">
      <w:pPr>
        <w:pStyle w:val="3-BodyText"/>
        <w:rPr>
          <w:lang w:val="en-AU"/>
        </w:rPr>
      </w:pPr>
      <w:r w:rsidRPr="00480790">
        <w:rPr>
          <w:lang w:val="en-AU"/>
        </w:rPr>
        <w:fldChar w:fldCharType="begin"/>
      </w:r>
      <w:r w:rsidRPr="00480790">
        <w:rPr>
          <w:lang w:val="en-AU"/>
        </w:rPr>
        <w:instrText xml:space="preserve"> REF _Ref188002543 \h  \* MERGEFORMAT </w:instrText>
      </w:r>
      <w:r w:rsidRPr="00480790">
        <w:rPr>
          <w:lang w:val="en-AU"/>
        </w:rPr>
      </w:r>
      <w:r w:rsidRPr="00480790">
        <w:rPr>
          <w:lang w:val="en-AU"/>
        </w:rPr>
        <w:fldChar w:fldCharType="separate"/>
      </w:r>
      <w:r w:rsidR="002565BE" w:rsidRPr="002565BE">
        <w:rPr>
          <w:lang w:val="en-AU"/>
        </w:rPr>
        <w:t>Table 10</w:t>
      </w:r>
      <w:r w:rsidRPr="00480790">
        <w:rPr>
          <w:lang w:val="en-AU"/>
        </w:rPr>
        <w:fldChar w:fldCharType="end"/>
      </w:r>
      <w:r w:rsidRPr="00480790">
        <w:rPr>
          <w:lang w:val="en-AU"/>
        </w:rPr>
        <w:t xml:space="preserve"> summarises the results of key univariate and multivariate sensitivity analyses.</w:t>
      </w:r>
    </w:p>
    <w:p w14:paraId="195D86FF" w14:textId="5AE9A1F0" w:rsidR="001C256F" w:rsidRPr="00480790" w:rsidRDefault="001C256F" w:rsidP="002843F8">
      <w:pPr>
        <w:pStyle w:val="3-BodyText"/>
        <w:rPr>
          <w:lang w:val="en-AU"/>
        </w:rPr>
      </w:pPr>
      <w:r w:rsidRPr="00480790">
        <w:rPr>
          <w:iCs/>
          <w:lang w:val="en-AU"/>
        </w:rPr>
        <w:t>The evaluation suggested an analysis with the following</w:t>
      </w:r>
      <w:r w:rsidRPr="00480790">
        <w:rPr>
          <w:lang w:val="en-AU"/>
        </w:rPr>
        <w:t xml:space="preserve"> preferred assumptions implemented concurrently, resulting in an ICER of </w:t>
      </w:r>
      <w:r w:rsidR="00AC7405" w:rsidRPr="00AC7405">
        <w:rPr>
          <w:lang w:val="en-AU"/>
        </w:rPr>
        <w:t>$45,000 to &lt; $55,000</w:t>
      </w:r>
      <w:r w:rsidRPr="00480790">
        <w:rPr>
          <w:lang w:val="en-AU"/>
        </w:rPr>
        <w:t xml:space="preserve"> per QALY gained:</w:t>
      </w:r>
    </w:p>
    <w:p w14:paraId="3410B004" w14:textId="77777777" w:rsidR="001C256F" w:rsidRPr="00480790" w:rsidRDefault="001C256F" w:rsidP="00AE7DE0">
      <w:pPr>
        <w:pStyle w:val="ListParagraph"/>
        <w:numPr>
          <w:ilvl w:val="0"/>
          <w:numId w:val="8"/>
        </w:numPr>
        <w:ind w:left="1134" w:hanging="357"/>
      </w:pPr>
      <w:r w:rsidRPr="00480790">
        <w:t>15-year time horizon; and</w:t>
      </w:r>
    </w:p>
    <w:p w14:paraId="7F3D58F3" w14:textId="77777777" w:rsidR="001C256F" w:rsidRPr="00480790" w:rsidRDefault="001C256F" w:rsidP="00AE7DE0">
      <w:pPr>
        <w:pStyle w:val="ListParagraph"/>
        <w:numPr>
          <w:ilvl w:val="0"/>
          <w:numId w:val="8"/>
        </w:numPr>
        <w:ind w:left="1134" w:hanging="357"/>
      </w:pPr>
      <w:r w:rsidRPr="00480790">
        <w:t>91% patients cured at Year 10; and</w:t>
      </w:r>
    </w:p>
    <w:p w14:paraId="6F8A57C3" w14:textId="77777777" w:rsidR="001C256F" w:rsidRPr="00480790" w:rsidRDefault="001C256F" w:rsidP="00AE7DE0">
      <w:pPr>
        <w:pStyle w:val="ListParagraph"/>
        <w:numPr>
          <w:ilvl w:val="0"/>
          <w:numId w:val="8"/>
        </w:numPr>
        <w:ind w:left="1134" w:hanging="357"/>
      </w:pPr>
      <w:r w:rsidRPr="00480790">
        <w:t>Utility in DFS off-treatment set to 0.854 for both treatment arms; and</w:t>
      </w:r>
    </w:p>
    <w:p w14:paraId="2955CCDA" w14:textId="77777777" w:rsidR="001C256F" w:rsidRPr="00480790" w:rsidRDefault="001C256F" w:rsidP="00AE7DE0">
      <w:pPr>
        <w:pStyle w:val="ListParagraph"/>
        <w:numPr>
          <w:ilvl w:val="0"/>
          <w:numId w:val="8"/>
        </w:numPr>
        <w:ind w:left="1134" w:hanging="357"/>
      </w:pPr>
      <w:r w:rsidRPr="00480790">
        <w:lastRenderedPageBreak/>
        <w:t>Treatment durations using mean values and correcting source of 2 treatment durations: for alectinib treatment arm: 1L DR lorlatinib and 2L DR brigatinib and</w:t>
      </w:r>
    </w:p>
    <w:p w14:paraId="5BA08828" w14:textId="77777777" w:rsidR="001C256F" w:rsidRPr="00480790" w:rsidRDefault="001C256F" w:rsidP="00AE7DE0">
      <w:pPr>
        <w:pStyle w:val="ListParagraph"/>
        <w:numPr>
          <w:ilvl w:val="0"/>
          <w:numId w:val="8"/>
        </w:numPr>
        <w:ind w:left="1134" w:hanging="357"/>
      </w:pPr>
      <w:r w:rsidRPr="00480790">
        <w:t>End of life cost summed over 6 months and</w:t>
      </w:r>
    </w:p>
    <w:p w14:paraId="389452E1" w14:textId="77777777" w:rsidR="001C256F" w:rsidRPr="00480790" w:rsidRDefault="001C256F" w:rsidP="00AE7DE0">
      <w:pPr>
        <w:pStyle w:val="ListParagraph"/>
        <w:numPr>
          <w:ilvl w:val="0"/>
          <w:numId w:val="8"/>
        </w:numPr>
        <w:ind w:left="1134" w:hanging="357"/>
      </w:pPr>
      <w:r w:rsidRPr="00480790">
        <w:t>Weekly probability of transitioning from LRR to death in alectinib arm changed from 0.111 to 0.0046.</w:t>
      </w:r>
    </w:p>
    <w:p w14:paraId="2D3C4E3E" w14:textId="4FF6597C" w:rsidR="001C256F" w:rsidRPr="00480790" w:rsidRDefault="001C256F" w:rsidP="002843F8">
      <w:pPr>
        <w:pStyle w:val="3-BodyText"/>
        <w:numPr>
          <w:ilvl w:val="0"/>
          <w:numId w:val="0"/>
        </w:numPr>
        <w:ind w:left="720"/>
        <w:rPr>
          <w:lang w:val="en-AU"/>
        </w:rPr>
      </w:pPr>
      <w:r w:rsidRPr="00480790">
        <w:rPr>
          <w:lang w:val="en-AU"/>
        </w:rPr>
        <w:t xml:space="preserve">When updated with age adjusted utilities (as presented in PSCR model), the ICER would increase to </w:t>
      </w:r>
      <w:r w:rsidR="00E540A4" w:rsidRPr="00E540A4">
        <w:rPr>
          <w:lang w:val="en-AU"/>
        </w:rPr>
        <w:t>$75,000 to &lt; $95,000</w:t>
      </w:r>
      <w:r w:rsidRPr="00480790">
        <w:rPr>
          <w:lang w:val="en-AU"/>
        </w:rPr>
        <w:t xml:space="preserve"> per QALY gained.</w:t>
      </w:r>
    </w:p>
    <w:p w14:paraId="744B1789" w14:textId="2E98DB09" w:rsidR="001C256F" w:rsidRPr="00480790" w:rsidRDefault="001C256F" w:rsidP="0058396F">
      <w:pPr>
        <w:pStyle w:val="TableFigureHeading"/>
        <w:rPr>
          <w:rStyle w:val="CommentReference"/>
          <w:b/>
          <w:szCs w:val="24"/>
        </w:rPr>
      </w:pPr>
      <w:bookmarkStart w:id="74" w:name="_Ref188002543"/>
      <w:r w:rsidRPr="00480790">
        <w:t xml:space="preserve">Table </w:t>
      </w:r>
      <w:r w:rsidRPr="00480790">
        <w:fldChar w:fldCharType="begin"/>
      </w:r>
      <w:r w:rsidRPr="00480790">
        <w:instrText xml:space="preserve"> SEQ Table \* ARABIC </w:instrText>
      </w:r>
      <w:r w:rsidRPr="00480790">
        <w:fldChar w:fldCharType="separate"/>
      </w:r>
      <w:r w:rsidR="002565BE">
        <w:rPr>
          <w:noProof/>
        </w:rPr>
        <w:t>10</w:t>
      </w:r>
      <w:r w:rsidRPr="00480790">
        <w:fldChar w:fldCharType="end"/>
      </w:r>
      <w:bookmarkEnd w:id="74"/>
      <w:r w:rsidRPr="00480790">
        <w:rPr>
          <w:rStyle w:val="CommentReference"/>
          <w:b/>
          <w:szCs w:val="24"/>
        </w:rPr>
        <w:t>: Results of the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15"/>
        <w:gridCol w:w="1134"/>
        <w:gridCol w:w="1134"/>
        <w:gridCol w:w="994"/>
        <w:gridCol w:w="940"/>
      </w:tblGrid>
      <w:tr w:rsidR="00AB01EA" w:rsidRPr="00480790" w14:paraId="727A9EB5" w14:textId="77777777" w:rsidTr="0066303D">
        <w:trPr>
          <w:tblHeader/>
        </w:trPr>
        <w:tc>
          <w:tcPr>
            <w:tcW w:w="2670" w:type="pct"/>
          </w:tcPr>
          <w:p w14:paraId="7FD2E178" w14:textId="77777777" w:rsidR="001C256F" w:rsidRPr="00480790" w:rsidRDefault="001C256F" w:rsidP="0058396F">
            <w:pPr>
              <w:pStyle w:val="In-tableHeading"/>
              <w:keepNext w:val="0"/>
              <w:keepLines/>
              <w:rPr>
                <w:lang w:val="en-AU"/>
              </w:rPr>
            </w:pPr>
            <w:r w:rsidRPr="00480790">
              <w:rPr>
                <w:lang w:val="en-AU"/>
              </w:rPr>
              <w:t>Analyses</w:t>
            </w:r>
          </w:p>
        </w:tc>
        <w:tc>
          <w:tcPr>
            <w:tcW w:w="629" w:type="pct"/>
          </w:tcPr>
          <w:p w14:paraId="5820BECA" w14:textId="77777777" w:rsidR="001C256F" w:rsidRPr="00480790" w:rsidRDefault="001C256F" w:rsidP="0058396F">
            <w:pPr>
              <w:pStyle w:val="In-tableHeading"/>
              <w:keepNext w:val="0"/>
              <w:keepLines/>
              <w:jc w:val="center"/>
              <w:rPr>
                <w:lang w:val="en-AU"/>
              </w:rPr>
            </w:pPr>
            <w:r w:rsidRPr="00480790">
              <w:rPr>
                <w:lang w:val="en-AU"/>
              </w:rPr>
              <w:t>Incremental cost</w:t>
            </w:r>
          </w:p>
        </w:tc>
        <w:tc>
          <w:tcPr>
            <w:tcW w:w="629" w:type="pct"/>
          </w:tcPr>
          <w:p w14:paraId="7B443182" w14:textId="77777777" w:rsidR="001C256F" w:rsidRPr="00480790" w:rsidRDefault="001C256F" w:rsidP="0058396F">
            <w:pPr>
              <w:pStyle w:val="In-tableHeading"/>
              <w:keepNext w:val="0"/>
              <w:keepLines/>
              <w:jc w:val="center"/>
              <w:rPr>
                <w:lang w:val="en-AU"/>
              </w:rPr>
            </w:pPr>
            <w:r w:rsidRPr="00480790">
              <w:rPr>
                <w:lang w:val="en-AU"/>
              </w:rPr>
              <w:t>Incremental QALY</w:t>
            </w:r>
          </w:p>
        </w:tc>
        <w:tc>
          <w:tcPr>
            <w:tcW w:w="551" w:type="pct"/>
          </w:tcPr>
          <w:p w14:paraId="022C382C" w14:textId="77777777" w:rsidR="001C256F" w:rsidRPr="00480790" w:rsidRDefault="001C256F" w:rsidP="0058396F">
            <w:pPr>
              <w:pStyle w:val="In-tableHeading"/>
              <w:keepNext w:val="0"/>
              <w:keepLines/>
              <w:jc w:val="center"/>
              <w:rPr>
                <w:lang w:val="en-AU"/>
              </w:rPr>
            </w:pPr>
            <w:r w:rsidRPr="00480790">
              <w:rPr>
                <w:lang w:val="en-AU"/>
              </w:rPr>
              <w:t>ICER</w:t>
            </w:r>
          </w:p>
        </w:tc>
        <w:tc>
          <w:tcPr>
            <w:tcW w:w="521" w:type="pct"/>
          </w:tcPr>
          <w:p w14:paraId="7573B1D8" w14:textId="77777777" w:rsidR="001C256F" w:rsidRPr="00480790" w:rsidRDefault="001C256F" w:rsidP="0058396F">
            <w:pPr>
              <w:pStyle w:val="In-tableHeading"/>
              <w:keepNext w:val="0"/>
              <w:keepLines/>
              <w:jc w:val="center"/>
              <w:rPr>
                <w:lang w:val="en-AU"/>
              </w:rPr>
            </w:pPr>
            <w:r w:rsidRPr="00480790">
              <w:rPr>
                <w:lang w:val="en-AU"/>
              </w:rPr>
              <w:t>% change to ICER</w:t>
            </w:r>
          </w:p>
        </w:tc>
      </w:tr>
      <w:tr w:rsidR="00AB01EA" w:rsidRPr="00480790" w14:paraId="3A4907E0" w14:textId="77777777" w:rsidTr="0066303D">
        <w:tc>
          <w:tcPr>
            <w:tcW w:w="2670" w:type="pct"/>
          </w:tcPr>
          <w:p w14:paraId="6527849B" w14:textId="77777777" w:rsidR="001C256F" w:rsidRPr="00480790" w:rsidRDefault="001C256F" w:rsidP="0058396F">
            <w:pPr>
              <w:pStyle w:val="TableText0"/>
              <w:keepNext w:val="0"/>
              <w:keepLines/>
              <w:rPr>
                <w:b/>
              </w:rPr>
            </w:pPr>
            <w:r w:rsidRPr="00480790">
              <w:rPr>
                <w:b/>
              </w:rPr>
              <w:t>Base case</w:t>
            </w:r>
          </w:p>
        </w:tc>
        <w:tc>
          <w:tcPr>
            <w:tcW w:w="629" w:type="pct"/>
          </w:tcPr>
          <w:p w14:paraId="38171C14" w14:textId="569A4937" w:rsidR="001C256F" w:rsidRPr="00480790" w:rsidRDefault="001C256F" w:rsidP="0058396F">
            <w:pPr>
              <w:pStyle w:val="TableText0"/>
              <w:keepNext w:val="0"/>
              <w:keepLines/>
              <w:jc w:val="center"/>
              <w:rPr>
                <w:b/>
              </w:rPr>
            </w:pPr>
            <w:r w:rsidRPr="00480790">
              <w:rPr>
                <w:b/>
              </w:rPr>
              <w:t>$</w:t>
            </w:r>
            <w:r w:rsidR="00487E5A" w:rsidRPr="00487E5A">
              <w:rPr>
                <w:b/>
                <w:color w:val="000000"/>
                <w:spacing w:val="55"/>
                <w:shd w:val="solid" w:color="000000" w:fill="000000"/>
                <w:fitText w:val="350" w:id="-663539959"/>
                <w14:textFill>
                  <w14:solidFill>
                    <w14:srgbClr w14:val="000000">
                      <w14:alpha w14:val="100000"/>
                    </w14:srgbClr>
                  </w14:solidFill>
                </w14:textFill>
              </w:rPr>
              <w:t>|||</w:t>
            </w:r>
            <w:r w:rsidR="00487E5A" w:rsidRPr="00487E5A">
              <w:rPr>
                <w:b/>
                <w:color w:val="000000"/>
                <w:spacing w:val="2"/>
                <w:shd w:val="solid" w:color="000000" w:fill="000000"/>
                <w:fitText w:val="350" w:id="-663539959"/>
                <w14:textFill>
                  <w14:solidFill>
                    <w14:srgbClr w14:val="000000">
                      <w14:alpha w14:val="100000"/>
                    </w14:srgbClr>
                  </w14:solidFill>
                </w14:textFill>
              </w:rPr>
              <w:t>|</w:t>
            </w:r>
          </w:p>
        </w:tc>
        <w:tc>
          <w:tcPr>
            <w:tcW w:w="629" w:type="pct"/>
          </w:tcPr>
          <w:p w14:paraId="699D0913" w14:textId="77777777" w:rsidR="001C256F" w:rsidRPr="00480790" w:rsidRDefault="001C256F" w:rsidP="0058396F">
            <w:pPr>
              <w:pStyle w:val="TableText0"/>
              <w:keepNext w:val="0"/>
              <w:keepLines/>
              <w:jc w:val="center"/>
              <w:rPr>
                <w:b/>
              </w:rPr>
            </w:pPr>
            <w:r w:rsidRPr="00480790">
              <w:rPr>
                <w:b/>
              </w:rPr>
              <w:t>3.373</w:t>
            </w:r>
          </w:p>
        </w:tc>
        <w:tc>
          <w:tcPr>
            <w:tcW w:w="551" w:type="pct"/>
          </w:tcPr>
          <w:p w14:paraId="487207A0" w14:textId="7D03E99F" w:rsidR="001C256F" w:rsidRPr="00FE19F8" w:rsidRDefault="001C256F" w:rsidP="0058396F">
            <w:pPr>
              <w:pStyle w:val="TableText0"/>
              <w:keepNext w:val="0"/>
              <w:keepLines/>
              <w:jc w:val="center"/>
              <w:rPr>
                <w:b/>
                <w:vertAlign w:val="superscript"/>
              </w:rPr>
            </w:pPr>
            <w:r w:rsidRPr="00480790">
              <w:rPr>
                <w:b/>
              </w:rPr>
              <w:t>$</w:t>
            </w:r>
            <w:r w:rsidR="00487E5A" w:rsidRPr="00487E5A">
              <w:rPr>
                <w:b/>
                <w:color w:val="000000"/>
                <w:spacing w:val="58"/>
                <w:shd w:val="solid" w:color="000000" w:fill="000000"/>
                <w:fitText w:val="360" w:id="-663539958"/>
                <w14:textFill>
                  <w14:solidFill>
                    <w14:srgbClr w14:val="000000">
                      <w14:alpha w14:val="100000"/>
                    </w14:srgbClr>
                  </w14:solidFill>
                </w14:textFill>
              </w:rPr>
              <w:t>|||</w:t>
            </w:r>
            <w:r w:rsidR="00487E5A" w:rsidRPr="00487E5A">
              <w:rPr>
                <w:b/>
                <w:color w:val="000000"/>
                <w:spacing w:val="3"/>
                <w:shd w:val="solid" w:color="000000" w:fill="000000"/>
                <w:fitText w:val="360" w:id="-663539958"/>
                <w14:textFill>
                  <w14:solidFill>
                    <w14:srgbClr w14:val="000000">
                      <w14:alpha w14:val="100000"/>
                    </w14:srgbClr>
                  </w14:solidFill>
                </w14:textFill>
              </w:rPr>
              <w:t>|</w:t>
            </w:r>
            <w:r w:rsidR="00FE19F8">
              <w:rPr>
                <w:b/>
              </w:rPr>
              <w:t xml:space="preserve"> </w:t>
            </w:r>
            <w:r w:rsidR="00FE19F8">
              <w:rPr>
                <w:b/>
                <w:vertAlign w:val="superscript"/>
              </w:rPr>
              <w:t>1</w:t>
            </w:r>
          </w:p>
        </w:tc>
        <w:tc>
          <w:tcPr>
            <w:tcW w:w="521" w:type="pct"/>
          </w:tcPr>
          <w:p w14:paraId="599B6A47" w14:textId="77777777" w:rsidR="001C256F" w:rsidRPr="00480790" w:rsidRDefault="001C256F" w:rsidP="0058396F">
            <w:pPr>
              <w:pStyle w:val="TableText0"/>
              <w:keepNext w:val="0"/>
              <w:keepLines/>
              <w:jc w:val="center"/>
              <w:rPr>
                <w:b/>
              </w:rPr>
            </w:pPr>
          </w:p>
        </w:tc>
      </w:tr>
      <w:tr w:rsidR="00AB01EA" w:rsidRPr="00480790" w14:paraId="2A46E1AC" w14:textId="77777777" w:rsidTr="0066303D">
        <w:tc>
          <w:tcPr>
            <w:tcW w:w="2670" w:type="pct"/>
          </w:tcPr>
          <w:p w14:paraId="1EBFED4D" w14:textId="77777777" w:rsidR="001C256F" w:rsidRPr="00480790" w:rsidRDefault="001C256F" w:rsidP="0058396F">
            <w:pPr>
              <w:pStyle w:val="TableText0"/>
              <w:keepNext w:val="0"/>
              <w:keepLines/>
            </w:pPr>
            <w:r w:rsidRPr="00480790">
              <w:t>Discount rate (base case 5% costs and outcomes) changed to:</w:t>
            </w:r>
          </w:p>
          <w:p w14:paraId="43FF5D0B" w14:textId="77777777" w:rsidR="001C256F" w:rsidRPr="00480790" w:rsidRDefault="001C256F" w:rsidP="00AE7DE0">
            <w:pPr>
              <w:pStyle w:val="TableText0"/>
              <w:keepNext w:val="0"/>
              <w:keepLines/>
              <w:numPr>
                <w:ilvl w:val="0"/>
                <w:numId w:val="6"/>
              </w:numPr>
            </w:pPr>
            <w:r w:rsidRPr="00480790">
              <w:t>0% costs and outcomes</w:t>
            </w:r>
          </w:p>
          <w:p w14:paraId="36A14012" w14:textId="77777777" w:rsidR="001C256F" w:rsidRPr="00480790" w:rsidRDefault="001C256F" w:rsidP="0058396F">
            <w:pPr>
              <w:pStyle w:val="TableText0"/>
              <w:keepNext w:val="0"/>
              <w:keepLines/>
              <w:ind w:left="720"/>
            </w:pPr>
            <w:r w:rsidRPr="00480790">
              <w:t>3.5% costs and outcomes</w:t>
            </w:r>
          </w:p>
        </w:tc>
        <w:tc>
          <w:tcPr>
            <w:tcW w:w="629" w:type="pct"/>
          </w:tcPr>
          <w:p w14:paraId="6323BA8B" w14:textId="77777777" w:rsidR="001C256F" w:rsidRPr="00480790" w:rsidRDefault="001C256F" w:rsidP="0058396F">
            <w:pPr>
              <w:pStyle w:val="TableText0"/>
              <w:keepNext w:val="0"/>
              <w:keepLines/>
              <w:jc w:val="center"/>
            </w:pPr>
          </w:p>
          <w:p w14:paraId="6CB855B0" w14:textId="32D241DB" w:rsidR="001C256F" w:rsidRPr="00480790" w:rsidRDefault="001C256F" w:rsidP="0058396F">
            <w:pPr>
              <w:pStyle w:val="TableText0"/>
              <w:keepNext w:val="0"/>
              <w:keepLines/>
              <w:jc w:val="center"/>
            </w:pPr>
            <w:r w:rsidRPr="00480790">
              <w:t>$</w:t>
            </w:r>
            <w:r w:rsidR="00487E5A" w:rsidRPr="00487E5A">
              <w:rPr>
                <w:color w:val="000000"/>
                <w:spacing w:val="49"/>
                <w:shd w:val="solid" w:color="000000" w:fill="000000"/>
                <w:fitText w:val="320" w:id="-663539957"/>
                <w14:textFill>
                  <w14:solidFill>
                    <w14:srgbClr w14:val="000000">
                      <w14:alpha w14:val="100000"/>
                    </w14:srgbClr>
                  </w14:solidFill>
                </w14:textFill>
              </w:rPr>
              <w:t>|||</w:t>
            </w:r>
            <w:r w:rsidR="00487E5A" w:rsidRPr="00487E5A">
              <w:rPr>
                <w:color w:val="000000"/>
                <w:spacing w:val="3"/>
                <w:shd w:val="solid" w:color="000000" w:fill="000000"/>
                <w:fitText w:val="320" w:id="-663539957"/>
                <w14:textFill>
                  <w14:solidFill>
                    <w14:srgbClr w14:val="000000">
                      <w14:alpha w14:val="100000"/>
                    </w14:srgbClr>
                  </w14:solidFill>
                </w14:textFill>
              </w:rPr>
              <w:t>|</w:t>
            </w:r>
          </w:p>
          <w:p w14:paraId="76BC300E" w14:textId="4F7D66DD" w:rsidR="001C256F" w:rsidRPr="00480790" w:rsidRDefault="001C256F" w:rsidP="0058396F">
            <w:pPr>
              <w:pStyle w:val="TableText0"/>
              <w:keepNext w:val="0"/>
              <w:keepLines/>
              <w:jc w:val="center"/>
            </w:pPr>
            <w:r w:rsidRPr="00480790">
              <w:t>$</w:t>
            </w:r>
            <w:r w:rsidR="00487E5A" w:rsidRPr="00487E5A">
              <w:rPr>
                <w:color w:val="000000"/>
                <w:spacing w:val="49"/>
                <w:shd w:val="solid" w:color="000000" w:fill="000000"/>
                <w:fitText w:val="320" w:id="-663539956"/>
                <w14:textFill>
                  <w14:solidFill>
                    <w14:srgbClr w14:val="000000">
                      <w14:alpha w14:val="100000"/>
                    </w14:srgbClr>
                  </w14:solidFill>
                </w14:textFill>
              </w:rPr>
              <w:t>|||</w:t>
            </w:r>
            <w:r w:rsidR="00487E5A" w:rsidRPr="00487E5A">
              <w:rPr>
                <w:color w:val="000000"/>
                <w:spacing w:val="3"/>
                <w:shd w:val="solid" w:color="000000" w:fill="000000"/>
                <w:fitText w:val="320" w:id="-663539956"/>
                <w14:textFill>
                  <w14:solidFill>
                    <w14:srgbClr w14:val="000000">
                      <w14:alpha w14:val="100000"/>
                    </w14:srgbClr>
                  </w14:solidFill>
                </w14:textFill>
              </w:rPr>
              <w:t>|</w:t>
            </w:r>
          </w:p>
        </w:tc>
        <w:tc>
          <w:tcPr>
            <w:tcW w:w="629" w:type="pct"/>
          </w:tcPr>
          <w:p w14:paraId="2C8C7150" w14:textId="77777777" w:rsidR="001C256F" w:rsidRPr="00480790" w:rsidRDefault="001C256F" w:rsidP="0058396F">
            <w:pPr>
              <w:pStyle w:val="TableText0"/>
              <w:keepNext w:val="0"/>
              <w:keepLines/>
              <w:jc w:val="center"/>
            </w:pPr>
          </w:p>
          <w:p w14:paraId="22E3D704" w14:textId="77777777" w:rsidR="001C256F" w:rsidRPr="00480790" w:rsidRDefault="001C256F" w:rsidP="0058396F">
            <w:pPr>
              <w:pStyle w:val="TableText0"/>
              <w:keepNext w:val="0"/>
              <w:keepLines/>
              <w:jc w:val="center"/>
            </w:pPr>
            <w:r w:rsidRPr="00480790">
              <w:t>5.599</w:t>
            </w:r>
          </w:p>
          <w:p w14:paraId="19BC7CD6" w14:textId="77777777" w:rsidR="001C256F" w:rsidRPr="00480790" w:rsidRDefault="001C256F" w:rsidP="0058396F">
            <w:pPr>
              <w:pStyle w:val="TableText0"/>
              <w:keepNext w:val="0"/>
              <w:keepLines/>
              <w:jc w:val="center"/>
            </w:pPr>
            <w:r w:rsidRPr="00480790">
              <w:t>3.894</w:t>
            </w:r>
          </w:p>
        </w:tc>
        <w:tc>
          <w:tcPr>
            <w:tcW w:w="551" w:type="pct"/>
          </w:tcPr>
          <w:p w14:paraId="6F0DE30C" w14:textId="77777777" w:rsidR="001C256F" w:rsidRPr="00480790" w:rsidRDefault="001C256F" w:rsidP="0058396F">
            <w:pPr>
              <w:pStyle w:val="TableText0"/>
              <w:keepNext w:val="0"/>
              <w:keepLines/>
              <w:jc w:val="center"/>
            </w:pPr>
          </w:p>
          <w:p w14:paraId="02CC443D" w14:textId="6E758876" w:rsidR="001C256F" w:rsidRPr="00480790" w:rsidRDefault="001C256F" w:rsidP="0058396F">
            <w:pPr>
              <w:pStyle w:val="TableText0"/>
              <w:keepNext w:val="0"/>
              <w:keepLines/>
              <w:jc w:val="center"/>
            </w:pPr>
            <w:r w:rsidRPr="00480790">
              <w:t>$</w:t>
            </w:r>
            <w:r w:rsidR="00487E5A" w:rsidRPr="00487E5A">
              <w:rPr>
                <w:color w:val="000000"/>
                <w:spacing w:val="53"/>
                <w:shd w:val="solid" w:color="000000" w:fill="000000"/>
                <w:fitText w:val="330" w:id="-663539955"/>
                <w14:textFill>
                  <w14:solidFill>
                    <w14:srgbClr w14:val="000000">
                      <w14:alpha w14:val="100000"/>
                    </w14:srgbClr>
                  </w14:solidFill>
                </w14:textFill>
              </w:rPr>
              <w:t>|||</w:t>
            </w:r>
            <w:r w:rsidR="00487E5A" w:rsidRPr="00487E5A">
              <w:rPr>
                <w:color w:val="000000"/>
                <w:spacing w:val="1"/>
                <w:shd w:val="solid" w:color="000000" w:fill="000000"/>
                <w:fitText w:val="330" w:id="-663539955"/>
                <w14:textFill>
                  <w14:solidFill>
                    <w14:srgbClr w14:val="000000">
                      <w14:alpha w14:val="100000"/>
                    </w14:srgbClr>
                  </w14:solidFill>
                </w14:textFill>
              </w:rPr>
              <w:t>|</w:t>
            </w:r>
            <w:r w:rsidR="00FE19F8">
              <w:rPr>
                <w:b/>
              </w:rPr>
              <w:t xml:space="preserve"> </w:t>
            </w:r>
            <w:r w:rsidR="00FE19F8">
              <w:rPr>
                <w:b/>
                <w:vertAlign w:val="superscript"/>
              </w:rPr>
              <w:t>2</w:t>
            </w:r>
          </w:p>
          <w:p w14:paraId="71629BD1" w14:textId="3E8C7ABD" w:rsidR="001C256F" w:rsidRPr="00480790" w:rsidRDefault="001C256F" w:rsidP="0058396F">
            <w:pPr>
              <w:pStyle w:val="TableText0"/>
              <w:keepNext w:val="0"/>
              <w:keepLines/>
              <w:jc w:val="center"/>
            </w:pPr>
            <w:r w:rsidRPr="00480790">
              <w:t>$</w:t>
            </w:r>
            <w:r w:rsidR="00487E5A" w:rsidRPr="00487E5A">
              <w:rPr>
                <w:color w:val="000000"/>
                <w:spacing w:val="53"/>
                <w:shd w:val="solid" w:color="000000" w:fill="000000"/>
                <w:fitText w:val="330" w:id="-663539954"/>
                <w14:textFill>
                  <w14:solidFill>
                    <w14:srgbClr w14:val="000000">
                      <w14:alpha w14:val="100000"/>
                    </w14:srgbClr>
                  </w14:solidFill>
                </w14:textFill>
              </w:rPr>
              <w:t>|||</w:t>
            </w:r>
            <w:r w:rsidR="00487E5A" w:rsidRPr="00487E5A">
              <w:rPr>
                <w:color w:val="000000"/>
                <w:spacing w:val="1"/>
                <w:shd w:val="solid" w:color="000000" w:fill="000000"/>
                <w:fitText w:val="330" w:id="-663539954"/>
                <w14:textFill>
                  <w14:solidFill>
                    <w14:srgbClr w14:val="000000">
                      <w14:alpha w14:val="100000"/>
                    </w14:srgbClr>
                  </w14:solidFill>
                </w14:textFill>
              </w:rPr>
              <w:t>|</w:t>
            </w:r>
            <w:r w:rsidR="00FE19F8">
              <w:rPr>
                <w:b/>
              </w:rPr>
              <w:t xml:space="preserve"> </w:t>
            </w:r>
            <w:r w:rsidR="00FE19F8">
              <w:rPr>
                <w:b/>
                <w:vertAlign w:val="superscript"/>
              </w:rPr>
              <w:t>1</w:t>
            </w:r>
          </w:p>
        </w:tc>
        <w:tc>
          <w:tcPr>
            <w:tcW w:w="521" w:type="pct"/>
          </w:tcPr>
          <w:p w14:paraId="6F00A1F4" w14:textId="77777777" w:rsidR="001C256F" w:rsidRPr="00480790" w:rsidRDefault="001C256F" w:rsidP="0058396F">
            <w:pPr>
              <w:pStyle w:val="TableText0"/>
              <w:keepNext w:val="0"/>
              <w:keepLines/>
              <w:jc w:val="center"/>
            </w:pPr>
          </w:p>
          <w:p w14:paraId="0651F652" w14:textId="05FA0C5F" w:rsidR="001C256F" w:rsidRPr="00480790" w:rsidRDefault="001C256F" w:rsidP="0058396F">
            <w:pPr>
              <w:pStyle w:val="TableText0"/>
              <w:keepNext w:val="0"/>
              <w:keepLines/>
              <w:jc w:val="center"/>
            </w:pPr>
            <w:r w:rsidRPr="00480790">
              <w:t>-</w:t>
            </w:r>
            <w:r w:rsidR="00487E5A" w:rsidRPr="00487E5A">
              <w:rPr>
                <w:color w:val="000000"/>
                <w:spacing w:val="53"/>
                <w:shd w:val="solid" w:color="000000" w:fill="000000"/>
                <w:fitText w:val="330" w:id="-663539953"/>
                <w14:textFill>
                  <w14:solidFill>
                    <w14:srgbClr w14:val="000000">
                      <w14:alpha w14:val="100000"/>
                    </w14:srgbClr>
                  </w14:solidFill>
                </w14:textFill>
              </w:rPr>
              <w:t>|||</w:t>
            </w:r>
            <w:r w:rsidR="00487E5A" w:rsidRPr="00487E5A">
              <w:rPr>
                <w:color w:val="000000"/>
                <w:spacing w:val="1"/>
                <w:shd w:val="solid" w:color="000000" w:fill="000000"/>
                <w:fitText w:val="330" w:id="-663539953"/>
                <w14:textFill>
                  <w14:solidFill>
                    <w14:srgbClr w14:val="000000">
                      <w14:alpha w14:val="100000"/>
                    </w14:srgbClr>
                  </w14:solidFill>
                </w14:textFill>
              </w:rPr>
              <w:t>|</w:t>
            </w:r>
            <w:r w:rsidRPr="00480790">
              <w:t>%</w:t>
            </w:r>
          </w:p>
          <w:p w14:paraId="116351D4" w14:textId="2C0BD165" w:rsidR="001C256F" w:rsidRPr="00480790" w:rsidRDefault="001C256F" w:rsidP="0058396F">
            <w:pPr>
              <w:pStyle w:val="TableText0"/>
              <w:keepNext w:val="0"/>
              <w:keepLines/>
              <w:jc w:val="center"/>
            </w:pPr>
            <w:r w:rsidRPr="00480790">
              <w:t>-</w:t>
            </w:r>
            <w:r w:rsidR="00487E5A" w:rsidRPr="00487E5A">
              <w:rPr>
                <w:color w:val="000000"/>
                <w:spacing w:val="53"/>
                <w:shd w:val="solid" w:color="000000" w:fill="000000"/>
                <w:fitText w:val="330" w:id="-663539952"/>
                <w14:textFill>
                  <w14:solidFill>
                    <w14:srgbClr w14:val="000000">
                      <w14:alpha w14:val="100000"/>
                    </w14:srgbClr>
                  </w14:solidFill>
                </w14:textFill>
              </w:rPr>
              <w:t>|||</w:t>
            </w:r>
            <w:r w:rsidR="00487E5A" w:rsidRPr="00487E5A">
              <w:rPr>
                <w:color w:val="000000"/>
                <w:spacing w:val="1"/>
                <w:shd w:val="solid" w:color="000000" w:fill="000000"/>
                <w:fitText w:val="330" w:id="-663539952"/>
                <w14:textFill>
                  <w14:solidFill>
                    <w14:srgbClr w14:val="000000">
                      <w14:alpha w14:val="100000"/>
                    </w14:srgbClr>
                  </w14:solidFill>
                </w14:textFill>
              </w:rPr>
              <w:t>|</w:t>
            </w:r>
            <w:r w:rsidRPr="00480790">
              <w:t>%</w:t>
            </w:r>
          </w:p>
        </w:tc>
      </w:tr>
      <w:tr w:rsidR="00AB01EA" w:rsidRPr="00480790" w14:paraId="32A7CA45" w14:textId="77777777" w:rsidTr="0066303D">
        <w:tc>
          <w:tcPr>
            <w:tcW w:w="2670" w:type="pct"/>
          </w:tcPr>
          <w:p w14:paraId="7C4C4B0A" w14:textId="10812552" w:rsidR="001C256F" w:rsidRPr="00480790" w:rsidRDefault="002904DE" w:rsidP="0058396F">
            <w:pPr>
              <w:pStyle w:val="TableText0"/>
              <w:keepNext w:val="0"/>
              <w:keepLines/>
            </w:pPr>
            <w:r w:rsidRPr="002904DE">
              <w:rPr>
                <w:bCs w:val="0"/>
              </w:rPr>
              <w:t>a.</w:t>
            </w:r>
            <w:r>
              <w:t xml:space="preserve"> </w:t>
            </w:r>
            <w:r w:rsidR="001C256F" w:rsidRPr="00480790">
              <w:t>Time horizon (base case 20 years) changed to 15 years</w:t>
            </w:r>
          </w:p>
        </w:tc>
        <w:tc>
          <w:tcPr>
            <w:tcW w:w="629" w:type="pct"/>
          </w:tcPr>
          <w:p w14:paraId="73802CDE" w14:textId="3D8D0BED" w:rsidR="001C256F" w:rsidRPr="00480790" w:rsidRDefault="001C256F" w:rsidP="0058396F">
            <w:pPr>
              <w:pStyle w:val="TableText0"/>
              <w:keepNext w:val="0"/>
              <w:keepLines/>
              <w:jc w:val="center"/>
            </w:pPr>
            <w:r w:rsidRPr="00480790">
              <w:t>$</w:t>
            </w:r>
            <w:r w:rsidR="00487E5A" w:rsidRPr="00487E5A">
              <w:rPr>
                <w:color w:val="000000"/>
                <w:spacing w:val="49"/>
                <w:shd w:val="solid" w:color="000000" w:fill="000000"/>
                <w:fitText w:val="320" w:id="-663539968"/>
                <w14:textFill>
                  <w14:solidFill>
                    <w14:srgbClr w14:val="000000">
                      <w14:alpha w14:val="100000"/>
                    </w14:srgbClr>
                  </w14:solidFill>
                </w14:textFill>
              </w:rPr>
              <w:t>|||</w:t>
            </w:r>
            <w:r w:rsidR="00487E5A" w:rsidRPr="00487E5A">
              <w:rPr>
                <w:color w:val="000000"/>
                <w:spacing w:val="3"/>
                <w:shd w:val="solid" w:color="000000" w:fill="000000"/>
                <w:fitText w:val="320" w:id="-663539968"/>
                <w14:textFill>
                  <w14:solidFill>
                    <w14:srgbClr w14:val="000000">
                      <w14:alpha w14:val="100000"/>
                    </w14:srgbClr>
                  </w14:solidFill>
                </w14:textFill>
              </w:rPr>
              <w:t>|</w:t>
            </w:r>
          </w:p>
        </w:tc>
        <w:tc>
          <w:tcPr>
            <w:tcW w:w="629" w:type="pct"/>
          </w:tcPr>
          <w:p w14:paraId="7B58725A" w14:textId="77777777" w:rsidR="001C256F" w:rsidRPr="00480790" w:rsidRDefault="001C256F" w:rsidP="0058396F">
            <w:pPr>
              <w:pStyle w:val="TableText0"/>
              <w:keepNext w:val="0"/>
              <w:keepLines/>
              <w:jc w:val="center"/>
            </w:pPr>
            <w:r w:rsidRPr="00480790">
              <w:t>2.674</w:t>
            </w:r>
          </w:p>
        </w:tc>
        <w:tc>
          <w:tcPr>
            <w:tcW w:w="551" w:type="pct"/>
          </w:tcPr>
          <w:p w14:paraId="1541F256" w14:textId="6D9E5693" w:rsidR="001C256F" w:rsidRPr="00480790" w:rsidRDefault="001C256F" w:rsidP="0058396F">
            <w:pPr>
              <w:pStyle w:val="TableText0"/>
              <w:keepNext w:val="0"/>
              <w:keepLines/>
              <w:jc w:val="center"/>
            </w:pPr>
            <w:r w:rsidRPr="00480790">
              <w:t>$</w:t>
            </w:r>
            <w:r w:rsidR="00487E5A" w:rsidRPr="00487E5A">
              <w:rPr>
                <w:color w:val="000000"/>
                <w:spacing w:val="53"/>
                <w:shd w:val="solid" w:color="000000" w:fill="000000"/>
                <w:fitText w:val="330" w:id="-663539967"/>
                <w14:textFill>
                  <w14:solidFill>
                    <w14:srgbClr w14:val="000000">
                      <w14:alpha w14:val="100000"/>
                    </w14:srgbClr>
                  </w14:solidFill>
                </w14:textFill>
              </w:rPr>
              <w:t>|||</w:t>
            </w:r>
            <w:r w:rsidR="00487E5A" w:rsidRPr="00487E5A">
              <w:rPr>
                <w:color w:val="000000"/>
                <w:spacing w:val="1"/>
                <w:shd w:val="solid" w:color="000000" w:fill="000000"/>
                <w:fitText w:val="330" w:id="-663539967"/>
                <w14:textFill>
                  <w14:solidFill>
                    <w14:srgbClr w14:val="000000">
                      <w14:alpha w14:val="100000"/>
                    </w14:srgbClr>
                  </w14:solidFill>
                </w14:textFill>
              </w:rPr>
              <w:t>|</w:t>
            </w:r>
            <w:r w:rsidR="00FE19F8">
              <w:rPr>
                <w:b/>
              </w:rPr>
              <w:t xml:space="preserve"> </w:t>
            </w:r>
            <w:r w:rsidR="00FE19F8">
              <w:rPr>
                <w:b/>
                <w:vertAlign w:val="superscript"/>
              </w:rPr>
              <w:t>3</w:t>
            </w:r>
          </w:p>
        </w:tc>
        <w:tc>
          <w:tcPr>
            <w:tcW w:w="521" w:type="pct"/>
          </w:tcPr>
          <w:p w14:paraId="2F1779C8" w14:textId="23E9FE68" w:rsidR="001C256F" w:rsidRPr="00480790" w:rsidRDefault="00487E5A" w:rsidP="0058396F">
            <w:pPr>
              <w:pStyle w:val="TableText0"/>
              <w:keepNext w:val="0"/>
              <w:keepLines/>
              <w:jc w:val="center"/>
            </w:pPr>
            <w:r w:rsidRPr="00487E5A">
              <w:rPr>
                <w:color w:val="000000"/>
                <w:spacing w:val="53"/>
                <w:shd w:val="solid" w:color="000000" w:fill="000000"/>
                <w:fitText w:val="330" w:id="-663539966"/>
                <w14:textFill>
                  <w14:solidFill>
                    <w14:srgbClr w14:val="000000">
                      <w14:alpha w14:val="100000"/>
                    </w14:srgbClr>
                  </w14:solidFill>
                </w14:textFill>
              </w:rPr>
              <w:t>|||</w:t>
            </w:r>
            <w:r w:rsidRPr="00487E5A">
              <w:rPr>
                <w:color w:val="000000"/>
                <w:spacing w:val="1"/>
                <w:shd w:val="solid" w:color="000000" w:fill="000000"/>
                <w:fitText w:val="330" w:id="-663539966"/>
                <w14:textFill>
                  <w14:solidFill>
                    <w14:srgbClr w14:val="000000">
                      <w14:alpha w14:val="100000"/>
                    </w14:srgbClr>
                  </w14:solidFill>
                </w14:textFill>
              </w:rPr>
              <w:t>|</w:t>
            </w:r>
            <w:r w:rsidR="001C256F" w:rsidRPr="00480790">
              <w:t>%</w:t>
            </w:r>
          </w:p>
        </w:tc>
      </w:tr>
      <w:tr w:rsidR="00AB01EA" w:rsidRPr="00480790" w14:paraId="7D6C0ECD" w14:textId="77777777" w:rsidTr="0066303D">
        <w:tc>
          <w:tcPr>
            <w:tcW w:w="2670" w:type="pct"/>
          </w:tcPr>
          <w:p w14:paraId="6A078005" w14:textId="77777777" w:rsidR="001C256F" w:rsidRPr="00480790" w:rsidRDefault="001C256F" w:rsidP="0058396F">
            <w:pPr>
              <w:pStyle w:val="TableText0"/>
              <w:keepNext w:val="0"/>
              <w:keepLines/>
            </w:pPr>
            <w:r w:rsidRPr="00480790">
              <w:rPr>
                <w:i/>
                <w:iCs/>
              </w:rPr>
              <w:t>b. Cure assumption (base case from Year 4, increasing linearly to a maximum of 92% at Year 5 in the DFS health state) changed to 91% patients cured at Year 10.</w:t>
            </w:r>
          </w:p>
        </w:tc>
        <w:tc>
          <w:tcPr>
            <w:tcW w:w="629" w:type="pct"/>
          </w:tcPr>
          <w:p w14:paraId="474A951E" w14:textId="20FC0140"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49"/>
                <w:shd w:val="solid" w:color="000000" w:fill="000000"/>
                <w:fitText w:val="320" w:id="-663539965"/>
                <w14:textFill>
                  <w14:solidFill>
                    <w14:srgbClr w14:val="000000">
                      <w14:alpha w14:val="100000"/>
                    </w14:srgbClr>
                  </w14:solidFill>
                </w14:textFill>
              </w:rPr>
              <w:t>|||</w:t>
            </w:r>
            <w:r w:rsidR="00487E5A" w:rsidRPr="00487E5A">
              <w:rPr>
                <w:i/>
                <w:iCs/>
                <w:color w:val="000000"/>
                <w:spacing w:val="3"/>
                <w:shd w:val="solid" w:color="000000" w:fill="000000"/>
                <w:fitText w:val="320" w:id="-663539965"/>
                <w14:textFill>
                  <w14:solidFill>
                    <w14:srgbClr w14:val="000000">
                      <w14:alpha w14:val="100000"/>
                    </w14:srgbClr>
                  </w14:solidFill>
                </w14:textFill>
              </w:rPr>
              <w:t>|</w:t>
            </w:r>
          </w:p>
        </w:tc>
        <w:tc>
          <w:tcPr>
            <w:tcW w:w="629" w:type="pct"/>
          </w:tcPr>
          <w:p w14:paraId="2FF7B347" w14:textId="77777777" w:rsidR="001C256F" w:rsidRPr="00480790" w:rsidRDefault="001C256F" w:rsidP="0058396F">
            <w:pPr>
              <w:pStyle w:val="TableText0"/>
              <w:keepNext w:val="0"/>
              <w:keepLines/>
              <w:jc w:val="center"/>
              <w:rPr>
                <w:i/>
                <w:iCs/>
              </w:rPr>
            </w:pPr>
            <w:r w:rsidRPr="00480790">
              <w:rPr>
                <w:i/>
                <w:iCs/>
              </w:rPr>
              <w:t>2.714</w:t>
            </w:r>
          </w:p>
        </w:tc>
        <w:tc>
          <w:tcPr>
            <w:tcW w:w="551" w:type="pct"/>
          </w:tcPr>
          <w:p w14:paraId="29901C4C" w14:textId="0B506696"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53"/>
                <w:shd w:val="solid" w:color="000000" w:fill="000000"/>
                <w:fitText w:val="330" w:id="-663539964"/>
                <w14:textFill>
                  <w14:solidFill>
                    <w14:srgbClr w14:val="000000">
                      <w14:alpha w14:val="100000"/>
                    </w14:srgbClr>
                  </w14:solidFill>
                </w14:textFill>
              </w:rPr>
              <w:t>|||</w:t>
            </w:r>
            <w:r w:rsidR="00487E5A" w:rsidRPr="00487E5A">
              <w:rPr>
                <w:i/>
                <w:iCs/>
                <w:color w:val="000000"/>
                <w:spacing w:val="1"/>
                <w:shd w:val="solid" w:color="000000" w:fill="000000"/>
                <w:fitText w:val="330" w:id="-663539964"/>
                <w14:textFill>
                  <w14:solidFill>
                    <w14:srgbClr w14:val="000000">
                      <w14:alpha w14:val="100000"/>
                    </w14:srgbClr>
                  </w14:solidFill>
                </w14:textFill>
              </w:rPr>
              <w:t>|</w:t>
            </w:r>
            <w:r w:rsidR="00FE19F8">
              <w:rPr>
                <w:b/>
              </w:rPr>
              <w:t xml:space="preserve"> </w:t>
            </w:r>
            <w:r w:rsidR="00FE19F8">
              <w:rPr>
                <w:b/>
                <w:vertAlign w:val="superscript"/>
              </w:rPr>
              <w:t>4</w:t>
            </w:r>
          </w:p>
        </w:tc>
        <w:tc>
          <w:tcPr>
            <w:tcW w:w="521" w:type="pct"/>
          </w:tcPr>
          <w:p w14:paraId="4252CC15" w14:textId="6CA99129" w:rsidR="001C256F" w:rsidRPr="00480790" w:rsidRDefault="00487E5A" w:rsidP="0058396F">
            <w:pPr>
              <w:pStyle w:val="TableText0"/>
              <w:keepNext w:val="0"/>
              <w:keepLines/>
              <w:jc w:val="center"/>
              <w:rPr>
                <w:i/>
                <w:iCs/>
              </w:rPr>
            </w:pPr>
            <w:r w:rsidRPr="00487E5A">
              <w:rPr>
                <w:i/>
                <w:iCs/>
                <w:color w:val="000000"/>
                <w:spacing w:val="53"/>
                <w:shd w:val="solid" w:color="000000" w:fill="000000"/>
                <w:fitText w:val="330" w:id="-663539963"/>
                <w14:textFill>
                  <w14:solidFill>
                    <w14:srgbClr w14:val="000000">
                      <w14:alpha w14:val="100000"/>
                    </w14:srgbClr>
                  </w14:solidFill>
                </w14:textFill>
              </w:rPr>
              <w:t>|||</w:t>
            </w:r>
            <w:r w:rsidRPr="00487E5A">
              <w:rPr>
                <w:i/>
                <w:iCs/>
                <w:color w:val="000000"/>
                <w:spacing w:val="1"/>
                <w:shd w:val="solid" w:color="000000" w:fill="000000"/>
                <w:fitText w:val="330" w:id="-663539963"/>
                <w14:textFill>
                  <w14:solidFill>
                    <w14:srgbClr w14:val="000000">
                      <w14:alpha w14:val="100000"/>
                    </w14:srgbClr>
                  </w14:solidFill>
                </w14:textFill>
              </w:rPr>
              <w:t>|</w:t>
            </w:r>
            <w:r w:rsidR="001C256F" w:rsidRPr="00480790">
              <w:rPr>
                <w:i/>
                <w:iCs/>
              </w:rPr>
              <w:t>%</w:t>
            </w:r>
          </w:p>
        </w:tc>
      </w:tr>
      <w:tr w:rsidR="00AB01EA" w:rsidRPr="00480790" w14:paraId="048B2B49" w14:textId="77777777" w:rsidTr="0066303D">
        <w:tc>
          <w:tcPr>
            <w:tcW w:w="2670" w:type="pct"/>
          </w:tcPr>
          <w:p w14:paraId="3580D21F" w14:textId="77777777" w:rsidR="001C256F" w:rsidRPr="00480790" w:rsidRDefault="001C256F" w:rsidP="0058396F">
            <w:pPr>
              <w:pStyle w:val="TableText0"/>
              <w:keepNext w:val="0"/>
              <w:keepLines/>
            </w:pPr>
            <w:r w:rsidRPr="00480790">
              <w:rPr>
                <w:i/>
                <w:iCs/>
              </w:rPr>
              <w:t>c. Utilities in DFS off-treatment (base case 0.861 in the alectinib arm and 0.847 in the chemotherapy arm) changed to average value of 0.854 used in both arms</w:t>
            </w:r>
          </w:p>
        </w:tc>
        <w:tc>
          <w:tcPr>
            <w:tcW w:w="629" w:type="pct"/>
          </w:tcPr>
          <w:p w14:paraId="7DBC4032" w14:textId="6F7CA581"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49"/>
                <w:shd w:val="solid" w:color="000000" w:fill="000000"/>
                <w:fitText w:val="320" w:id="-663539962"/>
                <w14:textFill>
                  <w14:solidFill>
                    <w14:srgbClr w14:val="000000">
                      <w14:alpha w14:val="100000"/>
                    </w14:srgbClr>
                  </w14:solidFill>
                </w14:textFill>
              </w:rPr>
              <w:t>|||</w:t>
            </w:r>
            <w:r w:rsidR="00487E5A" w:rsidRPr="00487E5A">
              <w:rPr>
                <w:i/>
                <w:iCs/>
                <w:color w:val="000000"/>
                <w:spacing w:val="3"/>
                <w:shd w:val="solid" w:color="000000" w:fill="000000"/>
                <w:fitText w:val="320" w:id="-663539962"/>
                <w14:textFill>
                  <w14:solidFill>
                    <w14:srgbClr w14:val="000000">
                      <w14:alpha w14:val="100000"/>
                    </w14:srgbClr>
                  </w14:solidFill>
                </w14:textFill>
              </w:rPr>
              <w:t>|</w:t>
            </w:r>
          </w:p>
        </w:tc>
        <w:tc>
          <w:tcPr>
            <w:tcW w:w="629" w:type="pct"/>
          </w:tcPr>
          <w:p w14:paraId="2F5B50E5" w14:textId="77777777" w:rsidR="001C256F" w:rsidRPr="00480790" w:rsidRDefault="001C256F" w:rsidP="0058396F">
            <w:pPr>
              <w:pStyle w:val="TableText0"/>
              <w:keepNext w:val="0"/>
              <w:keepLines/>
              <w:jc w:val="center"/>
              <w:rPr>
                <w:i/>
                <w:iCs/>
              </w:rPr>
            </w:pPr>
            <w:r w:rsidRPr="00480790">
              <w:rPr>
                <w:i/>
                <w:iCs/>
              </w:rPr>
              <w:t>3.275</w:t>
            </w:r>
          </w:p>
        </w:tc>
        <w:tc>
          <w:tcPr>
            <w:tcW w:w="551" w:type="pct"/>
          </w:tcPr>
          <w:p w14:paraId="24931D56" w14:textId="182CC32E"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53"/>
                <w:shd w:val="solid" w:color="000000" w:fill="000000"/>
                <w:fitText w:val="330" w:id="-663539961"/>
                <w14:textFill>
                  <w14:solidFill>
                    <w14:srgbClr w14:val="000000">
                      <w14:alpha w14:val="100000"/>
                    </w14:srgbClr>
                  </w14:solidFill>
                </w14:textFill>
              </w:rPr>
              <w:t>|||</w:t>
            </w:r>
            <w:r w:rsidR="00487E5A" w:rsidRPr="00487E5A">
              <w:rPr>
                <w:i/>
                <w:iCs/>
                <w:color w:val="000000"/>
                <w:spacing w:val="1"/>
                <w:shd w:val="solid" w:color="000000" w:fill="000000"/>
                <w:fitText w:val="330" w:id="-663539961"/>
                <w14:textFill>
                  <w14:solidFill>
                    <w14:srgbClr w14:val="000000">
                      <w14:alpha w14:val="100000"/>
                    </w14:srgbClr>
                  </w14:solidFill>
                </w14:textFill>
              </w:rPr>
              <w:t>|</w:t>
            </w:r>
            <w:r w:rsidR="00FE19F8">
              <w:rPr>
                <w:b/>
              </w:rPr>
              <w:t xml:space="preserve"> </w:t>
            </w:r>
            <w:r w:rsidR="00FE19F8">
              <w:rPr>
                <w:b/>
                <w:vertAlign w:val="superscript"/>
              </w:rPr>
              <w:t>1</w:t>
            </w:r>
          </w:p>
        </w:tc>
        <w:tc>
          <w:tcPr>
            <w:tcW w:w="521" w:type="pct"/>
          </w:tcPr>
          <w:p w14:paraId="5F4C133E" w14:textId="00450CDD" w:rsidR="001C256F" w:rsidRPr="00480790" w:rsidRDefault="00487E5A" w:rsidP="0058396F">
            <w:pPr>
              <w:pStyle w:val="TableText0"/>
              <w:keepNext w:val="0"/>
              <w:keepLines/>
              <w:jc w:val="center"/>
              <w:rPr>
                <w:i/>
                <w:iCs/>
              </w:rPr>
            </w:pPr>
            <w:r w:rsidRPr="00487E5A">
              <w:rPr>
                <w:i/>
                <w:iCs/>
                <w:color w:val="000000"/>
                <w:spacing w:val="53"/>
                <w:shd w:val="solid" w:color="000000" w:fill="000000"/>
                <w:fitText w:val="330" w:id="-663539960"/>
                <w14:textFill>
                  <w14:solidFill>
                    <w14:srgbClr w14:val="000000">
                      <w14:alpha w14:val="100000"/>
                    </w14:srgbClr>
                  </w14:solidFill>
                </w14:textFill>
              </w:rPr>
              <w:t>|||</w:t>
            </w:r>
            <w:r w:rsidRPr="00487E5A">
              <w:rPr>
                <w:i/>
                <w:iCs/>
                <w:color w:val="000000"/>
                <w:spacing w:val="1"/>
                <w:shd w:val="solid" w:color="000000" w:fill="000000"/>
                <w:fitText w:val="330" w:id="-663539960"/>
                <w14:textFill>
                  <w14:solidFill>
                    <w14:srgbClr w14:val="000000">
                      <w14:alpha w14:val="100000"/>
                    </w14:srgbClr>
                  </w14:solidFill>
                </w14:textFill>
              </w:rPr>
              <w:t>|</w:t>
            </w:r>
            <w:r w:rsidR="001C256F" w:rsidRPr="00480790">
              <w:rPr>
                <w:i/>
                <w:iCs/>
              </w:rPr>
              <w:t>%</w:t>
            </w:r>
          </w:p>
        </w:tc>
      </w:tr>
      <w:tr w:rsidR="00AB01EA" w:rsidRPr="00480790" w14:paraId="66AFDDF0" w14:textId="77777777" w:rsidTr="0066303D">
        <w:tc>
          <w:tcPr>
            <w:tcW w:w="2670" w:type="pct"/>
          </w:tcPr>
          <w:p w14:paraId="6A08495D" w14:textId="77777777" w:rsidR="001C256F" w:rsidRPr="00480790" w:rsidRDefault="001C256F" w:rsidP="0058396F">
            <w:pPr>
              <w:pStyle w:val="TableText0"/>
              <w:keepNext w:val="0"/>
              <w:keepLines/>
            </w:pPr>
            <w:r w:rsidRPr="00480790">
              <w:rPr>
                <w:i/>
                <w:iCs/>
              </w:rPr>
              <w:t>d. Treatment durations (base case used median values) changed to estimated mean treatment durations for chemotherapy arm: 1L alectinib treatment, 2L lorlatinib treatment, alectinib arm: 1L lorlatinib treatment, 2L brigatinib treatment. Also correcting source for treatment duration for alectinib 1L lorlatinib and alectinib arm 2L brigatinib.*</w:t>
            </w:r>
          </w:p>
        </w:tc>
        <w:tc>
          <w:tcPr>
            <w:tcW w:w="629" w:type="pct"/>
          </w:tcPr>
          <w:p w14:paraId="213163D1" w14:textId="46A47409"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49"/>
                <w:shd w:val="solid" w:color="000000" w:fill="000000"/>
                <w:fitText w:val="320" w:id="-663539712"/>
                <w14:textFill>
                  <w14:solidFill>
                    <w14:srgbClr w14:val="000000">
                      <w14:alpha w14:val="100000"/>
                    </w14:srgbClr>
                  </w14:solidFill>
                </w14:textFill>
              </w:rPr>
              <w:t>|||</w:t>
            </w:r>
            <w:r w:rsidR="00487E5A" w:rsidRPr="00487E5A">
              <w:rPr>
                <w:i/>
                <w:iCs/>
                <w:color w:val="000000"/>
                <w:spacing w:val="3"/>
                <w:shd w:val="solid" w:color="000000" w:fill="000000"/>
                <w:fitText w:val="320" w:id="-663539712"/>
                <w14:textFill>
                  <w14:solidFill>
                    <w14:srgbClr w14:val="000000">
                      <w14:alpha w14:val="100000"/>
                    </w14:srgbClr>
                  </w14:solidFill>
                </w14:textFill>
              </w:rPr>
              <w:t>|</w:t>
            </w:r>
          </w:p>
        </w:tc>
        <w:tc>
          <w:tcPr>
            <w:tcW w:w="629" w:type="pct"/>
          </w:tcPr>
          <w:p w14:paraId="1D6F905B" w14:textId="77777777" w:rsidR="001C256F" w:rsidRPr="00480790" w:rsidRDefault="001C256F" w:rsidP="0058396F">
            <w:pPr>
              <w:pStyle w:val="TableText0"/>
              <w:keepNext w:val="0"/>
              <w:keepLines/>
              <w:jc w:val="center"/>
              <w:rPr>
                <w:i/>
                <w:iCs/>
              </w:rPr>
            </w:pPr>
            <w:r w:rsidRPr="00480790">
              <w:rPr>
                <w:i/>
                <w:iCs/>
              </w:rPr>
              <w:t>3.373</w:t>
            </w:r>
          </w:p>
        </w:tc>
        <w:tc>
          <w:tcPr>
            <w:tcW w:w="551" w:type="pct"/>
          </w:tcPr>
          <w:p w14:paraId="2E6AA7CD" w14:textId="378A489A"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53"/>
                <w:shd w:val="solid" w:color="000000" w:fill="000000"/>
                <w:fitText w:val="330" w:id="-663539711"/>
                <w14:textFill>
                  <w14:solidFill>
                    <w14:srgbClr w14:val="000000">
                      <w14:alpha w14:val="100000"/>
                    </w14:srgbClr>
                  </w14:solidFill>
                </w14:textFill>
              </w:rPr>
              <w:t>|||</w:t>
            </w:r>
            <w:r w:rsidR="00487E5A" w:rsidRPr="00487E5A">
              <w:rPr>
                <w:i/>
                <w:iCs/>
                <w:color w:val="000000"/>
                <w:spacing w:val="1"/>
                <w:shd w:val="solid" w:color="000000" w:fill="000000"/>
                <w:fitText w:val="330" w:id="-663539711"/>
                <w14:textFill>
                  <w14:solidFill>
                    <w14:srgbClr w14:val="000000">
                      <w14:alpha w14:val="100000"/>
                    </w14:srgbClr>
                  </w14:solidFill>
                </w14:textFill>
              </w:rPr>
              <w:t>|</w:t>
            </w:r>
            <w:r w:rsidR="00FE19F8">
              <w:rPr>
                <w:b/>
              </w:rPr>
              <w:t xml:space="preserve"> </w:t>
            </w:r>
            <w:r w:rsidR="00FE19F8">
              <w:rPr>
                <w:b/>
                <w:vertAlign w:val="superscript"/>
              </w:rPr>
              <w:t>2</w:t>
            </w:r>
          </w:p>
        </w:tc>
        <w:tc>
          <w:tcPr>
            <w:tcW w:w="521" w:type="pct"/>
          </w:tcPr>
          <w:p w14:paraId="794BA96E" w14:textId="7C9C36F8"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53"/>
                <w:shd w:val="solid" w:color="000000" w:fill="000000"/>
                <w:fitText w:val="330" w:id="-663539710"/>
                <w14:textFill>
                  <w14:solidFill>
                    <w14:srgbClr w14:val="000000">
                      <w14:alpha w14:val="100000"/>
                    </w14:srgbClr>
                  </w14:solidFill>
                </w14:textFill>
              </w:rPr>
              <w:t>|||</w:t>
            </w:r>
            <w:r w:rsidR="00487E5A" w:rsidRPr="00487E5A">
              <w:rPr>
                <w:i/>
                <w:iCs/>
                <w:color w:val="000000"/>
                <w:spacing w:val="1"/>
                <w:shd w:val="solid" w:color="000000" w:fill="000000"/>
                <w:fitText w:val="330" w:id="-663539710"/>
                <w14:textFill>
                  <w14:solidFill>
                    <w14:srgbClr w14:val="000000">
                      <w14:alpha w14:val="100000"/>
                    </w14:srgbClr>
                  </w14:solidFill>
                </w14:textFill>
              </w:rPr>
              <w:t>|</w:t>
            </w:r>
            <w:r w:rsidRPr="00480790">
              <w:rPr>
                <w:i/>
                <w:iCs/>
              </w:rPr>
              <w:t>%</w:t>
            </w:r>
          </w:p>
        </w:tc>
      </w:tr>
      <w:tr w:rsidR="00AB01EA" w:rsidRPr="00480790" w14:paraId="062306CB" w14:textId="77777777" w:rsidTr="0066303D">
        <w:tc>
          <w:tcPr>
            <w:tcW w:w="2670" w:type="pct"/>
          </w:tcPr>
          <w:p w14:paraId="03E23F7F" w14:textId="77777777" w:rsidR="001C256F" w:rsidRPr="00480790" w:rsidRDefault="001C256F" w:rsidP="0058396F">
            <w:pPr>
              <w:pStyle w:val="TableText0"/>
              <w:keepNext w:val="0"/>
              <w:keepLines/>
              <w:rPr>
                <w:i/>
                <w:iCs/>
              </w:rPr>
            </w:pPr>
            <w:r w:rsidRPr="00480790">
              <w:rPr>
                <w:i/>
                <w:iCs/>
              </w:rPr>
              <w:t>e. End of life costs (base case used average monthly cost from 45 and Up Study = $6,409) changed to sum of costs in the final 6 months of life = $38,454.</w:t>
            </w:r>
          </w:p>
        </w:tc>
        <w:tc>
          <w:tcPr>
            <w:tcW w:w="629" w:type="pct"/>
          </w:tcPr>
          <w:p w14:paraId="46BEDB1F" w14:textId="61392D60"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49"/>
                <w:shd w:val="solid" w:color="000000" w:fill="000000"/>
                <w:fitText w:val="320" w:id="-663539709"/>
                <w14:textFill>
                  <w14:solidFill>
                    <w14:srgbClr w14:val="000000">
                      <w14:alpha w14:val="100000"/>
                    </w14:srgbClr>
                  </w14:solidFill>
                </w14:textFill>
              </w:rPr>
              <w:t>|||</w:t>
            </w:r>
            <w:r w:rsidR="00487E5A" w:rsidRPr="00487E5A">
              <w:rPr>
                <w:i/>
                <w:iCs/>
                <w:color w:val="000000"/>
                <w:spacing w:val="3"/>
                <w:shd w:val="solid" w:color="000000" w:fill="000000"/>
                <w:fitText w:val="320" w:id="-663539709"/>
                <w14:textFill>
                  <w14:solidFill>
                    <w14:srgbClr w14:val="000000">
                      <w14:alpha w14:val="100000"/>
                    </w14:srgbClr>
                  </w14:solidFill>
                </w14:textFill>
              </w:rPr>
              <w:t>|</w:t>
            </w:r>
          </w:p>
        </w:tc>
        <w:tc>
          <w:tcPr>
            <w:tcW w:w="629" w:type="pct"/>
          </w:tcPr>
          <w:p w14:paraId="40379028" w14:textId="77777777" w:rsidR="001C256F" w:rsidRPr="00480790" w:rsidRDefault="001C256F" w:rsidP="0058396F">
            <w:pPr>
              <w:pStyle w:val="TableText0"/>
              <w:keepNext w:val="0"/>
              <w:keepLines/>
              <w:jc w:val="center"/>
              <w:rPr>
                <w:i/>
                <w:iCs/>
              </w:rPr>
            </w:pPr>
            <w:r w:rsidRPr="00480790">
              <w:rPr>
                <w:i/>
                <w:iCs/>
              </w:rPr>
              <w:t>3.373</w:t>
            </w:r>
          </w:p>
        </w:tc>
        <w:tc>
          <w:tcPr>
            <w:tcW w:w="551" w:type="pct"/>
          </w:tcPr>
          <w:p w14:paraId="0ED18FCD" w14:textId="725809F9"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53"/>
                <w:shd w:val="solid" w:color="000000" w:fill="000000"/>
                <w:fitText w:val="330" w:id="-663539708"/>
                <w14:textFill>
                  <w14:solidFill>
                    <w14:srgbClr w14:val="000000">
                      <w14:alpha w14:val="100000"/>
                    </w14:srgbClr>
                  </w14:solidFill>
                </w14:textFill>
              </w:rPr>
              <w:t>|||</w:t>
            </w:r>
            <w:r w:rsidR="00487E5A" w:rsidRPr="00487E5A">
              <w:rPr>
                <w:i/>
                <w:iCs/>
                <w:color w:val="000000"/>
                <w:spacing w:val="1"/>
                <w:shd w:val="solid" w:color="000000" w:fill="000000"/>
                <w:fitText w:val="330" w:id="-663539708"/>
                <w14:textFill>
                  <w14:solidFill>
                    <w14:srgbClr w14:val="000000">
                      <w14:alpha w14:val="100000"/>
                    </w14:srgbClr>
                  </w14:solidFill>
                </w14:textFill>
              </w:rPr>
              <w:t>|</w:t>
            </w:r>
            <w:r w:rsidR="00FE19F8">
              <w:rPr>
                <w:b/>
              </w:rPr>
              <w:t xml:space="preserve"> </w:t>
            </w:r>
            <w:r w:rsidR="00FE19F8">
              <w:rPr>
                <w:b/>
                <w:vertAlign w:val="superscript"/>
              </w:rPr>
              <w:t>1</w:t>
            </w:r>
          </w:p>
        </w:tc>
        <w:tc>
          <w:tcPr>
            <w:tcW w:w="521" w:type="pct"/>
          </w:tcPr>
          <w:p w14:paraId="22327E46" w14:textId="0F7A3310" w:rsidR="001C256F" w:rsidRPr="00480790" w:rsidRDefault="001C256F" w:rsidP="0058396F">
            <w:pPr>
              <w:pStyle w:val="TableText0"/>
              <w:keepNext w:val="0"/>
              <w:keepLines/>
              <w:jc w:val="center"/>
              <w:rPr>
                <w:i/>
                <w:iCs/>
              </w:rPr>
            </w:pPr>
            <w:r w:rsidRPr="00FE19F8">
              <w:rPr>
                <w:i/>
                <w:iCs/>
              </w:rPr>
              <w:t>-</w:t>
            </w:r>
            <w:r w:rsidR="00487E5A" w:rsidRPr="00487E5A">
              <w:rPr>
                <w:i/>
                <w:iCs/>
                <w:color w:val="000000"/>
                <w:spacing w:val="53"/>
                <w:shd w:val="solid" w:color="000000" w:fill="000000"/>
                <w:fitText w:val="330" w:id="-663539707"/>
                <w14:textFill>
                  <w14:solidFill>
                    <w14:srgbClr w14:val="000000">
                      <w14:alpha w14:val="100000"/>
                    </w14:srgbClr>
                  </w14:solidFill>
                </w14:textFill>
              </w:rPr>
              <w:t>|||</w:t>
            </w:r>
            <w:r w:rsidR="00487E5A" w:rsidRPr="00487E5A">
              <w:rPr>
                <w:i/>
                <w:iCs/>
                <w:color w:val="000000"/>
                <w:spacing w:val="1"/>
                <w:shd w:val="solid" w:color="000000" w:fill="000000"/>
                <w:fitText w:val="330" w:id="-663539707"/>
                <w14:textFill>
                  <w14:solidFill>
                    <w14:srgbClr w14:val="000000">
                      <w14:alpha w14:val="100000"/>
                    </w14:srgbClr>
                  </w14:solidFill>
                </w14:textFill>
              </w:rPr>
              <w:t>|</w:t>
            </w:r>
            <w:r w:rsidRPr="00480790">
              <w:rPr>
                <w:i/>
                <w:iCs/>
              </w:rPr>
              <w:t>%</w:t>
            </w:r>
          </w:p>
        </w:tc>
      </w:tr>
      <w:tr w:rsidR="00AB01EA" w:rsidRPr="00480790" w14:paraId="08576CE6" w14:textId="77777777" w:rsidTr="0066303D">
        <w:tc>
          <w:tcPr>
            <w:tcW w:w="2670" w:type="pct"/>
          </w:tcPr>
          <w:p w14:paraId="08C8588A" w14:textId="77777777" w:rsidR="001C256F" w:rsidRPr="00480790" w:rsidRDefault="001C256F" w:rsidP="0058396F">
            <w:pPr>
              <w:pStyle w:val="TableText0"/>
              <w:keepNext w:val="0"/>
              <w:keepLines/>
              <w:rPr>
                <w:i/>
                <w:iCs/>
              </w:rPr>
            </w:pPr>
            <w:r w:rsidRPr="00480790">
              <w:rPr>
                <w:i/>
                <w:iCs/>
              </w:rPr>
              <w:t>f. Weekly probability of transition from LRR to death in alectinib arm (base case 0.111) changed to 0.0046</w:t>
            </w:r>
            <w:r w:rsidRPr="00480790">
              <w:rPr>
                <w:i/>
                <w:iCs/>
                <w:vertAlign w:val="superscript"/>
              </w:rPr>
              <w:t>1</w:t>
            </w:r>
            <w:r w:rsidRPr="00480790">
              <w:rPr>
                <w:i/>
                <w:iCs/>
              </w:rPr>
              <w:t>.</w:t>
            </w:r>
          </w:p>
        </w:tc>
        <w:tc>
          <w:tcPr>
            <w:tcW w:w="629" w:type="pct"/>
          </w:tcPr>
          <w:p w14:paraId="42699455" w14:textId="45AB70FD"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49"/>
                <w:shd w:val="solid" w:color="000000" w:fill="000000"/>
                <w:fitText w:val="320" w:id="-663539706"/>
                <w14:textFill>
                  <w14:solidFill>
                    <w14:srgbClr w14:val="000000">
                      <w14:alpha w14:val="100000"/>
                    </w14:srgbClr>
                  </w14:solidFill>
                </w14:textFill>
              </w:rPr>
              <w:t>|||</w:t>
            </w:r>
            <w:r w:rsidR="00487E5A" w:rsidRPr="00487E5A">
              <w:rPr>
                <w:i/>
                <w:iCs/>
                <w:color w:val="000000"/>
                <w:spacing w:val="3"/>
                <w:shd w:val="solid" w:color="000000" w:fill="000000"/>
                <w:fitText w:val="320" w:id="-663539706"/>
                <w14:textFill>
                  <w14:solidFill>
                    <w14:srgbClr w14:val="000000">
                      <w14:alpha w14:val="100000"/>
                    </w14:srgbClr>
                  </w14:solidFill>
                </w14:textFill>
              </w:rPr>
              <w:t>|</w:t>
            </w:r>
          </w:p>
        </w:tc>
        <w:tc>
          <w:tcPr>
            <w:tcW w:w="629" w:type="pct"/>
          </w:tcPr>
          <w:p w14:paraId="69FB3A22" w14:textId="77777777" w:rsidR="001C256F" w:rsidRPr="00480790" w:rsidRDefault="001C256F" w:rsidP="0058396F">
            <w:pPr>
              <w:pStyle w:val="TableText0"/>
              <w:keepNext w:val="0"/>
              <w:keepLines/>
              <w:jc w:val="center"/>
              <w:rPr>
                <w:i/>
                <w:iCs/>
              </w:rPr>
            </w:pPr>
            <w:r w:rsidRPr="00480790">
              <w:rPr>
                <w:i/>
                <w:iCs/>
              </w:rPr>
              <w:t>3.548</w:t>
            </w:r>
          </w:p>
        </w:tc>
        <w:tc>
          <w:tcPr>
            <w:tcW w:w="551" w:type="pct"/>
          </w:tcPr>
          <w:p w14:paraId="799E7D4B" w14:textId="69FE40DD"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53"/>
                <w:shd w:val="solid" w:color="000000" w:fill="000000"/>
                <w:fitText w:val="330" w:id="-663539705"/>
                <w14:textFill>
                  <w14:solidFill>
                    <w14:srgbClr w14:val="000000">
                      <w14:alpha w14:val="100000"/>
                    </w14:srgbClr>
                  </w14:solidFill>
                </w14:textFill>
              </w:rPr>
              <w:t>|||</w:t>
            </w:r>
            <w:r w:rsidR="00487E5A" w:rsidRPr="00487E5A">
              <w:rPr>
                <w:i/>
                <w:iCs/>
                <w:color w:val="000000"/>
                <w:spacing w:val="1"/>
                <w:shd w:val="solid" w:color="000000" w:fill="000000"/>
                <w:fitText w:val="330" w:id="-663539705"/>
                <w14:textFill>
                  <w14:solidFill>
                    <w14:srgbClr w14:val="000000">
                      <w14:alpha w14:val="100000"/>
                    </w14:srgbClr>
                  </w14:solidFill>
                </w14:textFill>
              </w:rPr>
              <w:t>|</w:t>
            </w:r>
            <w:r w:rsidR="00FE19F8">
              <w:rPr>
                <w:b/>
              </w:rPr>
              <w:t xml:space="preserve"> </w:t>
            </w:r>
            <w:r w:rsidR="00FE19F8">
              <w:rPr>
                <w:b/>
                <w:vertAlign w:val="superscript"/>
              </w:rPr>
              <w:t>3</w:t>
            </w:r>
          </w:p>
        </w:tc>
        <w:tc>
          <w:tcPr>
            <w:tcW w:w="521" w:type="pct"/>
          </w:tcPr>
          <w:p w14:paraId="153E0BCD" w14:textId="1BA813E2" w:rsidR="001C256F" w:rsidRPr="00480790" w:rsidRDefault="00487E5A" w:rsidP="0058396F">
            <w:pPr>
              <w:pStyle w:val="TableText0"/>
              <w:keepNext w:val="0"/>
              <w:keepLines/>
              <w:jc w:val="center"/>
              <w:rPr>
                <w:i/>
                <w:iCs/>
              </w:rPr>
            </w:pPr>
            <w:r w:rsidRPr="00487E5A">
              <w:rPr>
                <w:i/>
                <w:iCs/>
                <w:color w:val="000000"/>
                <w:spacing w:val="53"/>
                <w:shd w:val="solid" w:color="000000" w:fill="000000"/>
                <w:fitText w:val="330" w:id="-663539704"/>
                <w14:textFill>
                  <w14:solidFill>
                    <w14:srgbClr w14:val="000000">
                      <w14:alpha w14:val="100000"/>
                    </w14:srgbClr>
                  </w14:solidFill>
                </w14:textFill>
              </w:rPr>
              <w:t>|||</w:t>
            </w:r>
            <w:r w:rsidRPr="00487E5A">
              <w:rPr>
                <w:i/>
                <w:iCs/>
                <w:color w:val="000000"/>
                <w:spacing w:val="1"/>
                <w:shd w:val="solid" w:color="000000" w:fill="000000"/>
                <w:fitText w:val="330" w:id="-663539704"/>
                <w14:textFill>
                  <w14:solidFill>
                    <w14:srgbClr w14:val="000000">
                      <w14:alpha w14:val="100000"/>
                    </w14:srgbClr>
                  </w14:solidFill>
                </w14:textFill>
              </w:rPr>
              <w:t>|</w:t>
            </w:r>
            <w:r w:rsidR="001C256F" w:rsidRPr="00480790">
              <w:rPr>
                <w:i/>
                <w:iCs/>
              </w:rPr>
              <w:t>%</w:t>
            </w:r>
          </w:p>
        </w:tc>
      </w:tr>
      <w:tr w:rsidR="00AB01EA" w:rsidRPr="00480790" w14:paraId="2B794F9F" w14:textId="77777777" w:rsidTr="0066303D">
        <w:tc>
          <w:tcPr>
            <w:tcW w:w="4479" w:type="pct"/>
            <w:gridSpan w:val="4"/>
          </w:tcPr>
          <w:p w14:paraId="1CF97A97" w14:textId="77777777" w:rsidR="001C256F" w:rsidRPr="00480790" w:rsidRDefault="001C256F" w:rsidP="0058396F">
            <w:pPr>
              <w:pStyle w:val="In-tableHeading"/>
              <w:keepNext w:val="0"/>
              <w:keepLines/>
              <w:rPr>
                <w:lang w:val="en-AU"/>
              </w:rPr>
            </w:pPr>
            <w:r w:rsidRPr="00480790">
              <w:rPr>
                <w:lang w:val="en-AU"/>
              </w:rPr>
              <w:t>Multivariate analyses</w:t>
            </w:r>
          </w:p>
        </w:tc>
        <w:tc>
          <w:tcPr>
            <w:tcW w:w="521" w:type="pct"/>
          </w:tcPr>
          <w:p w14:paraId="29E0ADD3" w14:textId="77777777" w:rsidR="001C256F" w:rsidRPr="00480790" w:rsidRDefault="001C256F" w:rsidP="0058396F">
            <w:pPr>
              <w:pStyle w:val="In-tableHeading"/>
              <w:keepNext w:val="0"/>
              <w:keepLines/>
              <w:rPr>
                <w:lang w:val="en-AU"/>
              </w:rPr>
            </w:pPr>
          </w:p>
        </w:tc>
      </w:tr>
      <w:tr w:rsidR="00AB01EA" w:rsidRPr="00480790" w14:paraId="7381DBA9" w14:textId="77777777" w:rsidTr="0066303D">
        <w:tc>
          <w:tcPr>
            <w:tcW w:w="2670" w:type="pct"/>
          </w:tcPr>
          <w:p w14:paraId="67F043AD" w14:textId="4E2DBD1C" w:rsidR="001C256F" w:rsidRPr="00480790" w:rsidRDefault="001C256F" w:rsidP="0058396F">
            <w:pPr>
              <w:pStyle w:val="TableText0"/>
              <w:keepNext w:val="0"/>
              <w:keepLines/>
              <w:rPr>
                <w:i/>
                <w:iCs/>
              </w:rPr>
            </w:pPr>
            <w:r w:rsidRPr="00480790">
              <w:rPr>
                <w:i/>
                <w:iCs/>
              </w:rPr>
              <w:t>a.b</w:t>
            </w:r>
            <w:r w:rsidR="00B16BAD">
              <w:rPr>
                <w:i/>
                <w:iCs/>
              </w:rPr>
              <w:t>.</w:t>
            </w:r>
            <w:r w:rsidRPr="00480790">
              <w:rPr>
                <w:i/>
                <w:iCs/>
              </w:rPr>
              <w:t xml:space="preserve"> 15-year time horizon and 91% patients cured at Year 10.</w:t>
            </w:r>
          </w:p>
        </w:tc>
        <w:tc>
          <w:tcPr>
            <w:tcW w:w="629" w:type="pct"/>
          </w:tcPr>
          <w:p w14:paraId="0761378A" w14:textId="1538D776"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49"/>
                <w:shd w:val="solid" w:color="000000" w:fill="000000"/>
                <w:fitText w:val="320" w:id="-663539703"/>
                <w14:textFill>
                  <w14:solidFill>
                    <w14:srgbClr w14:val="000000">
                      <w14:alpha w14:val="100000"/>
                    </w14:srgbClr>
                  </w14:solidFill>
                </w14:textFill>
              </w:rPr>
              <w:t>|||</w:t>
            </w:r>
            <w:r w:rsidR="00487E5A" w:rsidRPr="00487E5A">
              <w:rPr>
                <w:i/>
                <w:iCs/>
                <w:color w:val="000000"/>
                <w:spacing w:val="3"/>
                <w:shd w:val="solid" w:color="000000" w:fill="000000"/>
                <w:fitText w:val="320" w:id="-663539703"/>
                <w14:textFill>
                  <w14:solidFill>
                    <w14:srgbClr w14:val="000000">
                      <w14:alpha w14:val="100000"/>
                    </w14:srgbClr>
                  </w14:solidFill>
                </w14:textFill>
              </w:rPr>
              <w:t>|</w:t>
            </w:r>
          </w:p>
        </w:tc>
        <w:tc>
          <w:tcPr>
            <w:tcW w:w="629" w:type="pct"/>
          </w:tcPr>
          <w:p w14:paraId="379C6DFE" w14:textId="77777777" w:rsidR="001C256F" w:rsidRPr="00480790" w:rsidRDefault="001C256F" w:rsidP="0058396F">
            <w:pPr>
              <w:pStyle w:val="TableText0"/>
              <w:keepNext w:val="0"/>
              <w:keepLines/>
              <w:jc w:val="center"/>
              <w:rPr>
                <w:i/>
                <w:iCs/>
              </w:rPr>
            </w:pPr>
            <w:r w:rsidRPr="00480790">
              <w:rPr>
                <w:i/>
                <w:iCs/>
              </w:rPr>
              <w:t>2.219</w:t>
            </w:r>
          </w:p>
        </w:tc>
        <w:tc>
          <w:tcPr>
            <w:tcW w:w="551" w:type="pct"/>
          </w:tcPr>
          <w:p w14:paraId="07348058" w14:textId="6E3A64B8"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53"/>
                <w:shd w:val="solid" w:color="000000" w:fill="000000"/>
                <w:fitText w:val="330" w:id="-663539702"/>
                <w14:textFill>
                  <w14:solidFill>
                    <w14:srgbClr w14:val="000000">
                      <w14:alpha w14:val="100000"/>
                    </w14:srgbClr>
                  </w14:solidFill>
                </w14:textFill>
              </w:rPr>
              <w:t>|||</w:t>
            </w:r>
            <w:r w:rsidR="00487E5A" w:rsidRPr="00487E5A">
              <w:rPr>
                <w:i/>
                <w:iCs/>
                <w:color w:val="000000"/>
                <w:spacing w:val="1"/>
                <w:shd w:val="solid" w:color="000000" w:fill="000000"/>
                <w:fitText w:val="330" w:id="-663539702"/>
                <w14:textFill>
                  <w14:solidFill>
                    <w14:srgbClr w14:val="000000">
                      <w14:alpha w14:val="100000"/>
                    </w14:srgbClr>
                  </w14:solidFill>
                </w14:textFill>
              </w:rPr>
              <w:t>|</w:t>
            </w:r>
            <w:r w:rsidR="00FE19F8">
              <w:rPr>
                <w:b/>
              </w:rPr>
              <w:t xml:space="preserve"> </w:t>
            </w:r>
            <w:r w:rsidR="00FE19F8">
              <w:rPr>
                <w:b/>
                <w:vertAlign w:val="superscript"/>
              </w:rPr>
              <w:t>5</w:t>
            </w:r>
          </w:p>
        </w:tc>
        <w:tc>
          <w:tcPr>
            <w:tcW w:w="521" w:type="pct"/>
          </w:tcPr>
          <w:p w14:paraId="365199B1" w14:textId="26DFE961" w:rsidR="001C256F" w:rsidRPr="00480790" w:rsidRDefault="00487E5A" w:rsidP="00B83242">
            <w:pPr>
              <w:pStyle w:val="TableText0"/>
              <w:keepNext w:val="0"/>
              <w:keepLines/>
              <w:jc w:val="center"/>
              <w:rPr>
                <w:i/>
                <w:iCs/>
              </w:rPr>
            </w:pPr>
            <w:r w:rsidRPr="00487E5A">
              <w:rPr>
                <w:i/>
                <w:iCs/>
                <w:color w:val="000000"/>
                <w:spacing w:val="53"/>
                <w:shd w:val="solid" w:color="000000" w:fill="000000"/>
                <w:fitText w:val="330" w:id="-663539701"/>
                <w14:textFill>
                  <w14:solidFill>
                    <w14:srgbClr w14:val="000000">
                      <w14:alpha w14:val="100000"/>
                    </w14:srgbClr>
                  </w14:solidFill>
                </w14:textFill>
              </w:rPr>
              <w:t>|||</w:t>
            </w:r>
            <w:r w:rsidRPr="00487E5A">
              <w:rPr>
                <w:i/>
                <w:iCs/>
                <w:color w:val="000000"/>
                <w:spacing w:val="1"/>
                <w:shd w:val="solid" w:color="000000" w:fill="000000"/>
                <w:fitText w:val="330" w:id="-663539701"/>
                <w14:textFill>
                  <w14:solidFill>
                    <w14:srgbClr w14:val="000000">
                      <w14:alpha w14:val="100000"/>
                    </w14:srgbClr>
                  </w14:solidFill>
                </w14:textFill>
              </w:rPr>
              <w:t>|</w:t>
            </w:r>
            <w:r w:rsidR="001C256F" w:rsidRPr="00480790">
              <w:rPr>
                <w:i/>
                <w:iCs/>
              </w:rPr>
              <w:t>%</w:t>
            </w:r>
          </w:p>
        </w:tc>
      </w:tr>
      <w:tr w:rsidR="00AB01EA" w:rsidRPr="00480790" w14:paraId="4AEFDB17" w14:textId="77777777" w:rsidTr="0066303D">
        <w:tc>
          <w:tcPr>
            <w:tcW w:w="2670" w:type="pct"/>
          </w:tcPr>
          <w:p w14:paraId="57D4E3B8" w14:textId="6A4402D6" w:rsidR="001C256F" w:rsidRPr="00480790" w:rsidRDefault="001C256F" w:rsidP="0058396F">
            <w:pPr>
              <w:pStyle w:val="TableText0"/>
              <w:keepNext w:val="0"/>
              <w:keepLines/>
              <w:rPr>
                <w:i/>
                <w:iCs/>
              </w:rPr>
            </w:pPr>
            <w:r w:rsidRPr="00480790">
              <w:rPr>
                <w:i/>
                <w:iCs/>
              </w:rPr>
              <w:t>a.b.c.</w:t>
            </w:r>
            <w:r w:rsidR="00B16BAD">
              <w:rPr>
                <w:i/>
                <w:iCs/>
              </w:rPr>
              <w:t xml:space="preserve"> </w:t>
            </w:r>
            <w:r w:rsidRPr="00480790">
              <w:rPr>
                <w:i/>
                <w:iCs/>
              </w:rPr>
              <w:t>15-year time horizon and 91% patients cured at Year 10 and utility in DFS off-treatment set to 0.854.</w:t>
            </w:r>
          </w:p>
        </w:tc>
        <w:tc>
          <w:tcPr>
            <w:tcW w:w="629" w:type="pct"/>
          </w:tcPr>
          <w:p w14:paraId="1D30F777" w14:textId="45CBE83A"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49"/>
                <w:shd w:val="solid" w:color="000000" w:fill="000000"/>
                <w:fitText w:val="320" w:id="-663539700"/>
                <w14:textFill>
                  <w14:solidFill>
                    <w14:srgbClr w14:val="000000">
                      <w14:alpha w14:val="100000"/>
                    </w14:srgbClr>
                  </w14:solidFill>
                </w14:textFill>
              </w:rPr>
              <w:t>|||</w:t>
            </w:r>
            <w:r w:rsidR="00487E5A" w:rsidRPr="00487E5A">
              <w:rPr>
                <w:i/>
                <w:iCs/>
                <w:color w:val="000000"/>
                <w:spacing w:val="3"/>
                <w:shd w:val="solid" w:color="000000" w:fill="000000"/>
                <w:fitText w:val="320" w:id="-663539700"/>
                <w14:textFill>
                  <w14:solidFill>
                    <w14:srgbClr w14:val="000000">
                      <w14:alpha w14:val="100000"/>
                    </w14:srgbClr>
                  </w14:solidFill>
                </w14:textFill>
              </w:rPr>
              <w:t>|</w:t>
            </w:r>
          </w:p>
          <w:p w14:paraId="7A92601A" w14:textId="77777777" w:rsidR="001C256F" w:rsidRPr="00480790" w:rsidRDefault="001C256F" w:rsidP="0058396F">
            <w:pPr>
              <w:pStyle w:val="TableText0"/>
              <w:keepNext w:val="0"/>
              <w:keepLines/>
              <w:jc w:val="center"/>
              <w:rPr>
                <w:i/>
                <w:iCs/>
              </w:rPr>
            </w:pPr>
          </w:p>
        </w:tc>
        <w:tc>
          <w:tcPr>
            <w:tcW w:w="629" w:type="pct"/>
          </w:tcPr>
          <w:p w14:paraId="5C7DB769" w14:textId="77777777" w:rsidR="001C256F" w:rsidRPr="00480790" w:rsidRDefault="001C256F" w:rsidP="0058396F">
            <w:pPr>
              <w:pStyle w:val="TableText0"/>
              <w:keepNext w:val="0"/>
              <w:keepLines/>
              <w:jc w:val="center"/>
              <w:rPr>
                <w:i/>
                <w:iCs/>
              </w:rPr>
            </w:pPr>
            <w:r w:rsidRPr="00480790">
              <w:rPr>
                <w:i/>
                <w:iCs/>
              </w:rPr>
              <w:t>2.151</w:t>
            </w:r>
          </w:p>
          <w:p w14:paraId="5DF21B9F" w14:textId="77777777" w:rsidR="001C256F" w:rsidRPr="00480790" w:rsidRDefault="001C256F" w:rsidP="0058396F">
            <w:pPr>
              <w:pStyle w:val="TableText0"/>
              <w:keepNext w:val="0"/>
              <w:keepLines/>
              <w:jc w:val="center"/>
              <w:rPr>
                <w:i/>
                <w:iCs/>
              </w:rPr>
            </w:pPr>
          </w:p>
        </w:tc>
        <w:tc>
          <w:tcPr>
            <w:tcW w:w="551" w:type="pct"/>
          </w:tcPr>
          <w:p w14:paraId="2C1A92DB" w14:textId="5A301230"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53"/>
                <w:shd w:val="solid" w:color="000000" w:fill="000000"/>
                <w:fitText w:val="330" w:id="-663539699"/>
                <w14:textFill>
                  <w14:solidFill>
                    <w14:srgbClr w14:val="000000">
                      <w14:alpha w14:val="100000"/>
                    </w14:srgbClr>
                  </w14:solidFill>
                </w14:textFill>
              </w:rPr>
              <w:t>|||</w:t>
            </w:r>
            <w:r w:rsidR="00487E5A" w:rsidRPr="00487E5A">
              <w:rPr>
                <w:i/>
                <w:iCs/>
                <w:color w:val="000000"/>
                <w:spacing w:val="1"/>
                <w:shd w:val="solid" w:color="000000" w:fill="000000"/>
                <w:fitText w:val="330" w:id="-663539699"/>
                <w14:textFill>
                  <w14:solidFill>
                    <w14:srgbClr w14:val="000000">
                      <w14:alpha w14:val="100000"/>
                    </w14:srgbClr>
                  </w14:solidFill>
                </w14:textFill>
              </w:rPr>
              <w:t>|</w:t>
            </w:r>
            <w:r w:rsidR="00FE19F8">
              <w:rPr>
                <w:b/>
              </w:rPr>
              <w:t xml:space="preserve"> </w:t>
            </w:r>
            <w:r w:rsidR="00FE19F8">
              <w:rPr>
                <w:b/>
                <w:vertAlign w:val="superscript"/>
              </w:rPr>
              <w:t>5</w:t>
            </w:r>
          </w:p>
          <w:p w14:paraId="1280AB36" w14:textId="77777777" w:rsidR="001C256F" w:rsidRPr="00480790" w:rsidRDefault="001C256F" w:rsidP="0058396F">
            <w:pPr>
              <w:pStyle w:val="TableText0"/>
              <w:keepNext w:val="0"/>
              <w:keepLines/>
              <w:jc w:val="center"/>
              <w:rPr>
                <w:i/>
                <w:iCs/>
              </w:rPr>
            </w:pPr>
          </w:p>
        </w:tc>
        <w:tc>
          <w:tcPr>
            <w:tcW w:w="521" w:type="pct"/>
          </w:tcPr>
          <w:p w14:paraId="6D34ED50" w14:textId="30A2ED1A" w:rsidR="001C256F" w:rsidRPr="00480790" w:rsidRDefault="00487E5A" w:rsidP="0058396F">
            <w:pPr>
              <w:pStyle w:val="TableText0"/>
              <w:keepNext w:val="0"/>
              <w:keepLines/>
              <w:jc w:val="center"/>
              <w:rPr>
                <w:i/>
                <w:iCs/>
              </w:rPr>
            </w:pPr>
            <w:r w:rsidRPr="00487E5A">
              <w:rPr>
                <w:i/>
                <w:iCs/>
                <w:color w:val="000000"/>
                <w:spacing w:val="53"/>
                <w:shd w:val="solid" w:color="000000" w:fill="000000"/>
                <w:fitText w:val="330" w:id="-663539698"/>
                <w14:textFill>
                  <w14:solidFill>
                    <w14:srgbClr w14:val="000000">
                      <w14:alpha w14:val="100000"/>
                    </w14:srgbClr>
                  </w14:solidFill>
                </w14:textFill>
              </w:rPr>
              <w:t>|||</w:t>
            </w:r>
            <w:r w:rsidRPr="00487E5A">
              <w:rPr>
                <w:i/>
                <w:iCs/>
                <w:color w:val="000000"/>
                <w:spacing w:val="1"/>
                <w:shd w:val="solid" w:color="000000" w:fill="000000"/>
                <w:fitText w:val="330" w:id="-663539698"/>
                <w14:textFill>
                  <w14:solidFill>
                    <w14:srgbClr w14:val="000000">
                      <w14:alpha w14:val="100000"/>
                    </w14:srgbClr>
                  </w14:solidFill>
                </w14:textFill>
              </w:rPr>
              <w:t>|</w:t>
            </w:r>
            <w:r w:rsidR="001C256F" w:rsidRPr="00480790">
              <w:rPr>
                <w:i/>
                <w:iCs/>
              </w:rPr>
              <w:t>%</w:t>
            </w:r>
          </w:p>
          <w:p w14:paraId="228106D5" w14:textId="77777777" w:rsidR="001C256F" w:rsidRPr="00480790" w:rsidRDefault="001C256F" w:rsidP="0058396F">
            <w:pPr>
              <w:pStyle w:val="TableText0"/>
              <w:keepNext w:val="0"/>
              <w:keepLines/>
              <w:jc w:val="center"/>
              <w:rPr>
                <w:i/>
                <w:iCs/>
              </w:rPr>
            </w:pPr>
          </w:p>
        </w:tc>
      </w:tr>
      <w:tr w:rsidR="00AB01EA" w:rsidRPr="00480790" w14:paraId="73B6E617" w14:textId="77777777" w:rsidTr="0066303D">
        <w:tc>
          <w:tcPr>
            <w:tcW w:w="2670" w:type="pct"/>
            <w:tcBorders>
              <w:top w:val="single" w:sz="4" w:space="0" w:color="auto"/>
              <w:left w:val="single" w:sz="4" w:space="0" w:color="auto"/>
              <w:bottom w:val="single" w:sz="4" w:space="0" w:color="auto"/>
              <w:right w:val="single" w:sz="4" w:space="0" w:color="auto"/>
            </w:tcBorders>
          </w:tcPr>
          <w:p w14:paraId="6EB4E6A8" w14:textId="3D9A79EB" w:rsidR="001C256F" w:rsidRPr="00480790" w:rsidRDefault="001C256F" w:rsidP="0058396F">
            <w:pPr>
              <w:pStyle w:val="TableText0"/>
              <w:keepNext w:val="0"/>
              <w:keepLines/>
              <w:rPr>
                <w:i/>
                <w:iCs/>
              </w:rPr>
            </w:pPr>
            <w:r w:rsidRPr="00480790">
              <w:rPr>
                <w:i/>
                <w:iCs/>
              </w:rPr>
              <w:t>a.b.c.d.</w:t>
            </w:r>
            <w:r w:rsidR="00B16BAD">
              <w:rPr>
                <w:i/>
                <w:iCs/>
              </w:rPr>
              <w:t xml:space="preserve"> </w:t>
            </w:r>
            <w:r w:rsidRPr="00480790">
              <w:rPr>
                <w:i/>
                <w:iCs/>
              </w:rPr>
              <w:t>15-year time horizon and 91% patients cured at Year 10 and utility in DFS off-treatment set to 0.854 and treatment durations using mean values and correcting source of 2 treatment durations.</w:t>
            </w:r>
          </w:p>
        </w:tc>
        <w:tc>
          <w:tcPr>
            <w:tcW w:w="629" w:type="pct"/>
            <w:tcBorders>
              <w:top w:val="single" w:sz="4" w:space="0" w:color="auto"/>
              <w:left w:val="single" w:sz="4" w:space="0" w:color="auto"/>
              <w:bottom w:val="single" w:sz="4" w:space="0" w:color="auto"/>
              <w:right w:val="single" w:sz="4" w:space="0" w:color="auto"/>
            </w:tcBorders>
          </w:tcPr>
          <w:p w14:paraId="2D01AB0D" w14:textId="338BE1F3"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49"/>
                <w:shd w:val="solid" w:color="000000" w:fill="000000"/>
                <w:fitText w:val="320" w:id="-663539697"/>
                <w14:textFill>
                  <w14:solidFill>
                    <w14:srgbClr w14:val="000000">
                      <w14:alpha w14:val="100000"/>
                    </w14:srgbClr>
                  </w14:solidFill>
                </w14:textFill>
              </w:rPr>
              <w:t>|||</w:t>
            </w:r>
            <w:r w:rsidR="00487E5A" w:rsidRPr="00487E5A">
              <w:rPr>
                <w:i/>
                <w:iCs/>
                <w:color w:val="000000"/>
                <w:spacing w:val="3"/>
                <w:shd w:val="solid" w:color="000000" w:fill="000000"/>
                <w:fitText w:val="320" w:id="-663539697"/>
                <w14:textFill>
                  <w14:solidFill>
                    <w14:srgbClr w14:val="000000">
                      <w14:alpha w14:val="100000"/>
                    </w14:srgbClr>
                  </w14:solidFill>
                </w14:textFill>
              </w:rPr>
              <w:t>|</w:t>
            </w:r>
          </w:p>
          <w:p w14:paraId="340BDA7B" w14:textId="77777777" w:rsidR="001C256F" w:rsidRPr="00480790" w:rsidRDefault="001C256F" w:rsidP="0058396F">
            <w:pPr>
              <w:pStyle w:val="TableText0"/>
              <w:keepNext w:val="0"/>
              <w:keepLines/>
              <w:jc w:val="center"/>
              <w:rPr>
                <w:i/>
                <w:iCs/>
              </w:rPr>
            </w:pPr>
          </w:p>
        </w:tc>
        <w:tc>
          <w:tcPr>
            <w:tcW w:w="629" w:type="pct"/>
            <w:tcBorders>
              <w:top w:val="single" w:sz="4" w:space="0" w:color="auto"/>
              <w:left w:val="single" w:sz="4" w:space="0" w:color="auto"/>
              <w:bottom w:val="single" w:sz="4" w:space="0" w:color="auto"/>
              <w:right w:val="single" w:sz="4" w:space="0" w:color="auto"/>
            </w:tcBorders>
          </w:tcPr>
          <w:p w14:paraId="45C96278" w14:textId="77777777" w:rsidR="001C256F" w:rsidRPr="00480790" w:rsidRDefault="001C256F" w:rsidP="0058396F">
            <w:pPr>
              <w:pStyle w:val="TableText0"/>
              <w:keepNext w:val="0"/>
              <w:keepLines/>
              <w:jc w:val="center"/>
              <w:rPr>
                <w:i/>
                <w:iCs/>
              </w:rPr>
            </w:pPr>
            <w:r w:rsidRPr="00480790">
              <w:rPr>
                <w:i/>
                <w:iCs/>
              </w:rPr>
              <w:t>2.151</w:t>
            </w:r>
          </w:p>
          <w:p w14:paraId="59D381DD" w14:textId="77777777" w:rsidR="001C256F" w:rsidRPr="00480790" w:rsidRDefault="001C256F" w:rsidP="0058396F">
            <w:pPr>
              <w:pStyle w:val="TableText0"/>
              <w:keepNext w:val="0"/>
              <w:keepLines/>
              <w:jc w:val="center"/>
              <w:rPr>
                <w:i/>
                <w:iCs/>
              </w:rPr>
            </w:pPr>
          </w:p>
        </w:tc>
        <w:tc>
          <w:tcPr>
            <w:tcW w:w="551" w:type="pct"/>
            <w:tcBorders>
              <w:top w:val="single" w:sz="4" w:space="0" w:color="auto"/>
              <w:left w:val="single" w:sz="4" w:space="0" w:color="auto"/>
              <w:bottom w:val="single" w:sz="4" w:space="0" w:color="auto"/>
              <w:right w:val="single" w:sz="4" w:space="0" w:color="auto"/>
            </w:tcBorders>
          </w:tcPr>
          <w:p w14:paraId="2229E72F" w14:textId="43A362C9"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53"/>
                <w:shd w:val="solid" w:color="000000" w:fill="000000"/>
                <w:fitText w:val="330" w:id="-663539696"/>
                <w14:textFill>
                  <w14:solidFill>
                    <w14:srgbClr w14:val="000000">
                      <w14:alpha w14:val="100000"/>
                    </w14:srgbClr>
                  </w14:solidFill>
                </w14:textFill>
              </w:rPr>
              <w:t>|||</w:t>
            </w:r>
            <w:r w:rsidR="00487E5A" w:rsidRPr="00487E5A">
              <w:rPr>
                <w:i/>
                <w:iCs/>
                <w:color w:val="000000"/>
                <w:spacing w:val="1"/>
                <w:shd w:val="solid" w:color="000000" w:fill="000000"/>
                <w:fitText w:val="330" w:id="-663539696"/>
                <w14:textFill>
                  <w14:solidFill>
                    <w14:srgbClr w14:val="000000">
                      <w14:alpha w14:val="100000"/>
                    </w14:srgbClr>
                  </w14:solidFill>
                </w14:textFill>
              </w:rPr>
              <w:t>|</w:t>
            </w:r>
            <w:r w:rsidR="00FE19F8">
              <w:rPr>
                <w:b/>
              </w:rPr>
              <w:t xml:space="preserve"> </w:t>
            </w:r>
            <w:r w:rsidR="00FE19F8">
              <w:rPr>
                <w:b/>
                <w:vertAlign w:val="superscript"/>
              </w:rPr>
              <w:t>3</w:t>
            </w:r>
          </w:p>
        </w:tc>
        <w:tc>
          <w:tcPr>
            <w:tcW w:w="521" w:type="pct"/>
            <w:tcBorders>
              <w:top w:val="single" w:sz="4" w:space="0" w:color="auto"/>
              <w:left w:val="single" w:sz="4" w:space="0" w:color="auto"/>
              <w:bottom w:val="single" w:sz="4" w:space="0" w:color="auto"/>
              <w:right w:val="single" w:sz="4" w:space="0" w:color="auto"/>
            </w:tcBorders>
          </w:tcPr>
          <w:p w14:paraId="3C96BF21" w14:textId="151480D8" w:rsidR="001C256F" w:rsidRPr="00480790" w:rsidRDefault="00487E5A" w:rsidP="0058396F">
            <w:pPr>
              <w:pStyle w:val="TableText0"/>
              <w:keepNext w:val="0"/>
              <w:keepLines/>
              <w:jc w:val="center"/>
              <w:rPr>
                <w:i/>
                <w:iCs/>
              </w:rPr>
            </w:pPr>
            <w:r w:rsidRPr="00487E5A">
              <w:rPr>
                <w:i/>
                <w:iCs/>
                <w:color w:val="000000"/>
                <w:spacing w:val="53"/>
                <w:shd w:val="solid" w:color="000000" w:fill="000000"/>
                <w:fitText w:val="330" w:id="-663539712"/>
                <w14:textFill>
                  <w14:solidFill>
                    <w14:srgbClr w14:val="000000">
                      <w14:alpha w14:val="100000"/>
                    </w14:srgbClr>
                  </w14:solidFill>
                </w14:textFill>
              </w:rPr>
              <w:t>|||</w:t>
            </w:r>
            <w:r w:rsidRPr="00487E5A">
              <w:rPr>
                <w:i/>
                <w:iCs/>
                <w:color w:val="000000"/>
                <w:spacing w:val="1"/>
                <w:shd w:val="solid" w:color="000000" w:fill="000000"/>
                <w:fitText w:val="330" w:id="-663539712"/>
                <w14:textFill>
                  <w14:solidFill>
                    <w14:srgbClr w14:val="000000">
                      <w14:alpha w14:val="100000"/>
                    </w14:srgbClr>
                  </w14:solidFill>
                </w14:textFill>
              </w:rPr>
              <w:t>|</w:t>
            </w:r>
            <w:r w:rsidR="001C256F" w:rsidRPr="00480790">
              <w:rPr>
                <w:i/>
                <w:iCs/>
              </w:rPr>
              <w:t>%</w:t>
            </w:r>
          </w:p>
          <w:p w14:paraId="7E2F32A5" w14:textId="77777777" w:rsidR="001C256F" w:rsidRPr="00480790" w:rsidRDefault="001C256F" w:rsidP="0058396F">
            <w:pPr>
              <w:pStyle w:val="TableText0"/>
              <w:keepNext w:val="0"/>
              <w:keepLines/>
              <w:jc w:val="center"/>
              <w:rPr>
                <w:i/>
                <w:iCs/>
              </w:rPr>
            </w:pPr>
          </w:p>
        </w:tc>
      </w:tr>
      <w:tr w:rsidR="00AB01EA" w:rsidRPr="00480790" w14:paraId="73F809D2" w14:textId="77777777" w:rsidTr="0066303D">
        <w:tc>
          <w:tcPr>
            <w:tcW w:w="2670" w:type="pct"/>
            <w:tcBorders>
              <w:top w:val="single" w:sz="4" w:space="0" w:color="auto"/>
              <w:left w:val="single" w:sz="4" w:space="0" w:color="auto"/>
              <w:bottom w:val="single" w:sz="4" w:space="0" w:color="auto"/>
              <w:right w:val="single" w:sz="4" w:space="0" w:color="auto"/>
            </w:tcBorders>
          </w:tcPr>
          <w:p w14:paraId="4AA5EDD3" w14:textId="4CCBB2E3" w:rsidR="001C256F" w:rsidRPr="00480790" w:rsidRDefault="001C256F" w:rsidP="0058396F">
            <w:pPr>
              <w:pStyle w:val="TableText0"/>
              <w:keepNext w:val="0"/>
              <w:keepLines/>
              <w:rPr>
                <w:i/>
                <w:iCs/>
              </w:rPr>
            </w:pPr>
            <w:r w:rsidRPr="00480790">
              <w:rPr>
                <w:i/>
                <w:iCs/>
              </w:rPr>
              <w:t>a.b.c.d.e.</w:t>
            </w:r>
            <w:r w:rsidR="00B16BAD">
              <w:rPr>
                <w:i/>
                <w:iCs/>
              </w:rPr>
              <w:t xml:space="preserve"> </w:t>
            </w:r>
            <w:r w:rsidRPr="00480790">
              <w:rPr>
                <w:i/>
                <w:iCs/>
              </w:rPr>
              <w:t>15-year time horizon and 91% patients cured at Year 10 and Treatment durations using mean values and correcting source of 2 treatment durations and end of life cost summed over 6 months.</w:t>
            </w:r>
          </w:p>
        </w:tc>
        <w:tc>
          <w:tcPr>
            <w:tcW w:w="629" w:type="pct"/>
            <w:tcBorders>
              <w:top w:val="single" w:sz="4" w:space="0" w:color="auto"/>
              <w:left w:val="single" w:sz="4" w:space="0" w:color="auto"/>
              <w:bottom w:val="single" w:sz="4" w:space="0" w:color="auto"/>
              <w:right w:val="single" w:sz="4" w:space="0" w:color="auto"/>
            </w:tcBorders>
          </w:tcPr>
          <w:p w14:paraId="5AA1A007" w14:textId="3931D5E7"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49"/>
                <w:shd w:val="solid" w:color="000000" w:fill="000000"/>
                <w:fitText w:val="320" w:id="-663539711"/>
                <w14:textFill>
                  <w14:solidFill>
                    <w14:srgbClr w14:val="000000">
                      <w14:alpha w14:val="100000"/>
                    </w14:srgbClr>
                  </w14:solidFill>
                </w14:textFill>
              </w:rPr>
              <w:t>|||</w:t>
            </w:r>
            <w:r w:rsidR="00487E5A" w:rsidRPr="00487E5A">
              <w:rPr>
                <w:i/>
                <w:iCs/>
                <w:color w:val="000000"/>
                <w:spacing w:val="3"/>
                <w:shd w:val="solid" w:color="000000" w:fill="000000"/>
                <w:fitText w:val="320" w:id="-663539711"/>
                <w14:textFill>
                  <w14:solidFill>
                    <w14:srgbClr w14:val="000000">
                      <w14:alpha w14:val="100000"/>
                    </w14:srgbClr>
                  </w14:solidFill>
                </w14:textFill>
              </w:rPr>
              <w:t>|</w:t>
            </w:r>
          </w:p>
        </w:tc>
        <w:tc>
          <w:tcPr>
            <w:tcW w:w="629" w:type="pct"/>
            <w:tcBorders>
              <w:top w:val="single" w:sz="4" w:space="0" w:color="auto"/>
              <w:left w:val="single" w:sz="4" w:space="0" w:color="auto"/>
              <w:bottom w:val="single" w:sz="4" w:space="0" w:color="auto"/>
              <w:right w:val="single" w:sz="4" w:space="0" w:color="auto"/>
            </w:tcBorders>
          </w:tcPr>
          <w:p w14:paraId="0585075C" w14:textId="77777777" w:rsidR="001C256F" w:rsidRPr="00480790" w:rsidRDefault="001C256F" w:rsidP="0058396F">
            <w:pPr>
              <w:pStyle w:val="TableText0"/>
              <w:keepNext w:val="0"/>
              <w:keepLines/>
              <w:jc w:val="center"/>
              <w:rPr>
                <w:i/>
                <w:iCs/>
              </w:rPr>
            </w:pPr>
            <w:r w:rsidRPr="00480790">
              <w:rPr>
                <w:i/>
                <w:iCs/>
              </w:rPr>
              <w:t>2.151</w:t>
            </w:r>
          </w:p>
          <w:p w14:paraId="5B780D97" w14:textId="77777777" w:rsidR="001C256F" w:rsidRPr="00480790" w:rsidRDefault="001C256F" w:rsidP="0058396F">
            <w:pPr>
              <w:pStyle w:val="TableText0"/>
              <w:keepNext w:val="0"/>
              <w:keepLines/>
              <w:jc w:val="center"/>
              <w:rPr>
                <w:i/>
                <w:iCs/>
              </w:rPr>
            </w:pPr>
          </w:p>
        </w:tc>
        <w:tc>
          <w:tcPr>
            <w:tcW w:w="551" w:type="pct"/>
            <w:tcBorders>
              <w:top w:val="single" w:sz="4" w:space="0" w:color="auto"/>
              <w:left w:val="single" w:sz="4" w:space="0" w:color="auto"/>
              <w:bottom w:val="single" w:sz="4" w:space="0" w:color="auto"/>
              <w:right w:val="single" w:sz="4" w:space="0" w:color="auto"/>
            </w:tcBorders>
          </w:tcPr>
          <w:p w14:paraId="27AE4A66" w14:textId="28D112AE"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53"/>
                <w:shd w:val="solid" w:color="000000" w:fill="000000"/>
                <w:fitText w:val="330" w:id="-663539710"/>
                <w14:textFill>
                  <w14:solidFill>
                    <w14:srgbClr w14:val="000000">
                      <w14:alpha w14:val="100000"/>
                    </w14:srgbClr>
                  </w14:solidFill>
                </w14:textFill>
              </w:rPr>
              <w:t>|||</w:t>
            </w:r>
            <w:r w:rsidR="00487E5A" w:rsidRPr="00487E5A">
              <w:rPr>
                <w:i/>
                <w:iCs/>
                <w:color w:val="000000"/>
                <w:spacing w:val="1"/>
                <w:shd w:val="solid" w:color="000000" w:fill="000000"/>
                <w:fitText w:val="330" w:id="-663539710"/>
                <w14:textFill>
                  <w14:solidFill>
                    <w14:srgbClr w14:val="000000">
                      <w14:alpha w14:val="100000"/>
                    </w14:srgbClr>
                  </w14:solidFill>
                </w14:textFill>
              </w:rPr>
              <w:t>|</w:t>
            </w:r>
            <w:r w:rsidR="00FE19F8">
              <w:rPr>
                <w:b/>
              </w:rPr>
              <w:t xml:space="preserve"> </w:t>
            </w:r>
            <w:r w:rsidR="00FE19F8">
              <w:rPr>
                <w:b/>
                <w:vertAlign w:val="superscript"/>
              </w:rPr>
              <w:t>1</w:t>
            </w:r>
          </w:p>
          <w:p w14:paraId="6468FE26" w14:textId="77777777" w:rsidR="001C256F" w:rsidRPr="00480790" w:rsidRDefault="001C256F" w:rsidP="0058396F">
            <w:pPr>
              <w:pStyle w:val="TableText0"/>
              <w:keepNext w:val="0"/>
              <w:keepLines/>
              <w:jc w:val="center"/>
              <w:rPr>
                <w:i/>
                <w:iCs/>
              </w:rPr>
            </w:pPr>
          </w:p>
        </w:tc>
        <w:tc>
          <w:tcPr>
            <w:tcW w:w="521" w:type="pct"/>
            <w:tcBorders>
              <w:top w:val="single" w:sz="4" w:space="0" w:color="auto"/>
              <w:left w:val="single" w:sz="4" w:space="0" w:color="auto"/>
              <w:bottom w:val="single" w:sz="4" w:space="0" w:color="auto"/>
              <w:right w:val="single" w:sz="4" w:space="0" w:color="auto"/>
            </w:tcBorders>
          </w:tcPr>
          <w:p w14:paraId="2AEAE281" w14:textId="615DE51E" w:rsidR="001C256F" w:rsidRPr="00480790" w:rsidRDefault="00487E5A" w:rsidP="0058396F">
            <w:pPr>
              <w:pStyle w:val="TableText0"/>
              <w:keepNext w:val="0"/>
              <w:keepLines/>
              <w:jc w:val="center"/>
              <w:rPr>
                <w:i/>
                <w:iCs/>
              </w:rPr>
            </w:pPr>
            <w:r w:rsidRPr="00487E5A">
              <w:rPr>
                <w:i/>
                <w:iCs/>
                <w:color w:val="000000"/>
                <w:spacing w:val="53"/>
                <w:shd w:val="solid" w:color="000000" w:fill="000000"/>
                <w:fitText w:val="330" w:id="-663539709"/>
                <w14:textFill>
                  <w14:solidFill>
                    <w14:srgbClr w14:val="000000">
                      <w14:alpha w14:val="100000"/>
                    </w14:srgbClr>
                  </w14:solidFill>
                </w14:textFill>
              </w:rPr>
              <w:t>|||</w:t>
            </w:r>
            <w:r w:rsidRPr="00487E5A">
              <w:rPr>
                <w:i/>
                <w:iCs/>
                <w:color w:val="000000"/>
                <w:spacing w:val="1"/>
                <w:shd w:val="solid" w:color="000000" w:fill="000000"/>
                <w:fitText w:val="330" w:id="-663539709"/>
                <w14:textFill>
                  <w14:solidFill>
                    <w14:srgbClr w14:val="000000">
                      <w14:alpha w14:val="100000"/>
                    </w14:srgbClr>
                  </w14:solidFill>
                </w14:textFill>
              </w:rPr>
              <w:t>|</w:t>
            </w:r>
            <w:r w:rsidR="001C256F" w:rsidRPr="00480790">
              <w:rPr>
                <w:i/>
                <w:iCs/>
              </w:rPr>
              <w:t>%</w:t>
            </w:r>
          </w:p>
          <w:p w14:paraId="10003B85" w14:textId="77777777" w:rsidR="001C256F" w:rsidRPr="00480790" w:rsidRDefault="001C256F" w:rsidP="0058396F">
            <w:pPr>
              <w:pStyle w:val="TableText0"/>
              <w:keepNext w:val="0"/>
              <w:keepLines/>
              <w:jc w:val="center"/>
              <w:rPr>
                <w:i/>
                <w:iCs/>
              </w:rPr>
            </w:pPr>
          </w:p>
        </w:tc>
      </w:tr>
      <w:tr w:rsidR="00AB01EA" w:rsidRPr="00480790" w14:paraId="5A3FA513" w14:textId="77777777" w:rsidTr="0066303D">
        <w:tc>
          <w:tcPr>
            <w:tcW w:w="2670" w:type="pct"/>
            <w:tcBorders>
              <w:top w:val="single" w:sz="4" w:space="0" w:color="auto"/>
              <w:left w:val="single" w:sz="4" w:space="0" w:color="auto"/>
              <w:bottom w:val="single" w:sz="4" w:space="0" w:color="auto"/>
              <w:right w:val="single" w:sz="4" w:space="0" w:color="auto"/>
            </w:tcBorders>
          </w:tcPr>
          <w:p w14:paraId="0D9DB973" w14:textId="7ACE0611" w:rsidR="001C256F" w:rsidRPr="00480790" w:rsidRDefault="001C256F" w:rsidP="0058396F">
            <w:pPr>
              <w:pStyle w:val="TableText0"/>
              <w:keepNext w:val="0"/>
              <w:keepLines/>
              <w:rPr>
                <w:i/>
                <w:iCs/>
              </w:rPr>
            </w:pPr>
            <w:r w:rsidRPr="00480790">
              <w:rPr>
                <w:i/>
                <w:iCs/>
              </w:rPr>
              <w:t>a.b.c.d.e.f.</w:t>
            </w:r>
            <w:r w:rsidR="00B16BAD">
              <w:rPr>
                <w:i/>
                <w:iCs/>
              </w:rPr>
              <w:t xml:space="preserve"> </w:t>
            </w:r>
            <w:r w:rsidRPr="00480790">
              <w:rPr>
                <w:i/>
                <w:iCs/>
              </w:rPr>
              <w:t>15-year time horizon and 91% patients cured at Year 10 and treatment durations using mean values and correcting source of 2 treatment durations and end of life cost summed over 6 months and changing weekly probability of transition from LRR to death in alectinib arm to 0.0046.</w:t>
            </w:r>
          </w:p>
        </w:tc>
        <w:tc>
          <w:tcPr>
            <w:tcW w:w="629" w:type="pct"/>
            <w:tcBorders>
              <w:top w:val="single" w:sz="4" w:space="0" w:color="auto"/>
              <w:left w:val="single" w:sz="4" w:space="0" w:color="auto"/>
              <w:bottom w:val="single" w:sz="4" w:space="0" w:color="auto"/>
              <w:right w:val="single" w:sz="4" w:space="0" w:color="auto"/>
            </w:tcBorders>
          </w:tcPr>
          <w:p w14:paraId="76E02380" w14:textId="2C0A43E3"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49"/>
                <w:shd w:val="solid" w:color="000000" w:fill="000000"/>
                <w:fitText w:val="320" w:id="-663539708"/>
                <w14:textFill>
                  <w14:solidFill>
                    <w14:srgbClr w14:val="000000">
                      <w14:alpha w14:val="100000"/>
                    </w14:srgbClr>
                  </w14:solidFill>
                </w14:textFill>
              </w:rPr>
              <w:t>|||</w:t>
            </w:r>
            <w:r w:rsidR="00487E5A" w:rsidRPr="00487E5A">
              <w:rPr>
                <w:i/>
                <w:iCs/>
                <w:color w:val="000000"/>
                <w:spacing w:val="3"/>
                <w:shd w:val="solid" w:color="000000" w:fill="000000"/>
                <w:fitText w:val="320" w:id="-663539708"/>
                <w14:textFill>
                  <w14:solidFill>
                    <w14:srgbClr w14:val="000000">
                      <w14:alpha w14:val="100000"/>
                    </w14:srgbClr>
                  </w14:solidFill>
                </w14:textFill>
              </w:rPr>
              <w:t>|</w:t>
            </w:r>
          </w:p>
        </w:tc>
        <w:tc>
          <w:tcPr>
            <w:tcW w:w="629" w:type="pct"/>
            <w:tcBorders>
              <w:top w:val="single" w:sz="4" w:space="0" w:color="auto"/>
              <w:left w:val="single" w:sz="4" w:space="0" w:color="auto"/>
              <w:bottom w:val="single" w:sz="4" w:space="0" w:color="auto"/>
              <w:right w:val="single" w:sz="4" w:space="0" w:color="auto"/>
            </w:tcBorders>
          </w:tcPr>
          <w:p w14:paraId="0FBEE495" w14:textId="77777777" w:rsidR="001C256F" w:rsidRPr="00480790" w:rsidRDefault="001C256F" w:rsidP="0058396F">
            <w:pPr>
              <w:pStyle w:val="TableText0"/>
              <w:keepNext w:val="0"/>
              <w:keepLines/>
              <w:jc w:val="center"/>
              <w:rPr>
                <w:i/>
                <w:iCs/>
              </w:rPr>
            </w:pPr>
            <w:r w:rsidRPr="00480790">
              <w:rPr>
                <w:i/>
                <w:iCs/>
              </w:rPr>
              <w:t>2.483</w:t>
            </w:r>
          </w:p>
        </w:tc>
        <w:tc>
          <w:tcPr>
            <w:tcW w:w="551" w:type="pct"/>
            <w:tcBorders>
              <w:top w:val="single" w:sz="4" w:space="0" w:color="auto"/>
              <w:left w:val="single" w:sz="4" w:space="0" w:color="auto"/>
              <w:bottom w:val="single" w:sz="4" w:space="0" w:color="auto"/>
              <w:right w:val="single" w:sz="4" w:space="0" w:color="auto"/>
            </w:tcBorders>
          </w:tcPr>
          <w:p w14:paraId="2953DE01" w14:textId="05B3766C" w:rsidR="001C256F" w:rsidRPr="00480790" w:rsidRDefault="001C256F" w:rsidP="0058396F">
            <w:pPr>
              <w:pStyle w:val="TableText0"/>
              <w:keepNext w:val="0"/>
              <w:keepLines/>
              <w:jc w:val="center"/>
              <w:rPr>
                <w:i/>
                <w:iCs/>
              </w:rPr>
            </w:pPr>
            <w:r w:rsidRPr="00480790">
              <w:rPr>
                <w:i/>
                <w:iCs/>
              </w:rPr>
              <w:t>$</w:t>
            </w:r>
            <w:r w:rsidR="00487E5A" w:rsidRPr="00487E5A">
              <w:rPr>
                <w:i/>
                <w:iCs/>
                <w:color w:val="000000"/>
                <w:spacing w:val="53"/>
                <w:shd w:val="solid" w:color="000000" w:fill="000000"/>
                <w:fitText w:val="330" w:id="-663539707"/>
                <w14:textFill>
                  <w14:solidFill>
                    <w14:srgbClr w14:val="000000">
                      <w14:alpha w14:val="100000"/>
                    </w14:srgbClr>
                  </w14:solidFill>
                </w14:textFill>
              </w:rPr>
              <w:t>|||</w:t>
            </w:r>
            <w:r w:rsidR="00487E5A" w:rsidRPr="00487E5A">
              <w:rPr>
                <w:i/>
                <w:iCs/>
                <w:color w:val="000000"/>
                <w:spacing w:val="1"/>
                <w:shd w:val="solid" w:color="000000" w:fill="000000"/>
                <w:fitText w:val="330" w:id="-663539707"/>
                <w14:textFill>
                  <w14:solidFill>
                    <w14:srgbClr w14:val="000000">
                      <w14:alpha w14:val="100000"/>
                    </w14:srgbClr>
                  </w14:solidFill>
                </w14:textFill>
              </w:rPr>
              <w:t>|</w:t>
            </w:r>
            <w:r w:rsidR="00FE19F8">
              <w:rPr>
                <w:b/>
              </w:rPr>
              <w:t xml:space="preserve"> </w:t>
            </w:r>
            <w:r w:rsidR="00FE19F8">
              <w:rPr>
                <w:b/>
                <w:vertAlign w:val="superscript"/>
              </w:rPr>
              <w:t>4</w:t>
            </w:r>
          </w:p>
        </w:tc>
        <w:tc>
          <w:tcPr>
            <w:tcW w:w="521" w:type="pct"/>
            <w:tcBorders>
              <w:top w:val="single" w:sz="4" w:space="0" w:color="auto"/>
              <w:left w:val="single" w:sz="4" w:space="0" w:color="auto"/>
              <w:bottom w:val="single" w:sz="4" w:space="0" w:color="auto"/>
              <w:right w:val="single" w:sz="4" w:space="0" w:color="auto"/>
            </w:tcBorders>
          </w:tcPr>
          <w:p w14:paraId="117896D8" w14:textId="0660BC33" w:rsidR="001C256F" w:rsidRPr="00480790" w:rsidRDefault="00487E5A" w:rsidP="0058396F">
            <w:pPr>
              <w:pStyle w:val="TableText0"/>
              <w:keepNext w:val="0"/>
              <w:keepLines/>
              <w:jc w:val="center"/>
              <w:rPr>
                <w:i/>
                <w:iCs/>
              </w:rPr>
            </w:pPr>
            <w:r w:rsidRPr="00AB0DBE">
              <w:rPr>
                <w:i/>
                <w:iCs/>
                <w:color w:val="000000"/>
                <w:spacing w:val="53"/>
                <w:shd w:val="solid" w:color="000000" w:fill="000000"/>
                <w:fitText w:val="330" w:id="-663539706"/>
                <w14:textFill>
                  <w14:solidFill>
                    <w14:srgbClr w14:val="000000">
                      <w14:alpha w14:val="100000"/>
                    </w14:srgbClr>
                  </w14:solidFill>
                </w14:textFill>
              </w:rPr>
              <w:t>|||</w:t>
            </w:r>
            <w:r w:rsidRPr="00AB0DBE">
              <w:rPr>
                <w:i/>
                <w:iCs/>
                <w:color w:val="000000"/>
                <w:spacing w:val="1"/>
                <w:shd w:val="solid" w:color="000000" w:fill="000000"/>
                <w:fitText w:val="330" w:id="-663539706"/>
                <w14:textFill>
                  <w14:solidFill>
                    <w14:srgbClr w14:val="000000">
                      <w14:alpha w14:val="100000"/>
                    </w14:srgbClr>
                  </w14:solidFill>
                </w14:textFill>
              </w:rPr>
              <w:t>|</w:t>
            </w:r>
            <w:r w:rsidR="001C256F" w:rsidRPr="00480790">
              <w:rPr>
                <w:i/>
                <w:iCs/>
              </w:rPr>
              <w:t>%</w:t>
            </w:r>
          </w:p>
        </w:tc>
      </w:tr>
    </w:tbl>
    <w:p w14:paraId="56ACA41D" w14:textId="77777777" w:rsidR="001C256F" w:rsidRPr="00480790" w:rsidRDefault="001C256F" w:rsidP="0058396F">
      <w:pPr>
        <w:pStyle w:val="FooterTableFigure"/>
        <w:keepNext/>
        <w:keepLines/>
        <w:rPr>
          <w:i/>
          <w:iCs/>
        </w:rPr>
      </w:pPr>
      <w:r w:rsidRPr="00480790">
        <w:lastRenderedPageBreak/>
        <w:t xml:space="preserve">Source: Table 3.26, p100 of the submission. </w:t>
      </w:r>
      <w:r w:rsidRPr="00480790">
        <w:rPr>
          <w:i/>
          <w:iCs/>
        </w:rPr>
        <w:t>Sensitivity analyses performed in this evaluation are shown in italics.</w:t>
      </w:r>
    </w:p>
    <w:p w14:paraId="3820E10D" w14:textId="77777777" w:rsidR="001C256F" w:rsidRPr="00480790" w:rsidRDefault="001C256F" w:rsidP="0058396F">
      <w:pPr>
        <w:pStyle w:val="FooterTableFigure"/>
        <w:keepNext/>
        <w:keepLines/>
        <w:rPr>
          <w:sz w:val="20"/>
        </w:rPr>
      </w:pPr>
      <w:r w:rsidRPr="00480790">
        <w:t>1L = 1</w:t>
      </w:r>
      <w:r w:rsidRPr="00480790">
        <w:rPr>
          <w:vertAlign w:val="superscript"/>
        </w:rPr>
        <w:t>st</w:t>
      </w:r>
      <w:r w:rsidRPr="00480790">
        <w:t xml:space="preserve"> line, 2L = 2</w:t>
      </w:r>
      <w:r w:rsidRPr="00480790">
        <w:rPr>
          <w:vertAlign w:val="superscript"/>
        </w:rPr>
        <w:t>nd</w:t>
      </w:r>
      <w:r w:rsidRPr="00480790">
        <w:t xml:space="preserve"> line, DFS = disease-free survival, ICER = incremental cost-effectiveness ratio, LRR = locoregional recurrence, QALY = quality-adjusted life-year.</w:t>
      </w:r>
    </w:p>
    <w:p w14:paraId="60667481" w14:textId="77777777" w:rsidR="001C256F" w:rsidRPr="00480790" w:rsidRDefault="001C256F" w:rsidP="0058396F">
      <w:pPr>
        <w:pStyle w:val="FooterTableFigure"/>
        <w:keepNext/>
        <w:keepLines/>
      </w:pPr>
      <w:r w:rsidRPr="00480790">
        <w:rPr>
          <w:vertAlign w:val="superscript"/>
        </w:rPr>
        <w:t>1</w:t>
      </w:r>
      <w:r w:rsidRPr="00480790">
        <w:t xml:space="preserve"> cell C27, worksheet “Transition Inputs”.</w:t>
      </w:r>
    </w:p>
    <w:p w14:paraId="55906F53" w14:textId="2DA5557A" w:rsidR="001C256F" w:rsidRDefault="001C256F" w:rsidP="001C773B">
      <w:pPr>
        <w:pStyle w:val="FooterTableFigure"/>
        <w:spacing w:after="0"/>
        <w:rPr>
          <w:i/>
          <w:iCs/>
        </w:rPr>
      </w:pPr>
      <w:r w:rsidRPr="00480790">
        <w:t>*</w:t>
      </w:r>
      <w:r w:rsidRPr="00480790">
        <w:rPr>
          <w:i/>
          <w:iCs/>
        </w:rPr>
        <w:t xml:space="preserve">note revised mean durations would increase this ICER to </w:t>
      </w:r>
      <w:r w:rsidR="00F7714F" w:rsidRPr="00D86971">
        <w:rPr>
          <w:i/>
          <w:szCs w:val="18"/>
        </w:rPr>
        <w:t>$25,000 to &lt; $35,000</w:t>
      </w:r>
      <w:r w:rsidRPr="00480790">
        <w:rPr>
          <w:i/>
          <w:iCs/>
        </w:rPr>
        <w:t>per QALY gained. Multi variate analyses in Table 8 using sensitivity analysis d. have not been revised.</w:t>
      </w:r>
    </w:p>
    <w:p w14:paraId="19856996" w14:textId="77777777" w:rsidR="001C773B" w:rsidRPr="009A6D58" w:rsidRDefault="001C773B" w:rsidP="001C773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E3056DE" w14:textId="19BBFD73" w:rsidR="001C773B" w:rsidRPr="009A6D58" w:rsidRDefault="001C773B" w:rsidP="001C773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D86971" w:rsidRPr="00D86971">
        <w:rPr>
          <w:rFonts w:ascii="Arial Narrow" w:hAnsi="Arial Narrow"/>
          <w:i/>
          <w:sz w:val="18"/>
          <w:szCs w:val="18"/>
        </w:rPr>
        <w:t>$25,000 to &lt; $35,000</w:t>
      </w:r>
    </w:p>
    <w:p w14:paraId="0F813F0B" w14:textId="2F465117" w:rsidR="001C773B" w:rsidRPr="009A6D58" w:rsidRDefault="001C773B" w:rsidP="001C773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F7714F" w:rsidRPr="00F7714F">
        <w:rPr>
          <w:rFonts w:ascii="Arial Narrow" w:hAnsi="Arial Narrow"/>
          <w:i/>
          <w:sz w:val="18"/>
          <w:szCs w:val="18"/>
        </w:rPr>
        <w:t>$15,000 to &lt; $25,000</w:t>
      </w:r>
    </w:p>
    <w:p w14:paraId="6C5C4BE8" w14:textId="19D94C7F" w:rsidR="001C773B" w:rsidRDefault="001C773B" w:rsidP="001C773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D258A6" w:rsidRPr="00D258A6">
        <w:rPr>
          <w:rFonts w:ascii="Arial Narrow" w:hAnsi="Arial Narrow"/>
          <w:i/>
          <w:sz w:val="18"/>
          <w:szCs w:val="18"/>
        </w:rPr>
        <w:t>$35,000 to &lt; $45,000</w:t>
      </w:r>
    </w:p>
    <w:p w14:paraId="2BD8E4FD" w14:textId="2687446B" w:rsidR="001C773B" w:rsidRDefault="001C773B" w:rsidP="001C773B">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2953F1" w:rsidRPr="002953F1">
        <w:rPr>
          <w:rFonts w:ascii="Arial Narrow" w:hAnsi="Arial Narrow"/>
          <w:i/>
          <w:sz w:val="18"/>
          <w:szCs w:val="18"/>
        </w:rPr>
        <w:t>$45,000 to &lt; $55,000</w:t>
      </w:r>
    </w:p>
    <w:p w14:paraId="7101C80C" w14:textId="0B5E53CB" w:rsidR="001C773B" w:rsidRPr="001C773B" w:rsidRDefault="001C773B" w:rsidP="001C773B">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F85056" w:rsidRPr="00F85056">
        <w:rPr>
          <w:rFonts w:ascii="Arial Narrow" w:hAnsi="Arial Narrow"/>
          <w:i/>
          <w:sz w:val="18"/>
          <w:szCs w:val="18"/>
        </w:rPr>
        <w:t>$55,000 to &lt; $75,000</w:t>
      </w:r>
    </w:p>
    <w:p w14:paraId="210BA3AA" w14:textId="2A50FB9F" w:rsidR="001C256F" w:rsidRPr="00480790" w:rsidRDefault="001C256F" w:rsidP="002843F8">
      <w:pPr>
        <w:pStyle w:val="3-BodyText"/>
        <w:rPr>
          <w:lang w:val="en-AU"/>
        </w:rPr>
      </w:pPr>
      <w:bookmarkStart w:id="75" w:name="_Ref195284625"/>
      <w:r w:rsidRPr="00480790">
        <w:rPr>
          <w:lang w:val="en-AU"/>
        </w:rPr>
        <w:t xml:space="preserve">The ESC noted the PSCR provided a revised ICER with time-dependent utilities, as suggested </w:t>
      </w:r>
      <w:r w:rsidR="00CA6F39" w:rsidRPr="00480790">
        <w:rPr>
          <w:lang w:val="en-AU"/>
        </w:rPr>
        <w:t>by the evaluation</w:t>
      </w:r>
      <w:r w:rsidRPr="00480790">
        <w:rPr>
          <w:lang w:val="en-AU"/>
        </w:rPr>
        <w:t xml:space="preserve"> (paragraph </w:t>
      </w:r>
      <w:r w:rsidRPr="00480790">
        <w:rPr>
          <w:lang w:val="en-AU"/>
        </w:rPr>
        <w:fldChar w:fldCharType="begin"/>
      </w:r>
      <w:r w:rsidRPr="00480790">
        <w:rPr>
          <w:lang w:val="en-AU"/>
        </w:rPr>
        <w:instrText xml:space="preserve"> REF _Ref195436312 \r \h </w:instrText>
      </w:r>
      <w:r w:rsidR="008207A6" w:rsidRPr="00480790">
        <w:rPr>
          <w:lang w:val="en-AU"/>
        </w:rPr>
        <w:instrText xml:space="preserve"> \* MERGEFORMAT </w:instrText>
      </w:r>
      <w:r w:rsidRPr="00480790">
        <w:rPr>
          <w:lang w:val="en-AU"/>
        </w:rPr>
      </w:r>
      <w:r w:rsidRPr="00480790">
        <w:rPr>
          <w:lang w:val="en-AU"/>
        </w:rPr>
        <w:fldChar w:fldCharType="separate"/>
      </w:r>
      <w:r w:rsidR="002565BE">
        <w:rPr>
          <w:lang w:val="en-AU"/>
        </w:rPr>
        <w:t>6.54</w:t>
      </w:r>
      <w:r w:rsidRPr="00480790">
        <w:rPr>
          <w:lang w:val="en-AU"/>
        </w:rPr>
        <w:fldChar w:fldCharType="end"/>
      </w:r>
      <w:r w:rsidRPr="00480790">
        <w:rPr>
          <w:lang w:val="en-AU"/>
        </w:rPr>
        <w:t xml:space="preserve">), with a revised base case of </w:t>
      </w:r>
      <w:r w:rsidR="00D22A51" w:rsidRPr="00D22A51">
        <w:rPr>
          <w:lang w:val="en-AU"/>
        </w:rPr>
        <w:t>$35,000 to &lt; $45,000</w:t>
      </w:r>
      <w:r w:rsidRPr="00480790">
        <w:rPr>
          <w:lang w:val="en-AU"/>
        </w:rPr>
        <w:t xml:space="preserve"> per QALY gained. The ESC considered the model should be further updated to reflect a number of other factors</w:t>
      </w:r>
      <w:r w:rsidR="00E221F3" w:rsidRPr="00480790">
        <w:rPr>
          <w:lang w:val="en-AU"/>
        </w:rPr>
        <w:t>,</w:t>
      </w:r>
      <w:r w:rsidRPr="00480790">
        <w:rPr>
          <w:lang w:val="en-AU"/>
        </w:rPr>
        <w:t xml:space="preserve"> to provide </w:t>
      </w:r>
      <w:r w:rsidR="00E221F3" w:rsidRPr="00480790">
        <w:rPr>
          <w:lang w:val="en-AU"/>
        </w:rPr>
        <w:t xml:space="preserve">the </w:t>
      </w:r>
      <w:r w:rsidRPr="00480790">
        <w:rPr>
          <w:lang w:val="en-AU"/>
        </w:rPr>
        <w:t xml:space="preserve">PBAC with an alternative base case for consideration. The ESC advised the following assumptions should be considered in a multivariate sensitivity analysis, resulting in an ICER of </w:t>
      </w:r>
      <w:r w:rsidR="000F1DB8" w:rsidRPr="000F1DB8">
        <w:rPr>
          <w:lang w:val="en-AU"/>
        </w:rPr>
        <w:t>$45,000 to &lt; $55,000</w:t>
      </w:r>
      <w:r w:rsidRPr="00480790">
        <w:rPr>
          <w:lang w:val="en-AU"/>
        </w:rPr>
        <w:t xml:space="preserve"> per QALY:</w:t>
      </w:r>
      <w:bookmarkEnd w:id="75"/>
    </w:p>
    <w:p w14:paraId="5692626F" w14:textId="77777777" w:rsidR="001C256F" w:rsidRPr="00480790" w:rsidRDefault="001C256F" w:rsidP="00AE7DE0">
      <w:pPr>
        <w:pStyle w:val="ListParagraph"/>
        <w:numPr>
          <w:ilvl w:val="0"/>
          <w:numId w:val="8"/>
        </w:numPr>
        <w:ind w:left="1134" w:hanging="357"/>
        <w:rPr>
          <w:iCs/>
        </w:rPr>
      </w:pPr>
      <w:r w:rsidRPr="00480790">
        <w:rPr>
          <w:iCs/>
        </w:rPr>
        <w:t>15-year time horizon</w:t>
      </w:r>
    </w:p>
    <w:p w14:paraId="48D72693" w14:textId="77777777" w:rsidR="001C256F" w:rsidRPr="00480790" w:rsidRDefault="001C256F" w:rsidP="00AE7DE0">
      <w:pPr>
        <w:pStyle w:val="ListParagraph"/>
        <w:numPr>
          <w:ilvl w:val="0"/>
          <w:numId w:val="8"/>
        </w:numPr>
        <w:ind w:left="1134" w:hanging="357"/>
        <w:rPr>
          <w:iCs/>
        </w:rPr>
      </w:pPr>
      <w:r w:rsidRPr="00480790">
        <w:rPr>
          <w:iCs/>
        </w:rPr>
        <w:t>92% patients cured at Year 5 in DFS health state (no change from submission base case)</w:t>
      </w:r>
    </w:p>
    <w:p w14:paraId="00EF9E9D" w14:textId="77777777" w:rsidR="001C256F" w:rsidRPr="00480790" w:rsidRDefault="001C256F" w:rsidP="00AE7DE0">
      <w:pPr>
        <w:pStyle w:val="ListParagraph"/>
        <w:numPr>
          <w:ilvl w:val="0"/>
          <w:numId w:val="8"/>
        </w:numPr>
        <w:ind w:left="1134" w:hanging="357"/>
        <w:rPr>
          <w:iCs/>
        </w:rPr>
      </w:pPr>
      <w:r w:rsidRPr="00480790">
        <w:rPr>
          <w:iCs/>
        </w:rPr>
        <w:t>age adjusted utilities (as presented in PSCR model)</w:t>
      </w:r>
    </w:p>
    <w:p w14:paraId="03A48BE9" w14:textId="77777777" w:rsidR="001C256F" w:rsidRPr="00480790" w:rsidRDefault="001C256F" w:rsidP="00AE7DE0">
      <w:pPr>
        <w:pStyle w:val="ListParagraph"/>
        <w:numPr>
          <w:ilvl w:val="0"/>
          <w:numId w:val="8"/>
        </w:numPr>
        <w:ind w:left="1134" w:hanging="357"/>
        <w:rPr>
          <w:iCs/>
        </w:rPr>
      </w:pPr>
      <w:r w:rsidRPr="00480790">
        <w:rPr>
          <w:iCs/>
        </w:rPr>
        <w:t>equalised utilities post-treatment (utility in DFS off-treatment set to 0.854 for both treatment arms)</w:t>
      </w:r>
    </w:p>
    <w:p w14:paraId="5A9816D3" w14:textId="6A854C0A" w:rsidR="001C256F" w:rsidRPr="00480790" w:rsidRDefault="001C256F" w:rsidP="00AE7DE0">
      <w:pPr>
        <w:pStyle w:val="ListParagraph"/>
        <w:numPr>
          <w:ilvl w:val="0"/>
          <w:numId w:val="8"/>
        </w:numPr>
        <w:ind w:left="1134" w:hanging="357"/>
        <w:rPr>
          <w:iCs/>
        </w:rPr>
      </w:pPr>
      <w:r w:rsidRPr="00480790">
        <w:rPr>
          <w:iCs/>
        </w:rPr>
        <w:t>Treatment durations using mean values (updated with correct sources of 2</w:t>
      </w:r>
      <w:r w:rsidR="000F1DB8">
        <w:rPr>
          <w:iCs/>
        </w:rPr>
        <w:t> </w:t>
      </w:r>
      <w:r w:rsidRPr="00480790">
        <w:rPr>
          <w:iCs/>
        </w:rPr>
        <w:t xml:space="preserve">treatment durations, noted in PSCR ) </w:t>
      </w:r>
    </w:p>
    <w:p w14:paraId="17B0964C" w14:textId="77777777" w:rsidR="001C256F" w:rsidRPr="00480790" w:rsidRDefault="001C256F" w:rsidP="00AE7DE0">
      <w:pPr>
        <w:pStyle w:val="ListParagraph"/>
        <w:numPr>
          <w:ilvl w:val="0"/>
          <w:numId w:val="8"/>
        </w:numPr>
        <w:ind w:left="1134" w:hanging="357"/>
        <w:rPr>
          <w:iCs/>
        </w:rPr>
      </w:pPr>
      <w:r w:rsidRPr="00480790">
        <w:rPr>
          <w:iCs/>
        </w:rPr>
        <w:t>sources of data for the transition probabilities of locoregional recurrence (LRR) to death aligned (weekly probability of transitioning from LRR to death in alectinib arm changed from 0.111 to 0.0046).</w:t>
      </w:r>
    </w:p>
    <w:p w14:paraId="18187BE5" w14:textId="16C30AFB" w:rsidR="00D13BED" w:rsidRPr="00480790" w:rsidRDefault="001C256F" w:rsidP="002843F8">
      <w:pPr>
        <w:pStyle w:val="3-BodyText"/>
        <w:rPr>
          <w:lang w:val="en-AU"/>
        </w:rPr>
      </w:pPr>
      <w:bookmarkStart w:id="76" w:name="_Ref195284628"/>
      <w:bookmarkStart w:id="77" w:name="_Hlk195611978"/>
      <w:r w:rsidRPr="00480790">
        <w:rPr>
          <w:lang w:val="en-AU"/>
        </w:rPr>
        <w:t>The ESC noted that, based on the MVSA described in paragraph 6.61, the mean undiscounted life years difference was 4.73 years (mean undiscounted life years for alectinib = 12.38; mean undiscounted life years for chemotherapy = 7.66), which seems large for a time horizon of 15 years. The ESC noted that the modelled OS curves do not converge over this time horizon, which is likely to have contributed to the large survival increment. The PBAC may wish to consider whether no convergence and an undiscounted incremental survival of 4.73 years over 15 years is clinically plausible, given the immature OS data.</w:t>
      </w:r>
      <w:bookmarkEnd w:id="76"/>
      <w:r w:rsidRPr="00480790">
        <w:rPr>
          <w:lang w:val="en-AU"/>
        </w:rPr>
        <w:t xml:space="preserve"> The Pre-PBAC Response stated it was more appropriate to refer to the mean discounted life years difference</w:t>
      </w:r>
      <w:r w:rsidR="00A75959" w:rsidRPr="00480790">
        <w:rPr>
          <w:lang w:val="en-AU"/>
        </w:rPr>
        <w:t>.</w:t>
      </w:r>
      <w:r w:rsidRPr="00480790">
        <w:rPr>
          <w:lang w:val="en-AU"/>
        </w:rPr>
        <w:t xml:space="preserve"> </w:t>
      </w:r>
      <w:r w:rsidR="006546A2" w:rsidRPr="00480790">
        <w:rPr>
          <w:lang w:val="en-AU"/>
        </w:rPr>
        <w:t xml:space="preserve">The response </w:t>
      </w:r>
      <w:r w:rsidRPr="00480790">
        <w:rPr>
          <w:lang w:val="en-AU"/>
        </w:rPr>
        <w:t>noted that the equivalent mean discounted life years difference was 3.17 years (mean discounted life years for alectinib is 9.22 and for chemotherapy is 6.05) over a time horizon of 15</w:t>
      </w:r>
      <w:r w:rsidR="003C52D4">
        <w:rPr>
          <w:lang w:val="en-AU"/>
        </w:rPr>
        <w:t> </w:t>
      </w:r>
      <w:r w:rsidRPr="00480790">
        <w:rPr>
          <w:lang w:val="en-AU"/>
        </w:rPr>
        <w:t xml:space="preserve">years. The Pre-PBAC Response further noted that the ESC and the PBAC have </w:t>
      </w:r>
      <w:r w:rsidRPr="00480790">
        <w:rPr>
          <w:lang w:val="en-AU"/>
        </w:rPr>
        <w:lastRenderedPageBreak/>
        <w:t>previously supported findings from the Sia 2023 report that PFS and DFS were possible surrogates for OS in adjuvant lung cancer.</w:t>
      </w:r>
      <w:bookmarkStart w:id="78" w:name="_Ref195439571"/>
      <w:bookmarkStart w:id="79" w:name="_Ref199342930"/>
      <w:bookmarkEnd w:id="77"/>
    </w:p>
    <w:p w14:paraId="69BDB1BB" w14:textId="25C18444" w:rsidR="001C256F" w:rsidRPr="00480790" w:rsidRDefault="001C256F" w:rsidP="002843F8">
      <w:pPr>
        <w:pStyle w:val="3-BodyText"/>
        <w:rPr>
          <w:iCs/>
          <w:lang w:val="en-AU"/>
        </w:rPr>
      </w:pPr>
      <w:r w:rsidRPr="00480790">
        <w:rPr>
          <w:lang w:val="en-AU"/>
        </w:rPr>
        <w:t>The ESC noted the PBAC had previously considered osimertinib would be cost effective in the adjuvant treatment setting with a price reduction to maintain an ICER of $35,</w:t>
      </w:r>
      <w:r w:rsidR="003C52D4" w:rsidRPr="00480790">
        <w:rPr>
          <w:lang w:val="en-AU"/>
        </w:rPr>
        <w:t>000</w:t>
      </w:r>
      <w:r w:rsidR="003C52D4">
        <w:rPr>
          <w:lang w:val="en-AU"/>
        </w:rPr>
        <w:t> </w:t>
      </w:r>
      <w:r w:rsidRPr="00480790">
        <w:rPr>
          <w:lang w:val="en-AU"/>
        </w:rPr>
        <w:t>to</w:t>
      </w:r>
      <w:r w:rsidR="003C52D4">
        <w:rPr>
          <w:lang w:val="en-AU"/>
        </w:rPr>
        <w:t> </w:t>
      </w:r>
      <w:r w:rsidRPr="00480790">
        <w:rPr>
          <w:lang w:val="en-AU"/>
        </w:rPr>
        <w:t>&lt;</w:t>
      </w:r>
      <w:r w:rsidR="003C52D4">
        <w:rPr>
          <w:lang w:val="en-AU"/>
        </w:rPr>
        <w:t> </w:t>
      </w:r>
      <w:r w:rsidRPr="00480790">
        <w:rPr>
          <w:lang w:val="en-AU"/>
        </w:rPr>
        <w:t xml:space="preserve">$45,000 per QALY (paragraph 7.10, osimertinib, PSD, </w:t>
      </w:r>
      <w:r w:rsidR="0020365E" w:rsidRPr="00480790">
        <w:rPr>
          <w:lang w:val="en-AU"/>
        </w:rPr>
        <w:t>November</w:t>
      </w:r>
      <w:r w:rsidR="0020365E">
        <w:rPr>
          <w:lang w:val="en-AU"/>
        </w:rPr>
        <w:t> </w:t>
      </w:r>
      <w:r w:rsidRPr="00480790">
        <w:rPr>
          <w:lang w:val="en-AU"/>
        </w:rPr>
        <w:t>2023 PBAC meeting).</w:t>
      </w:r>
      <w:bookmarkEnd w:id="78"/>
      <w:r w:rsidRPr="00480790">
        <w:rPr>
          <w:lang w:val="en-AU"/>
        </w:rPr>
        <w:t xml:space="preserve"> The pre-PBAC response noted that despite disagreement with the revised model assumptions proposed by the ESC, multi-sensitivity analyses of these assumptions together with an appropriate update of the </w:t>
      </w:r>
      <w:r w:rsidR="00CF372A" w:rsidRPr="00480790">
        <w:rPr>
          <w:lang w:val="en-AU"/>
        </w:rPr>
        <w:t>end-of-life</w:t>
      </w:r>
      <w:r w:rsidRPr="00480790">
        <w:rPr>
          <w:lang w:val="en-AU"/>
        </w:rPr>
        <w:t xml:space="preserve"> cost to $38,454 results in an ICER of </w:t>
      </w:r>
      <w:r w:rsidR="00334C92" w:rsidRPr="00334C92">
        <w:rPr>
          <w:lang w:val="en-AU"/>
        </w:rPr>
        <w:t>$35,000 to &lt; $45,000</w:t>
      </w:r>
      <w:r w:rsidRPr="00480790">
        <w:rPr>
          <w:lang w:val="en-AU"/>
        </w:rPr>
        <w:t xml:space="preserve">/QALY gained. It further noted that the inclusion of model time horizons of 20 years (PBAC submission base case) and 40 years (NICE submission base case), results in an ICER of </w:t>
      </w:r>
      <w:r w:rsidR="00557E71" w:rsidRPr="00557E71">
        <w:rPr>
          <w:lang w:val="en-AU"/>
        </w:rPr>
        <w:t>$25,000 to &lt; $35,000</w:t>
      </w:r>
      <w:r w:rsidRPr="00480790">
        <w:rPr>
          <w:lang w:val="en-AU"/>
        </w:rPr>
        <w:t xml:space="preserve">/QALY and </w:t>
      </w:r>
      <w:r w:rsidR="006B5D7B" w:rsidRPr="006B5D7B">
        <w:rPr>
          <w:lang w:val="en-AU"/>
        </w:rPr>
        <w:t>$15,000 to &lt; $25,000</w:t>
      </w:r>
      <w:r w:rsidRPr="00480790">
        <w:rPr>
          <w:lang w:val="en-AU"/>
        </w:rPr>
        <w:t>/QALY, respectively.</w:t>
      </w:r>
      <w:bookmarkEnd w:id="79"/>
      <w:r w:rsidRPr="00480790">
        <w:rPr>
          <w:lang w:val="en-AU"/>
        </w:rPr>
        <w:t xml:space="preserve"> </w:t>
      </w:r>
      <w:r w:rsidR="00F42EA2" w:rsidRPr="00480790">
        <w:rPr>
          <w:lang w:val="en-AU"/>
        </w:rPr>
        <w:t>It w</w:t>
      </w:r>
      <w:r w:rsidR="00E4152D" w:rsidRPr="00480790">
        <w:rPr>
          <w:lang w:val="en-AU"/>
        </w:rPr>
        <w:t>a</w:t>
      </w:r>
      <w:r w:rsidR="00F42EA2" w:rsidRPr="00480790">
        <w:rPr>
          <w:lang w:val="en-AU"/>
        </w:rPr>
        <w:t xml:space="preserve">s noted that this ICER did not use DPMQs </w:t>
      </w:r>
      <w:r w:rsidR="15C3DDE1" w:rsidRPr="00480790">
        <w:rPr>
          <w:lang w:val="en-AU"/>
        </w:rPr>
        <w:t>and used assumed</w:t>
      </w:r>
      <w:r w:rsidR="00F42EA2" w:rsidRPr="00480790">
        <w:rPr>
          <w:lang w:val="en-AU"/>
        </w:rPr>
        <w:t xml:space="preserve"> effective prices for other treatments in the locally</w:t>
      </w:r>
      <w:r w:rsidR="003C58F6" w:rsidRPr="00480790">
        <w:rPr>
          <w:lang w:val="en-AU"/>
        </w:rPr>
        <w:t xml:space="preserve"> advanced/metastatic setting.</w:t>
      </w:r>
    </w:p>
    <w:p w14:paraId="2D58365D" w14:textId="77777777" w:rsidR="001C256F" w:rsidRPr="00480790" w:rsidRDefault="001C256F" w:rsidP="00751EBB">
      <w:pPr>
        <w:pStyle w:val="4-SubsectionHeading"/>
        <w:rPr>
          <w:lang w:eastAsia="en-AU"/>
        </w:rPr>
      </w:pPr>
      <w:bookmarkStart w:id="80" w:name="_Toc190264961"/>
      <w:bookmarkStart w:id="81" w:name="_Toc193106311"/>
      <w:r w:rsidRPr="00480790">
        <w:rPr>
          <w:lang w:eastAsia="en-AU"/>
        </w:rPr>
        <w:t>Drug cost/patient/</w:t>
      </w:r>
      <w:bookmarkEnd w:id="59"/>
      <w:bookmarkEnd w:id="80"/>
      <w:r w:rsidRPr="00480790">
        <w:rPr>
          <w:lang w:eastAsia="en-AU"/>
        </w:rPr>
        <w:t>course</w:t>
      </w:r>
      <w:bookmarkEnd w:id="81"/>
    </w:p>
    <w:p w14:paraId="2C2A690D" w14:textId="2F1D30A9" w:rsidR="001C256F" w:rsidRPr="00480790" w:rsidRDefault="001C256F" w:rsidP="002843F8">
      <w:pPr>
        <w:pStyle w:val="3-BodyText"/>
        <w:rPr>
          <w:lang w:val="en-AU"/>
        </w:rPr>
      </w:pPr>
      <w:r w:rsidRPr="00480790">
        <w:rPr>
          <w:lang w:val="en-AU"/>
        </w:rPr>
        <w:fldChar w:fldCharType="begin"/>
      </w:r>
      <w:r w:rsidRPr="00480790">
        <w:rPr>
          <w:lang w:val="en-AU"/>
        </w:rPr>
        <w:instrText xml:space="preserve"> REF _Ref188000454 \h  \* MERGEFORMAT </w:instrText>
      </w:r>
      <w:r w:rsidRPr="00480790">
        <w:rPr>
          <w:lang w:val="en-AU"/>
        </w:rPr>
      </w:r>
      <w:r w:rsidRPr="00480790">
        <w:rPr>
          <w:lang w:val="en-AU"/>
        </w:rPr>
        <w:fldChar w:fldCharType="separate"/>
      </w:r>
      <w:r w:rsidR="002565BE" w:rsidRPr="002565BE">
        <w:rPr>
          <w:lang w:val="en-AU"/>
        </w:rPr>
        <w:t>Table 11</w:t>
      </w:r>
      <w:r w:rsidRPr="00480790">
        <w:rPr>
          <w:lang w:val="en-AU"/>
        </w:rPr>
        <w:fldChar w:fldCharType="end"/>
      </w:r>
      <w:r w:rsidRPr="00480790">
        <w:rPr>
          <w:lang w:val="en-AU"/>
        </w:rPr>
        <w:t xml:space="preserve"> presents the cost per patient per course of alectinib and chemotherapy. In the financial model, the estimated duration of chemotherapy treatment was incorrectly estimated as 23.9 months, the same as alectinib, rather than 4 cycles of 3</w:t>
      </w:r>
      <w:r w:rsidR="0057438B">
        <w:rPr>
          <w:lang w:val="en-AU"/>
        </w:rPr>
        <w:t> </w:t>
      </w:r>
      <w:r w:rsidRPr="00480790">
        <w:rPr>
          <w:lang w:val="en-AU"/>
        </w:rPr>
        <w:t>weeks per cycle (</w:t>
      </w:r>
      <w:r w:rsidRPr="00480790">
        <w:rPr>
          <w:iCs/>
          <w:lang w:val="en-AU"/>
        </w:rPr>
        <w:t>the table below presets the corrected value based on 4 cycles of 3</w:t>
      </w:r>
      <w:r w:rsidR="0057438B">
        <w:rPr>
          <w:iCs/>
          <w:lang w:val="en-AU"/>
        </w:rPr>
        <w:t> </w:t>
      </w:r>
      <w:r w:rsidRPr="00480790">
        <w:rPr>
          <w:iCs/>
          <w:lang w:val="en-AU"/>
        </w:rPr>
        <w:t>weeks per cycle)</w:t>
      </w:r>
      <w:r w:rsidRPr="00480790">
        <w:rPr>
          <w:lang w:val="en-AU"/>
        </w:rPr>
        <w:t>. In the ALINA trial, a full course of treatment with alectinib lasted for 2 years, and a full course of chemotherapy involved 4 cycles of treatment each for 21</w:t>
      </w:r>
      <w:r w:rsidR="0057438B">
        <w:rPr>
          <w:lang w:val="en-AU"/>
        </w:rPr>
        <w:t> </w:t>
      </w:r>
      <w:r w:rsidRPr="00480790">
        <w:rPr>
          <w:lang w:val="en-AU"/>
        </w:rPr>
        <w:t>days.</w:t>
      </w:r>
    </w:p>
    <w:p w14:paraId="720CD456" w14:textId="419149D5" w:rsidR="001C256F" w:rsidRPr="00480790" w:rsidRDefault="001C256F" w:rsidP="0057438B">
      <w:pPr>
        <w:pStyle w:val="Caption"/>
        <w:rPr>
          <w:rStyle w:val="CommentReference"/>
          <w:b/>
        </w:rPr>
      </w:pPr>
      <w:bookmarkStart w:id="82" w:name="_Ref188000454"/>
      <w:r w:rsidRPr="00480790">
        <w:t xml:space="preserve">Table </w:t>
      </w:r>
      <w:r w:rsidRPr="00480790">
        <w:fldChar w:fldCharType="begin"/>
      </w:r>
      <w:r w:rsidRPr="00480790">
        <w:instrText xml:space="preserve"> SEQ Table \* ARABIC </w:instrText>
      </w:r>
      <w:r w:rsidRPr="00480790">
        <w:fldChar w:fldCharType="separate"/>
      </w:r>
      <w:r w:rsidR="002565BE">
        <w:rPr>
          <w:noProof/>
        </w:rPr>
        <w:t>11</w:t>
      </w:r>
      <w:r w:rsidRPr="00480790">
        <w:fldChar w:fldCharType="end"/>
      </w:r>
      <w:bookmarkEnd w:id="82"/>
      <w:r w:rsidRPr="00480790">
        <w:t>:</w:t>
      </w:r>
      <w:r w:rsidRPr="00480790">
        <w:rPr>
          <w:rStyle w:val="CommentReference"/>
          <w:b/>
        </w:rPr>
        <w:t xml:space="preserve"> Drug cost per patient for alectinib versus chemotherapy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6"/>
        <w:gridCol w:w="1170"/>
        <w:gridCol w:w="1255"/>
        <w:gridCol w:w="1259"/>
        <w:gridCol w:w="1255"/>
        <w:gridCol w:w="1297"/>
        <w:gridCol w:w="1225"/>
      </w:tblGrid>
      <w:tr w:rsidR="00AB01EA" w:rsidRPr="00480790" w14:paraId="486C4556" w14:textId="77777777">
        <w:trPr>
          <w:cantSplit/>
          <w:tblHeader/>
          <w:jc w:val="center"/>
        </w:trPr>
        <w:tc>
          <w:tcPr>
            <w:tcW w:w="863" w:type="pct"/>
            <w:shd w:val="clear" w:color="auto" w:fill="auto"/>
            <w:vAlign w:val="center"/>
          </w:tcPr>
          <w:p w14:paraId="713AE56B" w14:textId="77777777" w:rsidR="001C256F" w:rsidRPr="00480790" w:rsidRDefault="001C256F" w:rsidP="0057438B">
            <w:pPr>
              <w:pStyle w:val="In-tableHeading"/>
              <w:keepLines/>
              <w:jc w:val="center"/>
              <w:rPr>
                <w:lang w:val="en-AU"/>
              </w:rPr>
            </w:pPr>
          </w:p>
        </w:tc>
        <w:tc>
          <w:tcPr>
            <w:tcW w:w="649" w:type="pct"/>
            <w:shd w:val="clear" w:color="auto" w:fill="auto"/>
            <w:vAlign w:val="center"/>
          </w:tcPr>
          <w:p w14:paraId="7B803593" w14:textId="77777777" w:rsidR="001C256F" w:rsidRPr="00480790" w:rsidRDefault="001C256F" w:rsidP="0057438B">
            <w:pPr>
              <w:pStyle w:val="In-tableHeading"/>
              <w:keepLines/>
              <w:jc w:val="center"/>
              <w:rPr>
                <w:lang w:val="en-AU"/>
              </w:rPr>
            </w:pPr>
            <w:r w:rsidRPr="00480790">
              <w:rPr>
                <w:lang w:val="en-AU"/>
              </w:rPr>
              <w:t>Alectinib</w:t>
            </w:r>
          </w:p>
          <w:p w14:paraId="0094446A" w14:textId="77777777" w:rsidR="001C256F" w:rsidRPr="00480790" w:rsidRDefault="001C256F" w:rsidP="0057438B">
            <w:pPr>
              <w:pStyle w:val="In-tableHeading"/>
              <w:keepLines/>
              <w:jc w:val="center"/>
              <w:rPr>
                <w:lang w:val="en-AU"/>
              </w:rPr>
            </w:pPr>
            <w:r w:rsidRPr="00480790">
              <w:rPr>
                <w:lang w:val="en-AU"/>
              </w:rPr>
              <w:t>Trial dose and duration</w:t>
            </w:r>
          </w:p>
        </w:tc>
        <w:tc>
          <w:tcPr>
            <w:tcW w:w="696" w:type="pct"/>
            <w:shd w:val="clear" w:color="auto" w:fill="auto"/>
            <w:vAlign w:val="center"/>
          </w:tcPr>
          <w:p w14:paraId="53113B4C" w14:textId="77777777" w:rsidR="001C256F" w:rsidRPr="00480790" w:rsidRDefault="001C256F" w:rsidP="0057438B">
            <w:pPr>
              <w:pStyle w:val="In-tableHeading"/>
              <w:keepLines/>
              <w:jc w:val="center"/>
              <w:rPr>
                <w:lang w:val="en-AU"/>
              </w:rPr>
            </w:pPr>
            <w:r w:rsidRPr="00480790">
              <w:rPr>
                <w:lang w:val="en-AU"/>
              </w:rPr>
              <w:t>Alectinib</w:t>
            </w:r>
          </w:p>
          <w:p w14:paraId="571CB391" w14:textId="77777777" w:rsidR="001C256F" w:rsidRPr="00480790" w:rsidRDefault="001C256F" w:rsidP="0057438B">
            <w:pPr>
              <w:pStyle w:val="In-tableHeading"/>
              <w:keepLines/>
              <w:jc w:val="center"/>
              <w:rPr>
                <w:lang w:val="en-AU"/>
              </w:rPr>
            </w:pPr>
            <w:r w:rsidRPr="00480790">
              <w:rPr>
                <w:lang w:val="en-AU"/>
              </w:rPr>
              <w:t>Model</w:t>
            </w:r>
          </w:p>
        </w:tc>
        <w:tc>
          <w:tcPr>
            <w:tcW w:w="698" w:type="pct"/>
            <w:shd w:val="clear" w:color="auto" w:fill="auto"/>
            <w:vAlign w:val="center"/>
          </w:tcPr>
          <w:p w14:paraId="0321A8A2" w14:textId="77777777" w:rsidR="001C256F" w:rsidRPr="00480790" w:rsidRDefault="001C256F" w:rsidP="0057438B">
            <w:pPr>
              <w:pStyle w:val="In-tableHeading"/>
              <w:keepLines/>
              <w:jc w:val="center"/>
              <w:rPr>
                <w:lang w:val="en-AU"/>
              </w:rPr>
            </w:pPr>
            <w:r w:rsidRPr="00480790">
              <w:rPr>
                <w:lang w:val="en-AU"/>
              </w:rPr>
              <w:t>Alectinib</w:t>
            </w:r>
          </w:p>
          <w:p w14:paraId="3D4EF1FE" w14:textId="77777777" w:rsidR="001C256F" w:rsidRPr="00480790" w:rsidRDefault="001C256F" w:rsidP="0057438B">
            <w:pPr>
              <w:pStyle w:val="In-tableHeading"/>
              <w:keepLines/>
              <w:jc w:val="center"/>
              <w:rPr>
                <w:lang w:val="en-AU"/>
              </w:rPr>
            </w:pPr>
            <w:r w:rsidRPr="00480790">
              <w:rPr>
                <w:lang w:val="en-AU"/>
              </w:rPr>
              <w:t>Financial estimates</w:t>
            </w:r>
          </w:p>
        </w:tc>
        <w:tc>
          <w:tcPr>
            <w:tcW w:w="696" w:type="pct"/>
            <w:shd w:val="clear" w:color="auto" w:fill="auto"/>
            <w:vAlign w:val="center"/>
          </w:tcPr>
          <w:p w14:paraId="18A67E63" w14:textId="77777777" w:rsidR="001C256F" w:rsidRPr="00480790" w:rsidRDefault="001C256F" w:rsidP="0057438B">
            <w:pPr>
              <w:pStyle w:val="In-tableHeading"/>
              <w:keepLines/>
              <w:jc w:val="center"/>
              <w:rPr>
                <w:lang w:val="en-AU"/>
              </w:rPr>
            </w:pPr>
            <w:r w:rsidRPr="00480790">
              <w:rPr>
                <w:lang w:val="en-AU"/>
              </w:rPr>
              <w:t>Chemotherapy</w:t>
            </w:r>
          </w:p>
          <w:p w14:paraId="464B4FAA" w14:textId="77777777" w:rsidR="001C256F" w:rsidRPr="00480790" w:rsidRDefault="001C256F" w:rsidP="0057438B">
            <w:pPr>
              <w:pStyle w:val="In-tableHeading"/>
              <w:keepLines/>
              <w:jc w:val="center"/>
              <w:rPr>
                <w:lang w:val="en-AU"/>
              </w:rPr>
            </w:pPr>
            <w:r w:rsidRPr="00480790">
              <w:rPr>
                <w:lang w:val="en-AU"/>
              </w:rPr>
              <w:t>Trial dose and duration</w:t>
            </w:r>
          </w:p>
        </w:tc>
        <w:tc>
          <w:tcPr>
            <w:tcW w:w="719" w:type="pct"/>
            <w:shd w:val="clear" w:color="auto" w:fill="auto"/>
            <w:vAlign w:val="center"/>
          </w:tcPr>
          <w:p w14:paraId="523C1355" w14:textId="77777777" w:rsidR="001C256F" w:rsidRPr="00480790" w:rsidRDefault="001C256F" w:rsidP="0057438B">
            <w:pPr>
              <w:pStyle w:val="In-tableHeading"/>
              <w:keepLines/>
              <w:jc w:val="center"/>
              <w:rPr>
                <w:lang w:val="en-AU"/>
              </w:rPr>
            </w:pPr>
            <w:r w:rsidRPr="00480790">
              <w:rPr>
                <w:lang w:val="en-AU"/>
              </w:rPr>
              <w:t>Chemotherapy</w:t>
            </w:r>
          </w:p>
          <w:p w14:paraId="65BE9744" w14:textId="77777777" w:rsidR="001C256F" w:rsidRPr="00480790" w:rsidRDefault="001C256F" w:rsidP="0057438B">
            <w:pPr>
              <w:pStyle w:val="In-tableHeading"/>
              <w:keepLines/>
              <w:jc w:val="center"/>
              <w:rPr>
                <w:lang w:val="en-AU"/>
              </w:rPr>
            </w:pPr>
            <w:r w:rsidRPr="00480790">
              <w:rPr>
                <w:lang w:val="en-AU"/>
              </w:rPr>
              <w:t>Model</w:t>
            </w:r>
          </w:p>
        </w:tc>
        <w:tc>
          <w:tcPr>
            <w:tcW w:w="679" w:type="pct"/>
          </w:tcPr>
          <w:p w14:paraId="5BBE016A" w14:textId="77777777" w:rsidR="001C256F" w:rsidRPr="00480790" w:rsidRDefault="001C256F" w:rsidP="0057438B">
            <w:pPr>
              <w:pStyle w:val="In-tableHeading"/>
              <w:keepLines/>
              <w:jc w:val="center"/>
              <w:rPr>
                <w:lang w:val="en-AU"/>
              </w:rPr>
            </w:pPr>
            <w:r w:rsidRPr="00480790">
              <w:rPr>
                <w:lang w:val="en-AU"/>
              </w:rPr>
              <w:t>Chemotherapy</w:t>
            </w:r>
          </w:p>
          <w:p w14:paraId="23492710" w14:textId="77777777" w:rsidR="001C256F" w:rsidRPr="00480790" w:rsidRDefault="001C256F" w:rsidP="0057438B">
            <w:pPr>
              <w:pStyle w:val="In-tableHeading"/>
              <w:keepLines/>
              <w:jc w:val="center"/>
              <w:rPr>
                <w:lang w:val="en-AU"/>
              </w:rPr>
            </w:pPr>
            <w:r w:rsidRPr="00480790">
              <w:rPr>
                <w:lang w:val="en-AU"/>
              </w:rPr>
              <w:t>Financial estimates</w:t>
            </w:r>
          </w:p>
        </w:tc>
      </w:tr>
      <w:tr w:rsidR="00AB01EA" w:rsidRPr="00480790" w14:paraId="4B407C26" w14:textId="77777777">
        <w:trPr>
          <w:cantSplit/>
          <w:jc w:val="center"/>
        </w:trPr>
        <w:tc>
          <w:tcPr>
            <w:tcW w:w="863" w:type="pct"/>
            <w:shd w:val="clear" w:color="auto" w:fill="auto"/>
            <w:vAlign w:val="center"/>
          </w:tcPr>
          <w:p w14:paraId="7CACDABE" w14:textId="77777777" w:rsidR="001C256F" w:rsidRPr="00480790" w:rsidRDefault="001C256F" w:rsidP="0057438B">
            <w:pPr>
              <w:pStyle w:val="TableText0"/>
              <w:keepLines/>
            </w:pPr>
            <w:r w:rsidRPr="00480790">
              <w:t>Mean dose</w:t>
            </w:r>
          </w:p>
        </w:tc>
        <w:tc>
          <w:tcPr>
            <w:tcW w:w="2043" w:type="pct"/>
            <w:gridSpan w:val="3"/>
            <w:shd w:val="clear" w:color="auto" w:fill="auto"/>
            <w:vAlign w:val="center"/>
          </w:tcPr>
          <w:p w14:paraId="0E509773" w14:textId="77777777" w:rsidR="001C256F" w:rsidRPr="00480790" w:rsidRDefault="001C256F" w:rsidP="0057438B">
            <w:pPr>
              <w:pStyle w:val="TableText0"/>
              <w:keepLines/>
              <w:jc w:val="center"/>
              <w:rPr>
                <w:bCs w:val="0"/>
              </w:rPr>
            </w:pPr>
            <w:r w:rsidRPr="00480790">
              <w:rPr>
                <w:bCs w:val="0"/>
              </w:rPr>
              <w:t>600 mg alectinib (4 x 150 mg capsules) administered orally twice daily</w:t>
            </w:r>
          </w:p>
        </w:tc>
        <w:tc>
          <w:tcPr>
            <w:tcW w:w="2094" w:type="pct"/>
            <w:gridSpan w:val="3"/>
            <w:shd w:val="clear" w:color="auto" w:fill="auto"/>
            <w:vAlign w:val="center"/>
          </w:tcPr>
          <w:p w14:paraId="44CEC3F6" w14:textId="77777777" w:rsidR="001C256F" w:rsidRPr="00480790" w:rsidRDefault="001C256F" w:rsidP="0057438B">
            <w:pPr>
              <w:pStyle w:val="TableText0"/>
              <w:keepLines/>
              <w:jc w:val="center"/>
              <w:rPr>
                <w:bCs w:val="0"/>
              </w:rPr>
            </w:pPr>
            <w:r w:rsidRPr="00480790">
              <w:rPr>
                <w:bCs w:val="0"/>
              </w:rPr>
              <w:t>Cisplatin 75 mg/m</w:t>
            </w:r>
            <w:r w:rsidRPr="00480790">
              <w:rPr>
                <w:bCs w:val="0"/>
                <w:vertAlign w:val="superscript"/>
              </w:rPr>
              <w:t>2</w:t>
            </w:r>
            <w:r w:rsidRPr="00480790">
              <w:rPr>
                <w:bCs w:val="0"/>
              </w:rPr>
              <w:t xml:space="preserve"> with pemetrexed 500 mg/m</w:t>
            </w:r>
            <w:r w:rsidRPr="00480790">
              <w:rPr>
                <w:bCs w:val="0"/>
                <w:vertAlign w:val="superscript"/>
              </w:rPr>
              <w:t xml:space="preserve">1,2 </w:t>
            </w:r>
          </w:p>
        </w:tc>
      </w:tr>
      <w:tr w:rsidR="00AB01EA" w:rsidRPr="00480790" w14:paraId="5FDC6849" w14:textId="77777777">
        <w:trPr>
          <w:cantSplit/>
          <w:jc w:val="center"/>
        </w:trPr>
        <w:tc>
          <w:tcPr>
            <w:tcW w:w="863" w:type="pct"/>
            <w:shd w:val="clear" w:color="auto" w:fill="auto"/>
            <w:vAlign w:val="center"/>
          </w:tcPr>
          <w:p w14:paraId="03E79819" w14:textId="77777777" w:rsidR="001C256F" w:rsidRPr="00480790" w:rsidRDefault="001C256F" w:rsidP="0057438B">
            <w:pPr>
              <w:pStyle w:val="TableText0"/>
              <w:keepLines/>
            </w:pPr>
            <w:r w:rsidRPr="00480790">
              <w:t>Mean duration</w:t>
            </w:r>
          </w:p>
        </w:tc>
        <w:tc>
          <w:tcPr>
            <w:tcW w:w="649" w:type="pct"/>
            <w:shd w:val="clear" w:color="auto" w:fill="auto"/>
            <w:vAlign w:val="center"/>
          </w:tcPr>
          <w:p w14:paraId="66C2A5D6" w14:textId="77777777" w:rsidR="001C256F" w:rsidRPr="00480790" w:rsidRDefault="001C256F" w:rsidP="0057438B">
            <w:pPr>
              <w:pStyle w:val="TableText0"/>
              <w:keepLines/>
              <w:jc w:val="center"/>
              <w:rPr>
                <w:bCs w:val="0"/>
              </w:rPr>
            </w:pPr>
            <w:r w:rsidRPr="00480790">
              <w:rPr>
                <w:bCs w:val="0"/>
              </w:rPr>
              <w:t>21.6 months</w:t>
            </w:r>
          </w:p>
        </w:tc>
        <w:tc>
          <w:tcPr>
            <w:tcW w:w="696" w:type="pct"/>
            <w:shd w:val="clear" w:color="auto" w:fill="auto"/>
            <w:vAlign w:val="center"/>
          </w:tcPr>
          <w:p w14:paraId="5460E9C5" w14:textId="77777777" w:rsidR="001C256F" w:rsidRPr="00480790" w:rsidRDefault="001C256F" w:rsidP="0057438B">
            <w:pPr>
              <w:pStyle w:val="TableText0"/>
              <w:keepLines/>
              <w:jc w:val="center"/>
              <w:rPr>
                <w:bCs w:val="0"/>
              </w:rPr>
            </w:pPr>
            <w:r w:rsidRPr="00480790">
              <w:rPr>
                <w:bCs w:val="0"/>
              </w:rPr>
              <w:t>21.5 months</w:t>
            </w:r>
          </w:p>
        </w:tc>
        <w:tc>
          <w:tcPr>
            <w:tcW w:w="698" w:type="pct"/>
            <w:shd w:val="clear" w:color="auto" w:fill="auto"/>
            <w:vAlign w:val="center"/>
          </w:tcPr>
          <w:p w14:paraId="24F4FB0B" w14:textId="77777777" w:rsidR="001C256F" w:rsidRPr="00480790" w:rsidRDefault="001C256F" w:rsidP="0057438B">
            <w:pPr>
              <w:pStyle w:val="TableText0"/>
              <w:keepLines/>
              <w:jc w:val="center"/>
              <w:rPr>
                <w:bCs w:val="0"/>
              </w:rPr>
            </w:pPr>
            <w:r w:rsidRPr="00480790">
              <w:rPr>
                <w:bCs w:val="0"/>
              </w:rPr>
              <w:t>23.9 months</w:t>
            </w:r>
          </w:p>
        </w:tc>
        <w:tc>
          <w:tcPr>
            <w:tcW w:w="1415" w:type="pct"/>
            <w:gridSpan w:val="2"/>
            <w:shd w:val="clear" w:color="auto" w:fill="auto"/>
            <w:vAlign w:val="center"/>
          </w:tcPr>
          <w:p w14:paraId="654F8B9E" w14:textId="77777777" w:rsidR="001C256F" w:rsidRPr="00480790" w:rsidRDefault="001C256F" w:rsidP="0057438B">
            <w:pPr>
              <w:pStyle w:val="TableText0"/>
              <w:keepLines/>
              <w:jc w:val="center"/>
              <w:rPr>
                <w:bCs w:val="0"/>
              </w:rPr>
            </w:pPr>
            <w:r w:rsidRPr="00480790">
              <w:rPr>
                <w:bCs w:val="0"/>
              </w:rPr>
              <w:t>2.0 months</w:t>
            </w:r>
          </w:p>
        </w:tc>
        <w:tc>
          <w:tcPr>
            <w:tcW w:w="679" w:type="pct"/>
            <w:vAlign w:val="center"/>
          </w:tcPr>
          <w:p w14:paraId="37AC1633" w14:textId="77777777" w:rsidR="001C256F" w:rsidRPr="00480790" w:rsidRDefault="001C256F" w:rsidP="0057438B">
            <w:pPr>
              <w:pStyle w:val="TableText0"/>
              <w:keepLines/>
              <w:jc w:val="center"/>
              <w:rPr>
                <w:bCs w:val="0"/>
              </w:rPr>
            </w:pPr>
            <w:r w:rsidRPr="00480790">
              <w:rPr>
                <w:bCs w:val="0"/>
              </w:rPr>
              <w:t>2.0 months</w:t>
            </w:r>
          </w:p>
        </w:tc>
      </w:tr>
      <w:tr w:rsidR="00AB01EA" w:rsidRPr="00480790" w14:paraId="22A6152E" w14:textId="77777777">
        <w:trPr>
          <w:cantSplit/>
          <w:jc w:val="center"/>
        </w:trPr>
        <w:tc>
          <w:tcPr>
            <w:tcW w:w="863" w:type="pct"/>
            <w:shd w:val="clear" w:color="auto" w:fill="auto"/>
            <w:vAlign w:val="center"/>
          </w:tcPr>
          <w:p w14:paraId="2599967B" w14:textId="77777777" w:rsidR="001C256F" w:rsidRPr="00480790" w:rsidRDefault="001C256F" w:rsidP="0057438B">
            <w:pPr>
              <w:pStyle w:val="TableText0"/>
              <w:keepLines/>
            </w:pPr>
            <w:r w:rsidRPr="00480790">
              <w:t>Cost/patient/month</w:t>
            </w:r>
          </w:p>
        </w:tc>
        <w:tc>
          <w:tcPr>
            <w:tcW w:w="2043" w:type="pct"/>
            <w:gridSpan w:val="3"/>
            <w:shd w:val="clear" w:color="auto" w:fill="auto"/>
            <w:vAlign w:val="center"/>
          </w:tcPr>
          <w:p w14:paraId="102EBDFC" w14:textId="608EFD81" w:rsidR="001C256F" w:rsidRPr="00480790" w:rsidRDefault="001C256F" w:rsidP="0057438B">
            <w:pPr>
              <w:pStyle w:val="TableText0"/>
              <w:keepLines/>
              <w:jc w:val="center"/>
              <w:rPr>
                <w:bCs w:val="0"/>
              </w:rPr>
            </w:pPr>
            <w:r w:rsidRPr="00480790">
              <w:rPr>
                <w:bCs w:val="0"/>
              </w:rPr>
              <w:t>$</w:t>
            </w:r>
            <w:r w:rsidR="00487E5A" w:rsidRPr="00487E5A">
              <w:rPr>
                <w:bCs w:val="0"/>
                <w:color w:val="000000"/>
                <w:spacing w:val="53"/>
                <w:shd w:val="solid" w:color="000000" w:fill="000000"/>
                <w:fitText w:val="330" w:id="-663539705"/>
                <w14:textFill>
                  <w14:solidFill>
                    <w14:srgbClr w14:val="000000">
                      <w14:alpha w14:val="100000"/>
                    </w14:srgbClr>
                  </w14:solidFill>
                </w14:textFill>
              </w:rPr>
              <w:t>|||</w:t>
            </w:r>
            <w:r w:rsidR="00487E5A" w:rsidRPr="00487E5A">
              <w:rPr>
                <w:bCs w:val="0"/>
                <w:color w:val="000000"/>
                <w:spacing w:val="1"/>
                <w:shd w:val="solid" w:color="000000" w:fill="000000"/>
                <w:fitText w:val="330" w:id="-663539705"/>
                <w14:textFill>
                  <w14:solidFill>
                    <w14:srgbClr w14:val="000000">
                      <w14:alpha w14:val="100000"/>
                    </w14:srgbClr>
                  </w14:solidFill>
                </w14:textFill>
              </w:rPr>
              <w:t>|</w:t>
            </w:r>
          </w:p>
        </w:tc>
        <w:tc>
          <w:tcPr>
            <w:tcW w:w="1415" w:type="pct"/>
            <w:gridSpan w:val="2"/>
            <w:shd w:val="clear" w:color="auto" w:fill="auto"/>
            <w:vAlign w:val="center"/>
          </w:tcPr>
          <w:p w14:paraId="6C3B2318" w14:textId="77777777" w:rsidR="001C256F" w:rsidRPr="00480790" w:rsidRDefault="001C256F" w:rsidP="0057438B">
            <w:pPr>
              <w:pStyle w:val="TableText0"/>
              <w:keepLines/>
              <w:jc w:val="center"/>
              <w:rPr>
                <w:bCs w:val="0"/>
              </w:rPr>
            </w:pPr>
            <w:r w:rsidRPr="00480790">
              <w:rPr>
                <w:bCs w:val="0"/>
              </w:rPr>
              <w:t>$600</w:t>
            </w:r>
          </w:p>
        </w:tc>
        <w:tc>
          <w:tcPr>
            <w:tcW w:w="679" w:type="pct"/>
            <w:shd w:val="clear" w:color="auto" w:fill="auto"/>
            <w:vAlign w:val="center"/>
          </w:tcPr>
          <w:p w14:paraId="33BE328D" w14:textId="77777777" w:rsidR="001C256F" w:rsidRPr="00480790" w:rsidRDefault="001C256F" w:rsidP="0057438B">
            <w:pPr>
              <w:pStyle w:val="TableText0"/>
              <w:keepLines/>
              <w:jc w:val="center"/>
              <w:rPr>
                <w:bCs w:val="0"/>
              </w:rPr>
            </w:pPr>
            <w:r w:rsidRPr="00480790">
              <w:rPr>
                <w:bCs w:val="0"/>
              </w:rPr>
              <w:t>$600</w:t>
            </w:r>
          </w:p>
        </w:tc>
      </w:tr>
      <w:tr w:rsidR="00AB01EA" w:rsidRPr="00480790" w14:paraId="660BB3C3" w14:textId="77777777">
        <w:trPr>
          <w:cantSplit/>
          <w:jc w:val="center"/>
        </w:trPr>
        <w:tc>
          <w:tcPr>
            <w:tcW w:w="863" w:type="pct"/>
            <w:shd w:val="clear" w:color="auto" w:fill="auto"/>
            <w:vAlign w:val="center"/>
          </w:tcPr>
          <w:p w14:paraId="588743E6" w14:textId="77777777" w:rsidR="001C256F" w:rsidRPr="00480790" w:rsidRDefault="001C256F" w:rsidP="0057438B">
            <w:pPr>
              <w:pStyle w:val="TableText0"/>
              <w:keepLines/>
            </w:pPr>
            <w:r w:rsidRPr="00480790">
              <w:t>Cost/patient/course</w:t>
            </w:r>
          </w:p>
        </w:tc>
        <w:tc>
          <w:tcPr>
            <w:tcW w:w="649" w:type="pct"/>
            <w:shd w:val="clear" w:color="auto" w:fill="auto"/>
            <w:vAlign w:val="center"/>
          </w:tcPr>
          <w:p w14:paraId="5844C59D" w14:textId="11A5A1ED" w:rsidR="001C256F" w:rsidRPr="00480790" w:rsidRDefault="001C256F" w:rsidP="0057438B">
            <w:pPr>
              <w:pStyle w:val="TableText0"/>
              <w:keepLines/>
              <w:jc w:val="center"/>
              <w:rPr>
                <w:bCs w:val="0"/>
              </w:rPr>
            </w:pPr>
            <w:r w:rsidRPr="00480790">
              <w:rPr>
                <w:bCs w:val="0"/>
              </w:rPr>
              <w:t>$</w:t>
            </w:r>
            <w:r w:rsidR="00487E5A" w:rsidRPr="00487E5A">
              <w:rPr>
                <w:bCs w:val="0"/>
                <w:color w:val="000000"/>
                <w:spacing w:val="53"/>
                <w:shd w:val="solid" w:color="000000" w:fill="000000"/>
                <w:fitText w:val="330" w:id="-663539704"/>
                <w14:textFill>
                  <w14:solidFill>
                    <w14:srgbClr w14:val="000000">
                      <w14:alpha w14:val="100000"/>
                    </w14:srgbClr>
                  </w14:solidFill>
                </w14:textFill>
              </w:rPr>
              <w:t>|||</w:t>
            </w:r>
            <w:r w:rsidR="00487E5A" w:rsidRPr="00487E5A">
              <w:rPr>
                <w:bCs w:val="0"/>
                <w:color w:val="000000"/>
                <w:spacing w:val="1"/>
                <w:shd w:val="solid" w:color="000000" w:fill="000000"/>
                <w:fitText w:val="330" w:id="-663539704"/>
                <w14:textFill>
                  <w14:solidFill>
                    <w14:srgbClr w14:val="000000">
                      <w14:alpha w14:val="100000"/>
                    </w14:srgbClr>
                  </w14:solidFill>
                </w14:textFill>
              </w:rPr>
              <w:t>|</w:t>
            </w:r>
          </w:p>
        </w:tc>
        <w:tc>
          <w:tcPr>
            <w:tcW w:w="696" w:type="pct"/>
            <w:shd w:val="clear" w:color="auto" w:fill="auto"/>
            <w:vAlign w:val="center"/>
          </w:tcPr>
          <w:p w14:paraId="615E09ED" w14:textId="07C28F85" w:rsidR="001C256F" w:rsidRPr="00480790" w:rsidRDefault="001C256F" w:rsidP="0057438B">
            <w:pPr>
              <w:pStyle w:val="TableText0"/>
              <w:keepLines/>
              <w:jc w:val="center"/>
              <w:rPr>
                <w:bCs w:val="0"/>
              </w:rPr>
            </w:pPr>
            <w:r w:rsidRPr="00480790">
              <w:rPr>
                <w:bCs w:val="0"/>
              </w:rPr>
              <w:t>$</w:t>
            </w:r>
            <w:r w:rsidR="00487E5A" w:rsidRPr="00487E5A">
              <w:rPr>
                <w:bCs w:val="0"/>
                <w:color w:val="000000"/>
                <w:spacing w:val="49"/>
                <w:shd w:val="solid" w:color="000000" w:fill="000000"/>
                <w:fitText w:val="320" w:id="-663539703"/>
                <w14:textFill>
                  <w14:solidFill>
                    <w14:srgbClr w14:val="000000">
                      <w14:alpha w14:val="100000"/>
                    </w14:srgbClr>
                  </w14:solidFill>
                </w14:textFill>
              </w:rPr>
              <w:t>|||</w:t>
            </w:r>
            <w:r w:rsidR="00487E5A" w:rsidRPr="00487E5A">
              <w:rPr>
                <w:bCs w:val="0"/>
                <w:color w:val="000000"/>
                <w:spacing w:val="3"/>
                <w:shd w:val="solid" w:color="000000" w:fill="000000"/>
                <w:fitText w:val="320" w:id="-663539703"/>
                <w14:textFill>
                  <w14:solidFill>
                    <w14:srgbClr w14:val="000000">
                      <w14:alpha w14:val="100000"/>
                    </w14:srgbClr>
                  </w14:solidFill>
                </w14:textFill>
              </w:rPr>
              <w:t>|</w:t>
            </w:r>
          </w:p>
        </w:tc>
        <w:tc>
          <w:tcPr>
            <w:tcW w:w="698" w:type="pct"/>
            <w:shd w:val="clear" w:color="auto" w:fill="auto"/>
            <w:vAlign w:val="center"/>
          </w:tcPr>
          <w:p w14:paraId="6FAFA688" w14:textId="0A688F0C" w:rsidR="001C256F" w:rsidRPr="00480790" w:rsidRDefault="001C256F" w:rsidP="0057438B">
            <w:pPr>
              <w:pStyle w:val="TableText0"/>
              <w:keepLines/>
              <w:jc w:val="center"/>
              <w:rPr>
                <w:bCs w:val="0"/>
              </w:rPr>
            </w:pPr>
            <w:r w:rsidRPr="00480790">
              <w:rPr>
                <w:bCs w:val="0"/>
              </w:rPr>
              <w:t>$</w:t>
            </w:r>
            <w:r w:rsidR="00487E5A" w:rsidRPr="00487E5A">
              <w:rPr>
                <w:bCs w:val="0"/>
                <w:color w:val="000000"/>
                <w:spacing w:val="53"/>
                <w:shd w:val="solid" w:color="000000" w:fill="000000"/>
                <w:fitText w:val="330" w:id="-663539702"/>
                <w14:textFill>
                  <w14:solidFill>
                    <w14:srgbClr w14:val="000000">
                      <w14:alpha w14:val="100000"/>
                    </w14:srgbClr>
                  </w14:solidFill>
                </w14:textFill>
              </w:rPr>
              <w:t>|||</w:t>
            </w:r>
            <w:r w:rsidR="00487E5A" w:rsidRPr="00487E5A">
              <w:rPr>
                <w:bCs w:val="0"/>
                <w:color w:val="000000"/>
                <w:spacing w:val="1"/>
                <w:shd w:val="solid" w:color="000000" w:fill="000000"/>
                <w:fitText w:val="330" w:id="-663539702"/>
                <w14:textFill>
                  <w14:solidFill>
                    <w14:srgbClr w14:val="000000">
                      <w14:alpha w14:val="100000"/>
                    </w14:srgbClr>
                  </w14:solidFill>
                </w14:textFill>
              </w:rPr>
              <w:t>|</w:t>
            </w:r>
          </w:p>
        </w:tc>
        <w:tc>
          <w:tcPr>
            <w:tcW w:w="1415" w:type="pct"/>
            <w:gridSpan w:val="2"/>
            <w:shd w:val="clear" w:color="auto" w:fill="auto"/>
            <w:vAlign w:val="center"/>
          </w:tcPr>
          <w:p w14:paraId="40949CA7" w14:textId="77777777" w:rsidR="001C256F" w:rsidRPr="00480790" w:rsidRDefault="001C256F" w:rsidP="0057438B">
            <w:pPr>
              <w:pStyle w:val="TableText0"/>
              <w:keepLines/>
              <w:jc w:val="center"/>
              <w:rPr>
                <w:bCs w:val="0"/>
              </w:rPr>
            </w:pPr>
            <w:r w:rsidRPr="00480790">
              <w:rPr>
                <w:bCs w:val="0"/>
              </w:rPr>
              <w:t>$1,202</w:t>
            </w:r>
          </w:p>
        </w:tc>
        <w:tc>
          <w:tcPr>
            <w:tcW w:w="679" w:type="pct"/>
            <w:vAlign w:val="center"/>
          </w:tcPr>
          <w:p w14:paraId="204A8637" w14:textId="77777777" w:rsidR="001C256F" w:rsidRPr="00480790" w:rsidRDefault="001C256F" w:rsidP="0057438B">
            <w:pPr>
              <w:pStyle w:val="TableText0"/>
              <w:keepLines/>
              <w:jc w:val="center"/>
              <w:rPr>
                <w:bCs w:val="0"/>
              </w:rPr>
            </w:pPr>
            <w:r w:rsidRPr="00480790">
              <w:rPr>
                <w:bCs w:val="0"/>
              </w:rPr>
              <w:t>$1,202</w:t>
            </w:r>
          </w:p>
        </w:tc>
      </w:tr>
    </w:tbl>
    <w:p w14:paraId="69FC1A20" w14:textId="77777777" w:rsidR="001C256F" w:rsidRPr="00480790" w:rsidRDefault="001C256F" w:rsidP="0057438B">
      <w:pPr>
        <w:pStyle w:val="FooterTableFigure"/>
        <w:keepNext/>
        <w:keepLines/>
      </w:pPr>
      <w:r w:rsidRPr="00480790">
        <w:t>Source: Table 2.8, p32, Table 2.9, p32, Table 3.14, p85, of the submission “Drug Doses &amp; Acquisition Costs” worksheet of the economic model.</w:t>
      </w:r>
    </w:p>
    <w:p w14:paraId="0783391C" w14:textId="77777777" w:rsidR="001C256F" w:rsidRPr="00480790" w:rsidRDefault="001C256F" w:rsidP="0057438B">
      <w:pPr>
        <w:pStyle w:val="FooterTableFigure"/>
        <w:keepNext/>
        <w:keepLines/>
      </w:pPr>
      <w:r w:rsidRPr="00480790">
        <w:t>Mg = milligram, m = metre.</w:t>
      </w:r>
    </w:p>
    <w:p w14:paraId="5032A7D6" w14:textId="77777777" w:rsidR="001C256F" w:rsidRPr="00480790" w:rsidRDefault="001C256F" w:rsidP="0057438B">
      <w:pPr>
        <w:pStyle w:val="FooterTableFigure"/>
        <w:keepNext/>
        <w:keepLines/>
      </w:pPr>
      <w:r w:rsidRPr="00480790">
        <w:rPr>
          <w:vertAlign w:val="superscript"/>
        </w:rPr>
        <w:t xml:space="preserve">1 </w:t>
      </w:r>
      <w:r w:rsidRPr="00480790">
        <w:t>Patients in the control arm of the ALINA trial received one of the protocol-specified platinum-based chemotherapy regimens consisting of either cisplatin 75 mg/m</w:t>
      </w:r>
      <w:r w:rsidRPr="00480790">
        <w:rPr>
          <w:vertAlign w:val="superscript"/>
        </w:rPr>
        <w:t>2</w:t>
      </w:r>
      <w:r w:rsidRPr="00480790">
        <w:t xml:space="preserve"> with pemetrexed 500 mg/m</w:t>
      </w:r>
      <w:r w:rsidRPr="00480790">
        <w:rPr>
          <w:vertAlign w:val="superscript"/>
        </w:rPr>
        <w:t>2</w:t>
      </w:r>
      <w:r w:rsidRPr="00480790">
        <w:t xml:space="preserve"> or cisplatin 75 mg/m</w:t>
      </w:r>
      <w:r w:rsidRPr="00480790">
        <w:rPr>
          <w:vertAlign w:val="superscript"/>
        </w:rPr>
        <w:t>2</w:t>
      </w:r>
      <w:r w:rsidRPr="00480790">
        <w:t xml:space="preserve"> with vinorelbine 25 mg/m</w:t>
      </w:r>
      <w:r w:rsidRPr="00480790">
        <w:rPr>
          <w:vertAlign w:val="superscript"/>
        </w:rPr>
        <w:t>2</w:t>
      </w:r>
      <w:r w:rsidRPr="00480790">
        <w:t>, or cisplatin 75 mg/m</w:t>
      </w:r>
      <w:r w:rsidRPr="00480790">
        <w:rPr>
          <w:vertAlign w:val="superscript"/>
        </w:rPr>
        <w:t>2</w:t>
      </w:r>
      <w:r w:rsidRPr="00480790">
        <w:t xml:space="preserve"> with gemcitabine 1250 mg/m</w:t>
      </w:r>
      <w:r w:rsidRPr="00480790">
        <w:rPr>
          <w:vertAlign w:val="superscript"/>
        </w:rPr>
        <w:t>2</w:t>
      </w:r>
      <w:r w:rsidRPr="00480790">
        <w:t xml:space="preserve"> (p86 of the submission). In the ALINA trial, the most common chemotherapy regimen was platinum/pemetrexed (96 patients, 80%).</w:t>
      </w:r>
    </w:p>
    <w:p w14:paraId="19FF53F8" w14:textId="5BA5D3F9" w:rsidR="001C256F" w:rsidRPr="00480790" w:rsidRDefault="001C256F" w:rsidP="0057438B">
      <w:pPr>
        <w:pStyle w:val="FooterTableFigure"/>
        <w:keepNext/>
        <w:keepLines/>
      </w:pPr>
      <w:r w:rsidRPr="00480790">
        <w:rPr>
          <w:vertAlign w:val="superscript"/>
        </w:rPr>
        <w:t>2</w:t>
      </w:r>
      <w:r w:rsidRPr="00480790">
        <w:t xml:space="preserve"> 4 cycles of 3 weeks per cycle.</w:t>
      </w:r>
    </w:p>
    <w:p w14:paraId="73451487" w14:textId="77777777" w:rsidR="001C256F" w:rsidRPr="00480790" w:rsidRDefault="001C256F" w:rsidP="00751EBB">
      <w:pPr>
        <w:pStyle w:val="4-SubsectionHeading"/>
        <w:rPr>
          <w:lang w:eastAsia="en-AU"/>
        </w:rPr>
      </w:pPr>
      <w:bookmarkStart w:id="83" w:name="_Toc22897647"/>
      <w:bookmarkStart w:id="84" w:name="_Toc190264962"/>
      <w:bookmarkStart w:id="85" w:name="_Toc193106312"/>
      <w:bookmarkEnd w:id="60"/>
      <w:r w:rsidRPr="00480790">
        <w:rPr>
          <w:lang w:eastAsia="en-AU"/>
        </w:rPr>
        <w:t>Estimated PBS usage &amp; financial implications</w:t>
      </w:r>
      <w:bookmarkEnd w:id="83"/>
      <w:bookmarkEnd w:id="84"/>
      <w:bookmarkEnd w:id="85"/>
    </w:p>
    <w:p w14:paraId="3C316B2A" w14:textId="77777777" w:rsidR="001C256F" w:rsidRPr="00480790" w:rsidRDefault="001C256F" w:rsidP="002843F8">
      <w:pPr>
        <w:pStyle w:val="3-BodyText"/>
        <w:rPr>
          <w:lang w:val="en-AU"/>
        </w:rPr>
      </w:pPr>
      <w:r w:rsidRPr="00480790">
        <w:rPr>
          <w:lang w:val="en-AU"/>
        </w:rPr>
        <w:t>This submission was not considered by DUSC.</w:t>
      </w:r>
    </w:p>
    <w:p w14:paraId="5CEFFD83" w14:textId="75347E9A" w:rsidR="001C256F" w:rsidRPr="00480790" w:rsidRDefault="001C256F" w:rsidP="002843F8">
      <w:pPr>
        <w:pStyle w:val="3-BodyText"/>
        <w:rPr>
          <w:lang w:val="en-AU"/>
        </w:rPr>
      </w:pPr>
      <w:r w:rsidRPr="00480790">
        <w:rPr>
          <w:lang w:val="en-AU"/>
        </w:rPr>
        <w:t xml:space="preserve">The submission used an epidemiological approach to estimate the number of patients treated with alectinib. The key inputs for the financial estimates are given in </w:t>
      </w:r>
      <w:r w:rsidRPr="00480790">
        <w:rPr>
          <w:lang w:val="en-AU"/>
        </w:rPr>
        <w:fldChar w:fldCharType="begin"/>
      </w:r>
      <w:r w:rsidRPr="00480790">
        <w:rPr>
          <w:lang w:val="en-AU"/>
        </w:rPr>
        <w:instrText xml:space="preserve"> REF _Ref104805262 \h </w:instrText>
      </w:r>
      <w:r w:rsidRPr="00480790">
        <w:rPr>
          <w:lang w:val="en-AU"/>
        </w:rPr>
      </w:r>
      <w:r w:rsidRPr="00480790">
        <w:rPr>
          <w:lang w:val="en-AU"/>
        </w:rPr>
        <w:fldChar w:fldCharType="separate"/>
      </w:r>
      <w:r w:rsidR="002565BE" w:rsidRPr="00480790">
        <w:t xml:space="preserve">Table </w:t>
      </w:r>
      <w:r w:rsidR="002565BE">
        <w:rPr>
          <w:noProof/>
        </w:rPr>
        <w:t>12</w:t>
      </w:r>
      <w:r w:rsidRPr="00480790">
        <w:rPr>
          <w:lang w:val="en-AU"/>
        </w:rPr>
        <w:fldChar w:fldCharType="end"/>
      </w:r>
      <w:r w:rsidRPr="00480790">
        <w:rPr>
          <w:lang w:val="en-AU"/>
        </w:rPr>
        <w:t>.</w:t>
      </w:r>
    </w:p>
    <w:p w14:paraId="7DDD6360" w14:textId="1B34C0D0" w:rsidR="001C256F" w:rsidRPr="00480790" w:rsidRDefault="001C256F" w:rsidP="00751EBB">
      <w:pPr>
        <w:pStyle w:val="Caption"/>
        <w:rPr>
          <w:rStyle w:val="CommentReference"/>
          <w:b/>
          <w:szCs w:val="24"/>
        </w:rPr>
      </w:pPr>
      <w:bookmarkStart w:id="86" w:name="_Ref104805262"/>
      <w:r w:rsidRPr="00480790">
        <w:lastRenderedPageBreak/>
        <w:t xml:space="preserve">Table </w:t>
      </w:r>
      <w:r w:rsidRPr="00480790">
        <w:fldChar w:fldCharType="begin"/>
      </w:r>
      <w:r w:rsidRPr="00480790">
        <w:instrText xml:space="preserve"> SEQ Table \* ARABIC </w:instrText>
      </w:r>
      <w:r w:rsidRPr="00480790">
        <w:fldChar w:fldCharType="separate"/>
      </w:r>
      <w:r w:rsidR="002565BE">
        <w:rPr>
          <w:noProof/>
        </w:rPr>
        <w:t>12</w:t>
      </w:r>
      <w:r w:rsidRPr="00480790">
        <w:fldChar w:fldCharType="end"/>
      </w:r>
      <w:bookmarkEnd w:id="86"/>
      <w:r w:rsidRPr="00480790">
        <w:t>:</w:t>
      </w:r>
      <w:r w:rsidRPr="00480790">
        <w:rPr>
          <w:rStyle w:val="CommentReference"/>
          <w:b/>
          <w:szCs w:val="24"/>
        </w:rPr>
        <w:t xml:space="preserve"> Key inputs for financial estimates</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85" w:type="dxa"/>
          <w:right w:w="85" w:type="dxa"/>
        </w:tblCellMar>
        <w:tblLook w:val="0000" w:firstRow="0" w:lastRow="0" w:firstColumn="0" w:lastColumn="0" w:noHBand="0" w:noVBand="0"/>
      </w:tblPr>
      <w:tblGrid>
        <w:gridCol w:w="2120"/>
        <w:gridCol w:w="1559"/>
        <w:gridCol w:w="1701"/>
        <w:gridCol w:w="3631"/>
      </w:tblGrid>
      <w:tr w:rsidR="00C41E29" w:rsidRPr="00480790" w14:paraId="343F0E27" w14:textId="77777777" w:rsidTr="00C41E29">
        <w:trPr>
          <w:trHeight w:val="59"/>
          <w:tblHeader/>
        </w:trPr>
        <w:tc>
          <w:tcPr>
            <w:tcW w:w="1176" w:type="pct"/>
            <w:tcBorders>
              <w:top w:val="single" w:sz="6" w:space="0" w:color="auto"/>
              <w:left w:val="single" w:sz="6" w:space="0" w:color="auto"/>
              <w:bottom w:val="single" w:sz="4" w:space="0" w:color="auto"/>
              <w:right w:val="single" w:sz="4" w:space="0" w:color="auto"/>
            </w:tcBorders>
            <w:shd w:val="clear" w:color="auto" w:fill="auto"/>
            <w:vAlign w:val="center"/>
          </w:tcPr>
          <w:p w14:paraId="313A6372" w14:textId="77777777" w:rsidR="001C256F" w:rsidRPr="00480790" w:rsidRDefault="001C256F">
            <w:pPr>
              <w:pStyle w:val="TableHeadingRow"/>
              <w:jc w:val="left"/>
              <w:rPr>
                <w:rFonts w:ascii="Arial Narrow" w:hAnsi="Arial Narrow"/>
              </w:rPr>
            </w:pPr>
            <w:bookmarkStart w:id="87" w:name="_Hlk189649978"/>
            <w:r w:rsidRPr="00480790">
              <w:rPr>
                <w:rFonts w:ascii="Arial Narrow" w:hAnsi="Arial Narrow"/>
              </w:rPr>
              <w:t>Data</w:t>
            </w:r>
          </w:p>
        </w:tc>
        <w:tc>
          <w:tcPr>
            <w:tcW w:w="865" w:type="pct"/>
            <w:tcBorders>
              <w:top w:val="single" w:sz="6" w:space="0" w:color="auto"/>
              <w:left w:val="single" w:sz="4" w:space="0" w:color="auto"/>
              <w:bottom w:val="single" w:sz="4" w:space="0" w:color="auto"/>
              <w:right w:val="single" w:sz="4" w:space="0" w:color="auto"/>
            </w:tcBorders>
            <w:shd w:val="clear" w:color="auto" w:fill="auto"/>
            <w:vAlign w:val="center"/>
          </w:tcPr>
          <w:p w14:paraId="2805D2C6" w14:textId="77777777" w:rsidR="001C256F" w:rsidRPr="00480790" w:rsidRDefault="001C256F">
            <w:pPr>
              <w:pStyle w:val="TableHeadingRow"/>
              <w:rPr>
                <w:rFonts w:ascii="Arial Narrow" w:hAnsi="Arial Narrow"/>
              </w:rPr>
            </w:pPr>
            <w:r w:rsidRPr="00480790">
              <w:rPr>
                <w:rFonts w:ascii="Arial Narrow" w:hAnsi="Arial Narrow"/>
              </w:rPr>
              <w:t>Value</w:t>
            </w:r>
          </w:p>
        </w:tc>
        <w:tc>
          <w:tcPr>
            <w:tcW w:w="944" w:type="pct"/>
            <w:tcBorders>
              <w:top w:val="single" w:sz="6" w:space="0" w:color="auto"/>
              <w:left w:val="single" w:sz="4" w:space="0" w:color="auto"/>
              <w:bottom w:val="single" w:sz="4" w:space="0" w:color="auto"/>
              <w:right w:val="single" w:sz="6" w:space="0" w:color="auto"/>
            </w:tcBorders>
            <w:shd w:val="clear" w:color="auto" w:fill="auto"/>
            <w:vAlign w:val="center"/>
          </w:tcPr>
          <w:p w14:paraId="0273BEEA" w14:textId="77777777" w:rsidR="001C256F" w:rsidRPr="00480790" w:rsidRDefault="001C256F">
            <w:pPr>
              <w:pStyle w:val="TableHeadingRow"/>
              <w:rPr>
                <w:rFonts w:ascii="Arial Narrow" w:hAnsi="Arial Narrow"/>
              </w:rPr>
            </w:pPr>
            <w:r w:rsidRPr="00480790">
              <w:rPr>
                <w:rFonts w:ascii="Arial Narrow" w:hAnsi="Arial Narrow"/>
              </w:rPr>
              <w:t>Source</w:t>
            </w:r>
          </w:p>
        </w:tc>
        <w:tc>
          <w:tcPr>
            <w:tcW w:w="2015" w:type="pct"/>
            <w:tcBorders>
              <w:top w:val="single" w:sz="6" w:space="0" w:color="auto"/>
              <w:left w:val="single" w:sz="4" w:space="0" w:color="auto"/>
              <w:bottom w:val="single" w:sz="4" w:space="0" w:color="auto"/>
              <w:right w:val="single" w:sz="6" w:space="0" w:color="auto"/>
            </w:tcBorders>
            <w:shd w:val="clear" w:color="auto" w:fill="auto"/>
          </w:tcPr>
          <w:p w14:paraId="2D6FC757" w14:textId="77777777" w:rsidR="001C256F" w:rsidRPr="00480790" w:rsidRDefault="001C256F">
            <w:pPr>
              <w:pStyle w:val="TableHeadingRow"/>
              <w:rPr>
                <w:rFonts w:ascii="Arial Narrow" w:hAnsi="Arial Narrow"/>
              </w:rPr>
            </w:pPr>
            <w:r w:rsidRPr="00480790">
              <w:rPr>
                <w:rFonts w:ascii="Arial Narrow" w:hAnsi="Arial Narrow"/>
              </w:rPr>
              <w:t>Comment</w:t>
            </w:r>
          </w:p>
        </w:tc>
      </w:tr>
      <w:tr w:rsidR="00AB01EA" w:rsidRPr="00480790" w14:paraId="089E28F2" w14:textId="77777777" w:rsidTr="00C41E29">
        <w:tc>
          <w:tcPr>
            <w:tcW w:w="2985" w:type="pct"/>
            <w:gridSpan w:val="3"/>
            <w:tcBorders>
              <w:top w:val="single" w:sz="6" w:space="0" w:color="auto"/>
              <w:left w:val="single" w:sz="6" w:space="0" w:color="auto"/>
              <w:bottom w:val="single" w:sz="4" w:space="0" w:color="auto"/>
              <w:right w:val="single" w:sz="6" w:space="0" w:color="auto"/>
            </w:tcBorders>
            <w:shd w:val="clear" w:color="auto" w:fill="auto"/>
            <w:vAlign w:val="center"/>
          </w:tcPr>
          <w:p w14:paraId="720ECBD3" w14:textId="77777777" w:rsidR="001C256F" w:rsidRPr="00480790" w:rsidRDefault="001C256F">
            <w:pPr>
              <w:pStyle w:val="TableText1"/>
              <w:rPr>
                <w:rFonts w:ascii="Arial Narrow" w:hAnsi="Arial Narrow"/>
                <w:b/>
              </w:rPr>
            </w:pPr>
            <w:r w:rsidRPr="00480790">
              <w:rPr>
                <w:rFonts w:ascii="Arial Narrow" w:hAnsi="Arial Narrow"/>
                <w:b/>
              </w:rPr>
              <w:t>Estimate the number of patients with the medical condition</w:t>
            </w:r>
          </w:p>
        </w:tc>
        <w:tc>
          <w:tcPr>
            <w:tcW w:w="2015" w:type="pct"/>
            <w:tcBorders>
              <w:top w:val="single" w:sz="6" w:space="0" w:color="auto"/>
              <w:left w:val="single" w:sz="6" w:space="0" w:color="auto"/>
              <w:bottom w:val="single" w:sz="4" w:space="0" w:color="auto"/>
              <w:right w:val="single" w:sz="6" w:space="0" w:color="auto"/>
            </w:tcBorders>
            <w:shd w:val="clear" w:color="auto" w:fill="auto"/>
          </w:tcPr>
          <w:p w14:paraId="3CAE5FCE" w14:textId="77777777" w:rsidR="001C256F" w:rsidRPr="00480790" w:rsidRDefault="001C256F">
            <w:pPr>
              <w:pStyle w:val="TableText1"/>
              <w:rPr>
                <w:rFonts w:ascii="Arial Narrow" w:hAnsi="Arial Narrow"/>
                <w:b/>
              </w:rPr>
            </w:pPr>
          </w:p>
        </w:tc>
      </w:tr>
      <w:tr w:rsidR="00C41E29" w:rsidRPr="00480790" w14:paraId="3400D857" w14:textId="77777777" w:rsidTr="00C41E29">
        <w:tc>
          <w:tcPr>
            <w:tcW w:w="1176" w:type="pct"/>
            <w:tcBorders>
              <w:top w:val="single" w:sz="6" w:space="0" w:color="auto"/>
              <w:left w:val="single" w:sz="6" w:space="0" w:color="auto"/>
              <w:bottom w:val="single" w:sz="4" w:space="0" w:color="auto"/>
              <w:right w:val="single" w:sz="4" w:space="0" w:color="auto"/>
            </w:tcBorders>
            <w:shd w:val="clear" w:color="auto" w:fill="auto"/>
            <w:vAlign w:val="center"/>
          </w:tcPr>
          <w:p w14:paraId="36958DDA" w14:textId="77777777" w:rsidR="001C256F" w:rsidRPr="00480790" w:rsidRDefault="001C256F">
            <w:pPr>
              <w:pStyle w:val="TableText1"/>
              <w:rPr>
                <w:rFonts w:ascii="Arial Narrow" w:hAnsi="Arial Narrow"/>
              </w:rPr>
            </w:pPr>
            <w:bookmarkStart w:id="88" w:name="_Hlk188607640"/>
            <w:r w:rsidRPr="00480790">
              <w:rPr>
                <w:rFonts w:ascii="Arial Narrow" w:hAnsi="Arial Narrow"/>
              </w:rPr>
              <w:t>Estimation of incident cases of lung cancer</w:t>
            </w:r>
          </w:p>
        </w:tc>
        <w:tc>
          <w:tcPr>
            <w:tcW w:w="865" w:type="pct"/>
            <w:tcBorders>
              <w:top w:val="single" w:sz="6" w:space="0" w:color="auto"/>
              <w:left w:val="single" w:sz="4" w:space="0" w:color="auto"/>
              <w:bottom w:val="single" w:sz="4" w:space="0" w:color="auto"/>
              <w:right w:val="single" w:sz="4" w:space="0" w:color="auto"/>
            </w:tcBorders>
            <w:shd w:val="clear" w:color="auto" w:fill="auto"/>
            <w:vAlign w:val="center"/>
          </w:tcPr>
          <w:p w14:paraId="226FB80B" w14:textId="77777777" w:rsidR="001C256F" w:rsidRPr="00480790" w:rsidRDefault="001C256F">
            <w:pPr>
              <w:pStyle w:val="TableText1"/>
              <w:jc w:val="center"/>
              <w:rPr>
                <w:rFonts w:ascii="Arial Narrow" w:hAnsi="Arial Narrow"/>
              </w:rPr>
            </w:pPr>
            <w:r w:rsidRPr="00480790">
              <w:rPr>
                <w:rFonts w:ascii="Arial Narrow" w:hAnsi="Arial Narrow"/>
              </w:rPr>
              <w:t>Yr 1: 15,368</w:t>
            </w:r>
          </w:p>
          <w:p w14:paraId="32F43B4A" w14:textId="77777777" w:rsidR="001C256F" w:rsidRPr="00480790" w:rsidRDefault="001C256F">
            <w:pPr>
              <w:pStyle w:val="TableText1"/>
              <w:jc w:val="center"/>
              <w:rPr>
                <w:rFonts w:ascii="Arial Narrow" w:hAnsi="Arial Narrow"/>
              </w:rPr>
            </w:pPr>
            <w:r w:rsidRPr="00480790">
              <w:rPr>
                <w:rFonts w:ascii="Arial Narrow" w:hAnsi="Arial Narrow"/>
              </w:rPr>
              <w:t>Yr 2: 15,727</w:t>
            </w:r>
          </w:p>
          <w:p w14:paraId="5E934FB0" w14:textId="77777777" w:rsidR="001C256F" w:rsidRPr="00480790" w:rsidRDefault="001C256F">
            <w:pPr>
              <w:pStyle w:val="TableText1"/>
              <w:jc w:val="center"/>
              <w:rPr>
                <w:rFonts w:ascii="Arial Narrow" w:hAnsi="Arial Narrow"/>
              </w:rPr>
            </w:pPr>
            <w:r w:rsidRPr="00480790">
              <w:rPr>
                <w:rFonts w:ascii="Arial Narrow" w:hAnsi="Arial Narrow"/>
              </w:rPr>
              <w:t>Yr 3: 16,080</w:t>
            </w:r>
          </w:p>
          <w:p w14:paraId="5464E98E" w14:textId="77777777" w:rsidR="001C256F" w:rsidRPr="00480790" w:rsidRDefault="001C256F">
            <w:pPr>
              <w:pStyle w:val="TableText1"/>
              <w:jc w:val="center"/>
              <w:rPr>
                <w:rFonts w:ascii="Arial Narrow" w:hAnsi="Arial Narrow"/>
              </w:rPr>
            </w:pPr>
            <w:r w:rsidRPr="00480790">
              <w:rPr>
                <w:rFonts w:ascii="Arial Narrow" w:hAnsi="Arial Narrow"/>
              </w:rPr>
              <w:t>Yr 4: 16,415</w:t>
            </w:r>
          </w:p>
          <w:p w14:paraId="3E60C587" w14:textId="77777777" w:rsidR="001C256F" w:rsidRPr="00480790" w:rsidRDefault="001C256F">
            <w:pPr>
              <w:pStyle w:val="TableText1"/>
              <w:jc w:val="center"/>
              <w:rPr>
                <w:rFonts w:ascii="Arial Narrow" w:hAnsi="Arial Narrow"/>
              </w:rPr>
            </w:pPr>
            <w:r w:rsidRPr="00480790">
              <w:rPr>
                <w:rFonts w:ascii="Arial Narrow" w:hAnsi="Arial Narrow"/>
              </w:rPr>
              <w:t>Yr 5: 16,736</w:t>
            </w:r>
          </w:p>
          <w:p w14:paraId="218696D3" w14:textId="77777777" w:rsidR="001C256F" w:rsidRPr="00480790" w:rsidRDefault="001C256F">
            <w:pPr>
              <w:pStyle w:val="TableText1"/>
              <w:jc w:val="center"/>
              <w:rPr>
                <w:rFonts w:ascii="Arial Narrow" w:hAnsi="Arial Narrow"/>
              </w:rPr>
            </w:pPr>
            <w:r w:rsidRPr="00480790">
              <w:rPr>
                <w:rFonts w:ascii="Arial Narrow" w:hAnsi="Arial Narrow"/>
              </w:rPr>
              <w:t>Yr 6: 17,501</w:t>
            </w:r>
          </w:p>
        </w:tc>
        <w:tc>
          <w:tcPr>
            <w:tcW w:w="944" w:type="pct"/>
            <w:tcBorders>
              <w:top w:val="single" w:sz="6" w:space="0" w:color="auto"/>
              <w:left w:val="single" w:sz="4" w:space="0" w:color="auto"/>
              <w:bottom w:val="single" w:sz="4" w:space="0" w:color="auto"/>
              <w:right w:val="single" w:sz="6" w:space="0" w:color="auto"/>
            </w:tcBorders>
            <w:shd w:val="clear" w:color="auto" w:fill="auto"/>
            <w:vAlign w:val="center"/>
          </w:tcPr>
          <w:p w14:paraId="4354DAC5" w14:textId="77777777" w:rsidR="001C256F" w:rsidRPr="00480790" w:rsidRDefault="001C256F">
            <w:pPr>
              <w:pStyle w:val="TableText1"/>
              <w:rPr>
                <w:rFonts w:ascii="Arial Narrow" w:hAnsi="Arial Narrow"/>
              </w:rPr>
            </w:pPr>
            <w:r w:rsidRPr="00480790">
              <w:rPr>
                <w:rFonts w:ascii="Arial Narrow" w:hAnsi="Arial Narrow"/>
              </w:rPr>
              <w:t>AIHW Cancer data in Australia</w:t>
            </w:r>
            <w:r w:rsidRPr="00480790">
              <w:rPr>
                <w:rStyle w:val="FootnoteReference"/>
                <w:rFonts w:ascii="Arial Narrow" w:hAnsi="Arial Narrow"/>
              </w:rPr>
              <w:footnoteReference w:id="38"/>
            </w:r>
          </w:p>
        </w:tc>
        <w:tc>
          <w:tcPr>
            <w:tcW w:w="2015" w:type="pct"/>
            <w:tcBorders>
              <w:top w:val="single" w:sz="6" w:space="0" w:color="auto"/>
              <w:left w:val="single" w:sz="4" w:space="0" w:color="auto"/>
              <w:bottom w:val="single" w:sz="4" w:space="0" w:color="auto"/>
              <w:right w:val="single" w:sz="6" w:space="0" w:color="auto"/>
            </w:tcBorders>
            <w:shd w:val="clear" w:color="auto" w:fill="auto"/>
          </w:tcPr>
          <w:p w14:paraId="2959814C" w14:textId="77777777" w:rsidR="001C256F" w:rsidRPr="00480790" w:rsidRDefault="001C256F">
            <w:pPr>
              <w:pStyle w:val="TableText1"/>
              <w:rPr>
                <w:rFonts w:ascii="Arial Narrow" w:hAnsi="Arial Narrow"/>
              </w:rPr>
            </w:pPr>
            <w:r w:rsidRPr="00480790">
              <w:rPr>
                <w:rFonts w:ascii="Arial Narrow" w:hAnsi="Arial Narrow"/>
              </w:rPr>
              <w:t>The following amounts were found in the AIHW source. They were slightly higher than the submission values.:</w:t>
            </w:r>
          </w:p>
          <w:p w14:paraId="69C21042" w14:textId="77777777" w:rsidR="001C256F" w:rsidRPr="00480790" w:rsidRDefault="001C256F">
            <w:pPr>
              <w:pStyle w:val="TableText1"/>
              <w:rPr>
                <w:rFonts w:ascii="Arial Narrow" w:hAnsi="Arial Narrow"/>
              </w:rPr>
            </w:pPr>
            <w:r w:rsidRPr="00480790">
              <w:rPr>
                <w:rFonts w:ascii="Arial Narrow" w:hAnsi="Arial Narrow"/>
              </w:rPr>
              <w:t>Yr 1: 15,685</w:t>
            </w:r>
          </w:p>
          <w:p w14:paraId="54F69109" w14:textId="77777777" w:rsidR="001C256F" w:rsidRPr="00480790" w:rsidRDefault="001C256F">
            <w:pPr>
              <w:pStyle w:val="TableText1"/>
              <w:rPr>
                <w:rFonts w:ascii="Arial Narrow" w:hAnsi="Arial Narrow"/>
              </w:rPr>
            </w:pPr>
            <w:r w:rsidRPr="00480790">
              <w:rPr>
                <w:rFonts w:ascii="Arial Narrow" w:hAnsi="Arial Narrow"/>
              </w:rPr>
              <w:t>Yr 2: 16,092</w:t>
            </w:r>
          </w:p>
          <w:p w14:paraId="1226F70A" w14:textId="77777777" w:rsidR="001C256F" w:rsidRPr="00480790" w:rsidRDefault="001C256F">
            <w:pPr>
              <w:pStyle w:val="TableText1"/>
              <w:rPr>
                <w:rFonts w:ascii="Arial Narrow" w:hAnsi="Arial Narrow"/>
              </w:rPr>
            </w:pPr>
            <w:r w:rsidRPr="00480790">
              <w:rPr>
                <w:rFonts w:ascii="Arial Narrow" w:hAnsi="Arial Narrow"/>
              </w:rPr>
              <w:t>Yr 3: 16,497</w:t>
            </w:r>
          </w:p>
          <w:p w14:paraId="7BDFFC44" w14:textId="77777777" w:rsidR="001C256F" w:rsidRPr="00480790" w:rsidRDefault="001C256F">
            <w:pPr>
              <w:pStyle w:val="TableText1"/>
              <w:rPr>
                <w:rFonts w:ascii="Arial Narrow" w:hAnsi="Arial Narrow"/>
              </w:rPr>
            </w:pPr>
            <w:r w:rsidRPr="00480790">
              <w:rPr>
                <w:rFonts w:ascii="Arial Narrow" w:hAnsi="Arial Narrow"/>
              </w:rPr>
              <w:t>Yr 4: 16,896</w:t>
            </w:r>
          </w:p>
          <w:p w14:paraId="5ADDC166" w14:textId="77777777" w:rsidR="001C256F" w:rsidRPr="00480790" w:rsidRDefault="001C256F">
            <w:pPr>
              <w:pStyle w:val="TableText1"/>
              <w:rPr>
                <w:rFonts w:ascii="Arial Narrow" w:hAnsi="Arial Narrow"/>
              </w:rPr>
            </w:pPr>
            <w:r w:rsidRPr="00480790">
              <w:rPr>
                <w:rFonts w:ascii="Arial Narrow" w:hAnsi="Arial Narrow"/>
              </w:rPr>
              <w:t>Yr 5: 17,250</w:t>
            </w:r>
          </w:p>
          <w:p w14:paraId="08515A46" w14:textId="77777777" w:rsidR="001C256F" w:rsidRPr="00480790" w:rsidRDefault="001C256F">
            <w:pPr>
              <w:pStyle w:val="TableText1"/>
              <w:rPr>
                <w:rFonts w:ascii="Arial Narrow" w:hAnsi="Arial Narrow"/>
              </w:rPr>
            </w:pPr>
            <w:r w:rsidRPr="00480790">
              <w:rPr>
                <w:rFonts w:ascii="Arial Narrow" w:hAnsi="Arial Narrow"/>
              </w:rPr>
              <w:t>Yr 6: 17,591</w:t>
            </w:r>
          </w:p>
        </w:tc>
      </w:tr>
      <w:bookmarkEnd w:id="88"/>
      <w:tr w:rsidR="00C41E29" w:rsidRPr="00480790" w14:paraId="6A2D8BFA" w14:textId="77777777" w:rsidTr="00C41E29">
        <w:tc>
          <w:tcPr>
            <w:tcW w:w="1176" w:type="pct"/>
            <w:tcBorders>
              <w:top w:val="single" w:sz="6" w:space="0" w:color="auto"/>
              <w:left w:val="single" w:sz="6" w:space="0" w:color="auto"/>
              <w:bottom w:val="single" w:sz="4" w:space="0" w:color="auto"/>
              <w:right w:val="single" w:sz="4" w:space="0" w:color="auto"/>
            </w:tcBorders>
            <w:shd w:val="clear" w:color="auto" w:fill="auto"/>
            <w:vAlign w:val="center"/>
          </w:tcPr>
          <w:p w14:paraId="1F786231" w14:textId="77777777" w:rsidR="001C256F" w:rsidRPr="00480790" w:rsidRDefault="001C256F">
            <w:pPr>
              <w:pStyle w:val="TableText1"/>
              <w:rPr>
                <w:rFonts w:ascii="Arial Narrow" w:hAnsi="Arial Narrow"/>
              </w:rPr>
            </w:pPr>
            <w:r w:rsidRPr="00480790">
              <w:rPr>
                <w:rFonts w:ascii="Arial Narrow" w:hAnsi="Arial Narrow"/>
              </w:rPr>
              <w:t>Proportion of patients with NSCLC</w:t>
            </w:r>
          </w:p>
        </w:tc>
        <w:tc>
          <w:tcPr>
            <w:tcW w:w="865" w:type="pct"/>
            <w:tcBorders>
              <w:top w:val="single" w:sz="6" w:space="0" w:color="auto"/>
              <w:left w:val="single" w:sz="4" w:space="0" w:color="auto"/>
              <w:bottom w:val="single" w:sz="4" w:space="0" w:color="auto"/>
              <w:right w:val="single" w:sz="4" w:space="0" w:color="auto"/>
            </w:tcBorders>
            <w:shd w:val="clear" w:color="auto" w:fill="auto"/>
            <w:vAlign w:val="center"/>
          </w:tcPr>
          <w:p w14:paraId="685BAA72" w14:textId="77777777" w:rsidR="001C256F" w:rsidRPr="00480790" w:rsidRDefault="001C256F">
            <w:pPr>
              <w:pStyle w:val="TableText1"/>
              <w:jc w:val="center"/>
              <w:rPr>
                <w:rFonts w:ascii="Arial Narrow" w:hAnsi="Arial Narrow"/>
              </w:rPr>
            </w:pPr>
            <w:r w:rsidRPr="00480790">
              <w:rPr>
                <w:rFonts w:ascii="Arial Narrow" w:hAnsi="Arial Narrow"/>
              </w:rPr>
              <w:t>86.60%</w:t>
            </w:r>
          </w:p>
        </w:tc>
        <w:tc>
          <w:tcPr>
            <w:tcW w:w="944" w:type="pct"/>
            <w:tcBorders>
              <w:top w:val="single" w:sz="6" w:space="0" w:color="auto"/>
              <w:left w:val="single" w:sz="4" w:space="0" w:color="auto"/>
              <w:bottom w:val="single" w:sz="4" w:space="0" w:color="auto"/>
              <w:right w:val="single" w:sz="6" w:space="0" w:color="auto"/>
            </w:tcBorders>
            <w:shd w:val="clear" w:color="auto" w:fill="auto"/>
            <w:vAlign w:val="center"/>
          </w:tcPr>
          <w:p w14:paraId="1FA6BD8B" w14:textId="77777777" w:rsidR="001C256F" w:rsidRPr="00480790" w:rsidRDefault="001C256F">
            <w:pPr>
              <w:pStyle w:val="TableText1"/>
              <w:rPr>
                <w:rFonts w:ascii="Arial Narrow" w:hAnsi="Arial Narrow"/>
              </w:rPr>
            </w:pPr>
            <w:r w:rsidRPr="00480790">
              <w:rPr>
                <w:rFonts w:ascii="Arial Narrow" w:hAnsi="Arial Narrow"/>
              </w:rPr>
              <w:t>Table 25, nivolumab, PSD, March 2023 PBAC meeting</w:t>
            </w:r>
          </w:p>
        </w:tc>
        <w:tc>
          <w:tcPr>
            <w:tcW w:w="2015" w:type="pct"/>
            <w:tcBorders>
              <w:top w:val="single" w:sz="6" w:space="0" w:color="auto"/>
              <w:left w:val="single" w:sz="4" w:space="0" w:color="auto"/>
              <w:bottom w:val="single" w:sz="4" w:space="0" w:color="auto"/>
              <w:right w:val="single" w:sz="6" w:space="0" w:color="auto"/>
            </w:tcBorders>
            <w:shd w:val="clear" w:color="auto" w:fill="auto"/>
          </w:tcPr>
          <w:p w14:paraId="5AC24713" w14:textId="77777777" w:rsidR="001C256F" w:rsidRPr="00480790" w:rsidRDefault="001C256F">
            <w:pPr>
              <w:pStyle w:val="TableText1"/>
              <w:rPr>
                <w:rFonts w:ascii="Arial Narrow" w:hAnsi="Arial Narrow"/>
              </w:rPr>
            </w:pPr>
            <w:r w:rsidRPr="00480790">
              <w:rPr>
                <w:rFonts w:ascii="Arial Narrow" w:hAnsi="Arial Narrow"/>
              </w:rPr>
              <w:t>The PBAC previously considered the value reasonable (Table 25, nivolumab, PSD, March 2023 PBAC meeting).</w:t>
            </w:r>
          </w:p>
        </w:tc>
      </w:tr>
      <w:tr w:rsidR="00C41E29" w:rsidRPr="00480790" w14:paraId="7120F82A" w14:textId="77777777" w:rsidTr="00C41E29">
        <w:tc>
          <w:tcPr>
            <w:tcW w:w="1176" w:type="pct"/>
            <w:tcBorders>
              <w:top w:val="single" w:sz="6" w:space="0" w:color="auto"/>
              <w:left w:val="single" w:sz="6" w:space="0" w:color="auto"/>
              <w:bottom w:val="single" w:sz="4" w:space="0" w:color="auto"/>
              <w:right w:val="single" w:sz="4" w:space="0" w:color="auto"/>
            </w:tcBorders>
            <w:shd w:val="clear" w:color="auto" w:fill="auto"/>
            <w:vAlign w:val="center"/>
          </w:tcPr>
          <w:p w14:paraId="705FDB1F" w14:textId="77777777" w:rsidR="001C256F" w:rsidRPr="00480790" w:rsidRDefault="001C256F">
            <w:pPr>
              <w:pStyle w:val="TableText1"/>
              <w:rPr>
                <w:rFonts w:ascii="Arial Narrow" w:hAnsi="Arial Narrow"/>
              </w:rPr>
            </w:pPr>
            <w:r w:rsidRPr="00480790">
              <w:rPr>
                <w:rFonts w:ascii="Arial Narrow" w:hAnsi="Arial Narrow"/>
              </w:rPr>
              <w:t>Proportion of patients with stage IB (tumours ≥4 cm) to IIIA NSCLC</w:t>
            </w:r>
          </w:p>
        </w:tc>
        <w:tc>
          <w:tcPr>
            <w:tcW w:w="865" w:type="pct"/>
            <w:tcBorders>
              <w:top w:val="single" w:sz="6" w:space="0" w:color="auto"/>
              <w:left w:val="single" w:sz="4" w:space="0" w:color="auto"/>
              <w:bottom w:val="single" w:sz="4" w:space="0" w:color="auto"/>
              <w:right w:val="single" w:sz="4" w:space="0" w:color="auto"/>
            </w:tcBorders>
            <w:shd w:val="clear" w:color="auto" w:fill="auto"/>
            <w:vAlign w:val="center"/>
          </w:tcPr>
          <w:p w14:paraId="28662448" w14:textId="77777777" w:rsidR="001C256F" w:rsidRPr="00480790" w:rsidRDefault="001C256F">
            <w:pPr>
              <w:pStyle w:val="TableText1"/>
              <w:jc w:val="center"/>
              <w:rPr>
                <w:rFonts w:ascii="Arial Narrow" w:hAnsi="Arial Narrow"/>
              </w:rPr>
            </w:pPr>
            <w:r w:rsidRPr="00480790">
              <w:rPr>
                <w:rFonts w:ascii="Arial Narrow" w:hAnsi="Arial Narrow"/>
              </w:rPr>
              <w:t>20.53%</w:t>
            </w:r>
          </w:p>
        </w:tc>
        <w:tc>
          <w:tcPr>
            <w:tcW w:w="944" w:type="pct"/>
            <w:tcBorders>
              <w:top w:val="single" w:sz="6" w:space="0" w:color="auto"/>
              <w:left w:val="single" w:sz="4" w:space="0" w:color="auto"/>
              <w:bottom w:val="single" w:sz="4" w:space="0" w:color="auto"/>
              <w:right w:val="single" w:sz="6" w:space="0" w:color="auto"/>
            </w:tcBorders>
            <w:shd w:val="clear" w:color="auto" w:fill="auto"/>
            <w:vAlign w:val="center"/>
          </w:tcPr>
          <w:p w14:paraId="718AA6E9" w14:textId="77777777" w:rsidR="001C256F" w:rsidRPr="00480790" w:rsidRDefault="001C256F">
            <w:pPr>
              <w:pStyle w:val="TableText1"/>
              <w:rPr>
                <w:rFonts w:ascii="Arial Narrow" w:hAnsi="Arial Narrow"/>
              </w:rPr>
            </w:pPr>
            <w:r w:rsidRPr="00480790">
              <w:rPr>
                <w:rFonts w:ascii="Arial Narrow" w:hAnsi="Arial Narrow"/>
              </w:rPr>
              <w:t>Table 25, nivolumab PSD, March 2023 PBAC meeting</w:t>
            </w:r>
          </w:p>
        </w:tc>
        <w:tc>
          <w:tcPr>
            <w:tcW w:w="2015" w:type="pct"/>
            <w:tcBorders>
              <w:top w:val="single" w:sz="6" w:space="0" w:color="auto"/>
              <w:left w:val="single" w:sz="4" w:space="0" w:color="auto"/>
              <w:bottom w:val="single" w:sz="4" w:space="0" w:color="auto"/>
              <w:right w:val="single" w:sz="6" w:space="0" w:color="auto"/>
            </w:tcBorders>
            <w:shd w:val="clear" w:color="auto" w:fill="auto"/>
          </w:tcPr>
          <w:p w14:paraId="6F3220CB" w14:textId="77777777" w:rsidR="001C256F" w:rsidRPr="00480790" w:rsidRDefault="001C256F">
            <w:pPr>
              <w:pStyle w:val="TableText1"/>
              <w:rPr>
                <w:rFonts w:ascii="Arial Narrow" w:hAnsi="Arial Narrow"/>
              </w:rPr>
            </w:pPr>
            <w:r w:rsidRPr="00480790">
              <w:rPr>
                <w:rFonts w:ascii="Arial Narrow" w:hAnsi="Arial Narrow"/>
              </w:rPr>
              <w:t>Reasonable and taken correctly from source PSD.</w:t>
            </w:r>
          </w:p>
        </w:tc>
      </w:tr>
      <w:tr w:rsidR="00C41E29" w:rsidRPr="00480790" w14:paraId="1ABF751C" w14:textId="77777777" w:rsidTr="00C41E29">
        <w:tc>
          <w:tcPr>
            <w:tcW w:w="1176" w:type="pct"/>
            <w:tcBorders>
              <w:top w:val="single" w:sz="6" w:space="0" w:color="auto"/>
              <w:left w:val="single" w:sz="6" w:space="0" w:color="auto"/>
              <w:bottom w:val="single" w:sz="4" w:space="0" w:color="auto"/>
              <w:right w:val="single" w:sz="4" w:space="0" w:color="auto"/>
            </w:tcBorders>
            <w:shd w:val="clear" w:color="auto" w:fill="auto"/>
            <w:vAlign w:val="center"/>
          </w:tcPr>
          <w:p w14:paraId="18DD5D2B" w14:textId="77777777" w:rsidR="001C256F" w:rsidRPr="00480790" w:rsidRDefault="001C256F" w:rsidP="002A55FE">
            <w:pPr>
              <w:pStyle w:val="TableText1"/>
              <w:keepNext/>
              <w:keepLines/>
              <w:rPr>
                <w:rFonts w:ascii="Arial Narrow" w:hAnsi="Arial Narrow"/>
              </w:rPr>
            </w:pPr>
            <w:r w:rsidRPr="00480790">
              <w:rPr>
                <w:rFonts w:ascii="Arial Narrow" w:hAnsi="Arial Narrow"/>
              </w:rPr>
              <w:t>Proportion of patients with stage IB (tumours ≥4 cm) to IIIA NSCLC who receive surgical resection</w:t>
            </w:r>
          </w:p>
        </w:tc>
        <w:tc>
          <w:tcPr>
            <w:tcW w:w="865" w:type="pct"/>
            <w:tcBorders>
              <w:top w:val="single" w:sz="6" w:space="0" w:color="auto"/>
              <w:left w:val="single" w:sz="4" w:space="0" w:color="auto"/>
              <w:bottom w:val="single" w:sz="4" w:space="0" w:color="auto"/>
              <w:right w:val="single" w:sz="4" w:space="0" w:color="auto"/>
            </w:tcBorders>
            <w:shd w:val="clear" w:color="auto" w:fill="auto"/>
            <w:vAlign w:val="center"/>
          </w:tcPr>
          <w:p w14:paraId="7F4C0279" w14:textId="77777777" w:rsidR="001C256F" w:rsidRPr="00480790" w:rsidRDefault="001C256F" w:rsidP="002A55FE">
            <w:pPr>
              <w:pStyle w:val="TableText1"/>
              <w:keepNext/>
              <w:keepLines/>
              <w:jc w:val="center"/>
              <w:rPr>
                <w:rFonts w:ascii="Arial Narrow" w:hAnsi="Arial Narrow"/>
              </w:rPr>
            </w:pPr>
            <w:r w:rsidRPr="00480790">
              <w:rPr>
                <w:rFonts w:ascii="Arial Narrow" w:hAnsi="Arial Narrow"/>
              </w:rPr>
              <w:t>80.00%</w:t>
            </w:r>
          </w:p>
        </w:tc>
        <w:tc>
          <w:tcPr>
            <w:tcW w:w="944" w:type="pct"/>
            <w:tcBorders>
              <w:top w:val="single" w:sz="6" w:space="0" w:color="auto"/>
              <w:left w:val="single" w:sz="4" w:space="0" w:color="auto"/>
              <w:bottom w:val="single" w:sz="4" w:space="0" w:color="auto"/>
              <w:right w:val="single" w:sz="6" w:space="0" w:color="auto"/>
            </w:tcBorders>
            <w:shd w:val="clear" w:color="auto" w:fill="auto"/>
            <w:vAlign w:val="center"/>
          </w:tcPr>
          <w:p w14:paraId="2207E394" w14:textId="77777777" w:rsidR="001C256F" w:rsidRPr="00480790" w:rsidRDefault="001C256F" w:rsidP="002A55FE">
            <w:pPr>
              <w:pStyle w:val="TableText1"/>
              <w:keepNext/>
              <w:keepLines/>
              <w:rPr>
                <w:rFonts w:ascii="Arial Narrow" w:hAnsi="Arial Narrow"/>
              </w:rPr>
            </w:pPr>
            <w:r w:rsidRPr="00480790">
              <w:rPr>
                <w:rFonts w:ascii="Arial Narrow" w:hAnsi="Arial Narrow"/>
              </w:rPr>
              <w:t xml:space="preserve">Table 25, nivolumab, PSD, March 2023 PBAC meeting </w:t>
            </w:r>
          </w:p>
        </w:tc>
        <w:tc>
          <w:tcPr>
            <w:tcW w:w="2015" w:type="pct"/>
            <w:tcBorders>
              <w:top w:val="single" w:sz="6" w:space="0" w:color="auto"/>
              <w:left w:val="single" w:sz="4" w:space="0" w:color="auto"/>
              <w:bottom w:val="single" w:sz="4" w:space="0" w:color="auto"/>
              <w:right w:val="single" w:sz="6" w:space="0" w:color="auto"/>
            </w:tcBorders>
            <w:shd w:val="clear" w:color="auto" w:fill="auto"/>
          </w:tcPr>
          <w:p w14:paraId="292F6842" w14:textId="0EB88FBB" w:rsidR="001C256F" w:rsidRPr="00480790" w:rsidRDefault="001C256F" w:rsidP="002A55FE">
            <w:pPr>
              <w:pStyle w:val="TableText1"/>
              <w:keepNext/>
              <w:keepLines/>
              <w:rPr>
                <w:rFonts w:ascii="Arial Narrow" w:hAnsi="Arial Narrow"/>
              </w:rPr>
            </w:pPr>
            <w:r w:rsidRPr="00480790">
              <w:rPr>
                <w:rFonts w:ascii="Arial Narrow" w:hAnsi="Arial Narrow"/>
              </w:rPr>
              <w:t>The PBAC previously considered that the value appeared reasonable. However, no evidence to support this value was provided.</w:t>
            </w:r>
            <w:r w:rsidR="00011976">
              <w:rPr>
                <w:rFonts w:ascii="Arial Narrow" w:hAnsi="Arial Narrow"/>
              </w:rPr>
              <w:t xml:space="preserve"> </w:t>
            </w:r>
            <w:r w:rsidRPr="00480790">
              <w:rPr>
                <w:rFonts w:ascii="Arial Narrow" w:hAnsi="Arial Narrow"/>
              </w:rPr>
              <w:t>Value was greater than those assumed in the atezolizumab (2022) (Table 20, atezolizumab, PSD, July 2022) and</w:t>
            </w:r>
            <w:r w:rsidR="002A55FE">
              <w:rPr>
                <w:rFonts w:ascii="Arial Narrow" w:hAnsi="Arial Narrow"/>
              </w:rPr>
              <w:t xml:space="preserve"> </w:t>
            </w:r>
            <w:r w:rsidRPr="00480790">
              <w:rPr>
                <w:rFonts w:ascii="Arial Narrow" w:hAnsi="Arial Narrow"/>
              </w:rPr>
              <w:t>osimertinib (2023) submissions (Table 14, osimertinib, PSD, November 2023 PBAC meeting) (55.8% and 54.3% respectively).</w:t>
            </w:r>
          </w:p>
        </w:tc>
      </w:tr>
      <w:tr w:rsidR="00AB01EA" w:rsidRPr="00480790" w14:paraId="343F4377" w14:textId="77777777" w:rsidTr="00C41E29">
        <w:tc>
          <w:tcPr>
            <w:tcW w:w="298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3DFC7170" w14:textId="77777777" w:rsidR="001C256F" w:rsidRPr="00480790" w:rsidRDefault="001C256F">
            <w:pPr>
              <w:pStyle w:val="TableText1"/>
              <w:rPr>
                <w:rFonts w:ascii="Arial Narrow" w:hAnsi="Arial Narrow"/>
                <w:b/>
              </w:rPr>
            </w:pPr>
            <w:r w:rsidRPr="00480790">
              <w:rPr>
                <w:rFonts w:ascii="Arial Narrow" w:hAnsi="Arial Narrow"/>
                <w:b/>
              </w:rPr>
              <w:t>Estimate the number of patients who would be eligible</w:t>
            </w:r>
          </w:p>
        </w:tc>
        <w:tc>
          <w:tcPr>
            <w:tcW w:w="2015" w:type="pct"/>
            <w:tcBorders>
              <w:top w:val="single" w:sz="6" w:space="0" w:color="auto"/>
              <w:left w:val="single" w:sz="6" w:space="0" w:color="auto"/>
              <w:bottom w:val="single" w:sz="6" w:space="0" w:color="auto"/>
              <w:right w:val="single" w:sz="6" w:space="0" w:color="auto"/>
            </w:tcBorders>
            <w:shd w:val="clear" w:color="auto" w:fill="auto"/>
          </w:tcPr>
          <w:p w14:paraId="1898AD5B" w14:textId="77777777" w:rsidR="001C256F" w:rsidRPr="00480790" w:rsidRDefault="001C256F">
            <w:pPr>
              <w:pStyle w:val="TableText1"/>
              <w:rPr>
                <w:rFonts w:ascii="Arial Narrow" w:hAnsi="Arial Narrow"/>
                <w:b/>
              </w:rPr>
            </w:pPr>
          </w:p>
        </w:tc>
      </w:tr>
      <w:tr w:rsidR="00C41E29" w:rsidRPr="00480790" w14:paraId="61A6F5E9" w14:textId="77777777" w:rsidTr="00C41E29">
        <w:tc>
          <w:tcPr>
            <w:tcW w:w="1176" w:type="pct"/>
            <w:tcBorders>
              <w:top w:val="single" w:sz="6" w:space="0" w:color="auto"/>
              <w:left w:val="single" w:sz="6" w:space="0" w:color="auto"/>
              <w:bottom w:val="single" w:sz="6" w:space="0" w:color="auto"/>
              <w:right w:val="single" w:sz="4" w:space="0" w:color="auto"/>
            </w:tcBorders>
            <w:shd w:val="clear" w:color="auto" w:fill="auto"/>
            <w:vAlign w:val="center"/>
          </w:tcPr>
          <w:p w14:paraId="7A0C0A0A" w14:textId="77777777" w:rsidR="001C256F" w:rsidRPr="00480790" w:rsidRDefault="001C256F">
            <w:pPr>
              <w:pStyle w:val="TableText1"/>
              <w:rPr>
                <w:rFonts w:ascii="Arial Narrow" w:hAnsi="Arial Narrow"/>
              </w:rPr>
            </w:pPr>
            <w:r w:rsidRPr="00480790">
              <w:rPr>
                <w:rFonts w:ascii="Arial Narrow" w:hAnsi="Arial Narrow"/>
              </w:rPr>
              <w:t>Proportion of resected stage IB (tumours ≥4 cm) to IIIA NSCLC with WHO PS ≤1</w:t>
            </w:r>
          </w:p>
        </w:tc>
        <w:tc>
          <w:tcPr>
            <w:tcW w:w="865" w:type="pct"/>
            <w:tcBorders>
              <w:top w:val="single" w:sz="6" w:space="0" w:color="auto"/>
              <w:left w:val="single" w:sz="4" w:space="0" w:color="auto"/>
              <w:bottom w:val="single" w:sz="6" w:space="0" w:color="auto"/>
              <w:right w:val="single" w:sz="4" w:space="0" w:color="auto"/>
            </w:tcBorders>
            <w:shd w:val="clear" w:color="auto" w:fill="auto"/>
            <w:vAlign w:val="center"/>
          </w:tcPr>
          <w:p w14:paraId="3AEA0B5B" w14:textId="77777777" w:rsidR="001C256F" w:rsidRPr="00480790" w:rsidRDefault="001C256F">
            <w:pPr>
              <w:pStyle w:val="TableText1"/>
              <w:jc w:val="center"/>
              <w:rPr>
                <w:rFonts w:ascii="Arial Narrow" w:hAnsi="Arial Narrow"/>
              </w:rPr>
            </w:pPr>
            <w:r w:rsidRPr="00480790">
              <w:rPr>
                <w:rFonts w:ascii="Arial Narrow" w:hAnsi="Arial Narrow"/>
              </w:rPr>
              <w:t>85.17%</w:t>
            </w:r>
          </w:p>
        </w:tc>
        <w:tc>
          <w:tcPr>
            <w:tcW w:w="944" w:type="pct"/>
            <w:tcBorders>
              <w:top w:val="single" w:sz="6" w:space="0" w:color="auto"/>
              <w:left w:val="single" w:sz="4" w:space="0" w:color="auto"/>
              <w:bottom w:val="single" w:sz="6" w:space="0" w:color="auto"/>
              <w:right w:val="single" w:sz="6" w:space="0" w:color="auto"/>
            </w:tcBorders>
            <w:shd w:val="clear" w:color="auto" w:fill="auto"/>
            <w:vAlign w:val="center"/>
          </w:tcPr>
          <w:p w14:paraId="3FC28749" w14:textId="77777777" w:rsidR="001C256F" w:rsidRPr="00480790" w:rsidRDefault="001C256F">
            <w:pPr>
              <w:pStyle w:val="TableText1"/>
              <w:rPr>
                <w:rFonts w:ascii="Arial Narrow" w:hAnsi="Arial Narrow"/>
              </w:rPr>
            </w:pPr>
            <w:r w:rsidRPr="00480790">
              <w:rPr>
                <w:rFonts w:ascii="Arial Narrow" w:hAnsi="Arial Narrow"/>
              </w:rPr>
              <w:t xml:space="preserve">Table 25, nivolumab, PSD, March 2023 PBAC meeting </w:t>
            </w:r>
          </w:p>
        </w:tc>
        <w:tc>
          <w:tcPr>
            <w:tcW w:w="2015" w:type="pct"/>
            <w:tcBorders>
              <w:top w:val="single" w:sz="6" w:space="0" w:color="auto"/>
              <w:left w:val="single" w:sz="4" w:space="0" w:color="auto"/>
              <w:bottom w:val="single" w:sz="6" w:space="0" w:color="auto"/>
              <w:right w:val="single" w:sz="6" w:space="0" w:color="auto"/>
            </w:tcBorders>
            <w:shd w:val="clear" w:color="auto" w:fill="auto"/>
          </w:tcPr>
          <w:p w14:paraId="5C8B11EE" w14:textId="03CB7FB4" w:rsidR="001C256F" w:rsidRPr="00480790" w:rsidRDefault="001C256F">
            <w:pPr>
              <w:pStyle w:val="TableText1"/>
              <w:rPr>
                <w:rFonts w:ascii="Arial Narrow" w:hAnsi="Arial Narrow"/>
              </w:rPr>
            </w:pPr>
            <w:r w:rsidRPr="00480790">
              <w:rPr>
                <w:rFonts w:ascii="Arial Narrow" w:hAnsi="Arial Narrow"/>
              </w:rPr>
              <w:t xml:space="preserve">The PBAC </w:t>
            </w:r>
            <w:r w:rsidR="009A7B98" w:rsidRPr="00480790">
              <w:rPr>
                <w:rFonts w:ascii="Arial Narrow" w:hAnsi="Arial Narrow"/>
              </w:rPr>
              <w:t xml:space="preserve">previously </w:t>
            </w:r>
            <w:r w:rsidRPr="00480790">
              <w:rPr>
                <w:rFonts w:ascii="Arial Narrow" w:hAnsi="Arial Narrow"/>
              </w:rPr>
              <w:t>considered that this value was uncertain.</w:t>
            </w:r>
            <w:r w:rsidR="00011976">
              <w:rPr>
                <w:rFonts w:ascii="Arial Narrow" w:hAnsi="Arial Narrow"/>
              </w:rPr>
              <w:t xml:space="preserve"> </w:t>
            </w:r>
            <w:r w:rsidRPr="00480790">
              <w:rPr>
                <w:rFonts w:ascii="Arial Narrow" w:hAnsi="Arial Narrow"/>
              </w:rPr>
              <w:t>80% assumed in a sensitivity analysis in the current submission, the value preferred by the PBAC in the atezolizumab submission (Table 20, atezolizumab, PSD, July 2022 PBAC meeting).</w:t>
            </w:r>
          </w:p>
          <w:p w14:paraId="636981D7" w14:textId="14A9CBCD" w:rsidR="00792666" w:rsidRPr="00480790" w:rsidRDefault="00792666">
            <w:pPr>
              <w:pStyle w:val="TableText1"/>
              <w:rPr>
                <w:rFonts w:ascii="Arial Narrow" w:hAnsi="Arial Narrow"/>
              </w:rPr>
            </w:pPr>
            <w:r w:rsidRPr="00480790">
              <w:rPr>
                <w:rFonts w:ascii="Arial Narrow" w:hAnsi="Arial Narrow"/>
              </w:rPr>
              <w:t>The PBAC considered this estimate was reasonable.</w:t>
            </w:r>
          </w:p>
        </w:tc>
      </w:tr>
      <w:tr w:rsidR="00C41E29" w:rsidRPr="00480790" w14:paraId="0988CC52" w14:textId="77777777" w:rsidTr="00C41E29">
        <w:tc>
          <w:tcPr>
            <w:tcW w:w="1176" w:type="pct"/>
            <w:tcBorders>
              <w:top w:val="single" w:sz="6" w:space="0" w:color="auto"/>
              <w:left w:val="single" w:sz="6" w:space="0" w:color="auto"/>
              <w:bottom w:val="single" w:sz="6" w:space="0" w:color="auto"/>
              <w:right w:val="single" w:sz="4" w:space="0" w:color="auto"/>
            </w:tcBorders>
            <w:shd w:val="clear" w:color="auto" w:fill="auto"/>
            <w:vAlign w:val="center"/>
          </w:tcPr>
          <w:p w14:paraId="5D34DF8F" w14:textId="77777777" w:rsidR="001C256F" w:rsidRPr="00480790" w:rsidRDefault="001C256F">
            <w:pPr>
              <w:pStyle w:val="TableText1"/>
              <w:rPr>
                <w:rFonts w:ascii="Arial Narrow" w:hAnsi="Arial Narrow"/>
              </w:rPr>
            </w:pPr>
            <w:r w:rsidRPr="00480790">
              <w:rPr>
                <w:rFonts w:ascii="Arial Narrow" w:hAnsi="Arial Narrow"/>
              </w:rPr>
              <w:t>ALK positivity rate</w:t>
            </w:r>
          </w:p>
        </w:tc>
        <w:tc>
          <w:tcPr>
            <w:tcW w:w="865" w:type="pct"/>
            <w:tcBorders>
              <w:top w:val="single" w:sz="6" w:space="0" w:color="auto"/>
              <w:left w:val="single" w:sz="4" w:space="0" w:color="auto"/>
              <w:bottom w:val="single" w:sz="6" w:space="0" w:color="auto"/>
              <w:right w:val="single" w:sz="4" w:space="0" w:color="auto"/>
            </w:tcBorders>
            <w:shd w:val="clear" w:color="auto" w:fill="auto"/>
            <w:vAlign w:val="center"/>
          </w:tcPr>
          <w:p w14:paraId="50714AB6" w14:textId="77777777" w:rsidR="001C256F" w:rsidRPr="00480790" w:rsidRDefault="001C256F">
            <w:pPr>
              <w:pStyle w:val="TableText1"/>
              <w:jc w:val="center"/>
              <w:rPr>
                <w:rFonts w:ascii="Arial Narrow" w:hAnsi="Arial Narrow"/>
              </w:rPr>
            </w:pPr>
            <w:r w:rsidRPr="00480790">
              <w:rPr>
                <w:rFonts w:ascii="Arial Narrow" w:hAnsi="Arial Narrow"/>
              </w:rPr>
              <w:t>4.40%</w:t>
            </w:r>
          </w:p>
        </w:tc>
        <w:tc>
          <w:tcPr>
            <w:tcW w:w="944" w:type="pct"/>
            <w:tcBorders>
              <w:top w:val="single" w:sz="6" w:space="0" w:color="auto"/>
              <w:left w:val="single" w:sz="4" w:space="0" w:color="auto"/>
              <w:bottom w:val="single" w:sz="6" w:space="0" w:color="auto"/>
              <w:right w:val="single" w:sz="6" w:space="0" w:color="auto"/>
            </w:tcBorders>
            <w:shd w:val="clear" w:color="auto" w:fill="auto"/>
            <w:vAlign w:val="center"/>
          </w:tcPr>
          <w:p w14:paraId="254C1930" w14:textId="77777777" w:rsidR="001C256F" w:rsidRPr="00480790" w:rsidRDefault="001C256F">
            <w:pPr>
              <w:pStyle w:val="TableText1"/>
              <w:rPr>
                <w:rFonts w:ascii="Arial Narrow" w:hAnsi="Arial Narrow"/>
              </w:rPr>
            </w:pPr>
            <w:r w:rsidRPr="00480790">
              <w:rPr>
                <w:rFonts w:ascii="Arial Narrow" w:hAnsi="Arial Narrow"/>
              </w:rPr>
              <w:t>Calendar year 2019 to 2023 MBS processed claims data for MBS items 73341 and 73337</w:t>
            </w:r>
          </w:p>
        </w:tc>
        <w:tc>
          <w:tcPr>
            <w:tcW w:w="2015" w:type="pct"/>
            <w:tcBorders>
              <w:top w:val="single" w:sz="6" w:space="0" w:color="auto"/>
              <w:left w:val="single" w:sz="4" w:space="0" w:color="auto"/>
              <w:bottom w:val="single" w:sz="6" w:space="0" w:color="auto"/>
              <w:right w:val="single" w:sz="6" w:space="0" w:color="auto"/>
            </w:tcBorders>
            <w:shd w:val="clear" w:color="auto" w:fill="auto"/>
          </w:tcPr>
          <w:p w14:paraId="5A721CEC" w14:textId="3111DDC4" w:rsidR="001C256F" w:rsidRPr="00480790" w:rsidRDefault="001C256F">
            <w:pPr>
              <w:pStyle w:val="TableText1"/>
              <w:rPr>
                <w:rFonts w:ascii="Arial Narrow" w:hAnsi="Arial Narrow"/>
              </w:rPr>
            </w:pPr>
            <w:r w:rsidRPr="00480790">
              <w:rPr>
                <w:rFonts w:ascii="Arial Narrow" w:hAnsi="Arial Narrow"/>
              </w:rPr>
              <w:t>This figure was verified as consistent based other sources.</w:t>
            </w:r>
            <w:r w:rsidRPr="00480790">
              <w:rPr>
                <w:rStyle w:val="FootnoteReference"/>
                <w:rFonts w:ascii="Arial Narrow" w:hAnsi="Arial Narrow"/>
              </w:rPr>
              <w:footnoteReference w:id="39"/>
            </w:r>
            <w:r w:rsidR="004865A1">
              <w:rPr>
                <w:rFonts w:ascii="Arial Narrow" w:hAnsi="Arial Narrow"/>
              </w:rPr>
              <w:t xml:space="preserve"> </w:t>
            </w:r>
            <w:r w:rsidRPr="00480790">
              <w:rPr>
                <w:rFonts w:ascii="Arial Narrow" w:hAnsi="Arial Narrow"/>
              </w:rPr>
              <w:t>However, the submission overestimated the ALK positivity rate. It would be preferrable to use the number of positive cases from the ALK FISH confirmatory testing as the numerator in the calculation.</w:t>
            </w:r>
          </w:p>
          <w:p w14:paraId="04033159" w14:textId="16D35E4F" w:rsidR="005A245E" w:rsidRPr="00480790" w:rsidRDefault="005A245E">
            <w:pPr>
              <w:pStyle w:val="TableText1"/>
              <w:rPr>
                <w:rFonts w:ascii="Arial Narrow" w:hAnsi="Arial Narrow"/>
              </w:rPr>
            </w:pPr>
            <w:r w:rsidRPr="00480790">
              <w:rPr>
                <w:rFonts w:ascii="Arial Narrow" w:hAnsi="Arial Narrow"/>
              </w:rPr>
              <w:t>The PBAC considered the estimate would be reasonable.</w:t>
            </w:r>
          </w:p>
        </w:tc>
      </w:tr>
      <w:tr w:rsidR="00AB01EA" w:rsidRPr="00480790" w14:paraId="608C4941" w14:textId="77777777" w:rsidTr="00C41E29">
        <w:tc>
          <w:tcPr>
            <w:tcW w:w="2985" w:type="pct"/>
            <w:gridSpan w:val="3"/>
            <w:tcBorders>
              <w:top w:val="single" w:sz="6" w:space="0" w:color="auto"/>
              <w:left w:val="single" w:sz="6" w:space="0" w:color="auto"/>
              <w:bottom w:val="single" w:sz="4" w:space="0" w:color="auto"/>
              <w:right w:val="single" w:sz="6" w:space="0" w:color="auto"/>
            </w:tcBorders>
            <w:shd w:val="clear" w:color="auto" w:fill="auto"/>
            <w:vAlign w:val="center"/>
          </w:tcPr>
          <w:p w14:paraId="601326FA" w14:textId="77777777" w:rsidR="001C256F" w:rsidRPr="00480790" w:rsidRDefault="001C256F" w:rsidP="00011976">
            <w:pPr>
              <w:pStyle w:val="TableText1"/>
              <w:keepNext/>
              <w:rPr>
                <w:rFonts w:ascii="Arial Narrow" w:hAnsi="Arial Narrow"/>
                <w:b/>
              </w:rPr>
            </w:pPr>
            <w:r w:rsidRPr="00480790">
              <w:rPr>
                <w:rFonts w:ascii="Arial Narrow" w:hAnsi="Arial Narrow"/>
                <w:b/>
              </w:rPr>
              <w:lastRenderedPageBreak/>
              <w:t>Estimate the number of patients likely to take alectinib</w:t>
            </w:r>
          </w:p>
        </w:tc>
        <w:tc>
          <w:tcPr>
            <w:tcW w:w="2015" w:type="pct"/>
            <w:tcBorders>
              <w:top w:val="single" w:sz="6" w:space="0" w:color="auto"/>
              <w:left w:val="single" w:sz="6" w:space="0" w:color="auto"/>
              <w:bottom w:val="single" w:sz="4" w:space="0" w:color="auto"/>
              <w:right w:val="single" w:sz="6" w:space="0" w:color="auto"/>
            </w:tcBorders>
            <w:shd w:val="clear" w:color="auto" w:fill="auto"/>
          </w:tcPr>
          <w:p w14:paraId="59CB1FB5" w14:textId="77777777" w:rsidR="001C256F" w:rsidRPr="00480790" w:rsidRDefault="001C256F" w:rsidP="00011976">
            <w:pPr>
              <w:pStyle w:val="TableText1"/>
              <w:keepNext/>
              <w:rPr>
                <w:rFonts w:ascii="Arial Narrow" w:hAnsi="Arial Narrow"/>
                <w:b/>
              </w:rPr>
            </w:pPr>
          </w:p>
        </w:tc>
      </w:tr>
      <w:tr w:rsidR="00C41E29" w:rsidRPr="00480790" w14:paraId="05A3CB73" w14:textId="77777777" w:rsidTr="00C41E29">
        <w:tc>
          <w:tcPr>
            <w:tcW w:w="1176" w:type="pct"/>
            <w:tcBorders>
              <w:top w:val="single" w:sz="6" w:space="0" w:color="auto"/>
              <w:left w:val="single" w:sz="6" w:space="0" w:color="auto"/>
              <w:bottom w:val="single" w:sz="4" w:space="0" w:color="auto"/>
              <w:right w:val="single" w:sz="4" w:space="0" w:color="auto"/>
            </w:tcBorders>
            <w:shd w:val="clear" w:color="auto" w:fill="auto"/>
            <w:vAlign w:val="center"/>
          </w:tcPr>
          <w:p w14:paraId="00E32F0A" w14:textId="77777777" w:rsidR="001C256F" w:rsidRPr="00480790" w:rsidRDefault="001C256F">
            <w:pPr>
              <w:pStyle w:val="TableText1"/>
              <w:rPr>
                <w:rFonts w:ascii="Arial Narrow" w:hAnsi="Arial Narrow"/>
              </w:rPr>
            </w:pPr>
            <w:r w:rsidRPr="00480790">
              <w:rPr>
                <w:rFonts w:ascii="Arial Narrow" w:hAnsi="Arial Narrow"/>
              </w:rPr>
              <w:t>Uptake rate of alectinib</w:t>
            </w:r>
          </w:p>
        </w:tc>
        <w:tc>
          <w:tcPr>
            <w:tcW w:w="865" w:type="pct"/>
            <w:tcBorders>
              <w:top w:val="single" w:sz="6" w:space="0" w:color="auto"/>
              <w:left w:val="single" w:sz="4" w:space="0" w:color="auto"/>
              <w:bottom w:val="single" w:sz="4" w:space="0" w:color="auto"/>
              <w:right w:val="single" w:sz="4" w:space="0" w:color="auto"/>
            </w:tcBorders>
            <w:shd w:val="clear" w:color="auto" w:fill="auto"/>
            <w:vAlign w:val="center"/>
          </w:tcPr>
          <w:p w14:paraId="26903FBE" w14:textId="0A236781" w:rsidR="001C256F" w:rsidRPr="00480790" w:rsidRDefault="001C256F">
            <w:pPr>
              <w:pStyle w:val="TableText1"/>
              <w:jc w:val="center"/>
              <w:rPr>
                <w:rFonts w:ascii="Arial Narrow" w:hAnsi="Arial Narrow"/>
              </w:rPr>
            </w:pPr>
            <w:r w:rsidRPr="00480790">
              <w:rPr>
                <w:rFonts w:ascii="Arial Narrow" w:hAnsi="Arial Narrow"/>
              </w:rPr>
              <w:t xml:space="preserve">Incident patients: </w:t>
            </w:r>
            <w:r w:rsidR="00487E5A" w:rsidRPr="00487E5A">
              <w:rPr>
                <w:rFonts w:ascii="Arial Narrow" w:hAnsi="Arial Narrow"/>
                <w:color w:val="000000"/>
                <w:spacing w:val="53"/>
                <w:shd w:val="solid" w:color="000000" w:fill="000000"/>
                <w:fitText w:val="330" w:id="-663539701"/>
                <w14:textFill>
                  <w14:solidFill>
                    <w14:srgbClr w14:val="000000">
                      <w14:alpha w14:val="100000"/>
                    </w14:srgbClr>
                  </w14:solidFill>
                </w14:textFill>
              </w:rPr>
              <w:t>|||</w:t>
            </w:r>
            <w:r w:rsidR="00487E5A" w:rsidRPr="00487E5A">
              <w:rPr>
                <w:rFonts w:ascii="Arial Narrow" w:hAnsi="Arial Narrow"/>
                <w:color w:val="000000"/>
                <w:spacing w:val="1"/>
                <w:shd w:val="solid" w:color="000000" w:fill="000000"/>
                <w:fitText w:val="330" w:id="-663539701"/>
                <w14:textFill>
                  <w14:solidFill>
                    <w14:srgbClr w14:val="000000">
                      <w14:alpha w14:val="100000"/>
                    </w14:srgbClr>
                  </w14:solidFill>
                </w14:textFill>
              </w:rPr>
              <w:t>|</w:t>
            </w:r>
            <w:r w:rsidRPr="00480790">
              <w:rPr>
                <w:rFonts w:ascii="Arial Narrow" w:hAnsi="Arial Narrow"/>
              </w:rPr>
              <w:t>%</w:t>
            </w:r>
          </w:p>
          <w:p w14:paraId="06EA1CD7" w14:textId="0F2ED4C0" w:rsidR="001C256F" w:rsidRPr="00480790" w:rsidRDefault="001C256F">
            <w:pPr>
              <w:pStyle w:val="TableText1"/>
              <w:jc w:val="center"/>
              <w:rPr>
                <w:rFonts w:ascii="Arial Narrow" w:hAnsi="Arial Narrow"/>
              </w:rPr>
            </w:pPr>
            <w:r w:rsidRPr="00480790">
              <w:rPr>
                <w:rFonts w:ascii="Arial Narrow" w:hAnsi="Arial Narrow"/>
              </w:rPr>
              <w:t xml:space="preserve">Grandfathered patients: </w:t>
            </w:r>
            <w:r w:rsidR="00487E5A" w:rsidRPr="00AB0DBE">
              <w:rPr>
                <w:rFonts w:ascii="Arial Narrow" w:hAnsi="Arial Narrow"/>
                <w:color w:val="000000"/>
                <w:spacing w:val="49"/>
                <w:shd w:val="solid" w:color="000000" w:fill="000000"/>
                <w:fitText w:val="320" w:id="-663539700"/>
                <w14:textFill>
                  <w14:solidFill>
                    <w14:srgbClr w14:val="000000">
                      <w14:alpha w14:val="100000"/>
                    </w14:srgbClr>
                  </w14:solidFill>
                </w14:textFill>
              </w:rPr>
              <w:t>|||</w:t>
            </w:r>
            <w:r w:rsidR="00487E5A" w:rsidRPr="00AB0DBE">
              <w:rPr>
                <w:rFonts w:ascii="Arial Narrow" w:hAnsi="Arial Narrow"/>
                <w:color w:val="000000"/>
                <w:spacing w:val="3"/>
                <w:shd w:val="solid" w:color="000000" w:fill="000000"/>
                <w:fitText w:val="320" w:id="-663539700"/>
                <w14:textFill>
                  <w14:solidFill>
                    <w14:srgbClr w14:val="000000">
                      <w14:alpha w14:val="100000"/>
                    </w14:srgbClr>
                  </w14:solidFill>
                </w14:textFill>
              </w:rPr>
              <w:t>|</w:t>
            </w:r>
            <w:r w:rsidRPr="00480790">
              <w:rPr>
                <w:rFonts w:ascii="Arial Narrow" w:hAnsi="Arial Narrow"/>
              </w:rPr>
              <w:t>%</w:t>
            </w:r>
          </w:p>
        </w:tc>
        <w:tc>
          <w:tcPr>
            <w:tcW w:w="944" w:type="pct"/>
            <w:tcBorders>
              <w:top w:val="single" w:sz="6" w:space="0" w:color="auto"/>
              <w:left w:val="single" w:sz="4" w:space="0" w:color="auto"/>
              <w:bottom w:val="single" w:sz="4" w:space="0" w:color="auto"/>
              <w:right w:val="single" w:sz="6" w:space="0" w:color="auto"/>
            </w:tcBorders>
            <w:shd w:val="clear" w:color="auto" w:fill="auto"/>
            <w:vAlign w:val="center"/>
          </w:tcPr>
          <w:p w14:paraId="5E6127A7" w14:textId="77777777" w:rsidR="001C256F" w:rsidRPr="00480790" w:rsidRDefault="001C256F">
            <w:pPr>
              <w:pStyle w:val="TableText1"/>
              <w:rPr>
                <w:rFonts w:ascii="Arial Narrow" w:hAnsi="Arial Narrow"/>
              </w:rPr>
            </w:pPr>
            <w:r w:rsidRPr="00480790">
              <w:rPr>
                <w:rFonts w:ascii="Arial Narrow" w:hAnsi="Arial Narrow"/>
              </w:rPr>
              <w:t>Submission assumption</w:t>
            </w:r>
          </w:p>
        </w:tc>
        <w:tc>
          <w:tcPr>
            <w:tcW w:w="2015" w:type="pct"/>
            <w:tcBorders>
              <w:top w:val="single" w:sz="6" w:space="0" w:color="auto"/>
              <w:left w:val="single" w:sz="4" w:space="0" w:color="auto"/>
              <w:bottom w:val="single" w:sz="4" w:space="0" w:color="auto"/>
              <w:right w:val="single" w:sz="6" w:space="0" w:color="auto"/>
            </w:tcBorders>
            <w:shd w:val="clear" w:color="auto" w:fill="auto"/>
          </w:tcPr>
          <w:p w14:paraId="503B150F" w14:textId="77777777" w:rsidR="001C256F" w:rsidRPr="00480790" w:rsidRDefault="001C256F">
            <w:pPr>
              <w:pStyle w:val="TableText1"/>
              <w:rPr>
                <w:rFonts w:ascii="Arial Narrow" w:hAnsi="Arial Narrow"/>
              </w:rPr>
            </w:pPr>
            <w:r w:rsidRPr="00480790">
              <w:rPr>
                <w:rFonts w:ascii="Arial Narrow" w:hAnsi="Arial Narrow"/>
              </w:rPr>
              <w:t>Uncertain but reasonable.</w:t>
            </w:r>
          </w:p>
        </w:tc>
      </w:tr>
      <w:tr w:rsidR="00AB01EA" w:rsidRPr="00480790" w14:paraId="381D2BF0" w14:textId="77777777" w:rsidTr="00751EBB">
        <w:tc>
          <w:tcPr>
            <w:tcW w:w="5000" w:type="pct"/>
            <w:gridSpan w:val="4"/>
            <w:tcBorders>
              <w:top w:val="single" w:sz="6" w:space="0" w:color="auto"/>
              <w:left w:val="single" w:sz="6" w:space="0" w:color="auto"/>
              <w:bottom w:val="single" w:sz="4" w:space="0" w:color="auto"/>
              <w:right w:val="single" w:sz="6" w:space="0" w:color="auto"/>
            </w:tcBorders>
            <w:shd w:val="clear" w:color="auto" w:fill="auto"/>
            <w:vAlign w:val="center"/>
          </w:tcPr>
          <w:p w14:paraId="77C0BCF0" w14:textId="77777777" w:rsidR="001C256F" w:rsidRPr="00480790" w:rsidRDefault="001C256F">
            <w:pPr>
              <w:pStyle w:val="TableText1"/>
              <w:rPr>
                <w:rFonts w:ascii="Arial Narrow" w:hAnsi="Arial Narrow"/>
                <w:b/>
              </w:rPr>
            </w:pPr>
            <w:r w:rsidRPr="00480790">
              <w:rPr>
                <w:rFonts w:ascii="Arial Narrow" w:hAnsi="Arial Narrow"/>
                <w:b/>
              </w:rPr>
              <w:t>Estimate the utilisation and cost of treatments used within the budget impact analysis</w:t>
            </w:r>
          </w:p>
        </w:tc>
      </w:tr>
      <w:tr w:rsidR="00C41E29" w:rsidRPr="00480790" w14:paraId="34D1727B" w14:textId="77777777" w:rsidTr="00C41E29">
        <w:tc>
          <w:tcPr>
            <w:tcW w:w="1176" w:type="pct"/>
            <w:tcBorders>
              <w:top w:val="single" w:sz="6" w:space="0" w:color="auto"/>
              <w:left w:val="single" w:sz="6" w:space="0" w:color="auto"/>
              <w:bottom w:val="single" w:sz="4" w:space="0" w:color="auto"/>
              <w:right w:val="single" w:sz="4" w:space="0" w:color="auto"/>
            </w:tcBorders>
            <w:shd w:val="clear" w:color="auto" w:fill="auto"/>
            <w:vAlign w:val="center"/>
          </w:tcPr>
          <w:p w14:paraId="522B6DA1" w14:textId="77777777" w:rsidR="001C256F" w:rsidRPr="00480790" w:rsidRDefault="001C256F">
            <w:pPr>
              <w:pStyle w:val="TableText1"/>
              <w:rPr>
                <w:rFonts w:ascii="Arial Narrow" w:hAnsi="Arial Narrow"/>
              </w:rPr>
            </w:pPr>
            <w:r w:rsidRPr="00480790">
              <w:rPr>
                <w:rFonts w:ascii="Arial Narrow" w:hAnsi="Arial Narrow"/>
              </w:rPr>
              <w:t>Treatment duration of alectinib</w:t>
            </w:r>
          </w:p>
        </w:tc>
        <w:tc>
          <w:tcPr>
            <w:tcW w:w="865" w:type="pct"/>
            <w:tcBorders>
              <w:top w:val="single" w:sz="6" w:space="0" w:color="auto"/>
              <w:left w:val="single" w:sz="4" w:space="0" w:color="auto"/>
              <w:bottom w:val="single" w:sz="4" w:space="0" w:color="auto"/>
              <w:right w:val="single" w:sz="4" w:space="0" w:color="auto"/>
            </w:tcBorders>
            <w:shd w:val="clear" w:color="auto" w:fill="auto"/>
            <w:vAlign w:val="center"/>
          </w:tcPr>
          <w:p w14:paraId="6719925A" w14:textId="77777777" w:rsidR="001C256F" w:rsidRPr="00480790" w:rsidRDefault="001C256F">
            <w:pPr>
              <w:pStyle w:val="TableText1"/>
              <w:jc w:val="center"/>
              <w:rPr>
                <w:rFonts w:ascii="Arial Narrow" w:hAnsi="Arial Narrow"/>
              </w:rPr>
            </w:pPr>
            <w:r w:rsidRPr="00480790">
              <w:rPr>
                <w:rFonts w:ascii="Arial Narrow" w:hAnsi="Arial Narrow"/>
              </w:rPr>
              <w:t>Median</w:t>
            </w:r>
          </w:p>
          <w:p w14:paraId="5B1070DE" w14:textId="77777777" w:rsidR="001C256F" w:rsidRPr="00480790" w:rsidRDefault="001C256F">
            <w:pPr>
              <w:pStyle w:val="TableText1"/>
              <w:jc w:val="center"/>
              <w:rPr>
                <w:rFonts w:ascii="Arial Narrow" w:hAnsi="Arial Narrow"/>
              </w:rPr>
            </w:pPr>
            <w:r w:rsidRPr="00480790">
              <w:rPr>
                <w:rFonts w:ascii="Arial Narrow" w:hAnsi="Arial Narrow"/>
              </w:rPr>
              <w:t>23.9 months</w:t>
            </w:r>
          </w:p>
        </w:tc>
        <w:tc>
          <w:tcPr>
            <w:tcW w:w="944" w:type="pct"/>
            <w:tcBorders>
              <w:top w:val="single" w:sz="6" w:space="0" w:color="auto"/>
              <w:left w:val="single" w:sz="4" w:space="0" w:color="auto"/>
              <w:bottom w:val="single" w:sz="4" w:space="0" w:color="auto"/>
              <w:right w:val="single" w:sz="6" w:space="0" w:color="auto"/>
            </w:tcBorders>
            <w:shd w:val="clear" w:color="auto" w:fill="auto"/>
            <w:vAlign w:val="center"/>
          </w:tcPr>
          <w:p w14:paraId="20C6DD40" w14:textId="77777777" w:rsidR="001C256F" w:rsidRPr="00480790" w:rsidRDefault="001C256F">
            <w:pPr>
              <w:pStyle w:val="TableText1"/>
              <w:rPr>
                <w:rFonts w:ascii="Arial Narrow" w:hAnsi="Arial Narrow"/>
              </w:rPr>
            </w:pPr>
            <w:r w:rsidRPr="00480790">
              <w:rPr>
                <w:rFonts w:ascii="Arial Narrow" w:hAnsi="Arial Narrow"/>
              </w:rPr>
              <w:t>CSR for ALINA trial 2023, Table 11, p49</w:t>
            </w:r>
          </w:p>
        </w:tc>
        <w:tc>
          <w:tcPr>
            <w:tcW w:w="2015" w:type="pct"/>
            <w:tcBorders>
              <w:top w:val="single" w:sz="6" w:space="0" w:color="auto"/>
              <w:left w:val="single" w:sz="4" w:space="0" w:color="auto"/>
              <w:bottom w:val="single" w:sz="4" w:space="0" w:color="auto"/>
              <w:right w:val="single" w:sz="6" w:space="0" w:color="auto"/>
            </w:tcBorders>
            <w:shd w:val="clear" w:color="auto" w:fill="auto"/>
          </w:tcPr>
          <w:p w14:paraId="0822A99C" w14:textId="77777777" w:rsidR="001C256F" w:rsidRPr="00480790" w:rsidRDefault="001C256F">
            <w:pPr>
              <w:pStyle w:val="TableText1"/>
              <w:rPr>
                <w:rFonts w:ascii="Arial Narrow" w:hAnsi="Arial Narrow"/>
              </w:rPr>
            </w:pPr>
            <w:r w:rsidRPr="00480790">
              <w:rPr>
                <w:rFonts w:ascii="Arial Narrow" w:hAnsi="Arial Narrow"/>
              </w:rPr>
              <w:t>This was the median treatment duration. It would have been preferable to have used the mean duration of 21.3 months.</w:t>
            </w:r>
          </w:p>
        </w:tc>
      </w:tr>
      <w:tr w:rsidR="00C41E29" w:rsidRPr="00480790" w14:paraId="753E0634" w14:textId="77777777" w:rsidTr="00C41E29">
        <w:tc>
          <w:tcPr>
            <w:tcW w:w="1176" w:type="pct"/>
            <w:tcBorders>
              <w:top w:val="single" w:sz="6" w:space="0" w:color="auto"/>
              <w:left w:val="single" w:sz="6" w:space="0" w:color="auto"/>
              <w:bottom w:val="single" w:sz="4" w:space="0" w:color="auto"/>
              <w:right w:val="single" w:sz="4" w:space="0" w:color="auto"/>
            </w:tcBorders>
            <w:shd w:val="clear" w:color="auto" w:fill="auto"/>
            <w:vAlign w:val="center"/>
          </w:tcPr>
          <w:p w14:paraId="6221A3FC" w14:textId="77777777" w:rsidR="001C256F" w:rsidRPr="00480790" w:rsidRDefault="001C256F">
            <w:pPr>
              <w:pStyle w:val="TableText1"/>
              <w:rPr>
                <w:rFonts w:ascii="Arial Narrow" w:hAnsi="Arial Narrow"/>
              </w:rPr>
            </w:pPr>
            <w:r w:rsidRPr="00480790">
              <w:rPr>
                <w:rFonts w:ascii="Arial Narrow" w:hAnsi="Arial Narrow"/>
              </w:rPr>
              <w:t>Treatment duration of cisplatin-pemetrexed</w:t>
            </w:r>
          </w:p>
        </w:tc>
        <w:tc>
          <w:tcPr>
            <w:tcW w:w="865" w:type="pct"/>
            <w:tcBorders>
              <w:top w:val="single" w:sz="6" w:space="0" w:color="auto"/>
              <w:left w:val="single" w:sz="4" w:space="0" w:color="auto"/>
              <w:bottom w:val="single" w:sz="4" w:space="0" w:color="auto"/>
              <w:right w:val="single" w:sz="4" w:space="0" w:color="auto"/>
            </w:tcBorders>
            <w:shd w:val="clear" w:color="auto" w:fill="auto"/>
            <w:vAlign w:val="center"/>
          </w:tcPr>
          <w:p w14:paraId="3F9CE971" w14:textId="77777777" w:rsidR="001C256F" w:rsidRPr="00480790" w:rsidRDefault="001C256F">
            <w:pPr>
              <w:pStyle w:val="TableText1"/>
              <w:jc w:val="center"/>
              <w:rPr>
                <w:rFonts w:ascii="Arial Narrow" w:hAnsi="Arial Narrow"/>
              </w:rPr>
            </w:pPr>
            <w:r w:rsidRPr="00480790">
              <w:rPr>
                <w:rFonts w:ascii="Arial Narrow" w:hAnsi="Arial Narrow"/>
              </w:rPr>
              <w:t>4 cycles</w:t>
            </w:r>
          </w:p>
        </w:tc>
        <w:tc>
          <w:tcPr>
            <w:tcW w:w="944" w:type="pct"/>
            <w:tcBorders>
              <w:top w:val="single" w:sz="6" w:space="0" w:color="auto"/>
              <w:left w:val="single" w:sz="4" w:space="0" w:color="auto"/>
              <w:bottom w:val="single" w:sz="4" w:space="0" w:color="auto"/>
              <w:right w:val="single" w:sz="6" w:space="0" w:color="auto"/>
            </w:tcBorders>
            <w:shd w:val="clear" w:color="auto" w:fill="auto"/>
            <w:vAlign w:val="center"/>
          </w:tcPr>
          <w:p w14:paraId="01B4674D" w14:textId="77777777" w:rsidR="001C256F" w:rsidRPr="00480790" w:rsidRDefault="001C256F">
            <w:pPr>
              <w:pStyle w:val="TableText1"/>
              <w:rPr>
                <w:rFonts w:ascii="Arial Narrow" w:hAnsi="Arial Narrow"/>
              </w:rPr>
            </w:pPr>
            <w:r w:rsidRPr="00480790">
              <w:rPr>
                <w:rFonts w:ascii="Arial Narrow" w:hAnsi="Arial Narrow"/>
              </w:rPr>
              <w:t>CSR for ALINA trial 2023, Table 12, p50</w:t>
            </w:r>
          </w:p>
        </w:tc>
        <w:tc>
          <w:tcPr>
            <w:tcW w:w="2015" w:type="pct"/>
            <w:tcBorders>
              <w:top w:val="single" w:sz="6" w:space="0" w:color="auto"/>
              <w:left w:val="single" w:sz="4" w:space="0" w:color="auto"/>
              <w:bottom w:val="single" w:sz="4" w:space="0" w:color="auto"/>
              <w:right w:val="single" w:sz="6" w:space="0" w:color="auto"/>
            </w:tcBorders>
            <w:shd w:val="clear" w:color="auto" w:fill="auto"/>
          </w:tcPr>
          <w:p w14:paraId="00EBA0E3" w14:textId="69E010E3" w:rsidR="001C256F" w:rsidRPr="00480790" w:rsidRDefault="001C256F">
            <w:pPr>
              <w:pStyle w:val="TableText1"/>
              <w:rPr>
                <w:rFonts w:ascii="Arial Narrow" w:hAnsi="Arial Narrow"/>
              </w:rPr>
            </w:pPr>
            <w:r w:rsidRPr="00480790">
              <w:rPr>
                <w:rFonts w:ascii="Arial Narrow" w:hAnsi="Arial Narrow"/>
              </w:rPr>
              <w:t xml:space="preserve">The submission erroneously applied a </w:t>
            </w:r>
            <w:r w:rsidR="00866B92" w:rsidRPr="00480790">
              <w:rPr>
                <w:rFonts w:ascii="Arial Narrow" w:hAnsi="Arial Narrow"/>
              </w:rPr>
              <w:t>23.9-month</w:t>
            </w:r>
            <w:r w:rsidRPr="00480790">
              <w:rPr>
                <w:rFonts w:ascii="Arial Narrow" w:hAnsi="Arial Narrow"/>
              </w:rPr>
              <w:t xml:space="preserve"> treatment duration for cisplatin-pemetrexed in the financial model. Chemotherapy had a maximum treatment duration of 4 cycles x 21 days per cycle = 2.8</w:t>
            </w:r>
            <w:r w:rsidR="002A55FE">
              <w:rPr>
                <w:rFonts w:ascii="Arial Narrow" w:hAnsi="Arial Narrow"/>
              </w:rPr>
              <w:t> </w:t>
            </w:r>
            <w:r w:rsidRPr="00480790">
              <w:rPr>
                <w:rFonts w:ascii="Arial Narrow" w:hAnsi="Arial Narrow"/>
              </w:rPr>
              <w:t xml:space="preserve">months. In the ALINA trial, the mean duration of chemotherapy treatment was 2.0 months. Corrected estimates are provided in </w:t>
            </w:r>
            <w:r w:rsidRPr="00480790">
              <w:rPr>
                <w:rFonts w:ascii="Arial Narrow" w:hAnsi="Arial Narrow"/>
              </w:rPr>
              <w:fldChar w:fldCharType="begin"/>
            </w:r>
            <w:r w:rsidRPr="00480790">
              <w:rPr>
                <w:rFonts w:ascii="Arial Narrow" w:hAnsi="Arial Narrow"/>
              </w:rPr>
              <w:instrText xml:space="preserve"> REF _Ref104805295 \h  \* MERGEFORMAT </w:instrText>
            </w:r>
            <w:r w:rsidRPr="00480790">
              <w:rPr>
                <w:rFonts w:ascii="Arial Narrow" w:hAnsi="Arial Narrow"/>
              </w:rPr>
            </w:r>
            <w:r w:rsidRPr="00480790">
              <w:rPr>
                <w:rFonts w:ascii="Arial Narrow" w:hAnsi="Arial Narrow"/>
              </w:rPr>
              <w:fldChar w:fldCharType="separate"/>
            </w:r>
            <w:r w:rsidR="002565BE" w:rsidRPr="002565BE">
              <w:rPr>
                <w:rFonts w:ascii="Arial Narrow" w:hAnsi="Arial Narrow"/>
              </w:rPr>
              <w:t>Table 13</w:t>
            </w:r>
            <w:r w:rsidRPr="00480790">
              <w:rPr>
                <w:rFonts w:ascii="Arial Narrow" w:hAnsi="Arial Narrow"/>
              </w:rPr>
              <w:fldChar w:fldCharType="end"/>
            </w:r>
            <w:r w:rsidRPr="00480790">
              <w:rPr>
                <w:rFonts w:ascii="Arial Narrow" w:hAnsi="Arial Narrow"/>
              </w:rPr>
              <w:t>.</w:t>
            </w:r>
          </w:p>
          <w:p w14:paraId="6A87C283" w14:textId="77777777" w:rsidR="001C256F" w:rsidRPr="00480790" w:rsidRDefault="001C256F">
            <w:pPr>
              <w:pStyle w:val="TableText1"/>
              <w:rPr>
                <w:rFonts w:ascii="Arial Narrow" w:hAnsi="Arial Narrow"/>
                <w:i/>
                <w:iCs/>
              </w:rPr>
            </w:pPr>
            <w:r w:rsidRPr="00480790">
              <w:rPr>
                <w:rFonts w:ascii="Arial Narrow" w:hAnsi="Arial Narrow"/>
                <w:i/>
                <w:iCs/>
              </w:rPr>
              <w:t>The PSCR included a revised financial model with this correction.</w:t>
            </w:r>
          </w:p>
        </w:tc>
      </w:tr>
      <w:tr w:rsidR="00C41E29" w:rsidRPr="00480790" w14:paraId="279A8B25" w14:textId="77777777" w:rsidTr="00C41E29">
        <w:tc>
          <w:tcPr>
            <w:tcW w:w="1176" w:type="pct"/>
            <w:tcBorders>
              <w:top w:val="single" w:sz="6" w:space="0" w:color="auto"/>
              <w:left w:val="single" w:sz="6" w:space="0" w:color="auto"/>
              <w:bottom w:val="single" w:sz="4" w:space="0" w:color="auto"/>
              <w:right w:val="single" w:sz="4" w:space="0" w:color="auto"/>
            </w:tcBorders>
            <w:shd w:val="clear" w:color="auto" w:fill="auto"/>
          </w:tcPr>
          <w:p w14:paraId="6780F831" w14:textId="77777777" w:rsidR="001C256F" w:rsidRPr="00480790" w:rsidRDefault="001C256F">
            <w:pPr>
              <w:pStyle w:val="TableText1"/>
              <w:rPr>
                <w:rFonts w:ascii="Arial Narrow" w:hAnsi="Arial Narrow"/>
              </w:rPr>
            </w:pPr>
            <w:r w:rsidRPr="00480790">
              <w:rPr>
                <w:rFonts w:ascii="Arial Narrow" w:hAnsi="Arial Narrow"/>
              </w:rPr>
              <w:t>DPMQ of alectinib</w:t>
            </w:r>
          </w:p>
        </w:tc>
        <w:tc>
          <w:tcPr>
            <w:tcW w:w="865" w:type="pct"/>
            <w:tcBorders>
              <w:top w:val="single" w:sz="6" w:space="0" w:color="auto"/>
              <w:left w:val="single" w:sz="4" w:space="0" w:color="auto"/>
              <w:bottom w:val="single" w:sz="4" w:space="0" w:color="auto"/>
              <w:right w:val="single" w:sz="4" w:space="0" w:color="auto"/>
            </w:tcBorders>
            <w:shd w:val="clear" w:color="auto" w:fill="auto"/>
          </w:tcPr>
          <w:p w14:paraId="59BE6104" w14:textId="77777777" w:rsidR="001C256F" w:rsidRPr="00480790" w:rsidRDefault="001C256F">
            <w:pPr>
              <w:pStyle w:val="TableText1"/>
              <w:jc w:val="center"/>
              <w:rPr>
                <w:rFonts w:ascii="Arial Narrow" w:hAnsi="Arial Narrow"/>
              </w:rPr>
            </w:pPr>
            <w:r w:rsidRPr="00480790">
              <w:rPr>
                <w:rFonts w:ascii="Arial Narrow" w:hAnsi="Arial Narrow"/>
              </w:rPr>
              <w:t>$6,483.03 per pack of 224 tablets</w:t>
            </w:r>
          </w:p>
        </w:tc>
        <w:tc>
          <w:tcPr>
            <w:tcW w:w="944" w:type="pct"/>
            <w:tcBorders>
              <w:top w:val="single" w:sz="6" w:space="0" w:color="auto"/>
              <w:left w:val="single" w:sz="4" w:space="0" w:color="auto"/>
              <w:bottom w:val="single" w:sz="4" w:space="0" w:color="auto"/>
              <w:right w:val="single" w:sz="6" w:space="0" w:color="auto"/>
            </w:tcBorders>
            <w:shd w:val="clear" w:color="auto" w:fill="auto"/>
          </w:tcPr>
          <w:p w14:paraId="779CC1E6" w14:textId="77777777" w:rsidR="001C256F" w:rsidRPr="00480790" w:rsidRDefault="001C256F">
            <w:pPr>
              <w:pStyle w:val="TableText1"/>
              <w:rPr>
                <w:rFonts w:ascii="Arial Narrow" w:hAnsi="Arial Narrow"/>
              </w:rPr>
            </w:pPr>
            <w:r w:rsidRPr="00480790">
              <w:rPr>
                <w:rFonts w:ascii="Arial Narrow" w:hAnsi="Arial Narrow"/>
              </w:rPr>
              <w:t>PBS published price</w:t>
            </w:r>
          </w:p>
        </w:tc>
        <w:tc>
          <w:tcPr>
            <w:tcW w:w="2015" w:type="pct"/>
            <w:tcBorders>
              <w:top w:val="single" w:sz="6" w:space="0" w:color="auto"/>
              <w:left w:val="single" w:sz="4" w:space="0" w:color="auto"/>
              <w:bottom w:val="single" w:sz="4" w:space="0" w:color="auto"/>
              <w:right w:val="single" w:sz="6" w:space="0" w:color="auto"/>
            </w:tcBorders>
            <w:shd w:val="clear" w:color="auto" w:fill="auto"/>
          </w:tcPr>
          <w:p w14:paraId="53C78087" w14:textId="77777777" w:rsidR="001C256F" w:rsidRPr="00480790" w:rsidRDefault="001C256F">
            <w:pPr>
              <w:pStyle w:val="TableText1"/>
              <w:rPr>
                <w:rFonts w:ascii="Arial Narrow" w:hAnsi="Arial Narrow"/>
              </w:rPr>
            </w:pPr>
            <w:r w:rsidRPr="00480790">
              <w:rPr>
                <w:rFonts w:ascii="Arial Narrow" w:hAnsi="Arial Narrow"/>
              </w:rPr>
              <w:t>Correct.</w:t>
            </w:r>
          </w:p>
        </w:tc>
      </w:tr>
      <w:tr w:rsidR="00C41E29" w:rsidRPr="00480790" w14:paraId="5CAD4598" w14:textId="77777777" w:rsidTr="00C41E29">
        <w:tc>
          <w:tcPr>
            <w:tcW w:w="1176" w:type="pct"/>
            <w:tcBorders>
              <w:top w:val="single" w:sz="6" w:space="0" w:color="auto"/>
              <w:left w:val="single" w:sz="6" w:space="0" w:color="auto"/>
              <w:bottom w:val="single" w:sz="4" w:space="0" w:color="auto"/>
              <w:right w:val="single" w:sz="4" w:space="0" w:color="auto"/>
            </w:tcBorders>
            <w:shd w:val="clear" w:color="auto" w:fill="auto"/>
          </w:tcPr>
          <w:p w14:paraId="0CFA8689" w14:textId="77777777" w:rsidR="001C256F" w:rsidRPr="00480790" w:rsidRDefault="001C256F">
            <w:pPr>
              <w:pStyle w:val="TableText1"/>
              <w:rPr>
                <w:rFonts w:ascii="Arial Narrow" w:hAnsi="Arial Narrow"/>
              </w:rPr>
            </w:pPr>
            <w:r w:rsidRPr="00480790">
              <w:rPr>
                <w:rFonts w:ascii="Arial Narrow" w:hAnsi="Arial Narrow"/>
              </w:rPr>
              <w:t>Weighted DPMA of cisplatin</w:t>
            </w:r>
          </w:p>
        </w:tc>
        <w:tc>
          <w:tcPr>
            <w:tcW w:w="865" w:type="pct"/>
            <w:tcBorders>
              <w:top w:val="single" w:sz="6" w:space="0" w:color="auto"/>
              <w:left w:val="single" w:sz="4" w:space="0" w:color="auto"/>
              <w:bottom w:val="single" w:sz="4" w:space="0" w:color="auto"/>
              <w:right w:val="single" w:sz="4" w:space="0" w:color="auto"/>
            </w:tcBorders>
            <w:shd w:val="clear" w:color="auto" w:fill="auto"/>
          </w:tcPr>
          <w:p w14:paraId="07044B1C" w14:textId="77777777" w:rsidR="001C256F" w:rsidRPr="00480790" w:rsidRDefault="001C256F">
            <w:pPr>
              <w:pStyle w:val="TableText1"/>
              <w:jc w:val="center"/>
              <w:rPr>
                <w:rFonts w:ascii="Arial Narrow" w:hAnsi="Arial Narrow"/>
              </w:rPr>
            </w:pPr>
            <w:r w:rsidRPr="00480790">
              <w:rPr>
                <w:rFonts w:ascii="Arial Narrow" w:hAnsi="Arial Narrow"/>
              </w:rPr>
              <w:t>$147.25 per administration</w:t>
            </w:r>
          </w:p>
        </w:tc>
        <w:tc>
          <w:tcPr>
            <w:tcW w:w="944" w:type="pct"/>
            <w:tcBorders>
              <w:top w:val="single" w:sz="6" w:space="0" w:color="auto"/>
              <w:left w:val="single" w:sz="4" w:space="0" w:color="auto"/>
              <w:bottom w:val="single" w:sz="4" w:space="0" w:color="auto"/>
              <w:right w:val="single" w:sz="6" w:space="0" w:color="auto"/>
            </w:tcBorders>
            <w:shd w:val="clear" w:color="auto" w:fill="auto"/>
          </w:tcPr>
          <w:p w14:paraId="4AC23249" w14:textId="77777777" w:rsidR="001C256F" w:rsidRPr="00480790" w:rsidRDefault="001C256F">
            <w:pPr>
              <w:pStyle w:val="TableText1"/>
              <w:rPr>
                <w:rFonts w:ascii="Arial Narrow" w:hAnsi="Arial Narrow"/>
              </w:rPr>
            </w:pPr>
            <w:r w:rsidRPr="00480790">
              <w:rPr>
                <w:rFonts w:ascii="Arial Narrow" w:hAnsi="Arial Narrow"/>
              </w:rPr>
              <w:t>Published ex-manufacturer price for PBS item 7224F and 4319H</w:t>
            </w:r>
          </w:p>
        </w:tc>
        <w:tc>
          <w:tcPr>
            <w:tcW w:w="2015" w:type="pct"/>
            <w:tcBorders>
              <w:top w:val="single" w:sz="6" w:space="0" w:color="auto"/>
              <w:left w:val="single" w:sz="4" w:space="0" w:color="auto"/>
              <w:bottom w:val="single" w:sz="4" w:space="0" w:color="auto"/>
              <w:right w:val="single" w:sz="6" w:space="0" w:color="auto"/>
            </w:tcBorders>
            <w:shd w:val="clear" w:color="auto" w:fill="auto"/>
          </w:tcPr>
          <w:p w14:paraId="17100570" w14:textId="77777777" w:rsidR="001C256F" w:rsidRPr="00480790" w:rsidRDefault="001C256F">
            <w:pPr>
              <w:pStyle w:val="TableText1"/>
              <w:rPr>
                <w:rFonts w:ascii="Arial Narrow" w:hAnsi="Arial Narrow"/>
              </w:rPr>
            </w:pPr>
            <w:r w:rsidRPr="00480790">
              <w:rPr>
                <w:rFonts w:ascii="Arial Narrow" w:hAnsi="Arial Narrow"/>
              </w:rPr>
              <w:t>Correct.</w:t>
            </w:r>
          </w:p>
        </w:tc>
      </w:tr>
      <w:tr w:rsidR="00C41E29" w:rsidRPr="00480790" w14:paraId="7AADB734" w14:textId="77777777" w:rsidTr="00C41E29">
        <w:tc>
          <w:tcPr>
            <w:tcW w:w="1176" w:type="pct"/>
            <w:tcBorders>
              <w:top w:val="single" w:sz="6" w:space="0" w:color="auto"/>
              <w:left w:val="single" w:sz="6" w:space="0" w:color="auto"/>
              <w:bottom w:val="single" w:sz="4" w:space="0" w:color="auto"/>
              <w:right w:val="single" w:sz="4" w:space="0" w:color="auto"/>
            </w:tcBorders>
            <w:shd w:val="clear" w:color="auto" w:fill="auto"/>
            <w:vAlign w:val="center"/>
          </w:tcPr>
          <w:p w14:paraId="7E53C2FD" w14:textId="77777777" w:rsidR="001C256F" w:rsidRPr="00480790" w:rsidRDefault="001C256F">
            <w:pPr>
              <w:pStyle w:val="TableText1"/>
              <w:rPr>
                <w:rFonts w:ascii="Arial Narrow" w:hAnsi="Arial Narrow"/>
              </w:rPr>
            </w:pPr>
            <w:r w:rsidRPr="00480790">
              <w:rPr>
                <w:rFonts w:ascii="Arial Narrow" w:hAnsi="Arial Narrow"/>
              </w:rPr>
              <w:t>Weighted DPMA of pemetrexed</w:t>
            </w:r>
          </w:p>
        </w:tc>
        <w:tc>
          <w:tcPr>
            <w:tcW w:w="865" w:type="pct"/>
            <w:tcBorders>
              <w:top w:val="single" w:sz="6" w:space="0" w:color="auto"/>
              <w:left w:val="single" w:sz="4" w:space="0" w:color="auto"/>
              <w:bottom w:val="single" w:sz="4" w:space="0" w:color="auto"/>
              <w:right w:val="single" w:sz="4" w:space="0" w:color="auto"/>
            </w:tcBorders>
            <w:shd w:val="clear" w:color="auto" w:fill="auto"/>
            <w:vAlign w:val="center"/>
          </w:tcPr>
          <w:p w14:paraId="6E6C5DE4" w14:textId="77777777" w:rsidR="001C256F" w:rsidRPr="00480790" w:rsidRDefault="001C256F" w:rsidP="00751EBB">
            <w:pPr>
              <w:pStyle w:val="TableText1"/>
              <w:jc w:val="center"/>
              <w:rPr>
                <w:rFonts w:ascii="Arial Narrow" w:hAnsi="Arial Narrow"/>
              </w:rPr>
            </w:pPr>
            <w:r w:rsidRPr="00480790">
              <w:rPr>
                <w:rFonts w:ascii="Arial Narrow" w:hAnsi="Arial Narrow"/>
              </w:rPr>
              <w:t>$165.49 per administration</w:t>
            </w:r>
          </w:p>
        </w:tc>
        <w:tc>
          <w:tcPr>
            <w:tcW w:w="944" w:type="pct"/>
            <w:tcBorders>
              <w:top w:val="single" w:sz="6" w:space="0" w:color="auto"/>
              <w:left w:val="single" w:sz="4" w:space="0" w:color="auto"/>
              <w:bottom w:val="single" w:sz="4" w:space="0" w:color="auto"/>
              <w:right w:val="single" w:sz="6" w:space="0" w:color="auto"/>
            </w:tcBorders>
            <w:shd w:val="clear" w:color="auto" w:fill="auto"/>
          </w:tcPr>
          <w:p w14:paraId="4E5AE8F1" w14:textId="77777777" w:rsidR="001C256F" w:rsidRPr="00480790" w:rsidRDefault="001C256F">
            <w:pPr>
              <w:pStyle w:val="TableText1"/>
              <w:rPr>
                <w:rFonts w:ascii="Arial Narrow" w:hAnsi="Arial Narrow"/>
              </w:rPr>
            </w:pPr>
            <w:r w:rsidRPr="00480790">
              <w:rPr>
                <w:rFonts w:ascii="Arial Narrow" w:hAnsi="Arial Narrow"/>
              </w:rPr>
              <w:t>Published ex-manufacturer price for PBS item 7255W and 4600D</w:t>
            </w:r>
          </w:p>
        </w:tc>
        <w:tc>
          <w:tcPr>
            <w:tcW w:w="2015" w:type="pct"/>
            <w:tcBorders>
              <w:top w:val="single" w:sz="6" w:space="0" w:color="auto"/>
              <w:left w:val="single" w:sz="4" w:space="0" w:color="auto"/>
              <w:bottom w:val="single" w:sz="4" w:space="0" w:color="auto"/>
              <w:right w:val="single" w:sz="6" w:space="0" w:color="auto"/>
            </w:tcBorders>
            <w:shd w:val="clear" w:color="auto" w:fill="auto"/>
          </w:tcPr>
          <w:p w14:paraId="10A73BCC" w14:textId="77777777" w:rsidR="001C256F" w:rsidRPr="00480790" w:rsidRDefault="001C256F">
            <w:pPr>
              <w:pStyle w:val="TableText1"/>
              <w:rPr>
                <w:rFonts w:ascii="Arial Narrow" w:hAnsi="Arial Narrow"/>
              </w:rPr>
            </w:pPr>
            <w:r w:rsidRPr="00480790">
              <w:rPr>
                <w:rFonts w:ascii="Arial Narrow" w:hAnsi="Arial Narrow"/>
              </w:rPr>
              <w:t>Correct.</w:t>
            </w:r>
          </w:p>
        </w:tc>
      </w:tr>
      <w:tr w:rsidR="00C41E29" w:rsidRPr="00480790" w14:paraId="2C4C2BB1" w14:textId="77777777" w:rsidTr="00C41E29">
        <w:tc>
          <w:tcPr>
            <w:tcW w:w="1176" w:type="pct"/>
            <w:tcBorders>
              <w:top w:val="single" w:sz="6" w:space="0" w:color="auto"/>
              <w:left w:val="single" w:sz="6" w:space="0" w:color="auto"/>
              <w:bottom w:val="single" w:sz="4" w:space="0" w:color="auto"/>
              <w:right w:val="single" w:sz="4" w:space="0" w:color="auto"/>
            </w:tcBorders>
            <w:shd w:val="clear" w:color="auto" w:fill="auto"/>
          </w:tcPr>
          <w:p w14:paraId="755A4BA2" w14:textId="77777777" w:rsidR="001C256F" w:rsidRPr="00480790" w:rsidRDefault="001C256F">
            <w:pPr>
              <w:pStyle w:val="TableText1"/>
              <w:rPr>
                <w:rFonts w:ascii="Arial Narrow" w:hAnsi="Arial Narrow"/>
              </w:rPr>
            </w:pPr>
            <w:r w:rsidRPr="00480790">
              <w:rPr>
                <w:rFonts w:ascii="Arial Narrow" w:hAnsi="Arial Narrow"/>
              </w:rPr>
              <w:t>MBS fee for parenteral administration of one or more antineoplastic agents</w:t>
            </w:r>
          </w:p>
        </w:tc>
        <w:tc>
          <w:tcPr>
            <w:tcW w:w="865" w:type="pct"/>
            <w:tcBorders>
              <w:top w:val="single" w:sz="6" w:space="0" w:color="auto"/>
              <w:left w:val="single" w:sz="4" w:space="0" w:color="auto"/>
              <w:bottom w:val="single" w:sz="4" w:space="0" w:color="auto"/>
              <w:right w:val="single" w:sz="4" w:space="0" w:color="auto"/>
            </w:tcBorders>
            <w:shd w:val="clear" w:color="auto" w:fill="auto"/>
          </w:tcPr>
          <w:p w14:paraId="24148EE6" w14:textId="77777777" w:rsidR="001C256F" w:rsidRPr="00480790" w:rsidRDefault="001C256F">
            <w:pPr>
              <w:pStyle w:val="TableText1"/>
              <w:jc w:val="center"/>
              <w:rPr>
                <w:rFonts w:ascii="Arial Narrow" w:hAnsi="Arial Narrow"/>
              </w:rPr>
            </w:pPr>
            <w:r w:rsidRPr="00480790">
              <w:rPr>
                <w:rFonts w:ascii="Arial Narrow" w:hAnsi="Arial Narrow"/>
              </w:rPr>
              <w:t>$123.05 per administration</w:t>
            </w:r>
          </w:p>
        </w:tc>
        <w:tc>
          <w:tcPr>
            <w:tcW w:w="944" w:type="pct"/>
            <w:tcBorders>
              <w:left w:val="single" w:sz="4" w:space="0" w:color="auto"/>
              <w:bottom w:val="single" w:sz="4" w:space="0" w:color="auto"/>
              <w:right w:val="single" w:sz="6" w:space="0" w:color="auto"/>
            </w:tcBorders>
            <w:shd w:val="clear" w:color="auto" w:fill="auto"/>
          </w:tcPr>
          <w:p w14:paraId="43BAC993" w14:textId="77777777" w:rsidR="001C256F" w:rsidRPr="00480790" w:rsidRDefault="001C256F">
            <w:pPr>
              <w:pStyle w:val="TableText1"/>
              <w:rPr>
                <w:rFonts w:ascii="Arial Narrow" w:hAnsi="Arial Narrow"/>
              </w:rPr>
            </w:pPr>
            <w:r w:rsidRPr="00480790">
              <w:rPr>
                <w:rFonts w:ascii="Arial Narrow" w:hAnsi="Arial Narrow"/>
              </w:rPr>
              <w:t>MBS item 13950 schedule fee</w:t>
            </w:r>
          </w:p>
        </w:tc>
        <w:tc>
          <w:tcPr>
            <w:tcW w:w="2015" w:type="pct"/>
            <w:tcBorders>
              <w:left w:val="single" w:sz="4" w:space="0" w:color="auto"/>
              <w:bottom w:val="single" w:sz="4" w:space="0" w:color="auto"/>
              <w:right w:val="single" w:sz="6" w:space="0" w:color="auto"/>
            </w:tcBorders>
            <w:shd w:val="clear" w:color="auto" w:fill="auto"/>
          </w:tcPr>
          <w:p w14:paraId="6FD3D2D5" w14:textId="77777777" w:rsidR="001C256F" w:rsidRPr="00480790" w:rsidRDefault="001C256F">
            <w:pPr>
              <w:pStyle w:val="TableText1"/>
              <w:rPr>
                <w:rFonts w:ascii="Arial Narrow" w:hAnsi="Arial Narrow"/>
              </w:rPr>
            </w:pPr>
            <w:r w:rsidRPr="00480790">
              <w:rPr>
                <w:rFonts w:ascii="Arial Narrow" w:hAnsi="Arial Narrow"/>
              </w:rPr>
              <w:t>Correct.</w:t>
            </w:r>
          </w:p>
        </w:tc>
      </w:tr>
    </w:tbl>
    <w:bookmarkEnd w:id="87"/>
    <w:p w14:paraId="0134F7F3" w14:textId="77777777" w:rsidR="001C256F" w:rsidRPr="00480790" w:rsidRDefault="001C256F" w:rsidP="00751EBB">
      <w:pPr>
        <w:pStyle w:val="FooterTableFigure"/>
      </w:pPr>
      <w:r w:rsidRPr="00480790">
        <w:t xml:space="preserve">Source: Table 4.3, p110 of the submission. </w:t>
      </w:r>
      <w:r w:rsidRPr="00480790">
        <w:rPr>
          <w:i/>
          <w:iCs/>
        </w:rPr>
        <w:t>Comments in italics from this evaluation</w:t>
      </w:r>
      <w:r w:rsidRPr="00480790">
        <w:t>.</w:t>
      </w:r>
      <w:r w:rsidRPr="00480790">
        <w:rPr>
          <w:i/>
          <w:iCs/>
        </w:rPr>
        <w:t xml:space="preserve"> Evaluation comments in italics.</w:t>
      </w:r>
    </w:p>
    <w:p w14:paraId="6818E62A" w14:textId="77777777" w:rsidR="001C256F" w:rsidRPr="00480790" w:rsidRDefault="001C256F" w:rsidP="00751EBB">
      <w:pPr>
        <w:pStyle w:val="FooterTableFigure"/>
      </w:pPr>
      <w:bookmarkStart w:id="89" w:name="_Hlk189659110"/>
      <w:r w:rsidRPr="00480790">
        <w:t>AIHW = Australian Institute of Health and Welfare, ALK = anaplastic lymphoma kinase, CSR = Clinical study report, DPMA = dispensed price for maximum amount, DPMQ = Dispensed Price for Maximum Quantity, MBS=Medicare Benefit Schedule, NSCLC = non-small cell lung cancer, PBAC = Pharmaceutical Benefits Advisory Committee, PBS = Pharmaceutical Benefits Scheme; PSD = Public Summary Document, WHO = World Health Organisation.</w:t>
      </w:r>
      <w:bookmarkEnd w:id="89"/>
    </w:p>
    <w:p w14:paraId="1E42BEA4" w14:textId="398D525F" w:rsidR="001C256F" w:rsidRPr="00480790" w:rsidRDefault="001C256F" w:rsidP="002843F8">
      <w:pPr>
        <w:pStyle w:val="3-BodyText"/>
        <w:rPr>
          <w:lang w:val="en-AU"/>
        </w:rPr>
      </w:pPr>
      <w:r w:rsidRPr="00480790">
        <w:rPr>
          <w:lang w:val="en-AU"/>
        </w:rPr>
        <w:t xml:space="preserve">The submission extracted the incidence of lung cancer given in </w:t>
      </w:r>
      <w:r w:rsidRPr="00480790">
        <w:rPr>
          <w:lang w:val="en-AU"/>
        </w:rPr>
        <w:fldChar w:fldCharType="begin"/>
      </w:r>
      <w:r w:rsidRPr="00480790">
        <w:rPr>
          <w:lang w:val="en-AU"/>
        </w:rPr>
        <w:instrText xml:space="preserve"> REF _Ref104805262 \h </w:instrText>
      </w:r>
      <w:r w:rsidRPr="00480790">
        <w:rPr>
          <w:lang w:val="en-AU"/>
        </w:rPr>
      </w:r>
      <w:r w:rsidRPr="00480790">
        <w:rPr>
          <w:lang w:val="en-AU"/>
        </w:rPr>
        <w:fldChar w:fldCharType="separate"/>
      </w:r>
      <w:r w:rsidR="002565BE" w:rsidRPr="00480790">
        <w:t xml:space="preserve">Table </w:t>
      </w:r>
      <w:r w:rsidR="002565BE">
        <w:rPr>
          <w:noProof/>
        </w:rPr>
        <w:t>12</w:t>
      </w:r>
      <w:r w:rsidRPr="00480790">
        <w:rPr>
          <w:lang w:val="en-AU"/>
        </w:rPr>
        <w:fldChar w:fldCharType="end"/>
      </w:r>
      <w:r w:rsidRPr="00480790">
        <w:rPr>
          <w:lang w:val="en-AU"/>
        </w:rPr>
        <w:t xml:space="preserve"> based on projections for lung cancer from the AIHW. The submission claimed that these projections were likely an underestimate since they do not consider the potential increase in incident patients with the introduction of a National Lung Cancer Screening Program starting 1 July 2025 (Australian Government, 2023)</w:t>
      </w:r>
      <w:r w:rsidRPr="00480790">
        <w:rPr>
          <w:rStyle w:val="FootnoteReference"/>
          <w:lang w:val="en-AU"/>
        </w:rPr>
        <w:footnoteReference w:id="40"/>
      </w:r>
      <w:r w:rsidRPr="00480790">
        <w:rPr>
          <w:lang w:val="en-AU"/>
        </w:rPr>
        <w:t xml:space="preserve">. The submission explored the potential impact of the National Lung Cancer Screening Program with a </w:t>
      </w:r>
      <w:r w:rsidRPr="00480790">
        <w:rPr>
          <w:lang w:val="en-AU"/>
        </w:rPr>
        <w:lastRenderedPageBreak/>
        <w:t>sensitivity analysis. In this analysis, the proportion of patients with stage IB (tumours ≥4 cm) to IIIA NSCLC increased from 20.53% to 68%, reflecting the potential increase in early-stage NSCLC detected from a National Lung Cancer Screening Program. However, it seems unlikely that the introduction of the National Lung Cancer Screening Program will affect the number of incident patients or stage distribution, because most patients eligible for alectinib are non-smokers (ALK-positive NSCLC tends to occur in people with never or light smoking history compared with the general NSCLC population), whereas patients eligible for the National Lung Cancer Screening Program will be heavy smokers. Specifically, people will be eligible for the Program if they have a history of at least 30 pack-years of cigarette smoking and are still smoking or have a history of at least 30 pack-years of cigarette smoking and quit in the past 10</w:t>
      </w:r>
      <w:r w:rsidR="00F373B2">
        <w:rPr>
          <w:lang w:val="en-AU"/>
        </w:rPr>
        <w:t> </w:t>
      </w:r>
      <w:r w:rsidRPr="00480790">
        <w:rPr>
          <w:lang w:val="en-AU"/>
        </w:rPr>
        <w:t>years.</w:t>
      </w:r>
      <w:r w:rsidRPr="00480790">
        <w:rPr>
          <w:rStyle w:val="FootnoteReference"/>
          <w:lang w:val="en-AU"/>
        </w:rPr>
        <w:footnoteReference w:id="41"/>
      </w:r>
    </w:p>
    <w:p w14:paraId="01984F4E" w14:textId="62F148EE" w:rsidR="001C256F" w:rsidRPr="00480790" w:rsidRDefault="001C256F" w:rsidP="002843F8">
      <w:pPr>
        <w:pStyle w:val="3-BodyText"/>
        <w:rPr>
          <w:lang w:val="en-AU"/>
        </w:rPr>
      </w:pPr>
      <w:bookmarkStart w:id="90" w:name="_Ref195439664"/>
      <w:r w:rsidRPr="00480790">
        <w:rPr>
          <w:lang w:val="en-AU"/>
        </w:rPr>
        <w:t xml:space="preserve">The submission estimated the proportion of patients with stage IB (tumours ≥4 cm) to IIIA NSCLC who receive surgical resection as 80% taken from the nivolumab PSD (2023) (Table 25, nivolumab PSD, March 2023 PBAC meeting). This was verified as correct. However, </w:t>
      </w:r>
      <w:bookmarkStart w:id="91" w:name="_Hlk188609275"/>
      <w:r w:rsidRPr="00480790">
        <w:rPr>
          <w:lang w:val="en-AU"/>
        </w:rPr>
        <w:t>no evidence was given to support this figure. Nonetheless, the PBAC considered this estimate to be reasonable (Table 25, nivolumab PSD, March</w:t>
      </w:r>
      <w:r w:rsidR="00F373B2">
        <w:rPr>
          <w:lang w:val="en-AU"/>
        </w:rPr>
        <w:t> </w:t>
      </w:r>
      <w:r w:rsidRPr="00480790">
        <w:rPr>
          <w:lang w:val="en-AU"/>
        </w:rPr>
        <w:t>2023 PBAC meeting). This figure was substantially greater than the figure of 55.8% assumed in the recent atezolizumab submission (Table 20, atezolizumab PSD, July 2022 PBAC meeting). Th</w:t>
      </w:r>
      <w:r w:rsidR="00B57F66" w:rsidRPr="00480790">
        <w:rPr>
          <w:lang w:val="en-AU"/>
        </w:rPr>
        <w:t>e atezolizumab figure</w:t>
      </w:r>
      <w:r w:rsidRPr="00480790">
        <w:rPr>
          <w:lang w:val="en-AU"/>
        </w:rPr>
        <w:t xml:space="preserve"> was based on an IQVIA (2021) market research report</w:t>
      </w:r>
      <w:r w:rsidR="00B57F66" w:rsidRPr="00480790">
        <w:rPr>
          <w:lang w:val="en-AU"/>
        </w:rPr>
        <w:t xml:space="preserve"> and at that time</w:t>
      </w:r>
      <w:r w:rsidRPr="00480790">
        <w:rPr>
          <w:lang w:val="en-AU"/>
        </w:rPr>
        <w:t xml:space="preserve"> </w:t>
      </w:r>
      <w:r w:rsidR="00B57F66" w:rsidRPr="00480790">
        <w:rPr>
          <w:lang w:val="en-AU"/>
        </w:rPr>
        <w:t>t</w:t>
      </w:r>
      <w:r w:rsidRPr="00480790">
        <w:rPr>
          <w:lang w:val="en-AU"/>
        </w:rPr>
        <w:t>he PBAC considered this figure reasonable. This value was used as a sensitivity analysis. The current submission value was also substantially greater than the figure of 54.30% assumed in the osimertinib submission (Table 14, osimertinib PSD, November 2023 PBAC meeting). In that submission, the PBAC considered this estimate to be reasonable and consistent with the figure from the atezolizumab submission</w:t>
      </w:r>
      <w:bookmarkEnd w:id="91"/>
      <w:r w:rsidRPr="00480790">
        <w:rPr>
          <w:lang w:val="en-AU"/>
        </w:rPr>
        <w:t xml:space="preserve">. When the proportion of patients was decreased to 55.80%, the net financial impact of listing alectinib was reduced by approximately 30%. </w:t>
      </w:r>
      <w:r w:rsidRPr="00480790">
        <w:rPr>
          <w:iCs/>
          <w:lang w:val="en-AU"/>
        </w:rPr>
        <w:t xml:space="preserve">The PSCR argued </w:t>
      </w:r>
      <w:r w:rsidRPr="00480790">
        <w:rPr>
          <w:rFonts w:ascii="Calibri" w:eastAsia="Calibri" w:hAnsi="Calibri" w:cs="Calibri"/>
          <w:iCs/>
          <w:lang w:val="en-AU"/>
        </w:rPr>
        <w:t>the 55.8% resection rate in the adjuvant atezolizumab submission would be an underestimate for the proposed PBS population for alectinib, as it corresponds to a narrower population that excluded patients with stage IB NSCLC (PSD for atezolizumab 2022); however a sensitivity analysis using this lower estimate was included in the submission</w:t>
      </w:r>
      <w:bookmarkEnd w:id="90"/>
    </w:p>
    <w:p w14:paraId="4B271FE1" w14:textId="192BDD0B" w:rsidR="001C256F" w:rsidRPr="00480790" w:rsidRDefault="001C256F" w:rsidP="002843F8">
      <w:pPr>
        <w:pStyle w:val="3-BodyText"/>
        <w:rPr>
          <w:iCs/>
          <w:lang w:val="en-AU"/>
        </w:rPr>
      </w:pPr>
      <w:bookmarkStart w:id="92" w:name="_Ref199509112"/>
      <w:r w:rsidRPr="00480790">
        <w:rPr>
          <w:lang w:val="en-AU"/>
        </w:rPr>
        <w:t xml:space="preserve">The treatment duration of alectinib was assumed to be 23.9 months. This was the median duration in the ALINA trial, whereas it would have been preferrable to assume the mean of 21.3 months in the ALINA trial. The treatment duration for chemotherapy was incorrectly assumed the same as for alectinib, 23.9 months. This was incorrect for treatment with chemotherapy, which had a maximum treatment duration of 4 cycles x 21 days per cycle = 2.8 months. In the ALINA trial, the mean duration of chemotherapy treatment was 2.0 months. The script volumes for years 2026 to 2030 were too high. The net cost to the government of listing alectinib was underestimated </w:t>
      </w:r>
      <w:r w:rsidRPr="00480790">
        <w:rPr>
          <w:lang w:val="en-AU"/>
        </w:rPr>
        <w:lastRenderedPageBreak/>
        <w:t xml:space="preserve">by 1% over the period 2025-30. Corrected estimates are provided in </w:t>
      </w:r>
      <w:r w:rsidRPr="00480790">
        <w:rPr>
          <w:lang w:val="en-AU"/>
        </w:rPr>
        <w:fldChar w:fldCharType="begin"/>
      </w:r>
      <w:r w:rsidRPr="00480790">
        <w:rPr>
          <w:lang w:val="en-AU"/>
        </w:rPr>
        <w:instrText xml:space="preserve"> REF _Ref104805295 \h  \* MERGEFORMAT </w:instrText>
      </w:r>
      <w:r w:rsidRPr="00480790">
        <w:rPr>
          <w:lang w:val="en-AU"/>
        </w:rPr>
      </w:r>
      <w:r w:rsidRPr="00480790">
        <w:rPr>
          <w:lang w:val="en-AU"/>
        </w:rPr>
        <w:fldChar w:fldCharType="separate"/>
      </w:r>
      <w:r w:rsidR="002565BE" w:rsidRPr="002565BE">
        <w:rPr>
          <w:lang w:val="en-AU"/>
        </w:rPr>
        <w:t>Table 13</w:t>
      </w:r>
      <w:r w:rsidRPr="00480790">
        <w:rPr>
          <w:lang w:val="en-AU"/>
        </w:rPr>
        <w:fldChar w:fldCharType="end"/>
      </w:r>
      <w:r w:rsidRPr="00480790">
        <w:rPr>
          <w:lang w:val="en-AU"/>
        </w:rPr>
        <w:t xml:space="preserve">. </w:t>
      </w:r>
      <w:r w:rsidRPr="00480790">
        <w:rPr>
          <w:iCs/>
          <w:lang w:val="en-AU"/>
        </w:rPr>
        <w:t>The PSCR included a revised financial model with this correction.</w:t>
      </w:r>
      <w:bookmarkEnd w:id="92"/>
    </w:p>
    <w:p w14:paraId="36FECB97" w14:textId="4E2AB598" w:rsidR="001C256F" w:rsidRPr="00480790" w:rsidRDefault="001C256F" w:rsidP="002843F8">
      <w:pPr>
        <w:pStyle w:val="3-BodyText"/>
        <w:rPr>
          <w:lang w:val="en-AU"/>
        </w:rPr>
      </w:pPr>
      <w:r w:rsidRPr="00480790">
        <w:rPr>
          <w:lang w:val="en-AU"/>
        </w:rPr>
        <w:t xml:space="preserve">The submission estimated that </w:t>
      </w:r>
      <w:r w:rsidR="00487E5A" w:rsidRPr="00487E5A">
        <w:rPr>
          <w:color w:val="000000"/>
          <w:w w:val="60"/>
          <w:shd w:val="solid" w:color="000000" w:fill="000000"/>
          <w:fitText w:val="470" w:id="-663539699"/>
          <w:lang w:val="en-AU"/>
          <w14:textFill>
            <w14:solidFill>
              <w14:srgbClr w14:val="000000">
                <w14:alpha w14:val="100000"/>
              </w14:srgbClr>
            </w14:solidFill>
          </w14:textFill>
        </w:rPr>
        <w:t>|||  ||</w:t>
      </w:r>
      <w:r w:rsidR="00487E5A" w:rsidRPr="00487E5A">
        <w:rPr>
          <w:color w:val="000000"/>
          <w:spacing w:val="6"/>
          <w:w w:val="60"/>
          <w:shd w:val="solid" w:color="000000" w:fill="000000"/>
          <w:fitText w:val="470" w:id="-663539699"/>
          <w:lang w:val="en-AU"/>
          <w14:textFill>
            <w14:solidFill>
              <w14:srgbClr w14:val="000000">
                <w14:alpha w14:val="100000"/>
              </w14:srgbClr>
            </w14:solidFill>
          </w14:textFill>
        </w:rPr>
        <w:t>|</w:t>
      </w:r>
      <w:r w:rsidRPr="00480790">
        <w:rPr>
          <w:lang w:val="en-AU"/>
        </w:rPr>
        <w:t xml:space="preserve">% of eligible patients would elect treatment with alectinib, given the significant DFS benefit from treatment. This was uncertain but </w:t>
      </w:r>
      <w:r w:rsidRPr="00480790">
        <w:rPr>
          <w:iCs/>
          <w:lang w:val="en-AU"/>
        </w:rPr>
        <w:t xml:space="preserve">the evaluation considered it may be </w:t>
      </w:r>
      <w:r w:rsidRPr="00480790">
        <w:rPr>
          <w:lang w:val="en-AU"/>
        </w:rPr>
        <w:t>reasonable.</w:t>
      </w:r>
    </w:p>
    <w:p w14:paraId="67D51E6B" w14:textId="60134CB9" w:rsidR="001C256F" w:rsidRPr="00480790" w:rsidRDefault="001C256F" w:rsidP="002843F8">
      <w:pPr>
        <w:pStyle w:val="3-BodyText"/>
        <w:rPr>
          <w:lang w:val="en-AU"/>
        </w:rPr>
      </w:pPr>
      <w:bookmarkStart w:id="93" w:name="_Ref195439666"/>
      <w:r w:rsidRPr="00480790">
        <w:rPr>
          <w:lang w:val="en-AU"/>
        </w:rPr>
        <w:t xml:space="preserve">The submission assumed that cisplatin and pemetrexed would be displaced by the listing of alectinib. In addition, other treatments would be displaced after the listing for alectinib. These include radiotherapy and chemotherapy in locoregional recurrence and brigatinib, alectinib and lorlatinib in distant recurrence, as per the economic analysis. If these treatments were included in the financial analysis, the net financial impact of listing alectinib would reduce because there would be less use of these subsequent treatments in the alectinib arm compared to the chemotherapy arm. </w:t>
      </w:r>
      <w:r w:rsidRPr="00480790">
        <w:rPr>
          <w:iCs/>
          <w:lang w:val="en-AU"/>
        </w:rPr>
        <w:t xml:space="preserve">The PSCR argued </w:t>
      </w:r>
      <w:r w:rsidRPr="00480790">
        <w:rPr>
          <w:rFonts w:ascii="Calibri" w:eastAsia="Calibri" w:hAnsi="Calibri" w:cs="Calibri"/>
          <w:iCs/>
          <w:lang w:val="en-AU"/>
        </w:rPr>
        <w:t>PBS listing of alectinib in the adjuvant setting should not preclude treatment with an ALK TKI (including lorlatinib, brigatinib, and alectinib) upon progression to locally advanced/metastatic NSCLC. However, ESC noted that the efficacy of adjuvant treatment with alectinib may result in reduced need for treatment in these late line settings and some savings may be expected.</w:t>
      </w:r>
      <w:bookmarkEnd w:id="93"/>
      <w:r w:rsidRPr="00480790">
        <w:rPr>
          <w:rFonts w:ascii="Calibri" w:eastAsia="Calibri" w:hAnsi="Calibri" w:cs="Calibri"/>
          <w:iCs/>
          <w:lang w:val="en-AU"/>
        </w:rPr>
        <w:t xml:space="preserve"> </w:t>
      </w:r>
    </w:p>
    <w:p w14:paraId="75FCE268" w14:textId="77777777" w:rsidR="001C256F" w:rsidRPr="00480790" w:rsidRDefault="001C256F" w:rsidP="002843F8">
      <w:pPr>
        <w:pStyle w:val="3-BodyText"/>
        <w:rPr>
          <w:lang w:val="en-AU"/>
        </w:rPr>
      </w:pPr>
      <w:r w:rsidRPr="00480790">
        <w:rPr>
          <w:lang w:val="en-AU"/>
        </w:rPr>
        <w:t>The submission did not consider the costs of treating adverse events. When these costs were included in the analysis, the net cost to the PBS/RPBS reduced by approximately 0.5%.</w:t>
      </w:r>
    </w:p>
    <w:p w14:paraId="0186B36F" w14:textId="5E67E969" w:rsidR="001C256F" w:rsidRPr="00480790" w:rsidRDefault="001C256F" w:rsidP="002843F8">
      <w:pPr>
        <w:pStyle w:val="3-BodyText"/>
        <w:rPr>
          <w:lang w:val="en-AU"/>
        </w:rPr>
      </w:pPr>
      <w:r w:rsidRPr="00480790">
        <w:rPr>
          <w:lang w:val="en-AU"/>
        </w:rPr>
        <w:fldChar w:fldCharType="begin"/>
      </w:r>
      <w:r w:rsidRPr="00480790">
        <w:rPr>
          <w:lang w:val="en-AU"/>
        </w:rPr>
        <w:instrText xml:space="preserve"> REF _Ref104805295 \h  \* MERGEFORMAT </w:instrText>
      </w:r>
      <w:r w:rsidRPr="00480790">
        <w:rPr>
          <w:lang w:val="en-AU"/>
        </w:rPr>
      </w:r>
      <w:r w:rsidRPr="00480790">
        <w:rPr>
          <w:lang w:val="en-AU"/>
        </w:rPr>
        <w:fldChar w:fldCharType="separate"/>
      </w:r>
      <w:r w:rsidR="002565BE" w:rsidRPr="002565BE">
        <w:rPr>
          <w:lang w:val="en-AU"/>
        </w:rPr>
        <w:t>Table 13</w:t>
      </w:r>
      <w:r w:rsidRPr="00480790">
        <w:rPr>
          <w:lang w:val="en-AU"/>
        </w:rPr>
        <w:fldChar w:fldCharType="end"/>
      </w:r>
      <w:r w:rsidRPr="00480790">
        <w:rPr>
          <w:lang w:val="en-AU"/>
        </w:rPr>
        <w:t xml:space="preserve"> gives the estimated use and financial implications of listing alectinib.</w:t>
      </w:r>
    </w:p>
    <w:p w14:paraId="279E6259" w14:textId="1B2D3942" w:rsidR="001C256F" w:rsidRPr="00480790" w:rsidRDefault="001C256F" w:rsidP="00751EBB">
      <w:pPr>
        <w:pStyle w:val="Caption"/>
        <w:jc w:val="left"/>
      </w:pPr>
      <w:bookmarkStart w:id="94" w:name="_Ref104805295"/>
      <w:r w:rsidRPr="00480790">
        <w:t xml:space="preserve">Table </w:t>
      </w:r>
      <w:r w:rsidRPr="00480790">
        <w:fldChar w:fldCharType="begin"/>
      </w:r>
      <w:r w:rsidRPr="00480790">
        <w:instrText xml:space="preserve"> SEQ Table \* ARABIC </w:instrText>
      </w:r>
      <w:r w:rsidRPr="00480790">
        <w:fldChar w:fldCharType="separate"/>
      </w:r>
      <w:r w:rsidR="002565BE">
        <w:rPr>
          <w:noProof/>
        </w:rPr>
        <w:t>13</w:t>
      </w:r>
      <w:r w:rsidRPr="00480790">
        <w:fldChar w:fldCharType="end"/>
      </w:r>
      <w:bookmarkEnd w:id="94"/>
      <w:r w:rsidRPr="00480790">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AB01EA" w:rsidRPr="00480790" w14:paraId="3E611B37" w14:textId="77777777">
        <w:trPr>
          <w:tblHeader/>
        </w:trPr>
        <w:tc>
          <w:tcPr>
            <w:tcW w:w="1334" w:type="pct"/>
            <w:shd w:val="clear" w:color="auto" w:fill="auto"/>
            <w:vAlign w:val="center"/>
          </w:tcPr>
          <w:p w14:paraId="022FAC94" w14:textId="77777777" w:rsidR="001C256F" w:rsidRPr="00480790" w:rsidRDefault="001C256F" w:rsidP="00751EBB">
            <w:pPr>
              <w:pStyle w:val="In-tableHeading"/>
              <w:jc w:val="center"/>
              <w:rPr>
                <w:rStyle w:val="CommentReference"/>
                <w:b/>
                <w:szCs w:val="24"/>
                <w:lang w:val="en-AU"/>
              </w:rPr>
            </w:pPr>
          </w:p>
        </w:tc>
        <w:tc>
          <w:tcPr>
            <w:tcW w:w="611" w:type="pct"/>
            <w:shd w:val="clear" w:color="auto" w:fill="auto"/>
            <w:vAlign w:val="center"/>
          </w:tcPr>
          <w:p w14:paraId="79FC6A3D" w14:textId="77777777" w:rsidR="001C256F" w:rsidRPr="00480790" w:rsidRDefault="001C256F" w:rsidP="00751EBB">
            <w:pPr>
              <w:pStyle w:val="In-tableHeading"/>
              <w:jc w:val="center"/>
              <w:rPr>
                <w:rStyle w:val="CommentReference"/>
                <w:b/>
                <w:szCs w:val="24"/>
                <w:lang w:val="en-AU"/>
              </w:rPr>
            </w:pPr>
            <w:r w:rsidRPr="00480790">
              <w:rPr>
                <w:rStyle w:val="CommentReference"/>
                <w:b/>
                <w:szCs w:val="24"/>
                <w:lang w:val="en-AU"/>
              </w:rPr>
              <w:t>Year 1</w:t>
            </w:r>
          </w:p>
        </w:tc>
        <w:tc>
          <w:tcPr>
            <w:tcW w:w="611" w:type="pct"/>
            <w:shd w:val="clear" w:color="auto" w:fill="auto"/>
            <w:vAlign w:val="center"/>
          </w:tcPr>
          <w:p w14:paraId="63849EC2" w14:textId="77777777" w:rsidR="001C256F" w:rsidRPr="00480790" w:rsidRDefault="001C256F" w:rsidP="00751EBB">
            <w:pPr>
              <w:pStyle w:val="In-tableHeading"/>
              <w:jc w:val="center"/>
              <w:rPr>
                <w:rStyle w:val="CommentReference"/>
                <w:b/>
                <w:szCs w:val="24"/>
                <w:lang w:val="en-AU"/>
              </w:rPr>
            </w:pPr>
            <w:r w:rsidRPr="00480790">
              <w:rPr>
                <w:rStyle w:val="CommentReference"/>
                <w:b/>
                <w:szCs w:val="24"/>
                <w:lang w:val="en-AU"/>
              </w:rPr>
              <w:t>Year 2</w:t>
            </w:r>
          </w:p>
        </w:tc>
        <w:tc>
          <w:tcPr>
            <w:tcW w:w="611" w:type="pct"/>
            <w:shd w:val="clear" w:color="auto" w:fill="auto"/>
            <w:vAlign w:val="center"/>
          </w:tcPr>
          <w:p w14:paraId="71CB63B2" w14:textId="77777777" w:rsidR="001C256F" w:rsidRPr="00480790" w:rsidRDefault="001C256F" w:rsidP="00751EBB">
            <w:pPr>
              <w:pStyle w:val="In-tableHeading"/>
              <w:jc w:val="center"/>
              <w:rPr>
                <w:rStyle w:val="CommentReference"/>
                <w:b/>
                <w:szCs w:val="24"/>
                <w:lang w:val="en-AU"/>
              </w:rPr>
            </w:pPr>
            <w:r w:rsidRPr="00480790">
              <w:rPr>
                <w:rStyle w:val="CommentReference"/>
                <w:b/>
                <w:szCs w:val="24"/>
                <w:lang w:val="en-AU"/>
              </w:rPr>
              <w:t>Year 3</w:t>
            </w:r>
          </w:p>
        </w:tc>
        <w:tc>
          <w:tcPr>
            <w:tcW w:w="611" w:type="pct"/>
            <w:shd w:val="clear" w:color="auto" w:fill="auto"/>
            <w:vAlign w:val="center"/>
          </w:tcPr>
          <w:p w14:paraId="22BCA119" w14:textId="77777777" w:rsidR="001C256F" w:rsidRPr="00480790" w:rsidRDefault="001C256F" w:rsidP="00751EBB">
            <w:pPr>
              <w:pStyle w:val="In-tableHeading"/>
              <w:jc w:val="center"/>
              <w:rPr>
                <w:rStyle w:val="CommentReference"/>
                <w:b/>
                <w:szCs w:val="24"/>
                <w:lang w:val="en-AU"/>
              </w:rPr>
            </w:pPr>
            <w:r w:rsidRPr="00480790">
              <w:rPr>
                <w:rStyle w:val="CommentReference"/>
                <w:b/>
                <w:szCs w:val="24"/>
                <w:lang w:val="en-AU"/>
              </w:rPr>
              <w:t>Year 4</w:t>
            </w:r>
          </w:p>
        </w:tc>
        <w:tc>
          <w:tcPr>
            <w:tcW w:w="611" w:type="pct"/>
            <w:shd w:val="clear" w:color="auto" w:fill="auto"/>
            <w:vAlign w:val="center"/>
          </w:tcPr>
          <w:p w14:paraId="397CF242" w14:textId="77777777" w:rsidR="001C256F" w:rsidRPr="00480790" w:rsidRDefault="001C256F" w:rsidP="00751EBB">
            <w:pPr>
              <w:pStyle w:val="In-tableHeading"/>
              <w:jc w:val="center"/>
              <w:rPr>
                <w:rStyle w:val="CommentReference"/>
                <w:b/>
                <w:szCs w:val="24"/>
                <w:lang w:val="en-AU"/>
              </w:rPr>
            </w:pPr>
            <w:r w:rsidRPr="00480790">
              <w:rPr>
                <w:rStyle w:val="CommentReference"/>
                <w:b/>
                <w:szCs w:val="24"/>
                <w:lang w:val="en-AU"/>
              </w:rPr>
              <w:t>Year 5</w:t>
            </w:r>
          </w:p>
        </w:tc>
        <w:tc>
          <w:tcPr>
            <w:tcW w:w="611" w:type="pct"/>
          </w:tcPr>
          <w:p w14:paraId="09668DF8" w14:textId="77777777" w:rsidR="001C256F" w:rsidRPr="00480790" w:rsidRDefault="001C256F" w:rsidP="00751EBB">
            <w:pPr>
              <w:pStyle w:val="In-tableHeading"/>
              <w:jc w:val="center"/>
              <w:rPr>
                <w:rStyle w:val="CommentReference"/>
                <w:b/>
                <w:szCs w:val="24"/>
                <w:lang w:val="en-AU"/>
              </w:rPr>
            </w:pPr>
            <w:r w:rsidRPr="00480790">
              <w:rPr>
                <w:rStyle w:val="CommentReference"/>
                <w:b/>
                <w:szCs w:val="24"/>
                <w:lang w:val="en-AU"/>
              </w:rPr>
              <w:t>Year 6</w:t>
            </w:r>
          </w:p>
        </w:tc>
      </w:tr>
      <w:tr w:rsidR="00AB01EA" w:rsidRPr="00480790" w14:paraId="63B4B4BA" w14:textId="77777777">
        <w:tc>
          <w:tcPr>
            <w:tcW w:w="5000" w:type="pct"/>
            <w:gridSpan w:val="7"/>
            <w:shd w:val="clear" w:color="auto" w:fill="auto"/>
            <w:vAlign w:val="center"/>
          </w:tcPr>
          <w:p w14:paraId="2E5DE8B2" w14:textId="77777777" w:rsidR="001C256F" w:rsidRPr="00480790" w:rsidRDefault="001C256F" w:rsidP="00751EBB">
            <w:pPr>
              <w:pStyle w:val="In-tableHeading"/>
              <w:rPr>
                <w:bCs/>
                <w:lang w:val="en-AU"/>
              </w:rPr>
            </w:pPr>
            <w:r w:rsidRPr="00480790">
              <w:rPr>
                <w:bCs/>
                <w:lang w:val="en-AU"/>
              </w:rPr>
              <w:t>Estimated extent of use</w:t>
            </w:r>
          </w:p>
        </w:tc>
      </w:tr>
      <w:tr w:rsidR="00AB01EA" w:rsidRPr="00480790" w14:paraId="5E01B11A" w14:textId="77777777">
        <w:tc>
          <w:tcPr>
            <w:tcW w:w="1334" w:type="pct"/>
            <w:shd w:val="clear" w:color="auto" w:fill="auto"/>
            <w:vAlign w:val="center"/>
          </w:tcPr>
          <w:p w14:paraId="26862906" w14:textId="77777777" w:rsidR="001C256F" w:rsidRPr="00480790" w:rsidRDefault="001C256F" w:rsidP="00751EBB">
            <w:pPr>
              <w:pStyle w:val="TableText0"/>
              <w:rPr>
                <w:rFonts w:ascii="Times" w:hAnsi="Times"/>
              </w:rPr>
            </w:pPr>
            <w:r w:rsidRPr="00480790">
              <w:t>Number of patients treated</w:t>
            </w:r>
          </w:p>
        </w:tc>
        <w:tc>
          <w:tcPr>
            <w:tcW w:w="611" w:type="pct"/>
            <w:shd w:val="clear" w:color="auto" w:fill="auto"/>
          </w:tcPr>
          <w:p w14:paraId="03E0A2C6" w14:textId="7A85E8FF" w:rsidR="001C256F" w:rsidRPr="002214E6" w:rsidRDefault="00487E5A" w:rsidP="00751EBB">
            <w:pPr>
              <w:pStyle w:val="TableText0"/>
              <w:jc w:val="center"/>
              <w:rPr>
                <w:vertAlign w:val="superscript"/>
              </w:rPr>
            </w:pPr>
            <w:r w:rsidRPr="00487E5A">
              <w:rPr>
                <w:color w:val="000000"/>
                <w:spacing w:val="53"/>
                <w:shd w:val="solid" w:color="000000" w:fill="000000"/>
                <w:fitText w:val="330" w:id="-663539698"/>
                <w14:textFill>
                  <w14:solidFill>
                    <w14:srgbClr w14:val="000000">
                      <w14:alpha w14:val="100000"/>
                    </w14:srgbClr>
                  </w14:solidFill>
                </w14:textFill>
              </w:rPr>
              <w:t>|||</w:t>
            </w:r>
            <w:r w:rsidRPr="00487E5A">
              <w:rPr>
                <w:color w:val="000000"/>
                <w:spacing w:val="1"/>
                <w:shd w:val="solid" w:color="000000" w:fill="000000"/>
                <w:fitText w:val="330" w:id="-663539698"/>
                <w14:textFill>
                  <w14:solidFill>
                    <w14:srgbClr w14:val="000000">
                      <w14:alpha w14:val="100000"/>
                    </w14:srgbClr>
                  </w14:solidFill>
                </w14:textFill>
              </w:rPr>
              <w:t>|</w:t>
            </w:r>
            <w:r w:rsidR="002214E6">
              <w:t xml:space="preserve"> </w:t>
            </w:r>
            <w:r w:rsidR="002214E6">
              <w:rPr>
                <w:vertAlign w:val="superscript"/>
              </w:rPr>
              <w:t>3</w:t>
            </w:r>
          </w:p>
        </w:tc>
        <w:tc>
          <w:tcPr>
            <w:tcW w:w="611" w:type="pct"/>
            <w:shd w:val="clear" w:color="auto" w:fill="auto"/>
          </w:tcPr>
          <w:p w14:paraId="5BD1465E" w14:textId="02FBAD2C" w:rsidR="001C256F" w:rsidRPr="00480790" w:rsidRDefault="009F11D4" w:rsidP="00751EBB">
            <w:pPr>
              <w:pStyle w:val="TableText0"/>
              <w:jc w:val="center"/>
            </w:pPr>
            <w:r w:rsidRPr="009F11D4">
              <w:rPr>
                <w:color w:val="000000"/>
                <w:shd w:val="solid" w:color="000000" w:fill="000000"/>
                <w14:textFill>
                  <w14:solidFill>
                    <w14:srgbClr w14:val="000000">
                      <w14:alpha w14:val="100000"/>
                    </w14:srgbClr>
                  </w14:solidFill>
                </w14:textFill>
              </w:rPr>
              <w:t>|</w:t>
            </w:r>
            <w:r w:rsidR="002214E6">
              <w:t xml:space="preserve"> </w:t>
            </w:r>
            <w:r w:rsidR="002214E6">
              <w:rPr>
                <w:vertAlign w:val="superscript"/>
              </w:rPr>
              <w:t>3</w:t>
            </w:r>
          </w:p>
        </w:tc>
        <w:tc>
          <w:tcPr>
            <w:tcW w:w="611" w:type="pct"/>
            <w:shd w:val="clear" w:color="auto" w:fill="auto"/>
          </w:tcPr>
          <w:p w14:paraId="06856615" w14:textId="4ACA2855" w:rsidR="001C256F" w:rsidRPr="00480790" w:rsidRDefault="00487E5A" w:rsidP="00751EBB">
            <w:pPr>
              <w:pStyle w:val="TableText0"/>
              <w:jc w:val="center"/>
            </w:pPr>
            <w:r w:rsidRPr="00487E5A">
              <w:rPr>
                <w:color w:val="000000"/>
                <w:spacing w:val="53"/>
                <w:shd w:val="solid" w:color="000000" w:fill="000000"/>
                <w:fitText w:val="330" w:id="-663539697"/>
                <w14:textFill>
                  <w14:solidFill>
                    <w14:srgbClr w14:val="000000">
                      <w14:alpha w14:val="100000"/>
                    </w14:srgbClr>
                  </w14:solidFill>
                </w14:textFill>
              </w:rPr>
              <w:t>|||</w:t>
            </w:r>
            <w:r w:rsidRPr="00487E5A">
              <w:rPr>
                <w:color w:val="000000"/>
                <w:spacing w:val="1"/>
                <w:shd w:val="solid" w:color="000000" w:fill="000000"/>
                <w:fitText w:val="330" w:id="-663539697"/>
                <w14:textFill>
                  <w14:solidFill>
                    <w14:srgbClr w14:val="000000">
                      <w14:alpha w14:val="100000"/>
                    </w14:srgbClr>
                  </w14:solidFill>
                </w14:textFill>
              </w:rPr>
              <w:t>|</w:t>
            </w:r>
            <w:r w:rsidR="002214E6">
              <w:t xml:space="preserve"> </w:t>
            </w:r>
            <w:r w:rsidR="002214E6">
              <w:rPr>
                <w:vertAlign w:val="superscript"/>
              </w:rPr>
              <w:t>3</w:t>
            </w:r>
          </w:p>
        </w:tc>
        <w:tc>
          <w:tcPr>
            <w:tcW w:w="611" w:type="pct"/>
            <w:shd w:val="clear" w:color="auto" w:fill="auto"/>
          </w:tcPr>
          <w:p w14:paraId="46A9F69D" w14:textId="32E54B74" w:rsidR="001C256F" w:rsidRPr="00480790" w:rsidRDefault="00487E5A" w:rsidP="00751EBB">
            <w:pPr>
              <w:pStyle w:val="TableText0"/>
              <w:jc w:val="center"/>
            </w:pPr>
            <w:r w:rsidRPr="00487E5A">
              <w:rPr>
                <w:color w:val="000000"/>
                <w:spacing w:val="53"/>
                <w:shd w:val="solid" w:color="000000" w:fill="000000"/>
                <w:fitText w:val="330" w:id="-663539696"/>
                <w14:textFill>
                  <w14:solidFill>
                    <w14:srgbClr w14:val="000000">
                      <w14:alpha w14:val="100000"/>
                    </w14:srgbClr>
                  </w14:solidFill>
                </w14:textFill>
              </w:rPr>
              <w:t>|||</w:t>
            </w:r>
            <w:r w:rsidRPr="00487E5A">
              <w:rPr>
                <w:color w:val="000000"/>
                <w:spacing w:val="1"/>
                <w:shd w:val="solid" w:color="000000" w:fill="000000"/>
                <w:fitText w:val="330" w:id="-663539696"/>
                <w14:textFill>
                  <w14:solidFill>
                    <w14:srgbClr w14:val="000000">
                      <w14:alpha w14:val="100000"/>
                    </w14:srgbClr>
                  </w14:solidFill>
                </w14:textFill>
              </w:rPr>
              <w:t>|</w:t>
            </w:r>
            <w:r w:rsidR="002214E6">
              <w:t xml:space="preserve"> </w:t>
            </w:r>
            <w:r w:rsidR="002214E6">
              <w:rPr>
                <w:vertAlign w:val="superscript"/>
              </w:rPr>
              <w:t>3</w:t>
            </w:r>
          </w:p>
        </w:tc>
        <w:tc>
          <w:tcPr>
            <w:tcW w:w="611" w:type="pct"/>
            <w:shd w:val="clear" w:color="auto" w:fill="auto"/>
          </w:tcPr>
          <w:p w14:paraId="0166CDB7" w14:textId="65F41DAD" w:rsidR="001C256F" w:rsidRPr="00480790" w:rsidRDefault="00487E5A" w:rsidP="00751EBB">
            <w:pPr>
              <w:pStyle w:val="TableText0"/>
              <w:jc w:val="center"/>
            </w:pPr>
            <w:r w:rsidRPr="00487E5A">
              <w:rPr>
                <w:color w:val="000000"/>
                <w:spacing w:val="53"/>
                <w:shd w:val="solid" w:color="000000" w:fill="000000"/>
                <w:fitText w:val="330" w:id="-663539712"/>
                <w14:textFill>
                  <w14:solidFill>
                    <w14:srgbClr w14:val="000000">
                      <w14:alpha w14:val="100000"/>
                    </w14:srgbClr>
                  </w14:solidFill>
                </w14:textFill>
              </w:rPr>
              <w:t>|||</w:t>
            </w:r>
            <w:r w:rsidRPr="00487E5A">
              <w:rPr>
                <w:color w:val="000000"/>
                <w:spacing w:val="1"/>
                <w:shd w:val="solid" w:color="000000" w:fill="000000"/>
                <w:fitText w:val="330" w:id="-663539712"/>
                <w14:textFill>
                  <w14:solidFill>
                    <w14:srgbClr w14:val="000000">
                      <w14:alpha w14:val="100000"/>
                    </w14:srgbClr>
                  </w14:solidFill>
                </w14:textFill>
              </w:rPr>
              <w:t>|</w:t>
            </w:r>
            <w:r w:rsidR="002214E6">
              <w:t xml:space="preserve"> </w:t>
            </w:r>
            <w:r w:rsidR="002214E6">
              <w:rPr>
                <w:vertAlign w:val="superscript"/>
              </w:rPr>
              <w:t>3</w:t>
            </w:r>
          </w:p>
        </w:tc>
        <w:tc>
          <w:tcPr>
            <w:tcW w:w="611" w:type="pct"/>
          </w:tcPr>
          <w:p w14:paraId="5FEE8F70" w14:textId="52EF6E1C" w:rsidR="001C256F" w:rsidRPr="00480790" w:rsidRDefault="00487E5A" w:rsidP="00751EBB">
            <w:pPr>
              <w:pStyle w:val="TableText0"/>
              <w:jc w:val="center"/>
            </w:pPr>
            <w:r w:rsidRPr="00487E5A">
              <w:rPr>
                <w:color w:val="000000"/>
                <w:spacing w:val="53"/>
                <w:shd w:val="solid" w:color="000000" w:fill="000000"/>
                <w:fitText w:val="330" w:id="-663539711"/>
                <w14:textFill>
                  <w14:solidFill>
                    <w14:srgbClr w14:val="000000">
                      <w14:alpha w14:val="100000"/>
                    </w14:srgbClr>
                  </w14:solidFill>
                </w14:textFill>
              </w:rPr>
              <w:t>|||</w:t>
            </w:r>
            <w:r w:rsidRPr="00487E5A">
              <w:rPr>
                <w:color w:val="000000"/>
                <w:spacing w:val="1"/>
                <w:shd w:val="solid" w:color="000000" w:fill="000000"/>
                <w:fitText w:val="330" w:id="-663539711"/>
                <w14:textFill>
                  <w14:solidFill>
                    <w14:srgbClr w14:val="000000">
                      <w14:alpha w14:val="100000"/>
                    </w14:srgbClr>
                  </w14:solidFill>
                </w14:textFill>
              </w:rPr>
              <w:t>|</w:t>
            </w:r>
            <w:r w:rsidR="002214E6">
              <w:t xml:space="preserve"> </w:t>
            </w:r>
            <w:r w:rsidR="002214E6">
              <w:rPr>
                <w:vertAlign w:val="superscript"/>
              </w:rPr>
              <w:t>3</w:t>
            </w:r>
          </w:p>
        </w:tc>
      </w:tr>
      <w:tr w:rsidR="00AB01EA" w:rsidRPr="00480790" w14:paraId="7C831A95" w14:textId="77777777">
        <w:tc>
          <w:tcPr>
            <w:tcW w:w="1334" w:type="pct"/>
            <w:shd w:val="clear" w:color="auto" w:fill="auto"/>
            <w:vAlign w:val="center"/>
          </w:tcPr>
          <w:p w14:paraId="01F40997" w14:textId="77777777" w:rsidR="001C256F" w:rsidRPr="00480790" w:rsidRDefault="001C256F" w:rsidP="00751EBB">
            <w:pPr>
              <w:pStyle w:val="TableText0"/>
              <w:rPr>
                <w:rFonts w:ascii="Times" w:hAnsi="Times"/>
              </w:rPr>
            </w:pPr>
            <w:r w:rsidRPr="00480790">
              <w:t>Number of scripts dispensed</w:t>
            </w:r>
            <w:r w:rsidRPr="00480790">
              <w:rPr>
                <w:vertAlign w:val="superscript"/>
              </w:rPr>
              <w:t>1</w:t>
            </w:r>
          </w:p>
        </w:tc>
        <w:tc>
          <w:tcPr>
            <w:tcW w:w="611" w:type="pct"/>
            <w:shd w:val="clear" w:color="auto" w:fill="auto"/>
          </w:tcPr>
          <w:p w14:paraId="0A20A2DA" w14:textId="1669A03C" w:rsidR="001C256F" w:rsidRPr="00480790" w:rsidRDefault="00487E5A" w:rsidP="00751EBB">
            <w:pPr>
              <w:pStyle w:val="TableText0"/>
              <w:jc w:val="center"/>
            </w:pPr>
            <w:r w:rsidRPr="00487E5A">
              <w:rPr>
                <w:color w:val="000000"/>
                <w:spacing w:val="53"/>
                <w:shd w:val="solid" w:color="000000" w:fill="000000"/>
                <w:fitText w:val="330" w:id="-663539710"/>
                <w14:textFill>
                  <w14:solidFill>
                    <w14:srgbClr w14:val="000000">
                      <w14:alpha w14:val="100000"/>
                    </w14:srgbClr>
                  </w14:solidFill>
                </w14:textFill>
              </w:rPr>
              <w:t>|||</w:t>
            </w:r>
            <w:r w:rsidRPr="00487E5A">
              <w:rPr>
                <w:color w:val="000000"/>
                <w:spacing w:val="1"/>
                <w:shd w:val="solid" w:color="000000" w:fill="000000"/>
                <w:fitText w:val="330" w:id="-663539710"/>
                <w14:textFill>
                  <w14:solidFill>
                    <w14:srgbClr w14:val="000000">
                      <w14:alpha w14:val="100000"/>
                    </w14:srgbClr>
                  </w14:solidFill>
                </w14:textFill>
              </w:rPr>
              <w:t>|</w:t>
            </w:r>
            <w:r w:rsidR="00785B6D">
              <w:t xml:space="preserve"> </w:t>
            </w:r>
            <w:r w:rsidR="00785B6D">
              <w:rPr>
                <w:vertAlign w:val="superscript"/>
              </w:rPr>
              <w:t>4</w:t>
            </w:r>
          </w:p>
        </w:tc>
        <w:tc>
          <w:tcPr>
            <w:tcW w:w="611" w:type="pct"/>
            <w:shd w:val="clear" w:color="auto" w:fill="auto"/>
          </w:tcPr>
          <w:p w14:paraId="21143322" w14:textId="435921F1" w:rsidR="001C256F" w:rsidRPr="00480790" w:rsidRDefault="00487E5A" w:rsidP="00751EBB">
            <w:pPr>
              <w:pStyle w:val="TableText0"/>
              <w:jc w:val="center"/>
            </w:pPr>
            <w:r w:rsidRPr="00487E5A">
              <w:rPr>
                <w:color w:val="000000"/>
                <w:spacing w:val="53"/>
                <w:shd w:val="solid" w:color="000000" w:fill="000000"/>
                <w:fitText w:val="330" w:id="-663539709"/>
                <w14:textFill>
                  <w14:solidFill>
                    <w14:srgbClr w14:val="000000">
                      <w14:alpha w14:val="100000"/>
                    </w14:srgbClr>
                  </w14:solidFill>
                </w14:textFill>
              </w:rPr>
              <w:t>|||</w:t>
            </w:r>
            <w:r w:rsidRPr="00487E5A">
              <w:rPr>
                <w:color w:val="000000"/>
                <w:spacing w:val="1"/>
                <w:shd w:val="solid" w:color="000000" w:fill="000000"/>
                <w:fitText w:val="330" w:id="-663539709"/>
                <w14:textFill>
                  <w14:solidFill>
                    <w14:srgbClr w14:val="000000">
                      <w14:alpha w14:val="100000"/>
                    </w14:srgbClr>
                  </w14:solidFill>
                </w14:textFill>
              </w:rPr>
              <w:t>|</w:t>
            </w:r>
            <w:r w:rsidR="00785B6D">
              <w:t xml:space="preserve"> </w:t>
            </w:r>
            <w:r w:rsidR="00785B6D">
              <w:rPr>
                <w:vertAlign w:val="superscript"/>
              </w:rPr>
              <w:t>4</w:t>
            </w:r>
          </w:p>
        </w:tc>
        <w:tc>
          <w:tcPr>
            <w:tcW w:w="611" w:type="pct"/>
            <w:shd w:val="clear" w:color="auto" w:fill="auto"/>
          </w:tcPr>
          <w:p w14:paraId="1EFA50B9" w14:textId="3CBEEADF" w:rsidR="001C256F" w:rsidRPr="00480790" w:rsidRDefault="00487E5A" w:rsidP="00751EBB">
            <w:pPr>
              <w:pStyle w:val="TableText0"/>
              <w:jc w:val="center"/>
            </w:pPr>
            <w:r w:rsidRPr="00487E5A">
              <w:rPr>
                <w:color w:val="000000"/>
                <w:spacing w:val="53"/>
                <w:shd w:val="solid" w:color="000000" w:fill="000000"/>
                <w:fitText w:val="330" w:id="-663539708"/>
                <w14:textFill>
                  <w14:solidFill>
                    <w14:srgbClr w14:val="000000">
                      <w14:alpha w14:val="100000"/>
                    </w14:srgbClr>
                  </w14:solidFill>
                </w14:textFill>
              </w:rPr>
              <w:t>|||</w:t>
            </w:r>
            <w:r w:rsidRPr="00487E5A">
              <w:rPr>
                <w:color w:val="000000"/>
                <w:spacing w:val="1"/>
                <w:shd w:val="solid" w:color="000000" w:fill="000000"/>
                <w:fitText w:val="330" w:id="-663539708"/>
                <w14:textFill>
                  <w14:solidFill>
                    <w14:srgbClr w14:val="000000">
                      <w14:alpha w14:val="100000"/>
                    </w14:srgbClr>
                  </w14:solidFill>
                </w14:textFill>
              </w:rPr>
              <w:t>|</w:t>
            </w:r>
            <w:r w:rsidR="00785B6D">
              <w:t xml:space="preserve"> </w:t>
            </w:r>
            <w:r w:rsidR="00785B6D">
              <w:rPr>
                <w:vertAlign w:val="superscript"/>
              </w:rPr>
              <w:t>4</w:t>
            </w:r>
          </w:p>
        </w:tc>
        <w:tc>
          <w:tcPr>
            <w:tcW w:w="611" w:type="pct"/>
            <w:shd w:val="clear" w:color="auto" w:fill="auto"/>
          </w:tcPr>
          <w:p w14:paraId="03F78857" w14:textId="3B8D5B81" w:rsidR="001C256F" w:rsidRPr="00480790" w:rsidRDefault="00487E5A" w:rsidP="00751EBB">
            <w:pPr>
              <w:pStyle w:val="TableText0"/>
              <w:jc w:val="center"/>
            </w:pPr>
            <w:r w:rsidRPr="00487E5A">
              <w:rPr>
                <w:color w:val="000000"/>
                <w:spacing w:val="53"/>
                <w:shd w:val="solid" w:color="000000" w:fill="000000"/>
                <w:fitText w:val="330" w:id="-663539707"/>
                <w14:textFill>
                  <w14:solidFill>
                    <w14:srgbClr w14:val="000000">
                      <w14:alpha w14:val="100000"/>
                    </w14:srgbClr>
                  </w14:solidFill>
                </w14:textFill>
              </w:rPr>
              <w:t>|||</w:t>
            </w:r>
            <w:r w:rsidRPr="00487E5A">
              <w:rPr>
                <w:color w:val="000000"/>
                <w:spacing w:val="1"/>
                <w:shd w:val="solid" w:color="000000" w:fill="000000"/>
                <w:fitText w:val="330" w:id="-663539707"/>
                <w14:textFill>
                  <w14:solidFill>
                    <w14:srgbClr w14:val="000000">
                      <w14:alpha w14:val="100000"/>
                    </w14:srgbClr>
                  </w14:solidFill>
                </w14:textFill>
              </w:rPr>
              <w:t>|</w:t>
            </w:r>
            <w:r w:rsidR="00785B6D">
              <w:t xml:space="preserve"> </w:t>
            </w:r>
            <w:r w:rsidR="00785B6D">
              <w:rPr>
                <w:vertAlign w:val="superscript"/>
              </w:rPr>
              <w:t>4</w:t>
            </w:r>
          </w:p>
        </w:tc>
        <w:tc>
          <w:tcPr>
            <w:tcW w:w="611" w:type="pct"/>
            <w:shd w:val="clear" w:color="auto" w:fill="auto"/>
          </w:tcPr>
          <w:p w14:paraId="4A361323" w14:textId="6A88AA2E" w:rsidR="001C256F" w:rsidRPr="00480790" w:rsidRDefault="00487E5A" w:rsidP="00751EBB">
            <w:pPr>
              <w:pStyle w:val="TableText0"/>
              <w:jc w:val="center"/>
            </w:pPr>
            <w:r w:rsidRPr="00487E5A">
              <w:rPr>
                <w:color w:val="000000"/>
                <w:spacing w:val="53"/>
                <w:shd w:val="solid" w:color="000000" w:fill="000000"/>
                <w:fitText w:val="330" w:id="-663539706"/>
                <w14:textFill>
                  <w14:solidFill>
                    <w14:srgbClr w14:val="000000">
                      <w14:alpha w14:val="100000"/>
                    </w14:srgbClr>
                  </w14:solidFill>
                </w14:textFill>
              </w:rPr>
              <w:t>|||</w:t>
            </w:r>
            <w:r w:rsidRPr="00487E5A">
              <w:rPr>
                <w:color w:val="000000"/>
                <w:spacing w:val="1"/>
                <w:shd w:val="solid" w:color="000000" w:fill="000000"/>
                <w:fitText w:val="330" w:id="-663539706"/>
                <w14:textFill>
                  <w14:solidFill>
                    <w14:srgbClr w14:val="000000">
                      <w14:alpha w14:val="100000"/>
                    </w14:srgbClr>
                  </w14:solidFill>
                </w14:textFill>
              </w:rPr>
              <w:t>|</w:t>
            </w:r>
            <w:r w:rsidR="00785B6D">
              <w:t xml:space="preserve"> </w:t>
            </w:r>
            <w:r w:rsidR="00785B6D">
              <w:rPr>
                <w:vertAlign w:val="superscript"/>
              </w:rPr>
              <w:t>4</w:t>
            </w:r>
          </w:p>
        </w:tc>
        <w:tc>
          <w:tcPr>
            <w:tcW w:w="611" w:type="pct"/>
          </w:tcPr>
          <w:p w14:paraId="1788F747" w14:textId="3A072072" w:rsidR="001C256F" w:rsidRPr="00480790" w:rsidRDefault="00487E5A" w:rsidP="00751EBB">
            <w:pPr>
              <w:pStyle w:val="TableText0"/>
              <w:jc w:val="center"/>
            </w:pPr>
            <w:r w:rsidRPr="00487E5A">
              <w:rPr>
                <w:color w:val="000000"/>
                <w:spacing w:val="53"/>
                <w:shd w:val="solid" w:color="000000" w:fill="000000"/>
                <w:fitText w:val="330" w:id="-663539705"/>
                <w14:textFill>
                  <w14:solidFill>
                    <w14:srgbClr w14:val="000000">
                      <w14:alpha w14:val="100000"/>
                    </w14:srgbClr>
                  </w14:solidFill>
                </w14:textFill>
              </w:rPr>
              <w:t>|||</w:t>
            </w:r>
            <w:r w:rsidRPr="00487E5A">
              <w:rPr>
                <w:color w:val="000000"/>
                <w:spacing w:val="1"/>
                <w:shd w:val="solid" w:color="000000" w:fill="000000"/>
                <w:fitText w:val="330" w:id="-663539705"/>
                <w14:textFill>
                  <w14:solidFill>
                    <w14:srgbClr w14:val="000000">
                      <w14:alpha w14:val="100000"/>
                    </w14:srgbClr>
                  </w14:solidFill>
                </w14:textFill>
              </w:rPr>
              <w:t>|</w:t>
            </w:r>
            <w:r w:rsidR="00785B6D">
              <w:t xml:space="preserve"> </w:t>
            </w:r>
            <w:r w:rsidR="00785B6D">
              <w:rPr>
                <w:vertAlign w:val="superscript"/>
              </w:rPr>
              <w:t>4</w:t>
            </w:r>
          </w:p>
        </w:tc>
      </w:tr>
      <w:tr w:rsidR="00AB01EA" w:rsidRPr="00480790" w14:paraId="283DBFFD" w14:textId="77777777">
        <w:tc>
          <w:tcPr>
            <w:tcW w:w="5000" w:type="pct"/>
            <w:gridSpan w:val="7"/>
            <w:shd w:val="clear" w:color="auto" w:fill="auto"/>
            <w:vAlign w:val="center"/>
          </w:tcPr>
          <w:p w14:paraId="4C9FC462" w14:textId="77777777" w:rsidR="001C256F" w:rsidRPr="00480790" w:rsidRDefault="001C256F" w:rsidP="00751EBB">
            <w:pPr>
              <w:pStyle w:val="In-tableHeading"/>
              <w:rPr>
                <w:lang w:val="en-AU"/>
              </w:rPr>
            </w:pPr>
            <w:r w:rsidRPr="00480790">
              <w:rPr>
                <w:lang w:val="en-AU"/>
              </w:rPr>
              <w:t>Estimated financial implications of alectinib</w:t>
            </w:r>
          </w:p>
        </w:tc>
      </w:tr>
      <w:tr w:rsidR="00AB01EA" w:rsidRPr="00480790" w14:paraId="1C55C59F" w14:textId="77777777">
        <w:tc>
          <w:tcPr>
            <w:tcW w:w="1334" w:type="pct"/>
            <w:shd w:val="clear" w:color="auto" w:fill="auto"/>
            <w:vAlign w:val="center"/>
          </w:tcPr>
          <w:p w14:paraId="63FB2553" w14:textId="77777777" w:rsidR="001C256F" w:rsidRPr="00480790" w:rsidRDefault="001C256F" w:rsidP="00751EBB">
            <w:pPr>
              <w:pStyle w:val="TableText0"/>
              <w:rPr>
                <w:sz w:val="19"/>
                <w:szCs w:val="19"/>
              </w:rPr>
            </w:pPr>
            <w:r w:rsidRPr="00480790">
              <w:rPr>
                <w:sz w:val="19"/>
                <w:szCs w:val="19"/>
              </w:rPr>
              <w:t>Cost to PBS/RPBS less copayments</w:t>
            </w:r>
          </w:p>
        </w:tc>
        <w:tc>
          <w:tcPr>
            <w:tcW w:w="611" w:type="pct"/>
            <w:shd w:val="clear" w:color="auto" w:fill="auto"/>
          </w:tcPr>
          <w:p w14:paraId="34D3C7E1" w14:textId="6E686FF9"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4"/>
                <w14:textFill>
                  <w14:solidFill>
                    <w14:srgbClr w14:val="000000">
                      <w14:alpha w14:val="100000"/>
                    </w14:srgbClr>
                  </w14:solidFill>
                </w14:textFill>
              </w:rPr>
              <w:t>|||</w:t>
            </w:r>
            <w:r w:rsidR="00487E5A" w:rsidRPr="00487E5A">
              <w:rPr>
                <w:color w:val="000000"/>
                <w:spacing w:val="3"/>
                <w:shd w:val="solid" w:color="000000" w:fill="000000"/>
                <w:fitText w:val="320" w:id="-663539704"/>
                <w14:textFill>
                  <w14:solidFill>
                    <w14:srgbClr w14:val="000000">
                      <w14:alpha w14:val="100000"/>
                    </w14:srgbClr>
                  </w14:solidFill>
                </w14:textFill>
              </w:rPr>
              <w:t>|</w:t>
            </w:r>
            <w:r w:rsidR="00785B6D">
              <w:t xml:space="preserve"> </w:t>
            </w:r>
            <w:r w:rsidR="00785B6D">
              <w:rPr>
                <w:vertAlign w:val="superscript"/>
              </w:rPr>
              <w:t>5</w:t>
            </w:r>
          </w:p>
        </w:tc>
        <w:tc>
          <w:tcPr>
            <w:tcW w:w="611" w:type="pct"/>
            <w:shd w:val="clear" w:color="auto" w:fill="auto"/>
          </w:tcPr>
          <w:p w14:paraId="3BA7DDB4" w14:textId="6119AEE9"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3"/>
                <w14:textFill>
                  <w14:solidFill>
                    <w14:srgbClr w14:val="000000">
                      <w14:alpha w14:val="100000"/>
                    </w14:srgbClr>
                  </w14:solidFill>
                </w14:textFill>
              </w:rPr>
              <w:t>|||</w:t>
            </w:r>
            <w:r w:rsidR="00487E5A" w:rsidRPr="00487E5A">
              <w:rPr>
                <w:color w:val="000000"/>
                <w:spacing w:val="3"/>
                <w:shd w:val="solid" w:color="000000" w:fill="000000"/>
                <w:fitText w:val="320" w:id="-663539703"/>
                <w14:textFill>
                  <w14:solidFill>
                    <w14:srgbClr w14:val="000000">
                      <w14:alpha w14:val="100000"/>
                    </w14:srgbClr>
                  </w14:solidFill>
                </w14:textFill>
              </w:rPr>
              <w:t>|</w:t>
            </w:r>
            <w:r w:rsidR="0048666D">
              <w:t xml:space="preserve"> </w:t>
            </w:r>
            <w:r w:rsidR="0048666D">
              <w:rPr>
                <w:vertAlign w:val="superscript"/>
              </w:rPr>
              <w:t>6</w:t>
            </w:r>
          </w:p>
        </w:tc>
        <w:tc>
          <w:tcPr>
            <w:tcW w:w="611" w:type="pct"/>
            <w:shd w:val="clear" w:color="auto" w:fill="auto"/>
          </w:tcPr>
          <w:p w14:paraId="31F10980" w14:textId="123EF47F"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2"/>
                <w14:textFill>
                  <w14:solidFill>
                    <w14:srgbClr w14:val="000000">
                      <w14:alpha w14:val="100000"/>
                    </w14:srgbClr>
                  </w14:solidFill>
                </w14:textFill>
              </w:rPr>
              <w:t>|||</w:t>
            </w:r>
            <w:r w:rsidR="00487E5A" w:rsidRPr="00487E5A">
              <w:rPr>
                <w:color w:val="000000"/>
                <w:spacing w:val="3"/>
                <w:shd w:val="solid" w:color="000000" w:fill="000000"/>
                <w:fitText w:val="320" w:id="-663539702"/>
                <w14:textFill>
                  <w14:solidFill>
                    <w14:srgbClr w14:val="000000">
                      <w14:alpha w14:val="100000"/>
                    </w14:srgbClr>
                  </w14:solidFill>
                </w14:textFill>
              </w:rPr>
              <w:t>|</w:t>
            </w:r>
            <w:r w:rsidR="0048666D">
              <w:t xml:space="preserve"> </w:t>
            </w:r>
            <w:r w:rsidR="0048666D">
              <w:rPr>
                <w:vertAlign w:val="superscript"/>
              </w:rPr>
              <w:t>6</w:t>
            </w:r>
          </w:p>
        </w:tc>
        <w:tc>
          <w:tcPr>
            <w:tcW w:w="611" w:type="pct"/>
            <w:shd w:val="clear" w:color="auto" w:fill="auto"/>
          </w:tcPr>
          <w:p w14:paraId="07063571" w14:textId="5F779038"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1"/>
                <w14:textFill>
                  <w14:solidFill>
                    <w14:srgbClr w14:val="000000">
                      <w14:alpha w14:val="100000"/>
                    </w14:srgbClr>
                  </w14:solidFill>
                </w14:textFill>
              </w:rPr>
              <w:t>|||</w:t>
            </w:r>
            <w:r w:rsidR="00487E5A" w:rsidRPr="00487E5A">
              <w:rPr>
                <w:color w:val="000000"/>
                <w:spacing w:val="3"/>
                <w:shd w:val="solid" w:color="000000" w:fill="000000"/>
                <w:fitText w:val="320" w:id="-663539701"/>
                <w14:textFill>
                  <w14:solidFill>
                    <w14:srgbClr w14:val="000000">
                      <w14:alpha w14:val="100000"/>
                    </w14:srgbClr>
                  </w14:solidFill>
                </w14:textFill>
              </w:rPr>
              <w:t>|</w:t>
            </w:r>
            <w:r w:rsidR="0048666D">
              <w:t xml:space="preserve"> </w:t>
            </w:r>
            <w:r w:rsidR="0048666D">
              <w:rPr>
                <w:vertAlign w:val="superscript"/>
              </w:rPr>
              <w:t>6</w:t>
            </w:r>
          </w:p>
        </w:tc>
        <w:tc>
          <w:tcPr>
            <w:tcW w:w="611" w:type="pct"/>
            <w:shd w:val="clear" w:color="auto" w:fill="auto"/>
          </w:tcPr>
          <w:p w14:paraId="143CDD89" w14:textId="4A9E1A0D"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0"/>
                <w14:textFill>
                  <w14:solidFill>
                    <w14:srgbClr w14:val="000000">
                      <w14:alpha w14:val="100000"/>
                    </w14:srgbClr>
                  </w14:solidFill>
                </w14:textFill>
              </w:rPr>
              <w:t>|||</w:t>
            </w:r>
            <w:r w:rsidR="00487E5A" w:rsidRPr="00487E5A">
              <w:rPr>
                <w:color w:val="000000"/>
                <w:spacing w:val="3"/>
                <w:shd w:val="solid" w:color="000000" w:fill="000000"/>
                <w:fitText w:val="320" w:id="-663539700"/>
                <w14:textFill>
                  <w14:solidFill>
                    <w14:srgbClr w14:val="000000">
                      <w14:alpha w14:val="100000"/>
                    </w14:srgbClr>
                  </w14:solidFill>
                </w14:textFill>
              </w:rPr>
              <w:t>|</w:t>
            </w:r>
            <w:r w:rsidR="0048666D">
              <w:t xml:space="preserve"> </w:t>
            </w:r>
            <w:r w:rsidR="0048666D">
              <w:rPr>
                <w:vertAlign w:val="superscript"/>
              </w:rPr>
              <w:t>6</w:t>
            </w:r>
          </w:p>
        </w:tc>
        <w:tc>
          <w:tcPr>
            <w:tcW w:w="611" w:type="pct"/>
          </w:tcPr>
          <w:p w14:paraId="7E0B8E0F" w14:textId="652FD4FB"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699"/>
                <w14:textFill>
                  <w14:solidFill>
                    <w14:srgbClr w14:val="000000">
                      <w14:alpha w14:val="100000"/>
                    </w14:srgbClr>
                  </w14:solidFill>
                </w14:textFill>
              </w:rPr>
              <w:t>|||</w:t>
            </w:r>
            <w:r w:rsidR="00487E5A" w:rsidRPr="00487E5A">
              <w:rPr>
                <w:color w:val="000000"/>
                <w:spacing w:val="3"/>
                <w:shd w:val="solid" w:color="000000" w:fill="000000"/>
                <w:fitText w:val="320" w:id="-663539699"/>
                <w14:textFill>
                  <w14:solidFill>
                    <w14:srgbClr w14:val="000000">
                      <w14:alpha w14:val="100000"/>
                    </w14:srgbClr>
                  </w14:solidFill>
                </w14:textFill>
              </w:rPr>
              <w:t>|</w:t>
            </w:r>
            <w:r w:rsidR="0048666D">
              <w:t xml:space="preserve"> </w:t>
            </w:r>
            <w:r w:rsidR="0048666D">
              <w:rPr>
                <w:vertAlign w:val="superscript"/>
              </w:rPr>
              <w:t>6</w:t>
            </w:r>
          </w:p>
        </w:tc>
      </w:tr>
      <w:tr w:rsidR="00AB01EA" w:rsidRPr="00480790" w14:paraId="6FB4F343" w14:textId="77777777">
        <w:tc>
          <w:tcPr>
            <w:tcW w:w="5000" w:type="pct"/>
            <w:gridSpan w:val="7"/>
            <w:shd w:val="clear" w:color="auto" w:fill="auto"/>
            <w:vAlign w:val="center"/>
          </w:tcPr>
          <w:p w14:paraId="218B1518" w14:textId="77777777" w:rsidR="001C256F" w:rsidRPr="00480790" w:rsidRDefault="001C256F" w:rsidP="00751EBB">
            <w:pPr>
              <w:pStyle w:val="TableText0"/>
            </w:pPr>
            <w:r w:rsidRPr="00480790">
              <w:t>Estimated financial implications for chemotherapy</w:t>
            </w:r>
          </w:p>
        </w:tc>
      </w:tr>
      <w:tr w:rsidR="00AB01EA" w:rsidRPr="00480790" w14:paraId="19162556" w14:textId="77777777">
        <w:tc>
          <w:tcPr>
            <w:tcW w:w="1334" w:type="pct"/>
            <w:shd w:val="clear" w:color="auto" w:fill="auto"/>
            <w:vAlign w:val="center"/>
          </w:tcPr>
          <w:p w14:paraId="0BE53E5D" w14:textId="77777777" w:rsidR="001C256F" w:rsidRPr="00480790" w:rsidRDefault="001C256F" w:rsidP="00751EBB">
            <w:pPr>
              <w:pStyle w:val="TableText0"/>
              <w:rPr>
                <w:sz w:val="19"/>
                <w:szCs w:val="19"/>
              </w:rPr>
            </w:pPr>
            <w:r w:rsidRPr="00480790">
              <w:rPr>
                <w:sz w:val="19"/>
                <w:szCs w:val="19"/>
              </w:rPr>
              <w:t>Cost to PBS/RPBS less copayments</w:t>
            </w:r>
          </w:p>
        </w:tc>
        <w:tc>
          <w:tcPr>
            <w:tcW w:w="611" w:type="pct"/>
            <w:shd w:val="clear" w:color="auto" w:fill="auto"/>
          </w:tcPr>
          <w:p w14:paraId="74963459" w14:textId="3B95E24B" w:rsidR="001C256F" w:rsidRPr="00480790" w:rsidRDefault="001C256F" w:rsidP="00751EBB">
            <w:pPr>
              <w:pStyle w:val="TableText0"/>
              <w:jc w:val="center"/>
            </w:pPr>
            <w:r w:rsidRPr="00480790">
              <w:t>-$</w:t>
            </w:r>
            <w:r w:rsidR="00487E5A" w:rsidRPr="00487E5A">
              <w:rPr>
                <w:color w:val="000000"/>
                <w:spacing w:val="53"/>
                <w:shd w:val="solid" w:color="000000" w:fill="000000"/>
                <w:fitText w:val="330" w:id="-663539698"/>
                <w14:textFill>
                  <w14:solidFill>
                    <w14:srgbClr w14:val="000000">
                      <w14:alpha w14:val="100000"/>
                    </w14:srgbClr>
                  </w14:solidFill>
                </w14:textFill>
              </w:rPr>
              <w:t>|||</w:t>
            </w:r>
            <w:r w:rsidR="00487E5A" w:rsidRPr="00487E5A">
              <w:rPr>
                <w:color w:val="000000"/>
                <w:spacing w:val="1"/>
                <w:shd w:val="solid" w:color="000000" w:fill="000000"/>
                <w:fitText w:val="330" w:id="-663539698"/>
                <w14:textFill>
                  <w14:solidFill>
                    <w14:srgbClr w14:val="000000">
                      <w14:alpha w14:val="100000"/>
                    </w14:srgbClr>
                  </w14:solidFill>
                </w14:textFill>
              </w:rPr>
              <w:t>|</w:t>
            </w:r>
            <w:r w:rsidR="0048666D">
              <w:t xml:space="preserve"> </w:t>
            </w:r>
            <w:r w:rsidR="0048666D">
              <w:rPr>
                <w:vertAlign w:val="superscript"/>
              </w:rPr>
              <w:t>7</w:t>
            </w:r>
          </w:p>
        </w:tc>
        <w:tc>
          <w:tcPr>
            <w:tcW w:w="611" w:type="pct"/>
            <w:shd w:val="clear" w:color="auto" w:fill="auto"/>
          </w:tcPr>
          <w:p w14:paraId="41632DDF" w14:textId="44D57692" w:rsidR="001C256F" w:rsidRPr="00480790" w:rsidRDefault="001C256F" w:rsidP="00751EBB">
            <w:pPr>
              <w:pStyle w:val="TableText0"/>
              <w:jc w:val="center"/>
            </w:pPr>
            <w:r w:rsidRPr="00480790">
              <w:t>-$</w:t>
            </w:r>
            <w:r w:rsidR="00487E5A" w:rsidRPr="00487E5A">
              <w:rPr>
                <w:color w:val="000000"/>
                <w:spacing w:val="53"/>
                <w:shd w:val="solid" w:color="000000" w:fill="000000"/>
                <w:fitText w:val="330" w:id="-663539697"/>
                <w14:textFill>
                  <w14:solidFill>
                    <w14:srgbClr w14:val="000000">
                      <w14:alpha w14:val="100000"/>
                    </w14:srgbClr>
                  </w14:solidFill>
                </w14:textFill>
              </w:rPr>
              <w:t>|||</w:t>
            </w:r>
            <w:r w:rsidR="00487E5A" w:rsidRPr="00487E5A">
              <w:rPr>
                <w:color w:val="000000"/>
                <w:spacing w:val="1"/>
                <w:shd w:val="solid" w:color="000000" w:fill="000000"/>
                <w:fitText w:val="330" w:id="-663539697"/>
                <w14:textFill>
                  <w14:solidFill>
                    <w14:srgbClr w14:val="000000">
                      <w14:alpha w14:val="100000"/>
                    </w14:srgbClr>
                  </w14:solidFill>
                </w14:textFill>
              </w:rPr>
              <w:t>|</w:t>
            </w:r>
            <w:r w:rsidR="0048666D">
              <w:t xml:space="preserve"> </w:t>
            </w:r>
            <w:r w:rsidR="0048666D">
              <w:rPr>
                <w:vertAlign w:val="superscript"/>
              </w:rPr>
              <w:t>7</w:t>
            </w:r>
          </w:p>
        </w:tc>
        <w:tc>
          <w:tcPr>
            <w:tcW w:w="611" w:type="pct"/>
            <w:shd w:val="clear" w:color="auto" w:fill="auto"/>
          </w:tcPr>
          <w:p w14:paraId="14E3A173" w14:textId="4CCC4AD2" w:rsidR="001C256F" w:rsidRPr="00480790" w:rsidRDefault="001C256F" w:rsidP="00751EBB">
            <w:pPr>
              <w:pStyle w:val="TableText0"/>
              <w:jc w:val="center"/>
            </w:pPr>
            <w:r w:rsidRPr="00480790">
              <w:t>-$</w:t>
            </w:r>
            <w:r w:rsidR="00487E5A" w:rsidRPr="00487E5A">
              <w:rPr>
                <w:color w:val="000000"/>
                <w:spacing w:val="53"/>
                <w:shd w:val="solid" w:color="000000" w:fill="000000"/>
                <w:fitText w:val="330" w:id="-663539696"/>
                <w14:textFill>
                  <w14:solidFill>
                    <w14:srgbClr w14:val="000000">
                      <w14:alpha w14:val="100000"/>
                    </w14:srgbClr>
                  </w14:solidFill>
                </w14:textFill>
              </w:rPr>
              <w:t>|||</w:t>
            </w:r>
            <w:r w:rsidR="00487E5A" w:rsidRPr="00487E5A">
              <w:rPr>
                <w:color w:val="000000"/>
                <w:spacing w:val="1"/>
                <w:shd w:val="solid" w:color="000000" w:fill="000000"/>
                <w:fitText w:val="330" w:id="-663539696"/>
                <w14:textFill>
                  <w14:solidFill>
                    <w14:srgbClr w14:val="000000">
                      <w14:alpha w14:val="100000"/>
                    </w14:srgbClr>
                  </w14:solidFill>
                </w14:textFill>
              </w:rPr>
              <w:t>|</w:t>
            </w:r>
            <w:r w:rsidR="0048666D">
              <w:t xml:space="preserve"> </w:t>
            </w:r>
            <w:r w:rsidR="0048666D">
              <w:rPr>
                <w:vertAlign w:val="superscript"/>
              </w:rPr>
              <w:t>7</w:t>
            </w:r>
          </w:p>
        </w:tc>
        <w:tc>
          <w:tcPr>
            <w:tcW w:w="611" w:type="pct"/>
            <w:shd w:val="clear" w:color="auto" w:fill="auto"/>
          </w:tcPr>
          <w:p w14:paraId="7BB57FA8" w14:textId="7DB9B993" w:rsidR="001C256F" w:rsidRPr="00480790" w:rsidRDefault="001C256F" w:rsidP="00751EBB">
            <w:pPr>
              <w:pStyle w:val="TableText0"/>
              <w:jc w:val="center"/>
            </w:pPr>
            <w:r w:rsidRPr="00480790">
              <w:t>-$</w:t>
            </w:r>
            <w:r w:rsidR="00487E5A" w:rsidRPr="00487E5A">
              <w:rPr>
                <w:color w:val="000000"/>
                <w:spacing w:val="53"/>
                <w:shd w:val="solid" w:color="000000" w:fill="000000"/>
                <w:fitText w:val="330" w:id="-663539712"/>
                <w14:textFill>
                  <w14:solidFill>
                    <w14:srgbClr w14:val="000000">
                      <w14:alpha w14:val="100000"/>
                    </w14:srgbClr>
                  </w14:solidFill>
                </w14:textFill>
              </w:rPr>
              <w:t>|||</w:t>
            </w:r>
            <w:r w:rsidR="00487E5A" w:rsidRPr="00487E5A">
              <w:rPr>
                <w:color w:val="000000"/>
                <w:spacing w:val="1"/>
                <w:shd w:val="solid" w:color="000000" w:fill="000000"/>
                <w:fitText w:val="330" w:id="-663539712"/>
                <w14:textFill>
                  <w14:solidFill>
                    <w14:srgbClr w14:val="000000">
                      <w14:alpha w14:val="100000"/>
                    </w14:srgbClr>
                  </w14:solidFill>
                </w14:textFill>
              </w:rPr>
              <w:t>|</w:t>
            </w:r>
            <w:r w:rsidR="0048666D">
              <w:t xml:space="preserve"> </w:t>
            </w:r>
            <w:r w:rsidR="0048666D">
              <w:rPr>
                <w:vertAlign w:val="superscript"/>
              </w:rPr>
              <w:t>7</w:t>
            </w:r>
          </w:p>
        </w:tc>
        <w:tc>
          <w:tcPr>
            <w:tcW w:w="611" w:type="pct"/>
            <w:shd w:val="clear" w:color="auto" w:fill="auto"/>
          </w:tcPr>
          <w:p w14:paraId="7CEF49C9" w14:textId="4632293E" w:rsidR="001C256F" w:rsidRPr="00480790" w:rsidRDefault="001C256F" w:rsidP="00751EBB">
            <w:pPr>
              <w:pStyle w:val="TableText0"/>
              <w:jc w:val="center"/>
            </w:pPr>
            <w:r w:rsidRPr="00480790">
              <w:t>-$</w:t>
            </w:r>
            <w:r w:rsidR="00487E5A" w:rsidRPr="00487E5A">
              <w:rPr>
                <w:color w:val="000000"/>
                <w:spacing w:val="53"/>
                <w:shd w:val="solid" w:color="000000" w:fill="000000"/>
                <w:fitText w:val="330" w:id="-663539711"/>
                <w14:textFill>
                  <w14:solidFill>
                    <w14:srgbClr w14:val="000000">
                      <w14:alpha w14:val="100000"/>
                    </w14:srgbClr>
                  </w14:solidFill>
                </w14:textFill>
              </w:rPr>
              <w:t>|||</w:t>
            </w:r>
            <w:r w:rsidR="00487E5A" w:rsidRPr="00487E5A">
              <w:rPr>
                <w:color w:val="000000"/>
                <w:spacing w:val="1"/>
                <w:shd w:val="solid" w:color="000000" w:fill="000000"/>
                <w:fitText w:val="330" w:id="-663539711"/>
                <w14:textFill>
                  <w14:solidFill>
                    <w14:srgbClr w14:val="000000">
                      <w14:alpha w14:val="100000"/>
                    </w14:srgbClr>
                  </w14:solidFill>
                </w14:textFill>
              </w:rPr>
              <w:t>|</w:t>
            </w:r>
            <w:r w:rsidR="0048666D">
              <w:t xml:space="preserve"> </w:t>
            </w:r>
            <w:r w:rsidR="0048666D">
              <w:rPr>
                <w:vertAlign w:val="superscript"/>
              </w:rPr>
              <w:t>7</w:t>
            </w:r>
          </w:p>
        </w:tc>
        <w:tc>
          <w:tcPr>
            <w:tcW w:w="611" w:type="pct"/>
          </w:tcPr>
          <w:p w14:paraId="02EEAAAB" w14:textId="59C66803" w:rsidR="001C256F" w:rsidRPr="00480790" w:rsidRDefault="001C256F" w:rsidP="00751EBB">
            <w:pPr>
              <w:pStyle w:val="TableText0"/>
              <w:jc w:val="center"/>
            </w:pPr>
            <w:r w:rsidRPr="00480790">
              <w:t>-$</w:t>
            </w:r>
            <w:r w:rsidR="00487E5A" w:rsidRPr="00487E5A">
              <w:rPr>
                <w:color w:val="000000"/>
                <w:spacing w:val="53"/>
                <w:shd w:val="solid" w:color="000000" w:fill="000000"/>
                <w:fitText w:val="330" w:id="-663539710"/>
                <w14:textFill>
                  <w14:solidFill>
                    <w14:srgbClr w14:val="000000">
                      <w14:alpha w14:val="100000"/>
                    </w14:srgbClr>
                  </w14:solidFill>
                </w14:textFill>
              </w:rPr>
              <w:t>|||</w:t>
            </w:r>
            <w:r w:rsidR="00487E5A" w:rsidRPr="00487E5A">
              <w:rPr>
                <w:color w:val="000000"/>
                <w:spacing w:val="1"/>
                <w:shd w:val="solid" w:color="000000" w:fill="000000"/>
                <w:fitText w:val="330" w:id="-663539710"/>
                <w14:textFill>
                  <w14:solidFill>
                    <w14:srgbClr w14:val="000000">
                      <w14:alpha w14:val="100000"/>
                    </w14:srgbClr>
                  </w14:solidFill>
                </w14:textFill>
              </w:rPr>
              <w:t>|</w:t>
            </w:r>
            <w:r w:rsidR="0048666D">
              <w:t xml:space="preserve"> </w:t>
            </w:r>
            <w:r w:rsidR="0048666D">
              <w:rPr>
                <w:vertAlign w:val="superscript"/>
              </w:rPr>
              <w:t>7</w:t>
            </w:r>
          </w:p>
        </w:tc>
      </w:tr>
      <w:tr w:rsidR="00AB01EA" w:rsidRPr="00480790" w14:paraId="66076B0B" w14:textId="77777777">
        <w:tc>
          <w:tcPr>
            <w:tcW w:w="5000" w:type="pct"/>
            <w:gridSpan w:val="7"/>
            <w:shd w:val="clear" w:color="auto" w:fill="auto"/>
            <w:vAlign w:val="center"/>
          </w:tcPr>
          <w:p w14:paraId="01A3051A" w14:textId="77777777" w:rsidR="001C256F" w:rsidRPr="00480790" w:rsidRDefault="001C256F" w:rsidP="00751EBB">
            <w:pPr>
              <w:pStyle w:val="In-tableHeading"/>
              <w:rPr>
                <w:lang w:val="en-AU"/>
              </w:rPr>
            </w:pPr>
            <w:r w:rsidRPr="00480790">
              <w:rPr>
                <w:lang w:val="en-AU"/>
              </w:rPr>
              <w:t>Net financial implications</w:t>
            </w:r>
          </w:p>
        </w:tc>
      </w:tr>
      <w:tr w:rsidR="00AB01EA" w:rsidRPr="00480790" w14:paraId="3DF7D072" w14:textId="77777777">
        <w:tc>
          <w:tcPr>
            <w:tcW w:w="1334" w:type="pct"/>
            <w:shd w:val="clear" w:color="auto" w:fill="auto"/>
            <w:vAlign w:val="center"/>
          </w:tcPr>
          <w:p w14:paraId="45A27278" w14:textId="77777777" w:rsidR="001C256F" w:rsidRPr="00480790" w:rsidRDefault="001C256F" w:rsidP="00751EBB">
            <w:pPr>
              <w:pStyle w:val="TableText0"/>
              <w:rPr>
                <w:sz w:val="19"/>
                <w:szCs w:val="19"/>
              </w:rPr>
            </w:pPr>
            <w:r w:rsidRPr="00480790">
              <w:rPr>
                <w:sz w:val="19"/>
                <w:szCs w:val="19"/>
              </w:rPr>
              <w:t>Net cost to PBS/RPBS</w:t>
            </w:r>
          </w:p>
        </w:tc>
        <w:tc>
          <w:tcPr>
            <w:tcW w:w="611" w:type="pct"/>
            <w:shd w:val="clear" w:color="auto" w:fill="auto"/>
          </w:tcPr>
          <w:p w14:paraId="040E3300" w14:textId="028D847B"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9"/>
                <w14:textFill>
                  <w14:solidFill>
                    <w14:srgbClr w14:val="000000">
                      <w14:alpha w14:val="100000"/>
                    </w14:srgbClr>
                  </w14:solidFill>
                </w14:textFill>
              </w:rPr>
              <w:t>|||</w:t>
            </w:r>
            <w:r w:rsidR="00487E5A" w:rsidRPr="00487E5A">
              <w:rPr>
                <w:color w:val="000000"/>
                <w:spacing w:val="3"/>
                <w:shd w:val="solid" w:color="000000" w:fill="000000"/>
                <w:fitText w:val="320" w:id="-663539709"/>
                <w14:textFill>
                  <w14:solidFill>
                    <w14:srgbClr w14:val="000000">
                      <w14:alpha w14:val="100000"/>
                    </w14:srgbClr>
                  </w14:solidFill>
                </w14:textFill>
              </w:rPr>
              <w:t>|</w:t>
            </w:r>
            <w:r w:rsidR="00785B6D">
              <w:t xml:space="preserve"> </w:t>
            </w:r>
            <w:r w:rsidR="00785B6D">
              <w:rPr>
                <w:vertAlign w:val="superscript"/>
              </w:rPr>
              <w:t>5</w:t>
            </w:r>
          </w:p>
        </w:tc>
        <w:tc>
          <w:tcPr>
            <w:tcW w:w="611" w:type="pct"/>
            <w:shd w:val="clear" w:color="auto" w:fill="auto"/>
          </w:tcPr>
          <w:p w14:paraId="2FC72C77" w14:textId="6AC3B56E"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8"/>
                <w14:textFill>
                  <w14:solidFill>
                    <w14:srgbClr w14:val="000000">
                      <w14:alpha w14:val="100000"/>
                    </w14:srgbClr>
                  </w14:solidFill>
                </w14:textFill>
              </w:rPr>
              <w:t>|||</w:t>
            </w:r>
            <w:r w:rsidR="00487E5A" w:rsidRPr="00487E5A">
              <w:rPr>
                <w:color w:val="000000"/>
                <w:spacing w:val="3"/>
                <w:shd w:val="solid" w:color="000000" w:fill="000000"/>
                <w:fitText w:val="320" w:id="-663539708"/>
                <w14:textFill>
                  <w14:solidFill>
                    <w14:srgbClr w14:val="000000">
                      <w14:alpha w14:val="100000"/>
                    </w14:srgbClr>
                  </w14:solidFill>
                </w14:textFill>
              </w:rPr>
              <w:t>|</w:t>
            </w:r>
            <w:r w:rsidR="0048666D">
              <w:t xml:space="preserve"> </w:t>
            </w:r>
            <w:r w:rsidR="0048666D">
              <w:rPr>
                <w:vertAlign w:val="superscript"/>
              </w:rPr>
              <w:t>6</w:t>
            </w:r>
          </w:p>
        </w:tc>
        <w:tc>
          <w:tcPr>
            <w:tcW w:w="611" w:type="pct"/>
            <w:shd w:val="clear" w:color="auto" w:fill="auto"/>
          </w:tcPr>
          <w:p w14:paraId="0701A42E" w14:textId="33FC5214"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7"/>
                <w14:textFill>
                  <w14:solidFill>
                    <w14:srgbClr w14:val="000000">
                      <w14:alpha w14:val="100000"/>
                    </w14:srgbClr>
                  </w14:solidFill>
                </w14:textFill>
              </w:rPr>
              <w:t>|||</w:t>
            </w:r>
            <w:r w:rsidR="00487E5A" w:rsidRPr="00487E5A">
              <w:rPr>
                <w:color w:val="000000"/>
                <w:spacing w:val="3"/>
                <w:shd w:val="solid" w:color="000000" w:fill="000000"/>
                <w:fitText w:val="320" w:id="-663539707"/>
                <w14:textFill>
                  <w14:solidFill>
                    <w14:srgbClr w14:val="000000">
                      <w14:alpha w14:val="100000"/>
                    </w14:srgbClr>
                  </w14:solidFill>
                </w14:textFill>
              </w:rPr>
              <w:t>|</w:t>
            </w:r>
            <w:r w:rsidR="0048666D">
              <w:t xml:space="preserve"> </w:t>
            </w:r>
            <w:r w:rsidR="0048666D">
              <w:rPr>
                <w:vertAlign w:val="superscript"/>
              </w:rPr>
              <w:t>6</w:t>
            </w:r>
          </w:p>
        </w:tc>
        <w:tc>
          <w:tcPr>
            <w:tcW w:w="611" w:type="pct"/>
            <w:shd w:val="clear" w:color="auto" w:fill="auto"/>
          </w:tcPr>
          <w:p w14:paraId="65042F1B" w14:textId="42632FBE"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6"/>
                <w14:textFill>
                  <w14:solidFill>
                    <w14:srgbClr w14:val="000000">
                      <w14:alpha w14:val="100000"/>
                    </w14:srgbClr>
                  </w14:solidFill>
                </w14:textFill>
              </w:rPr>
              <w:t>|||</w:t>
            </w:r>
            <w:r w:rsidR="00487E5A" w:rsidRPr="00487E5A">
              <w:rPr>
                <w:color w:val="000000"/>
                <w:spacing w:val="3"/>
                <w:shd w:val="solid" w:color="000000" w:fill="000000"/>
                <w:fitText w:val="320" w:id="-663539706"/>
                <w14:textFill>
                  <w14:solidFill>
                    <w14:srgbClr w14:val="000000">
                      <w14:alpha w14:val="100000"/>
                    </w14:srgbClr>
                  </w14:solidFill>
                </w14:textFill>
              </w:rPr>
              <w:t>|</w:t>
            </w:r>
            <w:r w:rsidR="0048666D">
              <w:t xml:space="preserve"> </w:t>
            </w:r>
            <w:r w:rsidR="0048666D">
              <w:rPr>
                <w:vertAlign w:val="superscript"/>
              </w:rPr>
              <w:t>6</w:t>
            </w:r>
          </w:p>
        </w:tc>
        <w:tc>
          <w:tcPr>
            <w:tcW w:w="611" w:type="pct"/>
            <w:shd w:val="clear" w:color="auto" w:fill="auto"/>
          </w:tcPr>
          <w:p w14:paraId="6C901A10" w14:textId="0607AE6E"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5"/>
                <w14:textFill>
                  <w14:solidFill>
                    <w14:srgbClr w14:val="000000">
                      <w14:alpha w14:val="100000"/>
                    </w14:srgbClr>
                  </w14:solidFill>
                </w14:textFill>
              </w:rPr>
              <w:t>|||</w:t>
            </w:r>
            <w:r w:rsidR="00487E5A" w:rsidRPr="00487E5A">
              <w:rPr>
                <w:color w:val="000000"/>
                <w:spacing w:val="3"/>
                <w:shd w:val="solid" w:color="000000" w:fill="000000"/>
                <w:fitText w:val="320" w:id="-663539705"/>
                <w14:textFill>
                  <w14:solidFill>
                    <w14:srgbClr w14:val="000000">
                      <w14:alpha w14:val="100000"/>
                    </w14:srgbClr>
                  </w14:solidFill>
                </w14:textFill>
              </w:rPr>
              <w:t>|</w:t>
            </w:r>
            <w:r w:rsidR="0048666D">
              <w:t xml:space="preserve"> </w:t>
            </w:r>
            <w:r w:rsidR="0048666D">
              <w:rPr>
                <w:vertAlign w:val="superscript"/>
              </w:rPr>
              <w:t>6</w:t>
            </w:r>
          </w:p>
        </w:tc>
        <w:tc>
          <w:tcPr>
            <w:tcW w:w="611" w:type="pct"/>
          </w:tcPr>
          <w:p w14:paraId="6F44D04B" w14:textId="03CA969E"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4"/>
                <w14:textFill>
                  <w14:solidFill>
                    <w14:srgbClr w14:val="000000">
                      <w14:alpha w14:val="100000"/>
                    </w14:srgbClr>
                  </w14:solidFill>
                </w14:textFill>
              </w:rPr>
              <w:t>|||</w:t>
            </w:r>
            <w:r w:rsidR="00487E5A" w:rsidRPr="00487E5A">
              <w:rPr>
                <w:color w:val="000000"/>
                <w:spacing w:val="3"/>
                <w:shd w:val="solid" w:color="000000" w:fill="000000"/>
                <w:fitText w:val="320" w:id="-663539704"/>
                <w14:textFill>
                  <w14:solidFill>
                    <w14:srgbClr w14:val="000000">
                      <w14:alpha w14:val="100000"/>
                    </w14:srgbClr>
                  </w14:solidFill>
                </w14:textFill>
              </w:rPr>
              <w:t>|</w:t>
            </w:r>
            <w:r w:rsidR="0048666D">
              <w:t xml:space="preserve"> </w:t>
            </w:r>
            <w:r w:rsidR="0048666D">
              <w:rPr>
                <w:vertAlign w:val="superscript"/>
              </w:rPr>
              <w:t>6</w:t>
            </w:r>
          </w:p>
        </w:tc>
      </w:tr>
      <w:tr w:rsidR="00AB01EA" w:rsidRPr="00480790" w14:paraId="6FCA96A8" w14:textId="77777777">
        <w:tc>
          <w:tcPr>
            <w:tcW w:w="1334" w:type="pct"/>
            <w:shd w:val="clear" w:color="auto" w:fill="auto"/>
            <w:vAlign w:val="center"/>
          </w:tcPr>
          <w:p w14:paraId="67048159" w14:textId="77777777" w:rsidR="001C256F" w:rsidRPr="00480790" w:rsidRDefault="001C256F" w:rsidP="00751EBB">
            <w:pPr>
              <w:pStyle w:val="TableText0"/>
              <w:rPr>
                <w:rFonts w:ascii="Times" w:hAnsi="Times"/>
              </w:rPr>
            </w:pPr>
            <w:r w:rsidRPr="00480790">
              <w:rPr>
                <w:sz w:val="19"/>
                <w:szCs w:val="19"/>
              </w:rPr>
              <w:t>Net cost to MBS</w:t>
            </w:r>
          </w:p>
        </w:tc>
        <w:tc>
          <w:tcPr>
            <w:tcW w:w="611" w:type="pct"/>
            <w:shd w:val="clear" w:color="auto" w:fill="auto"/>
          </w:tcPr>
          <w:p w14:paraId="32E32EAA" w14:textId="33F583ED" w:rsidR="001C256F" w:rsidRPr="00480790" w:rsidRDefault="001C256F" w:rsidP="00751EBB">
            <w:pPr>
              <w:pStyle w:val="TableText0"/>
              <w:jc w:val="center"/>
            </w:pPr>
            <w:r w:rsidRPr="00480790">
              <w:t>-$</w:t>
            </w:r>
            <w:r w:rsidR="00487E5A" w:rsidRPr="00487E5A">
              <w:rPr>
                <w:color w:val="000000"/>
                <w:spacing w:val="53"/>
                <w:shd w:val="solid" w:color="000000" w:fill="000000"/>
                <w:fitText w:val="330" w:id="-663539703"/>
                <w14:textFill>
                  <w14:solidFill>
                    <w14:srgbClr w14:val="000000">
                      <w14:alpha w14:val="100000"/>
                    </w14:srgbClr>
                  </w14:solidFill>
                </w14:textFill>
              </w:rPr>
              <w:t>|||</w:t>
            </w:r>
            <w:r w:rsidR="00487E5A" w:rsidRPr="00487E5A">
              <w:rPr>
                <w:color w:val="000000"/>
                <w:spacing w:val="1"/>
                <w:shd w:val="solid" w:color="000000" w:fill="000000"/>
                <w:fitText w:val="330" w:id="-663539703"/>
                <w14:textFill>
                  <w14:solidFill>
                    <w14:srgbClr w14:val="000000">
                      <w14:alpha w14:val="100000"/>
                    </w14:srgbClr>
                  </w14:solidFill>
                </w14:textFill>
              </w:rPr>
              <w:t>|</w:t>
            </w:r>
            <w:r w:rsidR="0048666D">
              <w:t xml:space="preserve"> </w:t>
            </w:r>
            <w:r w:rsidR="0048666D">
              <w:rPr>
                <w:vertAlign w:val="superscript"/>
              </w:rPr>
              <w:t>7</w:t>
            </w:r>
          </w:p>
        </w:tc>
        <w:tc>
          <w:tcPr>
            <w:tcW w:w="611" w:type="pct"/>
            <w:shd w:val="clear" w:color="auto" w:fill="auto"/>
          </w:tcPr>
          <w:p w14:paraId="508208D9" w14:textId="555B75FA" w:rsidR="001C256F" w:rsidRPr="00480790" w:rsidRDefault="001C256F" w:rsidP="00751EBB">
            <w:pPr>
              <w:pStyle w:val="TableText0"/>
              <w:jc w:val="center"/>
            </w:pPr>
            <w:r w:rsidRPr="00480790">
              <w:t>-$</w:t>
            </w:r>
            <w:r w:rsidR="00487E5A" w:rsidRPr="00487E5A">
              <w:rPr>
                <w:color w:val="000000"/>
                <w:spacing w:val="53"/>
                <w:shd w:val="solid" w:color="000000" w:fill="000000"/>
                <w:fitText w:val="330" w:id="-663539702"/>
                <w14:textFill>
                  <w14:solidFill>
                    <w14:srgbClr w14:val="000000">
                      <w14:alpha w14:val="100000"/>
                    </w14:srgbClr>
                  </w14:solidFill>
                </w14:textFill>
              </w:rPr>
              <w:t>|||</w:t>
            </w:r>
            <w:r w:rsidR="00487E5A" w:rsidRPr="00487E5A">
              <w:rPr>
                <w:color w:val="000000"/>
                <w:spacing w:val="1"/>
                <w:shd w:val="solid" w:color="000000" w:fill="000000"/>
                <w:fitText w:val="330" w:id="-663539702"/>
                <w14:textFill>
                  <w14:solidFill>
                    <w14:srgbClr w14:val="000000">
                      <w14:alpha w14:val="100000"/>
                    </w14:srgbClr>
                  </w14:solidFill>
                </w14:textFill>
              </w:rPr>
              <w:t>|</w:t>
            </w:r>
            <w:r w:rsidR="0048666D">
              <w:t xml:space="preserve"> </w:t>
            </w:r>
            <w:r w:rsidR="0048666D">
              <w:rPr>
                <w:vertAlign w:val="superscript"/>
              </w:rPr>
              <w:t>7</w:t>
            </w:r>
          </w:p>
        </w:tc>
        <w:tc>
          <w:tcPr>
            <w:tcW w:w="611" w:type="pct"/>
            <w:shd w:val="clear" w:color="auto" w:fill="auto"/>
          </w:tcPr>
          <w:p w14:paraId="279A458D" w14:textId="18404990" w:rsidR="001C256F" w:rsidRPr="00480790" w:rsidRDefault="001C256F" w:rsidP="00751EBB">
            <w:pPr>
              <w:pStyle w:val="TableText0"/>
              <w:jc w:val="center"/>
            </w:pPr>
            <w:r w:rsidRPr="00480790">
              <w:t>-$</w:t>
            </w:r>
            <w:r w:rsidR="00487E5A" w:rsidRPr="00487E5A">
              <w:rPr>
                <w:color w:val="000000"/>
                <w:spacing w:val="53"/>
                <w:shd w:val="solid" w:color="000000" w:fill="000000"/>
                <w:fitText w:val="330" w:id="-663539701"/>
                <w14:textFill>
                  <w14:solidFill>
                    <w14:srgbClr w14:val="000000">
                      <w14:alpha w14:val="100000"/>
                    </w14:srgbClr>
                  </w14:solidFill>
                </w14:textFill>
              </w:rPr>
              <w:t>|||</w:t>
            </w:r>
            <w:r w:rsidR="00487E5A" w:rsidRPr="00487E5A">
              <w:rPr>
                <w:color w:val="000000"/>
                <w:spacing w:val="1"/>
                <w:shd w:val="solid" w:color="000000" w:fill="000000"/>
                <w:fitText w:val="330" w:id="-663539701"/>
                <w14:textFill>
                  <w14:solidFill>
                    <w14:srgbClr w14:val="000000">
                      <w14:alpha w14:val="100000"/>
                    </w14:srgbClr>
                  </w14:solidFill>
                </w14:textFill>
              </w:rPr>
              <w:t>|</w:t>
            </w:r>
            <w:r w:rsidR="0048666D">
              <w:t xml:space="preserve"> </w:t>
            </w:r>
            <w:r w:rsidR="0048666D">
              <w:rPr>
                <w:vertAlign w:val="superscript"/>
              </w:rPr>
              <w:t>7</w:t>
            </w:r>
          </w:p>
        </w:tc>
        <w:tc>
          <w:tcPr>
            <w:tcW w:w="611" w:type="pct"/>
            <w:shd w:val="clear" w:color="auto" w:fill="auto"/>
          </w:tcPr>
          <w:p w14:paraId="646AE818" w14:textId="3E0BFD3E" w:rsidR="001C256F" w:rsidRPr="00480790" w:rsidRDefault="001C256F" w:rsidP="00751EBB">
            <w:pPr>
              <w:pStyle w:val="TableText0"/>
              <w:jc w:val="center"/>
            </w:pPr>
            <w:r w:rsidRPr="00480790">
              <w:t>-$</w:t>
            </w:r>
            <w:r w:rsidR="00487E5A" w:rsidRPr="00487E5A">
              <w:rPr>
                <w:color w:val="000000"/>
                <w:spacing w:val="53"/>
                <w:shd w:val="solid" w:color="000000" w:fill="000000"/>
                <w:fitText w:val="330" w:id="-663539700"/>
                <w14:textFill>
                  <w14:solidFill>
                    <w14:srgbClr w14:val="000000">
                      <w14:alpha w14:val="100000"/>
                    </w14:srgbClr>
                  </w14:solidFill>
                </w14:textFill>
              </w:rPr>
              <w:t>|||</w:t>
            </w:r>
            <w:r w:rsidR="00487E5A" w:rsidRPr="00487E5A">
              <w:rPr>
                <w:color w:val="000000"/>
                <w:spacing w:val="1"/>
                <w:shd w:val="solid" w:color="000000" w:fill="000000"/>
                <w:fitText w:val="330" w:id="-663539700"/>
                <w14:textFill>
                  <w14:solidFill>
                    <w14:srgbClr w14:val="000000">
                      <w14:alpha w14:val="100000"/>
                    </w14:srgbClr>
                  </w14:solidFill>
                </w14:textFill>
              </w:rPr>
              <w:t>|</w:t>
            </w:r>
            <w:r w:rsidR="0048666D">
              <w:t xml:space="preserve"> </w:t>
            </w:r>
            <w:r w:rsidR="0048666D">
              <w:rPr>
                <w:vertAlign w:val="superscript"/>
              </w:rPr>
              <w:t>7</w:t>
            </w:r>
          </w:p>
        </w:tc>
        <w:tc>
          <w:tcPr>
            <w:tcW w:w="611" w:type="pct"/>
            <w:shd w:val="clear" w:color="auto" w:fill="auto"/>
          </w:tcPr>
          <w:p w14:paraId="7456D18F" w14:textId="19F8676A" w:rsidR="001C256F" w:rsidRPr="00480790" w:rsidRDefault="001C256F" w:rsidP="00751EBB">
            <w:pPr>
              <w:pStyle w:val="TableText0"/>
              <w:jc w:val="center"/>
            </w:pPr>
            <w:r w:rsidRPr="00480790">
              <w:t>-$</w:t>
            </w:r>
            <w:r w:rsidR="00487E5A" w:rsidRPr="00487E5A">
              <w:rPr>
                <w:color w:val="000000"/>
                <w:spacing w:val="53"/>
                <w:shd w:val="solid" w:color="000000" w:fill="000000"/>
                <w:fitText w:val="330" w:id="-663539699"/>
                <w14:textFill>
                  <w14:solidFill>
                    <w14:srgbClr w14:val="000000">
                      <w14:alpha w14:val="100000"/>
                    </w14:srgbClr>
                  </w14:solidFill>
                </w14:textFill>
              </w:rPr>
              <w:t>|||</w:t>
            </w:r>
            <w:r w:rsidR="00487E5A" w:rsidRPr="00487E5A">
              <w:rPr>
                <w:color w:val="000000"/>
                <w:spacing w:val="1"/>
                <w:shd w:val="solid" w:color="000000" w:fill="000000"/>
                <w:fitText w:val="330" w:id="-663539699"/>
                <w14:textFill>
                  <w14:solidFill>
                    <w14:srgbClr w14:val="000000">
                      <w14:alpha w14:val="100000"/>
                    </w14:srgbClr>
                  </w14:solidFill>
                </w14:textFill>
              </w:rPr>
              <w:t>|</w:t>
            </w:r>
            <w:r w:rsidR="0048666D">
              <w:t xml:space="preserve"> </w:t>
            </w:r>
            <w:r w:rsidR="0048666D">
              <w:rPr>
                <w:vertAlign w:val="superscript"/>
              </w:rPr>
              <w:t>7</w:t>
            </w:r>
          </w:p>
        </w:tc>
        <w:tc>
          <w:tcPr>
            <w:tcW w:w="611" w:type="pct"/>
          </w:tcPr>
          <w:p w14:paraId="41B249EB" w14:textId="148C6842" w:rsidR="001C256F" w:rsidRPr="00480790" w:rsidRDefault="001C256F" w:rsidP="00751EBB">
            <w:pPr>
              <w:pStyle w:val="TableText0"/>
              <w:jc w:val="center"/>
            </w:pPr>
            <w:r w:rsidRPr="00480790">
              <w:t>-$</w:t>
            </w:r>
            <w:r w:rsidR="00487E5A" w:rsidRPr="00487E5A">
              <w:rPr>
                <w:color w:val="000000"/>
                <w:spacing w:val="53"/>
                <w:shd w:val="solid" w:color="000000" w:fill="000000"/>
                <w:fitText w:val="330" w:id="-663539698"/>
                <w14:textFill>
                  <w14:solidFill>
                    <w14:srgbClr w14:val="000000">
                      <w14:alpha w14:val="100000"/>
                    </w14:srgbClr>
                  </w14:solidFill>
                </w14:textFill>
              </w:rPr>
              <w:t>|||</w:t>
            </w:r>
            <w:r w:rsidR="00487E5A" w:rsidRPr="00487E5A">
              <w:rPr>
                <w:color w:val="000000"/>
                <w:spacing w:val="1"/>
                <w:shd w:val="solid" w:color="000000" w:fill="000000"/>
                <w:fitText w:val="330" w:id="-663539698"/>
                <w14:textFill>
                  <w14:solidFill>
                    <w14:srgbClr w14:val="000000">
                      <w14:alpha w14:val="100000"/>
                    </w14:srgbClr>
                  </w14:solidFill>
                </w14:textFill>
              </w:rPr>
              <w:t>|</w:t>
            </w:r>
            <w:r w:rsidR="0048666D">
              <w:t xml:space="preserve"> </w:t>
            </w:r>
            <w:r w:rsidR="0048666D">
              <w:rPr>
                <w:vertAlign w:val="superscript"/>
              </w:rPr>
              <w:t>7</w:t>
            </w:r>
          </w:p>
        </w:tc>
      </w:tr>
      <w:tr w:rsidR="00AB01EA" w:rsidRPr="00480790" w14:paraId="6F4A944A" w14:textId="77777777">
        <w:tc>
          <w:tcPr>
            <w:tcW w:w="1334" w:type="pct"/>
            <w:shd w:val="clear" w:color="auto" w:fill="auto"/>
            <w:vAlign w:val="center"/>
          </w:tcPr>
          <w:p w14:paraId="4A02A683" w14:textId="77777777" w:rsidR="001C256F" w:rsidRPr="00480790" w:rsidRDefault="001C256F" w:rsidP="00751EBB">
            <w:pPr>
              <w:pStyle w:val="TableText0"/>
              <w:rPr>
                <w:sz w:val="19"/>
                <w:szCs w:val="19"/>
              </w:rPr>
            </w:pPr>
            <w:r w:rsidRPr="00480790">
              <w:rPr>
                <w:sz w:val="19"/>
                <w:szCs w:val="19"/>
              </w:rPr>
              <w:t>Net cost to PBS/RPBS/MBS</w:t>
            </w:r>
            <w:r w:rsidRPr="00480790">
              <w:rPr>
                <w:sz w:val="19"/>
                <w:szCs w:val="19"/>
                <w:vertAlign w:val="superscript"/>
              </w:rPr>
              <w:t>2</w:t>
            </w:r>
          </w:p>
        </w:tc>
        <w:tc>
          <w:tcPr>
            <w:tcW w:w="611" w:type="pct"/>
            <w:shd w:val="clear" w:color="auto" w:fill="auto"/>
          </w:tcPr>
          <w:p w14:paraId="62BAD69D" w14:textId="79D8BD0E"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697"/>
                <w14:textFill>
                  <w14:solidFill>
                    <w14:srgbClr w14:val="000000">
                      <w14:alpha w14:val="100000"/>
                    </w14:srgbClr>
                  </w14:solidFill>
                </w14:textFill>
              </w:rPr>
              <w:t>|||</w:t>
            </w:r>
            <w:r w:rsidR="00487E5A" w:rsidRPr="00487E5A">
              <w:rPr>
                <w:color w:val="000000"/>
                <w:spacing w:val="3"/>
                <w:shd w:val="solid" w:color="000000" w:fill="000000"/>
                <w:fitText w:val="320" w:id="-663539697"/>
                <w14:textFill>
                  <w14:solidFill>
                    <w14:srgbClr w14:val="000000">
                      <w14:alpha w14:val="100000"/>
                    </w14:srgbClr>
                  </w14:solidFill>
                </w14:textFill>
              </w:rPr>
              <w:t>|</w:t>
            </w:r>
            <w:r w:rsidR="00785B6D">
              <w:t xml:space="preserve"> </w:t>
            </w:r>
            <w:r w:rsidR="00785B6D">
              <w:rPr>
                <w:vertAlign w:val="superscript"/>
              </w:rPr>
              <w:t>5</w:t>
            </w:r>
          </w:p>
          <w:p w14:paraId="34C83BDF" w14:textId="103B14AC" w:rsidR="001C256F" w:rsidRPr="00480790" w:rsidRDefault="001C256F" w:rsidP="00751EBB">
            <w:pPr>
              <w:pStyle w:val="TableText0"/>
              <w:jc w:val="center"/>
              <w:rPr>
                <w:i/>
                <w:iCs/>
              </w:rPr>
            </w:pPr>
            <w:r w:rsidRPr="00480790">
              <w:rPr>
                <w:i/>
                <w:iCs/>
              </w:rPr>
              <w:t>$</w:t>
            </w:r>
            <w:r w:rsidR="00487E5A" w:rsidRPr="00487E5A">
              <w:rPr>
                <w:i/>
                <w:iCs/>
                <w:color w:val="000000"/>
                <w:spacing w:val="49"/>
                <w:shd w:val="solid" w:color="000000" w:fill="000000"/>
                <w:fitText w:val="320" w:id="-663539696"/>
                <w14:textFill>
                  <w14:solidFill>
                    <w14:srgbClr w14:val="000000">
                      <w14:alpha w14:val="100000"/>
                    </w14:srgbClr>
                  </w14:solidFill>
                </w14:textFill>
              </w:rPr>
              <w:t>|||</w:t>
            </w:r>
            <w:r w:rsidR="00487E5A" w:rsidRPr="00487E5A">
              <w:rPr>
                <w:i/>
                <w:iCs/>
                <w:color w:val="000000"/>
                <w:spacing w:val="3"/>
                <w:shd w:val="solid" w:color="000000" w:fill="000000"/>
                <w:fitText w:val="320" w:id="-663539696"/>
                <w14:textFill>
                  <w14:solidFill>
                    <w14:srgbClr w14:val="000000">
                      <w14:alpha w14:val="100000"/>
                    </w14:srgbClr>
                  </w14:solidFill>
                </w14:textFill>
              </w:rPr>
              <w:t>|</w:t>
            </w:r>
            <w:r w:rsidR="00785B6D">
              <w:t xml:space="preserve"> </w:t>
            </w:r>
            <w:r w:rsidR="00785B6D">
              <w:rPr>
                <w:vertAlign w:val="superscript"/>
              </w:rPr>
              <w:t>5</w:t>
            </w:r>
          </w:p>
        </w:tc>
        <w:tc>
          <w:tcPr>
            <w:tcW w:w="611" w:type="pct"/>
            <w:shd w:val="clear" w:color="auto" w:fill="auto"/>
          </w:tcPr>
          <w:p w14:paraId="00ADB700" w14:textId="00616CDD"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12"/>
                <w14:textFill>
                  <w14:solidFill>
                    <w14:srgbClr w14:val="000000">
                      <w14:alpha w14:val="100000"/>
                    </w14:srgbClr>
                  </w14:solidFill>
                </w14:textFill>
              </w:rPr>
              <w:t>|||</w:t>
            </w:r>
            <w:r w:rsidR="00487E5A" w:rsidRPr="00487E5A">
              <w:rPr>
                <w:color w:val="000000"/>
                <w:spacing w:val="3"/>
                <w:shd w:val="solid" w:color="000000" w:fill="000000"/>
                <w:fitText w:val="320" w:id="-663539712"/>
                <w14:textFill>
                  <w14:solidFill>
                    <w14:srgbClr w14:val="000000">
                      <w14:alpha w14:val="100000"/>
                    </w14:srgbClr>
                  </w14:solidFill>
                </w14:textFill>
              </w:rPr>
              <w:t>|</w:t>
            </w:r>
            <w:r w:rsidR="0048666D">
              <w:t xml:space="preserve"> </w:t>
            </w:r>
            <w:r w:rsidR="0048666D">
              <w:rPr>
                <w:vertAlign w:val="superscript"/>
              </w:rPr>
              <w:t>6</w:t>
            </w:r>
          </w:p>
          <w:p w14:paraId="23523E70" w14:textId="562EB9B3" w:rsidR="001C256F" w:rsidRPr="00480790" w:rsidRDefault="001C256F" w:rsidP="00751EBB">
            <w:pPr>
              <w:pStyle w:val="TableText0"/>
              <w:jc w:val="center"/>
              <w:rPr>
                <w:i/>
                <w:iCs/>
              </w:rPr>
            </w:pPr>
            <w:r w:rsidRPr="00480790">
              <w:rPr>
                <w:i/>
                <w:iCs/>
              </w:rPr>
              <w:t>$</w:t>
            </w:r>
            <w:r w:rsidR="00487E5A" w:rsidRPr="00487E5A">
              <w:rPr>
                <w:i/>
                <w:iCs/>
                <w:color w:val="000000"/>
                <w:spacing w:val="49"/>
                <w:shd w:val="solid" w:color="000000" w:fill="000000"/>
                <w:fitText w:val="320" w:id="-663539711"/>
                <w14:textFill>
                  <w14:solidFill>
                    <w14:srgbClr w14:val="000000">
                      <w14:alpha w14:val="100000"/>
                    </w14:srgbClr>
                  </w14:solidFill>
                </w14:textFill>
              </w:rPr>
              <w:t>|||</w:t>
            </w:r>
            <w:r w:rsidR="00487E5A" w:rsidRPr="00487E5A">
              <w:rPr>
                <w:i/>
                <w:iCs/>
                <w:color w:val="000000"/>
                <w:spacing w:val="3"/>
                <w:shd w:val="solid" w:color="000000" w:fill="000000"/>
                <w:fitText w:val="320" w:id="-663539711"/>
                <w14:textFill>
                  <w14:solidFill>
                    <w14:srgbClr w14:val="000000">
                      <w14:alpha w14:val="100000"/>
                    </w14:srgbClr>
                  </w14:solidFill>
                </w14:textFill>
              </w:rPr>
              <w:t>|</w:t>
            </w:r>
            <w:r w:rsidR="0048666D">
              <w:t xml:space="preserve"> </w:t>
            </w:r>
            <w:r w:rsidR="0048666D">
              <w:rPr>
                <w:vertAlign w:val="superscript"/>
              </w:rPr>
              <w:t>6</w:t>
            </w:r>
          </w:p>
        </w:tc>
        <w:tc>
          <w:tcPr>
            <w:tcW w:w="611" w:type="pct"/>
            <w:shd w:val="clear" w:color="auto" w:fill="auto"/>
          </w:tcPr>
          <w:p w14:paraId="25321473" w14:textId="37DF99CB"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10"/>
                <w14:textFill>
                  <w14:solidFill>
                    <w14:srgbClr w14:val="000000">
                      <w14:alpha w14:val="100000"/>
                    </w14:srgbClr>
                  </w14:solidFill>
                </w14:textFill>
              </w:rPr>
              <w:t>|||</w:t>
            </w:r>
            <w:r w:rsidR="00487E5A" w:rsidRPr="00487E5A">
              <w:rPr>
                <w:color w:val="000000"/>
                <w:spacing w:val="3"/>
                <w:shd w:val="solid" w:color="000000" w:fill="000000"/>
                <w:fitText w:val="320" w:id="-663539710"/>
                <w14:textFill>
                  <w14:solidFill>
                    <w14:srgbClr w14:val="000000">
                      <w14:alpha w14:val="100000"/>
                    </w14:srgbClr>
                  </w14:solidFill>
                </w14:textFill>
              </w:rPr>
              <w:t>|</w:t>
            </w:r>
            <w:r w:rsidR="0048666D">
              <w:t xml:space="preserve"> </w:t>
            </w:r>
            <w:r w:rsidR="0048666D">
              <w:rPr>
                <w:vertAlign w:val="superscript"/>
              </w:rPr>
              <w:t>6</w:t>
            </w:r>
          </w:p>
          <w:p w14:paraId="0D4742E1" w14:textId="3A28D651" w:rsidR="001C256F" w:rsidRPr="00480790" w:rsidRDefault="001C256F" w:rsidP="00751EBB">
            <w:pPr>
              <w:pStyle w:val="TableText0"/>
              <w:jc w:val="center"/>
            </w:pPr>
            <w:r w:rsidRPr="00480790">
              <w:rPr>
                <w:i/>
                <w:iCs/>
              </w:rPr>
              <w:t>$</w:t>
            </w:r>
            <w:r w:rsidR="00487E5A" w:rsidRPr="00487E5A">
              <w:rPr>
                <w:i/>
                <w:iCs/>
                <w:color w:val="000000"/>
                <w:spacing w:val="49"/>
                <w:shd w:val="solid" w:color="000000" w:fill="000000"/>
                <w:fitText w:val="320" w:id="-663539709"/>
                <w14:textFill>
                  <w14:solidFill>
                    <w14:srgbClr w14:val="000000">
                      <w14:alpha w14:val="100000"/>
                    </w14:srgbClr>
                  </w14:solidFill>
                </w14:textFill>
              </w:rPr>
              <w:t>|||</w:t>
            </w:r>
            <w:r w:rsidR="00487E5A" w:rsidRPr="00487E5A">
              <w:rPr>
                <w:i/>
                <w:iCs/>
                <w:color w:val="000000"/>
                <w:spacing w:val="3"/>
                <w:shd w:val="solid" w:color="000000" w:fill="000000"/>
                <w:fitText w:val="320" w:id="-663539709"/>
                <w14:textFill>
                  <w14:solidFill>
                    <w14:srgbClr w14:val="000000">
                      <w14:alpha w14:val="100000"/>
                    </w14:srgbClr>
                  </w14:solidFill>
                </w14:textFill>
              </w:rPr>
              <w:t>|</w:t>
            </w:r>
            <w:r w:rsidR="0048666D">
              <w:t xml:space="preserve"> </w:t>
            </w:r>
            <w:r w:rsidR="0048666D">
              <w:rPr>
                <w:vertAlign w:val="superscript"/>
              </w:rPr>
              <w:t>6</w:t>
            </w:r>
          </w:p>
        </w:tc>
        <w:tc>
          <w:tcPr>
            <w:tcW w:w="611" w:type="pct"/>
            <w:shd w:val="clear" w:color="auto" w:fill="auto"/>
          </w:tcPr>
          <w:p w14:paraId="01DD6B53" w14:textId="51BA298F"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8"/>
                <w14:textFill>
                  <w14:solidFill>
                    <w14:srgbClr w14:val="000000">
                      <w14:alpha w14:val="100000"/>
                    </w14:srgbClr>
                  </w14:solidFill>
                </w14:textFill>
              </w:rPr>
              <w:t>|||</w:t>
            </w:r>
            <w:r w:rsidR="00487E5A" w:rsidRPr="00487E5A">
              <w:rPr>
                <w:color w:val="000000"/>
                <w:spacing w:val="3"/>
                <w:shd w:val="solid" w:color="000000" w:fill="000000"/>
                <w:fitText w:val="320" w:id="-663539708"/>
                <w14:textFill>
                  <w14:solidFill>
                    <w14:srgbClr w14:val="000000">
                      <w14:alpha w14:val="100000"/>
                    </w14:srgbClr>
                  </w14:solidFill>
                </w14:textFill>
              </w:rPr>
              <w:t>|</w:t>
            </w:r>
            <w:r w:rsidR="0048666D">
              <w:t xml:space="preserve"> </w:t>
            </w:r>
            <w:r w:rsidR="0048666D">
              <w:rPr>
                <w:vertAlign w:val="superscript"/>
              </w:rPr>
              <w:t>6</w:t>
            </w:r>
          </w:p>
          <w:p w14:paraId="266B061D" w14:textId="55C38BC9" w:rsidR="001C256F" w:rsidRPr="00480790" w:rsidRDefault="001C256F" w:rsidP="00751EBB">
            <w:pPr>
              <w:pStyle w:val="TableText0"/>
              <w:jc w:val="center"/>
            </w:pPr>
            <w:r w:rsidRPr="00480790">
              <w:rPr>
                <w:i/>
                <w:iCs/>
              </w:rPr>
              <w:t>$</w:t>
            </w:r>
            <w:r w:rsidR="00487E5A" w:rsidRPr="00487E5A">
              <w:rPr>
                <w:i/>
                <w:iCs/>
                <w:color w:val="000000"/>
                <w:spacing w:val="49"/>
                <w:shd w:val="solid" w:color="000000" w:fill="000000"/>
                <w:fitText w:val="320" w:id="-663539707"/>
                <w14:textFill>
                  <w14:solidFill>
                    <w14:srgbClr w14:val="000000">
                      <w14:alpha w14:val="100000"/>
                    </w14:srgbClr>
                  </w14:solidFill>
                </w14:textFill>
              </w:rPr>
              <w:t>|||</w:t>
            </w:r>
            <w:r w:rsidR="00487E5A" w:rsidRPr="00487E5A">
              <w:rPr>
                <w:i/>
                <w:iCs/>
                <w:color w:val="000000"/>
                <w:spacing w:val="3"/>
                <w:shd w:val="solid" w:color="000000" w:fill="000000"/>
                <w:fitText w:val="320" w:id="-663539707"/>
                <w14:textFill>
                  <w14:solidFill>
                    <w14:srgbClr w14:val="000000">
                      <w14:alpha w14:val="100000"/>
                    </w14:srgbClr>
                  </w14:solidFill>
                </w14:textFill>
              </w:rPr>
              <w:t>|</w:t>
            </w:r>
            <w:r w:rsidR="0048666D">
              <w:t xml:space="preserve"> </w:t>
            </w:r>
            <w:r w:rsidR="0048666D">
              <w:rPr>
                <w:vertAlign w:val="superscript"/>
              </w:rPr>
              <w:t>6</w:t>
            </w:r>
          </w:p>
        </w:tc>
        <w:tc>
          <w:tcPr>
            <w:tcW w:w="611" w:type="pct"/>
            <w:shd w:val="clear" w:color="auto" w:fill="auto"/>
          </w:tcPr>
          <w:p w14:paraId="72D65625" w14:textId="31E7522C"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6"/>
                <w14:textFill>
                  <w14:solidFill>
                    <w14:srgbClr w14:val="000000">
                      <w14:alpha w14:val="100000"/>
                    </w14:srgbClr>
                  </w14:solidFill>
                </w14:textFill>
              </w:rPr>
              <w:t>|||</w:t>
            </w:r>
            <w:r w:rsidR="00487E5A" w:rsidRPr="00487E5A">
              <w:rPr>
                <w:color w:val="000000"/>
                <w:spacing w:val="3"/>
                <w:shd w:val="solid" w:color="000000" w:fill="000000"/>
                <w:fitText w:val="320" w:id="-663539706"/>
                <w14:textFill>
                  <w14:solidFill>
                    <w14:srgbClr w14:val="000000">
                      <w14:alpha w14:val="100000"/>
                    </w14:srgbClr>
                  </w14:solidFill>
                </w14:textFill>
              </w:rPr>
              <w:t>|</w:t>
            </w:r>
            <w:r w:rsidR="0048666D">
              <w:t xml:space="preserve"> </w:t>
            </w:r>
            <w:r w:rsidR="0048666D">
              <w:rPr>
                <w:vertAlign w:val="superscript"/>
              </w:rPr>
              <w:t>6</w:t>
            </w:r>
          </w:p>
          <w:p w14:paraId="23B3CD34" w14:textId="42950751" w:rsidR="001C256F" w:rsidRPr="00480790" w:rsidRDefault="001C256F" w:rsidP="00751EBB">
            <w:pPr>
              <w:pStyle w:val="TableText0"/>
              <w:jc w:val="center"/>
            </w:pPr>
            <w:r w:rsidRPr="00480790">
              <w:rPr>
                <w:i/>
                <w:iCs/>
              </w:rPr>
              <w:t>$</w:t>
            </w:r>
            <w:r w:rsidR="00487E5A" w:rsidRPr="00487E5A">
              <w:rPr>
                <w:i/>
                <w:iCs/>
                <w:color w:val="000000"/>
                <w:spacing w:val="49"/>
                <w:shd w:val="solid" w:color="000000" w:fill="000000"/>
                <w:fitText w:val="320" w:id="-663539705"/>
                <w14:textFill>
                  <w14:solidFill>
                    <w14:srgbClr w14:val="000000">
                      <w14:alpha w14:val="100000"/>
                    </w14:srgbClr>
                  </w14:solidFill>
                </w14:textFill>
              </w:rPr>
              <w:t>|||</w:t>
            </w:r>
            <w:r w:rsidR="00487E5A" w:rsidRPr="00487E5A">
              <w:rPr>
                <w:i/>
                <w:iCs/>
                <w:color w:val="000000"/>
                <w:spacing w:val="3"/>
                <w:shd w:val="solid" w:color="000000" w:fill="000000"/>
                <w:fitText w:val="320" w:id="-663539705"/>
                <w14:textFill>
                  <w14:solidFill>
                    <w14:srgbClr w14:val="000000">
                      <w14:alpha w14:val="100000"/>
                    </w14:srgbClr>
                  </w14:solidFill>
                </w14:textFill>
              </w:rPr>
              <w:t>|</w:t>
            </w:r>
            <w:r w:rsidR="0048666D">
              <w:t xml:space="preserve"> </w:t>
            </w:r>
            <w:r w:rsidR="0048666D">
              <w:rPr>
                <w:vertAlign w:val="superscript"/>
              </w:rPr>
              <w:t>6</w:t>
            </w:r>
          </w:p>
        </w:tc>
        <w:tc>
          <w:tcPr>
            <w:tcW w:w="611" w:type="pct"/>
          </w:tcPr>
          <w:p w14:paraId="43D41A95" w14:textId="236FE0C5" w:rsidR="001C256F" w:rsidRPr="00480790" w:rsidRDefault="001C256F" w:rsidP="00751EBB">
            <w:pPr>
              <w:pStyle w:val="TableText0"/>
              <w:jc w:val="center"/>
            </w:pPr>
            <w:r w:rsidRPr="00480790">
              <w:t>$</w:t>
            </w:r>
            <w:r w:rsidR="00487E5A" w:rsidRPr="00487E5A">
              <w:rPr>
                <w:color w:val="000000"/>
                <w:spacing w:val="49"/>
                <w:shd w:val="solid" w:color="000000" w:fill="000000"/>
                <w:fitText w:val="320" w:id="-663539704"/>
                <w14:textFill>
                  <w14:solidFill>
                    <w14:srgbClr w14:val="000000">
                      <w14:alpha w14:val="100000"/>
                    </w14:srgbClr>
                  </w14:solidFill>
                </w14:textFill>
              </w:rPr>
              <w:t>|||</w:t>
            </w:r>
            <w:r w:rsidR="00487E5A" w:rsidRPr="00487E5A">
              <w:rPr>
                <w:color w:val="000000"/>
                <w:spacing w:val="3"/>
                <w:shd w:val="solid" w:color="000000" w:fill="000000"/>
                <w:fitText w:val="320" w:id="-663539704"/>
                <w14:textFill>
                  <w14:solidFill>
                    <w14:srgbClr w14:val="000000">
                      <w14:alpha w14:val="100000"/>
                    </w14:srgbClr>
                  </w14:solidFill>
                </w14:textFill>
              </w:rPr>
              <w:t>|</w:t>
            </w:r>
            <w:r w:rsidR="0048666D">
              <w:t xml:space="preserve"> </w:t>
            </w:r>
            <w:r w:rsidR="0048666D">
              <w:rPr>
                <w:vertAlign w:val="superscript"/>
              </w:rPr>
              <w:t>6</w:t>
            </w:r>
          </w:p>
          <w:p w14:paraId="3B0CA60A" w14:textId="00AEA58C" w:rsidR="001C256F" w:rsidRPr="00480790" w:rsidRDefault="001C256F" w:rsidP="00751EBB">
            <w:pPr>
              <w:pStyle w:val="TableText0"/>
              <w:jc w:val="center"/>
            </w:pPr>
            <w:r w:rsidRPr="00480790">
              <w:rPr>
                <w:i/>
                <w:iCs/>
              </w:rPr>
              <w:t>$</w:t>
            </w:r>
            <w:r w:rsidR="00487E5A" w:rsidRPr="00AB0DBE">
              <w:rPr>
                <w:i/>
                <w:iCs/>
                <w:color w:val="000000"/>
                <w:spacing w:val="49"/>
                <w:shd w:val="solid" w:color="000000" w:fill="000000"/>
                <w:fitText w:val="320" w:id="-663539703"/>
                <w14:textFill>
                  <w14:solidFill>
                    <w14:srgbClr w14:val="000000">
                      <w14:alpha w14:val="100000"/>
                    </w14:srgbClr>
                  </w14:solidFill>
                </w14:textFill>
              </w:rPr>
              <w:t>|||</w:t>
            </w:r>
            <w:r w:rsidR="00487E5A" w:rsidRPr="00AB0DBE">
              <w:rPr>
                <w:i/>
                <w:iCs/>
                <w:color w:val="000000"/>
                <w:spacing w:val="3"/>
                <w:shd w:val="solid" w:color="000000" w:fill="000000"/>
                <w:fitText w:val="320" w:id="-663539703"/>
                <w14:textFill>
                  <w14:solidFill>
                    <w14:srgbClr w14:val="000000">
                      <w14:alpha w14:val="100000"/>
                    </w14:srgbClr>
                  </w14:solidFill>
                </w14:textFill>
              </w:rPr>
              <w:t>|</w:t>
            </w:r>
            <w:r w:rsidR="0048666D">
              <w:t xml:space="preserve"> </w:t>
            </w:r>
            <w:r w:rsidR="0048666D">
              <w:rPr>
                <w:vertAlign w:val="superscript"/>
              </w:rPr>
              <w:t>6</w:t>
            </w:r>
          </w:p>
        </w:tc>
      </w:tr>
    </w:tbl>
    <w:p w14:paraId="1B27BFBD" w14:textId="77777777" w:rsidR="001C256F" w:rsidRPr="00480790" w:rsidRDefault="001C256F" w:rsidP="00751EBB">
      <w:pPr>
        <w:pStyle w:val="FooterTableFigure"/>
        <w:keepNext/>
      </w:pPr>
      <w:r w:rsidRPr="00480790">
        <w:t>Source: Table 4.9, p114, Table 4.10, p114, Table 14, p116, Table 19, p119, Table 20, p120, Table 4.24, p122, Table 4.25, p122 of the submission.</w:t>
      </w:r>
    </w:p>
    <w:p w14:paraId="5EF37C04" w14:textId="77777777" w:rsidR="001C256F" w:rsidRPr="00480790" w:rsidRDefault="001C256F" w:rsidP="00751EBB">
      <w:pPr>
        <w:pStyle w:val="FooterTableFigure"/>
        <w:keepNext/>
      </w:pPr>
      <w:r w:rsidRPr="00480790">
        <w:t>MBS=Medicare Benefit Schedule, PBS = Pharmaceutical Benefits Scheme, RPBS = Repatriation Pharmaceutical Benefits Scheme.</w:t>
      </w:r>
    </w:p>
    <w:p w14:paraId="3DE994CC" w14:textId="77777777" w:rsidR="001C256F" w:rsidRPr="00480790" w:rsidRDefault="001C256F" w:rsidP="00751EBB">
      <w:pPr>
        <w:pStyle w:val="FooterTableFigure"/>
        <w:keepNext/>
      </w:pPr>
      <w:r w:rsidRPr="00480790">
        <w:rPr>
          <w:vertAlign w:val="superscript"/>
        </w:rPr>
        <w:t>1</w:t>
      </w:r>
      <w:r w:rsidRPr="00480790">
        <w:t xml:space="preserve"> Each patient had a mean of 23.5 scripts of alectinib.</w:t>
      </w:r>
    </w:p>
    <w:p w14:paraId="44FE2CCD" w14:textId="77777777" w:rsidR="001C256F" w:rsidRDefault="001C256F" w:rsidP="00CD5DEB">
      <w:pPr>
        <w:pStyle w:val="FooterTableFigure"/>
        <w:keepNext/>
        <w:spacing w:after="0"/>
        <w:rPr>
          <w:i/>
          <w:iCs/>
        </w:rPr>
      </w:pPr>
      <w:r w:rsidRPr="00480790">
        <w:rPr>
          <w:i/>
          <w:iCs/>
          <w:vertAlign w:val="superscript"/>
        </w:rPr>
        <w:t>2</w:t>
      </w:r>
      <w:r w:rsidRPr="00480790">
        <w:rPr>
          <w:i/>
          <w:iCs/>
        </w:rPr>
        <w:t xml:space="preserve"> Figures in italics after correction of treatment duration of chemotherapy.</w:t>
      </w:r>
    </w:p>
    <w:p w14:paraId="1CB90D19" w14:textId="00973697" w:rsidR="00CD5DEB" w:rsidRPr="009A6D58" w:rsidRDefault="00CD5DEB" w:rsidP="00CD5DE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2382D6F" w14:textId="1DA3EFE9" w:rsidR="00CD5DEB" w:rsidRDefault="00CD5DEB" w:rsidP="00CD5DE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247076" w:rsidRPr="00247076">
        <w:rPr>
          <w:rFonts w:ascii="Arial Narrow" w:hAnsi="Arial Narrow"/>
          <w:i/>
          <w:sz w:val="18"/>
          <w:szCs w:val="18"/>
        </w:rPr>
        <w:t>&lt; 500</w:t>
      </w:r>
    </w:p>
    <w:p w14:paraId="4033BB63" w14:textId="1E1E813B" w:rsidR="00CD5DEB" w:rsidRDefault="00CD5DEB" w:rsidP="00CD5DEB">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480D1F" w:rsidRPr="00480D1F">
        <w:rPr>
          <w:rFonts w:ascii="Arial Narrow" w:hAnsi="Arial Narrow"/>
          <w:i/>
          <w:sz w:val="18"/>
          <w:szCs w:val="18"/>
        </w:rPr>
        <w:t>500 to &lt; 5,000</w:t>
      </w:r>
    </w:p>
    <w:p w14:paraId="1BA8AA6C" w14:textId="3FAE9681" w:rsidR="00CD5DEB" w:rsidRDefault="00CD5DEB" w:rsidP="00CD5DEB">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EA43BF" w:rsidRPr="00EA43BF">
        <w:rPr>
          <w:rFonts w:ascii="Arial Narrow" w:hAnsi="Arial Narrow"/>
          <w:i/>
          <w:sz w:val="18"/>
          <w:szCs w:val="18"/>
        </w:rPr>
        <w:t>$0 to &lt; $10 million</w:t>
      </w:r>
    </w:p>
    <w:p w14:paraId="309EB977" w14:textId="4567AE45" w:rsidR="00CD5DEB" w:rsidRDefault="00CD5DEB" w:rsidP="00CD5DEB">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E11CDF" w:rsidRPr="00E11CDF">
        <w:rPr>
          <w:rFonts w:ascii="Arial Narrow" w:hAnsi="Arial Narrow"/>
          <w:i/>
          <w:sz w:val="18"/>
          <w:szCs w:val="18"/>
        </w:rPr>
        <w:t>$10 million to &lt; $20 million</w:t>
      </w:r>
    </w:p>
    <w:p w14:paraId="47FC688C" w14:textId="696DEA90" w:rsidR="00CD5DEB" w:rsidRPr="00CD5DEB" w:rsidRDefault="00CD5DEB" w:rsidP="00CD5DEB">
      <w:pPr>
        <w:spacing w:after="120"/>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316923" w:rsidRPr="00316923">
        <w:rPr>
          <w:rFonts w:ascii="Arial Narrow" w:hAnsi="Arial Narrow"/>
          <w:i/>
          <w:sz w:val="18"/>
          <w:szCs w:val="18"/>
        </w:rPr>
        <w:t>net cost saving</w:t>
      </w:r>
    </w:p>
    <w:p w14:paraId="66099461" w14:textId="7680FE76" w:rsidR="001C256F" w:rsidRPr="00480790" w:rsidRDefault="001C256F" w:rsidP="002843F8">
      <w:pPr>
        <w:pStyle w:val="3-BodyText"/>
        <w:rPr>
          <w:lang w:val="en-AU"/>
        </w:rPr>
      </w:pPr>
      <w:r w:rsidRPr="00480790">
        <w:rPr>
          <w:lang w:val="en-AU"/>
        </w:rPr>
        <w:lastRenderedPageBreak/>
        <w:t xml:space="preserve">The total cost to the PBS/RPBS of listing alectinib was estimated to be </w:t>
      </w:r>
      <w:r w:rsidR="00516218" w:rsidRPr="00516218">
        <w:rPr>
          <w:lang w:val="en-AU"/>
        </w:rPr>
        <w:t>$10 million to &lt; $20 million</w:t>
      </w:r>
      <w:r w:rsidRPr="00480790">
        <w:rPr>
          <w:lang w:val="en-AU"/>
        </w:rPr>
        <w:t xml:space="preserve"> in Year 6, and a total of </w:t>
      </w:r>
      <w:r w:rsidR="00BC6946" w:rsidRPr="00BC6946">
        <w:rPr>
          <w:lang w:val="en-AU"/>
        </w:rPr>
        <w:t>$70 million to &lt; $80 million</w:t>
      </w:r>
      <w:r w:rsidRPr="00480790">
        <w:rPr>
          <w:lang w:val="en-AU"/>
        </w:rPr>
        <w:t xml:space="preserve"> in the first 6 years of listing.</w:t>
      </w:r>
    </w:p>
    <w:p w14:paraId="188E3A43" w14:textId="77777777" w:rsidR="001C256F" w:rsidRPr="00480790" w:rsidRDefault="001C256F" w:rsidP="002843F8">
      <w:pPr>
        <w:pStyle w:val="3-BodyText"/>
        <w:rPr>
          <w:lang w:val="en-AU"/>
        </w:rPr>
      </w:pPr>
      <w:r w:rsidRPr="00480790">
        <w:rPr>
          <w:lang w:val="en-AU"/>
        </w:rPr>
        <w:t xml:space="preserve">The submission stated that a patient access program for alectinib was planned to commence following TGA approval of alectinib. Eligibility for the access program will strictly align with the proposed PBS restriction for alectinib. </w:t>
      </w:r>
    </w:p>
    <w:p w14:paraId="76A5E261" w14:textId="4DAEDBAB" w:rsidR="00791C1C" w:rsidRPr="00480790" w:rsidRDefault="001C256F" w:rsidP="00791C1C">
      <w:pPr>
        <w:pStyle w:val="3-BodyText"/>
        <w:rPr>
          <w:lang w:val="en-AU"/>
        </w:rPr>
      </w:pPr>
      <w:r w:rsidRPr="00480790">
        <w:rPr>
          <w:lang w:val="en-AU"/>
        </w:rPr>
        <w:t xml:space="preserve">The submission estimated </w:t>
      </w:r>
      <w:r w:rsidR="00436345">
        <w:rPr>
          <w:lang w:val="en-AU"/>
        </w:rPr>
        <w:t>&lt;</w:t>
      </w:r>
      <w:r w:rsidR="00BC6946">
        <w:rPr>
          <w:lang w:val="en-AU"/>
        </w:rPr>
        <w:t> </w:t>
      </w:r>
      <w:r w:rsidR="00436345">
        <w:rPr>
          <w:lang w:val="en-AU"/>
        </w:rPr>
        <w:t>500</w:t>
      </w:r>
      <w:r w:rsidR="00BC6946" w:rsidRPr="00480790">
        <w:rPr>
          <w:lang w:val="en-AU"/>
        </w:rPr>
        <w:t xml:space="preserve"> </w:t>
      </w:r>
      <w:r w:rsidRPr="00480790">
        <w:rPr>
          <w:lang w:val="en-AU"/>
        </w:rPr>
        <w:t xml:space="preserve">patients with resected ALK-positive NSCLC (tumours ≥4 cm or node positive) and a WHO PS ≤1 were expected to be on the access program by 1 January 2025 and be eligible for PBS-subsidised treatment should the PBAC recommend alectinib as proposed. </w:t>
      </w:r>
      <w:r w:rsidRPr="00480790">
        <w:rPr>
          <w:iCs/>
          <w:lang w:val="en-AU"/>
        </w:rPr>
        <w:t xml:space="preserve">The ESC requested the sponsor provide an update on the patient access program in its pre-PBAC response. </w:t>
      </w:r>
      <w:r w:rsidRPr="00480790">
        <w:rPr>
          <w:lang w:val="en-AU"/>
        </w:rPr>
        <w:t xml:space="preserve">The pre-PBAC response confirmed that </w:t>
      </w:r>
      <w:r w:rsidRPr="00480790">
        <w:rPr>
          <w:rFonts w:ascii="Calibri" w:eastAsia="Calibri" w:hAnsi="Calibri" w:cs="Calibri"/>
          <w:lang w:val="en-AU"/>
        </w:rPr>
        <w:t xml:space="preserve">a patient access program for alectinib </w:t>
      </w:r>
      <w:r w:rsidR="002B2D31" w:rsidRPr="00480790">
        <w:rPr>
          <w:rFonts w:ascii="Calibri" w:eastAsia="Calibri" w:hAnsi="Calibri" w:cs="Calibri"/>
          <w:lang w:val="en-AU"/>
        </w:rPr>
        <w:t>wa</w:t>
      </w:r>
      <w:r w:rsidRPr="00480790">
        <w:rPr>
          <w:rFonts w:ascii="Calibri" w:eastAsia="Calibri" w:hAnsi="Calibri" w:cs="Calibri"/>
          <w:lang w:val="en-AU"/>
        </w:rPr>
        <w:t>s open, with eligibility aligned with the proposed PBS restriction for alectinib and further confirmed</w:t>
      </w:r>
      <w:r w:rsidRPr="00480790">
        <w:rPr>
          <w:lang w:val="en-AU"/>
        </w:rPr>
        <w:t xml:space="preserve"> </w:t>
      </w:r>
      <w:r w:rsidRPr="00480790">
        <w:rPr>
          <w:rFonts w:ascii="Calibri" w:eastAsia="Calibri" w:hAnsi="Calibri" w:cs="Calibri"/>
          <w:lang w:val="en-AU"/>
        </w:rPr>
        <w:t xml:space="preserve">that there </w:t>
      </w:r>
      <w:r w:rsidR="002B2D31" w:rsidRPr="00480790">
        <w:rPr>
          <w:rFonts w:ascii="Calibri" w:eastAsia="Calibri" w:hAnsi="Calibri" w:cs="Calibri"/>
          <w:lang w:val="en-AU"/>
        </w:rPr>
        <w:t>we</w:t>
      </w:r>
      <w:r w:rsidRPr="00480790">
        <w:rPr>
          <w:rFonts w:ascii="Calibri" w:eastAsia="Calibri" w:hAnsi="Calibri" w:cs="Calibri"/>
          <w:lang w:val="en-AU"/>
        </w:rPr>
        <w:t>re currently patients on the access program who are privately paying for adjuvant treatment with alectinib.</w:t>
      </w:r>
    </w:p>
    <w:p w14:paraId="0783BA93" w14:textId="773A3EB6" w:rsidR="001C256F" w:rsidRPr="00480790" w:rsidRDefault="001C256F" w:rsidP="00DF093F">
      <w:pPr>
        <w:pStyle w:val="3-BodyText"/>
        <w:numPr>
          <w:ilvl w:val="0"/>
          <w:numId w:val="0"/>
        </w:numPr>
        <w:ind w:left="709"/>
        <w:rPr>
          <w:i/>
          <w:iCs/>
          <w:lang w:val="en-AU"/>
        </w:rPr>
      </w:pPr>
      <w:r w:rsidRPr="00480790">
        <w:rPr>
          <w:i/>
          <w:iCs/>
          <w:lang w:val="en-AU"/>
        </w:rPr>
        <w:t>For more detail on PBAC’s view, see section 7 PBAC outcome.</w:t>
      </w:r>
      <w:bookmarkStart w:id="95" w:name="_Toc190264966"/>
    </w:p>
    <w:p w14:paraId="05B81075" w14:textId="77777777" w:rsidR="001C256F" w:rsidRPr="00480790" w:rsidRDefault="001C256F" w:rsidP="00AE7DE0">
      <w:pPr>
        <w:pStyle w:val="2-SectionHeading"/>
        <w:numPr>
          <w:ilvl w:val="0"/>
          <w:numId w:val="9"/>
        </w:numPr>
        <w:ind w:hanging="720"/>
      </w:pPr>
      <w:bookmarkStart w:id="96" w:name="_Hlk76381249"/>
      <w:bookmarkStart w:id="97" w:name="_Hlk76377955"/>
      <w:bookmarkEnd w:id="95"/>
      <w:r w:rsidRPr="00480790">
        <w:t>PBAC Outcome</w:t>
      </w:r>
    </w:p>
    <w:p w14:paraId="015C1ECA" w14:textId="76C15085" w:rsidR="001C256F" w:rsidRPr="00480790" w:rsidRDefault="001C256F" w:rsidP="002843F8">
      <w:pPr>
        <w:pStyle w:val="3-BodyText"/>
        <w:rPr>
          <w:snapToGrid w:val="0"/>
          <w:lang w:val="en-AU"/>
        </w:rPr>
      </w:pPr>
      <w:r w:rsidRPr="00480790">
        <w:rPr>
          <w:lang w:val="en-AU"/>
        </w:rPr>
        <w:t>The</w:t>
      </w:r>
      <w:r w:rsidRPr="00480790">
        <w:rPr>
          <w:snapToGrid w:val="0"/>
          <w:lang w:val="en-AU"/>
        </w:rPr>
        <w:t xml:space="preserve"> PBAC recommended the</w:t>
      </w:r>
      <w:r w:rsidRPr="00480790">
        <w:rPr>
          <w:lang w:val="en-AU"/>
        </w:rPr>
        <w:t xml:space="preserve"> listing </w:t>
      </w:r>
      <w:r w:rsidR="00D97571" w:rsidRPr="00480790">
        <w:rPr>
          <w:lang w:val="en-AU"/>
        </w:rPr>
        <w:t xml:space="preserve">of </w:t>
      </w:r>
      <w:r w:rsidRPr="00480790">
        <w:rPr>
          <w:lang w:val="en-AU"/>
        </w:rPr>
        <w:t xml:space="preserve">alectinib for </w:t>
      </w:r>
      <w:r w:rsidR="00E70F11" w:rsidRPr="00480790">
        <w:rPr>
          <w:lang w:val="en-AU"/>
        </w:rPr>
        <w:t xml:space="preserve">treatment of anaplastic lymphoma kinase (ALK)-positive non-small cell lung cancer (NSCLC) (tumours ≥4 cm or node positive) </w:t>
      </w:r>
      <w:r w:rsidR="009A069C" w:rsidRPr="00480790">
        <w:rPr>
          <w:lang w:val="en-AU"/>
        </w:rPr>
        <w:t>as</w:t>
      </w:r>
      <w:r w:rsidR="00E70F11" w:rsidRPr="00480790">
        <w:rPr>
          <w:lang w:val="en-AU"/>
        </w:rPr>
        <w:t xml:space="preserve"> </w:t>
      </w:r>
      <w:r w:rsidRPr="00480790">
        <w:rPr>
          <w:lang w:val="en-AU"/>
        </w:rPr>
        <w:t xml:space="preserve">adjuvant </w:t>
      </w:r>
      <w:r w:rsidR="009A069C" w:rsidRPr="00480790">
        <w:rPr>
          <w:lang w:val="en-AU"/>
        </w:rPr>
        <w:t>therapy</w:t>
      </w:r>
      <w:r w:rsidRPr="00480790">
        <w:rPr>
          <w:lang w:val="en-AU"/>
        </w:rPr>
        <w:t xml:space="preserve"> </w:t>
      </w:r>
      <w:r w:rsidR="009A069C" w:rsidRPr="00480790">
        <w:rPr>
          <w:lang w:val="en-AU"/>
        </w:rPr>
        <w:t xml:space="preserve">after </w:t>
      </w:r>
      <w:r w:rsidR="001C1095" w:rsidRPr="00480790">
        <w:rPr>
          <w:lang w:val="en-AU"/>
        </w:rPr>
        <w:t>tumour</w:t>
      </w:r>
      <w:r w:rsidRPr="00480790">
        <w:rPr>
          <w:lang w:val="en-AU"/>
        </w:rPr>
        <w:t xml:space="preserve"> resection.</w:t>
      </w:r>
      <w:r w:rsidRPr="00480790">
        <w:rPr>
          <w:snapToGrid w:val="0"/>
          <w:lang w:val="en-AU"/>
        </w:rPr>
        <w:t xml:space="preserve"> The PBAC </w:t>
      </w:r>
      <w:r w:rsidR="001C1095" w:rsidRPr="00480790">
        <w:rPr>
          <w:snapToGrid w:val="0"/>
          <w:lang w:val="en-AU"/>
        </w:rPr>
        <w:t>wa</w:t>
      </w:r>
      <w:r w:rsidRPr="00480790">
        <w:rPr>
          <w:snapToGrid w:val="0"/>
          <w:lang w:val="en-AU"/>
        </w:rPr>
        <w:t>s satisfied that alectinib provide</w:t>
      </w:r>
      <w:r w:rsidR="001C1095" w:rsidRPr="00480790">
        <w:rPr>
          <w:snapToGrid w:val="0"/>
          <w:lang w:val="en-AU"/>
        </w:rPr>
        <w:t>d</w:t>
      </w:r>
      <w:r w:rsidRPr="00480790">
        <w:rPr>
          <w:snapToGrid w:val="0"/>
          <w:lang w:val="en-AU"/>
        </w:rPr>
        <w:t>, for some patients, a significant improvement in efficacy</w:t>
      </w:r>
      <w:r w:rsidR="00FF451D" w:rsidRPr="00480790">
        <w:rPr>
          <w:snapToGrid w:val="0"/>
          <w:lang w:val="en-AU"/>
        </w:rPr>
        <w:t xml:space="preserve"> in terms of disease-free survival (DFS)</w:t>
      </w:r>
      <w:r w:rsidRPr="00480790">
        <w:rPr>
          <w:snapToGrid w:val="0"/>
          <w:lang w:val="en-AU"/>
        </w:rPr>
        <w:t xml:space="preserve"> over </w:t>
      </w:r>
      <w:r w:rsidRPr="00480790">
        <w:rPr>
          <w:lang w:val="en-AU"/>
        </w:rPr>
        <w:t>platinum-based chemotherapy</w:t>
      </w:r>
      <w:r w:rsidR="00145901" w:rsidRPr="00480790">
        <w:rPr>
          <w:snapToGrid w:val="0"/>
          <w:lang w:val="en-AU"/>
        </w:rPr>
        <w:t xml:space="preserve"> but the </w:t>
      </w:r>
      <w:r w:rsidR="00EC7DF0" w:rsidRPr="00480790">
        <w:rPr>
          <w:snapToGrid w:val="0"/>
          <w:lang w:val="en-AU"/>
        </w:rPr>
        <w:t>effect on</w:t>
      </w:r>
      <w:r w:rsidR="00145901" w:rsidRPr="00480790">
        <w:rPr>
          <w:snapToGrid w:val="0"/>
          <w:lang w:val="en-AU"/>
        </w:rPr>
        <w:t xml:space="preserve"> overall survival </w:t>
      </w:r>
      <w:r w:rsidR="00E83FD2" w:rsidRPr="00480790">
        <w:rPr>
          <w:snapToGrid w:val="0"/>
          <w:lang w:val="en-AU"/>
        </w:rPr>
        <w:t xml:space="preserve">(OS) </w:t>
      </w:r>
      <w:r w:rsidR="00145901" w:rsidRPr="00480790">
        <w:rPr>
          <w:snapToGrid w:val="0"/>
          <w:lang w:val="en-AU"/>
        </w:rPr>
        <w:t>benefit remained uncertain</w:t>
      </w:r>
      <w:r w:rsidRPr="00480790">
        <w:rPr>
          <w:snapToGrid w:val="0"/>
          <w:lang w:val="en-AU"/>
        </w:rPr>
        <w:t xml:space="preserve">. </w:t>
      </w:r>
      <w:r w:rsidR="00DB0259" w:rsidRPr="00480790">
        <w:rPr>
          <w:snapToGrid w:val="0"/>
          <w:lang w:val="en-AU"/>
        </w:rPr>
        <w:t>The PBA</w:t>
      </w:r>
      <w:r w:rsidR="0049355D" w:rsidRPr="00480790">
        <w:rPr>
          <w:snapToGrid w:val="0"/>
          <w:lang w:val="en-AU"/>
        </w:rPr>
        <w:t>C</w:t>
      </w:r>
      <w:r w:rsidR="00DB0259" w:rsidRPr="00480790">
        <w:rPr>
          <w:snapToGrid w:val="0"/>
          <w:lang w:val="en-AU"/>
        </w:rPr>
        <w:t xml:space="preserve"> </w:t>
      </w:r>
      <w:r w:rsidR="0049355D" w:rsidRPr="00480790">
        <w:rPr>
          <w:snapToGrid w:val="0"/>
          <w:lang w:val="en-AU"/>
        </w:rPr>
        <w:t>considered</w:t>
      </w:r>
      <w:r w:rsidR="00DB0259" w:rsidRPr="00480790">
        <w:rPr>
          <w:snapToGrid w:val="0"/>
          <w:lang w:val="en-AU"/>
        </w:rPr>
        <w:t xml:space="preserve"> there was a high clinical need for effective therapies in this </w:t>
      </w:r>
      <w:r w:rsidR="0049355D" w:rsidRPr="00480790">
        <w:rPr>
          <w:snapToGrid w:val="0"/>
          <w:lang w:val="en-AU"/>
        </w:rPr>
        <w:t xml:space="preserve">uncommon NSCLC subtype. </w:t>
      </w:r>
      <w:r w:rsidR="000D33A2" w:rsidRPr="00480790">
        <w:rPr>
          <w:snapToGrid w:val="0"/>
          <w:lang w:val="en-AU"/>
        </w:rPr>
        <w:t xml:space="preserve">The PBAC considered alectinib would be cost effective </w:t>
      </w:r>
      <w:r w:rsidR="00577313" w:rsidRPr="00480790">
        <w:rPr>
          <w:snapToGrid w:val="0"/>
          <w:lang w:val="en-AU"/>
        </w:rPr>
        <w:t xml:space="preserve">at a </w:t>
      </w:r>
      <w:r w:rsidR="00DA1BB8" w:rsidRPr="00480790">
        <w:rPr>
          <w:snapToGrid w:val="0"/>
          <w:lang w:val="en-AU"/>
        </w:rPr>
        <w:t xml:space="preserve">lower </w:t>
      </w:r>
      <w:r w:rsidR="00577313" w:rsidRPr="00480790">
        <w:rPr>
          <w:snapToGrid w:val="0"/>
          <w:lang w:val="en-AU"/>
        </w:rPr>
        <w:t>price</w:t>
      </w:r>
      <w:r w:rsidR="005E2B1C" w:rsidRPr="00480790">
        <w:rPr>
          <w:snapToGrid w:val="0"/>
          <w:lang w:val="en-AU"/>
        </w:rPr>
        <w:t>,</w:t>
      </w:r>
      <w:r w:rsidR="00577313" w:rsidRPr="00480790">
        <w:rPr>
          <w:snapToGrid w:val="0"/>
          <w:lang w:val="en-AU"/>
        </w:rPr>
        <w:t xml:space="preserve"> using the revised model </w:t>
      </w:r>
      <w:r w:rsidR="00656235" w:rsidRPr="00480790">
        <w:rPr>
          <w:snapToGrid w:val="0"/>
          <w:lang w:val="en-AU"/>
        </w:rPr>
        <w:t>parameters fr</w:t>
      </w:r>
      <w:r w:rsidR="00DA1BB8" w:rsidRPr="00480790">
        <w:rPr>
          <w:snapToGrid w:val="0"/>
          <w:lang w:val="en-AU"/>
        </w:rPr>
        <w:t>o</w:t>
      </w:r>
      <w:r w:rsidR="00656235" w:rsidRPr="00480790">
        <w:rPr>
          <w:snapToGrid w:val="0"/>
          <w:lang w:val="en-AU"/>
        </w:rPr>
        <w:t>m the pre-PBAC</w:t>
      </w:r>
      <w:r w:rsidR="00577313" w:rsidRPr="00480790">
        <w:rPr>
          <w:snapToGrid w:val="0"/>
          <w:lang w:val="en-AU"/>
        </w:rPr>
        <w:t xml:space="preserve"> </w:t>
      </w:r>
      <w:r w:rsidR="001C7636" w:rsidRPr="00480790">
        <w:rPr>
          <w:snapToGrid w:val="0"/>
          <w:lang w:val="en-AU"/>
        </w:rPr>
        <w:t>response</w:t>
      </w:r>
      <w:r w:rsidR="00FD1D5C" w:rsidRPr="00480790">
        <w:rPr>
          <w:snapToGrid w:val="0"/>
          <w:lang w:val="en-AU"/>
        </w:rPr>
        <w:t>,</w:t>
      </w:r>
      <w:r w:rsidR="001C7636" w:rsidRPr="00480790">
        <w:rPr>
          <w:snapToGrid w:val="0"/>
          <w:lang w:val="en-AU"/>
        </w:rPr>
        <w:t xml:space="preserve"> </w:t>
      </w:r>
      <w:r w:rsidR="000D33A2" w:rsidRPr="00480790">
        <w:rPr>
          <w:snapToGrid w:val="0"/>
          <w:lang w:val="en-AU"/>
        </w:rPr>
        <w:t xml:space="preserve">to </w:t>
      </w:r>
      <w:r w:rsidR="005E2B1C" w:rsidRPr="00480790">
        <w:rPr>
          <w:lang w:val="en-AU"/>
        </w:rPr>
        <w:t>achieve</w:t>
      </w:r>
      <w:r w:rsidR="00B83E0C" w:rsidRPr="00480790">
        <w:rPr>
          <w:lang w:val="en-AU"/>
        </w:rPr>
        <w:t xml:space="preserve"> an ICER consistent with that presented in the submission</w:t>
      </w:r>
      <w:r w:rsidRPr="00480790">
        <w:rPr>
          <w:snapToGrid w:val="0"/>
          <w:lang w:val="en-AU"/>
        </w:rPr>
        <w:t>.</w:t>
      </w:r>
    </w:p>
    <w:p w14:paraId="1440F5C7" w14:textId="2FD13545" w:rsidR="0031730A" w:rsidRPr="00480790" w:rsidRDefault="0031730A" w:rsidP="002843F8">
      <w:pPr>
        <w:pStyle w:val="3-BodyText"/>
        <w:rPr>
          <w:lang w:val="en-AU"/>
        </w:rPr>
      </w:pPr>
      <w:r w:rsidRPr="00480790">
        <w:rPr>
          <w:lang w:val="en-AU"/>
        </w:rPr>
        <w:t xml:space="preserve">The PBAC noted that there were no </w:t>
      </w:r>
      <w:r w:rsidR="001A3AC4" w:rsidRPr="00480790">
        <w:rPr>
          <w:lang w:val="en-AU"/>
        </w:rPr>
        <w:t xml:space="preserve">PBS-reimbursed </w:t>
      </w:r>
      <w:r w:rsidRPr="00480790">
        <w:rPr>
          <w:lang w:val="en-AU"/>
        </w:rPr>
        <w:t>targeted therapies for resected ALK positive NSCLC which is an uncommon subset of NSCLC that is more likely to occur in young, female nonsmokers</w:t>
      </w:r>
      <w:r w:rsidR="00502029" w:rsidRPr="00480790">
        <w:rPr>
          <w:lang w:val="en-AU"/>
        </w:rPr>
        <w:t xml:space="preserve">, resulting in </w:t>
      </w:r>
      <w:r w:rsidR="00053D9B" w:rsidRPr="00480790">
        <w:rPr>
          <w:lang w:val="en-AU"/>
        </w:rPr>
        <w:t xml:space="preserve">central nervous system </w:t>
      </w:r>
      <w:r w:rsidR="001442F9" w:rsidRPr="00480790">
        <w:rPr>
          <w:lang w:val="en-AU"/>
        </w:rPr>
        <w:t xml:space="preserve">(CNS) </w:t>
      </w:r>
      <w:r w:rsidR="00053D9B" w:rsidRPr="00480790">
        <w:rPr>
          <w:lang w:val="en-AU"/>
        </w:rPr>
        <w:t xml:space="preserve">metastases </w:t>
      </w:r>
      <w:r w:rsidR="00502029" w:rsidRPr="00480790">
        <w:rPr>
          <w:lang w:val="en-AU"/>
        </w:rPr>
        <w:t>in 50</w:t>
      </w:r>
      <w:r w:rsidR="00502029" w:rsidRPr="00480790">
        <w:rPr>
          <w:rFonts w:ascii="Symbol" w:eastAsia="Symbol" w:hAnsi="Symbol" w:cs="Symbol"/>
          <w:lang w:val="en-AU"/>
        </w:rPr>
        <w:sym w:font="Symbol" w:char="F02D"/>
      </w:r>
      <w:r w:rsidR="00502029" w:rsidRPr="00480790">
        <w:rPr>
          <w:lang w:val="en-AU"/>
        </w:rPr>
        <w:t>60%</w:t>
      </w:r>
      <w:r w:rsidRPr="00480790">
        <w:rPr>
          <w:lang w:val="en-AU"/>
        </w:rPr>
        <w:t xml:space="preserve"> </w:t>
      </w:r>
      <w:r w:rsidR="00502029" w:rsidRPr="00480790">
        <w:rPr>
          <w:lang w:val="en-AU"/>
        </w:rPr>
        <w:t xml:space="preserve">of </w:t>
      </w:r>
      <w:r w:rsidR="00404BF7" w:rsidRPr="00480790">
        <w:rPr>
          <w:lang w:val="en-AU"/>
        </w:rPr>
        <w:t>patients</w:t>
      </w:r>
      <w:r w:rsidRPr="00480790">
        <w:rPr>
          <w:lang w:val="en-AU"/>
        </w:rPr>
        <w:t>.</w:t>
      </w:r>
      <w:r w:rsidR="00CC51AF" w:rsidRPr="00480790">
        <w:rPr>
          <w:lang w:val="en-AU"/>
        </w:rPr>
        <w:t xml:space="preserve"> The PBAC noted strong support from MOGA and positive </w:t>
      </w:r>
      <w:r w:rsidR="006D26A7" w:rsidRPr="00480790">
        <w:rPr>
          <w:lang w:val="en-AU"/>
        </w:rPr>
        <w:t>endorsements</w:t>
      </w:r>
      <w:r w:rsidR="00231BEA" w:rsidRPr="00480790">
        <w:rPr>
          <w:lang w:val="en-AU"/>
        </w:rPr>
        <w:t xml:space="preserve"> from</w:t>
      </w:r>
      <w:r w:rsidR="006D26A7" w:rsidRPr="00480790">
        <w:rPr>
          <w:lang w:val="en-AU"/>
        </w:rPr>
        <w:t xml:space="preserve"> consumers and health professionals</w:t>
      </w:r>
      <w:r w:rsidR="00231414" w:rsidRPr="00480790">
        <w:rPr>
          <w:lang w:val="en-AU"/>
        </w:rPr>
        <w:t xml:space="preserve"> for early access to alectinib in the adjuvant setting</w:t>
      </w:r>
      <w:r w:rsidR="00151E8F" w:rsidRPr="00480790">
        <w:rPr>
          <w:lang w:val="en-AU"/>
        </w:rPr>
        <w:t xml:space="preserve">, noting there was </w:t>
      </w:r>
      <w:r w:rsidR="00A2252C" w:rsidRPr="00480790">
        <w:rPr>
          <w:lang w:val="en-AU"/>
        </w:rPr>
        <w:t xml:space="preserve">a high </w:t>
      </w:r>
      <w:r w:rsidR="00151E8F" w:rsidRPr="00480790">
        <w:rPr>
          <w:lang w:val="en-AU"/>
        </w:rPr>
        <w:t xml:space="preserve">clinical need for effective </w:t>
      </w:r>
      <w:r w:rsidR="00FD1D5C" w:rsidRPr="00480790">
        <w:rPr>
          <w:lang w:val="en-AU"/>
        </w:rPr>
        <w:t>therapies</w:t>
      </w:r>
      <w:r w:rsidR="00151E8F" w:rsidRPr="00480790">
        <w:rPr>
          <w:lang w:val="en-AU"/>
        </w:rPr>
        <w:t xml:space="preserve"> given </w:t>
      </w:r>
      <w:r w:rsidR="00A2252C" w:rsidRPr="00480790">
        <w:rPr>
          <w:lang w:val="en-AU"/>
        </w:rPr>
        <w:t xml:space="preserve">the </w:t>
      </w:r>
      <w:r w:rsidR="00151E8F" w:rsidRPr="00480790">
        <w:rPr>
          <w:lang w:val="en-AU"/>
        </w:rPr>
        <w:t xml:space="preserve">limited efficacy of </w:t>
      </w:r>
      <w:r w:rsidR="00A2252C" w:rsidRPr="00480790">
        <w:rPr>
          <w:lang w:val="en-AU"/>
        </w:rPr>
        <w:t xml:space="preserve">platinum-based </w:t>
      </w:r>
      <w:r w:rsidR="00FD1D5C" w:rsidRPr="00480790">
        <w:rPr>
          <w:lang w:val="en-AU"/>
        </w:rPr>
        <w:t>chemotherapy in this setting</w:t>
      </w:r>
      <w:r w:rsidR="00231414" w:rsidRPr="00480790">
        <w:rPr>
          <w:lang w:val="en-AU"/>
        </w:rPr>
        <w:t>.</w:t>
      </w:r>
    </w:p>
    <w:p w14:paraId="2935B05F" w14:textId="77777777" w:rsidR="00AC7D2D" w:rsidRPr="00480790" w:rsidRDefault="00AC7D2D" w:rsidP="002843F8">
      <w:pPr>
        <w:pStyle w:val="3-BodyText"/>
        <w:rPr>
          <w:snapToGrid w:val="0"/>
          <w:lang w:val="en-AU"/>
        </w:rPr>
      </w:pPr>
      <w:r w:rsidRPr="00480790">
        <w:rPr>
          <w:snapToGrid w:val="0"/>
          <w:lang w:val="en-AU"/>
        </w:rPr>
        <w:t>The PBAC advised the following with regards to the restriction criteria:</w:t>
      </w:r>
    </w:p>
    <w:p w14:paraId="1967B7B9" w14:textId="28E5BD14" w:rsidR="00A50766" w:rsidRPr="00480790" w:rsidRDefault="00A50766" w:rsidP="00AE7DE0">
      <w:pPr>
        <w:pStyle w:val="3-BodyText"/>
        <w:numPr>
          <w:ilvl w:val="1"/>
          <w:numId w:val="10"/>
        </w:numPr>
        <w:ind w:left="1134"/>
        <w:rPr>
          <w:snapToGrid w:val="0"/>
          <w:lang w:val="en-AU"/>
        </w:rPr>
      </w:pPr>
      <w:r w:rsidRPr="00480790">
        <w:rPr>
          <w:lang w:val="en-AU"/>
        </w:rPr>
        <w:t>Consistent with other high-cost adjuvant listings (e</w:t>
      </w:r>
      <w:r w:rsidR="00B860E0" w:rsidRPr="00480790">
        <w:rPr>
          <w:lang w:val="en-AU"/>
        </w:rPr>
        <w:t>.</w:t>
      </w:r>
      <w:r w:rsidRPr="00480790">
        <w:rPr>
          <w:lang w:val="en-AU"/>
        </w:rPr>
        <w:t xml:space="preserve">g. osimertinib, </w:t>
      </w:r>
      <w:r w:rsidR="00DF5525" w:rsidRPr="00480790">
        <w:rPr>
          <w:lang w:val="en-AU"/>
        </w:rPr>
        <w:t>immune checkpoint inhibitors</w:t>
      </w:r>
      <w:r w:rsidRPr="00480790">
        <w:rPr>
          <w:lang w:val="en-AU"/>
        </w:rPr>
        <w:t xml:space="preserve">), re-treatment in </w:t>
      </w:r>
      <w:r w:rsidR="00DF5525" w:rsidRPr="00480790">
        <w:rPr>
          <w:lang w:val="en-AU"/>
        </w:rPr>
        <w:t>th</w:t>
      </w:r>
      <w:r w:rsidR="00CB50BB" w:rsidRPr="00480790">
        <w:rPr>
          <w:lang w:val="en-AU"/>
        </w:rPr>
        <w:t>e</w:t>
      </w:r>
      <w:r w:rsidR="00DF5525" w:rsidRPr="00480790">
        <w:rPr>
          <w:lang w:val="en-AU"/>
        </w:rPr>
        <w:t xml:space="preserve"> </w:t>
      </w:r>
      <w:r w:rsidRPr="00480790">
        <w:rPr>
          <w:lang w:val="en-AU"/>
        </w:rPr>
        <w:t xml:space="preserve">metastatic setting </w:t>
      </w:r>
      <w:r w:rsidR="008713E8" w:rsidRPr="00480790">
        <w:rPr>
          <w:lang w:val="en-AU"/>
        </w:rPr>
        <w:t>should</w:t>
      </w:r>
      <w:r w:rsidRPr="00480790">
        <w:rPr>
          <w:lang w:val="en-AU"/>
        </w:rPr>
        <w:t xml:space="preserve"> not </w:t>
      </w:r>
      <w:r w:rsidR="008713E8" w:rsidRPr="00480790">
        <w:rPr>
          <w:lang w:val="en-AU"/>
        </w:rPr>
        <w:t xml:space="preserve">be </w:t>
      </w:r>
      <w:r w:rsidRPr="00480790">
        <w:rPr>
          <w:lang w:val="en-AU"/>
        </w:rPr>
        <w:t>permitted</w:t>
      </w:r>
      <w:r w:rsidR="008B34F3" w:rsidRPr="00480790">
        <w:rPr>
          <w:lang w:val="en-AU"/>
        </w:rPr>
        <w:t>, and furthermore</w:t>
      </w:r>
      <w:r w:rsidR="00AD5205" w:rsidRPr="00480790">
        <w:rPr>
          <w:lang w:val="en-AU"/>
        </w:rPr>
        <w:t xml:space="preserve"> use of adjuvant therapy would preclude use of any ALK TKI in the recurrent setting</w:t>
      </w:r>
      <w:r w:rsidRPr="00480790">
        <w:rPr>
          <w:lang w:val="en-AU"/>
        </w:rPr>
        <w:t xml:space="preserve">. </w:t>
      </w:r>
      <w:r w:rsidR="00DF5525" w:rsidRPr="00480790">
        <w:rPr>
          <w:lang w:val="en-AU"/>
        </w:rPr>
        <w:t>The</w:t>
      </w:r>
      <w:r w:rsidRPr="00480790">
        <w:rPr>
          <w:lang w:val="en-AU"/>
        </w:rPr>
        <w:t xml:space="preserve"> PBAC </w:t>
      </w:r>
      <w:r w:rsidR="00DF5525" w:rsidRPr="00480790">
        <w:rPr>
          <w:lang w:val="en-AU"/>
        </w:rPr>
        <w:t xml:space="preserve">would </w:t>
      </w:r>
      <w:r w:rsidR="00997C79" w:rsidRPr="00480790">
        <w:rPr>
          <w:lang w:val="en-AU"/>
        </w:rPr>
        <w:t>l</w:t>
      </w:r>
      <w:r w:rsidR="00CB50BB" w:rsidRPr="00480790">
        <w:rPr>
          <w:lang w:val="en-AU"/>
        </w:rPr>
        <w:t>i</w:t>
      </w:r>
      <w:r w:rsidR="00997C79" w:rsidRPr="00480790">
        <w:rPr>
          <w:lang w:val="en-AU"/>
        </w:rPr>
        <w:t>ke</w:t>
      </w:r>
      <w:r w:rsidRPr="00480790">
        <w:rPr>
          <w:lang w:val="en-AU"/>
        </w:rPr>
        <w:t xml:space="preserve"> to increase patient access in </w:t>
      </w:r>
      <w:r w:rsidRPr="00480790">
        <w:rPr>
          <w:lang w:val="en-AU"/>
        </w:rPr>
        <w:lastRenderedPageBreak/>
        <w:t xml:space="preserve">these situations, but evidence </w:t>
      </w:r>
      <w:r w:rsidR="00CB50BB" w:rsidRPr="00480790">
        <w:rPr>
          <w:lang w:val="en-AU"/>
        </w:rPr>
        <w:t>wa</w:t>
      </w:r>
      <w:r w:rsidRPr="00480790">
        <w:rPr>
          <w:lang w:val="en-AU"/>
        </w:rPr>
        <w:t>s required to determine a cost-effective price in the re-treatment setting. This may include targeted use of TKI</w:t>
      </w:r>
      <w:r w:rsidR="004352B1" w:rsidRPr="00480790">
        <w:rPr>
          <w:lang w:val="en-AU"/>
        </w:rPr>
        <w:t>s</w:t>
      </w:r>
      <w:r w:rsidRPr="00480790">
        <w:rPr>
          <w:lang w:val="en-AU"/>
        </w:rPr>
        <w:t xml:space="preserve"> to treat emerging resistance mutations. Data such as </w:t>
      </w:r>
      <w:r w:rsidR="004352B1" w:rsidRPr="00480790">
        <w:rPr>
          <w:lang w:val="en-AU"/>
        </w:rPr>
        <w:t>overall response rate and time on treatment</w:t>
      </w:r>
      <w:r w:rsidRPr="00480790">
        <w:rPr>
          <w:lang w:val="en-AU"/>
        </w:rPr>
        <w:t xml:space="preserve"> would be </w:t>
      </w:r>
      <w:r w:rsidR="004352B1" w:rsidRPr="00480790">
        <w:rPr>
          <w:lang w:val="en-AU"/>
        </w:rPr>
        <w:t>informative</w:t>
      </w:r>
      <w:r w:rsidR="001477B3" w:rsidRPr="00480790">
        <w:rPr>
          <w:lang w:val="en-AU"/>
        </w:rPr>
        <w:t xml:space="preserve">, as well as expected </w:t>
      </w:r>
      <w:r w:rsidR="0096692D" w:rsidRPr="00480790">
        <w:rPr>
          <w:lang w:val="en-AU"/>
        </w:rPr>
        <w:t>number of patients and financial implications</w:t>
      </w:r>
      <w:r w:rsidRPr="00480790">
        <w:rPr>
          <w:lang w:val="en-AU"/>
        </w:rPr>
        <w:t>.</w:t>
      </w:r>
    </w:p>
    <w:p w14:paraId="0F19D5D5" w14:textId="2B257E09" w:rsidR="007D6D1D" w:rsidRPr="00480790" w:rsidRDefault="00AC7D2D" w:rsidP="00AE7DE0">
      <w:pPr>
        <w:pStyle w:val="3-BodyText"/>
        <w:numPr>
          <w:ilvl w:val="1"/>
          <w:numId w:val="10"/>
        </w:numPr>
        <w:ind w:left="1134"/>
        <w:rPr>
          <w:snapToGrid w:val="0"/>
          <w:lang w:val="en-AU"/>
        </w:rPr>
      </w:pPr>
      <w:r w:rsidRPr="00480790">
        <w:rPr>
          <w:snapToGrid w:val="0"/>
          <w:lang w:val="en-AU"/>
        </w:rPr>
        <w:t xml:space="preserve">A single restriction, rather than separate initial, continuing and grandfather criteria, </w:t>
      </w:r>
      <w:r w:rsidR="00DD0B4F" w:rsidRPr="00480790">
        <w:rPr>
          <w:snapToGrid w:val="0"/>
          <w:lang w:val="en-AU"/>
        </w:rPr>
        <w:t>consistent with o</w:t>
      </w:r>
      <w:r w:rsidR="007D6D1D" w:rsidRPr="00480790">
        <w:rPr>
          <w:snapToGrid w:val="0"/>
          <w:lang w:val="en-AU"/>
        </w:rPr>
        <w:t>simertinib,</w:t>
      </w:r>
      <w:r w:rsidRPr="00480790">
        <w:rPr>
          <w:snapToGrid w:val="0"/>
          <w:lang w:val="en-AU"/>
        </w:rPr>
        <w:t xml:space="preserve"> was appropriate</w:t>
      </w:r>
      <w:r w:rsidR="002E587F" w:rsidRPr="00480790">
        <w:rPr>
          <w:snapToGrid w:val="0"/>
          <w:lang w:val="en-AU"/>
        </w:rPr>
        <w:t xml:space="preserve">, as this would be </w:t>
      </w:r>
      <w:r w:rsidR="007B31B8" w:rsidRPr="00480790">
        <w:rPr>
          <w:snapToGrid w:val="0"/>
          <w:lang w:val="en-AU"/>
        </w:rPr>
        <w:t xml:space="preserve">simpler </w:t>
      </w:r>
      <w:r w:rsidR="002E587F" w:rsidRPr="00480790">
        <w:rPr>
          <w:snapToGrid w:val="0"/>
          <w:lang w:val="en-AU"/>
        </w:rPr>
        <w:t xml:space="preserve">for prescribers </w:t>
      </w:r>
      <w:r w:rsidR="007B31B8" w:rsidRPr="00480790">
        <w:rPr>
          <w:snapToGrid w:val="0"/>
          <w:lang w:val="en-AU"/>
        </w:rPr>
        <w:t>and reduce clinician error</w:t>
      </w:r>
      <w:r w:rsidRPr="00480790">
        <w:rPr>
          <w:snapToGrid w:val="0"/>
          <w:lang w:val="en-AU"/>
        </w:rPr>
        <w:t>.</w:t>
      </w:r>
    </w:p>
    <w:p w14:paraId="572E3551" w14:textId="77777777" w:rsidR="00CA0612" w:rsidRPr="00480790" w:rsidRDefault="003B08C7" w:rsidP="00AE7DE0">
      <w:pPr>
        <w:pStyle w:val="3-BodyText"/>
        <w:numPr>
          <w:ilvl w:val="1"/>
          <w:numId w:val="10"/>
        </w:numPr>
        <w:ind w:left="1134"/>
        <w:rPr>
          <w:lang w:val="en-AU"/>
        </w:rPr>
      </w:pPr>
      <w:r w:rsidRPr="00480790">
        <w:rPr>
          <w:snapToGrid w:val="0"/>
          <w:lang w:val="en-AU"/>
        </w:rPr>
        <w:t xml:space="preserve">The submission’s proposed use of simple stage criteria </w:t>
      </w:r>
      <w:r w:rsidR="00275228" w:rsidRPr="00480790">
        <w:rPr>
          <w:snapToGrid w:val="0"/>
          <w:lang w:val="en-AU"/>
        </w:rPr>
        <w:t>rather than the</w:t>
      </w:r>
      <w:r w:rsidRPr="00480790">
        <w:rPr>
          <w:snapToGrid w:val="0"/>
          <w:lang w:val="en-AU"/>
        </w:rPr>
        <w:t xml:space="preserve"> AJCC</w:t>
      </w:r>
      <w:r w:rsidR="00275228" w:rsidRPr="00480790">
        <w:rPr>
          <w:snapToGrid w:val="0"/>
          <w:lang w:val="en-AU"/>
        </w:rPr>
        <w:t xml:space="preserve"> staging was acceptable</w:t>
      </w:r>
      <w:r w:rsidRPr="00480790">
        <w:rPr>
          <w:snapToGrid w:val="0"/>
          <w:lang w:val="en-AU"/>
        </w:rPr>
        <w:t>.</w:t>
      </w:r>
      <w:r w:rsidR="00C91C11" w:rsidRPr="00480790">
        <w:rPr>
          <w:snapToGrid w:val="0"/>
          <w:lang w:val="en-AU"/>
        </w:rPr>
        <w:t xml:space="preserve"> </w:t>
      </w:r>
    </w:p>
    <w:p w14:paraId="629EA145" w14:textId="77777777" w:rsidR="00CA0612" w:rsidRPr="00480790" w:rsidRDefault="00F81D08" w:rsidP="00AE7DE0">
      <w:pPr>
        <w:pStyle w:val="3-BodyText"/>
        <w:numPr>
          <w:ilvl w:val="1"/>
          <w:numId w:val="10"/>
        </w:numPr>
        <w:ind w:left="1134"/>
        <w:rPr>
          <w:lang w:val="en-AU"/>
        </w:rPr>
      </w:pPr>
      <w:r w:rsidRPr="00480790">
        <w:rPr>
          <w:snapToGrid w:val="0"/>
          <w:lang w:val="en-AU"/>
        </w:rPr>
        <w:t xml:space="preserve">The secretariat’s suggested inclusion of a timeframe </w:t>
      </w:r>
      <w:r w:rsidR="003058F7" w:rsidRPr="00480790">
        <w:rPr>
          <w:snapToGrid w:val="0"/>
          <w:lang w:val="en-AU"/>
        </w:rPr>
        <w:t xml:space="preserve">for </w:t>
      </w:r>
      <w:r w:rsidR="00BE3BD1" w:rsidRPr="00480790">
        <w:rPr>
          <w:snapToGrid w:val="0"/>
          <w:lang w:val="en-AU"/>
        </w:rPr>
        <w:t>commencement</w:t>
      </w:r>
      <w:r w:rsidR="003058F7" w:rsidRPr="00480790">
        <w:rPr>
          <w:snapToGrid w:val="0"/>
          <w:lang w:val="en-AU"/>
        </w:rPr>
        <w:t xml:space="preserve"> of treatment</w:t>
      </w:r>
      <w:r w:rsidR="00BE3BD1" w:rsidRPr="00480790">
        <w:rPr>
          <w:snapToGrid w:val="0"/>
          <w:lang w:val="en-AU"/>
        </w:rPr>
        <w:t xml:space="preserve"> within</w:t>
      </w:r>
      <w:r w:rsidR="00DD0B4F" w:rsidRPr="00480790">
        <w:rPr>
          <w:snapToGrid w:val="0"/>
          <w:lang w:val="en-AU"/>
        </w:rPr>
        <w:t xml:space="preserve"> </w:t>
      </w:r>
      <w:r w:rsidRPr="00480790">
        <w:rPr>
          <w:snapToGrid w:val="0"/>
          <w:lang w:val="en-AU"/>
        </w:rPr>
        <w:t>26 weeks after surgical resection</w:t>
      </w:r>
      <w:r w:rsidR="00DD0B4F" w:rsidRPr="00480790">
        <w:rPr>
          <w:snapToGrid w:val="0"/>
          <w:lang w:val="en-AU"/>
        </w:rPr>
        <w:t>, consistent with osimertinib, was appropriate</w:t>
      </w:r>
      <w:r w:rsidRPr="00480790">
        <w:rPr>
          <w:snapToGrid w:val="0"/>
          <w:lang w:val="en-AU"/>
        </w:rPr>
        <w:t xml:space="preserve"> (noting the ALINA trial required randomisation within 12 weeks which </w:t>
      </w:r>
      <w:r w:rsidR="00DD0B4F" w:rsidRPr="00480790">
        <w:rPr>
          <w:snapToGrid w:val="0"/>
          <w:lang w:val="en-AU"/>
        </w:rPr>
        <w:t>wa</w:t>
      </w:r>
      <w:r w:rsidRPr="00480790">
        <w:rPr>
          <w:snapToGrid w:val="0"/>
          <w:lang w:val="en-AU"/>
        </w:rPr>
        <w:t xml:space="preserve">s unlikely </w:t>
      </w:r>
      <w:r w:rsidR="00DD0B4F" w:rsidRPr="00480790">
        <w:rPr>
          <w:snapToGrid w:val="0"/>
          <w:lang w:val="en-AU"/>
        </w:rPr>
        <w:t xml:space="preserve">to be </w:t>
      </w:r>
      <w:r w:rsidRPr="00480790">
        <w:rPr>
          <w:snapToGrid w:val="0"/>
          <w:lang w:val="en-AU"/>
        </w:rPr>
        <w:t>feasible in clinical practice</w:t>
      </w:r>
      <w:r w:rsidR="00DD0B4F" w:rsidRPr="00480790">
        <w:rPr>
          <w:snapToGrid w:val="0"/>
          <w:lang w:val="en-AU"/>
        </w:rPr>
        <w:t>).</w:t>
      </w:r>
    </w:p>
    <w:p w14:paraId="44F7AA20" w14:textId="58728D97" w:rsidR="00850360" w:rsidRPr="00480790" w:rsidRDefault="00405C46" w:rsidP="00AE7DE0">
      <w:pPr>
        <w:pStyle w:val="ListParagraph"/>
        <w:numPr>
          <w:ilvl w:val="1"/>
          <w:numId w:val="10"/>
        </w:numPr>
        <w:ind w:left="1134"/>
        <w:rPr>
          <w:rFonts w:eastAsiaTheme="minorHAnsi" w:cstheme="minorBidi"/>
          <w:snapToGrid/>
          <w:szCs w:val="22"/>
        </w:rPr>
      </w:pPr>
      <w:r w:rsidRPr="00480790">
        <w:rPr>
          <w:rFonts w:eastAsiaTheme="minorHAnsi" w:cstheme="minorBidi"/>
          <w:snapToGrid/>
          <w:szCs w:val="22"/>
        </w:rPr>
        <w:t>The</w:t>
      </w:r>
      <w:r w:rsidR="0070775B" w:rsidRPr="00480790">
        <w:rPr>
          <w:rFonts w:eastAsiaTheme="minorHAnsi" w:cstheme="minorBidi"/>
          <w:snapToGrid/>
          <w:szCs w:val="22"/>
        </w:rPr>
        <w:t xml:space="preserve"> maximum treatment </w:t>
      </w:r>
      <w:r w:rsidR="009A1221" w:rsidRPr="00480790">
        <w:rPr>
          <w:rFonts w:eastAsiaTheme="minorHAnsi" w:cstheme="minorBidi"/>
          <w:snapToGrid/>
          <w:szCs w:val="22"/>
        </w:rPr>
        <w:t>duration</w:t>
      </w:r>
      <w:r w:rsidR="0070775B" w:rsidRPr="00480790">
        <w:rPr>
          <w:rFonts w:eastAsiaTheme="minorHAnsi" w:cstheme="minorBidi"/>
          <w:snapToGrid/>
          <w:szCs w:val="22"/>
        </w:rPr>
        <w:t xml:space="preserve"> </w:t>
      </w:r>
      <w:r w:rsidRPr="00480790">
        <w:rPr>
          <w:rFonts w:eastAsiaTheme="minorHAnsi" w:cstheme="minorBidi"/>
          <w:snapToGrid/>
          <w:szCs w:val="22"/>
        </w:rPr>
        <w:t>in the adjuvant setting should be 24 months</w:t>
      </w:r>
      <w:r w:rsidR="00850360" w:rsidRPr="00480790">
        <w:rPr>
          <w:rFonts w:eastAsiaTheme="minorHAnsi" w:cstheme="minorBidi"/>
          <w:snapToGrid/>
          <w:szCs w:val="22"/>
        </w:rPr>
        <w:t>.</w:t>
      </w:r>
    </w:p>
    <w:p w14:paraId="52411681" w14:textId="26BAA95F" w:rsidR="001C256F" w:rsidRPr="00480790" w:rsidRDefault="001C256F" w:rsidP="002843F8">
      <w:pPr>
        <w:pStyle w:val="3-BodyText"/>
        <w:rPr>
          <w:b/>
          <w:lang w:val="en-AU"/>
        </w:rPr>
      </w:pPr>
      <w:r w:rsidRPr="00480790">
        <w:rPr>
          <w:lang w:val="en-AU"/>
        </w:rPr>
        <w:t xml:space="preserve">The PBAC considered the nominated comparator of platinum-based chemotherapy </w:t>
      </w:r>
      <w:r w:rsidR="009C2644" w:rsidRPr="00480790">
        <w:rPr>
          <w:lang w:val="en-AU"/>
        </w:rPr>
        <w:t>w</w:t>
      </w:r>
      <w:r w:rsidRPr="00480790">
        <w:rPr>
          <w:lang w:val="en-AU"/>
        </w:rPr>
        <w:t>as reasonable.</w:t>
      </w:r>
    </w:p>
    <w:p w14:paraId="1227604B" w14:textId="482E110D" w:rsidR="00034DF0" w:rsidRPr="00480790" w:rsidRDefault="00E80559" w:rsidP="002843F8">
      <w:pPr>
        <w:pStyle w:val="3-BodyText"/>
        <w:rPr>
          <w:lang w:val="en-AU"/>
        </w:rPr>
      </w:pPr>
      <w:r w:rsidRPr="00480790">
        <w:rPr>
          <w:lang w:val="en-AU"/>
        </w:rPr>
        <w:t>The PBAC noted the submission was based on the</w:t>
      </w:r>
      <w:r w:rsidR="001878D8" w:rsidRPr="00480790">
        <w:rPr>
          <w:lang w:val="en-AU"/>
        </w:rPr>
        <w:t xml:space="preserve"> ALINA trial, an ongoing global, multicentre, open-label, phase III randomised controlled trial (RCT) that investigated the efficacy and safety of alectinib compared with platinum-based chemotherapy as adjuvant treatment in participants with resected ALK-positive stage IB (tumours ≥4</w:t>
      </w:r>
      <w:r w:rsidR="00A3110D">
        <w:rPr>
          <w:lang w:val="en-AU"/>
        </w:rPr>
        <w:t> </w:t>
      </w:r>
      <w:r w:rsidR="001878D8" w:rsidRPr="00480790">
        <w:rPr>
          <w:lang w:val="en-AU"/>
        </w:rPr>
        <w:t>cm) to IIIA NSCLC (as classified according to the 7th edition of the Cancer Staging Manual of the AJCC/UICC).</w:t>
      </w:r>
    </w:p>
    <w:p w14:paraId="2371BA06" w14:textId="64A8AA24" w:rsidR="00464B29" w:rsidRPr="00480790" w:rsidRDefault="009C2644" w:rsidP="002843F8">
      <w:pPr>
        <w:pStyle w:val="3-BodyText"/>
        <w:rPr>
          <w:lang w:val="en-AU"/>
        </w:rPr>
      </w:pPr>
      <w:r w:rsidRPr="00480790">
        <w:rPr>
          <w:lang w:val="en-AU"/>
        </w:rPr>
        <w:t xml:space="preserve">The PBAC considered that </w:t>
      </w:r>
      <w:r w:rsidR="00977AA8" w:rsidRPr="00480790">
        <w:rPr>
          <w:lang w:val="en-AU"/>
        </w:rPr>
        <w:t>the</w:t>
      </w:r>
      <w:r w:rsidR="00105B5D" w:rsidRPr="00480790">
        <w:rPr>
          <w:lang w:val="en-AU"/>
        </w:rPr>
        <w:t xml:space="preserve"> claim of superior clinical effectiveness w</w:t>
      </w:r>
      <w:r w:rsidR="00224E07" w:rsidRPr="00480790">
        <w:rPr>
          <w:lang w:val="en-AU"/>
        </w:rPr>
        <w:t xml:space="preserve">as well supported </w:t>
      </w:r>
      <w:r w:rsidR="006130E8" w:rsidRPr="00480790">
        <w:rPr>
          <w:lang w:val="en-AU"/>
        </w:rPr>
        <w:t xml:space="preserve">by the ALINA trial </w:t>
      </w:r>
      <w:r w:rsidR="00EE1D69" w:rsidRPr="00480790">
        <w:rPr>
          <w:lang w:val="en-AU"/>
        </w:rPr>
        <w:t>in terms of a clinically meaningful</w:t>
      </w:r>
      <w:r w:rsidR="0074302A" w:rsidRPr="00480790">
        <w:rPr>
          <w:lang w:val="en-AU"/>
        </w:rPr>
        <w:t xml:space="preserve"> </w:t>
      </w:r>
      <w:r w:rsidR="00A83511" w:rsidRPr="00480790">
        <w:rPr>
          <w:lang w:val="en-AU"/>
        </w:rPr>
        <w:t xml:space="preserve">benefit for </w:t>
      </w:r>
      <w:r w:rsidR="004F1721" w:rsidRPr="00480790">
        <w:rPr>
          <w:lang w:val="en-AU"/>
        </w:rPr>
        <w:t>DFS</w:t>
      </w:r>
      <w:r w:rsidR="00874565" w:rsidRPr="00480790">
        <w:rPr>
          <w:lang w:val="en-AU"/>
        </w:rPr>
        <w:t xml:space="preserve"> </w:t>
      </w:r>
      <w:r w:rsidR="00DE747C" w:rsidRPr="00480790">
        <w:rPr>
          <w:lang w:val="en-AU"/>
        </w:rPr>
        <w:t>[</w:t>
      </w:r>
      <w:r w:rsidR="00BB3A27" w:rsidRPr="00480790">
        <w:rPr>
          <w:lang w:val="en-AU"/>
        </w:rPr>
        <w:t>HR</w:t>
      </w:r>
      <w:r w:rsidR="00DE747C" w:rsidRPr="00480790">
        <w:rPr>
          <w:lang w:val="en-AU"/>
        </w:rPr>
        <w:t xml:space="preserve"> </w:t>
      </w:r>
      <w:r w:rsidR="00BB3A27" w:rsidRPr="00480790">
        <w:rPr>
          <w:lang w:val="en-AU"/>
        </w:rPr>
        <w:t>0.24 (</w:t>
      </w:r>
      <w:r w:rsidR="004D3649" w:rsidRPr="00480790">
        <w:rPr>
          <w:lang w:val="en-AU"/>
        </w:rPr>
        <w:t xml:space="preserve">95%CI: </w:t>
      </w:r>
      <w:r w:rsidR="00BB3A27" w:rsidRPr="00480790">
        <w:rPr>
          <w:lang w:val="en-AU"/>
        </w:rPr>
        <w:t>0.13, 0.43)</w:t>
      </w:r>
      <w:r w:rsidR="004D3649" w:rsidRPr="00480790">
        <w:rPr>
          <w:lang w:val="en-AU"/>
        </w:rPr>
        <w:t>]</w:t>
      </w:r>
      <w:r w:rsidR="00BB3A27" w:rsidRPr="00480790">
        <w:rPr>
          <w:lang w:val="en-AU"/>
        </w:rPr>
        <w:t xml:space="preserve"> with </w:t>
      </w:r>
      <w:r w:rsidR="00B6295C" w:rsidRPr="00480790">
        <w:rPr>
          <w:lang w:val="en-AU"/>
        </w:rPr>
        <w:t xml:space="preserve">more </w:t>
      </w:r>
      <w:r w:rsidR="00BB3A27" w:rsidRPr="00480790">
        <w:rPr>
          <w:lang w:val="en-AU"/>
        </w:rPr>
        <w:t xml:space="preserve">patients </w:t>
      </w:r>
      <w:r w:rsidR="004F1721" w:rsidRPr="00480790">
        <w:rPr>
          <w:lang w:val="en-AU"/>
        </w:rPr>
        <w:t xml:space="preserve">not </w:t>
      </w:r>
      <w:r w:rsidR="00CC4B2D" w:rsidRPr="00480790">
        <w:rPr>
          <w:lang w:val="en-AU"/>
        </w:rPr>
        <w:t xml:space="preserve">relapsed </w:t>
      </w:r>
      <w:r w:rsidR="00BB3A27" w:rsidRPr="00480790">
        <w:rPr>
          <w:lang w:val="en-AU"/>
        </w:rPr>
        <w:t xml:space="preserve">at 48 months in the alectinib arm </w:t>
      </w:r>
      <w:r w:rsidR="00EF63D0" w:rsidRPr="00480790">
        <w:rPr>
          <w:lang w:val="en-AU"/>
        </w:rPr>
        <w:t xml:space="preserve">(77%) compared to </w:t>
      </w:r>
      <w:r w:rsidR="00BB3A27" w:rsidRPr="00480790">
        <w:rPr>
          <w:lang w:val="en-AU"/>
        </w:rPr>
        <w:t>than the chemotherapy arm</w:t>
      </w:r>
      <w:r w:rsidR="00DF1B8C" w:rsidRPr="00480790">
        <w:rPr>
          <w:lang w:val="en-AU"/>
        </w:rPr>
        <w:t xml:space="preserve"> (46%)</w:t>
      </w:r>
      <w:r w:rsidR="004D3649" w:rsidRPr="00480790">
        <w:rPr>
          <w:lang w:val="en-AU"/>
        </w:rPr>
        <w:t xml:space="preserve">. </w:t>
      </w:r>
      <w:r w:rsidR="00034DF0" w:rsidRPr="00480790">
        <w:rPr>
          <w:lang w:val="en-AU"/>
        </w:rPr>
        <w:t xml:space="preserve">The PBAC </w:t>
      </w:r>
      <w:r w:rsidR="0065535E" w:rsidRPr="00480790">
        <w:rPr>
          <w:lang w:val="en-AU"/>
        </w:rPr>
        <w:t xml:space="preserve">noted </w:t>
      </w:r>
      <w:r w:rsidR="00B95106" w:rsidRPr="00480790">
        <w:rPr>
          <w:snapToGrid w:val="0"/>
          <w:szCs w:val="20"/>
          <w:lang w:val="en-AU"/>
        </w:rPr>
        <w:t>that there was no signal of overall survival benefit at the prespecified DFS interim analysis</w:t>
      </w:r>
      <w:r w:rsidR="007E7C42" w:rsidRPr="00480790">
        <w:rPr>
          <w:lang w:val="en-AU"/>
        </w:rPr>
        <w:t xml:space="preserve"> with an event rate of 1.5% in the </w:t>
      </w:r>
      <w:r w:rsidR="008E286E" w:rsidRPr="00480790">
        <w:rPr>
          <w:lang w:val="en-AU"/>
        </w:rPr>
        <w:t>alectinib</w:t>
      </w:r>
      <w:r w:rsidR="007E7C42" w:rsidRPr="00480790">
        <w:rPr>
          <w:lang w:val="en-AU"/>
        </w:rPr>
        <w:t xml:space="preserve"> arm and </w:t>
      </w:r>
      <w:r w:rsidR="008E286E" w:rsidRPr="00480790">
        <w:rPr>
          <w:lang w:val="en-AU"/>
        </w:rPr>
        <w:t>3</w:t>
      </w:r>
      <w:r w:rsidR="00C12A97" w:rsidRPr="00480790">
        <w:rPr>
          <w:lang w:val="en-AU"/>
        </w:rPr>
        <w:t>.</w:t>
      </w:r>
      <w:r w:rsidR="008E286E" w:rsidRPr="00480790">
        <w:rPr>
          <w:lang w:val="en-AU"/>
        </w:rPr>
        <w:t>1%</w:t>
      </w:r>
      <w:r w:rsidR="007E7C42" w:rsidRPr="00480790">
        <w:rPr>
          <w:lang w:val="en-AU"/>
        </w:rPr>
        <w:t xml:space="preserve"> in the </w:t>
      </w:r>
      <w:r w:rsidR="00C12A97" w:rsidRPr="00480790">
        <w:rPr>
          <w:lang w:val="en-AU"/>
        </w:rPr>
        <w:t>chemotherapy</w:t>
      </w:r>
      <w:r w:rsidR="007E7C42" w:rsidRPr="00480790">
        <w:rPr>
          <w:lang w:val="en-AU"/>
        </w:rPr>
        <w:t xml:space="preserve"> </w:t>
      </w:r>
      <w:r w:rsidR="00C12A97" w:rsidRPr="00480790">
        <w:rPr>
          <w:lang w:val="en-AU"/>
        </w:rPr>
        <w:t xml:space="preserve">arm </w:t>
      </w:r>
      <w:r w:rsidR="00D827F0" w:rsidRPr="00480790">
        <w:rPr>
          <w:lang w:val="en-AU"/>
        </w:rPr>
        <w:t>at the clinical cut-off date of a median 27.8 months</w:t>
      </w:r>
      <w:r w:rsidR="00C12A97" w:rsidRPr="00480790">
        <w:rPr>
          <w:lang w:val="en-AU"/>
        </w:rPr>
        <w:t>. The PBAC</w:t>
      </w:r>
      <w:r w:rsidR="00D827F0" w:rsidRPr="00480790">
        <w:rPr>
          <w:lang w:val="en-AU"/>
        </w:rPr>
        <w:t xml:space="preserve"> </w:t>
      </w:r>
      <w:r w:rsidR="002C150C" w:rsidRPr="00480790">
        <w:rPr>
          <w:lang w:val="en-AU"/>
        </w:rPr>
        <w:t xml:space="preserve">were concerned </w:t>
      </w:r>
      <w:r w:rsidR="00034DF0" w:rsidRPr="00480790">
        <w:rPr>
          <w:lang w:val="en-AU"/>
        </w:rPr>
        <w:t xml:space="preserve">that longer OS </w:t>
      </w:r>
      <w:r w:rsidR="006130E8" w:rsidRPr="00480790">
        <w:rPr>
          <w:lang w:val="en-AU"/>
        </w:rPr>
        <w:t>follow up</w:t>
      </w:r>
      <w:r w:rsidR="00034DF0" w:rsidRPr="00480790">
        <w:rPr>
          <w:lang w:val="en-AU"/>
        </w:rPr>
        <w:t xml:space="preserve"> may not establish </w:t>
      </w:r>
      <w:r w:rsidR="00664FB5" w:rsidRPr="00480790">
        <w:rPr>
          <w:lang w:val="en-AU"/>
        </w:rPr>
        <w:t>a</w:t>
      </w:r>
      <w:r w:rsidR="0017076A" w:rsidRPr="00480790">
        <w:rPr>
          <w:lang w:val="en-AU"/>
        </w:rPr>
        <w:t>n OS</w:t>
      </w:r>
      <w:r w:rsidR="00664FB5" w:rsidRPr="00480790">
        <w:rPr>
          <w:lang w:val="en-AU"/>
        </w:rPr>
        <w:t xml:space="preserve"> </w:t>
      </w:r>
      <w:r w:rsidR="00034DF0" w:rsidRPr="00480790">
        <w:rPr>
          <w:lang w:val="en-AU"/>
        </w:rPr>
        <w:t xml:space="preserve">benefit given </w:t>
      </w:r>
      <w:r w:rsidR="00567B2E" w:rsidRPr="00480790">
        <w:rPr>
          <w:lang w:val="en-AU"/>
        </w:rPr>
        <w:t xml:space="preserve">the availability of </w:t>
      </w:r>
      <w:r w:rsidR="00034DF0" w:rsidRPr="00480790">
        <w:rPr>
          <w:lang w:val="en-AU"/>
        </w:rPr>
        <w:t xml:space="preserve">effective </w:t>
      </w:r>
      <w:r w:rsidR="00356C01" w:rsidRPr="00480790">
        <w:rPr>
          <w:lang w:val="en-AU"/>
        </w:rPr>
        <w:t>tyrosine kinase inhibitors (</w:t>
      </w:r>
      <w:r w:rsidR="00034DF0" w:rsidRPr="00480790">
        <w:rPr>
          <w:lang w:val="en-AU"/>
        </w:rPr>
        <w:t>TKI</w:t>
      </w:r>
      <w:r w:rsidR="00356C01" w:rsidRPr="00480790">
        <w:rPr>
          <w:lang w:val="en-AU"/>
        </w:rPr>
        <w:t>)</w:t>
      </w:r>
      <w:r w:rsidR="00034DF0" w:rsidRPr="00480790">
        <w:rPr>
          <w:lang w:val="en-AU"/>
        </w:rPr>
        <w:t xml:space="preserve"> treatments post recurrence</w:t>
      </w:r>
      <w:r w:rsidR="004226AE" w:rsidRPr="00480790">
        <w:rPr>
          <w:lang w:val="en-AU"/>
        </w:rPr>
        <w:t xml:space="preserve"> and requested that the committee be provided with </w:t>
      </w:r>
      <w:r w:rsidR="00A12EE5" w:rsidRPr="00480790">
        <w:rPr>
          <w:lang w:val="en-AU"/>
        </w:rPr>
        <w:t>mature OS data</w:t>
      </w:r>
      <w:r w:rsidR="00A57141" w:rsidRPr="00480790">
        <w:rPr>
          <w:lang w:val="en-AU"/>
        </w:rPr>
        <w:t xml:space="preserve"> when available, to allow an opportunity to re-evaluate the cost-effectiveness of adjuvant alectinib</w:t>
      </w:r>
      <w:r w:rsidRPr="00480790">
        <w:rPr>
          <w:lang w:val="en-AU"/>
        </w:rPr>
        <w:t>.</w:t>
      </w:r>
      <w:r w:rsidR="004F6642" w:rsidRPr="00480790">
        <w:rPr>
          <w:lang w:val="en-AU"/>
        </w:rPr>
        <w:t xml:space="preserve"> The PBAC also noted the </w:t>
      </w:r>
      <w:r w:rsidR="00464B29" w:rsidRPr="00480790">
        <w:rPr>
          <w:lang w:val="en-AU"/>
        </w:rPr>
        <w:t>SF-36v2 Mental Component Summary score at week 12 favoured alectinib in most domains</w:t>
      </w:r>
      <w:r w:rsidR="004F6642" w:rsidRPr="00480790">
        <w:rPr>
          <w:lang w:val="en-AU"/>
        </w:rPr>
        <w:t>.</w:t>
      </w:r>
    </w:p>
    <w:p w14:paraId="432278E7" w14:textId="2A510913" w:rsidR="001C256F" w:rsidRPr="00480790" w:rsidRDefault="001C256F" w:rsidP="002843F8">
      <w:pPr>
        <w:pStyle w:val="3-BodyText"/>
        <w:rPr>
          <w:lang w:val="en-AU"/>
        </w:rPr>
      </w:pPr>
      <w:r w:rsidRPr="00480790">
        <w:rPr>
          <w:lang w:val="en-AU"/>
        </w:rPr>
        <w:t xml:space="preserve">The PBAC </w:t>
      </w:r>
      <w:r w:rsidR="005D1778" w:rsidRPr="00480790">
        <w:rPr>
          <w:lang w:val="en-AU"/>
        </w:rPr>
        <w:t>noted</w:t>
      </w:r>
      <w:r w:rsidR="0064490E" w:rsidRPr="00480790">
        <w:rPr>
          <w:lang w:val="en-AU"/>
        </w:rPr>
        <w:t xml:space="preserve"> </w:t>
      </w:r>
      <w:r w:rsidR="00FA3353" w:rsidRPr="00480790">
        <w:rPr>
          <w:lang w:val="en-AU"/>
        </w:rPr>
        <w:t>a higher rate of discontinuation in the chemotherapy arm compared to alectinib (12</w:t>
      </w:r>
      <w:r w:rsidR="00CE1352" w:rsidRPr="00480790">
        <w:rPr>
          <w:lang w:val="en-AU"/>
        </w:rPr>
        <w:t>.5</w:t>
      </w:r>
      <w:r w:rsidR="00FA3353" w:rsidRPr="00480790">
        <w:rPr>
          <w:lang w:val="en-AU"/>
        </w:rPr>
        <w:t>% versus 5</w:t>
      </w:r>
      <w:r w:rsidR="00CE1352" w:rsidRPr="00480790">
        <w:rPr>
          <w:lang w:val="en-AU"/>
        </w:rPr>
        <w:t>.5</w:t>
      </w:r>
      <w:r w:rsidR="00FA3353" w:rsidRPr="00480790">
        <w:rPr>
          <w:lang w:val="en-AU"/>
        </w:rPr>
        <w:t>% respectively</w:t>
      </w:r>
      <w:r w:rsidR="00CE1352" w:rsidRPr="00480790">
        <w:rPr>
          <w:lang w:val="en-AU"/>
        </w:rPr>
        <w:t>)</w:t>
      </w:r>
      <w:r w:rsidR="005C72B8" w:rsidRPr="00480790">
        <w:rPr>
          <w:lang w:val="en-AU"/>
        </w:rPr>
        <w:t>.</w:t>
      </w:r>
      <w:r w:rsidR="00184B62" w:rsidRPr="00480790">
        <w:rPr>
          <w:lang w:val="en-AU"/>
        </w:rPr>
        <w:t xml:space="preserve"> </w:t>
      </w:r>
      <w:r w:rsidR="00162416" w:rsidRPr="00480790">
        <w:rPr>
          <w:lang w:val="en-AU"/>
        </w:rPr>
        <w:t xml:space="preserve">The </w:t>
      </w:r>
      <w:r w:rsidR="00184B62" w:rsidRPr="00480790">
        <w:rPr>
          <w:lang w:val="en-AU"/>
        </w:rPr>
        <w:t xml:space="preserve">PBAC noted the </w:t>
      </w:r>
      <w:r w:rsidR="00162416" w:rsidRPr="00480790">
        <w:rPr>
          <w:lang w:val="en-AU"/>
        </w:rPr>
        <w:t>treatment duration of c</w:t>
      </w:r>
      <w:r w:rsidR="00433BFB" w:rsidRPr="00480790">
        <w:rPr>
          <w:lang w:val="en-AU"/>
        </w:rPr>
        <w:t>hemotherapy</w:t>
      </w:r>
      <w:r w:rsidR="005C72B8" w:rsidRPr="00480790">
        <w:rPr>
          <w:lang w:val="en-AU"/>
        </w:rPr>
        <w:t xml:space="preserve"> </w:t>
      </w:r>
      <w:r w:rsidR="00433BFB" w:rsidRPr="00480790">
        <w:rPr>
          <w:lang w:val="en-AU"/>
        </w:rPr>
        <w:t>was shorter</w:t>
      </w:r>
      <w:r w:rsidR="00162416" w:rsidRPr="00480790">
        <w:rPr>
          <w:lang w:val="en-AU"/>
        </w:rPr>
        <w:t xml:space="preserve"> </w:t>
      </w:r>
      <w:r w:rsidR="004A4604" w:rsidRPr="00480790">
        <w:rPr>
          <w:lang w:val="en-AU"/>
        </w:rPr>
        <w:t>(</w:t>
      </w:r>
      <w:r w:rsidR="00162416" w:rsidRPr="00480790">
        <w:rPr>
          <w:lang w:val="en-AU"/>
        </w:rPr>
        <w:t xml:space="preserve">median treatment </w:t>
      </w:r>
      <w:r w:rsidR="00117902" w:rsidRPr="00480790">
        <w:rPr>
          <w:lang w:val="en-AU"/>
        </w:rPr>
        <w:t>for chemotherapy was 2.</w:t>
      </w:r>
      <w:r w:rsidR="00A3110D" w:rsidRPr="00480790">
        <w:rPr>
          <w:lang w:val="en-AU"/>
        </w:rPr>
        <w:t>1</w:t>
      </w:r>
      <w:r w:rsidR="00A3110D">
        <w:rPr>
          <w:lang w:val="en-AU"/>
        </w:rPr>
        <w:t> </w:t>
      </w:r>
      <w:r w:rsidR="00117902" w:rsidRPr="00480790">
        <w:rPr>
          <w:lang w:val="en-AU"/>
        </w:rPr>
        <w:t xml:space="preserve">months compared to 23.9 months with </w:t>
      </w:r>
      <w:r w:rsidR="00162416" w:rsidRPr="00480790">
        <w:rPr>
          <w:lang w:val="en-AU"/>
        </w:rPr>
        <w:t>alectinib)</w:t>
      </w:r>
      <w:r w:rsidR="004A4604" w:rsidRPr="00480790">
        <w:rPr>
          <w:lang w:val="en-AU"/>
        </w:rPr>
        <w:t xml:space="preserve"> </w:t>
      </w:r>
      <w:r w:rsidR="00433BFB" w:rsidRPr="00480790">
        <w:rPr>
          <w:lang w:val="en-AU"/>
        </w:rPr>
        <w:t xml:space="preserve">but </w:t>
      </w:r>
      <w:r w:rsidR="00117902" w:rsidRPr="00480790">
        <w:rPr>
          <w:lang w:val="en-AU"/>
        </w:rPr>
        <w:t xml:space="preserve">was </w:t>
      </w:r>
      <w:r w:rsidR="00433BFB" w:rsidRPr="00480790">
        <w:rPr>
          <w:lang w:val="en-AU"/>
        </w:rPr>
        <w:t xml:space="preserve">associated </w:t>
      </w:r>
      <w:r w:rsidR="005C72B8" w:rsidRPr="00480790">
        <w:rPr>
          <w:lang w:val="en-AU"/>
        </w:rPr>
        <w:t>with more nausea</w:t>
      </w:r>
      <w:r w:rsidR="00A0005F" w:rsidRPr="00480790">
        <w:rPr>
          <w:lang w:val="en-AU"/>
        </w:rPr>
        <w:t xml:space="preserve"> (72.5% compared to </w:t>
      </w:r>
      <w:r w:rsidR="004A4604" w:rsidRPr="00480790">
        <w:rPr>
          <w:lang w:val="en-AU"/>
        </w:rPr>
        <w:t>7</w:t>
      </w:r>
      <w:r w:rsidR="00184B62" w:rsidRPr="00480790">
        <w:rPr>
          <w:lang w:val="en-AU"/>
        </w:rPr>
        <w:t>.</w:t>
      </w:r>
      <w:r w:rsidR="004A4604" w:rsidRPr="00480790">
        <w:rPr>
          <w:lang w:val="en-AU"/>
        </w:rPr>
        <w:t>8%)</w:t>
      </w:r>
      <w:r w:rsidR="00D4326B" w:rsidRPr="00480790">
        <w:rPr>
          <w:lang w:val="en-AU"/>
        </w:rPr>
        <w:t xml:space="preserve"> </w:t>
      </w:r>
      <w:r w:rsidR="00184B62" w:rsidRPr="00480790">
        <w:rPr>
          <w:lang w:val="en-AU"/>
        </w:rPr>
        <w:t xml:space="preserve">whereas alectinib </w:t>
      </w:r>
      <w:r w:rsidR="00BD629C" w:rsidRPr="00480790">
        <w:rPr>
          <w:lang w:val="en-AU"/>
        </w:rPr>
        <w:t>w</w:t>
      </w:r>
      <w:r w:rsidR="00184B62" w:rsidRPr="00480790">
        <w:rPr>
          <w:lang w:val="en-AU"/>
        </w:rPr>
        <w:t>as associated</w:t>
      </w:r>
      <w:r w:rsidR="00847CD9" w:rsidRPr="00480790">
        <w:rPr>
          <w:lang w:val="en-AU"/>
        </w:rPr>
        <w:t xml:space="preserve"> </w:t>
      </w:r>
      <w:r w:rsidR="00BD629C" w:rsidRPr="00480790">
        <w:rPr>
          <w:iCs/>
          <w:lang w:val="en-AU"/>
        </w:rPr>
        <w:t xml:space="preserve">higher rates liver function test </w:t>
      </w:r>
      <w:r w:rsidR="00BD629C" w:rsidRPr="00480790">
        <w:rPr>
          <w:iCs/>
          <w:lang w:val="en-AU"/>
        </w:rPr>
        <w:lastRenderedPageBreak/>
        <w:t>dysfunction, myalgia, dysgeusia and oedema</w:t>
      </w:r>
      <w:r w:rsidR="001B355F" w:rsidRPr="00480790">
        <w:rPr>
          <w:lang w:val="en-AU"/>
        </w:rPr>
        <w:t>.</w:t>
      </w:r>
      <w:r w:rsidR="00271FE1" w:rsidRPr="00480790">
        <w:rPr>
          <w:lang w:val="en-AU"/>
        </w:rPr>
        <w:t xml:space="preserve"> </w:t>
      </w:r>
      <w:r w:rsidR="00604AB3" w:rsidRPr="00480790">
        <w:rPr>
          <w:lang w:val="en-AU"/>
        </w:rPr>
        <w:t xml:space="preserve">The PBAC further </w:t>
      </w:r>
      <w:r w:rsidR="00487C53" w:rsidRPr="00480790">
        <w:rPr>
          <w:lang w:val="en-AU"/>
        </w:rPr>
        <w:t>not</w:t>
      </w:r>
      <w:r w:rsidR="00604AB3" w:rsidRPr="00480790">
        <w:rPr>
          <w:lang w:val="en-AU"/>
        </w:rPr>
        <w:t xml:space="preserve">ed that </w:t>
      </w:r>
      <w:r w:rsidRPr="00480790">
        <w:rPr>
          <w:lang w:val="en-AU"/>
        </w:rPr>
        <w:t xml:space="preserve">the </w:t>
      </w:r>
      <w:r w:rsidR="00F46C58" w:rsidRPr="00480790">
        <w:rPr>
          <w:lang w:val="en-AU"/>
        </w:rPr>
        <w:t xml:space="preserve">proportion of participants who experienced at least one grade ≥3 adverse event </w:t>
      </w:r>
      <w:r w:rsidR="00D8178E" w:rsidRPr="00480790">
        <w:rPr>
          <w:lang w:val="en-AU"/>
        </w:rPr>
        <w:t xml:space="preserve">was similar in the alectinib and chemotherapy arms </w:t>
      </w:r>
      <w:r w:rsidR="00487C53" w:rsidRPr="00480790">
        <w:rPr>
          <w:lang w:val="en-AU"/>
        </w:rPr>
        <w:t>(</w:t>
      </w:r>
      <w:r w:rsidR="00124EED" w:rsidRPr="00480790">
        <w:rPr>
          <w:lang w:val="en-AU"/>
        </w:rPr>
        <w:t>29.7 % and 30.1% respectively). The PBAC considered</w:t>
      </w:r>
      <w:r w:rsidR="00CC2212" w:rsidRPr="00480790">
        <w:rPr>
          <w:lang w:val="en-AU"/>
        </w:rPr>
        <w:t xml:space="preserve"> and that </w:t>
      </w:r>
      <w:r w:rsidR="00E70230" w:rsidRPr="00480790">
        <w:rPr>
          <w:lang w:val="en-AU"/>
        </w:rPr>
        <w:t xml:space="preserve">toxicity of alectinib was relatively low, but </w:t>
      </w:r>
      <w:r w:rsidR="005C39BE" w:rsidRPr="00480790">
        <w:rPr>
          <w:lang w:val="en-AU"/>
        </w:rPr>
        <w:t xml:space="preserve">it </w:t>
      </w:r>
      <w:r w:rsidR="009E2C51" w:rsidRPr="00480790">
        <w:rPr>
          <w:lang w:val="en-AU"/>
        </w:rPr>
        <w:t>will need to be managed earlier</w:t>
      </w:r>
      <w:r w:rsidR="00E70230" w:rsidRPr="00480790">
        <w:rPr>
          <w:lang w:val="en-AU"/>
        </w:rPr>
        <w:t xml:space="preserve"> than with </w:t>
      </w:r>
      <w:r w:rsidR="005F3240" w:rsidRPr="00480790">
        <w:rPr>
          <w:lang w:val="en-AU"/>
        </w:rPr>
        <w:t xml:space="preserve">the </w:t>
      </w:r>
      <w:r w:rsidR="00E70230" w:rsidRPr="00480790">
        <w:rPr>
          <w:lang w:val="en-AU"/>
        </w:rPr>
        <w:t xml:space="preserve">current </w:t>
      </w:r>
      <w:r w:rsidR="009E2C51" w:rsidRPr="00480790">
        <w:rPr>
          <w:lang w:val="en-AU"/>
        </w:rPr>
        <w:t xml:space="preserve">treatment </w:t>
      </w:r>
      <w:r w:rsidR="00894085" w:rsidRPr="00480790">
        <w:rPr>
          <w:lang w:val="en-AU"/>
        </w:rPr>
        <w:t xml:space="preserve">algorithm </w:t>
      </w:r>
      <w:r w:rsidR="006B733F" w:rsidRPr="00480790">
        <w:rPr>
          <w:lang w:val="en-AU"/>
        </w:rPr>
        <w:t xml:space="preserve">where its use is </w:t>
      </w:r>
      <w:r w:rsidR="007C46DA" w:rsidRPr="00480790">
        <w:rPr>
          <w:lang w:val="en-AU"/>
        </w:rPr>
        <w:t xml:space="preserve">reserved for </w:t>
      </w:r>
      <w:r w:rsidR="00894085" w:rsidRPr="00480790">
        <w:rPr>
          <w:lang w:val="en-AU"/>
        </w:rPr>
        <w:t>the metastatic setting</w:t>
      </w:r>
      <w:r w:rsidR="009E2C51" w:rsidRPr="00480790">
        <w:rPr>
          <w:lang w:val="en-AU"/>
        </w:rPr>
        <w:t>.</w:t>
      </w:r>
      <w:r w:rsidR="007C46DA" w:rsidRPr="00480790">
        <w:rPr>
          <w:lang w:val="en-AU"/>
        </w:rPr>
        <w:t xml:space="preserve"> Overall, the PBAC considered</w:t>
      </w:r>
      <w:r w:rsidR="006F34A4" w:rsidRPr="00480790">
        <w:rPr>
          <w:lang w:val="en-AU"/>
        </w:rPr>
        <w:t xml:space="preserve"> </w:t>
      </w:r>
      <w:r w:rsidR="00B32D93" w:rsidRPr="00480790">
        <w:rPr>
          <w:lang w:val="en-AU"/>
        </w:rPr>
        <w:t xml:space="preserve">the claim of non-inferior </w:t>
      </w:r>
      <w:r w:rsidR="007C46DA" w:rsidRPr="00480790">
        <w:rPr>
          <w:lang w:val="en-AU"/>
        </w:rPr>
        <w:t xml:space="preserve">(similar) </w:t>
      </w:r>
      <w:r w:rsidR="00B32D93" w:rsidRPr="00480790">
        <w:rPr>
          <w:lang w:val="en-AU"/>
        </w:rPr>
        <w:t xml:space="preserve">safety to be </w:t>
      </w:r>
      <w:r w:rsidR="007C46DA" w:rsidRPr="00480790">
        <w:rPr>
          <w:lang w:val="en-AU"/>
        </w:rPr>
        <w:t>reasonable</w:t>
      </w:r>
      <w:r w:rsidR="00C54806" w:rsidRPr="00480790">
        <w:rPr>
          <w:lang w:val="en-AU"/>
        </w:rPr>
        <w:t xml:space="preserve">, </w:t>
      </w:r>
      <w:r w:rsidR="00C54806" w:rsidRPr="00480790">
        <w:rPr>
          <w:snapToGrid w:val="0"/>
          <w:szCs w:val="20"/>
          <w:lang w:val="en-AU"/>
        </w:rPr>
        <w:t>but did note that the impact of adverse events from adjuvant alectinib would typically be substantially prolonged compared to the adverse events from the comparator of adjuvant chemotherapy, due to the difference in planned treatment durations (2 years compared to 12 weeks)</w:t>
      </w:r>
      <w:r w:rsidRPr="00480790">
        <w:rPr>
          <w:lang w:val="en-AU"/>
        </w:rPr>
        <w:t>.</w:t>
      </w:r>
    </w:p>
    <w:p w14:paraId="48E316A3" w14:textId="05076E4F" w:rsidR="00C058FE" w:rsidRPr="00480790" w:rsidRDefault="00C058FE" w:rsidP="002843F8">
      <w:pPr>
        <w:pStyle w:val="3-BodyText"/>
        <w:rPr>
          <w:bCs/>
          <w:iCs/>
          <w:lang w:val="en-AU"/>
        </w:rPr>
      </w:pPr>
      <w:r w:rsidRPr="00480790">
        <w:rPr>
          <w:lang w:val="en-AU"/>
        </w:rPr>
        <w:t xml:space="preserve">The PBAC noted the submission presented a cost utility analysis based on the DFS outcomes of the ALINA trial with extrapolation to 20 years and a base case ICER of </w:t>
      </w:r>
      <w:r w:rsidR="00225D7E" w:rsidRPr="00225D7E">
        <w:rPr>
          <w:lang w:val="en-AU"/>
        </w:rPr>
        <w:t>$25,000 to &lt; $35,000</w:t>
      </w:r>
      <w:r w:rsidRPr="00480790">
        <w:rPr>
          <w:lang w:val="en-AU"/>
        </w:rPr>
        <w:t xml:space="preserve"> per QALY</w:t>
      </w:r>
      <w:r w:rsidR="00CD09B8" w:rsidRPr="00480790">
        <w:rPr>
          <w:lang w:val="en-AU"/>
        </w:rPr>
        <w:t xml:space="preserve"> gained</w:t>
      </w:r>
      <w:r w:rsidRPr="00480790">
        <w:rPr>
          <w:lang w:val="en-AU"/>
        </w:rPr>
        <w:t xml:space="preserve">. </w:t>
      </w:r>
      <w:r w:rsidR="00215671" w:rsidRPr="00480790">
        <w:rPr>
          <w:lang w:val="en-AU"/>
        </w:rPr>
        <w:t>The economic model applied 2 adjustments to the extrapolated DFS, including the limitation of treatment effect where the model allowed the treatment effect of alectinib to decrease over time and a cure adjustment where the model allowed patients to be considered cured (i.e. not experience recurrence or disease-related death) if they were disease-free for a certain number of years</w:t>
      </w:r>
      <w:r w:rsidR="00F410C3" w:rsidRPr="00480790">
        <w:rPr>
          <w:lang w:val="en-AU"/>
        </w:rPr>
        <w:t xml:space="preserve">. The model assumed the treatment effect started to decrease at year 5 and ceased at year 10. The </w:t>
      </w:r>
      <w:r w:rsidR="00120931" w:rsidRPr="00480790">
        <w:rPr>
          <w:lang w:val="en-AU"/>
        </w:rPr>
        <w:t>model</w:t>
      </w:r>
      <w:r w:rsidR="00F410C3" w:rsidRPr="00480790">
        <w:rPr>
          <w:lang w:val="en-AU"/>
        </w:rPr>
        <w:t xml:space="preserve"> applied a cure rate that began from Year 4 (i.e. 2</w:t>
      </w:r>
      <w:r w:rsidR="00225D7E">
        <w:rPr>
          <w:lang w:val="en-AU"/>
        </w:rPr>
        <w:t> </w:t>
      </w:r>
      <w:r w:rsidR="00F410C3" w:rsidRPr="00480790">
        <w:rPr>
          <w:lang w:val="en-AU"/>
        </w:rPr>
        <w:t>years after cessation of therapy) and increased linearly to a maximum of 92% at Year 5.</w:t>
      </w:r>
    </w:p>
    <w:p w14:paraId="2A737C3C" w14:textId="2A66305A" w:rsidR="00625C2D" w:rsidRPr="00480790" w:rsidRDefault="00120931" w:rsidP="002843F8">
      <w:pPr>
        <w:pStyle w:val="3-BodyText"/>
        <w:rPr>
          <w:lang w:val="en-AU"/>
        </w:rPr>
      </w:pPr>
      <w:r w:rsidRPr="00480790">
        <w:rPr>
          <w:lang w:val="en-AU"/>
        </w:rPr>
        <w:t xml:space="preserve">The PBAC agreed with the ESC that </w:t>
      </w:r>
      <w:r w:rsidR="00A46F1E" w:rsidRPr="00480790">
        <w:rPr>
          <w:lang w:val="en-AU"/>
        </w:rPr>
        <w:t xml:space="preserve">a </w:t>
      </w:r>
      <w:r w:rsidR="006A79B8" w:rsidRPr="00480790">
        <w:rPr>
          <w:lang w:val="en-AU"/>
        </w:rPr>
        <w:t>15-year</w:t>
      </w:r>
      <w:r w:rsidR="009C4ECD" w:rsidRPr="00480790">
        <w:rPr>
          <w:lang w:val="en-AU"/>
        </w:rPr>
        <w:t xml:space="preserve"> time horizon </w:t>
      </w:r>
      <w:r w:rsidR="00A46F1E" w:rsidRPr="00480790">
        <w:rPr>
          <w:lang w:val="en-AU"/>
        </w:rPr>
        <w:t>was</w:t>
      </w:r>
      <w:r w:rsidR="00476850" w:rsidRPr="00480790">
        <w:rPr>
          <w:lang w:val="en-AU"/>
        </w:rPr>
        <w:t xml:space="preserve"> more </w:t>
      </w:r>
      <w:r w:rsidR="009C4ECD" w:rsidRPr="00480790">
        <w:rPr>
          <w:lang w:val="en-AU"/>
        </w:rPr>
        <w:t xml:space="preserve">appropriate </w:t>
      </w:r>
      <w:r w:rsidR="00476850" w:rsidRPr="00480790">
        <w:rPr>
          <w:lang w:val="en-AU"/>
        </w:rPr>
        <w:t xml:space="preserve">given the precedents with </w:t>
      </w:r>
      <w:r w:rsidR="009F031C" w:rsidRPr="00480790">
        <w:rPr>
          <w:lang w:val="en-AU"/>
        </w:rPr>
        <w:t>atezo</w:t>
      </w:r>
      <w:r w:rsidR="006A79B8" w:rsidRPr="00480790">
        <w:rPr>
          <w:lang w:val="en-AU"/>
        </w:rPr>
        <w:t>lizumab and osime</w:t>
      </w:r>
      <w:r w:rsidR="008E114C" w:rsidRPr="00480790">
        <w:rPr>
          <w:lang w:val="en-AU"/>
        </w:rPr>
        <w:t>r</w:t>
      </w:r>
      <w:r w:rsidR="006A79B8" w:rsidRPr="00480790">
        <w:rPr>
          <w:lang w:val="en-AU"/>
        </w:rPr>
        <w:t>tinib</w:t>
      </w:r>
      <w:r w:rsidR="009C4ECD" w:rsidRPr="00480790">
        <w:rPr>
          <w:lang w:val="en-AU"/>
        </w:rPr>
        <w:t xml:space="preserve"> and can be used to mitigate uncertainty in the estimated long-term costs and outcomes</w:t>
      </w:r>
      <w:r w:rsidR="008930EE" w:rsidRPr="00480790">
        <w:rPr>
          <w:lang w:val="en-AU"/>
        </w:rPr>
        <w:t xml:space="preserve"> (see paragraph </w:t>
      </w:r>
      <w:r w:rsidR="008930EE" w:rsidRPr="00480790">
        <w:rPr>
          <w:lang w:val="en-AU"/>
        </w:rPr>
        <w:fldChar w:fldCharType="begin"/>
      </w:r>
      <w:r w:rsidR="008930EE" w:rsidRPr="00480790">
        <w:rPr>
          <w:lang w:val="en-AU"/>
        </w:rPr>
        <w:instrText xml:space="preserve"> REF _Ref199344930 \r \h </w:instrText>
      </w:r>
      <w:r w:rsidR="008930EE" w:rsidRPr="00480790">
        <w:rPr>
          <w:lang w:val="en-AU"/>
        </w:rPr>
      </w:r>
      <w:r w:rsidR="008930EE" w:rsidRPr="00480790">
        <w:rPr>
          <w:lang w:val="en-AU"/>
        </w:rPr>
        <w:fldChar w:fldCharType="separate"/>
      </w:r>
      <w:r w:rsidR="002565BE">
        <w:rPr>
          <w:lang w:val="en-AU"/>
        </w:rPr>
        <w:t>6.40</w:t>
      </w:r>
      <w:r w:rsidR="008930EE" w:rsidRPr="00480790">
        <w:rPr>
          <w:lang w:val="en-AU"/>
        </w:rPr>
        <w:fldChar w:fldCharType="end"/>
      </w:r>
      <w:r w:rsidR="008930EE" w:rsidRPr="00480790">
        <w:rPr>
          <w:lang w:val="en-AU"/>
        </w:rPr>
        <w:t>)</w:t>
      </w:r>
      <w:r w:rsidR="009C4ECD" w:rsidRPr="00480790">
        <w:rPr>
          <w:lang w:val="en-AU"/>
        </w:rPr>
        <w:t xml:space="preserve">. </w:t>
      </w:r>
      <w:r w:rsidR="00625C2D" w:rsidRPr="00480790">
        <w:rPr>
          <w:lang w:val="en-AU"/>
        </w:rPr>
        <w:t xml:space="preserve">The </w:t>
      </w:r>
      <w:r w:rsidR="008930EE" w:rsidRPr="00480790">
        <w:rPr>
          <w:lang w:val="en-AU"/>
        </w:rPr>
        <w:t xml:space="preserve">PBAC also </w:t>
      </w:r>
      <w:r w:rsidR="00625C2D" w:rsidRPr="00480790">
        <w:rPr>
          <w:lang w:val="en-AU"/>
        </w:rPr>
        <w:t xml:space="preserve">agreed with the ESC that the </w:t>
      </w:r>
      <w:r w:rsidR="008E114C" w:rsidRPr="00480790">
        <w:rPr>
          <w:lang w:val="en-AU"/>
        </w:rPr>
        <w:t>cure assumption was reasonable</w:t>
      </w:r>
      <w:r w:rsidR="001F14DE" w:rsidRPr="00480790">
        <w:rPr>
          <w:lang w:val="en-AU"/>
        </w:rPr>
        <w:t xml:space="preserve">, although the survival benefit may be overestimated (see paragraph </w:t>
      </w:r>
      <w:r w:rsidR="001F14DE" w:rsidRPr="00480790">
        <w:rPr>
          <w:lang w:val="en-AU"/>
        </w:rPr>
        <w:fldChar w:fldCharType="begin"/>
      </w:r>
      <w:r w:rsidR="001F14DE" w:rsidRPr="00480790">
        <w:rPr>
          <w:lang w:val="en-AU"/>
        </w:rPr>
        <w:instrText xml:space="preserve"> REF _Ref199345027 \r \h </w:instrText>
      </w:r>
      <w:r w:rsidR="001F14DE" w:rsidRPr="00480790">
        <w:rPr>
          <w:lang w:val="en-AU"/>
        </w:rPr>
      </w:r>
      <w:r w:rsidR="001F14DE" w:rsidRPr="00480790">
        <w:rPr>
          <w:lang w:val="en-AU"/>
        </w:rPr>
        <w:fldChar w:fldCharType="separate"/>
      </w:r>
      <w:r w:rsidR="002565BE">
        <w:rPr>
          <w:lang w:val="en-AU"/>
        </w:rPr>
        <w:t>6.53</w:t>
      </w:r>
      <w:r w:rsidR="001F14DE" w:rsidRPr="00480790">
        <w:rPr>
          <w:lang w:val="en-AU"/>
        </w:rPr>
        <w:fldChar w:fldCharType="end"/>
      </w:r>
      <w:r w:rsidR="00892200" w:rsidRPr="00480790">
        <w:rPr>
          <w:lang w:val="en-AU"/>
        </w:rPr>
        <w:t>)</w:t>
      </w:r>
      <w:r w:rsidR="008E114C" w:rsidRPr="00480790">
        <w:rPr>
          <w:lang w:val="en-AU"/>
        </w:rPr>
        <w:t>.</w:t>
      </w:r>
    </w:p>
    <w:p w14:paraId="79B6728D" w14:textId="2C4A306D" w:rsidR="009C4ECD" w:rsidRPr="00480790" w:rsidRDefault="00A95242" w:rsidP="002843F8">
      <w:pPr>
        <w:pStyle w:val="3-BodyText"/>
        <w:rPr>
          <w:lang w:val="en-AU"/>
        </w:rPr>
      </w:pPr>
      <w:r w:rsidRPr="00480790">
        <w:rPr>
          <w:lang w:val="en-AU"/>
        </w:rPr>
        <w:t>The PBAC n</w:t>
      </w:r>
      <w:r w:rsidR="00282199" w:rsidRPr="00480790">
        <w:rPr>
          <w:lang w:val="en-AU"/>
        </w:rPr>
        <w:t>o</w:t>
      </w:r>
      <w:r w:rsidRPr="00480790">
        <w:rPr>
          <w:lang w:val="en-AU"/>
        </w:rPr>
        <w:t>ted</w:t>
      </w:r>
      <w:r w:rsidR="00282199" w:rsidRPr="00480790">
        <w:rPr>
          <w:lang w:val="en-AU"/>
        </w:rPr>
        <w:t xml:space="preserve"> the ESC </w:t>
      </w:r>
      <w:r w:rsidR="000F2F4B" w:rsidRPr="00480790">
        <w:rPr>
          <w:lang w:val="en-AU"/>
        </w:rPr>
        <w:t xml:space="preserve">considered </w:t>
      </w:r>
      <w:r w:rsidR="008B2C50" w:rsidRPr="00480790">
        <w:rPr>
          <w:lang w:val="en-AU"/>
        </w:rPr>
        <w:t xml:space="preserve">variation to </w:t>
      </w:r>
      <w:r w:rsidR="000F2F4B" w:rsidRPr="00480790">
        <w:rPr>
          <w:lang w:val="en-AU"/>
        </w:rPr>
        <w:t xml:space="preserve">a number of parameters to inform a revised base case (see paragraph </w:t>
      </w:r>
      <w:r w:rsidR="000F2F4B" w:rsidRPr="00480790">
        <w:rPr>
          <w:lang w:val="en-AU"/>
        </w:rPr>
        <w:fldChar w:fldCharType="begin"/>
      </w:r>
      <w:r w:rsidR="000F2F4B" w:rsidRPr="00480790">
        <w:rPr>
          <w:lang w:val="en-AU"/>
        </w:rPr>
        <w:instrText xml:space="preserve"> REF _Ref195284625 \r \h </w:instrText>
      </w:r>
      <w:r w:rsidR="000F2F4B" w:rsidRPr="00480790">
        <w:rPr>
          <w:lang w:val="en-AU"/>
        </w:rPr>
      </w:r>
      <w:r w:rsidR="000F2F4B" w:rsidRPr="00480790">
        <w:rPr>
          <w:lang w:val="en-AU"/>
        </w:rPr>
        <w:fldChar w:fldCharType="separate"/>
      </w:r>
      <w:r w:rsidR="002565BE">
        <w:rPr>
          <w:lang w:val="en-AU"/>
        </w:rPr>
        <w:t>6.68</w:t>
      </w:r>
      <w:r w:rsidR="000F2F4B" w:rsidRPr="00480790">
        <w:rPr>
          <w:lang w:val="en-AU"/>
        </w:rPr>
        <w:fldChar w:fldCharType="end"/>
      </w:r>
      <w:r w:rsidR="000F2F4B" w:rsidRPr="00480790">
        <w:rPr>
          <w:lang w:val="en-AU"/>
        </w:rPr>
        <w:t xml:space="preserve">). </w:t>
      </w:r>
      <w:r w:rsidR="003F2BC9" w:rsidRPr="00480790">
        <w:rPr>
          <w:lang w:val="en-AU"/>
        </w:rPr>
        <w:t>T</w:t>
      </w:r>
      <w:r w:rsidR="000F2F4B" w:rsidRPr="00480790">
        <w:rPr>
          <w:lang w:val="en-AU"/>
        </w:rPr>
        <w:t>he PBAC noted</w:t>
      </w:r>
      <w:r w:rsidRPr="00480790">
        <w:rPr>
          <w:lang w:val="en-AU"/>
        </w:rPr>
        <w:t xml:space="preserve"> </w:t>
      </w:r>
      <w:r w:rsidR="008B2C50" w:rsidRPr="00480790">
        <w:rPr>
          <w:lang w:val="en-AU"/>
        </w:rPr>
        <w:t xml:space="preserve">the </w:t>
      </w:r>
      <w:r w:rsidR="003F2BC9" w:rsidRPr="00480790">
        <w:rPr>
          <w:lang w:val="en-AU"/>
        </w:rPr>
        <w:t>pre-PBAC response</w:t>
      </w:r>
      <w:r w:rsidR="00CF11AA" w:rsidRPr="00480790">
        <w:rPr>
          <w:lang w:val="en-AU"/>
        </w:rPr>
        <w:t>,</w:t>
      </w:r>
      <w:r w:rsidR="008B2C50" w:rsidRPr="00480790">
        <w:rPr>
          <w:lang w:val="en-AU"/>
        </w:rPr>
        <w:t xml:space="preserve"> despite disagreeing with the</w:t>
      </w:r>
      <w:r w:rsidR="00224692" w:rsidRPr="00480790">
        <w:rPr>
          <w:lang w:val="en-AU"/>
        </w:rPr>
        <w:t xml:space="preserve"> ESC’s proposed changes to the</w:t>
      </w:r>
      <w:r w:rsidR="008B2C50" w:rsidRPr="00480790">
        <w:rPr>
          <w:lang w:val="en-AU"/>
        </w:rPr>
        <w:t xml:space="preserve"> model assumptions</w:t>
      </w:r>
      <w:r w:rsidR="00CF11AA" w:rsidRPr="00480790">
        <w:rPr>
          <w:lang w:val="en-AU"/>
        </w:rPr>
        <w:t>,</w:t>
      </w:r>
      <w:r w:rsidR="00224692" w:rsidRPr="00480790">
        <w:rPr>
          <w:lang w:val="en-AU"/>
        </w:rPr>
        <w:t xml:space="preserve"> accepted the</w:t>
      </w:r>
      <w:r w:rsidR="008B2C50" w:rsidRPr="00480790">
        <w:rPr>
          <w:lang w:val="en-AU"/>
        </w:rPr>
        <w:t xml:space="preserve"> </w:t>
      </w:r>
      <w:r w:rsidR="00CF11AA" w:rsidRPr="00480790">
        <w:rPr>
          <w:lang w:val="en-AU"/>
        </w:rPr>
        <w:t xml:space="preserve">ESC’s </w:t>
      </w:r>
      <w:r w:rsidR="00850245" w:rsidRPr="00480790">
        <w:rPr>
          <w:lang w:val="en-AU"/>
        </w:rPr>
        <w:t xml:space="preserve">suggested </w:t>
      </w:r>
      <w:r w:rsidR="008B2C50" w:rsidRPr="00480790">
        <w:rPr>
          <w:lang w:val="en-AU"/>
        </w:rPr>
        <w:t>multi-sensitivity analys</w:t>
      </w:r>
      <w:r w:rsidR="00AB21FC" w:rsidRPr="00480790">
        <w:rPr>
          <w:lang w:val="en-AU"/>
        </w:rPr>
        <w:t>i</w:t>
      </w:r>
      <w:r w:rsidR="008B2C50" w:rsidRPr="00480790">
        <w:rPr>
          <w:lang w:val="en-AU"/>
        </w:rPr>
        <w:t xml:space="preserve">s together with an appropriate update of the </w:t>
      </w:r>
      <w:r w:rsidR="00866B92" w:rsidRPr="00480790">
        <w:rPr>
          <w:lang w:val="en-AU"/>
        </w:rPr>
        <w:t>end-of-life</w:t>
      </w:r>
      <w:r w:rsidR="008B2C50" w:rsidRPr="00480790">
        <w:rPr>
          <w:lang w:val="en-AU"/>
        </w:rPr>
        <w:t xml:space="preserve"> cost</w:t>
      </w:r>
      <w:r w:rsidR="00780BEF" w:rsidRPr="00480790">
        <w:rPr>
          <w:lang w:val="en-AU"/>
        </w:rPr>
        <w:t xml:space="preserve"> (see paragraph </w:t>
      </w:r>
      <w:r w:rsidR="00780BEF" w:rsidRPr="00480790">
        <w:rPr>
          <w:lang w:val="en-AU"/>
        </w:rPr>
        <w:fldChar w:fldCharType="begin"/>
      </w:r>
      <w:r w:rsidR="00780BEF" w:rsidRPr="00480790">
        <w:rPr>
          <w:lang w:val="en-AU"/>
        </w:rPr>
        <w:instrText xml:space="preserve"> REF _Ref199342930 \r \h </w:instrText>
      </w:r>
      <w:r w:rsidR="00780BEF" w:rsidRPr="00480790">
        <w:rPr>
          <w:lang w:val="en-AU"/>
        </w:rPr>
      </w:r>
      <w:r w:rsidR="00780BEF" w:rsidRPr="00480790">
        <w:rPr>
          <w:lang w:val="en-AU"/>
        </w:rPr>
        <w:fldChar w:fldCharType="separate"/>
      </w:r>
      <w:r w:rsidR="002565BE">
        <w:rPr>
          <w:lang w:val="en-AU"/>
        </w:rPr>
        <w:t>6.69</w:t>
      </w:r>
      <w:r w:rsidR="00780BEF" w:rsidRPr="00480790">
        <w:rPr>
          <w:lang w:val="en-AU"/>
        </w:rPr>
        <w:fldChar w:fldCharType="end"/>
      </w:r>
      <w:r w:rsidR="00780BEF" w:rsidRPr="00480790">
        <w:rPr>
          <w:lang w:val="en-AU"/>
        </w:rPr>
        <w:t xml:space="preserve">). The </w:t>
      </w:r>
      <w:r w:rsidR="003C3873" w:rsidRPr="00480790">
        <w:rPr>
          <w:lang w:val="en-AU"/>
        </w:rPr>
        <w:t>pre-PBAC response noted the resultant revised base ca</w:t>
      </w:r>
      <w:r w:rsidR="00501F12" w:rsidRPr="00480790">
        <w:rPr>
          <w:lang w:val="en-AU"/>
        </w:rPr>
        <w:t>s</w:t>
      </w:r>
      <w:r w:rsidR="003C3873" w:rsidRPr="00480790">
        <w:rPr>
          <w:lang w:val="en-AU"/>
        </w:rPr>
        <w:t>e was within the range of an accepted ICER for osimert</w:t>
      </w:r>
      <w:r w:rsidR="00892200" w:rsidRPr="00480790">
        <w:rPr>
          <w:lang w:val="en-AU"/>
        </w:rPr>
        <w:t>i</w:t>
      </w:r>
      <w:r w:rsidR="003C3873" w:rsidRPr="00480790">
        <w:rPr>
          <w:lang w:val="en-AU"/>
        </w:rPr>
        <w:t xml:space="preserve">nib </w:t>
      </w:r>
      <w:r w:rsidR="00501F12" w:rsidRPr="00480790">
        <w:rPr>
          <w:lang w:val="en-AU"/>
        </w:rPr>
        <w:t>($35,000</w:t>
      </w:r>
      <w:r w:rsidR="00225D7E">
        <w:rPr>
          <w:lang w:val="en-AU"/>
        </w:rPr>
        <w:t> </w:t>
      </w:r>
      <w:r w:rsidR="00501F12" w:rsidRPr="00480790">
        <w:rPr>
          <w:lang w:val="en-AU"/>
        </w:rPr>
        <w:t>to</w:t>
      </w:r>
      <w:r w:rsidR="00225D7E">
        <w:rPr>
          <w:lang w:val="en-AU"/>
        </w:rPr>
        <w:t> </w:t>
      </w:r>
      <w:r w:rsidR="00501F12" w:rsidRPr="00480790">
        <w:rPr>
          <w:lang w:val="en-AU"/>
        </w:rPr>
        <w:t>&lt;</w:t>
      </w:r>
      <w:r w:rsidR="00225D7E">
        <w:rPr>
          <w:lang w:val="en-AU"/>
        </w:rPr>
        <w:t> </w:t>
      </w:r>
      <w:r w:rsidR="00501F12" w:rsidRPr="00480790">
        <w:rPr>
          <w:lang w:val="en-AU"/>
        </w:rPr>
        <w:t>$45,000 per QALY gained).</w:t>
      </w:r>
    </w:p>
    <w:p w14:paraId="7A5B1E2B" w14:textId="638E00BB" w:rsidR="00501F12" w:rsidRPr="00480790" w:rsidRDefault="00501F12" w:rsidP="002843F8">
      <w:pPr>
        <w:pStyle w:val="3-BodyText"/>
        <w:rPr>
          <w:lang w:val="en-AU"/>
        </w:rPr>
      </w:pPr>
      <w:r w:rsidRPr="00480790">
        <w:rPr>
          <w:lang w:val="en-AU"/>
        </w:rPr>
        <w:t xml:space="preserve">The PBAC </w:t>
      </w:r>
      <w:r w:rsidR="005A576D" w:rsidRPr="00480790">
        <w:rPr>
          <w:lang w:val="en-AU"/>
        </w:rPr>
        <w:t>accepted the revised assumptions for the model as re-presented in the pr</w:t>
      </w:r>
      <w:r w:rsidR="00F56072" w:rsidRPr="00480790">
        <w:rPr>
          <w:lang w:val="en-AU"/>
        </w:rPr>
        <w:t>e</w:t>
      </w:r>
      <w:r w:rsidR="005A576D" w:rsidRPr="00480790">
        <w:rPr>
          <w:lang w:val="en-AU"/>
        </w:rPr>
        <w:t xml:space="preserve">-PBAC </w:t>
      </w:r>
      <w:r w:rsidR="00A62B2A" w:rsidRPr="00480790">
        <w:rPr>
          <w:lang w:val="en-AU"/>
        </w:rPr>
        <w:t xml:space="preserve">response </w:t>
      </w:r>
      <w:r w:rsidR="005A576D" w:rsidRPr="00480790">
        <w:rPr>
          <w:lang w:val="en-AU"/>
        </w:rPr>
        <w:t xml:space="preserve">to include the </w:t>
      </w:r>
      <w:r w:rsidR="00E07516" w:rsidRPr="00480790">
        <w:rPr>
          <w:lang w:val="en-AU"/>
        </w:rPr>
        <w:t>appropriate end</w:t>
      </w:r>
      <w:r w:rsidR="00F56072" w:rsidRPr="00480790">
        <w:rPr>
          <w:lang w:val="en-AU"/>
        </w:rPr>
        <w:t xml:space="preserve"> of life costs</w:t>
      </w:r>
      <w:r w:rsidR="00A07C38" w:rsidRPr="00480790">
        <w:rPr>
          <w:lang w:val="en-AU"/>
        </w:rPr>
        <w:t xml:space="preserve">. The PBAC considered </w:t>
      </w:r>
      <w:r w:rsidR="00467C18" w:rsidRPr="00480790">
        <w:rPr>
          <w:lang w:val="en-AU"/>
        </w:rPr>
        <w:t>that although the cure assumption modelled was acceptable a</w:t>
      </w:r>
      <w:r w:rsidR="00415C5C" w:rsidRPr="00480790">
        <w:rPr>
          <w:lang w:val="en-AU"/>
        </w:rPr>
        <w:t xml:space="preserve">nd consistent with </w:t>
      </w:r>
      <w:r w:rsidR="00B74154" w:rsidRPr="00480790">
        <w:rPr>
          <w:lang w:val="en-AU"/>
        </w:rPr>
        <w:t>o</w:t>
      </w:r>
      <w:r w:rsidR="00415C5C" w:rsidRPr="00480790">
        <w:rPr>
          <w:lang w:val="en-AU"/>
        </w:rPr>
        <w:t xml:space="preserve">simertinib, </w:t>
      </w:r>
      <w:r w:rsidR="00467C18" w:rsidRPr="00480790">
        <w:rPr>
          <w:lang w:val="en-AU"/>
        </w:rPr>
        <w:t>modelled</w:t>
      </w:r>
      <w:r w:rsidR="00A07C38" w:rsidRPr="00480790">
        <w:rPr>
          <w:lang w:val="en-AU"/>
        </w:rPr>
        <w:t xml:space="preserve"> long-term benefits remained uncertain</w:t>
      </w:r>
      <w:r w:rsidR="00467C18" w:rsidRPr="00480790">
        <w:rPr>
          <w:lang w:val="en-AU"/>
        </w:rPr>
        <w:t xml:space="preserve"> </w:t>
      </w:r>
      <w:r w:rsidR="000416C8" w:rsidRPr="00480790">
        <w:rPr>
          <w:lang w:val="en-AU"/>
        </w:rPr>
        <w:t>given immature survival data</w:t>
      </w:r>
      <w:r w:rsidR="00EF2E33" w:rsidRPr="00480790">
        <w:rPr>
          <w:lang w:val="en-AU"/>
        </w:rPr>
        <w:t xml:space="preserve"> to support the </w:t>
      </w:r>
      <w:r w:rsidR="00343981" w:rsidRPr="00480790">
        <w:rPr>
          <w:lang w:val="en-AU"/>
        </w:rPr>
        <w:t>modelled benefit</w:t>
      </w:r>
      <w:r w:rsidR="00AD5205" w:rsidRPr="00480790">
        <w:rPr>
          <w:lang w:val="en-AU"/>
        </w:rPr>
        <w:t xml:space="preserve"> and use of ALK-TKIs in the metastatic setting following adjuvant treatment, which was not adequately supported by the evidence</w:t>
      </w:r>
      <w:r w:rsidR="008E1D1A" w:rsidRPr="00480790">
        <w:rPr>
          <w:lang w:val="en-AU"/>
        </w:rPr>
        <w:t>.</w:t>
      </w:r>
      <w:r w:rsidR="000416C8" w:rsidRPr="00480790">
        <w:rPr>
          <w:lang w:val="en-AU"/>
        </w:rPr>
        <w:t xml:space="preserve"> </w:t>
      </w:r>
      <w:r w:rsidR="00F026EE" w:rsidRPr="00480790">
        <w:rPr>
          <w:lang w:val="en-AU"/>
        </w:rPr>
        <w:t>To</w:t>
      </w:r>
      <w:r w:rsidR="00411B09" w:rsidRPr="00480790">
        <w:rPr>
          <w:lang w:val="en-AU"/>
        </w:rPr>
        <w:t xml:space="preserve"> </w:t>
      </w:r>
      <w:r w:rsidR="00361EAC" w:rsidRPr="00480790">
        <w:rPr>
          <w:lang w:val="en-AU"/>
        </w:rPr>
        <w:t xml:space="preserve">further </w:t>
      </w:r>
      <w:r w:rsidR="00411B09" w:rsidRPr="00480790">
        <w:rPr>
          <w:lang w:val="en-AU"/>
        </w:rPr>
        <w:t>mitigate th</w:t>
      </w:r>
      <w:r w:rsidR="003F5339" w:rsidRPr="00480790">
        <w:rPr>
          <w:lang w:val="en-AU"/>
        </w:rPr>
        <w:t>is</w:t>
      </w:r>
      <w:r w:rsidR="00411B09" w:rsidRPr="00480790">
        <w:rPr>
          <w:lang w:val="en-AU"/>
        </w:rPr>
        <w:t xml:space="preserve"> </w:t>
      </w:r>
      <w:r w:rsidR="00F026EE" w:rsidRPr="00480790">
        <w:rPr>
          <w:lang w:val="en-AU"/>
        </w:rPr>
        <w:t>uncertainty</w:t>
      </w:r>
      <w:r w:rsidR="003F5339" w:rsidRPr="00480790">
        <w:rPr>
          <w:lang w:val="en-AU"/>
        </w:rPr>
        <w:t xml:space="preserve"> t</w:t>
      </w:r>
      <w:r w:rsidR="00F026EE" w:rsidRPr="00480790">
        <w:rPr>
          <w:lang w:val="en-AU"/>
        </w:rPr>
        <w:t xml:space="preserve">he PBAC considered alectinib would be cost effective in the adjuvant treatment setting with a price reduction to maintain an ICER </w:t>
      </w:r>
      <w:r w:rsidR="003561E1" w:rsidRPr="00480790">
        <w:rPr>
          <w:lang w:val="en-AU"/>
        </w:rPr>
        <w:t xml:space="preserve">in the order of </w:t>
      </w:r>
      <w:r w:rsidR="00225D7E" w:rsidRPr="00225D7E">
        <w:rPr>
          <w:lang w:val="en-AU"/>
        </w:rPr>
        <w:t>$25,000 to &lt; $35,000</w:t>
      </w:r>
      <w:r w:rsidR="00F026EE" w:rsidRPr="00480790">
        <w:rPr>
          <w:lang w:val="en-AU"/>
        </w:rPr>
        <w:t xml:space="preserve"> per QALY</w:t>
      </w:r>
      <w:r w:rsidR="003561E1" w:rsidRPr="00480790">
        <w:rPr>
          <w:lang w:val="en-AU"/>
        </w:rPr>
        <w:t xml:space="preserve"> gained, using the </w:t>
      </w:r>
      <w:r w:rsidR="004714C1" w:rsidRPr="00480790">
        <w:rPr>
          <w:lang w:val="en-AU"/>
        </w:rPr>
        <w:t>revised model from the pr</w:t>
      </w:r>
      <w:r w:rsidR="001465DB" w:rsidRPr="00480790">
        <w:rPr>
          <w:lang w:val="en-AU"/>
        </w:rPr>
        <w:t>e</w:t>
      </w:r>
      <w:r w:rsidR="004714C1" w:rsidRPr="00480790">
        <w:rPr>
          <w:lang w:val="en-AU"/>
        </w:rPr>
        <w:t>-PB</w:t>
      </w:r>
      <w:r w:rsidR="002A6F3E" w:rsidRPr="00480790">
        <w:rPr>
          <w:lang w:val="en-AU"/>
        </w:rPr>
        <w:t>A</w:t>
      </w:r>
      <w:r w:rsidR="004714C1" w:rsidRPr="00480790">
        <w:rPr>
          <w:lang w:val="en-AU"/>
        </w:rPr>
        <w:t>C response</w:t>
      </w:r>
      <w:r w:rsidR="00F47872" w:rsidRPr="00480790">
        <w:rPr>
          <w:lang w:val="en-AU"/>
        </w:rPr>
        <w:t xml:space="preserve"> with app</w:t>
      </w:r>
      <w:r w:rsidR="00C24BCE" w:rsidRPr="00480790">
        <w:rPr>
          <w:lang w:val="en-AU"/>
        </w:rPr>
        <w:t>ropriate DPMQs</w:t>
      </w:r>
      <w:r w:rsidR="00740D71" w:rsidRPr="00480790">
        <w:rPr>
          <w:lang w:val="en-AU"/>
        </w:rPr>
        <w:t xml:space="preserve"> rather than AEMPs</w:t>
      </w:r>
      <w:r w:rsidR="00F026EE" w:rsidRPr="00480790">
        <w:rPr>
          <w:lang w:val="en-AU"/>
        </w:rPr>
        <w:t>.</w:t>
      </w:r>
    </w:p>
    <w:p w14:paraId="6251CF04" w14:textId="69E7E81A" w:rsidR="000D27FF" w:rsidRPr="00480790" w:rsidRDefault="007A21A8" w:rsidP="002843F8">
      <w:pPr>
        <w:pStyle w:val="3-BodyText"/>
        <w:rPr>
          <w:lang w:val="en-AU"/>
        </w:rPr>
      </w:pPr>
      <w:r w:rsidRPr="00480790">
        <w:rPr>
          <w:lang w:val="en-AU"/>
        </w:rPr>
        <w:lastRenderedPageBreak/>
        <w:t xml:space="preserve">In regard to </w:t>
      </w:r>
      <w:r w:rsidR="00083975" w:rsidRPr="00480790">
        <w:rPr>
          <w:lang w:val="en-AU"/>
        </w:rPr>
        <w:t xml:space="preserve">the estimated </w:t>
      </w:r>
      <w:r w:rsidRPr="00480790">
        <w:rPr>
          <w:lang w:val="en-AU"/>
        </w:rPr>
        <w:t>drug u</w:t>
      </w:r>
      <w:r w:rsidR="001C256F" w:rsidRPr="00480790">
        <w:rPr>
          <w:lang w:val="en-AU"/>
        </w:rPr>
        <w:t>tilisation</w:t>
      </w:r>
      <w:r w:rsidRPr="00480790">
        <w:rPr>
          <w:lang w:val="en-AU"/>
        </w:rPr>
        <w:t xml:space="preserve"> and fin</w:t>
      </w:r>
      <w:r w:rsidR="00AB2AF8" w:rsidRPr="00480790">
        <w:rPr>
          <w:lang w:val="en-AU"/>
        </w:rPr>
        <w:t xml:space="preserve">ancial </w:t>
      </w:r>
      <w:r w:rsidR="00B90552" w:rsidRPr="00480790">
        <w:rPr>
          <w:lang w:val="en-AU"/>
        </w:rPr>
        <w:t>implications</w:t>
      </w:r>
      <w:r w:rsidR="00AB2AF8" w:rsidRPr="00480790">
        <w:rPr>
          <w:lang w:val="en-AU"/>
        </w:rPr>
        <w:t xml:space="preserve">, </w:t>
      </w:r>
      <w:r w:rsidR="003F629F" w:rsidRPr="00480790">
        <w:rPr>
          <w:lang w:val="en-AU"/>
        </w:rPr>
        <w:t xml:space="preserve">the PBAC </w:t>
      </w:r>
      <w:r w:rsidR="009444BA" w:rsidRPr="00480790">
        <w:rPr>
          <w:lang w:val="en-AU"/>
        </w:rPr>
        <w:t xml:space="preserve">noted that </w:t>
      </w:r>
      <w:r w:rsidR="000D507B" w:rsidRPr="00480790">
        <w:rPr>
          <w:lang w:val="en-AU"/>
        </w:rPr>
        <w:t xml:space="preserve">given these </w:t>
      </w:r>
      <w:r w:rsidR="008F308C" w:rsidRPr="00480790">
        <w:rPr>
          <w:lang w:val="en-AU"/>
        </w:rPr>
        <w:t>patients</w:t>
      </w:r>
      <w:r w:rsidR="000D507B" w:rsidRPr="00480790">
        <w:rPr>
          <w:lang w:val="en-AU"/>
        </w:rPr>
        <w:t xml:space="preserve"> are likely to be younger and non-smokers, </w:t>
      </w:r>
      <w:r w:rsidR="00D31A70" w:rsidRPr="00480790">
        <w:rPr>
          <w:lang w:val="en-AU"/>
        </w:rPr>
        <w:t xml:space="preserve">a high proportion would be eligible for surgical resection and the </w:t>
      </w:r>
      <w:r w:rsidR="002E2968" w:rsidRPr="00480790">
        <w:rPr>
          <w:lang w:val="en-AU"/>
        </w:rPr>
        <w:t xml:space="preserve">proposed </w:t>
      </w:r>
      <w:r w:rsidR="00D31A70" w:rsidRPr="00480790">
        <w:rPr>
          <w:lang w:val="en-AU"/>
        </w:rPr>
        <w:t>estimat</w:t>
      </w:r>
      <w:r w:rsidR="002E2968" w:rsidRPr="00480790">
        <w:rPr>
          <w:lang w:val="en-AU"/>
        </w:rPr>
        <w:t xml:space="preserve">e </w:t>
      </w:r>
      <w:r w:rsidR="00EC2C1B" w:rsidRPr="00480790">
        <w:rPr>
          <w:lang w:val="en-AU"/>
        </w:rPr>
        <w:t xml:space="preserve">of </w:t>
      </w:r>
      <w:r w:rsidR="00752DD5" w:rsidRPr="00480790">
        <w:rPr>
          <w:lang w:val="en-AU"/>
        </w:rPr>
        <w:t>80</w:t>
      </w:r>
      <w:r w:rsidR="00EC2C1B" w:rsidRPr="00480790">
        <w:rPr>
          <w:lang w:val="en-AU"/>
        </w:rPr>
        <w:t xml:space="preserve">% </w:t>
      </w:r>
      <w:r w:rsidR="002E2968" w:rsidRPr="00480790">
        <w:rPr>
          <w:lang w:val="en-AU"/>
        </w:rPr>
        <w:t>w</w:t>
      </w:r>
      <w:r w:rsidR="00EC2C1B" w:rsidRPr="00480790">
        <w:rPr>
          <w:lang w:val="en-AU"/>
        </w:rPr>
        <w:t>as</w:t>
      </w:r>
      <w:r w:rsidR="002E2968" w:rsidRPr="00480790">
        <w:rPr>
          <w:lang w:val="en-AU"/>
        </w:rPr>
        <w:t xml:space="preserve"> reasonable. </w:t>
      </w:r>
      <w:r w:rsidR="000A0E9E" w:rsidRPr="00480790">
        <w:rPr>
          <w:lang w:val="en-AU"/>
        </w:rPr>
        <w:t>The</w:t>
      </w:r>
      <w:r w:rsidR="008F308C" w:rsidRPr="00480790">
        <w:rPr>
          <w:lang w:val="en-AU"/>
        </w:rPr>
        <w:t xml:space="preserve"> </w:t>
      </w:r>
      <w:r w:rsidR="001C256F" w:rsidRPr="00480790">
        <w:rPr>
          <w:lang w:val="en-AU"/>
        </w:rPr>
        <w:t>PBAC</w:t>
      </w:r>
      <w:r w:rsidR="00AB2AF8" w:rsidRPr="00480790">
        <w:rPr>
          <w:lang w:val="en-AU"/>
        </w:rPr>
        <w:t xml:space="preserve"> </w:t>
      </w:r>
      <w:r w:rsidR="004F5BDC" w:rsidRPr="00480790">
        <w:rPr>
          <w:lang w:val="en-AU"/>
        </w:rPr>
        <w:t xml:space="preserve">agreed with the ESC that </w:t>
      </w:r>
      <w:r w:rsidR="003A795C" w:rsidRPr="00480790">
        <w:rPr>
          <w:lang w:val="en-AU"/>
        </w:rPr>
        <w:t>adjuvant</w:t>
      </w:r>
      <w:r w:rsidR="00991DD2" w:rsidRPr="00480790">
        <w:rPr>
          <w:lang w:val="en-AU"/>
        </w:rPr>
        <w:t xml:space="preserve"> use of </w:t>
      </w:r>
      <w:r w:rsidR="003A795C" w:rsidRPr="00480790">
        <w:rPr>
          <w:lang w:val="en-AU"/>
        </w:rPr>
        <w:t>alectinib</w:t>
      </w:r>
      <w:r w:rsidR="00991DD2" w:rsidRPr="00480790">
        <w:rPr>
          <w:lang w:val="en-AU"/>
        </w:rPr>
        <w:t xml:space="preserve"> </w:t>
      </w:r>
      <w:r w:rsidR="00556787" w:rsidRPr="00480790">
        <w:rPr>
          <w:lang w:val="en-AU"/>
        </w:rPr>
        <w:t>may result in a reduced need for treatment in later line setting</w:t>
      </w:r>
      <w:r w:rsidR="00486F1B" w:rsidRPr="00480790">
        <w:rPr>
          <w:lang w:val="en-AU"/>
        </w:rPr>
        <w:t xml:space="preserve"> yet </w:t>
      </w:r>
      <w:r w:rsidR="000E70E3" w:rsidRPr="00480790">
        <w:rPr>
          <w:lang w:val="en-AU"/>
        </w:rPr>
        <w:t xml:space="preserve">the potential cost savings </w:t>
      </w:r>
      <w:r w:rsidR="00486F1B" w:rsidRPr="00480790">
        <w:rPr>
          <w:lang w:val="en-AU"/>
        </w:rPr>
        <w:t xml:space="preserve">were not accounted for in </w:t>
      </w:r>
      <w:r w:rsidR="000E70E3" w:rsidRPr="00480790">
        <w:rPr>
          <w:lang w:val="en-AU"/>
        </w:rPr>
        <w:t>the analyses</w:t>
      </w:r>
      <w:r w:rsidR="002B2D31" w:rsidRPr="00480790">
        <w:rPr>
          <w:lang w:val="en-AU"/>
        </w:rPr>
        <w:t xml:space="preserve"> (see paragraph </w:t>
      </w:r>
      <w:r w:rsidR="002B2D31" w:rsidRPr="00480790">
        <w:rPr>
          <w:lang w:val="en-AU"/>
        </w:rPr>
        <w:fldChar w:fldCharType="begin"/>
      </w:r>
      <w:r w:rsidR="002B2D31" w:rsidRPr="00480790">
        <w:rPr>
          <w:lang w:val="en-AU"/>
        </w:rPr>
        <w:instrText xml:space="preserve"> REF _Ref195439666 \r \h </w:instrText>
      </w:r>
      <w:r w:rsidR="000D27FF" w:rsidRPr="00480790">
        <w:rPr>
          <w:lang w:val="en-AU"/>
        </w:rPr>
        <w:instrText xml:space="preserve"> \* MERGEFORMAT </w:instrText>
      </w:r>
      <w:r w:rsidR="002B2D31" w:rsidRPr="00480790">
        <w:rPr>
          <w:lang w:val="en-AU"/>
        </w:rPr>
      </w:r>
      <w:r w:rsidR="002B2D31" w:rsidRPr="00480790">
        <w:rPr>
          <w:lang w:val="en-AU"/>
        </w:rPr>
        <w:fldChar w:fldCharType="separate"/>
      </w:r>
      <w:r w:rsidR="002565BE">
        <w:rPr>
          <w:lang w:val="en-AU"/>
        </w:rPr>
        <w:t>6.78</w:t>
      </w:r>
      <w:r w:rsidR="002B2D31" w:rsidRPr="00480790">
        <w:rPr>
          <w:lang w:val="en-AU"/>
        </w:rPr>
        <w:fldChar w:fldCharType="end"/>
      </w:r>
      <w:r w:rsidR="002B2D31" w:rsidRPr="00480790">
        <w:rPr>
          <w:lang w:val="en-AU"/>
        </w:rPr>
        <w:t>)</w:t>
      </w:r>
      <w:r w:rsidR="000E70E3" w:rsidRPr="00480790">
        <w:rPr>
          <w:lang w:val="en-AU"/>
        </w:rPr>
        <w:t xml:space="preserve">. </w:t>
      </w:r>
      <w:r w:rsidR="00C24BCE" w:rsidRPr="00480790">
        <w:rPr>
          <w:lang w:val="en-AU"/>
        </w:rPr>
        <w:t>The PBAC noted the median treatment duration of alectinib (23.9 months) was used, however the mean would be preferable (21.3 months)</w:t>
      </w:r>
      <w:r w:rsidR="007B664E" w:rsidRPr="00480790">
        <w:rPr>
          <w:lang w:val="en-AU"/>
        </w:rPr>
        <w:t xml:space="preserve">, and </w:t>
      </w:r>
      <w:r w:rsidR="00C24BCE" w:rsidRPr="00480790">
        <w:rPr>
          <w:lang w:val="en-AU"/>
        </w:rPr>
        <w:t>the treatment duration for cisplatin should be updated to 2 months</w:t>
      </w:r>
      <w:r w:rsidR="007B664E" w:rsidRPr="00480790">
        <w:rPr>
          <w:lang w:val="en-AU"/>
        </w:rPr>
        <w:t xml:space="preserve"> as it was incorrectly calculated as the same </w:t>
      </w:r>
      <w:r w:rsidR="00494DCF" w:rsidRPr="00480790">
        <w:rPr>
          <w:lang w:val="en-AU"/>
        </w:rPr>
        <w:t xml:space="preserve">duration </w:t>
      </w:r>
      <w:r w:rsidR="007B664E" w:rsidRPr="00480790">
        <w:rPr>
          <w:lang w:val="en-AU"/>
        </w:rPr>
        <w:t>as alectinib</w:t>
      </w:r>
      <w:r w:rsidR="00C24BCE" w:rsidRPr="00480790">
        <w:rPr>
          <w:lang w:val="en-AU"/>
        </w:rPr>
        <w:t xml:space="preserve"> (</w:t>
      </w:r>
      <w:r w:rsidR="007B664E" w:rsidRPr="00480790">
        <w:rPr>
          <w:lang w:val="en-AU"/>
        </w:rPr>
        <w:t xml:space="preserve">see paragraph </w:t>
      </w:r>
      <w:r w:rsidR="00F51755" w:rsidRPr="00480790">
        <w:rPr>
          <w:lang w:val="en-AU"/>
        </w:rPr>
        <w:fldChar w:fldCharType="begin"/>
      </w:r>
      <w:r w:rsidR="00F51755" w:rsidRPr="00480790">
        <w:rPr>
          <w:lang w:val="en-AU"/>
        </w:rPr>
        <w:instrText xml:space="preserve"> REF _Ref199509112 \r \h </w:instrText>
      </w:r>
      <w:r w:rsidR="00F51755" w:rsidRPr="00480790">
        <w:rPr>
          <w:lang w:val="en-AU"/>
        </w:rPr>
      </w:r>
      <w:r w:rsidR="00F51755" w:rsidRPr="00480790">
        <w:rPr>
          <w:lang w:val="en-AU"/>
        </w:rPr>
        <w:fldChar w:fldCharType="separate"/>
      </w:r>
      <w:r w:rsidR="002565BE">
        <w:rPr>
          <w:lang w:val="en-AU"/>
        </w:rPr>
        <w:t>6.76</w:t>
      </w:r>
      <w:r w:rsidR="00F51755" w:rsidRPr="00480790">
        <w:rPr>
          <w:lang w:val="en-AU"/>
        </w:rPr>
        <w:fldChar w:fldCharType="end"/>
      </w:r>
      <w:r w:rsidR="00C24BCE" w:rsidRPr="00480790">
        <w:rPr>
          <w:lang w:val="en-AU"/>
        </w:rPr>
        <w:t>).</w:t>
      </w:r>
      <w:r w:rsidR="00F51755" w:rsidRPr="00480790">
        <w:rPr>
          <w:lang w:val="en-AU"/>
        </w:rPr>
        <w:t xml:space="preserve"> </w:t>
      </w:r>
      <w:r w:rsidR="00C72B5F" w:rsidRPr="00480790">
        <w:rPr>
          <w:lang w:val="en-AU"/>
        </w:rPr>
        <w:t xml:space="preserve">The </w:t>
      </w:r>
      <w:r w:rsidR="00D517E6" w:rsidRPr="00480790">
        <w:rPr>
          <w:lang w:val="en-AU"/>
        </w:rPr>
        <w:t xml:space="preserve">PBAC </w:t>
      </w:r>
      <w:r w:rsidR="002B2D31" w:rsidRPr="00480790">
        <w:rPr>
          <w:lang w:val="en-AU"/>
        </w:rPr>
        <w:t>considered</w:t>
      </w:r>
      <w:r w:rsidR="00D517E6" w:rsidRPr="00480790">
        <w:rPr>
          <w:lang w:val="en-AU"/>
        </w:rPr>
        <w:t xml:space="preserve"> the </w:t>
      </w:r>
      <w:r w:rsidR="00F40D15" w:rsidRPr="00480790">
        <w:rPr>
          <w:lang w:val="en-AU"/>
        </w:rPr>
        <w:t xml:space="preserve">proposed </w:t>
      </w:r>
      <w:r w:rsidR="00BD77F2" w:rsidRPr="00480790">
        <w:rPr>
          <w:lang w:val="en-AU"/>
        </w:rPr>
        <w:t xml:space="preserve">alectinib </w:t>
      </w:r>
      <w:r w:rsidR="00F40D15" w:rsidRPr="00480790">
        <w:rPr>
          <w:lang w:val="en-AU"/>
        </w:rPr>
        <w:t xml:space="preserve">uptake rates of </w:t>
      </w:r>
      <w:r w:rsidR="00487E5A" w:rsidRPr="00AB0DBE">
        <w:rPr>
          <w:color w:val="000000"/>
          <w:w w:val="62"/>
          <w:shd w:val="solid" w:color="000000" w:fill="000000"/>
          <w:fitText w:val="480" w:id="-663539702"/>
          <w:lang w:val="en-AU"/>
          <w14:textFill>
            <w14:solidFill>
              <w14:srgbClr w14:val="000000">
                <w14:alpha w14:val="100000"/>
              </w14:srgbClr>
            </w14:solidFill>
          </w14:textFill>
        </w:rPr>
        <w:t>|||  ||</w:t>
      </w:r>
      <w:r w:rsidR="00487E5A" w:rsidRPr="00AB0DBE">
        <w:rPr>
          <w:color w:val="000000"/>
          <w:spacing w:val="2"/>
          <w:w w:val="62"/>
          <w:shd w:val="solid" w:color="000000" w:fill="000000"/>
          <w:fitText w:val="480" w:id="-663539702"/>
          <w:lang w:val="en-AU"/>
          <w14:textFill>
            <w14:solidFill>
              <w14:srgbClr w14:val="000000">
                <w14:alpha w14:val="100000"/>
              </w14:srgbClr>
            </w14:solidFill>
          </w14:textFill>
        </w:rPr>
        <w:t>|</w:t>
      </w:r>
      <w:r w:rsidR="00F40D15" w:rsidRPr="00480790">
        <w:rPr>
          <w:lang w:val="en-AU"/>
        </w:rPr>
        <w:t xml:space="preserve">% in incident patients </w:t>
      </w:r>
      <w:r w:rsidR="0033157E" w:rsidRPr="00480790">
        <w:rPr>
          <w:lang w:val="en-AU"/>
        </w:rPr>
        <w:t>was</w:t>
      </w:r>
      <w:r w:rsidR="00BD77F2" w:rsidRPr="00480790">
        <w:rPr>
          <w:lang w:val="en-AU"/>
        </w:rPr>
        <w:t xml:space="preserve"> uncertain but reasonable. </w:t>
      </w:r>
      <w:r w:rsidR="008461A7" w:rsidRPr="00480790">
        <w:rPr>
          <w:lang w:val="en-AU"/>
        </w:rPr>
        <w:t xml:space="preserve">The PBAC further noted that </w:t>
      </w:r>
      <w:r w:rsidR="00BA58C2" w:rsidRPr="00480790">
        <w:rPr>
          <w:lang w:val="en-AU"/>
        </w:rPr>
        <w:t xml:space="preserve">the number of </w:t>
      </w:r>
      <w:r w:rsidR="00795077" w:rsidRPr="00480790">
        <w:rPr>
          <w:lang w:val="en-AU"/>
        </w:rPr>
        <w:t>grandfathered patients was not specified</w:t>
      </w:r>
      <w:r w:rsidR="00590EF9" w:rsidRPr="00480790">
        <w:rPr>
          <w:lang w:val="en-AU"/>
        </w:rPr>
        <w:t>.</w:t>
      </w:r>
      <w:r w:rsidR="00795077" w:rsidRPr="00480790">
        <w:rPr>
          <w:lang w:val="en-AU"/>
        </w:rPr>
        <w:t xml:space="preserve"> </w:t>
      </w:r>
    </w:p>
    <w:p w14:paraId="7DE2A090" w14:textId="1016417E" w:rsidR="0012155E" w:rsidRPr="00480790" w:rsidRDefault="003728EA" w:rsidP="002843F8">
      <w:pPr>
        <w:pStyle w:val="3-BodyText"/>
        <w:rPr>
          <w:rFonts w:cs="Arial"/>
          <w:snapToGrid w:val="0"/>
          <w:lang w:val="en-AU" w:eastAsia="en-US"/>
        </w:rPr>
      </w:pPr>
      <w:r w:rsidRPr="00480790">
        <w:rPr>
          <w:lang w:val="en-AU"/>
        </w:rPr>
        <w:t xml:space="preserve">The PBAC </w:t>
      </w:r>
      <w:r w:rsidR="006C3BA4" w:rsidRPr="00480790">
        <w:rPr>
          <w:lang w:val="en-AU"/>
        </w:rPr>
        <w:t xml:space="preserve">noted </w:t>
      </w:r>
      <w:r w:rsidRPr="00480790">
        <w:rPr>
          <w:lang w:val="en-AU"/>
        </w:rPr>
        <w:t xml:space="preserve">that </w:t>
      </w:r>
      <w:r w:rsidR="00452D2F" w:rsidRPr="00480790">
        <w:rPr>
          <w:lang w:val="en-AU"/>
        </w:rPr>
        <w:t xml:space="preserve">over 6 years the cost to the PBS/RPBS </w:t>
      </w:r>
      <w:r w:rsidR="00AA7590" w:rsidRPr="00480790">
        <w:rPr>
          <w:lang w:val="en-AU"/>
        </w:rPr>
        <w:t xml:space="preserve">was estimated to be </w:t>
      </w:r>
      <w:r w:rsidR="00A57779" w:rsidRPr="00A57779">
        <w:rPr>
          <w:lang w:val="en-AU"/>
        </w:rPr>
        <w:t>$70 million to &lt; $80 million</w:t>
      </w:r>
      <w:r w:rsidR="00170CE0" w:rsidRPr="00480790">
        <w:rPr>
          <w:lang w:val="en-AU"/>
        </w:rPr>
        <w:t>,</w:t>
      </w:r>
      <w:r w:rsidR="00F82D79" w:rsidRPr="00480790">
        <w:rPr>
          <w:lang w:val="en-AU"/>
        </w:rPr>
        <w:t xml:space="preserve"> </w:t>
      </w:r>
      <w:r w:rsidR="005B3E61" w:rsidRPr="00480790">
        <w:rPr>
          <w:lang w:val="en-AU"/>
        </w:rPr>
        <w:t>and considered</w:t>
      </w:r>
      <w:r w:rsidR="00170CE0" w:rsidRPr="00480790">
        <w:rPr>
          <w:lang w:val="en-AU"/>
        </w:rPr>
        <w:t xml:space="preserve"> the financial impact </w:t>
      </w:r>
      <w:r w:rsidR="005B3E61" w:rsidRPr="00480790">
        <w:rPr>
          <w:lang w:val="en-AU"/>
        </w:rPr>
        <w:t xml:space="preserve">was high </w:t>
      </w:r>
      <w:r w:rsidR="00170CE0" w:rsidRPr="00480790">
        <w:rPr>
          <w:lang w:val="en-AU"/>
        </w:rPr>
        <w:t xml:space="preserve">despite </w:t>
      </w:r>
      <w:r w:rsidR="008B76F7" w:rsidRPr="00480790">
        <w:rPr>
          <w:lang w:val="en-AU"/>
        </w:rPr>
        <w:t xml:space="preserve">the </w:t>
      </w:r>
      <w:r w:rsidR="005601F8" w:rsidRPr="00480790">
        <w:rPr>
          <w:lang w:val="en-AU"/>
        </w:rPr>
        <w:t>relat</w:t>
      </w:r>
      <w:r w:rsidR="004E6116" w:rsidRPr="00480790">
        <w:rPr>
          <w:lang w:val="en-AU"/>
        </w:rPr>
        <w:t>i</w:t>
      </w:r>
      <w:r w:rsidR="005601F8" w:rsidRPr="00480790">
        <w:rPr>
          <w:lang w:val="en-AU"/>
        </w:rPr>
        <w:t>vely</w:t>
      </w:r>
      <w:r w:rsidR="008B76F7" w:rsidRPr="00480790">
        <w:rPr>
          <w:lang w:val="en-AU"/>
        </w:rPr>
        <w:t xml:space="preserve"> small number of patients</w:t>
      </w:r>
      <w:r w:rsidR="005601F8" w:rsidRPr="00480790">
        <w:rPr>
          <w:lang w:val="en-AU"/>
        </w:rPr>
        <w:t xml:space="preserve"> (</w:t>
      </w:r>
      <w:r w:rsidR="00F82D79" w:rsidRPr="00480790">
        <w:rPr>
          <w:lang w:val="en-AU"/>
        </w:rPr>
        <w:t xml:space="preserve">approximately </w:t>
      </w:r>
      <w:r w:rsidR="007109D6">
        <w:rPr>
          <w:lang w:val="en-AU"/>
        </w:rPr>
        <w:t>&lt; 500</w:t>
      </w:r>
      <w:r w:rsidR="007109D6" w:rsidRPr="00480790">
        <w:rPr>
          <w:lang w:val="en-AU"/>
        </w:rPr>
        <w:t xml:space="preserve"> </w:t>
      </w:r>
      <w:r w:rsidR="005601F8" w:rsidRPr="00480790">
        <w:rPr>
          <w:lang w:val="en-AU"/>
        </w:rPr>
        <w:t>patients per year)</w:t>
      </w:r>
      <w:r w:rsidR="00AA7590" w:rsidRPr="00480790">
        <w:rPr>
          <w:lang w:val="en-AU"/>
        </w:rPr>
        <w:t xml:space="preserve">. </w:t>
      </w:r>
      <w:r w:rsidR="00D42BF9" w:rsidRPr="00480790">
        <w:rPr>
          <w:lang w:val="en-AU"/>
        </w:rPr>
        <w:t xml:space="preserve">The PBAC </w:t>
      </w:r>
      <w:r w:rsidR="003D1C08" w:rsidRPr="00480790">
        <w:rPr>
          <w:lang w:val="en-AU"/>
        </w:rPr>
        <w:t xml:space="preserve">advised that a price reduction to achieve </w:t>
      </w:r>
      <w:r w:rsidR="002A77AC" w:rsidRPr="00480790">
        <w:rPr>
          <w:lang w:val="en-AU"/>
        </w:rPr>
        <w:t>a cost effective ICER</w:t>
      </w:r>
      <w:r w:rsidR="00733B14" w:rsidRPr="00480790">
        <w:rPr>
          <w:lang w:val="en-AU"/>
        </w:rPr>
        <w:t xml:space="preserve"> would </w:t>
      </w:r>
      <w:r w:rsidR="002A77AC" w:rsidRPr="00480790">
        <w:rPr>
          <w:lang w:val="en-AU"/>
        </w:rPr>
        <w:t>need to be factored into the estimates</w:t>
      </w:r>
      <w:r w:rsidR="009C6924" w:rsidRPr="00480790">
        <w:rPr>
          <w:lang w:val="en-AU"/>
        </w:rPr>
        <w:t>.</w:t>
      </w:r>
    </w:p>
    <w:p w14:paraId="160BE467" w14:textId="24EF00F6" w:rsidR="00791BEF" w:rsidRPr="00480790" w:rsidRDefault="00791BEF" w:rsidP="002843F8">
      <w:pPr>
        <w:pStyle w:val="3-BodyText"/>
        <w:rPr>
          <w:lang w:val="en-AU"/>
        </w:rPr>
      </w:pPr>
      <w:r w:rsidRPr="00480790">
        <w:rPr>
          <w:lang w:val="en-AU"/>
        </w:rPr>
        <w:t xml:space="preserve">The PBAC found that the criteria prescribed by the </w:t>
      </w:r>
      <w:r w:rsidRPr="00480790">
        <w:rPr>
          <w:i/>
          <w:iCs/>
          <w:lang w:val="en-AU"/>
        </w:rPr>
        <w:t>National Health (Pharmaceuticals and Vaccines – Cost Recovery) Regulations 2022</w:t>
      </w:r>
      <w:r w:rsidRPr="00480790">
        <w:rPr>
          <w:lang w:val="en-AU"/>
        </w:rPr>
        <w:t xml:space="preserve"> for Pricing Pathway A were not met. Specifically the PBAC found that in the circumstances of its recommendation for alectinib:</w:t>
      </w:r>
    </w:p>
    <w:p w14:paraId="61461264" w14:textId="2F615294" w:rsidR="00791BEF" w:rsidRPr="00480790" w:rsidRDefault="00791BEF" w:rsidP="00AE7DE0">
      <w:pPr>
        <w:pStyle w:val="Bulletpoints"/>
        <w:numPr>
          <w:ilvl w:val="1"/>
          <w:numId w:val="11"/>
        </w:numPr>
        <w:ind w:left="1134"/>
        <w:contextualSpacing w:val="0"/>
      </w:pPr>
      <w:r w:rsidRPr="00480790">
        <w:t xml:space="preserve">The treatment is expected to provide a substantial and clinically relevant improvement in efficacy (disease free survival), over placebo, on the basis of the ALINA trial; </w:t>
      </w:r>
    </w:p>
    <w:p w14:paraId="583C7166" w14:textId="4D5C5C5E" w:rsidR="00791BEF" w:rsidRPr="00480790" w:rsidRDefault="00791BEF" w:rsidP="00AE7DE0">
      <w:pPr>
        <w:pStyle w:val="Bulletpoints"/>
        <w:numPr>
          <w:ilvl w:val="1"/>
          <w:numId w:val="11"/>
        </w:numPr>
        <w:ind w:left="1134"/>
        <w:contextualSpacing w:val="0"/>
      </w:pPr>
      <w:r w:rsidRPr="00480790">
        <w:t>The treatment is not expected to address a high and urgent unmet clinical need given alectinib is available in the metastatic treatment setting;</w:t>
      </w:r>
    </w:p>
    <w:p w14:paraId="21D7458D" w14:textId="77777777" w:rsidR="00791BEF" w:rsidRPr="00480790" w:rsidRDefault="00791BEF" w:rsidP="009E7B7E">
      <w:pPr>
        <w:widowControl w:val="0"/>
        <w:numPr>
          <w:ilvl w:val="1"/>
          <w:numId w:val="11"/>
        </w:numPr>
        <w:spacing w:before="120" w:after="120"/>
        <w:ind w:left="1134"/>
        <w:rPr>
          <w:rFonts w:asciiTheme="minorHAnsi" w:hAnsiTheme="minorHAnsi" w:cstheme="minorHAnsi"/>
        </w:rPr>
      </w:pPr>
      <w:r w:rsidRPr="00480790">
        <w:rPr>
          <w:rFonts w:asciiTheme="minorHAnsi" w:hAnsiTheme="minorHAnsi" w:cstheme="minorHAnsi"/>
        </w:rPr>
        <w:t>It was not necessary to make a finding in relation to whether it would be in the public interest for the subsequent pricing application to be progressed under Pricing Pathway A because one or more of the preceding tests had failed.</w:t>
      </w:r>
    </w:p>
    <w:p w14:paraId="6B6E5847" w14:textId="4AF4DCB4" w:rsidR="002B7664" w:rsidRPr="00480790" w:rsidRDefault="002B7664" w:rsidP="009E7B7E">
      <w:pPr>
        <w:pStyle w:val="3-BodyText"/>
        <w:rPr>
          <w:lang w:val="en-AU"/>
        </w:rPr>
      </w:pPr>
      <w:r w:rsidRPr="00480790">
        <w:rPr>
          <w:lang w:val="en-AU"/>
        </w:rPr>
        <w:t xml:space="preserve">The PBAC advised that </w:t>
      </w:r>
      <w:r w:rsidR="003B46C8" w:rsidRPr="00480790">
        <w:rPr>
          <w:lang w:val="en-AU"/>
        </w:rPr>
        <w:t>a</w:t>
      </w:r>
      <w:r w:rsidRPr="00480790">
        <w:rPr>
          <w:lang w:val="en-AU"/>
        </w:rPr>
        <w:t>lectinib should not be exempt from the Early Supply Rule as it currently applies to similar oral drugs for NSCLC.</w:t>
      </w:r>
    </w:p>
    <w:p w14:paraId="4E096105" w14:textId="124C0C4C" w:rsidR="001C256F" w:rsidRPr="00480790" w:rsidRDefault="001C256F" w:rsidP="009E7B7E">
      <w:pPr>
        <w:pStyle w:val="3-BodyText"/>
        <w:rPr>
          <w:lang w:val="en-AU"/>
        </w:rPr>
      </w:pPr>
      <w:r w:rsidRPr="00480790">
        <w:rPr>
          <w:lang w:val="en-AU"/>
        </w:rPr>
        <w:t xml:space="preserve">The PBAC advised that </w:t>
      </w:r>
      <w:r w:rsidR="00F70174" w:rsidRPr="00480790">
        <w:rPr>
          <w:lang w:val="en-AU"/>
        </w:rPr>
        <w:t>alectinib</w:t>
      </w:r>
      <w:r w:rsidRPr="00480790">
        <w:rPr>
          <w:lang w:val="en-AU"/>
        </w:rPr>
        <w:t xml:space="preserve"> is not suitable for prescribing by nurse practitioners.</w:t>
      </w:r>
    </w:p>
    <w:p w14:paraId="4B4B435E" w14:textId="77777777" w:rsidR="00E600BC" w:rsidRPr="00480790" w:rsidRDefault="001C256F" w:rsidP="009E7B7E">
      <w:pPr>
        <w:pStyle w:val="3-BodyText"/>
        <w:rPr>
          <w:snapToGrid w:val="0"/>
          <w:lang w:val="en-AU"/>
        </w:rPr>
      </w:pPr>
      <w:r w:rsidRPr="00480790">
        <w:rPr>
          <w:snapToGrid w:val="0"/>
          <w:lang w:val="en-AU"/>
        </w:rPr>
        <w:t>The PBAC noted that this submission is not eligible for an Independent Review</w:t>
      </w:r>
      <w:r w:rsidR="006F1EE4" w:rsidRPr="00480790">
        <w:rPr>
          <w:lang w:val="en-AU"/>
        </w:rPr>
        <w:t xml:space="preserve"> given it received a positive recommendation</w:t>
      </w:r>
      <w:r w:rsidRPr="00480790">
        <w:rPr>
          <w:snapToGrid w:val="0"/>
          <w:lang w:val="en-AU"/>
        </w:rPr>
        <w:t>.</w:t>
      </w:r>
    </w:p>
    <w:p w14:paraId="46EDACBD" w14:textId="0B98C401" w:rsidR="00F77612" w:rsidRPr="00480790" w:rsidRDefault="001C256F" w:rsidP="009E7B7E">
      <w:pPr>
        <w:pStyle w:val="3-BodyText"/>
        <w:numPr>
          <w:ilvl w:val="0"/>
          <w:numId w:val="0"/>
        </w:numPr>
        <w:rPr>
          <w:snapToGrid w:val="0"/>
          <w:lang w:val="en-AU"/>
        </w:rPr>
      </w:pPr>
      <w:r w:rsidRPr="00480790">
        <w:rPr>
          <w:b/>
          <w:bCs/>
          <w:snapToGrid w:val="0"/>
          <w:lang w:val="en-AU"/>
        </w:rPr>
        <w:t>Outcome:</w:t>
      </w:r>
      <w:r w:rsidR="00E600BC" w:rsidRPr="00480790">
        <w:rPr>
          <w:b/>
          <w:bCs/>
          <w:snapToGrid w:val="0"/>
          <w:lang w:val="en-AU"/>
        </w:rPr>
        <w:br/>
      </w:r>
      <w:r w:rsidRPr="00480790">
        <w:rPr>
          <w:bCs/>
          <w:snapToGrid w:val="0"/>
          <w:lang w:val="en-AU"/>
        </w:rPr>
        <w:t>Recommended</w:t>
      </w:r>
      <w:bookmarkStart w:id="98" w:name="_Hlk111543254"/>
    </w:p>
    <w:bookmarkEnd w:id="96"/>
    <w:bookmarkEnd w:id="98"/>
    <w:p w14:paraId="0E732713" w14:textId="77777777" w:rsidR="001C256F" w:rsidRPr="00480790" w:rsidRDefault="001C256F" w:rsidP="00AE7DE0">
      <w:pPr>
        <w:pStyle w:val="2-SectionHeading"/>
        <w:numPr>
          <w:ilvl w:val="0"/>
          <w:numId w:val="9"/>
        </w:numPr>
        <w:ind w:hanging="720"/>
      </w:pPr>
      <w:r w:rsidRPr="00480790">
        <w:lastRenderedPageBreak/>
        <w:t>Recommended listing</w:t>
      </w:r>
    </w:p>
    <w:p w14:paraId="478D8EF2" w14:textId="0E7F7342" w:rsidR="001C256F" w:rsidRPr="00480790" w:rsidRDefault="001C256F" w:rsidP="00A35F1C">
      <w:pPr>
        <w:pStyle w:val="3-BodyText"/>
        <w:keepNext/>
        <w:rPr>
          <w:snapToGrid w:val="0"/>
          <w:lang w:val="en-AU"/>
        </w:rPr>
      </w:pPr>
      <w:r w:rsidRPr="00480790">
        <w:rPr>
          <w:snapToGrid w:val="0"/>
          <w:lang w:val="en-AU"/>
        </w:rPr>
        <w:t>Amend existing</w:t>
      </w:r>
      <w:r w:rsidR="00F51280" w:rsidRPr="00480790">
        <w:rPr>
          <w:snapToGrid w:val="0"/>
          <w:lang w:val="en-AU"/>
        </w:rPr>
        <w:t xml:space="preserve"> </w:t>
      </w:r>
      <w:r w:rsidRPr="00480790">
        <w:rPr>
          <w:snapToGrid w:val="0"/>
          <w:lang w:val="en-AU"/>
        </w:rPr>
        <w:t>listing as follows: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785"/>
        <w:gridCol w:w="2661"/>
        <w:gridCol w:w="811"/>
        <w:gridCol w:w="812"/>
        <w:gridCol w:w="811"/>
        <w:gridCol w:w="812"/>
        <w:gridCol w:w="1838"/>
      </w:tblGrid>
      <w:tr w:rsidR="00AB01EA" w:rsidRPr="00480790" w14:paraId="5E80FE1D" w14:textId="77777777" w:rsidTr="00C12D9D">
        <w:trPr>
          <w:cantSplit/>
          <w:trHeight w:val="20"/>
        </w:trPr>
        <w:tc>
          <w:tcPr>
            <w:tcW w:w="3938" w:type="dxa"/>
            <w:gridSpan w:val="3"/>
            <w:vAlign w:val="center"/>
          </w:tcPr>
          <w:p w14:paraId="789A04EE" w14:textId="77777777" w:rsidR="00BE3FE8" w:rsidRPr="00480790" w:rsidRDefault="00BE3FE8">
            <w:pPr>
              <w:keepLines/>
              <w:rPr>
                <w:rFonts w:ascii="Arial Narrow" w:hAnsi="Arial Narrow"/>
                <w:b/>
                <w:bCs/>
                <w:sz w:val="20"/>
                <w:szCs w:val="20"/>
              </w:rPr>
            </w:pPr>
            <w:bookmarkStart w:id="99" w:name="_Hlk188629227"/>
            <w:bookmarkEnd w:id="97"/>
            <w:r w:rsidRPr="00480790">
              <w:rPr>
                <w:rFonts w:ascii="Arial Narrow" w:hAnsi="Arial Narrow"/>
                <w:b/>
                <w:bCs/>
                <w:sz w:val="20"/>
                <w:szCs w:val="20"/>
              </w:rPr>
              <w:t>MEDICINAL PRODUCT</w:t>
            </w:r>
          </w:p>
          <w:p w14:paraId="47BC0975" w14:textId="77777777" w:rsidR="00BE3FE8" w:rsidRPr="00480790" w:rsidRDefault="00BE3FE8">
            <w:pPr>
              <w:keepLines/>
              <w:rPr>
                <w:rFonts w:ascii="Arial Narrow" w:hAnsi="Arial Narrow"/>
                <w:b/>
                <w:sz w:val="20"/>
                <w:szCs w:val="20"/>
              </w:rPr>
            </w:pPr>
            <w:r w:rsidRPr="00480790">
              <w:rPr>
                <w:rFonts w:ascii="Arial Narrow" w:hAnsi="Arial Narrow"/>
                <w:b/>
                <w:bCs/>
                <w:sz w:val="20"/>
                <w:szCs w:val="20"/>
              </w:rPr>
              <w:t>medicinal product pack</w:t>
            </w:r>
          </w:p>
        </w:tc>
        <w:tc>
          <w:tcPr>
            <w:tcW w:w="811" w:type="dxa"/>
            <w:vAlign w:val="center"/>
          </w:tcPr>
          <w:p w14:paraId="13C3B608" w14:textId="77777777" w:rsidR="00BE3FE8" w:rsidRPr="00480790" w:rsidRDefault="00BE3FE8">
            <w:pPr>
              <w:keepLines/>
              <w:jc w:val="center"/>
              <w:rPr>
                <w:rFonts w:ascii="Arial Narrow" w:hAnsi="Arial Narrow"/>
                <w:b/>
                <w:sz w:val="20"/>
                <w:szCs w:val="20"/>
              </w:rPr>
            </w:pPr>
            <w:r w:rsidRPr="00480790">
              <w:rPr>
                <w:rFonts w:ascii="Arial Narrow" w:hAnsi="Arial Narrow"/>
                <w:b/>
                <w:sz w:val="20"/>
                <w:szCs w:val="20"/>
              </w:rPr>
              <w:t>PBS item code</w:t>
            </w:r>
          </w:p>
        </w:tc>
        <w:tc>
          <w:tcPr>
            <w:tcW w:w="812" w:type="dxa"/>
            <w:vAlign w:val="center"/>
          </w:tcPr>
          <w:p w14:paraId="562B134B" w14:textId="77777777" w:rsidR="00BE3FE8" w:rsidRPr="00480790" w:rsidRDefault="00BE3FE8">
            <w:pPr>
              <w:keepLines/>
              <w:jc w:val="center"/>
              <w:rPr>
                <w:rFonts w:ascii="Arial Narrow" w:hAnsi="Arial Narrow"/>
                <w:b/>
                <w:sz w:val="20"/>
                <w:szCs w:val="20"/>
              </w:rPr>
            </w:pPr>
            <w:r w:rsidRPr="00480790">
              <w:rPr>
                <w:rFonts w:ascii="Arial Narrow" w:hAnsi="Arial Narrow"/>
                <w:b/>
                <w:sz w:val="20"/>
                <w:szCs w:val="20"/>
              </w:rPr>
              <w:t>Max. qty packs</w:t>
            </w:r>
          </w:p>
        </w:tc>
        <w:tc>
          <w:tcPr>
            <w:tcW w:w="811" w:type="dxa"/>
            <w:vAlign w:val="center"/>
          </w:tcPr>
          <w:p w14:paraId="4D8FFB89" w14:textId="77777777" w:rsidR="00BE3FE8" w:rsidRPr="00480790" w:rsidRDefault="00BE3FE8">
            <w:pPr>
              <w:keepLines/>
              <w:jc w:val="center"/>
              <w:rPr>
                <w:rFonts w:ascii="Arial Narrow" w:hAnsi="Arial Narrow"/>
                <w:b/>
                <w:sz w:val="20"/>
                <w:szCs w:val="20"/>
              </w:rPr>
            </w:pPr>
            <w:r w:rsidRPr="00480790">
              <w:rPr>
                <w:rFonts w:ascii="Arial Narrow" w:hAnsi="Arial Narrow"/>
                <w:b/>
                <w:sz w:val="20"/>
                <w:szCs w:val="20"/>
              </w:rPr>
              <w:t>Max. qty units</w:t>
            </w:r>
          </w:p>
        </w:tc>
        <w:tc>
          <w:tcPr>
            <w:tcW w:w="812" w:type="dxa"/>
            <w:vAlign w:val="center"/>
          </w:tcPr>
          <w:p w14:paraId="27B1A810" w14:textId="77777777" w:rsidR="00BE3FE8" w:rsidRPr="00480790" w:rsidRDefault="00BE3FE8">
            <w:pPr>
              <w:keepLines/>
              <w:jc w:val="center"/>
              <w:rPr>
                <w:rFonts w:ascii="Arial Narrow" w:hAnsi="Arial Narrow"/>
                <w:b/>
                <w:bCs/>
                <w:sz w:val="20"/>
                <w:szCs w:val="20"/>
              </w:rPr>
            </w:pPr>
            <w:r w:rsidRPr="00480790">
              <w:rPr>
                <w:rFonts w:ascii="Arial Narrow" w:hAnsi="Arial Narrow"/>
                <w:b/>
                <w:bCs/>
                <w:sz w:val="20"/>
                <w:szCs w:val="20"/>
              </w:rPr>
              <w:t>№.of</w:t>
            </w:r>
          </w:p>
          <w:p w14:paraId="658939DD" w14:textId="77777777" w:rsidR="00BE3FE8" w:rsidRPr="00480790" w:rsidRDefault="00BE3FE8">
            <w:pPr>
              <w:keepLines/>
              <w:jc w:val="center"/>
              <w:rPr>
                <w:rFonts w:ascii="Arial Narrow" w:hAnsi="Arial Narrow"/>
                <w:b/>
                <w:bCs/>
                <w:sz w:val="20"/>
                <w:szCs w:val="20"/>
              </w:rPr>
            </w:pPr>
            <w:r w:rsidRPr="00480790">
              <w:rPr>
                <w:rFonts w:ascii="Arial Narrow" w:hAnsi="Arial Narrow"/>
                <w:b/>
                <w:bCs/>
                <w:sz w:val="20"/>
                <w:szCs w:val="20"/>
              </w:rPr>
              <w:t>Rpts</w:t>
            </w:r>
          </w:p>
        </w:tc>
        <w:tc>
          <w:tcPr>
            <w:tcW w:w="1838" w:type="dxa"/>
            <w:vAlign w:val="center"/>
          </w:tcPr>
          <w:p w14:paraId="5C7DBB22" w14:textId="77777777" w:rsidR="00BE3FE8" w:rsidRPr="00480790" w:rsidRDefault="00BE3FE8">
            <w:pPr>
              <w:keepLines/>
              <w:rPr>
                <w:rFonts w:ascii="Arial Narrow" w:hAnsi="Arial Narrow"/>
                <w:b/>
                <w:sz w:val="20"/>
                <w:szCs w:val="20"/>
              </w:rPr>
            </w:pPr>
            <w:r w:rsidRPr="00480790">
              <w:rPr>
                <w:rFonts w:ascii="Arial Narrow" w:hAnsi="Arial Narrow"/>
                <w:b/>
                <w:sz w:val="20"/>
                <w:szCs w:val="20"/>
              </w:rPr>
              <w:t>Available brands</w:t>
            </w:r>
          </w:p>
        </w:tc>
      </w:tr>
      <w:tr w:rsidR="00AB01EA" w:rsidRPr="00480790" w14:paraId="6E013324" w14:textId="77777777" w:rsidTr="00C12D9D">
        <w:trPr>
          <w:cantSplit/>
          <w:trHeight w:val="20"/>
        </w:trPr>
        <w:tc>
          <w:tcPr>
            <w:tcW w:w="9022" w:type="dxa"/>
            <w:gridSpan w:val="8"/>
            <w:vAlign w:val="center"/>
          </w:tcPr>
          <w:p w14:paraId="15A1748E" w14:textId="77777777" w:rsidR="00BE3FE8" w:rsidRPr="00480790" w:rsidRDefault="00BE3FE8">
            <w:pPr>
              <w:keepLines/>
              <w:rPr>
                <w:rFonts w:ascii="Arial Narrow" w:hAnsi="Arial Narrow"/>
                <w:sz w:val="20"/>
                <w:szCs w:val="20"/>
              </w:rPr>
            </w:pPr>
            <w:r w:rsidRPr="00480790">
              <w:rPr>
                <w:rFonts w:ascii="Arial Narrow" w:hAnsi="Arial Narrow"/>
                <w:sz w:val="20"/>
                <w:szCs w:val="20"/>
              </w:rPr>
              <w:t>ALECTINIB</w:t>
            </w:r>
          </w:p>
        </w:tc>
      </w:tr>
      <w:tr w:rsidR="00AB01EA" w:rsidRPr="00480790" w14:paraId="7C6BD753" w14:textId="77777777" w:rsidTr="00C12D9D">
        <w:trPr>
          <w:cantSplit/>
          <w:trHeight w:val="20"/>
        </w:trPr>
        <w:tc>
          <w:tcPr>
            <w:tcW w:w="3938" w:type="dxa"/>
            <w:gridSpan w:val="3"/>
            <w:vAlign w:val="center"/>
          </w:tcPr>
          <w:p w14:paraId="3F13D7D3" w14:textId="77777777" w:rsidR="00BE3FE8" w:rsidRPr="00480790" w:rsidRDefault="00BE3FE8">
            <w:pPr>
              <w:keepLines/>
              <w:rPr>
                <w:rFonts w:ascii="Arial Narrow" w:hAnsi="Arial Narrow"/>
                <w:sz w:val="20"/>
                <w:szCs w:val="20"/>
              </w:rPr>
            </w:pPr>
            <w:r w:rsidRPr="00480790">
              <w:rPr>
                <w:rFonts w:ascii="Arial Narrow" w:hAnsi="Arial Narrow"/>
                <w:sz w:val="20"/>
                <w:szCs w:val="20"/>
              </w:rPr>
              <w:t>alectinib 150 mg capsule, 4 x 56</w:t>
            </w:r>
          </w:p>
        </w:tc>
        <w:tc>
          <w:tcPr>
            <w:tcW w:w="811" w:type="dxa"/>
            <w:vAlign w:val="center"/>
          </w:tcPr>
          <w:p w14:paraId="774B9B48" w14:textId="77777777" w:rsidR="00BE3FE8" w:rsidRPr="00480790" w:rsidRDefault="00BE3FE8">
            <w:pPr>
              <w:keepLines/>
              <w:jc w:val="center"/>
              <w:rPr>
                <w:rFonts w:ascii="Arial Narrow" w:hAnsi="Arial Narrow"/>
                <w:sz w:val="20"/>
                <w:szCs w:val="20"/>
              </w:rPr>
            </w:pPr>
            <w:r w:rsidRPr="00480790">
              <w:rPr>
                <w:rFonts w:ascii="Arial Narrow" w:hAnsi="Arial Narrow"/>
                <w:sz w:val="20"/>
                <w:szCs w:val="20"/>
              </w:rPr>
              <w:t>NEW</w:t>
            </w:r>
          </w:p>
        </w:tc>
        <w:tc>
          <w:tcPr>
            <w:tcW w:w="812" w:type="dxa"/>
            <w:vAlign w:val="center"/>
          </w:tcPr>
          <w:p w14:paraId="2A910CFF" w14:textId="77777777" w:rsidR="00BE3FE8" w:rsidRPr="00480790" w:rsidRDefault="00BE3FE8">
            <w:pPr>
              <w:keepLines/>
              <w:jc w:val="center"/>
              <w:rPr>
                <w:rFonts w:ascii="Arial Narrow" w:hAnsi="Arial Narrow"/>
                <w:sz w:val="20"/>
                <w:szCs w:val="20"/>
              </w:rPr>
            </w:pPr>
            <w:r w:rsidRPr="00480790">
              <w:rPr>
                <w:rFonts w:ascii="Arial Narrow" w:hAnsi="Arial Narrow"/>
                <w:sz w:val="20"/>
                <w:szCs w:val="20"/>
              </w:rPr>
              <w:t>1</w:t>
            </w:r>
          </w:p>
        </w:tc>
        <w:tc>
          <w:tcPr>
            <w:tcW w:w="811" w:type="dxa"/>
            <w:vAlign w:val="center"/>
          </w:tcPr>
          <w:p w14:paraId="19AC6596" w14:textId="77777777" w:rsidR="00BE3FE8" w:rsidRPr="00480790" w:rsidRDefault="00BE3FE8">
            <w:pPr>
              <w:keepLines/>
              <w:jc w:val="center"/>
              <w:rPr>
                <w:rFonts w:ascii="Arial Narrow" w:hAnsi="Arial Narrow"/>
                <w:sz w:val="20"/>
                <w:szCs w:val="20"/>
              </w:rPr>
            </w:pPr>
            <w:r w:rsidRPr="00480790">
              <w:rPr>
                <w:rFonts w:ascii="Arial Narrow" w:hAnsi="Arial Narrow"/>
                <w:sz w:val="20"/>
                <w:szCs w:val="20"/>
              </w:rPr>
              <w:t>224</w:t>
            </w:r>
          </w:p>
        </w:tc>
        <w:tc>
          <w:tcPr>
            <w:tcW w:w="812" w:type="dxa"/>
            <w:vAlign w:val="center"/>
          </w:tcPr>
          <w:p w14:paraId="05C1E1E5" w14:textId="77777777" w:rsidR="00BE3FE8" w:rsidRPr="00480790" w:rsidRDefault="00BE3FE8">
            <w:pPr>
              <w:keepLines/>
              <w:jc w:val="center"/>
              <w:rPr>
                <w:rFonts w:ascii="Arial Narrow" w:hAnsi="Arial Narrow"/>
                <w:sz w:val="20"/>
                <w:szCs w:val="20"/>
              </w:rPr>
            </w:pPr>
            <w:r w:rsidRPr="00480790">
              <w:rPr>
                <w:rFonts w:ascii="Arial Narrow" w:hAnsi="Arial Narrow"/>
                <w:sz w:val="20"/>
                <w:szCs w:val="20"/>
              </w:rPr>
              <w:t>3</w:t>
            </w:r>
          </w:p>
        </w:tc>
        <w:tc>
          <w:tcPr>
            <w:tcW w:w="1838" w:type="dxa"/>
            <w:vAlign w:val="center"/>
          </w:tcPr>
          <w:p w14:paraId="7A03BCB8" w14:textId="77777777" w:rsidR="00BE3FE8" w:rsidRPr="00480790" w:rsidRDefault="00BE3FE8">
            <w:pPr>
              <w:keepLines/>
              <w:rPr>
                <w:rFonts w:ascii="Arial Narrow" w:hAnsi="Arial Narrow"/>
                <w:sz w:val="20"/>
                <w:szCs w:val="20"/>
              </w:rPr>
            </w:pPr>
            <w:r w:rsidRPr="00480790">
              <w:rPr>
                <w:rFonts w:ascii="Arial Narrow" w:hAnsi="Arial Narrow"/>
                <w:sz w:val="20"/>
                <w:szCs w:val="20"/>
              </w:rPr>
              <w:t xml:space="preserve">Alecensa </w:t>
            </w:r>
          </w:p>
        </w:tc>
      </w:tr>
      <w:tr w:rsidR="00AB01EA" w:rsidRPr="00480790" w14:paraId="71D1EEA1" w14:textId="77777777" w:rsidTr="00C12D9D">
        <w:tblPrEx>
          <w:tblCellMar>
            <w:top w:w="15" w:type="dxa"/>
            <w:bottom w:w="15" w:type="dxa"/>
          </w:tblCellMar>
          <w:tblLook w:val="04A0" w:firstRow="1" w:lastRow="0" w:firstColumn="1" w:lastColumn="0" w:noHBand="0" w:noVBand="1"/>
        </w:tblPrEx>
        <w:trPr>
          <w:trHeight w:val="20"/>
        </w:trPr>
        <w:tc>
          <w:tcPr>
            <w:tcW w:w="9022" w:type="dxa"/>
            <w:gridSpan w:val="8"/>
            <w:tcBorders>
              <w:top w:val="single" w:sz="4" w:space="0" w:color="auto"/>
              <w:left w:val="single" w:sz="4" w:space="0" w:color="auto"/>
              <w:right w:val="single" w:sz="4" w:space="0" w:color="auto"/>
            </w:tcBorders>
            <w:vAlign w:val="center"/>
          </w:tcPr>
          <w:p w14:paraId="50308E5A" w14:textId="77777777" w:rsidR="00BE3FE8" w:rsidRPr="00480790" w:rsidRDefault="00BE3FE8">
            <w:pPr>
              <w:rPr>
                <w:rFonts w:ascii="Arial Narrow" w:hAnsi="Arial Narrow"/>
                <w:sz w:val="20"/>
                <w:szCs w:val="20"/>
              </w:rPr>
            </w:pPr>
          </w:p>
        </w:tc>
      </w:tr>
      <w:tr w:rsidR="00AB01EA" w:rsidRPr="00480790" w14:paraId="4D5B67B2" w14:textId="77777777" w:rsidTr="00C12D9D">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1DBC91D3" w14:textId="37652D6B" w:rsidR="00BE3FE8" w:rsidRPr="00480790" w:rsidRDefault="00BE3FE8">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632FE87" w14:textId="77777777" w:rsidR="00BE3FE8" w:rsidRPr="00480790" w:rsidRDefault="00BE3FE8">
            <w:pPr>
              <w:keepLines/>
              <w:rPr>
                <w:rFonts w:ascii="Arial Narrow" w:hAnsi="Arial Narrow"/>
                <w:sz w:val="20"/>
                <w:szCs w:val="20"/>
              </w:rPr>
            </w:pPr>
            <w:r w:rsidRPr="00480790">
              <w:rPr>
                <w:rFonts w:ascii="Arial Narrow" w:hAnsi="Arial Narrow"/>
                <w:b/>
                <w:sz w:val="20"/>
                <w:szCs w:val="20"/>
              </w:rPr>
              <w:t>Category / Program:</w:t>
            </w:r>
            <w:r w:rsidRPr="00480790">
              <w:rPr>
                <w:rFonts w:ascii="Arial Narrow" w:hAnsi="Arial Narrow"/>
                <w:sz w:val="20"/>
                <w:szCs w:val="20"/>
              </w:rPr>
              <w:t xml:space="preserve"> </w:t>
            </w:r>
            <w:r w:rsidRPr="00480790">
              <w:rPr>
                <w:rFonts w:ascii="Arial Narrow" w:eastAsia="Calibri" w:hAnsi="Arial Narrow"/>
                <w:sz w:val="20"/>
                <w:szCs w:val="20"/>
              </w:rPr>
              <w:fldChar w:fldCharType="begin">
                <w:ffData>
                  <w:name w:val="Check1"/>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 xml:space="preserve"> GENERAL - General Schedule (Code GE) </w:t>
            </w:r>
          </w:p>
        </w:tc>
      </w:tr>
      <w:tr w:rsidR="00AB01EA" w:rsidRPr="00480790" w14:paraId="6C3624AF" w14:textId="77777777" w:rsidTr="00C12D9D">
        <w:tblPrEx>
          <w:tblCellMar>
            <w:top w:w="15" w:type="dxa"/>
            <w:bottom w:w="15" w:type="dxa"/>
          </w:tblCellMar>
          <w:tblLook w:val="04A0" w:firstRow="1" w:lastRow="0" w:firstColumn="1" w:lastColumn="0" w:noHBand="0" w:noVBand="1"/>
        </w:tblPrEx>
        <w:trPr>
          <w:trHeight w:val="20"/>
        </w:trPr>
        <w:tc>
          <w:tcPr>
            <w:tcW w:w="1277" w:type="dxa"/>
            <w:gridSpan w:val="2"/>
            <w:vMerge/>
          </w:tcPr>
          <w:p w14:paraId="46A5EBA9" w14:textId="77777777" w:rsidR="00BE3FE8" w:rsidRPr="00480790" w:rsidRDefault="00BE3FE8">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64E7D9F" w14:textId="77777777" w:rsidR="00BE3FE8" w:rsidRPr="00480790" w:rsidRDefault="00BE3FE8">
            <w:pPr>
              <w:keepLines/>
              <w:rPr>
                <w:rFonts w:ascii="Arial Narrow" w:hAnsi="Arial Narrow"/>
                <w:b/>
                <w:sz w:val="20"/>
                <w:szCs w:val="20"/>
              </w:rPr>
            </w:pPr>
            <w:r w:rsidRPr="00480790">
              <w:rPr>
                <w:rFonts w:ascii="Arial Narrow" w:hAnsi="Arial Narrow"/>
                <w:b/>
                <w:sz w:val="20"/>
                <w:szCs w:val="20"/>
              </w:rPr>
              <w:t xml:space="preserve">Prescriber type: </w:t>
            </w:r>
            <w:r w:rsidRPr="00480790">
              <w:rPr>
                <w:rFonts w:ascii="Arial Narrow" w:hAnsi="Arial Narrow"/>
                <w:sz w:val="20"/>
                <w:szCs w:val="20"/>
              </w:rPr>
              <w:t xml:space="preserve"> </w:t>
            </w:r>
            <w:r w:rsidRPr="00480790">
              <w:rPr>
                <w:rFonts w:ascii="Arial Narrow" w:hAnsi="Arial Narrow"/>
                <w:sz w:val="20"/>
                <w:szCs w:val="20"/>
              </w:rPr>
              <w:fldChar w:fldCharType="begin">
                <w:ffData>
                  <w:name w:val=""/>
                  <w:enabled/>
                  <w:calcOnExit w:val="0"/>
                  <w:checkBox>
                    <w:sizeAuto/>
                    <w:default w:val="1"/>
                  </w:checkBox>
                </w:ffData>
              </w:fldChar>
            </w:r>
            <w:r w:rsidRPr="00480790">
              <w:rPr>
                <w:rFonts w:ascii="Arial Narrow" w:hAnsi="Arial Narrow"/>
                <w:sz w:val="20"/>
                <w:szCs w:val="20"/>
              </w:rPr>
              <w:instrText xml:space="preserve"> FORMCHECKBOX </w:instrText>
            </w:r>
            <w:r w:rsidRPr="00480790">
              <w:rPr>
                <w:rFonts w:ascii="Arial Narrow" w:hAnsi="Arial Narrow"/>
                <w:sz w:val="20"/>
                <w:szCs w:val="20"/>
              </w:rPr>
            </w:r>
            <w:r w:rsidRPr="00480790">
              <w:rPr>
                <w:rFonts w:ascii="Arial Narrow" w:hAnsi="Arial Narrow"/>
                <w:sz w:val="20"/>
                <w:szCs w:val="20"/>
              </w:rPr>
              <w:fldChar w:fldCharType="separate"/>
            </w:r>
            <w:r w:rsidRPr="00480790">
              <w:rPr>
                <w:rFonts w:ascii="Arial Narrow" w:hAnsi="Arial Narrow"/>
                <w:sz w:val="20"/>
                <w:szCs w:val="20"/>
              </w:rPr>
              <w:fldChar w:fldCharType="end"/>
            </w:r>
            <w:r w:rsidRPr="00480790">
              <w:rPr>
                <w:rFonts w:ascii="Arial Narrow" w:hAnsi="Arial Narrow"/>
                <w:sz w:val="20"/>
                <w:szCs w:val="20"/>
              </w:rPr>
              <w:t xml:space="preserve">Medical Practitioners </w:t>
            </w:r>
          </w:p>
        </w:tc>
      </w:tr>
      <w:tr w:rsidR="00AB01EA" w:rsidRPr="00480790" w14:paraId="79E2A28B" w14:textId="77777777" w:rsidTr="00C12D9D">
        <w:tblPrEx>
          <w:tblCellMar>
            <w:top w:w="15" w:type="dxa"/>
            <w:bottom w:w="15" w:type="dxa"/>
          </w:tblCellMar>
          <w:tblLook w:val="04A0" w:firstRow="1" w:lastRow="0" w:firstColumn="1" w:lastColumn="0" w:noHBand="0" w:noVBand="1"/>
        </w:tblPrEx>
        <w:trPr>
          <w:trHeight w:val="184"/>
        </w:trPr>
        <w:tc>
          <w:tcPr>
            <w:tcW w:w="1277" w:type="dxa"/>
            <w:gridSpan w:val="2"/>
            <w:vMerge/>
          </w:tcPr>
          <w:p w14:paraId="742A4B4D" w14:textId="77777777" w:rsidR="00BE3FE8" w:rsidRPr="00480790" w:rsidRDefault="00BE3FE8">
            <w:pPr>
              <w:rPr>
                <w:rFonts w:ascii="Arial Narrow" w:hAnsi="Arial Narrow"/>
                <w:sz w:val="20"/>
                <w:szCs w:val="20"/>
              </w:rPr>
            </w:pPr>
          </w:p>
        </w:tc>
        <w:tc>
          <w:tcPr>
            <w:tcW w:w="7745" w:type="dxa"/>
            <w:gridSpan w:val="6"/>
            <w:tcBorders>
              <w:top w:val="single" w:sz="4" w:space="0" w:color="auto"/>
              <w:left w:val="single" w:sz="4" w:space="0" w:color="auto"/>
              <w:right w:val="single" w:sz="4" w:space="0" w:color="auto"/>
            </w:tcBorders>
            <w:vAlign w:val="center"/>
          </w:tcPr>
          <w:p w14:paraId="1597C163" w14:textId="77777777" w:rsidR="00BE3FE8" w:rsidRPr="00480790" w:rsidRDefault="00BE3FE8">
            <w:pPr>
              <w:keepLines/>
              <w:rPr>
                <w:rFonts w:ascii="Arial Narrow" w:eastAsia="Calibri" w:hAnsi="Arial Narrow"/>
                <w:sz w:val="20"/>
                <w:szCs w:val="20"/>
              </w:rPr>
            </w:pPr>
            <w:r w:rsidRPr="00480790">
              <w:rPr>
                <w:rFonts w:ascii="Arial Narrow" w:hAnsi="Arial Narrow"/>
                <w:b/>
                <w:sz w:val="20"/>
                <w:szCs w:val="20"/>
              </w:rPr>
              <w:t xml:space="preserve">Restriction type: </w:t>
            </w:r>
            <w:r w:rsidRPr="00480790">
              <w:rPr>
                <w:rFonts w:ascii="Arial Narrow" w:eastAsia="Calibri" w:hAnsi="Arial Narrow"/>
                <w:sz w:val="20"/>
                <w:szCs w:val="20"/>
              </w:rPr>
              <w:fldChar w:fldCharType="begin">
                <w:ffData>
                  <w:name w:val="Check3"/>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Authority Required (immediate assessment) - Telephone/Online PBS Authorities</w:t>
            </w:r>
          </w:p>
        </w:tc>
      </w:tr>
      <w:tr w:rsidR="00AB01EA" w:rsidRPr="00480790" w14:paraId="4A0C10E3" w14:textId="77777777" w:rsidTr="00C12D9D">
        <w:tblPrEx>
          <w:tblCellMar>
            <w:top w:w="15" w:type="dxa"/>
            <w:bottom w:w="15" w:type="dxa"/>
          </w:tblCellMar>
          <w:tblLook w:val="04A0" w:firstRow="1" w:lastRow="0" w:firstColumn="1" w:lastColumn="0" w:noHBand="0" w:noVBand="1"/>
        </w:tblPrEx>
        <w:trPr>
          <w:trHeight w:val="20"/>
        </w:trPr>
        <w:tc>
          <w:tcPr>
            <w:tcW w:w="492" w:type="dxa"/>
            <w:vMerge w:val="restart"/>
            <w:tcBorders>
              <w:left w:val="single" w:sz="4" w:space="0" w:color="auto"/>
              <w:right w:val="single" w:sz="4" w:space="0" w:color="auto"/>
            </w:tcBorders>
            <w:textDirection w:val="btLr"/>
            <w:vAlign w:val="center"/>
          </w:tcPr>
          <w:p w14:paraId="06829574" w14:textId="3F8C356B" w:rsidR="00BE3FE8" w:rsidRPr="00480790" w:rsidRDefault="00BE3FE8">
            <w:pPr>
              <w:jc w:val="center"/>
              <w:rPr>
                <w:rFonts w:ascii="Arial Narrow" w:hAnsi="Arial Narrow"/>
                <w:sz w:val="20"/>
                <w:szCs w:val="20"/>
              </w:rPr>
            </w:pPr>
          </w:p>
        </w:tc>
        <w:tc>
          <w:tcPr>
            <w:tcW w:w="785" w:type="dxa"/>
            <w:vAlign w:val="center"/>
          </w:tcPr>
          <w:p w14:paraId="5AAC266E" w14:textId="00EA11A8" w:rsidR="00BE3FE8" w:rsidRPr="00480790" w:rsidRDefault="00BE3FE8">
            <w:pPr>
              <w:jc w:val="center"/>
              <w:rPr>
                <w:rFonts w:ascii="Arial Narrow" w:hAnsi="Arial Narrow"/>
                <w:sz w:val="20"/>
                <w:szCs w:val="20"/>
              </w:rPr>
            </w:pPr>
          </w:p>
        </w:tc>
        <w:tc>
          <w:tcPr>
            <w:tcW w:w="7745" w:type="dxa"/>
            <w:gridSpan w:val="6"/>
            <w:vAlign w:val="center"/>
          </w:tcPr>
          <w:p w14:paraId="194B3902" w14:textId="77777777" w:rsidR="00BE3FE8" w:rsidRPr="00480790" w:rsidRDefault="00BE3FE8">
            <w:pPr>
              <w:keepLines/>
              <w:rPr>
                <w:rFonts w:ascii="Arial Narrow" w:hAnsi="Arial Narrow"/>
                <w:b/>
                <w:bCs/>
                <w:sz w:val="20"/>
                <w:szCs w:val="20"/>
              </w:rPr>
            </w:pPr>
            <w:r w:rsidRPr="00480790">
              <w:rPr>
                <w:rFonts w:ascii="Arial Narrow" w:hAnsi="Arial Narrow"/>
                <w:b/>
                <w:bCs/>
                <w:sz w:val="20"/>
                <w:szCs w:val="20"/>
              </w:rPr>
              <w:t>Administration advice:</w:t>
            </w:r>
          </w:p>
          <w:p w14:paraId="75D6BC8B" w14:textId="77777777" w:rsidR="00BE3FE8" w:rsidRPr="00480790" w:rsidRDefault="00BE3FE8">
            <w:pPr>
              <w:rPr>
                <w:rFonts w:ascii="Arial Narrow" w:hAnsi="Arial Narrow"/>
                <w:sz w:val="20"/>
                <w:szCs w:val="20"/>
              </w:rPr>
            </w:pPr>
            <w:r w:rsidRPr="00480790">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AB01EA" w:rsidRPr="00480790" w14:paraId="36B1830D" w14:textId="77777777" w:rsidTr="00C12D9D">
        <w:tblPrEx>
          <w:tblCellMar>
            <w:top w:w="15" w:type="dxa"/>
            <w:bottom w:w="15" w:type="dxa"/>
          </w:tblCellMar>
          <w:tblLook w:val="04A0" w:firstRow="1" w:lastRow="0" w:firstColumn="1" w:lastColumn="0" w:noHBand="0" w:noVBand="1"/>
        </w:tblPrEx>
        <w:trPr>
          <w:trHeight w:val="20"/>
        </w:trPr>
        <w:tc>
          <w:tcPr>
            <w:tcW w:w="492" w:type="dxa"/>
            <w:vMerge/>
          </w:tcPr>
          <w:p w14:paraId="4BF0BFFD" w14:textId="77777777" w:rsidR="00BE3FE8" w:rsidRPr="00480790" w:rsidRDefault="00BE3FE8">
            <w:pPr>
              <w:rPr>
                <w:rFonts w:ascii="Arial Narrow" w:hAnsi="Arial Narrow"/>
                <w:sz w:val="20"/>
                <w:szCs w:val="20"/>
              </w:rPr>
            </w:pPr>
          </w:p>
        </w:tc>
        <w:tc>
          <w:tcPr>
            <w:tcW w:w="785" w:type="dxa"/>
            <w:vAlign w:val="center"/>
          </w:tcPr>
          <w:p w14:paraId="6E02197C" w14:textId="2EB40DF5" w:rsidR="00BE3FE8" w:rsidRPr="00480790" w:rsidRDefault="00BE3FE8">
            <w:pPr>
              <w:jc w:val="center"/>
              <w:rPr>
                <w:rFonts w:ascii="Arial Narrow" w:hAnsi="Arial Narrow"/>
                <w:sz w:val="20"/>
                <w:szCs w:val="20"/>
              </w:rPr>
            </w:pPr>
          </w:p>
        </w:tc>
        <w:tc>
          <w:tcPr>
            <w:tcW w:w="7745" w:type="dxa"/>
            <w:gridSpan w:val="6"/>
            <w:vAlign w:val="center"/>
          </w:tcPr>
          <w:p w14:paraId="61989C50" w14:textId="77777777" w:rsidR="00BE3FE8" w:rsidRPr="00480790" w:rsidRDefault="00BE3FE8">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quantity or number of units may be authorised.</w:t>
            </w:r>
          </w:p>
        </w:tc>
      </w:tr>
      <w:tr w:rsidR="00AB01EA" w:rsidRPr="00480790" w14:paraId="388CCD07" w14:textId="77777777" w:rsidTr="00C12D9D">
        <w:tblPrEx>
          <w:tblCellMar>
            <w:top w:w="15" w:type="dxa"/>
            <w:bottom w:w="15" w:type="dxa"/>
          </w:tblCellMar>
          <w:tblLook w:val="04A0" w:firstRow="1" w:lastRow="0" w:firstColumn="1" w:lastColumn="0" w:noHBand="0" w:noVBand="1"/>
        </w:tblPrEx>
        <w:trPr>
          <w:trHeight w:val="20"/>
        </w:trPr>
        <w:tc>
          <w:tcPr>
            <w:tcW w:w="492" w:type="dxa"/>
            <w:vMerge/>
          </w:tcPr>
          <w:p w14:paraId="52FD6955" w14:textId="77777777" w:rsidR="00BE3FE8" w:rsidRPr="00480790" w:rsidRDefault="00BE3FE8">
            <w:pPr>
              <w:rPr>
                <w:rFonts w:ascii="Arial Narrow" w:hAnsi="Arial Narrow"/>
                <w:sz w:val="20"/>
                <w:szCs w:val="20"/>
              </w:rPr>
            </w:pPr>
          </w:p>
        </w:tc>
        <w:tc>
          <w:tcPr>
            <w:tcW w:w="785" w:type="dxa"/>
            <w:vAlign w:val="center"/>
          </w:tcPr>
          <w:p w14:paraId="5EBEB306" w14:textId="4C884520" w:rsidR="00BE3FE8" w:rsidRPr="00480790" w:rsidRDefault="00BE3FE8">
            <w:pPr>
              <w:jc w:val="center"/>
              <w:rPr>
                <w:rFonts w:ascii="Arial Narrow" w:hAnsi="Arial Narrow"/>
                <w:sz w:val="20"/>
                <w:szCs w:val="20"/>
              </w:rPr>
            </w:pPr>
          </w:p>
        </w:tc>
        <w:tc>
          <w:tcPr>
            <w:tcW w:w="7745" w:type="dxa"/>
            <w:gridSpan w:val="6"/>
            <w:vAlign w:val="center"/>
          </w:tcPr>
          <w:p w14:paraId="54E6E284" w14:textId="77777777" w:rsidR="00BE3FE8" w:rsidRPr="00480790" w:rsidRDefault="00BE3FE8">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number of repeats may be authorised.</w:t>
            </w:r>
          </w:p>
        </w:tc>
      </w:tr>
      <w:tr w:rsidR="00AB01EA" w:rsidRPr="00480790" w14:paraId="4629CB4C" w14:textId="77777777" w:rsidTr="00C12D9D">
        <w:tblPrEx>
          <w:tblCellMar>
            <w:top w:w="15" w:type="dxa"/>
            <w:bottom w:w="15" w:type="dxa"/>
          </w:tblCellMar>
          <w:tblLook w:val="04A0" w:firstRow="1" w:lastRow="0" w:firstColumn="1" w:lastColumn="0" w:noHBand="0" w:noVBand="1"/>
        </w:tblPrEx>
        <w:trPr>
          <w:trHeight w:val="20"/>
        </w:trPr>
        <w:tc>
          <w:tcPr>
            <w:tcW w:w="492" w:type="dxa"/>
            <w:vMerge/>
          </w:tcPr>
          <w:p w14:paraId="0CA24EAD" w14:textId="77777777" w:rsidR="00BE3FE8" w:rsidRPr="00480790" w:rsidRDefault="00BE3FE8">
            <w:pPr>
              <w:rPr>
                <w:rFonts w:ascii="Arial Narrow" w:hAnsi="Arial Narrow"/>
                <w:sz w:val="20"/>
                <w:szCs w:val="20"/>
              </w:rPr>
            </w:pPr>
          </w:p>
        </w:tc>
        <w:tc>
          <w:tcPr>
            <w:tcW w:w="785" w:type="dxa"/>
            <w:vAlign w:val="center"/>
          </w:tcPr>
          <w:p w14:paraId="49B1011D" w14:textId="22D0A8CB" w:rsidR="00BE3FE8" w:rsidRPr="00480790" w:rsidRDefault="00BE3FE8">
            <w:pPr>
              <w:jc w:val="center"/>
              <w:rPr>
                <w:rFonts w:ascii="Arial Narrow" w:hAnsi="Arial Narrow"/>
                <w:sz w:val="20"/>
                <w:szCs w:val="20"/>
              </w:rPr>
            </w:pPr>
          </w:p>
        </w:tc>
        <w:tc>
          <w:tcPr>
            <w:tcW w:w="7745" w:type="dxa"/>
            <w:gridSpan w:val="6"/>
            <w:vAlign w:val="center"/>
          </w:tcPr>
          <w:p w14:paraId="26848D34" w14:textId="77777777" w:rsidR="00BE3FE8" w:rsidRPr="00480790" w:rsidRDefault="00BE3FE8">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Special Pricing Arrangements apply.</w:t>
            </w:r>
          </w:p>
        </w:tc>
      </w:tr>
      <w:tr w:rsidR="00AB01EA" w:rsidRPr="00480790" w14:paraId="4404965F"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Merge w:val="restart"/>
            <w:vAlign w:val="center"/>
          </w:tcPr>
          <w:p w14:paraId="4C69006B"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7341F298" w14:textId="77777777" w:rsidR="00BE3FE8" w:rsidRPr="00480790" w:rsidRDefault="00BE3FE8">
            <w:pPr>
              <w:keepLines/>
              <w:rPr>
                <w:rFonts w:ascii="Arial Narrow" w:hAnsi="Arial Narrow"/>
                <w:sz w:val="20"/>
                <w:szCs w:val="20"/>
              </w:rPr>
            </w:pPr>
            <w:r w:rsidRPr="00480790">
              <w:rPr>
                <w:rFonts w:ascii="Arial Narrow" w:hAnsi="Arial Narrow"/>
                <w:b/>
                <w:bCs/>
                <w:sz w:val="20"/>
                <w:szCs w:val="20"/>
              </w:rPr>
              <w:t xml:space="preserve">Episodicity: </w:t>
            </w:r>
            <w:r w:rsidRPr="00480790">
              <w:rPr>
                <w:rFonts w:ascii="Arial Narrow" w:hAnsi="Arial Narrow"/>
                <w:sz w:val="20"/>
                <w:szCs w:val="20"/>
              </w:rPr>
              <w:t xml:space="preserve">Resected </w:t>
            </w:r>
          </w:p>
        </w:tc>
      </w:tr>
      <w:tr w:rsidR="00AB01EA" w:rsidRPr="00480790" w14:paraId="56D4CD71"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Merge/>
            <w:vAlign w:val="center"/>
          </w:tcPr>
          <w:p w14:paraId="7F099CBD"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2ECF03E2" w14:textId="77777777" w:rsidR="00BE3FE8" w:rsidRPr="00480790" w:rsidRDefault="00BE3FE8">
            <w:pPr>
              <w:keepLines/>
              <w:rPr>
                <w:rFonts w:ascii="Arial Narrow" w:hAnsi="Arial Narrow"/>
                <w:b/>
                <w:bCs/>
                <w:sz w:val="20"/>
                <w:szCs w:val="20"/>
              </w:rPr>
            </w:pPr>
            <w:r w:rsidRPr="00480790">
              <w:rPr>
                <w:rFonts w:ascii="Arial Narrow" w:hAnsi="Arial Narrow"/>
                <w:b/>
                <w:bCs/>
                <w:sz w:val="20"/>
                <w:szCs w:val="20"/>
              </w:rPr>
              <w:t xml:space="preserve">Severity: </w:t>
            </w:r>
            <w:r w:rsidRPr="00480790">
              <w:rPr>
                <w:rFonts w:ascii="Arial Narrow" w:hAnsi="Arial Narrow"/>
                <w:bCs/>
                <w:sz w:val="20"/>
                <w:szCs w:val="20"/>
              </w:rPr>
              <w:t xml:space="preserve">[blank] </w:t>
            </w:r>
          </w:p>
        </w:tc>
      </w:tr>
      <w:tr w:rsidR="00AB01EA" w:rsidRPr="00480790" w14:paraId="64AE4A40"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Merge/>
            <w:vAlign w:val="center"/>
          </w:tcPr>
          <w:p w14:paraId="3CDA47CF"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1D01AF49" w14:textId="77777777" w:rsidR="00BE3FE8" w:rsidRPr="00480790" w:rsidRDefault="00BE3FE8">
            <w:pPr>
              <w:keepLines/>
              <w:rPr>
                <w:rFonts w:ascii="Arial Narrow" w:hAnsi="Arial Narrow"/>
                <w:b/>
                <w:bCs/>
                <w:sz w:val="20"/>
                <w:szCs w:val="20"/>
              </w:rPr>
            </w:pPr>
            <w:r w:rsidRPr="00480790">
              <w:rPr>
                <w:rFonts w:ascii="Arial Narrow" w:hAnsi="Arial Narrow"/>
                <w:b/>
                <w:bCs/>
                <w:sz w:val="20"/>
                <w:szCs w:val="20"/>
              </w:rPr>
              <w:t xml:space="preserve">Condition: </w:t>
            </w:r>
            <w:r w:rsidRPr="00480790">
              <w:rPr>
                <w:rFonts w:ascii="Arial Narrow" w:hAnsi="Arial Narrow"/>
                <w:sz w:val="20"/>
                <w:szCs w:val="20"/>
              </w:rPr>
              <w:t>Non-small cell lung cancer (NSCLC)</w:t>
            </w:r>
          </w:p>
        </w:tc>
      </w:tr>
      <w:tr w:rsidR="00A35F1C" w:rsidRPr="00480790" w14:paraId="2B6B38C0" w14:textId="77777777" w:rsidTr="00C12D9D">
        <w:tblPrEx>
          <w:tblCellMar>
            <w:top w:w="15" w:type="dxa"/>
            <w:bottom w:w="15" w:type="dxa"/>
          </w:tblCellMar>
          <w:tblLook w:val="04A0" w:firstRow="1" w:lastRow="0" w:firstColumn="1" w:lastColumn="0" w:noHBand="0" w:noVBand="1"/>
        </w:tblPrEx>
        <w:trPr>
          <w:cantSplit/>
          <w:trHeight w:val="20"/>
        </w:trPr>
        <w:tc>
          <w:tcPr>
            <w:tcW w:w="9022" w:type="dxa"/>
            <w:gridSpan w:val="8"/>
            <w:vAlign w:val="center"/>
          </w:tcPr>
          <w:p w14:paraId="0B49DB35" w14:textId="77777777" w:rsidR="00A35F1C" w:rsidRPr="00480790" w:rsidRDefault="00A35F1C">
            <w:pPr>
              <w:keepLines/>
              <w:rPr>
                <w:rFonts w:ascii="Arial Narrow" w:hAnsi="Arial Narrow"/>
                <w:b/>
                <w:sz w:val="20"/>
                <w:szCs w:val="20"/>
              </w:rPr>
            </w:pPr>
          </w:p>
        </w:tc>
      </w:tr>
      <w:tr w:rsidR="00AB01EA" w:rsidRPr="00480790" w14:paraId="39294BFD" w14:textId="77777777" w:rsidTr="00C12D9D">
        <w:tblPrEx>
          <w:tblCellMar>
            <w:top w:w="15" w:type="dxa"/>
            <w:bottom w:w="15" w:type="dxa"/>
          </w:tblCellMar>
          <w:tblLook w:val="04A0" w:firstRow="1" w:lastRow="0" w:firstColumn="1" w:lastColumn="0" w:noHBand="0" w:noVBand="1"/>
        </w:tblPrEx>
        <w:trPr>
          <w:cantSplit/>
          <w:trHeight w:val="20"/>
        </w:trPr>
        <w:tc>
          <w:tcPr>
            <w:tcW w:w="9022" w:type="dxa"/>
            <w:gridSpan w:val="8"/>
            <w:vAlign w:val="center"/>
          </w:tcPr>
          <w:p w14:paraId="0D636513" w14:textId="1B019E33" w:rsidR="00BE3FE8" w:rsidRPr="00480790" w:rsidRDefault="00BE3FE8">
            <w:pPr>
              <w:keepLines/>
              <w:rPr>
                <w:rFonts w:ascii="Arial Narrow" w:hAnsi="Arial Narrow"/>
                <w:b/>
                <w:bCs/>
                <w:sz w:val="20"/>
                <w:szCs w:val="20"/>
              </w:rPr>
            </w:pPr>
            <w:r w:rsidRPr="00480790">
              <w:rPr>
                <w:rFonts w:ascii="Arial Narrow" w:hAnsi="Arial Narrow"/>
                <w:b/>
                <w:sz w:val="20"/>
                <w:szCs w:val="20"/>
              </w:rPr>
              <w:t xml:space="preserve">Restriction Summary / Treatment of Concept: </w:t>
            </w:r>
          </w:p>
        </w:tc>
      </w:tr>
      <w:tr w:rsidR="00AB01EA" w:rsidRPr="00480790" w14:paraId="52034E09"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0550AB2" w14:textId="281ECBDE" w:rsidR="00BE3FE8" w:rsidRPr="00480790" w:rsidRDefault="00BE3FE8">
            <w:pPr>
              <w:keepLines/>
              <w:jc w:val="center"/>
              <w:rPr>
                <w:rFonts w:ascii="Arial Narrow" w:hAnsi="Arial Narrow"/>
                <w:sz w:val="20"/>
                <w:szCs w:val="20"/>
              </w:rPr>
            </w:pPr>
          </w:p>
        </w:tc>
        <w:tc>
          <w:tcPr>
            <w:tcW w:w="7745" w:type="dxa"/>
            <w:gridSpan w:val="6"/>
            <w:vAlign w:val="center"/>
          </w:tcPr>
          <w:p w14:paraId="598803B6" w14:textId="77777777" w:rsidR="00BE3FE8" w:rsidRPr="00480790" w:rsidRDefault="00BE3FE8">
            <w:pPr>
              <w:keepLines/>
              <w:rPr>
                <w:rFonts w:ascii="Arial Narrow" w:hAnsi="Arial Narrow"/>
                <w:b/>
                <w:bCs/>
                <w:sz w:val="20"/>
                <w:szCs w:val="20"/>
              </w:rPr>
            </w:pPr>
            <w:r w:rsidRPr="00480790">
              <w:rPr>
                <w:rFonts w:ascii="Arial Narrow" w:hAnsi="Arial Narrow"/>
                <w:b/>
                <w:bCs/>
                <w:sz w:val="20"/>
                <w:szCs w:val="20"/>
              </w:rPr>
              <w:t>Indication:</w:t>
            </w:r>
            <w:r w:rsidRPr="00480790">
              <w:rPr>
                <w:rFonts w:ascii="Arial Narrow" w:hAnsi="Arial Narrow"/>
                <w:sz w:val="20"/>
                <w:szCs w:val="20"/>
              </w:rPr>
              <w:t xml:space="preserve"> Resected non-small cell lung cancer (NSCLC)</w:t>
            </w:r>
          </w:p>
        </w:tc>
      </w:tr>
      <w:tr w:rsidR="00AB01EA" w:rsidRPr="00480790" w14:paraId="67BB9FD8"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3D58D3A"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1297E1BC" w14:textId="77777777" w:rsidR="00BE3FE8" w:rsidRPr="00480790" w:rsidRDefault="00BE3FE8">
            <w:pPr>
              <w:keepLines/>
              <w:rPr>
                <w:rFonts w:ascii="Arial Narrow" w:hAnsi="Arial Narrow"/>
                <w:b/>
                <w:bCs/>
                <w:sz w:val="20"/>
                <w:szCs w:val="20"/>
              </w:rPr>
            </w:pPr>
            <w:r w:rsidRPr="00480790">
              <w:rPr>
                <w:rFonts w:ascii="Arial Narrow" w:hAnsi="Arial Narrow"/>
                <w:b/>
                <w:bCs/>
                <w:sz w:val="20"/>
                <w:szCs w:val="20"/>
              </w:rPr>
              <w:t>Treatment Phase:</w:t>
            </w:r>
            <w:r w:rsidRPr="00480790">
              <w:t xml:space="preserve"> </w:t>
            </w:r>
            <w:r w:rsidRPr="00480790">
              <w:rPr>
                <w:rFonts w:ascii="Arial Narrow" w:hAnsi="Arial Narrow"/>
                <w:sz w:val="20"/>
                <w:szCs w:val="20"/>
              </w:rPr>
              <w:t xml:space="preserve">Adjuvant therapy </w:t>
            </w:r>
          </w:p>
        </w:tc>
      </w:tr>
      <w:tr w:rsidR="00AB01EA" w:rsidRPr="00480790" w14:paraId="75BCD3C7"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3F0044D"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49E1C7DA" w14:textId="77777777" w:rsidR="00BE3FE8" w:rsidRPr="00480790" w:rsidRDefault="00BE3FE8">
            <w:pPr>
              <w:keepLines/>
              <w:rPr>
                <w:rFonts w:ascii="Arial Narrow" w:hAnsi="Arial Narrow"/>
                <w:b/>
                <w:bCs/>
                <w:sz w:val="20"/>
                <w:szCs w:val="20"/>
              </w:rPr>
            </w:pPr>
            <w:r w:rsidRPr="00480790">
              <w:rPr>
                <w:rFonts w:ascii="Arial Narrow" w:hAnsi="Arial Narrow"/>
                <w:b/>
                <w:bCs/>
                <w:sz w:val="20"/>
                <w:szCs w:val="20"/>
              </w:rPr>
              <w:t>Clinical criteria:</w:t>
            </w:r>
          </w:p>
        </w:tc>
      </w:tr>
      <w:tr w:rsidR="00AB01EA" w:rsidRPr="00480790" w14:paraId="2DB6FDEA"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8157479" w14:textId="407FC61C" w:rsidR="00BE3FE8" w:rsidRPr="00480790" w:rsidRDefault="00BE3FE8">
            <w:pPr>
              <w:keepLines/>
              <w:jc w:val="center"/>
              <w:rPr>
                <w:rFonts w:ascii="Arial Narrow" w:hAnsi="Arial Narrow"/>
                <w:sz w:val="20"/>
                <w:szCs w:val="20"/>
              </w:rPr>
            </w:pPr>
          </w:p>
        </w:tc>
        <w:tc>
          <w:tcPr>
            <w:tcW w:w="7745" w:type="dxa"/>
            <w:gridSpan w:val="6"/>
            <w:vAlign w:val="center"/>
          </w:tcPr>
          <w:p w14:paraId="1A22377A" w14:textId="77777777" w:rsidR="00BE3FE8" w:rsidRPr="00480790" w:rsidRDefault="00BE3FE8">
            <w:pPr>
              <w:keepLines/>
              <w:rPr>
                <w:rFonts w:ascii="Arial Narrow" w:hAnsi="Arial Narrow"/>
                <w:sz w:val="20"/>
                <w:szCs w:val="20"/>
              </w:rPr>
            </w:pPr>
            <w:r w:rsidRPr="00480790">
              <w:rPr>
                <w:rFonts w:ascii="Arial Narrow" w:hAnsi="Arial Narrow"/>
                <w:sz w:val="20"/>
                <w:szCs w:val="20"/>
              </w:rPr>
              <w:t>Patient must be both: (i) initiating treatment, (ii) untreated with an Anaplastic Lymphoma Kinase-Tyrosine Kinase Inhibitor (ALK-TKI) for non-small cell lung cancer; OR</w:t>
            </w:r>
          </w:p>
        </w:tc>
      </w:tr>
      <w:tr w:rsidR="00AB01EA" w:rsidRPr="00480790" w14:paraId="5F0530D9"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037D57E" w14:textId="00DFFE70" w:rsidR="00BE3FE8" w:rsidRPr="00480790" w:rsidRDefault="00BE3FE8">
            <w:pPr>
              <w:keepLines/>
              <w:jc w:val="center"/>
              <w:rPr>
                <w:rFonts w:ascii="Arial Narrow" w:hAnsi="Arial Narrow"/>
                <w:sz w:val="20"/>
                <w:szCs w:val="20"/>
              </w:rPr>
            </w:pPr>
          </w:p>
        </w:tc>
        <w:tc>
          <w:tcPr>
            <w:tcW w:w="7745" w:type="dxa"/>
            <w:gridSpan w:val="6"/>
            <w:vAlign w:val="center"/>
          </w:tcPr>
          <w:p w14:paraId="59063AA8" w14:textId="77777777" w:rsidR="00BE3FE8" w:rsidRPr="00480790" w:rsidRDefault="00BE3FE8">
            <w:pPr>
              <w:keepLines/>
              <w:rPr>
                <w:rFonts w:ascii="Arial Narrow" w:hAnsi="Arial Narrow"/>
                <w:sz w:val="20"/>
                <w:szCs w:val="20"/>
              </w:rPr>
            </w:pPr>
            <w:r w:rsidRPr="00480790">
              <w:rPr>
                <w:rFonts w:ascii="Arial Narrow" w:hAnsi="Arial Narrow"/>
                <w:sz w:val="20"/>
                <w:szCs w:val="20"/>
              </w:rPr>
              <w:t>Patient must be continuing existing PBS-subsidised treatment with this drug; OR</w:t>
            </w:r>
          </w:p>
        </w:tc>
      </w:tr>
      <w:tr w:rsidR="00AB01EA" w:rsidRPr="00480790" w14:paraId="3FE630D7"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52FCB4C" w14:textId="2C30AF22" w:rsidR="00BE3FE8" w:rsidRPr="00480790" w:rsidRDefault="00BE3FE8">
            <w:pPr>
              <w:keepLines/>
              <w:jc w:val="center"/>
              <w:rPr>
                <w:rFonts w:ascii="Arial Narrow" w:hAnsi="Arial Narrow"/>
                <w:sz w:val="20"/>
                <w:szCs w:val="20"/>
              </w:rPr>
            </w:pPr>
          </w:p>
        </w:tc>
        <w:tc>
          <w:tcPr>
            <w:tcW w:w="7745" w:type="dxa"/>
            <w:gridSpan w:val="6"/>
            <w:vAlign w:val="center"/>
          </w:tcPr>
          <w:p w14:paraId="759713F9" w14:textId="77777777" w:rsidR="00BE3FE8" w:rsidRPr="00480790" w:rsidRDefault="00BE3FE8">
            <w:pPr>
              <w:keepLines/>
              <w:rPr>
                <w:rFonts w:ascii="Arial Narrow" w:hAnsi="Arial Narrow"/>
                <w:sz w:val="20"/>
                <w:szCs w:val="20"/>
              </w:rPr>
            </w:pPr>
            <w:r w:rsidRPr="00480790">
              <w:rPr>
                <w:rFonts w:ascii="Arial Narrow" w:hAnsi="Arial Narrow"/>
                <w:sz w:val="20"/>
                <w:szCs w:val="20"/>
              </w:rPr>
              <w:t>Patient must be both: (i) transitioning from existing non-PBS to PBS-subsidised supply of this drug, (ii) untreated with ALK-TKI at the time this drug was initiated.</w:t>
            </w:r>
          </w:p>
        </w:tc>
      </w:tr>
      <w:tr w:rsidR="00AB01EA" w:rsidRPr="00480790" w14:paraId="1152D79A"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CEC8BD5"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19BD6184" w14:textId="77777777" w:rsidR="00BE3FE8" w:rsidRPr="00480790" w:rsidRDefault="00BE3FE8">
            <w:pPr>
              <w:keepLines/>
              <w:rPr>
                <w:rFonts w:ascii="Arial Narrow" w:hAnsi="Arial Narrow"/>
                <w:b/>
                <w:bCs/>
                <w:sz w:val="20"/>
                <w:szCs w:val="20"/>
              </w:rPr>
            </w:pPr>
            <w:r w:rsidRPr="00480790">
              <w:rPr>
                <w:rFonts w:ascii="Arial Narrow" w:hAnsi="Arial Narrow"/>
                <w:b/>
                <w:bCs/>
                <w:sz w:val="20"/>
                <w:szCs w:val="20"/>
              </w:rPr>
              <w:t>AND</w:t>
            </w:r>
          </w:p>
        </w:tc>
      </w:tr>
      <w:tr w:rsidR="00AB01EA" w:rsidRPr="00480790" w14:paraId="538D1A19"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225EFD6"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746EA3C1" w14:textId="77777777" w:rsidR="00BE3FE8" w:rsidRPr="00480790" w:rsidRDefault="00BE3FE8">
            <w:pPr>
              <w:keepLines/>
              <w:rPr>
                <w:rFonts w:ascii="Arial Narrow" w:hAnsi="Arial Narrow"/>
                <w:b/>
                <w:bCs/>
                <w:sz w:val="20"/>
                <w:szCs w:val="20"/>
              </w:rPr>
            </w:pPr>
            <w:r w:rsidRPr="00480790">
              <w:rPr>
                <w:rFonts w:ascii="Arial Narrow" w:hAnsi="Arial Narrow"/>
                <w:b/>
                <w:bCs/>
                <w:sz w:val="20"/>
                <w:szCs w:val="20"/>
              </w:rPr>
              <w:t>Clinical criteria</w:t>
            </w:r>
          </w:p>
        </w:tc>
      </w:tr>
      <w:tr w:rsidR="00AB01EA" w:rsidRPr="00480790" w14:paraId="0D9EAB3F"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72F1C01" w14:textId="62BB77C7" w:rsidR="00BE3FE8" w:rsidRPr="00480790" w:rsidRDefault="00BE3FE8">
            <w:pPr>
              <w:keepLines/>
              <w:jc w:val="center"/>
              <w:rPr>
                <w:rFonts w:ascii="Arial Narrow" w:hAnsi="Arial Narrow"/>
                <w:sz w:val="20"/>
                <w:szCs w:val="20"/>
              </w:rPr>
            </w:pPr>
          </w:p>
        </w:tc>
        <w:tc>
          <w:tcPr>
            <w:tcW w:w="7745" w:type="dxa"/>
            <w:gridSpan w:val="6"/>
            <w:vAlign w:val="center"/>
          </w:tcPr>
          <w:p w14:paraId="155233EC" w14:textId="77777777" w:rsidR="00BE3FE8" w:rsidRPr="00480790" w:rsidRDefault="00BE3FE8">
            <w:pPr>
              <w:keepLines/>
              <w:rPr>
                <w:rFonts w:ascii="Arial Narrow" w:hAnsi="Arial Narrow"/>
                <w:sz w:val="20"/>
                <w:szCs w:val="20"/>
              </w:rPr>
            </w:pPr>
            <w:r w:rsidRPr="00480790">
              <w:rPr>
                <w:rFonts w:ascii="Arial Narrow" w:hAnsi="Arial Narrow"/>
                <w:sz w:val="20"/>
                <w:szCs w:val="20"/>
              </w:rPr>
              <w:t>The condition must be/have been at least one of: (i) node positive, (ii) at least 4 cm in size,</w:t>
            </w:r>
          </w:p>
        </w:tc>
      </w:tr>
      <w:tr w:rsidR="00AB01EA" w:rsidRPr="00480790" w14:paraId="4369F828"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B1C4071"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25E0FD81" w14:textId="77777777" w:rsidR="00BE3FE8" w:rsidRPr="00480790" w:rsidRDefault="00BE3FE8">
            <w:pPr>
              <w:keepLines/>
              <w:rPr>
                <w:rFonts w:ascii="Arial Narrow" w:hAnsi="Arial Narrow"/>
                <w:sz w:val="20"/>
                <w:szCs w:val="20"/>
              </w:rPr>
            </w:pPr>
            <w:r w:rsidRPr="00480790">
              <w:rPr>
                <w:rFonts w:ascii="Arial Narrow" w:hAnsi="Arial Narrow"/>
                <w:b/>
                <w:bCs/>
                <w:sz w:val="20"/>
                <w:szCs w:val="20"/>
              </w:rPr>
              <w:t>AND</w:t>
            </w:r>
          </w:p>
        </w:tc>
      </w:tr>
      <w:tr w:rsidR="00AB01EA" w:rsidRPr="00480790" w14:paraId="16A06CC1"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361FC82"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7120E93B" w14:textId="77777777" w:rsidR="00BE3FE8" w:rsidRPr="00480790" w:rsidRDefault="00BE3FE8">
            <w:pPr>
              <w:keepLines/>
              <w:rPr>
                <w:rFonts w:ascii="Arial Narrow" w:hAnsi="Arial Narrow"/>
                <w:sz w:val="20"/>
                <w:szCs w:val="20"/>
              </w:rPr>
            </w:pPr>
            <w:r w:rsidRPr="00480790">
              <w:rPr>
                <w:rFonts w:ascii="Arial Narrow" w:hAnsi="Arial Narrow"/>
                <w:b/>
                <w:bCs/>
                <w:sz w:val="20"/>
                <w:szCs w:val="20"/>
              </w:rPr>
              <w:t>Clinical criteria</w:t>
            </w:r>
          </w:p>
        </w:tc>
      </w:tr>
      <w:tr w:rsidR="00AB01EA" w:rsidRPr="00480790" w14:paraId="3A1C01B0"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378E661" w14:textId="4CEEFD1F" w:rsidR="00BE3FE8" w:rsidRPr="00480790" w:rsidRDefault="00BE3FE8">
            <w:pPr>
              <w:keepLines/>
              <w:jc w:val="center"/>
              <w:rPr>
                <w:rFonts w:ascii="Arial Narrow" w:hAnsi="Arial Narrow"/>
                <w:sz w:val="20"/>
                <w:szCs w:val="20"/>
              </w:rPr>
            </w:pPr>
          </w:p>
        </w:tc>
        <w:tc>
          <w:tcPr>
            <w:tcW w:w="7745" w:type="dxa"/>
            <w:gridSpan w:val="6"/>
            <w:vAlign w:val="center"/>
          </w:tcPr>
          <w:p w14:paraId="702AEEE7" w14:textId="77777777" w:rsidR="00BE3FE8" w:rsidRPr="00480790" w:rsidRDefault="00BE3FE8">
            <w:pPr>
              <w:keepLines/>
              <w:rPr>
                <w:rFonts w:ascii="Arial Narrow" w:hAnsi="Arial Narrow"/>
                <w:sz w:val="20"/>
                <w:szCs w:val="20"/>
              </w:rPr>
            </w:pPr>
            <w:r w:rsidRPr="00480790">
              <w:rPr>
                <w:rFonts w:ascii="Arial Narrow" w:hAnsi="Arial Narrow"/>
                <w:sz w:val="20"/>
                <w:szCs w:val="20"/>
              </w:rPr>
              <w:t xml:space="preserve">The treatment must be for the purpose of adjuvant therapy following surgical resection, </w:t>
            </w:r>
          </w:p>
        </w:tc>
      </w:tr>
      <w:tr w:rsidR="00AB01EA" w:rsidRPr="00480790" w14:paraId="34F03037"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F799AD2"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57355AFB" w14:textId="77777777" w:rsidR="00BE3FE8" w:rsidRPr="00480790" w:rsidRDefault="00BE3FE8">
            <w:pPr>
              <w:keepLines/>
              <w:rPr>
                <w:rFonts w:ascii="Arial Narrow" w:hAnsi="Arial Narrow"/>
                <w:sz w:val="20"/>
                <w:szCs w:val="20"/>
              </w:rPr>
            </w:pPr>
            <w:r w:rsidRPr="00480790">
              <w:rPr>
                <w:rFonts w:ascii="Arial Narrow" w:hAnsi="Arial Narrow"/>
                <w:b/>
                <w:bCs/>
                <w:sz w:val="20"/>
                <w:szCs w:val="20"/>
              </w:rPr>
              <w:t>AND</w:t>
            </w:r>
          </w:p>
        </w:tc>
      </w:tr>
      <w:tr w:rsidR="00AB01EA" w:rsidRPr="00480790" w14:paraId="537ACC42"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D76906F"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488FE617" w14:textId="77777777" w:rsidR="00BE3FE8" w:rsidRPr="00480790" w:rsidRDefault="00BE3FE8">
            <w:pPr>
              <w:keepLines/>
              <w:rPr>
                <w:rFonts w:ascii="Arial Narrow" w:hAnsi="Arial Narrow"/>
                <w:sz w:val="20"/>
                <w:szCs w:val="20"/>
              </w:rPr>
            </w:pPr>
            <w:r w:rsidRPr="00480790">
              <w:rPr>
                <w:rFonts w:ascii="Arial Narrow" w:hAnsi="Arial Narrow"/>
                <w:b/>
                <w:bCs/>
                <w:sz w:val="20"/>
                <w:szCs w:val="20"/>
              </w:rPr>
              <w:t>Clinical criteria</w:t>
            </w:r>
          </w:p>
        </w:tc>
      </w:tr>
      <w:tr w:rsidR="00AB01EA" w:rsidRPr="00480790" w14:paraId="3BCE48DD"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8FAD9E4" w14:textId="07717F1C" w:rsidR="00BE3FE8" w:rsidRPr="00480790" w:rsidRDefault="00BE3FE8">
            <w:pPr>
              <w:keepLines/>
              <w:jc w:val="center"/>
              <w:rPr>
                <w:rFonts w:ascii="Arial Narrow" w:hAnsi="Arial Narrow"/>
                <w:sz w:val="20"/>
                <w:szCs w:val="20"/>
              </w:rPr>
            </w:pPr>
          </w:p>
        </w:tc>
        <w:tc>
          <w:tcPr>
            <w:tcW w:w="7745" w:type="dxa"/>
            <w:gridSpan w:val="6"/>
            <w:vAlign w:val="center"/>
          </w:tcPr>
          <w:p w14:paraId="3A85D878" w14:textId="77777777" w:rsidR="00BE3FE8" w:rsidRPr="00480790" w:rsidRDefault="00BE3FE8">
            <w:pPr>
              <w:keepLines/>
              <w:rPr>
                <w:rFonts w:ascii="Arial Narrow" w:hAnsi="Arial Narrow"/>
                <w:sz w:val="20"/>
                <w:szCs w:val="20"/>
              </w:rPr>
            </w:pPr>
            <w:r w:rsidRPr="00480790">
              <w:rPr>
                <w:rFonts w:ascii="Arial Narrow" w:hAnsi="Arial Narrow"/>
                <w:sz w:val="20"/>
                <w:szCs w:val="20"/>
              </w:rPr>
              <w:t>The treatment must be commenced within 26 weeks of surgery,</w:t>
            </w:r>
          </w:p>
        </w:tc>
      </w:tr>
      <w:tr w:rsidR="00AB01EA" w:rsidRPr="00480790" w14:paraId="6B015A66"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3CE14E2"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440410B2" w14:textId="77777777" w:rsidR="00BE3FE8" w:rsidRPr="00480790" w:rsidRDefault="00BE3FE8">
            <w:pPr>
              <w:keepLines/>
              <w:rPr>
                <w:rFonts w:ascii="Arial Narrow" w:hAnsi="Arial Narrow"/>
                <w:b/>
                <w:bCs/>
                <w:sz w:val="20"/>
                <w:szCs w:val="20"/>
              </w:rPr>
            </w:pPr>
            <w:r w:rsidRPr="00480790">
              <w:rPr>
                <w:rFonts w:ascii="Arial Narrow" w:hAnsi="Arial Narrow"/>
                <w:b/>
                <w:bCs/>
                <w:sz w:val="20"/>
                <w:szCs w:val="20"/>
              </w:rPr>
              <w:t>AND</w:t>
            </w:r>
          </w:p>
        </w:tc>
      </w:tr>
      <w:tr w:rsidR="00AB01EA" w:rsidRPr="00480790" w14:paraId="7CA1BE67"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DF5DDD0"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4C4B379F" w14:textId="77777777" w:rsidR="00BE3FE8" w:rsidRPr="00480790" w:rsidRDefault="00BE3FE8">
            <w:pPr>
              <w:keepLines/>
              <w:rPr>
                <w:rFonts w:ascii="Arial Narrow" w:hAnsi="Arial Narrow"/>
                <w:b/>
                <w:bCs/>
                <w:sz w:val="20"/>
                <w:szCs w:val="20"/>
              </w:rPr>
            </w:pPr>
            <w:r w:rsidRPr="00480790">
              <w:rPr>
                <w:rFonts w:ascii="Arial Narrow" w:hAnsi="Arial Narrow"/>
                <w:b/>
                <w:bCs/>
                <w:sz w:val="20"/>
                <w:szCs w:val="20"/>
              </w:rPr>
              <w:t>Clinical criteria</w:t>
            </w:r>
          </w:p>
        </w:tc>
      </w:tr>
      <w:tr w:rsidR="00AB01EA" w:rsidRPr="00480790" w14:paraId="7FBDE17B"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41267FB" w14:textId="2825F76A" w:rsidR="00BE3FE8" w:rsidRPr="00480790" w:rsidRDefault="00BE3FE8">
            <w:pPr>
              <w:keepLines/>
              <w:jc w:val="center"/>
              <w:rPr>
                <w:rFonts w:ascii="Arial Narrow" w:hAnsi="Arial Narrow"/>
                <w:sz w:val="20"/>
                <w:szCs w:val="20"/>
              </w:rPr>
            </w:pPr>
          </w:p>
        </w:tc>
        <w:tc>
          <w:tcPr>
            <w:tcW w:w="7745" w:type="dxa"/>
            <w:gridSpan w:val="6"/>
            <w:vAlign w:val="center"/>
          </w:tcPr>
          <w:p w14:paraId="312BFE0C" w14:textId="77777777" w:rsidR="00BE3FE8" w:rsidRPr="00480790" w:rsidRDefault="00BE3FE8">
            <w:pPr>
              <w:keepLines/>
              <w:rPr>
                <w:rFonts w:ascii="Arial Narrow" w:hAnsi="Arial Narrow"/>
                <w:sz w:val="20"/>
                <w:szCs w:val="20"/>
              </w:rPr>
            </w:pPr>
            <w:r w:rsidRPr="00480790">
              <w:rPr>
                <w:rFonts w:ascii="Arial Narrow" w:hAnsi="Arial Narrow"/>
                <w:sz w:val="20"/>
                <w:szCs w:val="20"/>
              </w:rPr>
              <w:t xml:space="preserve">Patient must have evidence of an anaplastic lymphoma kinase (ALK) gene rearrangement in tumour material, defined as either: (i) 15% (or greater) positive cells by fluorescence in situ hybridisation (FISH) testing, (ii) positive next generation sequencing (NGS) testing, </w:t>
            </w:r>
          </w:p>
        </w:tc>
      </w:tr>
      <w:tr w:rsidR="00AB01EA" w:rsidRPr="00480790" w14:paraId="6FD5C378"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28024B2"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790C81A0" w14:textId="77777777" w:rsidR="00BE3FE8" w:rsidRPr="00480790" w:rsidRDefault="00BE3FE8">
            <w:pPr>
              <w:keepLines/>
              <w:rPr>
                <w:rFonts w:ascii="Arial Narrow" w:hAnsi="Arial Narrow"/>
                <w:sz w:val="20"/>
                <w:szCs w:val="20"/>
              </w:rPr>
            </w:pPr>
            <w:r w:rsidRPr="00480790">
              <w:rPr>
                <w:rFonts w:ascii="Arial Narrow" w:hAnsi="Arial Narrow"/>
                <w:b/>
                <w:bCs/>
                <w:sz w:val="20"/>
                <w:szCs w:val="20"/>
              </w:rPr>
              <w:t>AND</w:t>
            </w:r>
          </w:p>
        </w:tc>
      </w:tr>
      <w:tr w:rsidR="00AB01EA" w:rsidRPr="00480790" w14:paraId="7260BE3B"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6B8C59B"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2981C49F" w14:textId="77777777" w:rsidR="00BE3FE8" w:rsidRPr="00480790" w:rsidRDefault="00BE3FE8">
            <w:pPr>
              <w:keepLines/>
              <w:rPr>
                <w:rFonts w:ascii="Arial Narrow" w:hAnsi="Arial Narrow"/>
                <w:sz w:val="20"/>
                <w:szCs w:val="20"/>
              </w:rPr>
            </w:pPr>
            <w:r w:rsidRPr="00480790">
              <w:rPr>
                <w:rFonts w:ascii="Arial Narrow" w:hAnsi="Arial Narrow"/>
                <w:b/>
                <w:bCs/>
                <w:sz w:val="20"/>
                <w:szCs w:val="20"/>
              </w:rPr>
              <w:t>Clinical criteria</w:t>
            </w:r>
          </w:p>
        </w:tc>
      </w:tr>
      <w:tr w:rsidR="00AB01EA" w:rsidRPr="00480790" w14:paraId="5791D3A4"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46EDFAA" w14:textId="539177B8" w:rsidR="00BE3FE8" w:rsidRPr="00480790" w:rsidRDefault="00BE3FE8">
            <w:pPr>
              <w:keepLines/>
              <w:jc w:val="center"/>
              <w:rPr>
                <w:rFonts w:ascii="Arial Narrow" w:hAnsi="Arial Narrow"/>
                <w:sz w:val="20"/>
                <w:szCs w:val="20"/>
              </w:rPr>
            </w:pPr>
          </w:p>
        </w:tc>
        <w:tc>
          <w:tcPr>
            <w:tcW w:w="7745" w:type="dxa"/>
            <w:gridSpan w:val="6"/>
            <w:vAlign w:val="center"/>
          </w:tcPr>
          <w:p w14:paraId="2C87248C" w14:textId="77777777" w:rsidR="00BE3FE8" w:rsidRPr="00480790" w:rsidRDefault="00BE3FE8">
            <w:pPr>
              <w:keepLines/>
              <w:rPr>
                <w:rFonts w:ascii="Arial Narrow" w:hAnsi="Arial Narrow"/>
                <w:sz w:val="20"/>
                <w:szCs w:val="20"/>
              </w:rPr>
            </w:pPr>
            <w:r w:rsidRPr="00480790">
              <w:rPr>
                <w:rFonts w:ascii="Arial Narrow" w:hAnsi="Arial Narrow"/>
                <w:sz w:val="20"/>
                <w:szCs w:val="20"/>
              </w:rPr>
              <w:t xml:space="preserve">Patient must have/have had a WHO performance status of no greater than 1 at treatment initiation with this drug, </w:t>
            </w:r>
          </w:p>
        </w:tc>
      </w:tr>
      <w:tr w:rsidR="00AB01EA" w:rsidRPr="00480790" w14:paraId="1A97961F"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071310B"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61732D24" w14:textId="77777777" w:rsidR="00BE3FE8" w:rsidRPr="00480790" w:rsidRDefault="00BE3FE8">
            <w:pPr>
              <w:keepLines/>
              <w:rPr>
                <w:rFonts w:ascii="Arial Narrow" w:hAnsi="Arial Narrow"/>
                <w:sz w:val="20"/>
                <w:szCs w:val="20"/>
              </w:rPr>
            </w:pPr>
            <w:r w:rsidRPr="00480790">
              <w:rPr>
                <w:rFonts w:ascii="Arial Narrow" w:hAnsi="Arial Narrow"/>
                <w:b/>
                <w:bCs/>
                <w:sz w:val="20"/>
                <w:szCs w:val="20"/>
              </w:rPr>
              <w:t>AND</w:t>
            </w:r>
          </w:p>
        </w:tc>
      </w:tr>
      <w:tr w:rsidR="00AB01EA" w:rsidRPr="00480790" w14:paraId="355C4653"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466E726"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3ABE6603" w14:textId="77777777" w:rsidR="00BE3FE8" w:rsidRPr="00480790" w:rsidRDefault="00BE3FE8">
            <w:pPr>
              <w:keepLines/>
              <w:rPr>
                <w:rFonts w:ascii="Arial Narrow" w:hAnsi="Arial Narrow"/>
                <w:sz w:val="20"/>
                <w:szCs w:val="20"/>
              </w:rPr>
            </w:pPr>
            <w:r w:rsidRPr="00480790">
              <w:rPr>
                <w:rFonts w:ascii="Arial Narrow" w:hAnsi="Arial Narrow"/>
                <w:b/>
                <w:bCs/>
                <w:sz w:val="20"/>
                <w:szCs w:val="20"/>
              </w:rPr>
              <w:t>Clinical criteria</w:t>
            </w:r>
          </w:p>
        </w:tc>
      </w:tr>
      <w:tr w:rsidR="00AB01EA" w:rsidRPr="00480790" w14:paraId="1734CA7E"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002B1B3" w14:textId="0EAAC25C" w:rsidR="00BE3FE8" w:rsidRPr="00480790" w:rsidRDefault="00BE3FE8">
            <w:pPr>
              <w:keepLines/>
              <w:jc w:val="center"/>
              <w:rPr>
                <w:rFonts w:ascii="Arial Narrow" w:hAnsi="Arial Narrow"/>
                <w:sz w:val="20"/>
                <w:szCs w:val="20"/>
              </w:rPr>
            </w:pPr>
          </w:p>
        </w:tc>
        <w:tc>
          <w:tcPr>
            <w:tcW w:w="7745" w:type="dxa"/>
            <w:gridSpan w:val="6"/>
            <w:vAlign w:val="center"/>
          </w:tcPr>
          <w:p w14:paraId="7267E7CE" w14:textId="77777777" w:rsidR="00BE3FE8" w:rsidRPr="00480790" w:rsidRDefault="00BE3FE8">
            <w:pPr>
              <w:keepLines/>
              <w:rPr>
                <w:rFonts w:ascii="Arial Narrow" w:hAnsi="Arial Narrow"/>
                <w:sz w:val="20"/>
                <w:szCs w:val="20"/>
              </w:rPr>
            </w:pPr>
            <w:r w:rsidRPr="00480790">
              <w:rPr>
                <w:rFonts w:ascii="Arial Narrow" w:hAnsi="Arial Narrow"/>
                <w:sz w:val="20"/>
                <w:szCs w:val="20"/>
              </w:rPr>
              <w:t>The treatment must be the sole PBS-subsidised systemic anti-cancer therapy for this condition,</w:t>
            </w:r>
          </w:p>
        </w:tc>
      </w:tr>
      <w:tr w:rsidR="00AB01EA" w:rsidRPr="00480790" w14:paraId="085B48E8"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F48F29A"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0C8FEBF2" w14:textId="77777777" w:rsidR="00BE3FE8" w:rsidRPr="00480790" w:rsidRDefault="00BE3FE8">
            <w:pPr>
              <w:keepLines/>
              <w:rPr>
                <w:rFonts w:ascii="Arial Narrow" w:hAnsi="Arial Narrow"/>
                <w:sz w:val="20"/>
                <w:szCs w:val="20"/>
              </w:rPr>
            </w:pPr>
            <w:r w:rsidRPr="00480790">
              <w:rPr>
                <w:rFonts w:ascii="Arial Narrow" w:hAnsi="Arial Narrow"/>
                <w:b/>
                <w:bCs/>
                <w:sz w:val="20"/>
                <w:szCs w:val="20"/>
              </w:rPr>
              <w:t>AND</w:t>
            </w:r>
          </w:p>
        </w:tc>
      </w:tr>
      <w:tr w:rsidR="00AB01EA" w:rsidRPr="00480790" w14:paraId="6E37A70E"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108A348" w14:textId="77777777" w:rsidR="00BE3FE8" w:rsidRPr="00480790" w:rsidRDefault="00BE3FE8">
            <w:pPr>
              <w:keepLines/>
              <w:jc w:val="center"/>
              <w:rPr>
                <w:rFonts w:ascii="Arial Narrow" w:hAnsi="Arial Narrow"/>
                <w:sz w:val="20"/>
                <w:szCs w:val="20"/>
              </w:rPr>
            </w:pPr>
          </w:p>
        </w:tc>
        <w:tc>
          <w:tcPr>
            <w:tcW w:w="7745" w:type="dxa"/>
            <w:gridSpan w:val="6"/>
            <w:vAlign w:val="center"/>
          </w:tcPr>
          <w:p w14:paraId="336CC112" w14:textId="77777777" w:rsidR="00BE3FE8" w:rsidRPr="00480790" w:rsidRDefault="00BE3FE8">
            <w:pPr>
              <w:keepLines/>
              <w:rPr>
                <w:rFonts w:ascii="Arial Narrow" w:hAnsi="Arial Narrow"/>
                <w:b/>
                <w:bCs/>
                <w:sz w:val="20"/>
                <w:szCs w:val="20"/>
              </w:rPr>
            </w:pPr>
            <w:r w:rsidRPr="00480790">
              <w:rPr>
                <w:rFonts w:ascii="Arial Narrow" w:hAnsi="Arial Narrow"/>
                <w:b/>
                <w:bCs/>
                <w:sz w:val="20"/>
                <w:szCs w:val="20"/>
              </w:rPr>
              <w:t>Treatment criteria:</w:t>
            </w:r>
          </w:p>
        </w:tc>
      </w:tr>
      <w:tr w:rsidR="00AB01EA" w:rsidRPr="00480790" w14:paraId="1657F358" w14:textId="77777777" w:rsidTr="00C12D9D">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810A3EB" w14:textId="47EF0835" w:rsidR="00BE3FE8" w:rsidRPr="00480790" w:rsidRDefault="00BE3FE8">
            <w:pPr>
              <w:keepLines/>
              <w:jc w:val="center"/>
              <w:rPr>
                <w:rFonts w:ascii="Arial Narrow" w:hAnsi="Arial Narrow"/>
                <w:sz w:val="20"/>
                <w:szCs w:val="20"/>
              </w:rPr>
            </w:pPr>
          </w:p>
        </w:tc>
        <w:tc>
          <w:tcPr>
            <w:tcW w:w="7745" w:type="dxa"/>
            <w:gridSpan w:val="6"/>
            <w:vAlign w:val="center"/>
          </w:tcPr>
          <w:p w14:paraId="616D547F" w14:textId="77777777" w:rsidR="00BE3FE8" w:rsidRPr="00480790" w:rsidRDefault="00BE3FE8">
            <w:pPr>
              <w:keepLines/>
              <w:rPr>
                <w:rFonts w:ascii="Arial Narrow" w:hAnsi="Arial Narrow"/>
                <w:sz w:val="20"/>
                <w:szCs w:val="20"/>
              </w:rPr>
            </w:pPr>
            <w:r w:rsidRPr="00480790">
              <w:rPr>
                <w:rFonts w:ascii="Arial Narrow" w:hAnsi="Arial Narrow"/>
                <w:sz w:val="20"/>
                <w:szCs w:val="20"/>
              </w:rPr>
              <w:t xml:space="preserve">Patient must be undergoing treatment that does not occur beyond the following, whichever comes first: (i) the first instance of disease progression/recurrence, </w:t>
            </w:r>
          </w:p>
          <w:p w14:paraId="3A4F7C15" w14:textId="77777777" w:rsidR="00BE3FE8" w:rsidRPr="00480790" w:rsidRDefault="00BE3FE8">
            <w:pPr>
              <w:keepLines/>
              <w:rPr>
                <w:rFonts w:ascii="Arial Narrow" w:hAnsi="Arial Narrow"/>
                <w:sz w:val="20"/>
                <w:szCs w:val="20"/>
              </w:rPr>
            </w:pPr>
            <w:r w:rsidRPr="00480790">
              <w:rPr>
                <w:rFonts w:ascii="Arial Narrow" w:hAnsi="Arial Narrow"/>
                <w:sz w:val="20"/>
                <w:szCs w:val="20"/>
              </w:rPr>
              <w:t>(ii) 24 months of combined non-PBS and PBS-subsidised treatment for this condition from the first administered dose; mark any remaining repeat prescriptions with the words 'cancelled' where (i)/(ii) has occurred.</w:t>
            </w:r>
          </w:p>
        </w:tc>
      </w:tr>
    </w:tbl>
    <w:p w14:paraId="3E266381" w14:textId="5C3B07ED" w:rsidR="00AF4DF1" w:rsidRPr="00480790" w:rsidRDefault="00C12D9D" w:rsidP="00293CDF">
      <w:pPr>
        <w:pStyle w:val="3-BodyText"/>
        <w:rPr>
          <w:snapToGrid w:val="0"/>
          <w:lang w:val="en-AU"/>
        </w:rPr>
      </w:pPr>
      <w:r w:rsidRPr="00480790">
        <w:rPr>
          <w:snapToGrid w:val="0"/>
          <w:lang w:val="en-AU"/>
        </w:rPr>
        <w:t xml:space="preserve">The PBAC advised that it is not-appropriate to allow later line use of </w:t>
      </w:r>
      <w:r w:rsidR="00AF4DF1" w:rsidRPr="00480790">
        <w:rPr>
          <w:snapToGrid w:val="0"/>
          <w:lang w:val="en-AU"/>
        </w:rPr>
        <w:t xml:space="preserve">alectinib or </w:t>
      </w:r>
      <w:r w:rsidRPr="00480790">
        <w:rPr>
          <w:snapToGrid w:val="0"/>
          <w:lang w:val="en-AU"/>
        </w:rPr>
        <w:t>an alternative ALK-TKI (crizotinib, ceritinib, brigatinib and lorlatinib) in the metastatic setting if patients have had alectinib in this early line.</w:t>
      </w:r>
    </w:p>
    <w:p w14:paraId="77550AF1" w14:textId="69BACBB9" w:rsidR="001C256F" w:rsidRPr="00480790" w:rsidRDefault="00C12D9D" w:rsidP="00293CDF">
      <w:pPr>
        <w:pStyle w:val="3-BodyText"/>
        <w:rPr>
          <w:lang w:val="en-AU"/>
        </w:rPr>
      </w:pPr>
      <w:r w:rsidRPr="00480790">
        <w:rPr>
          <w:snapToGrid w:val="0"/>
          <w:lang w:val="en-AU"/>
        </w:rPr>
        <w:t>The following amendments to the existing restriction are shown in italics and strikethrough</w:t>
      </w:r>
      <w:r w:rsidRPr="00480790">
        <w:rPr>
          <w:rFonts w:ascii="Arial Narrow" w:hAnsi="Arial Narrow" w:cstheme="minorHAnsi"/>
          <w:sz w:val="18"/>
          <w:szCs w:val="18"/>
          <w:lang w:val="en-AU"/>
        </w:rPr>
        <w:t>.</w:t>
      </w:r>
    </w:p>
    <w:p w14:paraId="430901CF" w14:textId="32AD172A" w:rsidR="00D62025" w:rsidRPr="00480790" w:rsidRDefault="00AF5665" w:rsidP="00D373AD">
      <w:pPr>
        <w:pStyle w:val="Heading2"/>
        <w:widowControl w:val="0"/>
        <w:ind w:left="720" w:hanging="720"/>
        <w:jc w:val="left"/>
        <w:rPr>
          <w:bCs/>
          <w:i w:val="0"/>
          <w:snapToGrid w:val="0"/>
          <w:sz w:val="26"/>
          <w:szCs w:val="28"/>
          <w:lang w:eastAsia="en-US"/>
        </w:rPr>
      </w:pPr>
      <w:r w:rsidRPr="00480790">
        <w:rPr>
          <w:bCs/>
          <w:i w:val="0"/>
          <w:snapToGrid w:val="0"/>
          <w:sz w:val="26"/>
          <w:szCs w:val="28"/>
          <w:lang w:eastAsia="en-US"/>
        </w:rPr>
        <w:t>Alectinib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126"/>
        <w:gridCol w:w="993"/>
        <w:gridCol w:w="992"/>
        <w:gridCol w:w="991"/>
        <w:gridCol w:w="812"/>
        <w:gridCol w:w="1831"/>
      </w:tblGrid>
      <w:tr w:rsidR="00AB01EA" w:rsidRPr="00480790" w14:paraId="20A09EE0" w14:textId="77777777" w:rsidTr="00B71978">
        <w:trPr>
          <w:cantSplit/>
          <w:trHeight w:val="20"/>
        </w:trPr>
        <w:tc>
          <w:tcPr>
            <w:tcW w:w="3398" w:type="dxa"/>
            <w:gridSpan w:val="3"/>
            <w:vAlign w:val="center"/>
          </w:tcPr>
          <w:p w14:paraId="3CE7C1D1" w14:textId="77777777" w:rsidR="000D38C2" w:rsidRPr="00480790" w:rsidRDefault="000D38C2">
            <w:pPr>
              <w:keepLines/>
              <w:rPr>
                <w:rFonts w:ascii="Arial Narrow" w:hAnsi="Arial Narrow"/>
                <w:b/>
                <w:bCs/>
                <w:sz w:val="20"/>
                <w:szCs w:val="20"/>
              </w:rPr>
            </w:pPr>
            <w:r w:rsidRPr="00480790">
              <w:rPr>
                <w:rFonts w:ascii="Arial Narrow" w:hAnsi="Arial Narrow"/>
                <w:b/>
                <w:bCs/>
                <w:sz w:val="20"/>
                <w:szCs w:val="20"/>
              </w:rPr>
              <w:t>MEDICINAL PRODUCT</w:t>
            </w:r>
          </w:p>
          <w:p w14:paraId="22033CEE" w14:textId="77777777" w:rsidR="000D38C2" w:rsidRPr="00480790" w:rsidRDefault="000D38C2">
            <w:pPr>
              <w:keepLines/>
              <w:rPr>
                <w:rFonts w:ascii="Arial Narrow" w:hAnsi="Arial Narrow"/>
                <w:b/>
                <w:sz w:val="20"/>
                <w:szCs w:val="20"/>
              </w:rPr>
            </w:pPr>
            <w:r w:rsidRPr="00480790">
              <w:rPr>
                <w:rFonts w:ascii="Arial Narrow" w:hAnsi="Arial Narrow"/>
                <w:b/>
                <w:bCs/>
                <w:sz w:val="20"/>
                <w:szCs w:val="20"/>
              </w:rPr>
              <w:t>medicinal product pack</w:t>
            </w:r>
          </w:p>
        </w:tc>
        <w:tc>
          <w:tcPr>
            <w:tcW w:w="993" w:type="dxa"/>
            <w:vAlign w:val="center"/>
          </w:tcPr>
          <w:p w14:paraId="71452D4E" w14:textId="77777777" w:rsidR="000D38C2" w:rsidRPr="00480790" w:rsidRDefault="000D38C2">
            <w:pPr>
              <w:keepLines/>
              <w:jc w:val="center"/>
              <w:rPr>
                <w:rFonts w:ascii="Arial Narrow" w:hAnsi="Arial Narrow"/>
                <w:b/>
                <w:sz w:val="20"/>
                <w:szCs w:val="20"/>
              </w:rPr>
            </w:pPr>
            <w:r w:rsidRPr="00480790">
              <w:rPr>
                <w:rFonts w:ascii="Arial Narrow" w:hAnsi="Arial Narrow"/>
                <w:b/>
                <w:sz w:val="20"/>
                <w:szCs w:val="20"/>
              </w:rPr>
              <w:t>PBS item code</w:t>
            </w:r>
          </w:p>
        </w:tc>
        <w:tc>
          <w:tcPr>
            <w:tcW w:w="992" w:type="dxa"/>
            <w:vAlign w:val="center"/>
          </w:tcPr>
          <w:p w14:paraId="05E8080B" w14:textId="77777777" w:rsidR="000D38C2" w:rsidRPr="00480790" w:rsidRDefault="000D38C2">
            <w:pPr>
              <w:keepLines/>
              <w:jc w:val="center"/>
              <w:rPr>
                <w:rFonts w:ascii="Arial Narrow" w:hAnsi="Arial Narrow"/>
                <w:b/>
                <w:sz w:val="20"/>
                <w:szCs w:val="20"/>
              </w:rPr>
            </w:pPr>
            <w:r w:rsidRPr="00480790">
              <w:rPr>
                <w:rFonts w:ascii="Arial Narrow" w:hAnsi="Arial Narrow"/>
                <w:b/>
                <w:sz w:val="20"/>
                <w:szCs w:val="20"/>
              </w:rPr>
              <w:t>Max. qty packs</w:t>
            </w:r>
          </w:p>
        </w:tc>
        <w:tc>
          <w:tcPr>
            <w:tcW w:w="991" w:type="dxa"/>
            <w:vAlign w:val="center"/>
          </w:tcPr>
          <w:p w14:paraId="31894778" w14:textId="77777777" w:rsidR="000D38C2" w:rsidRPr="00480790" w:rsidRDefault="000D38C2">
            <w:pPr>
              <w:keepLines/>
              <w:jc w:val="center"/>
              <w:rPr>
                <w:rFonts w:ascii="Arial Narrow" w:hAnsi="Arial Narrow"/>
                <w:b/>
                <w:sz w:val="20"/>
                <w:szCs w:val="20"/>
              </w:rPr>
            </w:pPr>
            <w:r w:rsidRPr="00480790">
              <w:rPr>
                <w:rFonts w:ascii="Arial Narrow" w:hAnsi="Arial Narrow"/>
                <w:b/>
                <w:sz w:val="20"/>
                <w:szCs w:val="20"/>
              </w:rPr>
              <w:t>Max. qty units</w:t>
            </w:r>
          </w:p>
        </w:tc>
        <w:tc>
          <w:tcPr>
            <w:tcW w:w="812" w:type="dxa"/>
            <w:vAlign w:val="center"/>
          </w:tcPr>
          <w:p w14:paraId="7A878648" w14:textId="77777777" w:rsidR="000D38C2" w:rsidRPr="00480790" w:rsidRDefault="000D38C2">
            <w:pPr>
              <w:keepLines/>
              <w:jc w:val="center"/>
              <w:rPr>
                <w:rFonts w:ascii="Arial Narrow" w:hAnsi="Arial Narrow"/>
                <w:b/>
                <w:bCs/>
                <w:sz w:val="20"/>
                <w:szCs w:val="20"/>
              </w:rPr>
            </w:pPr>
            <w:r w:rsidRPr="00480790">
              <w:rPr>
                <w:rFonts w:ascii="Arial Narrow" w:hAnsi="Arial Narrow"/>
                <w:b/>
                <w:bCs/>
                <w:sz w:val="20"/>
                <w:szCs w:val="20"/>
              </w:rPr>
              <w:t>№.of</w:t>
            </w:r>
          </w:p>
          <w:p w14:paraId="3C376122" w14:textId="77777777" w:rsidR="000D38C2" w:rsidRPr="00480790" w:rsidRDefault="000D38C2">
            <w:pPr>
              <w:keepLines/>
              <w:jc w:val="center"/>
              <w:rPr>
                <w:rFonts w:ascii="Arial Narrow" w:hAnsi="Arial Narrow"/>
                <w:b/>
                <w:bCs/>
                <w:sz w:val="20"/>
                <w:szCs w:val="20"/>
              </w:rPr>
            </w:pPr>
            <w:r w:rsidRPr="00480790">
              <w:rPr>
                <w:rFonts w:ascii="Arial Narrow" w:hAnsi="Arial Narrow"/>
                <w:b/>
                <w:bCs/>
                <w:sz w:val="20"/>
                <w:szCs w:val="20"/>
              </w:rPr>
              <w:t>Rpts</w:t>
            </w:r>
          </w:p>
        </w:tc>
        <w:tc>
          <w:tcPr>
            <w:tcW w:w="1831" w:type="dxa"/>
            <w:vAlign w:val="center"/>
          </w:tcPr>
          <w:p w14:paraId="33961B43" w14:textId="77777777" w:rsidR="000D38C2" w:rsidRPr="00480790" w:rsidRDefault="000D38C2">
            <w:pPr>
              <w:keepLines/>
              <w:rPr>
                <w:rFonts w:ascii="Arial Narrow" w:hAnsi="Arial Narrow"/>
                <w:b/>
                <w:sz w:val="20"/>
                <w:szCs w:val="20"/>
              </w:rPr>
            </w:pPr>
            <w:r w:rsidRPr="00480790">
              <w:rPr>
                <w:rFonts w:ascii="Arial Narrow" w:hAnsi="Arial Narrow"/>
                <w:b/>
                <w:sz w:val="20"/>
                <w:szCs w:val="20"/>
              </w:rPr>
              <w:t>Available brands</w:t>
            </w:r>
          </w:p>
        </w:tc>
      </w:tr>
      <w:tr w:rsidR="00AB01EA" w:rsidRPr="00480790" w14:paraId="7112199E" w14:textId="77777777" w:rsidTr="00B71978">
        <w:trPr>
          <w:cantSplit/>
          <w:trHeight w:val="20"/>
        </w:trPr>
        <w:tc>
          <w:tcPr>
            <w:tcW w:w="9017" w:type="dxa"/>
            <w:gridSpan w:val="8"/>
            <w:vAlign w:val="center"/>
          </w:tcPr>
          <w:p w14:paraId="4CFBC06E" w14:textId="77777777" w:rsidR="000D38C2" w:rsidRPr="00480790" w:rsidRDefault="000D38C2">
            <w:pPr>
              <w:keepLines/>
              <w:rPr>
                <w:rFonts w:ascii="Arial Narrow" w:hAnsi="Arial Narrow"/>
                <w:sz w:val="20"/>
                <w:szCs w:val="20"/>
              </w:rPr>
            </w:pPr>
            <w:r w:rsidRPr="00480790">
              <w:rPr>
                <w:rFonts w:ascii="Arial Narrow" w:hAnsi="Arial Narrow"/>
                <w:sz w:val="20"/>
                <w:szCs w:val="20"/>
              </w:rPr>
              <w:t>ALECTINIB</w:t>
            </w:r>
          </w:p>
        </w:tc>
      </w:tr>
      <w:tr w:rsidR="00AB01EA" w:rsidRPr="00480790" w14:paraId="2D2BF035" w14:textId="77777777" w:rsidTr="00B71978">
        <w:trPr>
          <w:cantSplit/>
          <w:trHeight w:val="20"/>
        </w:trPr>
        <w:tc>
          <w:tcPr>
            <w:tcW w:w="3398" w:type="dxa"/>
            <w:gridSpan w:val="3"/>
            <w:vAlign w:val="center"/>
          </w:tcPr>
          <w:p w14:paraId="5E6DC48C" w14:textId="77777777" w:rsidR="000D38C2" w:rsidRPr="00480790" w:rsidRDefault="000D38C2">
            <w:pPr>
              <w:keepLines/>
              <w:rPr>
                <w:rFonts w:ascii="Arial Narrow" w:hAnsi="Arial Narrow"/>
                <w:sz w:val="20"/>
                <w:szCs w:val="20"/>
              </w:rPr>
            </w:pPr>
            <w:r w:rsidRPr="00480790">
              <w:rPr>
                <w:rFonts w:ascii="Arial Narrow" w:hAnsi="Arial Narrow"/>
                <w:sz w:val="20"/>
                <w:szCs w:val="20"/>
              </w:rPr>
              <w:t>alectinib 150 mg capsule, 4 x 56</w:t>
            </w:r>
          </w:p>
        </w:tc>
        <w:tc>
          <w:tcPr>
            <w:tcW w:w="993" w:type="dxa"/>
            <w:vAlign w:val="center"/>
          </w:tcPr>
          <w:p w14:paraId="341A1C55" w14:textId="77777777" w:rsidR="000D38C2" w:rsidRPr="00480790" w:rsidRDefault="000D38C2">
            <w:pPr>
              <w:keepLines/>
              <w:jc w:val="center"/>
              <w:rPr>
                <w:rFonts w:ascii="Arial Narrow" w:hAnsi="Arial Narrow"/>
                <w:sz w:val="20"/>
                <w:szCs w:val="20"/>
              </w:rPr>
            </w:pPr>
            <w:r w:rsidRPr="00480790">
              <w:rPr>
                <w:rFonts w:ascii="Arial Narrow" w:hAnsi="Arial Narrow"/>
                <w:sz w:val="20"/>
                <w:szCs w:val="20"/>
              </w:rPr>
              <w:t>11226W</w:t>
            </w:r>
          </w:p>
        </w:tc>
        <w:tc>
          <w:tcPr>
            <w:tcW w:w="992" w:type="dxa"/>
            <w:vAlign w:val="center"/>
          </w:tcPr>
          <w:p w14:paraId="68BDAAD0" w14:textId="77777777" w:rsidR="000D38C2" w:rsidRPr="00480790" w:rsidRDefault="000D38C2">
            <w:pPr>
              <w:keepLines/>
              <w:jc w:val="center"/>
              <w:rPr>
                <w:rFonts w:ascii="Arial Narrow" w:hAnsi="Arial Narrow"/>
                <w:sz w:val="20"/>
                <w:szCs w:val="20"/>
              </w:rPr>
            </w:pPr>
            <w:r w:rsidRPr="00480790">
              <w:rPr>
                <w:rFonts w:ascii="Arial Narrow" w:hAnsi="Arial Narrow"/>
                <w:sz w:val="20"/>
                <w:szCs w:val="20"/>
              </w:rPr>
              <w:t>1</w:t>
            </w:r>
          </w:p>
        </w:tc>
        <w:tc>
          <w:tcPr>
            <w:tcW w:w="991" w:type="dxa"/>
            <w:vAlign w:val="center"/>
          </w:tcPr>
          <w:p w14:paraId="4F4EE7C5" w14:textId="77777777" w:rsidR="000D38C2" w:rsidRPr="00480790" w:rsidRDefault="000D38C2">
            <w:pPr>
              <w:keepLines/>
              <w:jc w:val="center"/>
              <w:rPr>
                <w:rFonts w:ascii="Arial Narrow" w:hAnsi="Arial Narrow"/>
                <w:sz w:val="20"/>
                <w:szCs w:val="20"/>
              </w:rPr>
            </w:pPr>
            <w:r w:rsidRPr="00480790">
              <w:rPr>
                <w:rFonts w:ascii="Arial Narrow" w:hAnsi="Arial Narrow"/>
                <w:sz w:val="20"/>
                <w:szCs w:val="20"/>
              </w:rPr>
              <w:t>224</w:t>
            </w:r>
          </w:p>
        </w:tc>
        <w:tc>
          <w:tcPr>
            <w:tcW w:w="812" w:type="dxa"/>
            <w:vAlign w:val="center"/>
          </w:tcPr>
          <w:p w14:paraId="211E5439" w14:textId="77777777" w:rsidR="000D38C2" w:rsidRPr="00480790" w:rsidRDefault="000D38C2">
            <w:pPr>
              <w:keepLines/>
              <w:jc w:val="center"/>
              <w:rPr>
                <w:rFonts w:ascii="Arial Narrow" w:hAnsi="Arial Narrow"/>
                <w:sz w:val="20"/>
                <w:szCs w:val="20"/>
              </w:rPr>
            </w:pPr>
            <w:r w:rsidRPr="00480790">
              <w:rPr>
                <w:rFonts w:ascii="Arial Narrow" w:hAnsi="Arial Narrow"/>
                <w:sz w:val="20"/>
                <w:szCs w:val="20"/>
              </w:rPr>
              <w:t>3</w:t>
            </w:r>
          </w:p>
        </w:tc>
        <w:tc>
          <w:tcPr>
            <w:tcW w:w="1831" w:type="dxa"/>
            <w:vAlign w:val="center"/>
          </w:tcPr>
          <w:p w14:paraId="2391D883" w14:textId="77777777" w:rsidR="000D38C2" w:rsidRPr="00480790" w:rsidRDefault="000D38C2">
            <w:pPr>
              <w:keepLines/>
              <w:rPr>
                <w:rFonts w:ascii="Arial Narrow" w:hAnsi="Arial Narrow"/>
                <w:sz w:val="20"/>
                <w:szCs w:val="20"/>
              </w:rPr>
            </w:pPr>
            <w:r w:rsidRPr="00480790">
              <w:rPr>
                <w:rFonts w:ascii="Arial Narrow" w:hAnsi="Arial Narrow"/>
                <w:sz w:val="20"/>
                <w:szCs w:val="20"/>
              </w:rPr>
              <w:t xml:space="preserve">Alecensa </w:t>
            </w:r>
          </w:p>
        </w:tc>
      </w:tr>
      <w:tr w:rsidR="00AB01EA" w:rsidRPr="00480790" w14:paraId="7F4D1AF0" w14:textId="77777777" w:rsidTr="00B71978">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09AAFA33" w14:textId="77777777" w:rsidR="000D38C2" w:rsidRPr="00480790" w:rsidRDefault="000D38C2">
            <w:pPr>
              <w:rPr>
                <w:rFonts w:ascii="Arial Narrow" w:hAnsi="Arial Narrow"/>
                <w:sz w:val="20"/>
                <w:szCs w:val="20"/>
              </w:rPr>
            </w:pPr>
          </w:p>
        </w:tc>
      </w:tr>
      <w:tr w:rsidR="00AB01EA" w:rsidRPr="00480790" w14:paraId="2F6ABCBC" w14:textId="77777777" w:rsidTr="00B71978">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4C0F7407" w14:textId="71DFC233" w:rsidR="000D38C2" w:rsidRPr="00480790" w:rsidRDefault="000D38C2">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7E320B7" w14:textId="77777777" w:rsidR="000D38C2" w:rsidRPr="00480790" w:rsidRDefault="000D38C2">
            <w:pPr>
              <w:keepLines/>
              <w:rPr>
                <w:rFonts w:ascii="Arial Narrow" w:hAnsi="Arial Narrow"/>
                <w:sz w:val="20"/>
                <w:szCs w:val="20"/>
              </w:rPr>
            </w:pPr>
            <w:r w:rsidRPr="00480790">
              <w:rPr>
                <w:rFonts w:ascii="Arial Narrow" w:hAnsi="Arial Narrow"/>
                <w:b/>
                <w:sz w:val="20"/>
                <w:szCs w:val="20"/>
              </w:rPr>
              <w:t>Category / Program:</w:t>
            </w:r>
            <w:r w:rsidRPr="00480790">
              <w:rPr>
                <w:rFonts w:ascii="Arial Narrow" w:hAnsi="Arial Narrow"/>
                <w:sz w:val="20"/>
                <w:szCs w:val="20"/>
              </w:rPr>
              <w:t xml:space="preserve"> </w:t>
            </w:r>
            <w:r w:rsidRPr="00480790">
              <w:rPr>
                <w:rFonts w:ascii="Arial Narrow" w:eastAsia="Calibri" w:hAnsi="Arial Narrow"/>
                <w:sz w:val="20"/>
                <w:szCs w:val="20"/>
              </w:rPr>
              <w:fldChar w:fldCharType="begin">
                <w:ffData>
                  <w:name w:val="Check1"/>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 xml:space="preserve"> GENERAL - General Schedule (Code GE) </w:t>
            </w:r>
          </w:p>
        </w:tc>
      </w:tr>
      <w:tr w:rsidR="00AB01EA" w:rsidRPr="00480790" w14:paraId="4E57EAAA" w14:textId="77777777" w:rsidTr="00B71978">
        <w:tblPrEx>
          <w:tblCellMar>
            <w:top w:w="15" w:type="dxa"/>
            <w:bottom w:w="15" w:type="dxa"/>
          </w:tblCellMar>
          <w:tblLook w:val="04A0" w:firstRow="1" w:lastRow="0" w:firstColumn="1" w:lastColumn="0" w:noHBand="0" w:noVBand="1"/>
        </w:tblPrEx>
        <w:trPr>
          <w:trHeight w:val="20"/>
        </w:trPr>
        <w:tc>
          <w:tcPr>
            <w:tcW w:w="1272" w:type="dxa"/>
            <w:gridSpan w:val="2"/>
            <w:vMerge/>
          </w:tcPr>
          <w:p w14:paraId="2CD7513D" w14:textId="77777777" w:rsidR="000D38C2" w:rsidRPr="00480790" w:rsidRDefault="000D38C2">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B545BF0" w14:textId="77777777" w:rsidR="000D38C2" w:rsidRPr="00480790" w:rsidRDefault="000D38C2">
            <w:pPr>
              <w:keepLines/>
              <w:rPr>
                <w:rFonts w:ascii="Arial Narrow" w:hAnsi="Arial Narrow"/>
                <w:b/>
                <w:sz w:val="20"/>
                <w:szCs w:val="20"/>
              </w:rPr>
            </w:pPr>
            <w:r w:rsidRPr="00480790">
              <w:rPr>
                <w:rFonts w:ascii="Arial Narrow" w:hAnsi="Arial Narrow"/>
                <w:b/>
                <w:sz w:val="20"/>
                <w:szCs w:val="20"/>
              </w:rPr>
              <w:t xml:space="preserve">Prescriber type: </w:t>
            </w:r>
            <w:r w:rsidRPr="00480790">
              <w:rPr>
                <w:rFonts w:ascii="Arial Narrow" w:hAnsi="Arial Narrow"/>
                <w:sz w:val="20"/>
                <w:szCs w:val="20"/>
              </w:rPr>
              <w:t xml:space="preserve"> </w:t>
            </w:r>
            <w:r w:rsidRPr="00480790">
              <w:rPr>
                <w:rFonts w:ascii="Arial Narrow" w:hAnsi="Arial Narrow"/>
                <w:sz w:val="20"/>
                <w:szCs w:val="20"/>
              </w:rPr>
              <w:fldChar w:fldCharType="begin">
                <w:ffData>
                  <w:name w:val=""/>
                  <w:enabled/>
                  <w:calcOnExit w:val="0"/>
                  <w:checkBox>
                    <w:sizeAuto/>
                    <w:default w:val="1"/>
                  </w:checkBox>
                </w:ffData>
              </w:fldChar>
            </w:r>
            <w:r w:rsidRPr="00480790">
              <w:rPr>
                <w:rFonts w:ascii="Arial Narrow" w:hAnsi="Arial Narrow"/>
                <w:sz w:val="20"/>
                <w:szCs w:val="20"/>
              </w:rPr>
              <w:instrText xml:space="preserve"> FORMCHECKBOX </w:instrText>
            </w:r>
            <w:r w:rsidRPr="00480790">
              <w:rPr>
                <w:rFonts w:ascii="Arial Narrow" w:hAnsi="Arial Narrow"/>
                <w:sz w:val="20"/>
                <w:szCs w:val="20"/>
              </w:rPr>
            </w:r>
            <w:r w:rsidRPr="00480790">
              <w:rPr>
                <w:rFonts w:ascii="Arial Narrow" w:hAnsi="Arial Narrow"/>
                <w:sz w:val="20"/>
                <w:szCs w:val="20"/>
              </w:rPr>
              <w:fldChar w:fldCharType="separate"/>
            </w:r>
            <w:r w:rsidRPr="00480790">
              <w:rPr>
                <w:rFonts w:ascii="Arial Narrow" w:hAnsi="Arial Narrow"/>
                <w:sz w:val="20"/>
                <w:szCs w:val="20"/>
              </w:rPr>
              <w:fldChar w:fldCharType="end"/>
            </w:r>
            <w:r w:rsidRPr="00480790">
              <w:rPr>
                <w:rFonts w:ascii="Arial Narrow" w:hAnsi="Arial Narrow"/>
                <w:sz w:val="20"/>
                <w:szCs w:val="20"/>
              </w:rPr>
              <w:t xml:space="preserve">Medical Practitioners </w:t>
            </w:r>
          </w:p>
        </w:tc>
      </w:tr>
      <w:tr w:rsidR="00AB01EA" w:rsidRPr="00480790" w14:paraId="21B69C34" w14:textId="77777777" w:rsidTr="00B71978">
        <w:tblPrEx>
          <w:tblCellMar>
            <w:top w:w="15" w:type="dxa"/>
            <w:bottom w:w="15" w:type="dxa"/>
          </w:tblCellMar>
          <w:tblLook w:val="04A0" w:firstRow="1" w:lastRow="0" w:firstColumn="1" w:lastColumn="0" w:noHBand="0" w:noVBand="1"/>
        </w:tblPrEx>
        <w:trPr>
          <w:trHeight w:val="20"/>
        </w:trPr>
        <w:tc>
          <w:tcPr>
            <w:tcW w:w="488" w:type="dxa"/>
            <w:vMerge w:val="restart"/>
            <w:tcBorders>
              <w:left w:val="single" w:sz="4" w:space="0" w:color="auto"/>
              <w:right w:val="single" w:sz="4" w:space="0" w:color="auto"/>
            </w:tcBorders>
            <w:textDirection w:val="btLr"/>
            <w:vAlign w:val="center"/>
          </w:tcPr>
          <w:p w14:paraId="1DD26BDA" w14:textId="302A1CEF" w:rsidR="000D38C2" w:rsidRPr="00480790" w:rsidRDefault="000D38C2">
            <w:pPr>
              <w:jc w:val="center"/>
              <w:rPr>
                <w:rFonts w:ascii="Arial Narrow" w:hAnsi="Arial Narrow"/>
                <w:sz w:val="20"/>
                <w:szCs w:val="20"/>
              </w:rPr>
            </w:pPr>
          </w:p>
        </w:tc>
        <w:tc>
          <w:tcPr>
            <w:tcW w:w="784" w:type="dxa"/>
            <w:vAlign w:val="center"/>
          </w:tcPr>
          <w:p w14:paraId="2C8059D8" w14:textId="5AA4C0C8" w:rsidR="000D38C2" w:rsidRPr="00480790" w:rsidRDefault="000D38C2">
            <w:pPr>
              <w:jc w:val="center"/>
              <w:rPr>
                <w:rFonts w:ascii="Arial Narrow" w:hAnsi="Arial Narrow"/>
                <w:sz w:val="20"/>
                <w:szCs w:val="20"/>
              </w:rPr>
            </w:pPr>
          </w:p>
        </w:tc>
        <w:tc>
          <w:tcPr>
            <w:tcW w:w="7745" w:type="dxa"/>
            <w:gridSpan w:val="6"/>
            <w:vAlign w:val="center"/>
          </w:tcPr>
          <w:p w14:paraId="53039087" w14:textId="77777777" w:rsidR="000D38C2" w:rsidRPr="00480790" w:rsidRDefault="000D38C2">
            <w:pPr>
              <w:keepLines/>
              <w:rPr>
                <w:rFonts w:ascii="Arial Narrow" w:hAnsi="Arial Narrow"/>
                <w:b/>
                <w:bCs/>
                <w:sz w:val="20"/>
                <w:szCs w:val="20"/>
              </w:rPr>
            </w:pPr>
            <w:r w:rsidRPr="00480790">
              <w:rPr>
                <w:rFonts w:ascii="Arial Narrow" w:hAnsi="Arial Narrow"/>
                <w:b/>
                <w:bCs/>
                <w:sz w:val="20"/>
                <w:szCs w:val="20"/>
              </w:rPr>
              <w:t>Administration advice:</w:t>
            </w:r>
          </w:p>
          <w:p w14:paraId="4ACC7BCF" w14:textId="77777777" w:rsidR="000D38C2" w:rsidRPr="00480790" w:rsidRDefault="000D38C2">
            <w:pPr>
              <w:rPr>
                <w:rFonts w:ascii="Arial Narrow" w:hAnsi="Arial Narrow"/>
                <w:sz w:val="20"/>
                <w:szCs w:val="20"/>
              </w:rPr>
            </w:pPr>
            <w:r w:rsidRPr="00480790">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AB01EA" w:rsidRPr="00480790" w14:paraId="34890B58" w14:textId="77777777" w:rsidTr="00B71978">
        <w:tblPrEx>
          <w:tblCellMar>
            <w:top w:w="15" w:type="dxa"/>
            <w:bottom w:w="15" w:type="dxa"/>
          </w:tblCellMar>
          <w:tblLook w:val="04A0" w:firstRow="1" w:lastRow="0" w:firstColumn="1" w:lastColumn="0" w:noHBand="0" w:noVBand="1"/>
        </w:tblPrEx>
        <w:trPr>
          <w:trHeight w:val="20"/>
        </w:trPr>
        <w:tc>
          <w:tcPr>
            <w:tcW w:w="488" w:type="dxa"/>
            <w:vMerge/>
          </w:tcPr>
          <w:p w14:paraId="75932EDC" w14:textId="77777777" w:rsidR="000D38C2" w:rsidRPr="00480790" w:rsidRDefault="000D38C2">
            <w:pPr>
              <w:rPr>
                <w:rFonts w:ascii="Arial Narrow" w:hAnsi="Arial Narrow"/>
                <w:sz w:val="20"/>
                <w:szCs w:val="20"/>
              </w:rPr>
            </w:pPr>
          </w:p>
        </w:tc>
        <w:tc>
          <w:tcPr>
            <w:tcW w:w="784" w:type="dxa"/>
            <w:vAlign w:val="center"/>
          </w:tcPr>
          <w:p w14:paraId="2A79A210" w14:textId="7D84AF30" w:rsidR="000D38C2" w:rsidRPr="00480790" w:rsidRDefault="000D38C2">
            <w:pPr>
              <w:jc w:val="center"/>
              <w:rPr>
                <w:rFonts w:ascii="Arial Narrow" w:hAnsi="Arial Narrow"/>
                <w:sz w:val="20"/>
                <w:szCs w:val="20"/>
              </w:rPr>
            </w:pPr>
          </w:p>
        </w:tc>
        <w:tc>
          <w:tcPr>
            <w:tcW w:w="7745" w:type="dxa"/>
            <w:gridSpan w:val="6"/>
            <w:vAlign w:val="center"/>
          </w:tcPr>
          <w:p w14:paraId="174B0845" w14:textId="77777777" w:rsidR="000D38C2" w:rsidRPr="00480790" w:rsidRDefault="000D38C2">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quantity or number of units may be authorised.</w:t>
            </w:r>
          </w:p>
        </w:tc>
      </w:tr>
      <w:tr w:rsidR="00AB01EA" w:rsidRPr="00480790" w14:paraId="4E8EB664" w14:textId="77777777" w:rsidTr="00B71978">
        <w:tblPrEx>
          <w:tblCellMar>
            <w:top w:w="15" w:type="dxa"/>
            <w:bottom w:w="15" w:type="dxa"/>
          </w:tblCellMar>
          <w:tblLook w:val="04A0" w:firstRow="1" w:lastRow="0" w:firstColumn="1" w:lastColumn="0" w:noHBand="0" w:noVBand="1"/>
        </w:tblPrEx>
        <w:trPr>
          <w:trHeight w:val="20"/>
        </w:trPr>
        <w:tc>
          <w:tcPr>
            <w:tcW w:w="488" w:type="dxa"/>
            <w:vMerge/>
          </w:tcPr>
          <w:p w14:paraId="0885055D" w14:textId="77777777" w:rsidR="000D38C2" w:rsidRPr="00480790" w:rsidRDefault="000D38C2">
            <w:pPr>
              <w:rPr>
                <w:rFonts w:ascii="Arial Narrow" w:hAnsi="Arial Narrow"/>
                <w:sz w:val="20"/>
                <w:szCs w:val="20"/>
              </w:rPr>
            </w:pPr>
          </w:p>
        </w:tc>
        <w:tc>
          <w:tcPr>
            <w:tcW w:w="784" w:type="dxa"/>
            <w:vAlign w:val="center"/>
          </w:tcPr>
          <w:p w14:paraId="722B84D1" w14:textId="6641D246" w:rsidR="000D38C2" w:rsidRPr="00480790" w:rsidRDefault="000D38C2">
            <w:pPr>
              <w:jc w:val="center"/>
              <w:rPr>
                <w:rFonts w:ascii="Arial Narrow" w:hAnsi="Arial Narrow"/>
                <w:sz w:val="20"/>
                <w:szCs w:val="20"/>
              </w:rPr>
            </w:pPr>
          </w:p>
        </w:tc>
        <w:tc>
          <w:tcPr>
            <w:tcW w:w="7745" w:type="dxa"/>
            <w:gridSpan w:val="6"/>
            <w:vAlign w:val="center"/>
          </w:tcPr>
          <w:p w14:paraId="0A93436F" w14:textId="77777777" w:rsidR="000D38C2" w:rsidRPr="00480790" w:rsidRDefault="000D38C2">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number of repeats may be authorised.</w:t>
            </w:r>
          </w:p>
        </w:tc>
      </w:tr>
      <w:tr w:rsidR="00AB01EA" w:rsidRPr="00480790" w14:paraId="32E18C4B" w14:textId="77777777" w:rsidTr="00B71978">
        <w:tblPrEx>
          <w:tblCellMar>
            <w:top w:w="15" w:type="dxa"/>
            <w:bottom w:w="15" w:type="dxa"/>
          </w:tblCellMar>
          <w:tblLook w:val="04A0" w:firstRow="1" w:lastRow="0" w:firstColumn="1" w:lastColumn="0" w:noHBand="0" w:noVBand="1"/>
        </w:tblPrEx>
        <w:trPr>
          <w:trHeight w:val="20"/>
        </w:trPr>
        <w:tc>
          <w:tcPr>
            <w:tcW w:w="488" w:type="dxa"/>
            <w:vMerge/>
          </w:tcPr>
          <w:p w14:paraId="53F7F597" w14:textId="77777777" w:rsidR="000D38C2" w:rsidRPr="00480790" w:rsidRDefault="000D38C2">
            <w:pPr>
              <w:rPr>
                <w:rFonts w:ascii="Arial Narrow" w:hAnsi="Arial Narrow"/>
                <w:sz w:val="20"/>
                <w:szCs w:val="20"/>
              </w:rPr>
            </w:pPr>
          </w:p>
        </w:tc>
        <w:tc>
          <w:tcPr>
            <w:tcW w:w="784" w:type="dxa"/>
            <w:vAlign w:val="center"/>
          </w:tcPr>
          <w:p w14:paraId="6A9584D5" w14:textId="062CC1CB" w:rsidR="000D38C2" w:rsidRPr="00480790" w:rsidRDefault="000D38C2">
            <w:pPr>
              <w:jc w:val="center"/>
              <w:rPr>
                <w:rFonts w:ascii="Arial Narrow" w:hAnsi="Arial Narrow"/>
                <w:sz w:val="20"/>
                <w:szCs w:val="20"/>
              </w:rPr>
            </w:pPr>
          </w:p>
        </w:tc>
        <w:tc>
          <w:tcPr>
            <w:tcW w:w="7745" w:type="dxa"/>
            <w:gridSpan w:val="6"/>
            <w:vAlign w:val="center"/>
          </w:tcPr>
          <w:p w14:paraId="0515DD90" w14:textId="77777777" w:rsidR="000D38C2" w:rsidRPr="00480790" w:rsidRDefault="000D38C2">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Special Pricing Arrangements apply.</w:t>
            </w:r>
          </w:p>
        </w:tc>
      </w:tr>
      <w:tr w:rsidR="00AB01EA" w:rsidRPr="00480790" w14:paraId="164E1362" w14:textId="77777777" w:rsidTr="00B71978">
        <w:tblPrEx>
          <w:tblCellMar>
            <w:top w:w="15" w:type="dxa"/>
            <w:bottom w:w="15" w:type="dxa"/>
          </w:tblCellMar>
          <w:tblLook w:val="04A0" w:firstRow="1" w:lastRow="0" w:firstColumn="1" w:lastColumn="0" w:noHBand="0" w:noVBand="1"/>
        </w:tblPrEx>
        <w:trPr>
          <w:trHeight w:val="182"/>
        </w:trPr>
        <w:tc>
          <w:tcPr>
            <w:tcW w:w="1272" w:type="dxa"/>
            <w:gridSpan w:val="2"/>
            <w:tcBorders>
              <w:left w:val="single" w:sz="4" w:space="0" w:color="auto"/>
              <w:right w:val="single" w:sz="4" w:space="0" w:color="auto"/>
            </w:tcBorders>
          </w:tcPr>
          <w:p w14:paraId="11CFEED1" w14:textId="77777777" w:rsidR="000D38C2" w:rsidRPr="00480790" w:rsidRDefault="000D38C2">
            <w:pPr>
              <w:rPr>
                <w:rFonts w:ascii="Arial Narrow" w:hAnsi="Arial Narrow"/>
                <w:sz w:val="20"/>
                <w:szCs w:val="20"/>
              </w:rPr>
            </w:pPr>
          </w:p>
        </w:tc>
        <w:tc>
          <w:tcPr>
            <w:tcW w:w="7745" w:type="dxa"/>
            <w:gridSpan w:val="6"/>
            <w:tcBorders>
              <w:top w:val="single" w:sz="4" w:space="0" w:color="auto"/>
              <w:left w:val="single" w:sz="4" w:space="0" w:color="auto"/>
              <w:right w:val="single" w:sz="4" w:space="0" w:color="auto"/>
            </w:tcBorders>
            <w:vAlign w:val="center"/>
          </w:tcPr>
          <w:p w14:paraId="71098C08" w14:textId="77777777" w:rsidR="000D38C2" w:rsidRPr="00480790" w:rsidRDefault="000D38C2">
            <w:pPr>
              <w:keepLines/>
              <w:rPr>
                <w:rFonts w:ascii="Arial Narrow" w:eastAsia="Calibri" w:hAnsi="Arial Narrow"/>
                <w:sz w:val="20"/>
                <w:szCs w:val="20"/>
              </w:rPr>
            </w:pPr>
            <w:r w:rsidRPr="00480790">
              <w:rPr>
                <w:rFonts w:ascii="Arial Narrow" w:hAnsi="Arial Narrow"/>
                <w:b/>
                <w:sz w:val="20"/>
                <w:szCs w:val="20"/>
              </w:rPr>
              <w:t xml:space="preserve">Restriction type: </w:t>
            </w:r>
            <w:r w:rsidRPr="00480790">
              <w:rPr>
                <w:rFonts w:ascii="Arial Narrow" w:eastAsia="Calibri" w:hAnsi="Arial Narrow"/>
                <w:sz w:val="20"/>
                <w:szCs w:val="20"/>
              </w:rPr>
              <w:fldChar w:fldCharType="begin">
                <w:ffData>
                  <w:name w:val="Check3"/>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Authority Required (immediate assessment) - Telephone/Online PBS Authorities</w:t>
            </w:r>
          </w:p>
        </w:tc>
      </w:tr>
      <w:tr w:rsidR="00A35F1C" w:rsidRPr="00480790" w14:paraId="4F84223C" w14:textId="77777777" w:rsidTr="00B71978">
        <w:tblPrEx>
          <w:tblCellMar>
            <w:top w:w="15" w:type="dxa"/>
            <w:bottom w:w="15" w:type="dxa"/>
          </w:tblCellMar>
          <w:tblLook w:val="04A0" w:firstRow="1" w:lastRow="0" w:firstColumn="1" w:lastColumn="0" w:noHBand="0" w:noVBand="1"/>
        </w:tblPrEx>
        <w:trPr>
          <w:trHeight w:val="182"/>
        </w:trPr>
        <w:tc>
          <w:tcPr>
            <w:tcW w:w="9017" w:type="dxa"/>
            <w:gridSpan w:val="8"/>
            <w:tcBorders>
              <w:left w:val="single" w:sz="4" w:space="0" w:color="auto"/>
              <w:right w:val="single" w:sz="4" w:space="0" w:color="auto"/>
            </w:tcBorders>
          </w:tcPr>
          <w:p w14:paraId="406A77D6" w14:textId="77777777" w:rsidR="00A35F1C" w:rsidRPr="00480790" w:rsidRDefault="00A35F1C">
            <w:pPr>
              <w:keepLines/>
              <w:rPr>
                <w:rFonts w:ascii="Arial Narrow" w:hAnsi="Arial Narrow"/>
                <w:b/>
                <w:sz w:val="20"/>
                <w:szCs w:val="20"/>
              </w:rPr>
            </w:pPr>
          </w:p>
        </w:tc>
      </w:tr>
      <w:tr w:rsidR="00AB01EA" w:rsidRPr="00480790" w14:paraId="59D7A9A0" w14:textId="77777777" w:rsidTr="00B71978">
        <w:tblPrEx>
          <w:tblCellMar>
            <w:top w:w="15" w:type="dxa"/>
            <w:bottom w:w="15" w:type="dxa"/>
          </w:tblCellMar>
          <w:tblLook w:val="04A0" w:firstRow="1" w:lastRow="0" w:firstColumn="1" w:lastColumn="0" w:noHBand="0" w:noVBand="1"/>
        </w:tblPrEx>
        <w:trPr>
          <w:trHeight w:val="182"/>
        </w:trPr>
        <w:tc>
          <w:tcPr>
            <w:tcW w:w="9017" w:type="dxa"/>
            <w:gridSpan w:val="8"/>
            <w:tcBorders>
              <w:left w:val="single" w:sz="4" w:space="0" w:color="auto"/>
              <w:right w:val="single" w:sz="4" w:space="0" w:color="auto"/>
            </w:tcBorders>
          </w:tcPr>
          <w:p w14:paraId="4C4A4F79" w14:textId="40C9A199" w:rsidR="000D38C2" w:rsidRPr="00480790" w:rsidRDefault="000D38C2">
            <w:pPr>
              <w:keepLines/>
              <w:rPr>
                <w:rFonts w:ascii="Arial Narrow" w:hAnsi="Arial Narrow"/>
                <w:b/>
                <w:sz w:val="20"/>
                <w:szCs w:val="20"/>
              </w:rPr>
            </w:pPr>
            <w:r w:rsidRPr="00480790">
              <w:rPr>
                <w:rFonts w:ascii="Arial Narrow" w:hAnsi="Arial Narrow"/>
                <w:b/>
                <w:sz w:val="20"/>
                <w:szCs w:val="20"/>
              </w:rPr>
              <w:t xml:space="preserve">Restriction Summary / Treatment of Concept: </w:t>
            </w:r>
          </w:p>
        </w:tc>
      </w:tr>
      <w:tr w:rsidR="00AB01EA" w:rsidRPr="00480790" w14:paraId="56856798" w14:textId="77777777" w:rsidTr="009E7B7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19342B4" w14:textId="12494207" w:rsidR="000D38C2" w:rsidRPr="00480790" w:rsidRDefault="000D38C2">
            <w:pPr>
              <w:keepLines/>
              <w:jc w:val="center"/>
              <w:rPr>
                <w:rFonts w:ascii="Arial Narrow" w:hAnsi="Arial Narrow"/>
                <w:sz w:val="20"/>
                <w:szCs w:val="20"/>
              </w:rPr>
            </w:pPr>
          </w:p>
        </w:tc>
        <w:tc>
          <w:tcPr>
            <w:tcW w:w="7745" w:type="dxa"/>
            <w:gridSpan w:val="6"/>
            <w:vAlign w:val="center"/>
            <w:hideMark/>
          </w:tcPr>
          <w:p w14:paraId="4972DC97" w14:textId="77777777" w:rsidR="000D38C2" w:rsidRPr="00480790" w:rsidRDefault="000D38C2">
            <w:pPr>
              <w:keepLines/>
              <w:rPr>
                <w:rFonts w:ascii="Arial Narrow" w:hAnsi="Arial Narrow"/>
                <w:sz w:val="20"/>
                <w:szCs w:val="20"/>
              </w:rPr>
            </w:pPr>
            <w:r w:rsidRPr="00480790">
              <w:rPr>
                <w:rFonts w:ascii="Arial Narrow" w:hAnsi="Arial Narrow"/>
                <w:b/>
                <w:bCs/>
                <w:sz w:val="20"/>
                <w:szCs w:val="20"/>
              </w:rPr>
              <w:t>Indication:</w:t>
            </w:r>
            <w:r w:rsidRPr="00480790">
              <w:rPr>
                <w:rFonts w:ascii="Arial Narrow" w:hAnsi="Arial Narrow"/>
                <w:sz w:val="20"/>
                <w:szCs w:val="20"/>
              </w:rPr>
              <w:t xml:space="preserve"> Stage IIIB (locally advanced) or Stage IV (metastatic) non-small cell lung cancer (NSCLC)</w:t>
            </w:r>
          </w:p>
        </w:tc>
      </w:tr>
      <w:tr w:rsidR="00AB01EA" w:rsidRPr="00480790" w14:paraId="634D0F82"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6E40AC8" w14:textId="77777777" w:rsidR="000D38C2" w:rsidRPr="00480790" w:rsidRDefault="000D38C2">
            <w:pPr>
              <w:keepLines/>
              <w:jc w:val="center"/>
              <w:rPr>
                <w:rFonts w:ascii="Arial Narrow" w:hAnsi="Arial Narrow"/>
                <w:sz w:val="20"/>
                <w:szCs w:val="20"/>
              </w:rPr>
            </w:pPr>
          </w:p>
        </w:tc>
        <w:tc>
          <w:tcPr>
            <w:tcW w:w="7745" w:type="dxa"/>
            <w:gridSpan w:val="6"/>
            <w:vAlign w:val="center"/>
          </w:tcPr>
          <w:p w14:paraId="057E8F53" w14:textId="77777777" w:rsidR="000D38C2" w:rsidRPr="00480790" w:rsidRDefault="000D38C2">
            <w:pPr>
              <w:keepLines/>
              <w:rPr>
                <w:rFonts w:ascii="Arial Narrow" w:hAnsi="Arial Narrow"/>
                <w:b/>
                <w:bCs/>
                <w:sz w:val="20"/>
                <w:szCs w:val="20"/>
              </w:rPr>
            </w:pPr>
            <w:r w:rsidRPr="00480790">
              <w:rPr>
                <w:rFonts w:ascii="Arial Narrow" w:hAnsi="Arial Narrow"/>
                <w:b/>
                <w:bCs/>
                <w:sz w:val="20"/>
                <w:szCs w:val="20"/>
              </w:rPr>
              <w:t xml:space="preserve">Treatment Phase: </w:t>
            </w:r>
            <w:r w:rsidRPr="00480790">
              <w:rPr>
                <w:rFonts w:ascii="Arial Narrow" w:hAnsi="Arial Narrow"/>
                <w:sz w:val="20"/>
                <w:szCs w:val="20"/>
              </w:rPr>
              <w:t>Initial treatment</w:t>
            </w:r>
          </w:p>
        </w:tc>
      </w:tr>
      <w:tr w:rsidR="00AB01EA" w:rsidRPr="00480790" w14:paraId="79BDB17B"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E58DC73" w14:textId="77777777" w:rsidR="000D38C2" w:rsidRPr="00480790" w:rsidRDefault="000D38C2">
            <w:pPr>
              <w:keepLines/>
              <w:jc w:val="center"/>
              <w:rPr>
                <w:rFonts w:ascii="Arial Narrow" w:hAnsi="Arial Narrow"/>
                <w:i/>
                <w:iCs/>
                <w:sz w:val="20"/>
                <w:szCs w:val="20"/>
              </w:rPr>
            </w:pPr>
          </w:p>
        </w:tc>
        <w:tc>
          <w:tcPr>
            <w:tcW w:w="7745" w:type="dxa"/>
            <w:gridSpan w:val="6"/>
            <w:vAlign w:val="center"/>
          </w:tcPr>
          <w:p w14:paraId="520DE2AC" w14:textId="77777777" w:rsidR="000D38C2" w:rsidRPr="00480790" w:rsidRDefault="000D38C2">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Clinical criteria:</w:t>
            </w:r>
          </w:p>
        </w:tc>
      </w:tr>
      <w:tr w:rsidR="00AB01EA" w:rsidRPr="00480790" w14:paraId="61AEBF5E"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D4EA315" w14:textId="1F76B90C" w:rsidR="000D38C2" w:rsidRPr="00480790" w:rsidRDefault="000D38C2">
            <w:pPr>
              <w:keepLines/>
              <w:jc w:val="center"/>
              <w:rPr>
                <w:rFonts w:ascii="Arial Narrow" w:hAnsi="Arial Narrow"/>
                <w:i/>
                <w:iCs/>
                <w:sz w:val="20"/>
                <w:szCs w:val="20"/>
              </w:rPr>
            </w:pPr>
          </w:p>
        </w:tc>
        <w:tc>
          <w:tcPr>
            <w:tcW w:w="7745" w:type="dxa"/>
            <w:gridSpan w:val="6"/>
            <w:vAlign w:val="center"/>
          </w:tcPr>
          <w:p w14:paraId="4CD34FF1" w14:textId="1DC817A0" w:rsidR="000D38C2" w:rsidRPr="00480790" w:rsidRDefault="00F80A0F">
            <w:pPr>
              <w:keepLines/>
              <w:rPr>
                <w:rFonts w:ascii="Arial Narrow" w:hAnsi="Arial Narrow"/>
                <w:i/>
                <w:iCs/>
                <w:sz w:val="20"/>
                <w:szCs w:val="20"/>
              </w:rPr>
            </w:pPr>
            <w:r w:rsidRPr="00F80A0F">
              <w:rPr>
                <w:rFonts w:ascii="Arial Narrow" w:hAnsi="Arial Narrow"/>
                <w:i/>
                <w:iCs/>
                <w:sz w:val="20"/>
                <w:szCs w:val="20"/>
              </w:rPr>
              <w:t>Patient must be untreated with an Anaplastic Lymphoma Kinase-Tyrosine Kinase Inhibitor (ALK-TKI) for NSCLC</w:t>
            </w:r>
          </w:p>
        </w:tc>
      </w:tr>
      <w:tr w:rsidR="00AB01EA" w:rsidRPr="00480790" w14:paraId="6F986853"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7F06BCB" w14:textId="77777777" w:rsidR="000D38C2" w:rsidRPr="00480790" w:rsidRDefault="000D38C2">
            <w:pPr>
              <w:keepLines/>
              <w:jc w:val="center"/>
              <w:rPr>
                <w:rFonts w:ascii="Arial Narrow" w:hAnsi="Arial Narrow"/>
                <w:i/>
                <w:iCs/>
                <w:sz w:val="20"/>
                <w:szCs w:val="20"/>
              </w:rPr>
            </w:pPr>
          </w:p>
        </w:tc>
        <w:tc>
          <w:tcPr>
            <w:tcW w:w="7745" w:type="dxa"/>
            <w:gridSpan w:val="6"/>
            <w:vAlign w:val="center"/>
          </w:tcPr>
          <w:p w14:paraId="2D63FAC7" w14:textId="77777777" w:rsidR="000D38C2" w:rsidRPr="00480790" w:rsidRDefault="000D38C2">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AND</w:t>
            </w:r>
          </w:p>
        </w:tc>
      </w:tr>
      <w:tr w:rsidR="00AB01EA" w:rsidRPr="00480790" w14:paraId="74FBF721"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44E735A8" w14:textId="28A5C52C" w:rsidR="000D38C2" w:rsidRPr="00480790" w:rsidRDefault="000D38C2">
            <w:pPr>
              <w:keepLines/>
              <w:jc w:val="center"/>
              <w:rPr>
                <w:rFonts w:ascii="Arial Narrow" w:hAnsi="Arial Narrow"/>
                <w:sz w:val="20"/>
                <w:szCs w:val="20"/>
              </w:rPr>
            </w:pPr>
          </w:p>
        </w:tc>
        <w:tc>
          <w:tcPr>
            <w:tcW w:w="7745" w:type="dxa"/>
            <w:gridSpan w:val="6"/>
          </w:tcPr>
          <w:p w14:paraId="75025175" w14:textId="77777777" w:rsidR="000D38C2" w:rsidRPr="00480790" w:rsidRDefault="000D38C2">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1AF21BF3"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3E59B4BA" w14:textId="361951B9" w:rsidR="000D38C2" w:rsidRPr="00480790" w:rsidRDefault="000D38C2">
            <w:pPr>
              <w:keepLines/>
              <w:jc w:val="center"/>
              <w:rPr>
                <w:rFonts w:ascii="Arial Narrow" w:hAnsi="Arial Narrow"/>
                <w:sz w:val="20"/>
                <w:szCs w:val="20"/>
              </w:rPr>
            </w:pPr>
          </w:p>
        </w:tc>
        <w:tc>
          <w:tcPr>
            <w:tcW w:w="7745" w:type="dxa"/>
            <w:gridSpan w:val="6"/>
          </w:tcPr>
          <w:p w14:paraId="127717A5" w14:textId="77777777" w:rsidR="000D38C2" w:rsidRPr="00480790" w:rsidRDefault="000D38C2">
            <w:pPr>
              <w:keepLines/>
              <w:rPr>
                <w:rFonts w:ascii="Arial Narrow" w:hAnsi="Arial Narrow" w:cs="Open Sans"/>
                <w:strike/>
                <w:sz w:val="20"/>
                <w:szCs w:val="20"/>
              </w:rPr>
            </w:pPr>
            <w:r w:rsidRPr="00480790">
              <w:rPr>
                <w:rFonts w:ascii="Arial Narrow" w:hAnsi="Arial Narrow" w:cs="Open Sans"/>
                <w:strike/>
                <w:sz w:val="20"/>
                <w:szCs w:val="20"/>
              </w:rPr>
              <w:t>The treatment must be as monotherapy</w:t>
            </w:r>
          </w:p>
          <w:p w14:paraId="7DD2CC3C" w14:textId="77777777" w:rsidR="000D38C2" w:rsidRPr="00480790" w:rsidRDefault="000D38C2">
            <w:pPr>
              <w:keepLines/>
              <w:rPr>
                <w:rFonts w:ascii="Arial Narrow" w:hAnsi="Arial Narrow"/>
                <w:i/>
                <w:iCs/>
                <w:sz w:val="20"/>
                <w:szCs w:val="20"/>
              </w:rPr>
            </w:pPr>
            <w:r w:rsidRPr="00480790">
              <w:rPr>
                <w:rFonts w:ascii="Arial Narrow" w:hAnsi="Arial Narrow"/>
                <w:i/>
                <w:iCs/>
                <w:sz w:val="20"/>
                <w:szCs w:val="20"/>
              </w:rPr>
              <w:t>The treatment must be the sole PBS-subsidised systemic anti-cancer therapy for this condition</w:t>
            </w:r>
          </w:p>
        </w:tc>
      </w:tr>
      <w:tr w:rsidR="00AB01EA" w:rsidRPr="00480790" w14:paraId="333E4CC4"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55270062" w14:textId="77777777" w:rsidR="000D38C2" w:rsidRPr="00480790" w:rsidRDefault="000D38C2">
            <w:pPr>
              <w:keepLines/>
              <w:jc w:val="center"/>
              <w:rPr>
                <w:rFonts w:ascii="Arial Narrow" w:hAnsi="Arial Narrow"/>
                <w:sz w:val="20"/>
                <w:szCs w:val="20"/>
              </w:rPr>
            </w:pPr>
          </w:p>
        </w:tc>
        <w:tc>
          <w:tcPr>
            <w:tcW w:w="7745" w:type="dxa"/>
            <w:gridSpan w:val="6"/>
          </w:tcPr>
          <w:p w14:paraId="544697E7" w14:textId="77777777" w:rsidR="000D38C2" w:rsidRPr="00480790" w:rsidRDefault="000D38C2">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4D19593E"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7813B87E" w14:textId="0460EAC5" w:rsidR="000D38C2" w:rsidRPr="00480790" w:rsidRDefault="000D38C2">
            <w:pPr>
              <w:keepLines/>
              <w:jc w:val="center"/>
              <w:rPr>
                <w:rFonts w:ascii="Arial Narrow" w:hAnsi="Arial Narrow"/>
                <w:sz w:val="20"/>
                <w:szCs w:val="20"/>
              </w:rPr>
            </w:pPr>
          </w:p>
        </w:tc>
        <w:tc>
          <w:tcPr>
            <w:tcW w:w="7745" w:type="dxa"/>
            <w:gridSpan w:val="6"/>
          </w:tcPr>
          <w:p w14:paraId="2799A9F1" w14:textId="77777777" w:rsidR="000D38C2" w:rsidRPr="00480790" w:rsidRDefault="000D38C2">
            <w:pPr>
              <w:keepLines/>
              <w:rPr>
                <w:rFonts w:ascii="Arial Narrow" w:hAnsi="Arial Narrow"/>
                <w:b/>
                <w:bCs/>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73C10109"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60817F6E" w14:textId="151B42C3" w:rsidR="000D38C2" w:rsidRPr="00480790" w:rsidRDefault="000D38C2">
            <w:pPr>
              <w:keepLines/>
              <w:jc w:val="center"/>
              <w:rPr>
                <w:rFonts w:ascii="Arial Narrow" w:hAnsi="Arial Narrow"/>
                <w:sz w:val="20"/>
                <w:szCs w:val="20"/>
              </w:rPr>
            </w:pPr>
          </w:p>
        </w:tc>
        <w:tc>
          <w:tcPr>
            <w:tcW w:w="7745" w:type="dxa"/>
            <w:gridSpan w:val="6"/>
          </w:tcPr>
          <w:p w14:paraId="63028BFB" w14:textId="77777777" w:rsidR="000D38C2" w:rsidRPr="00480790" w:rsidRDefault="000D38C2">
            <w:pPr>
              <w:keepLines/>
              <w:rPr>
                <w:rFonts w:ascii="Arial Narrow" w:hAnsi="Arial Narrow"/>
                <w:b/>
                <w:bCs/>
                <w:sz w:val="20"/>
                <w:szCs w:val="20"/>
              </w:rPr>
            </w:pPr>
            <w:r w:rsidRPr="00480790">
              <w:rPr>
                <w:rFonts w:ascii="Arial Narrow" w:hAnsi="Arial Narrow" w:cs="Open Sans"/>
                <w:sz w:val="20"/>
                <w:szCs w:val="20"/>
              </w:rPr>
              <w:t>The condition must be non-squamous type non-small cell lung cancer (NSCLC) or not otherwise specified type NSCLC</w:t>
            </w:r>
          </w:p>
        </w:tc>
      </w:tr>
      <w:tr w:rsidR="00AB01EA" w:rsidRPr="00480790" w14:paraId="4CEDA765"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4E51A2D7" w14:textId="77777777" w:rsidR="000D38C2" w:rsidRPr="00480790" w:rsidRDefault="000D38C2">
            <w:pPr>
              <w:keepLines/>
              <w:jc w:val="center"/>
              <w:rPr>
                <w:rFonts w:ascii="Arial Narrow" w:hAnsi="Arial Narrow"/>
                <w:sz w:val="20"/>
                <w:szCs w:val="20"/>
              </w:rPr>
            </w:pPr>
          </w:p>
        </w:tc>
        <w:tc>
          <w:tcPr>
            <w:tcW w:w="7745" w:type="dxa"/>
            <w:gridSpan w:val="6"/>
          </w:tcPr>
          <w:p w14:paraId="2CE0F397" w14:textId="77777777" w:rsidR="000D38C2" w:rsidRPr="00480790" w:rsidRDefault="000D38C2">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0E391CE9"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543BA8BA" w14:textId="51DCF959" w:rsidR="000D38C2" w:rsidRPr="00480790" w:rsidRDefault="000D38C2">
            <w:pPr>
              <w:keepLines/>
              <w:jc w:val="center"/>
              <w:rPr>
                <w:rFonts w:ascii="Arial Narrow" w:hAnsi="Arial Narrow"/>
                <w:sz w:val="20"/>
                <w:szCs w:val="20"/>
              </w:rPr>
            </w:pPr>
          </w:p>
        </w:tc>
        <w:tc>
          <w:tcPr>
            <w:tcW w:w="7745" w:type="dxa"/>
            <w:gridSpan w:val="6"/>
          </w:tcPr>
          <w:p w14:paraId="0FC4DC03" w14:textId="77777777" w:rsidR="000D38C2" w:rsidRPr="00480790" w:rsidRDefault="000D38C2">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14721C6B"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4016C480" w14:textId="2556A240" w:rsidR="000D38C2" w:rsidRPr="00480790" w:rsidRDefault="000D38C2">
            <w:pPr>
              <w:keepLines/>
              <w:jc w:val="center"/>
              <w:rPr>
                <w:rFonts w:ascii="Arial Narrow" w:hAnsi="Arial Narrow"/>
                <w:sz w:val="20"/>
                <w:szCs w:val="20"/>
              </w:rPr>
            </w:pPr>
          </w:p>
        </w:tc>
        <w:tc>
          <w:tcPr>
            <w:tcW w:w="7745" w:type="dxa"/>
            <w:gridSpan w:val="6"/>
          </w:tcPr>
          <w:p w14:paraId="447D42A2" w14:textId="77777777" w:rsidR="000D38C2" w:rsidRPr="00480790" w:rsidRDefault="000D38C2">
            <w:pPr>
              <w:keepLines/>
              <w:rPr>
                <w:rFonts w:ascii="Arial Narrow" w:hAnsi="Arial Narrow"/>
                <w:sz w:val="20"/>
                <w:szCs w:val="20"/>
              </w:rPr>
            </w:pPr>
            <w:r w:rsidRPr="00480790">
              <w:rPr>
                <w:rFonts w:ascii="Arial Narrow" w:hAnsi="Arial Narrow" w:cs="Open Sans"/>
                <w:sz w:val="20"/>
                <w:szCs w:val="20"/>
              </w:rPr>
              <w:t>Patient must have a WHO performance status of 2 or less</w:t>
            </w:r>
          </w:p>
        </w:tc>
      </w:tr>
      <w:tr w:rsidR="00AB01EA" w:rsidRPr="00480790" w14:paraId="79003DB8"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78B8E6FF" w14:textId="77777777" w:rsidR="000D38C2" w:rsidRPr="00480790" w:rsidRDefault="000D38C2">
            <w:pPr>
              <w:keepLines/>
              <w:jc w:val="center"/>
              <w:rPr>
                <w:rFonts w:ascii="Arial Narrow" w:hAnsi="Arial Narrow"/>
                <w:sz w:val="20"/>
                <w:szCs w:val="20"/>
              </w:rPr>
            </w:pPr>
          </w:p>
        </w:tc>
        <w:tc>
          <w:tcPr>
            <w:tcW w:w="7745" w:type="dxa"/>
            <w:gridSpan w:val="6"/>
          </w:tcPr>
          <w:p w14:paraId="6882B254" w14:textId="77777777" w:rsidR="000D38C2" w:rsidRPr="00480790" w:rsidRDefault="000D38C2">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597F76D3"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194CA9B1" w14:textId="079B3FB4" w:rsidR="000D38C2" w:rsidRPr="00480790" w:rsidRDefault="000D38C2">
            <w:pPr>
              <w:keepLines/>
              <w:jc w:val="center"/>
              <w:rPr>
                <w:rFonts w:ascii="Arial Narrow" w:hAnsi="Arial Narrow"/>
                <w:sz w:val="20"/>
                <w:szCs w:val="20"/>
              </w:rPr>
            </w:pPr>
          </w:p>
        </w:tc>
        <w:tc>
          <w:tcPr>
            <w:tcW w:w="7745" w:type="dxa"/>
            <w:gridSpan w:val="6"/>
          </w:tcPr>
          <w:p w14:paraId="2D16A9DE" w14:textId="77777777" w:rsidR="000D38C2" w:rsidRPr="00480790" w:rsidRDefault="000D38C2">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430A82C6"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09FE59F1" w14:textId="69E796AF" w:rsidR="000D38C2" w:rsidRPr="00480790" w:rsidRDefault="000D38C2">
            <w:pPr>
              <w:keepLines/>
              <w:jc w:val="center"/>
              <w:rPr>
                <w:rFonts w:ascii="Arial Narrow" w:hAnsi="Arial Narrow"/>
                <w:sz w:val="20"/>
                <w:szCs w:val="20"/>
              </w:rPr>
            </w:pPr>
          </w:p>
        </w:tc>
        <w:tc>
          <w:tcPr>
            <w:tcW w:w="7745" w:type="dxa"/>
            <w:gridSpan w:val="6"/>
          </w:tcPr>
          <w:p w14:paraId="7DCD2B7E" w14:textId="77777777" w:rsidR="000D38C2" w:rsidRPr="00480790" w:rsidRDefault="000D38C2">
            <w:pPr>
              <w:keepLines/>
              <w:rPr>
                <w:rFonts w:ascii="Arial Narrow" w:hAnsi="Arial Narrow"/>
                <w:sz w:val="20"/>
                <w:szCs w:val="20"/>
              </w:rPr>
            </w:pPr>
            <w:r w:rsidRPr="00480790">
              <w:rPr>
                <w:rFonts w:ascii="Arial Narrow" w:hAnsi="Arial Narrow" w:cs="Open Sans"/>
                <w:sz w:val="20"/>
                <w:szCs w:val="20"/>
              </w:rPr>
              <w:t>Patient must have evidence of an anaplastic lymphoma kinase (ALK) gene rearrangement in tumour material, defined as either: (i) 15% (or greater) positive cells by fluorescence in situ hybridisation (FISH) testing, (ii) positive next generation sequencing (NGS) testing</w:t>
            </w:r>
          </w:p>
        </w:tc>
      </w:tr>
      <w:tr w:rsidR="00A35F1C" w:rsidRPr="00480790" w14:paraId="771E1ABB" w14:textId="77777777" w:rsidTr="00B71978">
        <w:tblPrEx>
          <w:tblCellMar>
            <w:top w:w="15" w:type="dxa"/>
            <w:bottom w:w="15" w:type="dxa"/>
          </w:tblCellMar>
          <w:tblLook w:val="04A0" w:firstRow="1" w:lastRow="0" w:firstColumn="1" w:lastColumn="0" w:noHBand="0" w:noVBand="1"/>
        </w:tblPrEx>
        <w:trPr>
          <w:cantSplit/>
          <w:trHeight w:val="20"/>
        </w:trPr>
        <w:tc>
          <w:tcPr>
            <w:tcW w:w="9017" w:type="dxa"/>
            <w:gridSpan w:val="8"/>
          </w:tcPr>
          <w:p w14:paraId="4B28CBC5" w14:textId="77777777" w:rsidR="00A35F1C" w:rsidRPr="00480790" w:rsidRDefault="00A35F1C">
            <w:pPr>
              <w:keepLines/>
              <w:rPr>
                <w:rFonts w:ascii="Arial Narrow" w:hAnsi="Arial Narrow"/>
                <w:b/>
                <w:bCs/>
                <w:sz w:val="20"/>
                <w:szCs w:val="20"/>
              </w:rPr>
            </w:pPr>
          </w:p>
        </w:tc>
      </w:tr>
      <w:tr w:rsidR="00AB01EA" w:rsidRPr="00480790" w14:paraId="18F01194" w14:textId="77777777" w:rsidTr="00B71978">
        <w:tblPrEx>
          <w:tblCellMar>
            <w:top w:w="15" w:type="dxa"/>
            <w:bottom w:w="15" w:type="dxa"/>
          </w:tblCellMar>
          <w:tblLook w:val="04A0" w:firstRow="1" w:lastRow="0" w:firstColumn="1" w:lastColumn="0" w:noHBand="0" w:noVBand="1"/>
        </w:tblPrEx>
        <w:trPr>
          <w:cantSplit/>
          <w:trHeight w:val="20"/>
        </w:trPr>
        <w:tc>
          <w:tcPr>
            <w:tcW w:w="9017" w:type="dxa"/>
            <w:gridSpan w:val="8"/>
          </w:tcPr>
          <w:p w14:paraId="446CB1DC" w14:textId="51850C3A" w:rsidR="000D38C2" w:rsidRPr="00480790" w:rsidRDefault="000D38C2">
            <w:pPr>
              <w:keepLines/>
              <w:rPr>
                <w:rFonts w:ascii="Arial Narrow" w:hAnsi="Arial Narrow"/>
                <w:b/>
                <w:bCs/>
                <w:sz w:val="20"/>
                <w:szCs w:val="20"/>
              </w:rPr>
            </w:pPr>
            <w:r w:rsidRPr="00480790">
              <w:rPr>
                <w:rFonts w:ascii="Arial Narrow" w:hAnsi="Arial Narrow"/>
                <w:b/>
                <w:bCs/>
                <w:sz w:val="20"/>
                <w:szCs w:val="20"/>
              </w:rPr>
              <w:t xml:space="preserve">Restriction Summary / Treatment of Concept: </w:t>
            </w:r>
          </w:p>
        </w:tc>
      </w:tr>
      <w:tr w:rsidR="00AB01EA" w:rsidRPr="00480790" w14:paraId="252809B9"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4CDF0746" w14:textId="7832FD62" w:rsidR="000D38C2" w:rsidRPr="00480790" w:rsidRDefault="000D38C2">
            <w:pPr>
              <w:keepLines/>
              <w:jc w:val="center"/>
              <w:rPr>
                <w:rFonts w:ascii="Arial Narrow" w:hAnsi="Arial Narrow"/>
                <w:sz w:val="20"/>
                <w:szCs w:val="20"/>
              </w:rPr>
            </w:pPr>
          </w:p>
        </w:tc>
        <w:tc>
          <w:tcPr>
            <w:tcW w:w="7745" w:type="dxa"/>
            <w:gridSpan w:val="6"/>
          </w:tcPr>
          <w:p w14:paraId="2326DE3A" w14:textId="77777777" w:rsidR="000D38C2" w:rsidRPr="00480790" w:rsidRDefault="000D38C2">
            <w:pPr>
              <w:pStyle w:val="NormalWeb"/>
              <w:spacing w:before="0" w:after="0"/>
              <w:textAlignment w:val="baseline"/>
              <w:rPr>
                <w:rFonts w:ascii="Arial Narrow" w:hAnsi="Arial Narrow"/>
                <w:sz w:val="20"/>
                <w:szCs w:val="20"/>
                <w:lang w:val="en-AU"/>
              </w:rPr>
            </w:pPr>
            <w:r w:rsidRPr="00480790">
              <w:rPr>
                <w:rStyle w:val="Strong"/>
                <w:rFonts w:ascii="Arial Narrow" w:hAnsi="Arial Narrow" w:cs="Open Sans"/>
                <w:sz w:val="20"/>
                <w:szCs w:val="20"/>
                <w:bdr w:val="none" w:sz="0" w:space="0" w:color="auto" w:frame="1"/>
                <w:lang w:val="en-AU"/>
              </w:rPr>
              <w:t xml:space="preserve">Indication: </w:t>
            </w:r>
            <w:r w:rsidRPr="00480790">
              <w:rPr>
                <w:rFonts w:ascii="Arial Narrow" w:hAnsi="Arial Narrow" w:cs="Open Sans"/>
                <w:sz w:val="20"/>
                <w:szCs w:val="20"/>
                <w:lang w:val="en-AU"/>
              </w:rPr>
              <w:t>Stage IIIB (locally advanced) or Stage IV (metastatic) non-small cell lung cancer (NSCLC)</w:t>
            </w:r>
          </w:p>
        </w:tc>
      </w:tr>
      <w:tr w:rsidR="00AB01EA" w:rsidRPr="00480790" w14:paraId="754F5E1A"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0C09CFF5" w14:textId="77777777" w:rsidR="000D38C2" w:rsidRPr="00480790" w:rsidRDefault="000D38C2">
            <w:pPr>
              <w:keepLines/>
              <w:jc w:val="center"/>
              <w:rPr>
                <w:rFonts w:ascii="Arial Narrow" w:hAnsi="Arial Narrow"/>
                <w:sz w:val="20"/>
                <w:szCs w:val="20"/>
              </w:rPr>
            </w:pPr>
          </w:p>
        </w:tc>
        <w:tc>
          <w:tcPr>
            <w:tcW w:w="7745" w:type="dxa"/>
            <w:gridSpan w:val="6"/>
          </w:tcPr>
          <w:p w14:paraId="6F7BA3FF" w14:textId="77777777" w:rsidR="000D38C2" w:rsidRPr="00480790" w:rsidRDefault="000D38C2">
            <w:pPr>
              <w:pStyle w:val="NormalWeb"/>
              <w:spacing w:before="0" w:after="0"/>
              <w:textAlignment w:val="baseline"/>
              <w:rPr>
                <w:rFonts w:ascii="Arial Narrow" w:hAnsi="Arial Narrow"/>
                <w:sz w:val="20"/>
                <w:szCs w:val="20"/>
                <w:lang w:val="en-AU"/>
              </w:rPr>
            </w:pPr>
            <w:r w:rsidRPr="00480790">
              <w:rPr>
                <w:rStyle w:val="Strong"/>
                <w:rFonts w:ascii="Arial Narrow" w:hAnsi="Arial Narrow" w:cs="Open Sans"/>
                <w:sz w:val="20"/>
                <w:szCs w:val="20"/>
                <w:bdr w:val="none" w:sz="0" w:space="0" w:color="auto" w:frame="1"/>
                <w:lang w:val="en-AU"/>
              </w:rPr>
              <w:t xml:space="preserve">Treatment Phase: </w:t>
            </w:r>
            <w:r w:rsidRPr="00480790">
              <w:rPr>
                <w:rFonts w:ascii="Arial Narrow" w:hAnsi="Arial Narrow" w:cs="Open Sans"/>
                <w:sz w:val="20"/>
                <w:szCs w:val="20"/>
                <w:lang w:val="en-AU"/>
              </w:rPr>
              <w:t>Continuing treatment</w:t>
            </w:r>
          </w:p>
        </w:tc>
      </w:tr>
      <w:tr w:rsidR="00AB01EA" w:rsidRPr="00480790" w14:paraId="046ED7FC"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00D9FE04" w14:textId="572FA384" w:rsidR="000D38C2" w:rsidRPr="00480790" w:rsidRDefault="000D38C2">
            <w:pPr>
              <w:keepLines/>
              <w:jc w:val="center"/>
              <w:rPr>
                <w:rFonts w:ascii="Arial Narrow" w:hAnsi="Arial Narrow"/>
                <w:strike/>
                <w:sz w:val="20"/>
                <w:szCs w:val="20"/>
              </w:rPr>
            </w:pPr>
          </w:p>
        </w:tc>
        <w:tc>
          <w:tcPr>
            <w:tcW w:w="7745" w:type="dxa"/>
            <w:gridSpan w:val="6"/>
          </w:tcPr>
          <w:p w14:paraId="45F28897" w14:textId="77777777" w:rsidR="000D38C2" w:rsidRPr="00480790" w:rsidRDefault="000D38C2">
            <w:pPr>
              <w:keepLines/>
              <w:rPr>
                <w:rFonts w:ascii="Arial Narrow" w:hAnsi="Arial Narrow"/>
                <w:strike/>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327BE3A1"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33729A7B" w14:textId="7FDBDF0C" w:rsidR="000D38C2" w:rsidRPr="00480790" w:rsidRDefault="000D38C2">
            <w:pPr>
              <w:keepLines/>
              <w:jc w:val="center"/>
              <w:rPr>
                <w:rFonts w:ascii="Arial Narrow" w:hAnsi="Arial Narrow"/>
                <w:strike/>
                <w:sz w:val="20"/>
                <w:szCs w:val="20"/>
              </w:rPr>
            </w:pPr>
          </w:p>
        </w:tc>
        <w:tc>
          <w:tcPr>
            <w:tcW w:w="7745" w:type="dxa"/>
            <w:gridSpan w:val="6"/>
          </w:tcPr>
          <w:p w14:paraId="4E9D355A" w14:textId="77777777" w:rsidR="000D38C2" w:rsidRPr="00480790" w:rsidRDefault="000D38C2">
            <w:pPr>
              <w:keepLines/>
              <w:rPr>
                <w:rFonts w:ascii="Arial Narrow" w:hAnsi="Arial Narrow" w:cs="Open Sans"/>
                <w:strike/>
                <w:sz w:val="20"/>
                <w:szCs w:val="20"/>
              </w:rPr>
            </w:pPr>
            <w:r w:rsidRPr="00480790">
              <w:rPr>
                <w:rFonts w:ascii="Arial Narrow" w:hAnsi="Arial Narrow" w:cs="Open Sans"/>
                <w:strike/>
                <w:sz w:val="20"/>
                <w:szCs w:val="20"/>
              </w:rPr>
              <w:t>The treatment must be as monotherapy</w:t>
            </w:r>
          </w:p>
          <w:p w14:paraId="0014A147" w14:textId="77777777" w:rsidR="000D38C2" w:rsidRPr="00480790" w:rsidRDefault="000D38C2">
            <w:pPr>
              <w:keepLines/>
              <w:rPr>
                <w:rFonts w:ascii="Arial Narrow" w:hAnsi="Arial Narrow"/>
                <w:strike/>
                <w:sz w:val="20"/>
                <w:szCs w:val="20"/>
              </w:rPr>
            </w:pPr>
            <w:r w:rsidRPr="00480790">
              <w:rPr>
                <w:rFonts w:ascii="Arial Narrow" w:hAnsi="Arial Narrow"/>
                <w:i/>
                <w:iCs/>
                <w:sz w:val="20"/>
                <w:szCs w:val="20"/>
              </w:rPr>
              <w:t>The treatment must be the sole PBS-subsidised systemic anti-cancer therapy for this condition</w:t>
            </w:r>
          </w:p>
        </w:tc>
      </w:tr>
      <w:tr w:rsidR="00AB01EA" w:rsidRPr="00480790" w14:paraId="6774AAFA"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55D8723A" w14:textId="77777777" w:rsidR="000D38C2" w:rsidRPr="00480790" w:rsidRDefault="000D38C2">
            <w:pPr>
              <w:keepLines/>
              <w:jc w:val="center"/>
              <w:rPr>
                <w:rFonts w:ascii="Arial Narrow" w:hAnsi="Arial Narrow"/>
                <w:strike/>
                <w:sz w:val="20"/>
                <w:szCs w:val="20"/>
              </w:rPr>
            </w:pPr>
          </w:p>
        </w:tc>
        <w:tc>
          <w:tcPr>
            <w:tcW w:w="7745" w:type="dxa"/>
            <w:gridSpan w:val="6"/>
          </w:tcPr>
          <w:p w14:paraId="6BA30145" w14:textId="77777777" w:rsidR="000D38C2" w:rsidRPr="00480790" w:rsidRDefault="000D38C2">
            <w:pPr>
              <w:keepLines/>
              <w:rPr>
                <w:rFonts w:ascii="Arial Narrow" w:hAnsi="Arial Narrow"/>
                <w:strike/>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2E7939B3"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01D01CDB" w14:textId="3108C213" w:rsidR="000D38C2" w:rsidRPr="00480790" w:rsidRDefault="000D38C2">
            <w:pPr>
              <w:keepLines/>
              <w:jc w:val="center"/>
              <w:rPr>
                <w:rFonts w:ascii="Arial Narrow" w:hAnsi="Arial Narrow"/>
                <w:sz w:val="20"/>
                <w:szCs w:val="20"/>
              </w:rPr>
            </w:pPr>
          </w:p>
        </w:tc>
        <w:tc>
          <w:tcPr>
            <w:tcW w:w="7745" w:type="dxa"/>
            <w:gridSpan w:val="6"/>
          </w:tcPr>
          <w:p w14:paraId="27EF9D7B" w14:textId="77777777" w:rsidR="000D38C2" w:rsidRPr="00480790" w:rsidRDefault="000D38C2">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2553DF53"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7BA7537A" w14:textId="380A3057" w:rsidR="000D38C2" w:rsidRPr="00480790" w:rsidRDefault="000D38C2">
            <w:pPr>
              <w:keepLines/>
              <w:jc w:val="center"/>
              <w:rPr>
                <w:rFonts w:ascii="Arial Narrow" w:hAnsi="Arial Narrow"/>
                <w:sz w:val="20"/>
                <w:szCs w:val="20"/>
              </w:rPr>
            </w:pPr>
          </w:p>
        </w:tc>
        <w:tc>
          <w:tcPr>
            <w:tcW w:w="7745" w:type="dxa"/>
            <w:gridSpan w:val="6"/>
          </w:tcPr>
          <w:p w14:paraId="5D3A6C26" w14:textId="77777777" w:rsidR="000D38C2" w:rsidRPr="00480790" w:rsidRDefault="000D38C2">
            <w:pPr>
              <w:keepLines/>
              <w:rPr>
                <w:rFonts w:ascii="Arial Narrow" w:hAnsi="Arial Narrow"/>
                <w:sz w:val="20"/>
                <w:szCs w:val="20"/>
              </w:rPr>
            </w:pPr>
            <w:r w:rsidRPr="00480790">
              <w:rPr>
                <w:rFonts w:ascii="Arial Narrow" w:hAnsi="Arial Narrow" w:cs="Open Sans"/>
                <w:sz w:val="20"/>
                <w:szCs w:val="20"/>
              </w:rPr>
              <w:t xml:space="preserve">Patient must have previously received PBS-subsidised treatment with this drug for this </w:t>
            </w:r>
            <w:r w:rsidRPr="00480790">
              <w:rPr>
                <w:rFonts w:ascii="Arial Narrow" w:hAnsi="Arial Narrow" w:cs="Open Sans"/>
                <w:strike/>
                <w:sz w:val="20"/>
                <w:szCs w:val="20"/>
              </w:rPr>
              <w:t xml:space="preserve">condition </w:t>
            </w:r>
            <w:r w:rsidRPr="00480790">
              <w:rPr>
                <w:rFonts w:ascii="Arial Narrow" w:hAnsi="Arial Narrow" w:cs="Open Sans"/>
                <w:i/>
                <w:iCs/>
                <w:sz w:val="20"/>
                <w:szCs w:val="20"/>
              </w:rPr>
              <w:t>indication</w:t>
            </w:r>
          </w:p>
        </w:tc>
      </w:tr>
      <w:tr w:rsidR="00AB01EA" w:rsidRPr="00480790" w14:paraId="5FFB09E5"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1DAB2DC0" w14:textId="77777777" w:rsidR="000D38C2" w:rsidRPr="00480790" w:rsidRDefault="000D38C2">
            <w:pPr>
              <w:keepLines/>
              <w:jc w:val="center"/>
              <w:rPr>
                <w:rFonts w:ascii="Arial Narrow" w:hAnsi="Arial Narrow"/>
                <w:sz w:val="20"/>
                <w:szCs w:val="20"/>
              </w:rPr>
            </w:pPr>
          </w:p>
        </w:tc>
        <w:tc>
          <w:tcPr>
            <w:tcW w:w="7745" w:type="dxa"/>
            <w:gridSpan w:val="6"/>
          </w:tcPr>
          <w:p w14:paraId="4B06D3E0" w14:textId="77777777" w:rsidR="000D38C2" w:rsidRPr="00480790" w:rsidRDefault="000D38C2">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058DC82C"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3CB78802" w14:textId="79ED407C" w:rsidR="000D38C2" w:rsidRPr="00480790" w:rsidRDefault="000D38C2">
            <w:pPr>
              <w:keepLines/>
              <w:jc w:val="center"/>
              <w:rPr>
                <w:rFonts w:ascii="Arial Narrow" w:hAnsi="Arial Narrow"/>
                <w:sz w:val="20"/>
                <w:szCs w:val="20"/>
              </w:rPr>
            </w:pPr>
          </w:p>
        </w:tc>
        <w:tc>
          <w:tcPr>
            <w:tcW w:w="7745" w:type="dxa"/>
            <w:gridSpan w:val="6"/>
          </w:tcPr>
          <w:p w14:paraId="67E98B31" w14:textId="77777777" w:rsidR="000D38C2" w:rsidRPr="00480790" w:rsidRDefault="000D38C2">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76B82E78" w14:textId="77777777" w:rsidTr="00B71978">
        <w:tblPrEx>
          <w:tblCellMar>
            <w:top w:w="15" w:type="dxa"/>
            <w:bottom w:w="15" w:type="dxa"/>
          </w:tblCellMar>
          <w:tblLook w:val="04A0" w:firstRow="1" w:lastRow="0" w:firstColumn="1" w:lastColumn="0" w:noHBand="0" w:noVBand="1"/>
        </w:tblPrEx>
        <w:trPr>
          <w:cantSplit/>
          <w:trHeight w:val="20"/>
        </w:trPr>
        <w:tc>
          <w:tcPr>
            <w:tcW w:w="1272" w:type="dxa"/>
            <w:gridSpan w:val="2"/>
          </w:tcPr>
          <w:p w14:paraId="2B44ECA5" w14:textId="1DCFCECF" w:rsidR="000D38C2" w:rsidRPr="00480790" w:rsidRDefault="000D38C2">
            <w:pPr>
              <w:keepLines/>
              <w:jc w:val="center"/>
              <w:rPr>
                <w:rFonts w:ascii="Arial Narrow" w:hAnsi="Arial Narrow"/>
                <w:sz w:val="20"/>
                <w:szCs w:val="20"/>
              </w:rPr>
            </w:pPr>
          </w:p>
        </w:tc>
        <w:tc>
          <w:tcPr>
            <w:tcW w:w="7745" w:type="dxa"/>
            <w:gridSpan w:val="6"/>
          </w:tcPr>
          <w:p w14:paraId="0E373350" w14:textId="77777777" w:rsidR="000D38C2" w:rsidRPr="00480790" w:rsidRDefault="000D38C2">
            <w:pPr>
              <w:keepLines/>
              <w:rPr>
                <w:rFonts w:ascii="Arial Narrow" w:hAnsi="Arial Narrow"/>
                <w:b/>
                <w:bCs/>
                <w:sz w:val="20"/>
                <w:szCs w:val="20"/>
              </w:rPr>
            </w:pPr>
            <w:r w:rsidRPr="00480790">
              <w:rPr>
                <w:rFonts w:ascii="Arial Narrow" w:hAnsi="Arial Narrow" w:cs="Open Sans"/>
                <w:sz w:val="20"/>
                <w:szCs w:val="20"/>
              </w:rPr>
              <w:t>Patient must not develop disease progression while receiving PBS-subsidised treatment with this drug for this condition</w:t>
            </w:r>
          </w:p>
        </w:tc>
      </w:tr>
    </w:tbl>
    <w:p w14:paraId="2DD85AF0" w14:textId="77777777" w:rsidR="00293CDF" w:rsidRPr="00480790" w:rsidRDefault="00293CDF" w:rsidP="00293CDF">
      <w:pPr>
        <w:rPr>
          <w:snapToGrid w:val="0"/>
          <w:lang w:eastAsia="en-US"/>
        </w:rPr>
      </w:pPr>
    </w:p>
    <w:p w14:paraId="53E0A9C5" w14:textId="4012D73F" w:rsidR="000D38C2" w:rsidRPr="00480790" w:rsidRDefault="00B71978" w:rsidP="002D4BBB">
      <w:pPr>
        <w:pStyle w:val="Heading2"/>
        <w:widowControl w:val="0"/>
        <w:ind w:left="720" w:hanging="720"/>
        <w:jc w:val="left"/>
        <w:rPr>
          <w:bCs/>
          <w:i w:val="0"/>
          <w:snapToGrid w:val="0"/>
          <w:sz w:val="26"/>
          <w:szCs w:val="28"/>
          <w:lang w:eastAsia="en-US"/>
        </w:rPr>
      </w:pPr>
      <w:r w:rsidRPr="00480790">
        <w:rPr>
          <w:bCs/>
          <w:i w:val="0"/>
          <w:snapToGrid w:val="0"/>
          <w:sz w:val="26"/>
          <w:szCs w:val="28"/>
          <w:lang w:eastAsia="en-US"/>
        </w:rPr>
        <w:t>Brigatinib</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785"/>
        <w:gridCol w:w="2124"/>
        <w:gridCol w:w="993"/>
        <w:gridCol w:w="992"/>
        <w:gridCol w:w="991"/>
        <w:gridCol w:w="812"/>
        <w:gridCol w:w="1833"/>
      </w:tblGrid>
      <w:tr w:rsidR="00AB01EA" w:rsidRPr="00480790" w14:paraId="27917955" w14:textId="77777777" w:rsidTr="00A92F30">
        <w:trPr>
          <w:cantSplit/>
          <w:trHeight w:val="20"/>
        </w:trPr>
        <w:tc>
          <w:tcPr>
            <w:tcW w:w="3401" w:type="dxa"/>
            <w:gridSpan w:val="3"/>
            <w:vAlign w:val="center"/>
          </w:tcPr>
          <w:p w14:paraId="63A45609" w14:textId="77777777" w:rsidR="004B4EF8" w:rsidRPr="00480790" w:rsidRDefault="004B4EF8">
            <w:pPr>
              <w:keepLines/>
              <w:rPr>
                <w:rFonts w:ascii="Arial Narrow" w:hAnsi="Arial Narrow"/>
                <w:b/>
                <w:bCs/>
                <w:sz w:val="20"/>
                <w:szCs w:val="20"/>
              </w:rPr>
            </w:pPr>
            <w:r w:rsidRPr="00480790">
              <w:rPr>
                <w:rFonts w:ascii="Arial Narrow" w:hAnsi="Arial Narrow"/>
                <w:b/>
                <w:bCs/>
                <w:sz w:val="20"/>
                <w:szCs w:val="20"/>
              </w:rPr>
              <w:t>MEDICINAL PRODUCT</w:t>
            </w:r>
          </w:p>
          <w:p w14:paraId="328590A8" w14:textId="77777777" w:rsidR="004B4EF8" w:rsidRPr="00480790" w:rsidRDefault="004B4EF8">
            <w:pPr>
              <w:keepLines/>
              <w:rPr>
                <w:rFonts w:ascii="Arial Narrow" w:hAnsi="Arial Narrow"/>
                <w:b/>
                <w:sz w:val="20"/>
                <w:szCs w:val="20"/>
              </w:rPr>
            </w:pPr>
            <w:r w:rsidRPr="00480790">
              <w:rPr>
                <w:rFonts w:ascii="Arial Narrow" w:hAnsi="Arial Narrow"/>
                <w:b/>
                <w:bCs/>
                <w:sz w:val="20"/>
                <w:szCs w:val="20"/>
              </w:rPr>
              <w:t>medicinal product pack</w:t>
            </w:r>
          </w:p>
        </w:tc>
        <w:tc>
          <w:tcPr>
            <w:tcW w:w="993" w:type="dxa"/>
            <w:vAlign w:val="center"/>
          </w:tcPr>
          <w:p w14:paraId="490B3A66" w14:textId="77777777" w:rsidR="004B4EF8" w:rsidRPr="00480790" w:rsidRDefault="004B4EF8">
            <w:pPr>
              <w:keepLines/>
              <w:jc w:val="center"/>
              <w:rPr>
                <w:rFonts w:ascii="Arial Narrow" w:hAnsi="Arial Narrow"/>
                <w:b/>
                <w:sz w:val="20"/>
                <w:szCs w:val="20"/>
              </w:rPr>
            </w:pPr>
            <w:r w:rsidRPr="00480790">
              <w:rPr>
                <w:rFonts w:ascii="Arial Narrow" w:hAnsi="Arial Narrow"/>
                <w:b/>
                <w:sz w:val="20"/>
                <w:szCs w:val="20"/>
              </w:rPr>
              <w:t>PBS item code</w:t>
            </w:r>
          </w:p>
        </w:tc>
        <w:tc>
          <w:tcPr>
            <w:tcW w:w="992" w:type="dxa"/>
            <w:vAlign w:val="center"/>
          </w:tcPr>
          <w:p w14:paraId="4ECC2BD4" w14:textId="77777777" w:rsidR="004B4EF8" w:rsidRPr="00480790" w:rsidRDefault="004B4EF8">
            <w:pPr>
              <w:keepLines/>
              <w:jc w:val="center"/>
              <w:rPr>
                <w:rFonts w:ascii="Arial Narrow" w:hAnsi="Arial Narrow"/>
                <w:b/>
                <w:sz w:val="20"/>
                <w:szCs w:val="20"/>
              </w:rPr>
            </w:pPr>
            <w:r w:rsidRPr="00480790">
              <w:rPr>
                <w:rFonts w:ascii="Arial Narrow" w:hAnsi="Arial Narrow"/>
                <w:b/>
                <w:sz w:val="20"/>
                <w:szCs w:val="20"/>
              </w:rPr>
              <w:t>Max. qty packs</w:t>
            </w:r>
          </w:p>
        </w:tc>
        <w:tc>
          <w:tcPr>
            <w:tcW w:w="991" w:type="dxa"/>
            <w:vAlign w:val="center"/>
          </w:tcPr>
          <w:p w14:paraId="09BA3684" w14:textId="77777777" w:rsidR="004B4EF8" w:rsidRPr="00480790" w:rsidRDefault="004B4EF8">
            <w:pPr>
              <w:keepLines/>
              <w:jc w:val="center"/>
              <w:rPr>
                <w:rFonts w:ascii="Arial Narrow" w:hAnsi="Arial Narrow"/>
                <w:b/>
                <w:sz w:val="20"/>
                <w:szCs w:val="20"/>
              </w:rPr>
            </w:pPr>
            <w:r w:rsidRPr="00480790">
              <w:rPr>
                <w:rFonts w:ascii="Arial Narrow" w:hAnsi="Arial Narrow"/>
                <w:b/>
                <w:sz w:val="20"/>
                <w:szCs w:val="20"/>
              </w:rPr>
              <w:t>Max. qty units</w:t>
            </w:r>
          </w:p>
        </w:tc>
        <w:tc>
          <w:tcPr>
            <w:tcW w:w="812" w:type="dxa"/>
            <w:vAlign w:val="center"/>
          </w:tcPr>
          <w:p w14:paraId="47CA18E7" w14:textId="77777777" w:rsidR="004B4EF8" w:rsidRPr="00480790" w:rsidRDefault="004B4EF8">
            <w:pPr>
              <w:keepLines/>
              <w:jc w:val="center"/>
              <w:rPr>
                <w:rFonts w:ascii="Arial Narrow" w:hAnsi="Arial Narrow"/>
                <w:b/>
                <w:bCs/>
                <w:sz w:val="20"/>
                <w:szCs w:val="20"/>
              </w:rPr>
            </w:pPr>
            <w:r w:rsidRPr="00480790">
              <w:rPr>
                <w:rFonts w:ascii="Arial Narrow" w:hAnsi="Arial Narrow"/>
                <w:b/>
                <w:bCs/>
                <w:sz w:val="20"/>
                <w:szCs w:val="20"/>
              </w:rPr>
              <w:t>№.of</w:t>
            </w:r>
          </w:p>
          <w:p w14:paraId="2F2A438A" w14:textId="77777777" w:rsidR="004B4EF8" w:rsidRPr="00480790" w:rsidRDefault="004B4EF8">
            <w:pPr>
              <w:keepLines/>
              <w:jc w:val="center"/>
              <w:rPr>
                <w:rFonts w:ascii="Arial Narrow" w:hAnsi="Arial Narrow"/>
                <w:b/>
                <w:bCs/>
                <w:sz w:val="20"/>
                <w:szCs w:val="20"/>
              </w:rPr>
            </w:pPr>
            <w:r w:rsidRPr="00480790">
              <w:rPr>
                <w:rFonts w:ascii="Arial Narrow" w:hAnsi="Arial Narrow"/>
                <w:b/>
                <w:bCs/>
                <w:sz w:val="20"/>
                <w:szCs w:val="20"/>
              </w:rPr>
              <w:t>Rpts</w:t>
            </w:r>
          </w:p>
        </w:tc>
        <w:tc>
          <w:tcPr>
            <w:tcW w:w="1833" w:type="dxa"/>
            <w:vAlign w:val="center"/>
          </w:tcPr>
          <w:p w14:paraId="036DD503" w14:textId="77777777" w:rsidR="004B4EF8" w:rsidRPr="00480790" w:rsidRDefault="004B4EF8">
            <w:pPr>
              <w:keepLines/>
              <w:rPr>
                <w:rFonts w:ascii="Arial Narrow" w:hAnsi="Arial Narrow"/>
                <w:b/>
                <w:sz w:val="20"/>
                <w:szCs w:val="20"/>
              </w:rPr>
            </w:pPr>
            <w:r w:rsidRPr="00480790">
              <w:rPr>
                <w:rFonts w:ascii="Arial Narrow" w:hAnsi="Arial Narrow"/>
                <w:b/>
                <w:sz w:val="20"/>
                <w:szCs w:val="20"/>
              </w:rPr>
              <w:t>Available brands</w:t>
            </w:r>
          </w:p>
        </w:tc>
      </w:tr>
      <w:tr w:rsidR="00AB01EA" w:rsidRPr="00480790" w14:paraId="7A1A737E" w14:textId="77777777" w:rsidTr="00A92F30">
        <w:trPr>
          <w:cantSplit/>
          <w:trHeight w:val="20"/>
        </w:trPr>
        <w:tc>
          <w:tcPr>
            <w:tcW w:w="9022" w:type="dxa"/>
            <w:gridSpan w:val="8"/>
            <w:vAlign w:val="center"/>
          </w:tcPr>
          <w:p w14:paraId="12E86FEC" w14:textId="77777777" w:rsidR="004B4EF8" w:rsidRPr="00480790" w:rsidRDefault="004B4EF8">
            <w:pPr>
              <w:keepLines/>
              <w:rPr>
                <w:rFonts w:ascii="Arial Narrow" w:hAnsi="Arial Narrow"/>
                <w:sz w:val="20"/>
                <w:szCs w:val="20"/>
              </w:rPr>
            </w:pPr>
            <w:r w:rsidRPr="00480790">
              <w:rPr>
                <w:rFonts w:ascii="Arial Narrow" w:hAnsi="Arial Narrow"/>
                <w:sz w:val="20"/>
                <w:szCs w:val="20"/>
              </w:rPr>
              <w:t>BRIGATINIB</w:t>
            </w:r>
          </w:p>
        </w:tc>
      </w:tr>
      <w:tr w:rsidR="00AB01EA" w:rsidRPr="00480790" w14:paraId="255161F7" w14:textId="77777777" w:rsidTr="00A92F30">
        <w:trPr>
          <w:cantSplit/>
          <w:trHeight w:val="20"/>
        </w:trPr>
        <w:tc>
          <w:tcPr>
            <w:tcW w:w="3401" w:type="dxa"/>
            <w:gridSpan w:val="3"/>
            <w:vAlign w:val="center"/>
          </w:tcPr>
          <w:p w14:paraId="63CDA2E8" w14:textId="77777777" w:rsidR="004B4EF8" w:rsidRPr="00480790" w:rsidRDefault="004B4EF8">
            <w:pPr>
              <w:keepLines/>
              <w:rPr>
                <w:rFonts w:ascii="Arial Narrow" w:hAnsi="Arial Narrow"/>
                <w:sz w:val="20"/>
                <w:szCs w:val="20"/>
              </w:rPr>
            </w:pPr>
            <w:r w:rsidRPr="00480790">
              <w:rPr>
                <w:rFonts w:ascii="Arial Narrow" w:hAnsi="Arial Narrow"/>
                <w:sz w:val="20"/>
                <w:szCs w:val="20"/>
              </w:rPr>
              <w:t>brigatinib 90 mg tablet [7] (&amp;) brigatinib 180 mg tablet [21], 1 pack</w:t>
            </w:r>
          </w:p>
        </w:tc>
        <w:tc>
          <w:tcPr>
            <w:tcW w:w="993" w:type="dxa"/>
            <w:vAlign w:val="center"/>
          </w:tcPr>
          <w:p w14:paraId="62EF7B1E" w14:textId="77777777" w:rsidR="004B4EF8" w:rsidRPr="00480790" w:rsidRDefault="004B4EF8">
            <w:pPr>
              <w:keepLines/>
              <w:jc w:val="center"/>
              <w:rPr>
                <w:rFonts w:ascii="Arial Narrow" w:hAnsi="Arial Narrow"/>
                <w:sz w:val="20"/>
                <w:szCs w:val="20"/>
              </w:rPr>
            </w:pPr>
            <w:r w:rsidRPr="00480790">
              <w:rPr>
                <w:rFonts w:ascii="Arial Narrow" w:hAnsi="Arial Narrow"/>
                <w:sz w:val="20"/>
                <w:szCs w:val="20"/>
              </w:rPr>
              <w:t>11976H </w:t>
            </w:r>
          </w:p>
        </w:tc>
        <w:tc>
          <w:tcPr>
            <w:tcW w:w="992" w:type="dxa"/>
            <w:vAlign w:val="center"/>
          </w:tcPr>
          <w:p w14:paraId="185309C3" w14:textId="77777777" w:rsidR="004B4EF8" w:rsidRPr="00480790" w:rsidRDefault="004B4EF8">
            <w:pPr>
              <w:keepLines/>
              <w:jc w:val="center"/>
              <w:rPr>
                <w:rFonts w:ascii="Arial Narrow" w:hAnsi="Arial Narrow"/>
                <w:sz w:val="20"/>
                <w:szCs w:val="20"/>
              </w:rPr>
            </w:pPr>
            <w:r w:rsidRPr="00480790">
              <w:rPr>
                <w:rFonts w:ascii="Arial Narrow" w:hAnsi="Arial Narrow"/>
                <w:sz w:val="20"/>
                <w:szCs w:val="20"/>
              </w:rPr>
              <w:t>1</w:t>
            </w:r>
          </w:p>
        </w:tc>
        <w:tc>
          <w:tcPr>
            <w:tcW w:w="991" w:type="dxa"/>
            <w:vAlign w:val="center"/>
          </w:tcPr>
          <w:p w14:paraId="44AA4BD7" w14:textId="77777777" w:rsidR="004B4EF8" w:rsidRPr="00480790" w:rsidRDefault="004B4EF8">
            <w:pPr>
              <w:keepLines/>
              <w:jc w:val="center"/>
              <w:rPr>
                <w:rFonts w:ascii="Arial Narrow" w:hAnsi="Arial Narrow"/>
                <w:sz w:val="20"/>
                <w:szCs w:val="20"/>
              </w:rPr>
            </w:pPr>
            <w:r w:rsidRPr="00480790">
              <w:rPr>
                <w:rFonts w:ascii="Arial Narrow" w:hAnsi="Arial Narrow"/>
                <w:sz w:val="20"/>
                <w:szCs w:val="20"/>
              </w:rPr>
              <w:t>1</w:t>
            </w:r>
          </w:p>
        </w:tc>
        <w:tc>
          <w:tcPr>
            <w:tcW w:w="812" w:type="dxa"/>
            <w:vAlign w:val="center"/>
          </w:tcPr>
          <w:p w14:paraId="542C5451" w14:textId="77777777" w:rsidR="004B4EF8" w:rsidRPr="00480790" w:rsidRDefault="004B4EF8">
            <w:pPr>
              <w:keepLines/>
              <w:jc w:val="center"/>
              <w:rPr>
                <w:rFonts w:ascii="Arial Narrow" w:hAnsi="Arial Narrow"/>
                <w:sz w:val="20"/>
                <w:szCs w:val="20"/>
              </w:rPr>
            </w:pPr>
            <w:r w:rsidRPr="00480790">
              <w:rPr>
                <w:rFonts w:ascii="Arial Narrow" w:hAnsi="Arial Narrow"/>
                <w:sz w:val="20"/>
                <w:szCs w:val="20"/>
              </w:rPr>
              <w:t>0</w:t>
            </w:r>
          </w:p>
        </w:tc>
        <w:tc>
          <w:tcPr>
            <w:tcW w:w="1833" w:type="dxa"/>
            <w:vAlign w:val="center"/>
          </w:tcPr>
          <w:p w14:paraId="43AB7FC4" w14:textId="77777777" w:rsidR="004B4EF8" w:rsidRPr="00480790" w:rsidRDefault="004B4EF8">
            <w:pPr>
              <w:keepLines/>
              <w:rPr>
                <w:rFonts w:ascii="Arial Narrow" w:hAnsi="Arial Narrow"/>
                <w:sz w:val="20"/>
                <w:szCs w:val="20"/>
              </w:rPr>
            </w:pPr>
            <w:r w:rsidRPr="00480790">
              <w:rPr>
                <w:rFonts w:ascii="Arial Narrow" w:hAnsi="Arial Narrow"/>
                <w:sz w:val="20"/>
                <w:szCs w:val="20"/>
              </w:rPr>
              <w:t>Alunbrig</w:t>
            </w:r>
          </w:p>
        </w:tc>
      </w:tr>
      <w:tr w:rsidR="00AB01EA" w:rsidRPr="00480790" w14:paraId="1E999DE0" w14:textId="77777777" w:rsidTr="00A92F30">
        <w:trPr>
          <w:cantSplit/>
          <w:trHeight w:val="20"/>
        </w:trPr>
        <w:tc>
          <w:tcPr>
            <w:tcW w:w="9022" w:type="dxa"/>
            <w:gridSpan w:val="8"/>
            <w:vAlign w:val="center"/>
          </w:tcPr>
          <w:p w14:paraId="3E27F974" w14:textId="77777777" w:rsidR="004B4EF8" w:rsidRPr="00480790" w:rsidRDefault="004B4EF8">
            <w:pPr>
              <w:keepLines/>
              <w:rPr>
                <w:rFonts w:ascii="Arial Narrow" w:hAnsi="Arial Narrow"/>
                <w:sz w:val="20"/>
                <w:szCs w:val="20"/>
              </w:rPr>
            </w:pPr>
          </w:p>
        </w:tc>
      </w:tr>
      <w:tr w:rsidR="00AB01EA" w:rsidRPr="00480790" w14:paraId="5B4EE4CC" w14:textId="77777777" w:rsidTr="00A92F30">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064A5FD6" w14:textId="2D8D133C" w:rsidR="004B4EF8" w:rsidRPr="00480790" w:rsidRDefault="004B4EF8">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E4B56D4" w14:textId="77777777" w:rsidR="004B4EF8" w:rsidRPr="00480790" w:rsidRDefault="004B4EF8">
            <w:pPr>
              <w:keepLines/>
              <w:rPr>
                <w:rFonts w:ascii="Arial Narrow" w:hAnsi="Arial Narrow"/>
                <w:sz w:val="20"/>
                <w:szCs w:val="20"/>
              </w:rPr>
            </w:pPr>
            <w:r w:rsidRPr="00480790">
              <w:rPr>
                <w:rFonts w:ascii="Arial Narrow" w:hAnsi="Arial Narrow"/>
                <w:b/>
                <w:sz w:val="20"/>
                <w:szCs w:val="20"/>
              </w:rPr>
              <w:t>Category / Program:</w:t>
            </w:r>
            <w:r w:rsidRPr="00480790">
              <w:rPr>
                <w:rFonts w:ascii="Arial Narrow" w:hAnsi="Arial Narrow"/>
                <w:sz w:val="20"/>
                <w:szCs w:val="20"/>
              </w:rPr>
              <w:t xml:space="preserve"> </w:t>
            </w:r>
            <w:r w:rsidRPr="00480790">
              <w:rPr>
                <w:rFonts w:ascii="Arial Narrow" w:eastAsia="Calibri" w:hAnsi="Arial Narrow"/>
                <w:sz w:val="20"/>
                <w:szCs w:val="20"/>
              </w:rPr>
              <w:fldChar w:fldCharType="begin">
                <w:ffData>
                  <w:name w:val="Check1"/>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 xml:space="preserve"> GENERAL - General Schedule (Code GE) </w:t>
            </w:r>
          </w:p>
        </w:tc>
      </w:tr>
      <w:tr w:rsidR="00AB01EA" w:rsidRPr="00480790" w14:paraId="53A34343" w14:textId="77777777" w:rsidTr="00A92F30">
        <w:tblPrEx>
          <w:tblCellMar>
            <w:top w:w="15" w:type="dxa"/>
            <w:bottom w:w="15" w:type="dxa"/>
          </w:tblCellMar>
          <w:tblLook w:val="04A0" w:firstRow="1" w:lastRow="0" w:firstColumn="1" w:lastColumn="0" w:noHBand="0" w:noVBand="1"/>
        </w:tblPrEx>
        <w:trPr>
          <w:trHeight w:val="20"/>
        </w:trPr>
        <w:tc>
          <w:tcPr>
            <w:tcW w:w="1277" w:type="dxa"/>
            <w:gridSpan w:val="2"/>
            <w:vMerge/>
          </w:tcPr>
          <w:p w14:paraId="7CAC4198" w14:textId="77777777" w:rsidR="004B4EF8" w:rsidRPr="00480790" w:rsidRDefault="004B4EF8">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75D5C1A" w14:textId="77777777" w:rsidR="004B4EF8" w:rsidRPr="00480790" w:rsidRDefault="004B4EF8">
            <w:pPr>
              <w:keepLines/>
              <w:rPr>
                <w:rFonts w:ascii="Arial Narrow" w:hAnsi="Arial Narrow"/>
                <w:b/>
                <w:sz w:val="20"/>
                <w:szCs w:val="20"/>
              </w:rPr>
            </w:pPr>
            <w:r w:rsidRPr="00480790">
              <w:rPr>
                <w:rFonts w:ascii="Arial Narrow" w:hAnsi="Arial Narrow"/>
                <w:b/>
                <w:sz w:val="20"/>
                <w:szCs w:val="20"/>
              </w:rPr>
              <w:t xml:space="preserve">Prescriber type: </w:t>
            </w:r>
            <w:r w:rsidRPr="00480790">
              <w:rPr>
                <w:rFonts w:ascii="Arial Narrow" w:hAnsi="Arial Narrow"/>
                <w:sz w:val="20"/>
                <w:szCs w:val="20"/>
              </w:rPr>
              <w:t xml:space="preserve"> </w:t>
            </w:r>
            <w:r w:rsidRPr="00480790">
              <w:rPr>
                <w:rFonts w:ascii="Arial Narrow" w:hAnsi="Arial Narrow"/>
                <w:sz w:val="20"/>
                <w:szCs w:val="20"/>
              </w:rPr>
              <w:fldChar w:fldCharType="begin">
                <w:ffData>
                  <w:name w:val=""/>
                  <w:enabled/>
                  <w:calcOnExit w:val="0"/>
                  <w:checkBox>
                    <w:sizeAuto/>
                    <w:default w:val="1"/>
                  </w:checkBox>
                </w:ffData>
              </w:fldChar>
            </w:r>
            <w:r w:rsidRPr="00480790">
              <w:rPr>
                <w:rFonts w:ascii="Arial Narrow" w:hAnsi="Arial Narrow"/>
                <w:sz w:val="20"/>
                <w:szCs w:val="20"/>
              </w:rPr>
              <w:instrText xml:space="preserve"> FORMCHECKBOX </w:instrText>
            </w:r>
            <w:r w:rsidRPr="00480790">
              <w:rPr>
                <w:rFonts w:ascii="Arial Narrow" w:hAnsi="Arial Narrow"/>
                <w:sz w:val="20"/>
                <w:szCs w:val="20"/>
              </w:rPr>
            </w:r>
            <w:r w:rsidRPr="00480790">
              <w:rPr>
                <w:rFonts w:ascii="Arial Narrow" w:hAnsi="Arial Narrow"/>
                <w:sz w:val="20"/>
                <w:szCs w:val="20"/>
              </w:rPr>
              <w:fldChar w:fldCharType="separate"/>
            </w:r>
            <w:r w:rsidRPr="00480790">
              <w:rPr>
                <w:rFonts w:ascii="Arial Narrow" w:hAnsi="Arial Narrow"/>
                <w:sz w:val="20"/>
                <w:szCs w:val="20"/>
              </w:rPr>
              <w:fldChar w:fldCharType="end"/>
            </w:r>
            <w:r w:rsidRPr="00480790">
              <w:rPr>
                <w:rFonts w:ascii="Arial Narrow" w:hAnsi="Arial Narrow"/>
                <w:sz w:val="20"/>
                <w:szCs w:val="20"/>
              </w:rPr>
              <w:t xml:space="preserve">Medical Practitioners </w:t>
            </w:r>
          </w:p>
        </w:tc>
      </w:tr>
      <w:tr w:rsidR="00AB01EA" w:rsidRPr="00480790" w14:paraId="1A471D05" w14:textId="77777777" w:rsidTr="00A92F30">
        <w:tblPrEx>
          <w:tblCellMar>
            <w:top w:w="15" w:type="dxa"/>
            <w:bottom w:w="15" w:type="dxa"/>
          </w:tblCellMar>
          <w:tblLook w:val="04A0" w:firstRow="1" w:lastRow="0" w:firstColumn="1" w:lastColumn="0" w:noHBand="0" w:noVBand="1"/>
        </w:tblPrEx>
        <w:trPr>
          <w:trHeight w:val="20"/>
        </w:trPr>
        <w:tc>
          <w:tcPr>
            <w:tcW w:w="492" w:type="dxa"/>
            <w:vMerge w:val="restart"/>
            <w:tcBorders>
              <w:left w:val="single" w:sz="4" w:space="0" w:color="auto"/>
              <w:right w:val="single" w:sz="4" w:space="0" w:color="auto"/>
            </w:tcBorders>
            <w:textDirection w:val="btLr"/>
            <w:vAlign w:val="center"/>
          </w:tcPr>
          <w:p w14:paraId="395837E2" w14:textId="483D951E" w:rsidR="004B4EF8" w:rsidRPr="00480790" w:rsidRDefault="004B4EF8">
            <w:pPr>
              <w:jc w:val="center"/>
              <w:rPr>
                <w:rFonts w:ascii="Arial Narrow" w:hAnsi="Arial Narrow"/>
                <w:sz w:val="20"/>
                <w:szCs w:val="20"/>
              </w:rPr>
            </w:pPr>
          </w:p>
        </w:tc>
        <w:tc>
          <w:tcPr>
            <w:tcW w:w="785" w:type="dxa"/>
            <w:vAlign w:val="center"/>
          </w:tcPr>
          <w:p w14:paraId="0864AB14" w14:textId="7D8E8965" w:rsidR="004B4EF8" w:rsidRPr="00480790" w:rsidRDefault="004B4EF8">
            <w:pPr>
              <w:jc w:val="center"/>
              <w:rPr>
                <w:rFonts w:ascii="Arial Narrow" w:hAnsi="Arial Narrow"/>
                <w:i/>
                <w:iCs/>
                <w:sz w:val="20"/>
                <w:szCs w:val="20"/>
              </w:rPr>
            </w:pPr>
          </w:p>
        </w:tc>
        <w:tc>
          <w:tcPr>
            <w:tcW w:w="7745" w:type="dxa"/>
            <w:gridSpan w:val="6"/>
            <w:vAlign w:val="center"/>
          </w:tcPr>
          <w:p w14:paraId="1903C6CE" w14:textId="77777777" w:rsidR="004B4EF8" w:rsidRPr="00480790" w:rsidRDefault="004B4EF8">
            <w:pPr>
              <w:keepLines/>
              <w:rPr>
                <w:rFonts w:ascii="Arial Narrow" w:hAnsi="Arial Narrow"/>
                <w:b/>
                <w:bCs/>
                <w:i/>
                <w:iCs/>
                <w:sz w:val="20"/>
                <w:szCs w:val="20"/>
              </w:rPr>
            </w:pPr>
            <w:r w:rsidRPr="00480790">
              <w:rPr>
                <w:rFonts w:ascii="Arial Narrow" w:hAnsi="Arial Narrow"/>
                <w:b/>
                <w:bCs/>
                <w:i/>
                <w:iCs/>
                <w:sz w:val="20"/>
                <w:szCs w:val="20"/>
              </w:rPr>
              <w:t>Administration advice:</w:t>
            </w:r>
          </w:p>
          <w:p w14:paraId="40EE8A94" w14:textId="77777777" w:rsidR="004B4EF8" w:rsidRPr="00480790" w:rsidRDefault="004B4EF8">
            <w:pPr>
              <w:rPr>
                <w:rFonts w:ascii="Arial Narrow" w:hAnsi="Arial Narrow"/>
                <w:i/>
                <w:iCs/>
                <w:sz w:val="20"/>
                <w:szCs w:val="20"/>
              </w:rPr>
            </w:pPr>
            <w:r w:rsidRPr="00480790">
              <w:rPr>
                <w:rFonts w:ascii="Arial Narrow" w:hAnsi="Arial Narrow"/>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AB01EA" w:rsidRPr="00480790" w14:paraId="13096539" w14:textId="77777777" w:rsidTr="00A92F30">
        <w:tblPrEx>
          <w:tblCellMar>
            <w:top w:w="15" w:type="dxa"/>
            <w:bottom w:w="15" w:type="dxa"/>
          </w:tblCellMar>
          <w:tblLook w:val="04A0" w:firstRow="1" w:lastRow="0" w:firstColumn="1" w:lastColumn="0" w:noHBand="0" w:noVBand="1"/>
        </w:tblPrEx>
        <w:trPr>
          <w:trHeight w:val="20"/>
        </w:trPr>
        <w:tc>
          <w:tcPr>
            <w:tcW w:w="492" w:type="dxa"/>
            <w:vMerge/>
          </w:tcPr>
          <w:p w14:paraId="353106B5" w14:textId="77777777" w:rsidR="004B4EF8" w:rsidRPr="00480790" w:rsidRDefault="004B4EF8">
            <w:pPr>
              <w:rPr>
                <w:rFonts w:ascii="Arial Narrow" w:hAnsi="Arial Narrow"/>
                <w:sz w:val="20"/>
                <w:szCs w:val="20"/>
              </w:rPr>
            </w:pPr>
          </w:p>
        </w:tc>
        <w:tc>
          <w:tcPr>
            <w:tcW w:w="785" w:type="dxa"/>
            <w:vAlign w:val="center"/>
          </w:tcPr>
          <w:p w14:paraId="34DB28F1" w14:textId="6039DE4D" w:rsidR="004B4EF8" w:rsidRPr="00480790" w:rsidRDefault="004B4EF8">
            <w:pPr>
              <w:jc w:val="center"/>
              <w:rPr>
                <w:rFonts w:ascii="Arial Narrow" w:hAnsi="Arial Narrow"/>
                <w:bCs/>
                <w:sz w:val="20"/>
                <w:szCs w:val="20"/>
              </w:rPr>
            </w:pPr>
          </w:p>
        </w:tc>
        <w:tc>
          <w:tcPr>
            <w:tcW w:w="7745" w:type="dxa"/>
            <w:gridSpan w:val="6"/>
            <w:vAlign w:val="center"/>
          </w:tcPr>
          <w:p w14:paraId="56BE8190" w14:textId="77777777" w:rsidR="004B4EF8" w:rsidRPr="00480790" w:rsidRDefault="004B4EF8">
            <w:pPr>
              <w:keepLines/>
              <w:rPr>
                <w:rFonts w:ascii="Arial Narrow" w:hAnsi="Arial Narrow"/>
                <w:b/>
                <w:bCs/>
                <w:sz w:val="20"/>
                <w:szCs w:val="20"/>
              </w:rPr>
            </w:pPr>
            <w:r w:rsidRPr="00480790">
              <w:rPr>
                <w:rFonts w:ascii="Arial Narrow" w:hAnsi="Arial Narrow"/>
                <w:b/>
                <w:bCs/>
                <w:sz w:val="20"/>
                <w:szCs w:val="20"/>
              </w:rPr>
              <w:t>Caution:</w:t>
            </w:r>
          </w:p>
          <w:p w14:paraId="657D4D3F" w14:textId="77777777" w:rsidR="004B4EF8" w:rsidRPr="00480790" w:rsidRDefault="004B4EF8">
            <w:pPr>
              <w:rPr>
                <w:rFonts w:ascii="Arial Narrow" w:hAnsi="Arial Narrow"/>
                <w:b/>
                <w:bCs/>
                <w:sz w:val="20"/>
                <w:szCs w:val="20"/>
              </w:rPr>
            </w:pPr>
            <w:r w:rsidRPr="00480790">
              <w:rPr>
                <w:rFonts w:ascii="Arial Narrow" w:hAnsi="Arial Narrow"/>
                <w:sz w:val="20"/>
                <w:szCs w:val="20"/>
              </w:rPr>
              <w:t>Careful monitoring of patients is required due to risk of developing pulmonary adverse events observed in patients within the first seven days of treatment with this drug. Patients must be instructed to report any new or worsening respiratory symptoms.</w:t>
            </w:r>
          </w:p>
        </w:tc>
      </w:tr>
      <w:tr w:rsidR="00AB01EA" w:rsidRPr="00480790" w14:paraId="3C3C7D7E" w14:textId="77777777" w:rsidTr="00A92F30">
        <w:tblPrEx>
          <w:tblCellMar>
            <w:top w:w="15" w:type="dxa"/>
            <w:bottom w:w="15" w:type="dxa"/>
          </w:tblCellMar>
          <w:tblLook w:val="04A0" w:firstRow="1" w:lastRow="0" w:firstColumn="1" w:lastColumn="0" w:noHBand="0" w:noVBand="1"/>
        </w:tblPrEx>
        <w:trPr>
          <w:trHeight w:val="20"/>
        </w:trPr>
        <w:tc>
          <w:tcPr>
            <w:tcW w:w="492" w:type="dxa"/>
            <w:vMerge/>
          </w:tcPr>
          <w:p w14:paraId="6A7CEE6E" w14:textId="77777777" w:rsidR="004B4EF8" w:rsidRPr="00480790" w:rsidRDefault="004B4EF8">
            <w:pPr>
              <w:rPr>
                <w:rFonts w:ascii="Arial Narrow" w:hAnsi="Arial Narrow"/>
                <w:sz w:val="20"/>
                <w:szCs w:val="20"/>
              </w:rPr>
            </w:pPr>
          </w:p>
        </w:tc>
        <w:tc>
          <w:tcPr>
            <w:tcW w:w="785" w:type="dxa"/>
            <w:vAlign w:val="center"/>
          </w:tcPr>
          <w:p w14:paraId="55D3F10A" w14:textId="27121E7E" w:rsidR="004B4EF8" w:rsidRPr="00480790" w:rsidRDefault="004B4EF8">
            <w:pPr>
              <w:jc w:val="center"/>
              <w:rPr>
                <w:rFonts w:ascii="Arial Narrow" w:hAnsi="Arial Narrow"/>
                <w:sz w:val="20"/>
                <w:szCs w:val="20"/>
              </w:rPr>
            </w:pPr>
          </w:p>
        </w:tc>
        <w:tc>
          <w:tcPr>
            <w:tcW w:w="7745" w:type="dxa"/>
            <w:gridSpan w:val="6"/>
            <w:vAlign w:val="center"/>
          </w:tcPr>
          <w:p w14:paraId="3ED2E8DF" w14:textId="77777777" w:rsidR="004B4EF8" w:rsidRPr="00480790" w:rsidRDefault="004B4EF8">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quantity or number of units may be authorised.</w:t>
            </w:r>
          </w:p>
        </w:tc>
      </w:tr>
      <w:tr w:rsidR="00AB01EA" w:rsidRPr="00480790" w14:paraId="53E28C08" w14:textId="77777777" w:rsidTr="00A92F30">
        <w:tblPrEx>
          <w:tblCellMar>
            <w:top w:w="15" w:type="dxa"/>
            <w:bottom w:w="15" w:type="dxa"/>
          </w:tblCellMar>
          <w:tblLook w:val="04A0" w:firstRow="1" w:lastRow="0" w:firstColumn="1" w:lastColumn="0" w:noHBand="0" w:noVBand="1"/>
        </w:tblPrEx>
        <w:trPr>
          <w:trHeight w:val="20"/>
        </w:trPr>
        <w:tc>
          <w:tcPr>
            <w:tcW w:w="492" w:type="dxa"/>
            <w:vMerge/>
          </w:tcPr>
          <w:p w14:paraId="77A71360" w14:textId="77777777" w:rsidR="004B4EF8" w:rsidRPr="00480790" w:rsidRDefault="004B4EF8">
            <w:pPr>
              <w:rPr>
                <w:rFonts w:ascii="Arial Narrow" w:hAnsi="Arial Narrow"/>
                <w:sz w:val="20"/>
                <w:szCs w:val="20"/>
              </w:rPr>
            </w:pPr>
          </w:p>
        </w:tc>
        <w:tc>
          <w:tcPr>
            <w:tcW w:w="785" w:type="dxa"/>
            <w:vAlign w:val="center"/>
          </w:tcPr>
          <w:p w14:paraId="5F9F4A73" w14:textId="7D289E89" w:rsidR="004B4EF8" w:rsidRPr="00480790" w:rsidRDefault="004B4EF8">
            <w:pPr>
              <w:jc w:val="center"/>
              <w:rPr>
                <w:rFonts w:ascii="Arial Narrow" w:hAnsi="Arial Narrow"/>
                <w:sz w:val="20"/>
                <w:szCs w:val="20"/>
              </w:rPr>
            </w:pPr>
          </w:p>
        </w:tc>
        <w:tc>
          <w:tcPr>
            <w:tcW w:w="7745" w:type="dxa"/>
            <w:gridSpan w:val="6"/>
            <w:vAlign w:val="center"/>
          </w:tcPr>
          <w:p w14:paraId="7CF8124A" w14:textId="77777777" w:rsidR="004B4EF8" w:rsidRPr="00480790" w:rsidRDefault="004B4EF8">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number of repeats may be authorised.</w:t>
            </w:r>
          </w:p>
        </w:tc>
      </w:tr>
      <w:tr w:rsidR="00AB01EA" w:rsidRPr="00480790" w14:paraId="48F5E560" w14:textId="77777777" w:rsidTr="00A92F30">
        <w:tblPrEx>
          <w:tblCellMar>
            <w:top w:w="15" w:type="dxa"/>
            <w:bottom w:w="15" w:type="dxa"/>
          </w:tblCellMar>
          <w:tblLook w:val="04A0" w:firstRow="1" w:lastRow="0" w:firstColumn="1" w:lastColumn="0" w:noHBand="0" w:noVBand="1"/>
        </w:tblPrEx>
        <w:trPr>
          <w:trHeight w:val="20"/>
        </w:trPr>
        <w:tc>
          <w:tcPr>
            <w:tcW w:w="492" w:type="dxa"/>
            <w:vMerge/>
          </w:tcPr>
          <w:p w14:paraId="3522DF28" w14:textId="77777777" w:rsidR="004B4EF8" w:rsidRPr="00480790" w:rsidRDefault="004B4EF8">
            <w:pPr>
              <w:rPr>
                <w:rFonts w:ascii="Arial Narrow" w:hAnsi="Arial Narrow"/>
                <w:sz w:val="20"/>
                <w:szCs w:val="20"/>
              </w:rPr>
            </w:pPr>
          </w:p>
        </w:tc>
        <w:tc>
          <w:tcPr>
            <w:tcW w:w="785" w:type="dxa"/>
            <w:vAlign w:val="center"/>
          </w:tcPr>
          <w:p w14:paraId="15D7C99D" w14:textId="1A56FB03" w:rsidR="004B4EF8" w:rsidRPr="00480790" w:rsidRDefault="004B4EF8">
            <w:pPr>
              <w:jc w:val="center"/>
              <w:rPr>
                <w:rFonts w:ascii="Arial Narrow" w:hAnsi="Arial Narrow"/>
                <w:sz w:val="20"/>
                <w:szCs w:val="20"/>
              </w:rPr>
            </w:pPr>
          </w:p>
        </w:tc>
        <w:tc>
          <w:tcPr>
            <w:tcW w:w="7745" w:type="dxa"/>
            <w:gridSpan w:val="6"/>
            <w:vAlign w:val="center"/>
          </w:tcPr>
          <w:p w14:paraId="125E5BD6" w14:textId="77777777" w:rsidR="004B4EF8" w:rsidRPr="00480790" w:rsidRDefault="004B4EF8">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Special Pricing Arrangements apply.</w:t>
            </w:r>
          </w:p>
        </w:tc>
      </w:tr>
      <w:tr w:rsidR="00AB01EA" w:rsidRPr="00480790" w14:paraId="4E31DF20" w14:textId="77777777" w:rsidTr="00A92F30">
        <w:tblPrEx>
          <w:tblCellMar>
            <w:top w:w="15" w:type="dxa"/>
            <w:bottom w:w="15" w:type="dxa"/>
          </w:tblCellMar>
          <w:tblLook w:val="04A0" w:firstRow="1" w:lastRow="0" w:firstColumn="1" w:lastColumn="0" w:noHBand="0" w:noVBand="1"/>
        </w:tblPrEx>
        <w:trPr>
          <w:trHeight w:val="182"/>
        </w:trPr>
        <w:tc>
          <w:tcPr>
            <w:tcW w:w="1277" w:type="dxa"/>
            <w:gridSpan w:val="2"/>
            <w:tcBorders>
              <w:left w:val="single" w:sz="4" w:space="0" w:color="auto"/>
              <w:right w:val="single" w:sz="4" w:space="0" w:color="auto"/>
            </w:tcBorders>
          </w:tcPr>
          <w:p w14:paraId="1C6D7C67" w14:textId="77777777" w:rsidR="004B4EF8" w:rsidRPr="00480790" w:rsidRDefault="004B4EF8">
            <w:pPr>
              <w:rPr>
                <w:rFonts w:ascii="Arial Narrow" w:hAnsi="Arial Narrow"/>
                <w:sz w:val="20"/>
                <w:szCs w:val="20"/>
              </w:rPr>
            </w:pPr>
          </w:p>
        </w:tc>
        <w:tc>
          <w:tcPr>
            <w:tcW w:w="7745" w:type="dxa"/>
            <w:gridSpan w:val="6"/>
            <w:tcBorders>
              <w:top w:val="single" w:sz="4" w:space="0" w:color="auto"/>
              <w:left w:val="single" w:sz="4" w:space="0" w:color="auto"/>
              <w:right w:val="single" w:sz="4" w:space="0" w:color="auto"/>
            </w:tcBorders>
            <w:vAlign w:val="center"/>
          </w:tcPr>
          <w:p w14:paraId="2F4A3DCE" w14:textId="77777777" w:rsidR="004B4EF8" w:rsidRPr="00480790" w:rsidRDefault="004B4EF8">
            <w:pPr>
              <w:keepLines/>
              <w:rPr>
                <w:rFonts w:ascii="Arial Narrow" w:eastAsia="Calibri" w:hAnsi="Arial Narrow"/>
                <w:sz w:val="20"/>
                <w:szCs w:val="20"/>
              </w:rPr>
            </w:pPr>
            <w:r w:rsidRPr="00480790">
              <w:rPr>
                <w:rFonts w:ascii="Arial Narrow" w:hAnsi="Arial Narrow"/>
                <w:b/>
                <w:sz w:val="20"/>
                <w:szCs w:val="20"/>
              </w:rPr>
              <w:t xml:space="preserve">Restriction type: </w:t>
            </w:r>
            <w:r w:rsidRPr="00480790">
              <w:rPr>
                <w:rFonts w:ascii="Arial Narrow" w:eastAsia="Calibri" w:hAnsi="Arial Narrow"/>
                <w:sz w:val="20"/>
                <w:szCs w:val="20"/>
              </w:rPr>
              <w:fldChar w:fldCharType="begin">
                <w:ffData>
                  <w:name w:val="Check3"/>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Authority Required (immediate assessment) - Telephone/Online PBS Authorities</w:t>
            </w:r>
          </w:p>
        </w:tc>
      </w:tr>
      <w:tr w:rsidR="00A35F1C" w:rsidRPr="00480790" w14:paraId="4CB2406E" w14:textId="77777777" w:rsidTr="00A92F30">
        <w:tblPrEx>
          <w:tblCellMar>
            <w:top w:w="15" w:type="dxa"/>
            <w:bottom w:w="15" w:type="dxa"/>
          </w:tblCellMar>
          <w:tblLook w:val="04A0" w:firstRow="1" w:lastRow="0" w:firstColumn="1" w:lastColumn="0" w:noHBand="0" w:noVBand="1"/>
        </w:tblPrEx>
        <w:trPr>
          <w:trHeight w:val="182"/>
        </w:trPr>
        <w:tc>
          <w:tcPr>
            <w:tcW w:w="9022" w:type="dxa"/>
            <w:gridSpan w:val="8"/>
            <w:tcBorders>
              <w:left w:val="single" w:sz="4" w:space="0" w:color="auto"/>
              <w:right w:val="single" w:sz="4" w:space="0" w:color="auto"/>
            </w:tcBorders>
          </w:tcPr>
          <w:p w14:paraId="53144BF1" w14:textId="77777777" w:rsidR="00A35F1C" w:rsidRPr="00480790" w:rsidRDefault="00A35F1C">
            <w:pPr>
              <w:keepLines/>
              <w:rPr>
                <w:rFonts w:ascii="Arial Narrow" w:hAnsi="Arial Narrow"/>
                <w:b/>
                <w:sz w:val="20"/>
                <w:szCs w:val="20"/>
              </w:rPr>
            </w:pPr>
          </w:p>
        </w:tc>
      </w:tr>
      <w:tr w:rsidR="00AB01EA" w:rsidRPr="00480790" w14:paraId="2A54666D" w14:textId="77777777" w:rsidTr="00A92F30">
        <w:tblPrEx>
          <w:tblCellMar>
            <w:top w:w="15" w:type="dxa"/>
            <w:bottom w:w="15" w:type="dxa"/>
          </w:tblCellMar>
          <w:tblLook w:val="04A0" w:firstRow="1" w:lastRow="0" w:firstColumn="1" w:lastColumn="0" w:noHBand="0" w:noVBand="1"/>
        </w:tblPrEx>
        <w:trPr>
          <w:trHeight w:val="182"/>
        </w:trPr>
        <w:tc>
          <w:tcPr>
            <w:tcW w:w="9022" w:type="dxa"/>
            <w:gridSpan w:val="8"/>
            <w:tcBorders>
              <w:left w:val="single" w:sz="4" w:space="0" w:color="auto"/>
              <w:right w:val="single" w:sz="4" w:space="0" w:color="auto"/>
            </w:tcBorders>
          </w:tcPr>
          <w:p w14:paraId="6A49BFEA" w14:textId="0F6C133A" w:rsidR="004B4EF8" w:rsidRPr="00480790" w:rsidRDefault="004B4EF8">
            <w:pPr>
              <w:keepLines/>
              <w:rPr>
                <w:rFonts w:ascii="Arial Narrow" w:hAnsi="Arial Narrow"/>
                <w:b/>
                <w:sz w:val="20"/>
                <w:szCs w:val="20"/>
              </w:rPr>
            </w:pPr>
            <w:r w:rsidRPr="00480790">
              <w:rPr>
                <w:rFonts w:ascii="Arial Narrow" w:hAnsi="Arial Narrow"/>
                <w:b/>
                <w:sz w:val="20"/>
                <w:szCs w:val="20"/>
              </w:rPr>
              <w:t xml:space="preserve">Restriction Summary / Treatment of Concept: </w:t>
            </w:r>
          </w:p>
        </w:tc>
      </w:tr>
      <w:tr w:rsidR="00AB01EA" w:rsidRPr="00480790" w14:paraId="16460B5A" w14:textId="77777777" w:rsidTr="009E7B7E">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2EA2517" w14:textId="402A56A3" w:rsidR="004B4EF8" w:rsidRPr="00480790" w:rsidRDefault="004B4EF8">
            <w:pPr>
              <w:keepLines/>
              <w:jc w:val="center"/>
              <w:rPr>
                <w:rFonts w:ascii="Arial Narrow" w:hAnsi="Arial Narrow"/>
                <w:sz w:val="20"/>
                <w:szCs w:val="20"/>
              </w:rPr>
            </w:pPr>
          </w:p>
        </w:tc>
        <w:tc>
          <w:tcPr>
            <w:tcW w:w="7745" w:type="dxa"/>
            <w:gridSpan w:val="6"/>
            <w:vAlign w:val="center"/>
            <w:hideMark/>
          </w:tcPr>
          <w:p w14:paraId="6B9D8D63" w14:textId="77777777" w:rsidR="004B4EF8" w:rsidRPr="00480790" w:rsidRDefault="004B4EF8">
            <w:pPr>
              <w:keepLines/>
              <w:rPr>
                <w:rFonts w:ascii="Arial Narrow" w:hAnsi="Arial Narrow"/>
                <w:sz w:val="20"/>
                <w:szCs w:val="20"/>
              </w:rPr>
            </w:pPr>
            <w:r w:rsidRPr="00480790">
              <w:rPr>
                <w:rFonts w:ascii="Arial Narrow" w:hAnsi="Arial Narrow"/>
                <w:b/>
                <w:bCs/>
                <w:sz w:val="20"/>
                <w:szCs w:val="20"/>
              </w:rPr>
              <w:t>Indication:</w:t>
            </w:r>
            <w:r w:rsidRPr="00480790">
              <w:rPr>
                <w:rFonts w:ascii="Arial Narrow" w:hAnsi="Arial Narrow"/>
                <w:sz w:val="20"/>
                <w:szCs w:val="20"/>
              </w:rPr>
              <w:t xml:space="preserve"> Stage IIIB (locally advanced) or Stage IV (metastatic) non-small cell lung cancer (NSCLC)</w:t>
            </w:r>
          </w:p>
        </w:tc>
      </w:tr>
      <w:tr w:rsidR="00AB01EA" w:rsidRPr="00480790" w14:paraId="0A598B6D"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82E33F8" w14:textId="77777777" w:rsidR="004B4EF8" w:rsidRPr="00480790" w:rsidRDefault="004B4EF8">
            <w:pPr>
              <w:keepLines/>
              <w:jc w:val="center"/>
              <w:rPr>
                <w:rFonts w:ascii="Arial Narrow" w:hAnsi="Arial Narrow"/>
                <w:sz w:val="20"/>
                <w:szCs w:val="20"/>
              </w:rPr>
            </w:pPr>
          </w:p>
        </w:tc>
        <w:tc>
          <w:tcPr>
            <w:tcW w:w="7745" w:type="dxa"/>
            <w:gridSpan w:val="6"/>
            <w:vAlign w:val="center"/>
          </w:tcPr>
          <w:p w14:paraId="3F8C7461" w14:textId="77777777" w:rsidR="004B4EF8" w:rsidRPr="00480790" w:rsidRDefault="004B4EF8">
            <w:pPr>
              <w:keepLines/>
              <w:rPr>
                <w:rFonts w:ascii="Arial Narrow" w:hAnsi="Arial Narrow"/>
                <w:b/>
                <w:bCs/>
                <w:sz w:val="20"/>
                <w:szCs w:val="20"/>
              </w:rPr>
            </w:pPr>
            <w:r w:rsidRPr="00480790">
              <w:rPr>
                <w:rFonts w:ascii="Arial Narrow" w:hAnsi="Arial Narrow"/>
                <w:b/>
                <w:bCs/>
                <w:sz w:val="20"/>
                <w:szCs w:val="20"/>
              </w:rPr>
              <w:t xml:space="preserve">Treatment Phase: </w:t>
            </w:r>
            <w:r w:rsidRPr="00480790">
              <w:rPr>
                <w:rFonts w:ascii="Arial Narrow" w:hAnsi="Arial Narrow"/>
                <w:sz w:val="20"/>
                <w:szCs w:val="20"/>
              </w:rPr>
              <w:t>Initial treatment</w:t>
            </w:r>
          </w:p>
        </w:tc>
      </w:tr>
      <w:tr w:rsidR="00AB01EA" w:rsidRPr="00480790" w14:paraId="003AAAC1"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8469470" w14:textId="77777777" w:rsidR="004B4EF8" w:rsidRPr="00480790" w:rsidRDefault="004B4EF8">
            <w:pPr>
              <w:keepLines/>
              <w:jc w:val="center"/>
              <w:rPr>
                <w:rFonts w:ascii="Arial Narrow" w:hAnsi="Arial Narrow"/>
                <w:i/>
                <w:iCs/>
                <w:sz w:val="20"/>
                <w:szCs w:val="20"/>
              </w:rPr>
            </w:pPr>
          </w:p>
        </w:tc>
        <w:tc>
          <w:tcPr>
            <w:tcW w:w="7745" w:type="dxa"/>
            <w:gridSpan w:val="6"/>
            <w:vAlign w:val="center"/>
          </w:tcPr>
          <w:p w14:paraId="36B95D3C" w14:textId="77777777" w:rsidR="004B4EF8" w:rsidRPr="00480790" w:rsidRDefault="004B4EF8">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Clinical criteria:</w:t>
            </w:r>
          </w:p>
        </w:tc>
      </w:tr>
      <w:tr w:rsidR="00AB01EA" w:rsidRPr="00480790" w14:paraId="6C69108B"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5B56D6D" w14:textId="334A7864" w:rsidR="004B4EF8" w:rsidRPr="00480790" w:rsidRDefault="004B4EF8">
            <w:pPr>
              <w:keepLines/>
              <w:jc w:val="center"/>
              <w:rPr>
                <w:rFonts w:ascii="Arial Narrow" w:hAnsi="Arial Narrow"/>
                <w:i/>
                <w:iCs/>
                <w:sz w:val="20"/>
                <w:szCs w:val="20"/>
              </w:rPr>
            </w:pPr>
          </w:p>
        </w:tc>
        <w:tc>
          <w:tcPr>
            <w:tcW w:w="7745" w:type="dxa"/>
            <w:gridSpan w:val="6"/>
            <w:vAlign w:val="center"/>
          </w:tcPr>
          <w:p w14:paraId="7C33DB18" w14:textId="060521A9" w:rsidR="004B4EF8" w:rsidRPr="00480790" w:rsidRDefault="00F80A0F">
            <w:pPr>
              <w:keepLines/>
              <w:rPr>
                <w:rStyle w:val="Strong"/>
                <w:rFonts w:ascii="Arial Narrow" w:hAnsi="Arial Narrow" w:cs="Open Sans"/>
                <w:i/>
                <w:iCs/>
                <w:sz w:val="20"/>
                <w:szCs w:val="20"/>
                <w:bdr w:val="none" w:sz="0" w:space="0" w:color="auto" w:frame="1"/>
              </w:rPr>
            </w:pPr>
            <w:r w:rsidRPr="00F80A0F">
              <w:rPr>
                <w:rFonts w:ascii="Arial Narrow" w:hAnsi="Arial Narrow"/>
                <w:i/>
                <w:iCs/>
                <w:sz w:val="20"/>
                <w:szCs w:val="20"/>
              </w:rPr>
              <w:t>Patient must be untreated with an Anaplastic Lymphoma Kinase-Tyrosine Kinase Inhibitor (ALK-TKI) for NSCLC</w:t>
            </w:r>
          </w:p>
        </w:tc>
      </w:tr>
      <w:tr w:rsidR="00AB01EA" w:rsidRPr="00480790" w14:paraId="7C36EDB4"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5AC82D5" w14:textId="77777777" w:rsidR="004B4EF8" w:rsidRPr="00480790" w:rsidRDefault="004B4EF8">
            <w:pPr>
              <w:keepLines/>
              <w:jc w:val="center"/>
              <w:rPr>
                <w:rFonts w:ascii="Arial Narrow" w:hAnsi="Arial Narrow"/>
                <w:i/>
                <w:iCs/>
                <w:sz w:val="20"/>
                <w:szCs w:val="20"/>
              </w:rPr>
            </w:pPr>
          </w:p>
        </w:tc>
        <w:tc>
          <w:tcPr>
            <w:tcW w:w="7745" w:type="dxa"/>
            <w:gridSpan w:val="6"/>
            <w:vAlign w:val="center"/>
          </w:tcPr>
          <w:p w14:paraId="1623F33B" w14:textId="77777777" w:rsidR="004B4EF8" w:rsidRPr="00480790" w:rsidRDefault="004B4EF8">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AND</w:t>
            </w:r>
          </w:p>
        </w:tc>
      </w:tr>
      <w:tr w:rsidR="00AB01EA" w:rsidRPr="00480790" w14:paraId="4DE3783F"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tcPr>
          <w:p w14:paraId="624A1956" w14:textId="4AF9719D" w:rsidR="004B4EF8" w:rsidRPr="00480790" w:rsidRDefault="004B4EF8">
            <w:pPr>
              <w:keepLines/>
              <w:jc w:val="center"/>
              <w:rPr>
                <w:rFonts w:ascii="Arial Narrow" w:hAnsi="Arial Narrow"/>
                <w:sz w:val="20"/>
                <w:szCs w:val="20"/>
              </w:rPr>
            </w:pPr>
          </w:p>
        </w:tc>
        <w:tc>
          <w:tcPr>
            <w:tcW w:w="7745" w:type="dxa"/>
            <w:gridSpan w:val="6"/>
          </w:tcPr>
          <w:p w14:paraId="4FBAD753" w14:textId="77777777" w:rsidR="004B4EF8" w:rsidRPr="00480790" w:rsidRDefault="004B4EF8">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4858271C"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tcPr>
          <w:p w14:paraId="6320AC34" w14:textId="45113FC7" w:rsidR="004B4EF8" w:rsidRPr="00480790" w:rsidRDefault="004B4EF8">
            <w:pPr>
              <w:keepLines/>
              <w:jc w:val="center"/>
              <w:rPr>
                <w:rFonts w:ascii="Arial Narrow" w:hAnsi="Arial Narrow"/>
                <w:sz w:val="20"/>
                <w:szCs w:val="20"/>
              </w:rPr>
            </w:pPr>
          </w:p>
        </w:tc>
        <w:tc>
          <w:tcPr>
            <w:tcW w:w="7745" w:type="dxa"/>
            <w:gridSpan w:val="6"/>
          </w:tcPr>
          <w:p w14:paraId="777B28AB" w14:textId="77777777" w:rsidR="004B4EF8" w:rsidRPr="00480790" w:rsidRDefault="004B4EF8">
            <w:pPr>
              <w:keepLines/>
              <w:rPr>
                <w:rFonts w:ascii="Arial Narrow" w:hAnsi="Arial Narrow" w:cs="Open Sans"/>
                <w:strike/>
                <w:sz w:val="20"/>
                <w:szCs w:val="20"/>
              </w:rPr>
            </w:pPr>
            <w:r w:rsidRPr="00480790">
              <w:rPr>
                <w:rFonts w:ascii="Arial Narrow" w:hAnsi="Arial Narrow" w:cs="Open Sans"/>
                <w:strike/>
                <w:sz w:val="20"/>
                <w:szCs w:val="20"/>
              </w:rPr>
              <w:t>The treatment must be as monotherapy</w:t>
            </w:r>
          </w:p>
          <w:p w14:paraId="4AD429E6" w14:textId="77777777" w:rsidR="004B4EF8" w:rsidRPr="00480790" w:rsidRDefault="004B4EF8">
            <w:pPr>
              <w:keepLines/>
              <w:rPr>
                <w:rFonts w:ascii="Arial Narrow" w:hAnsi="Arial Narrow"/>
                <w:sz w:val="20"/>
                <w:szCs w:val="20"/>
              </w:rPr>
            </w:pPr>
            <w:r w:rsidRPr="00480790">
              <w:rPr>
                <w:rFonts w:ascii="Arial Narrow" w:hAnsi="Arial Narrow"/>
                <w:i/>
                <w:iCs/>
                <w:sz w:val="20"/>
                <w:szCs w:val="20"/>
              </w:rPr>
              <w:t>The treatment must be the sole PBS-subsidised systemic anti-cancer therapy for this condition</w:t>
            </w:r>
          </w:p>
        </w:tc>
      </w:tr>
      <w:tr w:rsidR="00AB01EA" w:rsidRPr="00480790" w14:paraId="1AD44A49"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tcPr>
          <w:p w14:paraId="78E12CBE" w14:textId="77777777" w:rsidR="004B4EF8" w:rsidRPr="00480790" w:rsidRDefault="004B4EF8">
            <w:pPr>
              <w:keepLines/>
              <w:jc w:val="center"/>
              <w:rPr>
                <w:rFonts w:ascii="Arial Narrow" w:hAnsi="Arial Narrow"/>
                <w:sz w:val="20"/>
                <w:szCs w:val="20"/>
              </w:rPr>
            </w:pPr>
          </w:p>
        </w:tc>
        <w:tc>
          <w:tcPr>
            <w:tcW w:w="7745" w:type="dxa"/>
            <w:gridSpan w:val="6"/>
          </w:tcPr>
          <w:p w14:paraId="717E717A" w14:textId="77777777" w:rsidR="004B4EF8" w:rsidRPr="00480790" w:rsidRDefault="004B4EF8">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042502B2"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tcPr>
          <w:p w14:paraId="5D329AD3" w14:textId="41C88C82" w:rsidR="004B4EF8" w:rsidRPr="00480790" w:rsidRDefault="004B4EF8">
            <w:pPr>
              <w:keepLines/>
              <w:jc w:val="center"/>
              <w:rPr>
                <w:rFonts w:ascii="Arial Narrow" w:hAnsi="Arial Narrow"/>
                <w:sz w:val="20"/>
                <w:szCs w:val="20"/>
              </w:rPr>
            </w:pPr>
          </w:p>
        </w:tc>
        <w:tc>
          <w:tcPr>
            <w:tcW w:w="7745" w:type="dxa"/>
            <w:gridSpan w:val="6"/>
          </w:tcPr>
          <w:p w14:paraId="796A755A" w14:textId="77777777" w:rsidR="004B4EF8" w:rsidRPr="00480790" w:rsidRDefault="004B4EF8">
            <w:pPr>
              <w:keepLines/>
              <w:rPr>
                <w:rFonts w:ascii="Arial Narrow" w:hAnsi="Arial Narrow"/>
                <w:b/>
                <w:bCs/>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1F2E57F6"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tcPr>
          <w:p w14:paraId="1AE52A07" w14:textId="45C3418D" w:rsidR="004B4EF8" w:rsidRPr="00480790" w:rsidRDefault="004B4EF8">
            <w:pPr>
              <w:keepLines/>
              <w:jc w:val="center"/>
              <w:rPr>
                <w:rFonts w:ascii="Arial Narrow" w:hAnsi="Arial Narrow"/>
                <w:sz w:val="20"/>
                <w:szCs w:val="20"/>
              </w:rPr>
            </w:pPr>
          </w:p>
        </w:tc>
        <w:tc>
          <w:tcPr>
            <w:tcW w:w="7745" w:type="dxa"/>
            <w:gridSpan w:val="6"/>
          </w:tcPr>
          <w:p w14:paraId="648A0D55" w14:textId="77777777" w:rsidR="004B4EF8" w:rsidRPr="00480790" w:rsidRDefault="004B4EF8">
            <w:pPr>
              <w:keepLines/>
              <w:rPr>
                <w:rFonts w:ascii="Arial Narrow" w:hAnsi="Arial Narrow"/>
                <w:b/>
                <w:bCs/>
                <w:sz w:val="20"/>
                <w:szCs w:val="20"/>
              </w:rPr>
            </w:pPr>
            <w:r w:rsidRPr="00480790">
              <w:rPr>
                <w:rFonts w:ascii="Arial Narrow" w:hAnsi="Arial Narrow" w:cs="Open Sans"/>
                <w:sz w:val="20"/>
                <w:szCs w:val="20"/>
              </w:rPr>
              <w:t>The condition must be non-squamous type non-small cell lung cancer (NSCLC) or not otherwise specified type NSCLC</w:t>
            </w:r>
          </w:p>
        </w:tc>
      </w:tr>
      <w:tr w:rsidR="00AB01EA" w:rsidRPr="00480790" w14:paraId="5FCF007F"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tcPr>
          <w:p w14:paraId="4FF1494A" w14:textId="77777777" w:rsidR="004B4EF8" w:rsidRPr="00480790" w:rsidRDefault="004B4EF8">
            <w:pPr>
              <w:keepLines/>
              <w:jc w:val="center"/>
              <w:rPr>
                <w:rFonts w:ascii="Arial Narrow" w:hAnsi="Arial Narrow"/>
                <w:sz w:val="20"/>
                <w:szCs w:val="20"/>
              </w:rPr>
            </w:pPr>
          </w:p>
        </w:tc>
        <w:tc>
          <w:tcPr>
            <w:tcW w:w="7745" w:type="dxa"/>
            <w:gridSpan w:val="6"/>
          </w:tcPr>
          <w:p w14:paraId="76957C50" w14:textId="77777777" w:rsidR="004B4EF8" w:rsidRPr="00480790" w:rsidRDefault="004B4EF8">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222DB5FD"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tcPr>
          <w:p w14:paraId="2352F6A8" w14:textId="6EB68E65" w:rsidR="004B4EF8" w:rsidRPr="00480790" w:rsidRDefault="004B4EF8">
            <w:pPr>
              <w:keepLines/>
              <w:jc w:val="center"/>
              <w:rPr>
                <w:rFonts w:ascii="Arial Narrow" w:hAnsi="Arial Narrow"/>
                <w:sz w:val="20"/>
                <w:szCs w:val="20"/>
              </w:rPr>
            </w:pPr>
          </w:p>
        </w:tc>
        <w:tc>
          <w:tcPr>
            <w:tcW w:w="7745" w:type="dxa"/>
            <w:gridSpan w:val="6"/>
          </w:tcPr>
          <w:p w14:paraId="40CD61CC" w14:textId="77777777" w:rsidR="004B4EF8" w:rsidRPr="00480790" w:rsidRDefault="004B4EF8">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0F36E3A2"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tcPr>
          <w:p w14:paraId="4EAB6D72" w14:textId="6C81A02A" w:rsidR="004B4EF8" w:rsidRPr="00480790" w:rsidRDefault="004B4EF8">
            <w:pPr>
              <w:keepLines/>
              <w:jc w:val="center"/>
              <w:rPr>
                <w:rFonts w:ascii="Arial Narrow" w:hAnsi="Arial Narrow"/>
                <w:sz w:val="20"/>
                <w:szCs w:val="20"/>
              </w:rPr>
            </w:pPr>
          </w:p>
        </w:tc>
        <w:tc>
          <w:tcPr>
            <w:tcW w:w="7745" w:type="dxa"/>
            <w:gridSpan w:val="6"/>
          </w:tcPr>
          <w:p w14:paraId="219293A5" w14:textId="77777777" w:rsidR="004B4EF8" w:rsidRPr="00480790" w:rsidRDefault="004B4EF8">
            <w:pPr>
              <w:keepLines/>
              <w:rPr>
                <w:rFonts w:ascii="Arial Narrow" w:hAnsi="Arial Narrow"/>
                <w:sz w:val="20"/>
                <w:szCs w:val="20"/>
              </w:rPr>
            </w:pPr>
            <w:r w:rsidRPr="00480790">
              <w:rPr>
                <w:rFonts w:ascii="Arial Narrow" w:hAnsi="Arial Narrow" w:cs="Open Sans"/>
                <w:sz w:val="20"/>
                <w:szCs w:val="20"/>
              </w:rPr>
              <w:t>Patient must have a WHO performance status of 2 or less</w:t>
            </w:r>
          </w:p>
        </w:tc>
      </w:tr>
      <w:tr w:rsidR="00AB01EA" w:rsidRPr="00480790" w14:paraId="2DE792DA"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tcPr>
          <w:p w14:paraId="47C7644A" w14:textId="77777777" w:rsidR="004B4EF8" w:rsidRPr="00480790" w:rsidRDefault="004B4EF8">
            <w:pPr>
              <w:keepLines/>
              <w:jc w:val="center"/>
              <w:rPr>
                <w:rFonts w:ascii="Arial Narrow" w:hAnsi="Arial Narrow"/>
                <w:sz w:val="20"/>
                <w:szCs w:val="20"/>
              </w:rPr>
            </w:pPr>
          </w:p>
        </w:tc>
        <w:tc>
          <w:tcPr>
            <w:tcW w:w="7745" w:type="dxa"/>
            <w:gridSpan w:val="6"/>
          </w:tcPr>
          <w:p w14:paraId="475F4BB1" w14:textId="77777777" w:rsidR="004B4EF8" w:rsidRPr="00480790" w:rsidRDefault="004B4EF8">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6DD0160C"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tcPr>
          <w:p w14:paraId="27F98EF6" w14:textId="43EA659E" w:rsidR="004B4EF8" w:rsidRPr="00480790" w:rsidRDefault="004B4EF8">
            <w:pPr>
              <w:keepLines/>
              <w:jc w:val="center"/>
              <w:rPr>
                <w:rFonts w:ascii="Arial Narrow" w:hAnsi="Arial Narrow"/>
                <w:sz w:val="20"/>
                <w:szCs w:val="20"/>
              </w:rPr>
            </w:pPr>
          </w:p>
        </w:tc>
        <w:tc>
          <w:tcPr>
            <w:tcW w:w="7745" w:type="dxa"/>
            <w:gridSpan w:val="6"/>
          </w:tcPr>
          <w:p w14:paraId="2BEE3E12" w14:textId="77777777" w:rsidR="004B4EF8" w:rsidRPr="00480790" w:rsidRDefault="004B4EF8">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5D2A994D"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tcPr>
          <w:p w14:paraId="62EABE92" w14:textId="124929B4" w:rsidR="004B4EF8" w:rsidRPr="00480790" w:rsidRDefault="004B4EF8">
            <w:pPr>
              <w:keepLines/>
              <w:jc w:val="center"/>
              <w:rPr>
                <w:rFonts w:ascii="Arial Narrow" w:hAnsi="Arial Narrow"/>
                <w:sz w:val="20"/>
                <w:szCs w:val="20"/>
              </w:rPr>
            </w:pPr>
          </w:p>
        </w:tc>
        <w:tc>
          <w:tcPr>
            <w:tcW w:w="7745" w:type="dxa"/>
            <w:gridSpan w:val="6"/>
          </w:tcPr>
          <w:p w14:paraId="629DDCC0" w14:textId="77777777" w:rsidR="004B4EF8" w:rsidRPr="00480790" w:rsidRDefault="004B4EF8">
            <w:pPr>
              <w:keepLines/>
              <w:rPr>
                <w:rFonts w:ascii="Arial Narrow" w:hAnsi="Arial Narrow"/>
                <w:sz w:val="20"/>
                <w:szCs w:val="20"/>
              </w:rPr>
            </w:pPr>
            <w:r w:rsidRPr="00480790">
              <w:rPr>
                <w:rFonts w:ascii="Arial Narrow" w:hAnsi="Arial Narrow" w:cs="Open Sans"/>
                <w:sz w:val="20"/>
                <w:szCs w:val="20"/>
              </w:rPr>
              <w:t>Patient must have evidence of an anaplastic lymphoma kinase (ALK) gene rearrangement in tumour material, defined as either: (i) 15% (or greater) positive cells by fluorescence in situ hybridisation (FISH) testing, (ii) positive next generation sequencing (NGS) testing</w:t>
            </w:r>
          </w:p>
        </w:tc>
      </w:tr>
      <w:tr w:rsidR="00AB01EA" w:rsidRPr="00480790" w14:paraId="621242A7" w14:textId="77777777" w:rsidTr="00A92F30">
        <w:tblPrEx>
          <w:tblCellMar>
            <w:top w:w="15" w:type="dxa"/>
            <w:bottom w:w="15" w:type="dxa"/>
          </w:tblCellMar>
          <w:tblLook w:val="04A0" w:firstRow="1" w:lastRow="0" w:firstColumn="1" w:lastColumn="0" w:noHBand="0" w:noVBand="1"/>
        </w:tblPrEx>
        <w:trPr>
          <w:cantSplit/>
          <w:trHeight w:val="20"/>
        </w:trPr>
        <w:tc>
          <w:tcPr>
            <w:tcW w:w="1277" w:type="dxa"/>
            <w:gridSpan w:val="2"/>
          </w:tcPr>
          <w:p w14:paraId="4647F9DC" w14:textId="77777777" w:rsidR="004B4EF8" w:rsidRPr="00480790" w:rsidRDefault="004B4EF8">
            <w:pPr>
              <w:keepLines/>
              <w:jc w:val="center"/>
              <w:rPr>
                <w:rFonts w:ascii="Arial Narrow" w:hAnsi="Arial Narrow" w:cs="Open Sans"/>
                <w:sz w:val="20"/>
                <w:szCs w:val="20"/>
              </w:rPr>
            </w:pPr>
          </w:p>
        </w:tc>
        <w:tc>
          <w:tcPr>
            <w:tcW w:w="7745" w:type="dxa"/>
            <w:gridSpan w:val="6"/>
          </w:tcPr>
          <w:p w14:paraId="5249536C" w14:textId="77777777" w:rsidR="004B4EF8" w:rsidRPr="00480790" w:rsidRDefault="004B4EF8">
            <w:pPr>
              <w:keepLines/>
              <w:rPr>
                <w:rFonts w:ascii="Arial Narrow" w:hAnsi="Arial Narrow" w:cs="Open Sans"/>
                <w:sz w:val="20"/>
                <w:szCs w:val="20"/>
              </w:rPr>
            </w:pPr>
          </w:p>
        </w:tc>
      </w:tr>
      <w:tr w:rsidR="00AB01EA" w:rsidRPr="00480790" w14:paraId="79E921C8" w14:textId="77777777" w:rsidTr="00216B1F">
        <w:trPr>
          <w:cantSplit/>
          <w:trHeight w:val="20"/>
        </w:trPr>
        <w:tc>
          <w:tcPr>
            <w:tcW w:w="3401" w:type="dxa"/>
            <w:gridSpan w:val="3"/>
            <w:vAlign w:val="center"/>
          </w:tcPr>
          <w:p w14:paraId="449C9E5F" w14:textId="77777777" w:rsidR="00A92F30" w:rsidRPr="00480790" w:rsidRDefault="00A92F30">
            <w:pPr>
              <w:keepLines/>
              <w:rPr>
                <w:rFonts w:ascii="Arial Narrow" w:hAnsi="Arial Narrow"/>
                <w:b/>
                <w:bCs/>
                <w:sz w:val="20"/>
                <w:szCs w:val="20"/>
              </w:rPr>
            </w:pPr>
            <w:r w:rsidRPr="00480790">
              <w:rPr>
                <w:rFonts w:ascii="Arial Narrow" w:hAnsi="Arial Narrow"/>
                <w:b/>
                <w:bCs/>
                <w:sz w:val="20"/>
                <w:szCs w:val="20"/>
              </w:rPr>
              <w:t>MEDICINAL PRODUCT</w:t>
            </w:r>
          </w:p>
          <w:p w14:paraId="47748ABD" w14:textId="77777777" w:rsidR="00A92F30" w:rsidRPr="00480790" w:rsidRDefault="00A92F30">
            <w:pPr>
              <w:keepLines/>
              <w:rPr>
                <w:rFonts w:ascii="Arial Narrow" w:hAnsi="Arial Narrow"/>
                <w:b/>
                <w:sz w:val="20"/>
                <w:szCs w:val="20"/>
              </w:rPr>
            </w:pPr>
            <w:r w:rsidRPr="00480790">
              <w:rPr>
                <w:rFonts w:ascii="Arial Narrow" w:hAnsi="Arial Narrow"/>
                <w:b/>
                <w:bCs/>
                <w:sz w:val="20"/>
                <w:szCs w:val="20"/>
              </w:rPr>
              <w:t>medicinal product pack</w:t>
            </w:r>
          </w:p>
        </w:tc>
        <w:tc>
          <w:tcPr>
            <w:tcW w:w="993" w:type="dxa"/>
            <w:vAlign w:val="center"/>
          </w:tcPr>
          <w:p w14:paraId="5CFB4189" w14:textId="77777777" w:rsidR="00A92F30" w:rsidRPr="00480790" w:rsidRDefault="00A92F30">
            <w:pPr>
              <w:keepLines/>
              <w:jc w:val="center"/>
              <w:rPr>
                <w:rFonts w:ascii="Arial Narrow" w:hAnsi="Arial Narrow"/>
                <w:b/>
                <w:sz w:val="20"/>
                <w:szCs w:val="20"/>
              </w:rPr>
            </w:pPr>
            <w:r w:rsidRPr="00480790">
              <w:rPr>
                <w:rFonts w:ascii="Arial Narrow" w:hAnsi="Arial Narrow"/>
                <w:b/>
                <w:sz w:val="20"/>
                <w:szCs w:val="20"/>
              </w:rPr>
              <w:t>PBS item code</w:t>
            </w:r>
          </w:p>
        </w:tc>
        <w:tc>
          <w:tcPr>
            <w:tcW w:w="992" w:type="dxa"/>
            <w:vAlign w:val="center"/>
          </w:tcPr>
          <w:p w14:paraId="2E0E0C8C" w14:textId="77777777" w:rsidR="00A92F30" w:rsidRPr="00480790" w:rsidRDefault="00A92F30">
            <w:pPr>
              <w:keepLines/>
              <w:jc w:val="center"/>
              <w:rPr>
                <w:rFonts w:ascii="Arial Narrow" w:hAnsi="Arial Narrow"/>
                <w:b/>
                <w:sz w:val="20"/>
                <w:szCs w:val="20"/>
              </w:rPr>
            </w:pPr>
            <w:r w:rsidRPr="00480790">
              <w:rPr>
                <w:rFonts w:ascii="Arial Narrow" w:hAnsi="Arial Narrow"/>
                <w:b/>
                <w:sz w:val="20"/>
                <w:szCs w:val="20"/>
              </w:rPr>
              <w:t>Max. qty packs</w:t>
            </w:r>
          </w:p>
        </w:tc>
        <w:tc>
          <w:tcPr>
            <w:tcW w:w="991" w:type="dxa"/>
            <w:vAlign w:val="center"/>
          </w:tcPr>
          <w:p w14:paraId="6C042049" w14:textId="77777777" w:rsidR="00A92F30" w:rsidRPr="00480790" w:rsidRDefault="00A92F30">
            <w:pPr>
              <w:keepLines/>
              <w:jc w:val="center"/>
              <w:rPr>
                <w:rFonts w:ascii="Arial Narrow" w:hAnsi="Arial Narrow"/>
                <w:b/>
                <w:sz w:val="20"/>
                <w:szCs w:val="20"/>
              </w:rPr>
            </w:pPr>
            <w:r w:rsidRPr="00480790">
              <w:rPr>
                <w:rFonts w:ascii="Arial Narrow" w:hAnsi="Arial Narrow"/>
                <w:b/>
                <w:sz w:val="20"/>
                <w:szCs w:val="20"/>
              </w:rPr>
              <w:t>Max. qty units</w:t>
            </w:r>
          </w:p>
        </w:tc>
        <w:tc>
          <w:tcPr>
            <w:tcW w:w="812" w:type="dxa"/>
            <w:vAlign w:val="center"/>
          </w:tcPr>
          <w:p w14:paraId="75579105" w14:textId="77777777" w:rsidR="00A92F30" w:rsidRPr="00480790" w:rsidRDefault="00A92F30">
            <w:pPr>
              <w:keepLines/>
              <w:jc w:val="center"/>
              <w:rPr>
                <w:rFonts w:ascii="Arial Narrow" w:hAnsi="Arial Narrow"/>
                <w:b/>
                <w:bCs/>
                <w:sz w:val="20"/>
                <w:szCs w:val="20"/>
              </w:rPr>
            </w:pPr>
            <w:r w:rsidRPr="00480790">
              <w:rPr>
                <w:rFonts w:ascii="Arial Narrow" w:hAnsi="Arial Narrow"/>
                <w:b/>
                <w:bCs/>
                <w:sz w:val="20"/>
                <w:szCs w:val="20"/>
              </w:rPr>
              <w:t>№.of</w:t>
            </w:r>
          </w:p>
          <w:p w14:paraId="3B635A70" w14:textId="77777777" w:rsidR="00A92F30" w:rsidRPr="00480790" w:rsidRDefault="00A92F30">
            <w:pPr>
              <w:keepLines/>
              <w:jc w:val="center"/>
              <w:rPr>
                <w:rFonts w:ascii="Arial Narrow" w:hAnsi="Arial Narrow"/>
                <w:b/>
                <w:bCs/>
                <w:sz w:val="20"/>
                <w:szCs w:val="20"/>
              </w:rPr>
            </w:pPr>
            <w:r w:rsidRPr="00480790">
              <w:rPr>
                <w:rFonts w:ascii="Arial Narrow" w:hAnsi="Arial Narrow"/>
                <w:b/>
                <w:bCs/>
                <w:sz w:val="20"/>
                <w:szCs w:val="20"/>
              </w:rPr>
              <w:t>Rpts</w:t>
            </w:r>
          </w:p>
        </w:tc>
        <w:tc>
          <w:tcPr>
            <w:tcW w:w="1833" w:type="dxa"/>
            <w:vAlign w:val="center"/>
          </w:tcPr>
          <w:p w14:paraId="6D914AA2" w14:textId="77777777" w:rsidR="00A92F30" w:rsidRPr="00480790" w:rsidRDefault="00A92F30">
            <w:pPr>
              <w:keepLines/>
              <w:rPr>
                <w:rFonts w:ascii="Arial Narrow" w:hAnsi="Arial Narrow"/>
                <w:b/>
                <w:sz w:val="20"/>
                <w:szCs w:val="20"/>
              </w:rPr>
            </w:pPr>
            <w:r w:rsidRPr="00480790">
              <w:rPr>
                <w:rFonts w:ascii="Arial Narrow" w:hAnsi="Arial Narrow"/>
                <w:b/>
                <w:sz w:val="20"/>
                <w:szCs w:val="20"/>
              </w:rPr>
              <w:t>Available brands</w:t>
            </w:r>
          </w:p>
        </w:tc>
      </w:tr>
      <w:tr w:rsidR="00AB01EA" w:rsidRPr="00480790" w14:paraId="4FFEBF4A" w14:textId="77777777" w:rsidTr="00216B1F">
        <w:trPr>
          <w:cantSplit/>
          <w:trHeight w:val="20"/>
        </w:trPr>
        <w:tc>
          <w:tcPr>
            <w:tcW w:w="9022" w:type="dxa"/>
            <w:gridSpan w:val="8"/>
            <w:vAlign w:val="center"/>
          </w:tcPr>
          <w:p w14:paraId="7FC1FC73" w14:textId="77777777" w:rsidR="00A92F30" w:rsidRPr="00480790" w:rsidRDefault="00A92F30">
            <w:pPr>
              <w:keepLines/>
              <w:rPr>
                <w:rFonts w:ascii="Arial Narrow" w:hAnsi="Arial Narrow"/>
                <w:sz w:val="20"/>
                <w:szCs w:val="20"/>
              </w:rPr>
            </w:pPr>
            <w:r w:rsidRPr="00480790">
              <w:rPr>
                <w:rFonts w:ascii="Arial Narrow" w:hAnsi="Arial Narrow"/>
                <w:sz w:val="20"/>
                <w:szCs w:val="20"/>
              </w:rPr>
              <w:t>BRIGATINIB</w:t>
            </w:r>
          </w:p>
        </w:tc>
      </w:tr>
      <w:tr w:rsidR="00AB01EA" w:rsidRPr="00480790" w14:paraId="1BD8D176" w14:textId="77777777" w:rsidTr="00216B1F">
        <w:trPr>
          <w:cantSplit/>
          <w:trHeight w:val="20"/>
        </w:trPr>
        <w:tc>
          <w:tcPr>
            <w:tcW w:w="3401" w:type="dxa"/>
            <w:gridSpan w:val="3"/>
            <w:vAlign w:val="center"/>
          </w:tcPr>
          <w:p w14:paraId="7AFD48EE" w14:textId="77777777" w:rsidR="00A92F30" w:rsidRPr="00480790" w:rsidRDefault="00A92F30">
            <w:pPr>
              <w:keepLines/>
              <w:rPr>
                <w:rFonts w:ascii="Arial Narrow" w:hAnsi="Arial Narrow"/>
                <w:sz w:val="20"/>
                <w:szCs w:val="20"/>
              </w:rPr>
            </w:pPr>
            <w:r w:rsidRPr="00480790">
              <w:rPr>
                <w:rFonts w:ascii="Arial Narrow" w:hAnsi="Arial Narrow"/>
                <w:sz w:val="20"/>
                <w:szCs w:val="20"/>
              </w:rPr>
              <w:t>brigatinib 30 mg tablet, 28</w:t>
            </w:r>
          </w:p>
        </w:tc>
        <w:tc>
          <w:tcPr>
            <w:tcW w:w="993" w:type="dxa"/>
            <w:vAlign w:val="center"/>
          </w:tcPr>
          <w:p w14:paraId="61E3C480" w14:textId="77777777" w:rsidR="00A92F30" w:rsidRPr="00480790" w:rsidRDefault="00A92F30">
            <w:pPr>
              <w:keepLines/>
              <w:jc w:val="center"/>
              <w:rPr>
                <w:rFonts w:ascii="Arial Narrow" w:hAnsi="Arial Narrow"/>
                <w:sz w:val="20"/>
                <w:szCs w:val="20"/>
              </w:rPr>
            </w:pPr>
            <w:r w:rsidRPr="00480790">
              <w:rPr>
                <w:rFonts w:ascii="Arial Narrow" w:hAnsi="Arial Narrow"/>
                <w:sz w:val="20"/>
                <w:szCs w:val="20"/>
              </w:rPr>
              <w:t>11980M </w:t>
            </w:r>
          </w:p>
        </w:tc>
        <w:tc>
          <w:tcPr>
            <w:tcW w:w="992" w:type="dxa"/>
            <w:vAlign w:val="center"/>
          </w:tcPr>
          <w:p w14:paraId="79F64E05" w14:textId="77777777" w:rsidR="00A92F30" w:rsidRPr="00480790" w:rsidRDefault="00A92F30">
            <w:pPr>
              <w:keepLines/>
              <w:jc w:val="center"/>
              <w:rPr>
                <w:rFonts w:ascii="Arial Narrow" w:hAnsi="Arial Narrow"/>
                <w:sz w:val="20"/>
                <w:szCs w:val="20"/>
              </w:rPr>
            </w:pPr>
            <w:r w:rsidRPr="00480790">
              <w:rPr>
                <w:rFonts w:ascii="Arial Narrow" w:hAnsi="Arial Narrow"/>
                <w:sz w:val="20"/>
                <w:szCs w:val="20"/>
              </w:rPr>
              <w:t>4</w:t>
            </w:r>
          </w:p>
        </w:tc>
        <w:tc>
          <w:tcPr>
            <w:tcW w:w="991" w:type="dxa"/>
            <w:vAlign w:val="center"/>
          </w:tcPr>
          <w:p w14:paraId="791C08C1" w14:textId="77777777" w:rsidR="00A92F30" w:rsidRPr="00480790" w:rsidRDefault="00A92F30">
            <w:pPr>
              <w:keepLines/>
              <w:jc w:val="center"/>
              <w:rPr>
                <w:rFonts w:ascii="Arial Narrow" w:hAnsi="Arial Narrow"/>
                <w:sz w:val="20"/>
                <w:szCs w:val="20"/>
              </w:rPr>
            </w:pPr>
            <w:r w:rsidRPr="00480790">
              <w:rPr>
                <w:rFonts w:ascii="Arial Narrow" w:hAnsi="Arial Narrow"/>
                <w:sz w:val="20"/>
                <w:szCs w:val="20"/>
              </w:rPr>
              <w:t>112</w:t>
            </w:r>
          </w:p>
        </w:tc>
        <w:tc>
          <w:tcPr>
            <w:tcW w:w="812" w:type="dxa"/>
            <w:vAlign w:val="center"/>
          </w:tcPr>
          <w:p w14:paraId="4388C687" w14:textId="77777777" w:rsidR="00A92F30" w:rsidRPr="00480790" w:rsidRDefault="00A92F30">
            <w:pPr>
              <w:keepLines/>
              <w:jc w:val="center"/>
              <w:rPr>
                <w:rFonts w:ascii="Arial Narrow" w:hAnsi="Arial Narrow"/>
                <w:sz w:val="20"/>
                <w:szCs w:val="20"/>
              </w:rPr>
            </w:pPr>
            <w:r w:rsidRPr="00480790">
              <w:rPr>
                <w:rFonts w:ascii="Arial Narrow" w:hAnsi="Arial Narrow"/>
                <w:sz w:val="20"/>
                <w:szCs w:val="20"/>
              </w:rPr>
              <w:t>3</w:t>
            </w:r>
          </w:p>
        </w:tc>
        <w:tc>
          <w:tcPr>
            <w:tcW w:w="1833" w:type="dxa"/>
            <w:vAlign w:val="center"/>
          </w:tcPr>
          <w:p w14:paraId="713510F7" w14:textId="77777777" w:rsidR="00A92F30" w:rsidRPr="00480790" w:rsidRDefault="00A92F30">
            <w:pPr>
              <w:keepLines/>
              <w:rPr>
                <w:rFonts w:ascii="Arial Narrow" w:hAnsi="Arial Narrow"/>
                <w:sz w:val="20"/>
                <w:szCs w:val="20"/>
              </w:rPr>
            </w:pPr>
            <w:r w:rsidRPr="00480790">
              <w:rPr>
                <w:rFonts w:ascii="Arial Narrow" w:hAnsi="Arial Narrow"/>
                <w:sz w:val="20"/>
                <w:szCs w:val="20"/>
              </w:rPr>
              <w:t>Alunbrig</w:t>
            </w:r>
          </w:p>
        </w:tc>
      </w:tr>
      <w:tr w:rsidR="00AB01EA" w:rsidRPr="00480790" w14:paraId="13C486DC" w14:textId="77777777" w:rsidTr="00216B1F">
        <w:trPr>
          <w:cantSplit/>
          <w:trHeight w:val="20"/>
        </w:trPr>
        <w:tc>
          <w:tcPr>
            <w:tcW w:w="3401" w:type="dxa"/>
            <w:gridSpan w:val="3"/>
            <w:vAlign w:val="center"/>
          </w:tcPr>
          <w:p w14:paraId="67E86DE9" w14:textId="77777777" w:rsidR="00A92F30" w:rsidRPr="00480790" w:rsidRDefault="00A92F30">
            <w:pPr>
              <w:keepLines/>
              <w:rPr>
                <w:rFonts w:ascii="Arial Narrow" w:hAnsi="Arial Narrow"/>
                <w:sz w:val="20"/>
                <w:szCs w:val="20"/>
              </w:rPr>
            </w:pPr>
            <w:r w:rsidRPr="00480790">
              <w:rPr>
                <w:rFonts w:ascii="Arial Narrow" w:hAnsi="Arial Narrow"/>
                <w:sz w:val="20"/>
                <w:szCs w:val="20"/>
              </w:rPr>
              <w:t>brigatinib 90 mg tablet, 28</w:t>
            </w:r>
          </w:p>
        </w:tc>
        <w:tc>
          <w:tcPr>
            <w:tcW w:w="993" w:type="dxa"/>
            <w:vAlign w:val="center"/>
          </w:tcPr>
          <w:p w14:paraId="5ACD7FE0" w14:textId="77777777" w:rsidR="00A92F30" w:rsidRPr="00480790" w:rsidRDefault="00A92F30">
            <w:pPr>
              <w:keepLines/>
              <w:jc w:val="center"/>
              <w:rPr>
                <w:rFonts w:ascii="Arial Narrow" w:hAnsi="Arial Narrow"/>
                <w:sz w:val="20"/>
                <w:szCs w:val="20"/>
              </w:rPr>
            </w:pPr>
            <w:r w:rsidRPr="00480790">
              <w:rPr>
                <w:rFonts w:ascii="Arial Narrow" w:hAnsi="Arial Narrow"/>
                <w:sz w:val="20"/>
                <w:szCs w:val="20"/>
              </w:rPr>
              <w:t>11974F </w:t>
            </w:r>
          </w:p>
        </w:tc>
        <w:tc>
          <w:tcPr>
            <w:tcW w:w="992" w:type="dxa"/>
            <w:vAlign w:val="center"/>
          </w:tcPr>
          <w:p w14:paraId="18AF945C" w14:textId="77777777" w:rsidR="00A92F30" w:rsidRPr="00480790" w:rsidRDefault="00A92F30">
            <w:pPr>
              <w:keepLines/>
              <w:jc w:val="center"/>
              <w:rPr>
                <w:rFonts w:ascii="Arial Narrow" w:hAnsi="Arial Narrow"/>
                <w:sz w:val="20"/>
                <w:szCs w:val="20"/>
              </w:rPr>
            </w:pPr>
            <w:r w:rsidRPr="00480790">
              <w:rPr>
                <w:rFonts w:ascii="Arial Narrow" w:hAnsi="Arial Narrow"/>
                <w:sz w:val="20"/>
                <w:szCs w:val="20"/>
              </w:rPr>
              <w:t>1</w:t>
            </w:r>
          </w:p>
        </w:tc>
        <w:tc>
          <w:tcPr>
            <w:tcW w:w="991" w:type="dxa"/>
            <w:vAlign w:val="center"/>
          </w:tcPr>
          <w:p w14:paraId="22DB5B0D" w14:textId="77777777" w:rsidR="00A92F30" w:rsidRPr="00480790" w:rsidRDefault="00A92F30">
            <w:pPr>
              <w:keepLines/>
              <w:jc w:val="center"/>
              <w:rPr>
                <w:rFonts w:ascii="Arial Narrow" w:hAnsi="Arial Narrow"/>
                <w:sz w:val="20"/>
                <w:szCs w:val="20"/>
              </w:rPr>
            </w:pPr>
            <w:r w:rsidRPr="00480790">
              <w:rPr>
                <w:rFonts w:ascii="Arial Narrow" w:hAnsi="Arial Narrow"/>
                <w:sz w:val="20"/>
                <w:szCs w:val="20"/>
              </w:rPr>
              <w:t>28</w:t>
            </w:r>
          </w:p>
        </w:tc>
        <w:tc>
          <w:tcPr>
            <w:tcW w:w="812" w:type="dxa"/>
            <w:vAlign w:val="center"/>
          </w:tcPr>
          <w:p w14:paraId="5440BC17" w14:textId="77777777" w:rsidR="00A92F30" w:rsidRPr="00480790" w:rsidRDefault="00A92F30">
            <w:pPr>
              <w:keepLines/>
              <w:jc w:val="center"/>
              <w:rPr>
                <w:rFonts w:ascii="Arial Narrow" w:hAnsi="Arial Narrow"/>
                <w:sz w:val="20"/>
                <w:szCs w:val="20"/>
              </w:rPr>
            </w:pPr>
            <w:r w:rsidRPr="00480790">
              <w:rPr>
                <w:rFonts w:ascii="Arial Narrow" w:hAnsi="Arial Narrow"/>
                <w:sz w:val="20"/>
                <w:szCs w:val="20"/>
              </w:rPr>
              <w:t>3</w:t>
            </w:r>
          </w:p>
        </w:tc>
        <w:tc>
          <w:tcPr>
            <w:tcW w:w="1833" w:type="dxa"/>
            <w:vAlign w:val="center"/>
          </w:tcPr>
          <w:p w14:paraId="527CAB4D" w14:textId="77777777" w:rsidR="00A92F30" w:rsidRPr="00480790" w:rsidRDefault="00A92F30">
            <w:pPr>
              <w:keepLines/>
              <w:rPr>
                <w:rFonts w:ascii="Arial Narrow" w:hAnsi="Arial Narrow"/>
                <w:sz w:val="20"/>
                <w:szCs w:val="20"/>
              </w:rPr>
            </w:pPr>
            <w:r w:rsidRPr="00480790">
              <w:rPr>
                <w:rFonts w:ascii="Arial Narrow" w:hAnsi="Arial Narrow"/>
                <w:sz w:val="20"/>
                <w:szCs w:val="20"/>
              </w:rPr>
              <w:t>Alunbrig</w:t>
            </w:r>
          </w:p>
        </w:tc>
      </w:tr>
      <w:tr w:rsidR="00AB01EA" w:rsidRPr="00480790" w14:paraId="34CEE1FC" w14:textId="77777777" w:rsidTr="00216B1F">
        <w:trPr>
          <w:cantSplit/>
          <w:trHeight w:val="20"/>
        </w:trPr>
        <w:tc>
          <w:tcPr>
            <w:tcW w:w="3401" w:type="dxa"/>
            <w:gridSpan w:val="3"/>
            <w:vAlign w:val="center"/>
          </w:tcPr>
          <w:p w14:paraId="7576703F" w14:textId="77777777" w:rsidR="00A92F30" w:rsidRPr="00480790" w:rsidRDefault="00A92F30">
            <w:pPr>
              <w:keepLines/>
              <w:rPr>
                <w:rFonts w:ascii="Arial Narrow" w:hAnsi="Arial Narrow"/>
                <w:sz w:val="20"/>
                <w:szCs w:val="20"/>
              </w:rPr>
            </w:pPr>
            <w:r w:rsidRPr="00480790">
              <w:rPr>
                <w:rFonts w:ascii="Arial Narrow" w:hAnsi="Arial Narrow"/>
                <w:sz w:val="20"/>
                <w:szCs w:val="20"/>
              </w:rPr>
              <w:t>brigatinib 180 mg tablet, 28</w:t>
            </w:r>
          </w:p>
        </w:tc>
        <w:tc>
          <w:tcPr>
            <w:tcW w:w="993" w:type="dxa"/>
            <w:vAlign w:val="center"/>
          </w:tcPr>
          <w:p w14:paraId="5BBD2848" w14:textId="77777777" w:rsidR="00A92F30" w:rsidRPr="00480790" w:rsidRDefault="00A92F30">
            <w:pPr>
              <w:keepLines/>
              <w:jc w:val="center"/>
              <w:rPr>
                <w:rFonts w:ascii="Arial Narrow" w:hAnsi="Arial Narrow"/>
                <w:sz w:val="20"/>
                <w:szCs w:val="20"/>
              </w:rPr>
            </w:pPr>
            <w:r w:rsidRPr="00480790">
              <w:rPr>
                <w:rFonts w:ascii="Arial Narrow" w:hAnsi="Arial Narrow"/>
                <w:sz w:val="20"/>
                <w:szCs w:val="20"/>
              </w:rPr>
              <w:t>11984R</w:t>
            </w:r>
          </w:p>
        </w:tc>
        <w:tc>
          <w:tcPr>
            <w:tcW w:w="992" w:type="dxa"/>
            <w:vAlign w:val="center"/>
          </w:tcPr>
          <w:p w14:paraId="02BF34B1" w14:textId="77777777" w:rsidR="00A92F30" w:rsidRPr="00480790" w:rsidRDefault="00A92F30">
            <w:pPr>
              <w:keepLines/>
              <w:jc w:val="center"/>
              <w:rPr>
                <w:rFonts w:ascii="Arial Narrow" w:hAnsi="Arial Narrow"/>
                <w:sz w:val="20"/>
                <w:szCs w:val="20"/>
              </w:rPr>
            </w:pPr>
            <w:r w:rsidRPr="00480790">
              <w:rPr>
                <w:rFonts w:ascii="Arial Narrow" w:hAnsi="Arial Narrow"/>
                <w:sz w:val="20"/>
                <w:szCs w:val="20"/>
              </w:rPr>
              <w:t>1</w:t>
            </w:r>
          </w:p>
        </w:tc>
        <w:tc>
          <w:tcPr>
            <w:tcW w:w="991" w:type="dxa"/>
            <w:vAlign w:val="center"/>
          </w:tcPr>
          <w:p w14:paraId="7C55184E" w14:textId="77777777" w:rsidR="00A92F30" w:rsidRPr="00480790" w:rsidRDefault="00A92F30">
            <w:pPr>
              <w:keepLines/>
              <w:jc w:val="center"/>
              <w:rPr>
                <w:rFonts w:ascii="Arial Narrow" w:hAnsi="Arial Narrow"/>
                <w:sz w:val="20"/>
                <w:szCs w:val="20"/>
              </w:rPr>
            </w:pPr>
            <w:r w:rsidRPr="00480790">
              <w:rPr>
                <w:rFonts w:ascii="Arial Narrow" w:hAnsi="Arial Narrow"/>
                <w:sz w:val="20"/>
                <w:szCs w:val="20"/>
              </w:rPr>
              <w:t>28</w:t>
            </w:r>
          </w:p>
        </w:tc>
        <w:tc>
          <w:tcPr>
            <w:tcW w:w="812" w:type="dxa"/>
            <w:vAlign w:val="center"/>
          </w:tcPr>
          <w:p w14:paraId="67925668" w14:textId="77777777" w:rsidR="00A92F30" w:rsidRPr="00480790" w:rsidRDefault="00A92F30">
            <w:pPr>
              <w:keepLines/>
              <w:jc w:val="center"/>
              <w:rPr>
                <w:rFonts w:ascii="Arial Narrow" w:hAnsi="Arial Narrow"/>
                <w:sz w:val="20"/>
                <w:szCs w:val="20"/>
              </w:rPr>
            </w:pPr>
            <w:r w:rsidRPr="00480790">
              <w:rPr>
                <w:rFonts w:ascii="Arial Narrow" w:hAnsi="Arial Narrow"/>
                <w:sz w:val="20"/>
                <w:szCs w:val="20"/>
              </w:rPr>
              <w:t>3</w:t>
            </w:r>
          </w:p>
        </w:tc>
        <w:tc>
          <w:tcPr>
            <w:tcW w:w="1833" w:type="dxa"/>
            <w:vAlign w:val="center"/>
          </w:tcPr>
          <w:p w14:paraId="7409BE1A" w14:textId="77777777" w:rsidR="00A92F30" w:rsidRPr="00480790" w:rsidRDefault="00A92F30">
            <w:pPr>
              <w:keepLines/>
              <w:rPr>
                <w:rFonts w:ascii="Arial Narrow" w:hAnsi="Arial Narrow"/>
                <w:sz w:val="20"/>
                <w:szCs w:val="20"/>
              </w:rPr>
            </w:pPr>
            <w:r w:rsidRPr="00480790">
              <w:rPr>
                <w:rFonts w:ascii="Arial Narrow" w:hAnsi="Arial Narrow"/>
                <w:sz w:val="20"/>
                <w:szCs w:val="20"/>
              </w:rPr>
              <w:t>Alunbrig</w:t>
            </w:r>
          </w:p>
        </w:tc>
      </w:tr>
      <w:tr w:rsidR="00AB01EA" w:rsidRPr="00480790" w14:paraId="0DA9840F" w14:textId="77777777" w:rsidTr="00216B1F">
        <w:trPr>
          <w:cantSplit/>
          <w:trHeight w:val="20"/>
        </w:trPr>
        <w:tc>
          <w:tcPr>
            <w:tcW w:w="9022" w:type="dxa"/>
            <w:gridSpan w:val="8"/>
            <w:vAlign w:val="center"/>
          </w:tcPr>
          <w:p w14:paraId="7FC041CE" w14:textId="77777777" w:rsidR="00A92F30" w:rsidRPr="00480790" w:rsidRDefault="00A92F30">
            <w:pPr>
              <w:keepLines/>
              <w:rPr>
                <w:rFonts w:ascii="Arial Narrow" w:hAnsi="Arial Narrow"/>
                <w:sz w:val="20"/>
                <w:szCs w:val="20"/>
              </w:rPr>
            </w:pPr>
          </w:p>
        </w:tc>
      </w:tr>
      <w:tr w:rsidR="00AB01EA" w:rsidRPr="00480790" w14:paraId="7514D145" w14:textId="77777777" w:rsidTr="00216B1F">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3B3BEF9E" w14:textId="54FD7EFB" w:rsidR="00A92F30" w:rsidRPr="00480790" w:rsidRDefault="00A92F30">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56454C6" w14:textId="77777777" w:rsidR="00A92F30" w:rsidRPr="00480790" w:rsidRDefault="00A92F30">
            <w:pPr>
              <w:keepLines/>
              <w:rPr>
                <w:rFonts w:ascii="Arial Narrow" w:hAnsi="Arial Narrow"/>
                <w:sz w:val="20"/>
                <w:szCs w:val="20"/>
              </w:rPr>
            </w:pPr>
            <w:r w:rsidRPr="00480790">
              <w:rPr>
                <w:rFonts w:ascii="Arial Narrow" w:hAnsi="Arial Narrow"/>
                <w:b/>
                <w:sz w:val="20"/>
                <w:szCs w:val="20"/>
              </w:rPr>
              <w:t>Category / Program:</w:t>
            </w:r>
            <w:r w:rsidRPr="00480790">
              <w:rPr>
                <w:rFonts w:ascii="Arial Narrow" w:hAnsi="Arial Narrow"/>
                <w:sz w:val="20"/>
                <w:szCs w:val="20"/>
              </w:rPr>
              <w:t xml:space="preserve"> </w:t>
            </w:r>
            <w:r w:rsidRPr="00480790">
              <w:rPr>
                <w:rFonts w:ascii="Arial Narrow" w:eastAsia="Calibri" w:hAnsi="Arial Narrow"/>
                <w:sz w:val="20"/>
                <w:szCs w:val="20"/>
              </w:rPr>
              <w:fldChar w:fldCharType="begin">
                <w:ffData>
                  <w:name w:val="Check1"/>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 xml:space="preserve"> GENERAL - General Schedule (Code GE) </w:t>
            </w:r>
          </w:p>
        </w:tc>
      </w:tr>
      <w:tr w:rsidR="00AB01EA" w:rsidRPr="00480790" w14:paraId="21D31B90" w14:textId="77777777" w:rsidTr="00216B1F">
        <w:tblPrEx>
          <w:tblCellMar>
            <w:top w:w="15" w:type="dxa"/>
            <w:bottom w:w="15" w:type="dxa"/>
          </w:tblCellMar>
          <w:tblLook w:val="04A0" w:firstRow="1" w:lastRow="0" w:firstColumn="1" w:lastColumn="0" w:noHBand="0" w:noVBand="1"/>
        </w:tblPrEx>
        <w:trPr>
          <w:trHeight w:val="20"/>
        </w:trPr>
        <w:tc>
          <w:tcPr>
            <w:tcW w:w="1277" w:type="dxa"/>
            <w:gridSpan w:val="2"/>
            <w:vMerge/>
          </w:tcPr>
          <w:p w14:paraId="3AAD3DC0" w14:textId="77777777" w:rsidR="00A92F30" w:rsidRPr="00480790" w:rsidRDefault="00A92F30">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326C7FE" w14:textId="77777777" w:rsidR="00A92F30" w:rsidRPr="00480790" w:rsidRDefault="00A92F30">
            <w:pPr>
              <w:keepLines/>
              <w:rPr>
                <w:rFonts w:ascii="Arial Narrow" w:hAnsi="Arial Narrow"/>
                <w:b/>
                <w:sz w:val="20"/>
                <w:szCs w:val="20"/>
              </w:rPr>
            </w:pPr>
            <w:r w:rsidRPr="00480790">
              <w:rPr>
                <w:rFonts w:ascii="Arial Narrow" w:hAnsi="Arial Narrow"/>
                <w:b/>
                <w:sz w:val="20"/>
                <w:szCs w:val="20"/>
              </w:rPr>
              <w:t xml:space="preserve">Prescriber type: </w:t>
            </w:r>
            <w:r w:rsidRPr="00480790">
              <w:rPr>
                <w:rFonts w:ascii="Arial Narrow" w:hAnsi="Arial Narrow"/>
                <w:sz w:val="20"/>
                <w:szCs w:val="20"/>
              </w:rPr>
              <w:t xml:space="preserve"> </w:t>
            </w:r>
            <w:r w:rsidRPr="00480790">
              <w:rPr>
                <w:rFonts w:ascii="Arial Narrow" w:hAnsi="Arial Narrow"/>
                <w:sz w:val="20"/>
                <w:szCs w:val="20"/>
              </w:rPr>
              <w:fldChar w:fldCharType="begin">
                <w:ffData>
                  <w:name w:val=""/>
                  <w:enabled/>
                  <w:calcOnExit w:val="0"/>
                  <w:checkBox>
                    <w:sizeAuto/>
                    <w:default w:val="1"/>
                  </w:checkBox>
                </w:ffData>
              </w:fldChar>
            </w:r>
            <w:r w:rsidRPr="00480790">
              <w:rPr>
                <w:rFonts w:ascii="Arial Narrow" w:hAnsi="Arial Narrow"/>
                <w:sz w:val="20"/>
                <w:szCs w:val="20"/>
              </w:rPr>
              <w:instrText xml:space="preserve"> FORMCHECKBOX </w:instrText>
            </w:r>
            <w:r w:rsidRPr="00480790">
              <w:rPr>
                <w:rFonts w:ascii="Arial Narrow" w:hAnsi="Arial Narrow"/>
                <w:sz w:val="20"/>
                <w:szCs w:val="20"/>
              </w:rPr>
            </w:r>
            <w:r w:rsidRPr="00480790">
              <w:rPr>
                <w:rFonts w:ascii="Arial Narrow" w:hAnsi="Arial Narrow"/>
                <w:sz w:val="20"/>
                <w:szCs w:val="20"/>
              </w:rPr>
              <w:fldChar w:fldCharType="separate"/>
            </w:r>
            <w:r w:rsidRPr="00480790">
              <w:rPr>
                <w:rFonts w:ascii="Arial Narrow" w:hAnsi="Arial Narrow"/>
                <w:sz w:val="20"/>
                <w:szCs w:val="20"/>
              </w:rPr>
              <w:fldChar w:fldCharType="end"/>
            </w:r>
            <w:r w:rsidRPr="00480790">
              <w:rPr>
                <w:rFonts w:ascii="Arial Narrow" w:hAnsi="Arial Narrow"/>
                <w:sz w:val="20"/>
                <w:szCs w:val="20"/>
              </w:rPr>
              <w:t xml:space="preserve">Medical Practitioners </w:t>
            </w:r>
          </w:p>
        </w:tc>
      </w:tr>
      <w:tr w:rsidR="00AB01EA" w:rsidRPr="00480790" w14:paraId="4F644DC1" w14:textId="77777777" w:rsidTr="00216B1F">
        <w:tblPrEx>
          <w:tblCellMar>
            <w:top w:w="15" w:type="dxa"/>
            <w:bottom w:w="15" w:type="dxa"/>
          </w:tblCellMar>
          <w:tblLook w:val="04A0" w:firstRow="1" w:lastRow="0" w:firstColumn="1" w:lastColumn="0" w:noHBand="0" w:noVBand="1"/>
        </w:tblPrEx>
        <w:trPr>
          <w:trHeight w:val="20"/>
        </w:trPr>
        <w:tc>
          <w:tcPr>
            <w:tcW w:w="492" w:type="dxa"/>
            <w:vMerge w:val="restart"/>
            <w:tcBorders>
              <w:left w:val="single" w:sz="4" w:space="0" w:color="auto"/>
              <w:right w:val="single" w:sz="4" w:space="0" w:color="auto"/>
            </w:tcBorders>
            <w:textDirection w:val="btLr"/>
            <w:vAlign w:val="center"/>
          </w:tcPr>
          <w:p w14:paraId="3AD5374F" w14:textId="1BFD3575" w:rsidR="00A92F30" w:rsidRPr="00480790" w:rsidRDefault="00A92F30">
            <w:pPr>
              <w:jc w:val="center"/>
              <w:rPr>
                <w:rFonts w:ascii="Arial Narrow" w:hAnsi="Arial Narrow"/>
                <w:sz w:val="20"/>
                <w:szCs w:val="20"/>
              </w:rPr>
            </w:pPr>
          </w:p>
        </w:tc>
        <w:tc>
          <w:tcPr>
            <w:tcW w:w="785" w:type="dxa"/>
            <w:vAlign w:val="center"/>
          </w:tcPr>
          <w:p w14:paraId="20B79CEE" w14:textId="5BF88DE9" w:rsidR="00A92F30" w:rsidRPr="00480790" w:rsidRDefault="00A92F30">
            <w:pPr>
              <w:jc w:val="center"/>
              <w:rPr>
                <w:rFonts w:ascii="Arial Narrow" w:hAnsi="Arial Narrow"/>
                <w:i/>
                <w:iCs/>
                <w:sz w:val="20"/>
                <w:szCs w:val="20"/>
              </w:rPr>
            </w:pPr>
          </w:p>
        </w:tc>
        <w:tc>
          <w:tcPr>
            <w:tcW w:w="7745" w:type="dxa"/>
            <w:gridSpan w:val="6"/>
            <w:vAlign w:val="center"/>
          </w:tcPr>
          <w:p w14:paraId="3F0C1806" w14:textId="77777777" w:rsidR="00A92F30" w:rsidRPr="00480790" w:rsidRDefault="00A92F30">
            <w:pPr>
              <w:keepLines/>
              <w:rPr>
                <w:rFonts w:ascii="Arial Narrow" w:hAnsi="Arial Narrow"/>
                <w:b/>
                <w:bCs/>
                <w:i/>
                <w:iCs/>
                <w:sz w:val="20"/>
                <w:szCs w:val="20"/>
              </w:rPr>
            </w:pPr>
            <w:r w:rsidRPr="00480790">
              <w:rPr>
                <w:rFonts w:ascii="Arial Narrow" w:hAnsi="Arial Narrow"/>
                <w:b/>
                <w:bCs/>
                <w:i/>
                <w:iCs/>
                <w:sz w:val="20"/>
                <w:szCs w:val="20"/>
              </w:rPr>
              <w:t>Administration advice:</w:t>
            </w:r>
          </w:p>
          <w:p w14:paraId="4E02758C" w14:textId="77777777" w:rsidR="00A92F30" w:rsidRPr="00480790" w:rsidRDefault="00A92F30">
            <w:pPr>
              <w:rPr>
                <w:rFonts w:ascii="Arial Narrow" w:hAnsi="Arial Narrow"/>
                <w:i/>
                <w:iCs/>
                <w:sz w:val="20"/>
                <w:szCs w:val="20"/>
              </w:rPr>
            </w:pPr>
            <w:r w:rsidRPr="00480790">
              <w:rPr>
                <w:rFonts w:ascii="Arial Narrow" w:hAnsi="Arial Narrow"/>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AB01EA" w:rsidRPr="00480790" w14:paraId="69001DB8" w14:textId="77777777" w:rsidTr="00216B1F">
        <w:tblPrEx>
          <w:tblCellMar>
            <w:top w:w="15" w:type="dxa"/>
            <w:bottom w:w="15" w:type="dxa"/>
          </w:tblCellMar>
          <w:tblLook w:val="04A0" w:firstRow="1" w:lastRow="0" w:firstColumn="1" w:lastColumn="0" w:noHBand="0" w:noVBand="1"/>
        </w:tblPrEx>
        <w:trPr>
          <w:trHeight w:val="274"/>
        </w:trPr>
        <w:tc>
          <w:tcPr>
            <w:tcW w:w="492" w:type="dxa"/>
            <w:vMerge/>
          </w:tcPr>
          <w:p w14:paraId="5607D368" w14:textId="77777777" w:rsidR="00A92F30" w:rsidRPr="00480790" w:rsidRDefault="00A92F30">
            <w:pPr>
              <w:rPr>
                <w:rFonts w:ascii="Arial Narrow" w:hAnsi="Arial Narrow"/>
                <w:sz w:val="20"/>
                <w:szCs w:val="20"/>
              </w:rPr>
            </w:pPr>
          </w:p>
        </w:tc>
        <w:tc>
          <w:tcPr>
            <w:tcW w:w="785" w:type="dxa"/>
            <w:vAlign w:val="center"/>
          </w:tcPr>
          <w:p w14:paraId="05462503" w14:textId="69691DA0" w:rsidR="00A92F30" w:rsidRPr="00480790" w:rsidRDefault="00A92F30">
            <w:pPr>
              <w:jc w:val="center"/>
              <w:rPr>
                <w:rFonts w:ascii="Arial Narrow" w:hAnsi="Arial Narrow"/>
                <w:bCs/>
                <w:sz w:val="20"/>
                <w:szCs w:val="20"/>
              </w:rPr>
            </w:pPr>
          </w:p>
        </w:tc>
        <w:tc>
          <w:tcPr>
            <w:tcW w:w="7745" w:type="dxa"/>
            <w:gridSpan w:val="6"/>
            <w:vAlign w:val="center"/>
          </w:tcPr>
          <w:p w14:paraId="6F068A9A" w14:textId="77777777" w:rsidR="00A92F30" w:rsidRPr="00480790" w:rsidRDefault="00A92F30">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quantity or number of units may be authorised.</w:t>
            </w:r>
          </w:p>
        </w:tc>
      </w:tr>
      <w:tr w:rsidR="00AB01EA" w:rsidRPr="00480790" w14:paraId="6983DBA1" w14:textId="77777777" w:rsidTr="00216B1F">
        <w:tblPrEx>
          <w:tblCellMar>
            <w:top w:w="15" w:type="dxa"/>
            <w:bottom w:w="15" w:type="dxa"/>
          </w:tblCellMar>
          <w:tblLook w:val="04A0" w:firstRow="1" w:lastRow="0" w:firstColumn="1" w:lastColumn="0" w:noHBand="0" w:noVBand="1"/>
        </w:tblPrEx>
        <w:trPr>
          <w:trHeight w:val="20"/>
        </w:trPr>
        <w:tc>
          <w:tcPr>
            <w:tcW w:w="492" w:type="dxa"/>
            <w:vMerge/>
          </w:tcPr>
          <w:p w14:paraId="44810BB6" w14:textId="77777777" w:rsidR="00A92F30" w:rsidRPr="00480790" w:rsidRDefault="00A92F30">
            <w:pPr>
              <w:rPr>
                <w:rFonts w:ascii="Arial Narrow" w:hAnsi="Arial Narrow"/>
                <w:sz w:val="20"/>
                <w:szCs w:val="20"/>
              </w:rPr>
            </w:pPr>
          </w:p>
        </w:tc>
        <w:tc>
          <w:tcPr>
            <w:tcW w:w="785" w:type="dxa"/>
            <w:vAlign w:val="center"/>
          </w:tcPr>
          <w:p w14:paraId="25AB263A" w14:textId="00A2783E" w:rsidR="00A92F30" w:rsidRPr="00480790" w:rsidRDefault="00A92F30">
            <w:pPr>
              <w:jc w:val="center"/>
              <w:rPr>
                <w:rFonts w:ascii="Arial Narrow" w:hAnsi="Arial Narrow"/>
                <w:sz w:val="20"/>
                <w:szCs w:val="20"/>
              </w:rPr>
            </w:pPr>
          </w:p>
        </w:tc>
        <w:tc>
          <w:tcPr>
            <w:tcW w:w="7745" w:type="dxa"/>
            <w:gridSpan w:val="6"/>
            <w:vAlign w:val="center"/>
          </w:tcPr>
          <w:p w14:paraId="31E64222" w14:textId="77777777" w:rsidR="00A92F30" w:rsidRPr="00480790" w:rsidRDefault="00A92F30">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number of repeats may be authorised.</w:t>
            </w:r>
          </w:p>
        </w:tc>
      </w:tr>
      <w:tr w:rsidR="00AB01EA" w:rsidRPr="00480790" w14:paraId="56D60428" w14:textId="77777777" w:rsidTr="00216B1F">
        <w:tblPrEx>
          <w:tblCellMar>
            <w:top w:w="15" w:type="dxa"/>
            <w:bottom w:w="15" w:type="dxa"/>
          </w:tblCellMar>
          <w:tblLook w:val="04A0" w:firstRow="1" w:lastRow="0" w:firstColumn="1" w:lastColumn="0" w:noHBand="0" w:noVBand="1"/>
        </w:tblPrEx>
        <w:trPr>
          <w:trHeight w:val="20"/>
        </w:trPr>
        <w:tc>
          <w:tcPr>
            <w:tcW w:w="492" w:type="dxa"/>
            <w:vMerge/>
          </w:tcPr>
          <w:p w14:paraId="028DA20F" w14:textId="77777777" w:rsidR="00A92F30" w:rsidRPr="00480790" w:rsidRDefault="00A92F30">
            <w:pPr>
              <w:rPr>
                <w:rFonts w:ascii="Arial Narrow" w:hAnsi="Arial Narrow"/>
                <w:sz w:val="20"/>
                <w:szCs w:val="20"/>
              </w:rPr>
            </w:pPr>
          </w:p>
        </w:tc>
        <w:tc>
          <w:tcPr>
            <w:tcW w:w="785" w:type="dxa"/>
            <w:vAlign w:val="center"/>
          </w:tcPr>
          <w:p w14:paraId="0E8EC283" w14:textId="73EB9253" w:rsidR="00A92F30" w:rsidRPr="00480790" w:rsidRDefault="00A92F30">
            <w:pPr>
              <w:jc w:val="center"/>
              <w:rPr>
                <w:rFonts w:ascii="Arial Narrow" w:hAnsi="Arial Narrow"/>
                <w:sz w:val="20"/>
                <w:szCs w:val="20"/>
              </w:rPr>
            </w:pPr>
          </w:p>
        </w:tc>
        <w:tc>
          <w:tcPr>
            <w:tcW w:w="7745" w:type="dxa"/>
            <w:gridSpan w:val="6"/>
            <w:vAlign w:val="center"/>
          </w:tcPr>
          <w:p w14:paraId="15C8E3C0" w14:textId="77777777" w:rsidR="00A92F30" w:rsidRPr="00480790" w:rsidRDefault="00A92F30">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Special Pricing Arrangements apply.</w:t>
            </w:r>
          </w:p>
        </w:tc>
      </w:tr>
      <w:tr w:rsidR="00AB01EA" w:rsidRPr="00480790" w14:paraId="512192BE" w14:textId="77777777" w:rsidTr="00216B1F">
        <w:tblPrEx>
          <w:tblCellMar>
            <w:top w:w="15" w:type="dxa"/>
            <w:bottom w:w="15" w:type="dxa"/>
          </w:tblCellMar>
          <w:tblLook w:val="04A0" w:firstRow="1" w:lastRow="0" w:firstColumn="1" w:lastColumn="0" w:noHBand="0" w:noVBand="1"/>
        </w:tblPrEx>
        <w:trPr>
          <w:trHeight w:val="182"/>
        </w:trPr>
        <w:tc>
          <w:tcPr>
            <w:tcW w:w="1277" w:type="dxa"/>
            <w:gridSpan w:val="2"/>
            <w:tcBorders>
              <w:left w:val="single" w:sz="4" w:space="0" w:color="auto"/>
              <w:right w:val="single" w:sz="4" w:space="0" w:color="auto"/>
            </w:tcBorders>
          </w:tcPr>
          <w:p w14:paraId="6B6A5057" w14:textId="77777777" w:rsidR="00A92F30" w:rsidRPr="00480790" w:rsidRDefault="00A92F30">
            <w:pPr>
              <w:rPr>
                <w:rFonts w:ascii="Arial Narrow" w:hAnsi="Arial Narrow"/>
                <w:sz w:val="20"/>
                <w:szCs w:val="20"/>
              </w:rPr>
            </w:pPr>
          </w:p>
        </w:tc>
        <w:tc>
          <w:tcPr>
            <w:tcW w:w="7745" w:type="dxa"/>
            <w:gridSpan w:val="6"/>
            <w:tcBorders>
              <w:top w:val="single" w:sz="4" w:space="0" w:color="auto"/>
              <w:left w:val="single" w:sz="4" w:space="0" w:color="auto"/>
              <w:right w:val="single" w:sz="4" w:space="0" w:color="auto"/>
            </w:tcBorders>
            <w:vAlign w:val="center"/>
          </w:tcPr>
          <w:p w14:paraId="68990354" w14:textId="77777777" w:rsidR="00A92F30" w:rsidRPr="00480790" w:rsidRDefault="00A92F30">
            <w:pPr>
              <w:keepLines/>
              <w:rPr>
                <w:rFonts w:ascii="Arial Narrow" w:eastAsia="Calibri" w:hAnsi="Arial Narrow"/>
                <w:sz w:val="20"/>
                <w:szCs w:val="20"/>
              </w:rPr>
            </w:pPr>
            <w:r w:rsidRPr="00480790">
              <w:rPr>
                <w:rFonts w:ascii="Arial Narrow" w:hAnsi="Arial Narrow"/>
                <w:b/>
                <w:sz w:val="20"/>
                <w:szCs w:val="20"/>
              </w:rPr>
              <w:t xml:space="preserve">Restriction type: </w:t>
            </w:r>
            <w:r w:rsidRPr="00480790">
              <w:rPr>
                <w:rFonts w:ascii="Arial Narrow" w:eastAsia="Calibri" w:hAnsi="Arial Narrow"/>
                <w:sz w:val="20"/>
                <w:szCs w:val="20"/>
              </w:rPr>
              <w:fldChar w:fldCharType="begin">
                <w:ffData>
                  <w:name w:val="Check3"/>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Authority Required (immediate assessment) - Telephone/Online PBS Authorities</w:t>
            </w:r>
          </w:p>
        </w:tc>
      </w:tr>
      <w:tr w:rsidR="00A35F1C" w:rsidRPr="00480790" w14:paraId="1E61AD84" w14:textId="77777777" w:rsidTr="00216B1F">
        <w:tblPrEx>
          <w:tblCellMar>
            <w:top w:w="15" w:type="dxa"/>
            <w:bottom w:w="15" w:type="dxa"/>
          </w:tblCellMar>
          <w:tblLook w:val="04A0" w:firstRow="1" w:lastRow="0" w:firstColumn="1" w:lastColumn="0" w:noHBand="0" w:noVBand="1"/>
        </w:tblPrEx>
        <w:trPr>
          <w:trHeight w:val="182"/>
        </w:trPr>
        <w:tc>
          <w:tcPr>
            <w:tcW w:w="9022" w:type="dxa"/>
            <w:gridSpan w:val="8"/>
            <w:tcBorders>
              <w:left w:val="single" w:sz="4" w:space="0" w:color="auto"/>
              <w:right w:val="single" w:sz="4" w:space="0" w:color="auto"/>
            </w:tcBorders>
          </w:tcPr>
          <w:p w14:paraId="76D32C91" w14:textId="77777777" w:rsidR="00A35F1C" w:rsidRPr="00480790" w:rsidRDefault="00A35F1C">
            <w:pPr>
              <w:keepLines/>
              <w:rPr>
                <w:rFonts w:ascii="Arial Narrow" w:hAnsi="Arial Narrow"/>
                <w:b/>
                <w:sz w:val="20"/>
                <w:szCs w:val="20"/>
              </w:rPr>
            </w:pPr>
          </w:p>
        </w:tc>
      </w:tr>
      <w:tr w:rsidR="00AB01EA" w:rsidRPr="00480790" w14:paraId="07C9E1B5" w14:textId="77777777" w:rsidTr="00216B1F">
        <w:tblPrEx>
          <w:tblCellMar>
            <w:top w:w="15" w:type="dxa"/>
            <w:bottom w:w="15" w:type="dxa"/>
          </w:tblCellMar>
          <w:tblLook w:val="04A0" w:firstRow="1" w:lastRow="0" w:firstColumn="1" w:lastColumn="0" w:noHBand="0" w:noVBand="1"/>
        </w:tblPrEx>
        <w:trPr>
          <w:trHeight w:val="182"/>
        </w:trPr>
        <w:tc>
          <w:tcPr>
            <w:tcW w:w="9022" w:type="dxa"/>
            <w:gridSpan w:val="8"/>
            <w:tcBorders>
              <w:left w:val="single" w:sz="4" w:space="0" w:color="auto"/>
              <w:right w:val="single" w:sz="4" w:space="0" w:color="auto"/>
            </w:tcBorders>
          </w:tcPr>
          <w:p w14:paraId="10076C13" w14:textId="161119D9" w:rsidR="00A92F30" w:rsidRPr="00480790" w:rsidRDefault="00A92F30">
            <w:pPr>
              <w:keepLines/>
              <w:rPr>
                <w:rFonts w:ascii="Arial Narrow" w:hAnsi="Arial Narrow"/>
                <w:b/>
                <w:sz w:val="20"/>
                <w:szCs w:val="20"/>
              </w:rPr>
            </w:pPr>
            <w:r w:rsidRPr="00480790">
              <w:rPr>
                <w:rFonts w:ascii="Arial Narrow" w:hAnsi="Arial Narrow"/>
                <w:b/>
                <w:sz w:val="20"/>
                <w:szCs w:val="20"/>
              </w:rPr>
              <w:t xml:space="preserve">Restriction Summary / Treatment of Concept: </w:t>
            </w:r>
          </w:p>
        </w:tc>
      </w:tr>
      <w:tr w:rsidR="00AB01EA" w:rsidRPr="00480790" w14:paraId="305ED208" w14:textId="77777777" w:rsidTr="00216B1F">
        <w:tblPrEx>
          <w:tblCellMar>
            <w:top w:w="15" w:type="dxa"/>
            <w:bottom w:w="15" w:type="dxa"/>
          </w:tblCellMar>
          <w:tblLook w:val="04A0" w:firstRow="1" w:lastRow="0" w:firstColumn="1" w:lastColumn="0" w:noHBand="0" w:noVBand="1"/>
        </w:tblPrEx>
        <w:trPr>
          <w:cantSplit/>
          <w:trHeight w:val="20"/>
        </w:trPr>
        <w:tc>
          <w:tcPr>
            <w:tcW w:w="1277" w:type="dxa"/>
            <w:gridSpan w:val="2"/>
          </w:tcPr>
          <w:p w14:paraId="66E49732" w14:textId="29195B9F" w:rsidR="00A92F30" w:rsidRPr="00480790" w:rsidRDefault="00A92F30">
            <w:pPr>
              <w:keepLines/>
              <w:jc w:val="center"/>
              <w:rPr>
                <w:rFonts w:ascii="Arial Narrow" w:hAnsi="Arial Narrow"/>
                <w:sz w:val="20"/>
                <w:szCs w:val="20"/>
              </w:rPr>
            </w:pPr>
          </w:p>
        </w:tc>
        <w:tc>
          <w:tcPr>
            <w:tcW w:w="7745" w:type="dxa"/>
            <w:gridSpan w:val="6"/>
          </w:tcPr>
          <w:p w14:paraId="6A894D13" w14:textId="77777777" w:rsidR="00A92F30" w:rsidRPr="00480790" w:rsidRDefault="00A92F30">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 xml:space="preserve">Indication: </w:t>
            </w:r>
            <w:r w:rsidRPr="00480790">
              <w:rPr>
                <w:rFonts w:ascii="Arial Narrow" w:hAnsi="Arial Narrow" w:cs="Open Sans"/>
                <w:sz w:val="20"/>
                <w:szCs w:val="20"/>
              </w:rPr>
              <w:t>Stage IIIB (locally advanced) or Stage IV (metastatic) non-small cell lung cancer (NSCLC)</w:t>
            </w:r>
          </w:p>
        </w:tc>
      </w:tr>
      <w:tr w:rsidR="00AB01EA" w:rsidRPr="00480790" w14:paraId="49211DED" w14:textId="77777777" w:rsidTr="00216B1F">
        <w:tblPrEx>
          <w:tblCellMar>
            <w:top w:w="15" w:type="dxa"/>
            <w:bottom w:w="15" w:type="dxa"/>
          </w:tblCellMar>
          <w:tblLook w:val="04A0" w:firstRow="1" w:lastRow="0" w:firstColumn="1" w:lastColumn="0" w:noHBand="0" w:noVBand="1"/>
        </w:tblPrEx>
        <w:trPr>
          <w:cantSplit/>
          <w:trHeight w:val="20"/>
        </w:trPr>
        <w:tc>
          <w:tcPr>
            <w:tcW w:w="1277" w:type="dxa"/>
            <w:gridSpan w:val="2"/>
          </w:tcPr>
          <w:p w14:paraId="40AC479C" w14:textId="77777777" w:rsidR="00A92F30" w:rsidRPr="00480790" w:rsidRDefault="00A92F30">
            <w:pPr>
              <w:keepLines/>
              <w:jc w:val="center"/>
              <w:rPr>
                <w:rFonts w:ascii="Arial Narrow" w:hAnsi="Arial Narrow"/>
                <w:sz w:val="20"/>
                <w:szCs w:val="20"/>
              </w:rPr>
            </w:pPr>
          </w:p>
        </w:tc>
        <w:tc>
          <w:tcPr>
            <w:tcW w:w="7745" w:type="dxa"/>
            <w:gridSpan w:val="6"/>
          </w:tcPr>
          <w:p w14:paraId="2C44092F" w14:textId="77777777" w:rsidR="00A92F30" w:rsidRPr="00480790" w:rsidRDefault="00A92F30">
            <w:pPr>
              <w:keepLines/>
              <w:rPr>
                <w:rFonts w:ascii="Arial Narrow" w:hAnsi="Arial Narrow"/>
                <w:b/>
                <w:bCs/>
                <w:sz w:val="20"/>
                <w:szCs w:val="20"/>
              </w:rPr>
            </w:pPr>
            <w:r w:rsidRPr="00480790">
              <w:rPr>
                <w:rStyle w:val="Strong"/>
                <w:rFonts w:ascii="Arial Narrow" w:hAnsi="Arial Narrow" w:cs="Open Sans"/>
                <w:sz w:val="20"/>
                <w:szCs w:val="20"/>
                <w:bdr w:val="none" w:sz="0" w:space="0" w:color="auto" w:frame="1"/>
              </w:rPr>
              <w:t xml:space="preserve">Treatment Phase: </w:t>
            </w:r>
            <w:r w:rsidRPr="00480790">
              <w:rPr>
                <w:rFonts w:ascii="Arial Narrow" w:hAnsi="Arial Narrow" w:cs="Open Sans"/>
                <w:sz w:val="20"/>
                <w:szCs w:val="20"/>
              </w:rPr>
              <w:t>Continuing treatment</w:t>
            </w:r>
          </w:p>
        </w:tc>
      </w:tr>
      <w:tr w:rsidR="00AB01EA" w:rsidRPr="00480790" w14:paraId="20BDBCBB" w14:textId="77777777" w:rsidTr="00216B1F">
        <w:tblPrEx>
          <w:tblCellMar>
            <w:top w:w="15" w:type="dxa"/>
            <w:bottom w:w="15" w:type="dxa"/>
          </w:tblCellMar>
          <w:tblLook w:val="04A0" w:firstRow="1" w:lastRow="0" w:firstColumn="1" w:lastColumn="0" w:noHBand="0" w:noVBand="1"/>
        </w:tblPrEx>
        <w:trPr>
          <w:cantSplit/>
          <w:trHeight w:val="20"/>
        </w:trPr>
        <w:tc>
          <w:tcPr>
            <w:tcW w:w="1277" w:type="dxa"/>
            <w:gridSpan w:val="2"/>
          </w:tcPr>
          <w:p w14:paraId="1685DC60" w14:textId="4CDCA8AB" w:rsidR="00A92F30" w:rsidRPr="00480790" w:rsidRDefault="00A92F30">
            <w:pPr>
              <w:keepLines/>
              <w:jc w:val="center"/>
              <w:rPr>
                <w:rFonts w:ascii="Arial Narrow" w:hAnsi="Arial Narrow"/>
                <w:i/>
                <w:iCs/>
                <w:sz w:val="20"/>
                <w:szCs w:val="20"/>
              </w:rPr>
            </w:pPr>
          </w:p>
        </w:tc>
        <w:tc>
          <w:tcPr>
            <w:tcW w:w="7745" w:type="dxa"/>
            <w:gridSpan w:val="6"/>
          </w:tcPr>
          <w:p w14:paraId="28640919" w14:textId="77777777" w:rsidR="00A92F30" w:rsidRPr="00480790" w:rsidRDefault="00A92F30">
            <w:pPr>
              <w:keepLines/>
              <w:rPr>
                <w:rFonts w:ascii="Arial Narrow" w:hAnsi="Arial Narrow"/>
                <w:b/>
                <w:bCs/>
                <w:i/>
                <w:iCs/>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13B82763" w14:textId="77777777" w:rsidTr="00216B1F">
        <w:tblPrEx>
          <w:tblCellMar>
            <w:top w:w="15" w:type="dxa"/>
            <w:bottom w:w="15" w:type="dxa"/>
          </w:tblCellMar>
          <w:tblLook w:val="04A0" w:firstRow="1" w:lastRow="0" w:firstColumn="1" w:lastColumn="0" w:noHBand="0" w:noVBand="1"/>
        </w:tblPrEx>
        <w:trPr>
          <w:cantSplit/>
          <w:trHeight w:val="20"/>
        </w:trPr>
        <w:tc>
          <w:tcPr>
            <w:tcW w:w="1277" w:type="dxa"/>
            <w:gridSpan w:val="2"/>
          </w:tcPr>
          <w:p w14:paraId="29FE11B3" w14:textId="483F9405" w:rsidR="00A92F30" w:rsidRPr="00480790" w:rsidRDefault="00A92F30">
            <w:pPr>
              <w:keepLines/>
              <w:jc w:val="center"/>
              <w:rPr>
                <w:rFonts w:ascii="Arial Narrow" w:hAnsi="Arial Narrow"/>
                <w:i/>
                <w:iCs/>
                <w:sz w:val="20"/>
                <w:szCs w:val="20"/>
              </w:rPr>
            </w:pPr>
          </w:p>
        </w:tc>
        <w:tc>
          <w:tcPr>
            <w:tcW w:w="7745" w:type="dxa"/>
            <w:gridSpan w:val="6"/>
          </w:tcPr>
          <w:p w14:paraId="12F9C99C" w14:textId="77777777" w:rsidR="00A92F30" w:rsidRPr="00480790" w:rsidRDefault="00A92F30">
            <w:pPr>
              <w:keepLines/>
              <w:rPr>
                <w:rFonts w:ascii="Arial Narrow" w:hAnsi="Arial Narrow"/>
                <w:i/>
                <w:iCs/>
                <w:sz w:val="20"/>
                <w:szCs w:val="20"/>
              </w:rPr>
            </w:pPr>
            <w:r w:rsidRPr="00480790">
              <w:rPr>
                <w:rFonts w:ascii="Arial Narrow" w:hAnsi="Arial Narrow" w:cs="Open Sans"/>
                <w:sz w:val="20"/>
                <w:szCs w:val="20"/>
              </w:rPr>
              <w:t>The treatment must be the sole PBS-subsidised systemic anti-cancer therapy for this condition</w:t>
            </w:r>
          </w:p>
        </w:tc>
      </w:tr>
      <w:tr w:rsidR="00AB01EA" w:rsidRPr="00480790" w14:paraId="0160EFDF" w14:textId="77777777" w:rsidTr="00216B1F">
        <w:tblPrEx>
          <w:tblCellMar>
            <w:top w:w="15" w:type="dxa"/>
            <w:bottom w:w="15" w:type="dxa"/>
          </w:tblCellMar>
          <w:tblLook w:val="04A0" w:firstRow="1" w:lastRow="0" w:firstColumn="1" w:lastColumn="0" w:noHBand="0" w:noVBand="1"/>
        </w:tblPrEx>
        <w:trPr>
          <w:cantSplit/>
          <w:trHeight w:val="20"/>
        </w:trPr>
        <w:tc>
          <w:tcPr>
            <w:tcW w:w="1277" w:type="dxa"/>
            <w:gridSpan w:val="2"/>
          </w:tcPr>
          <w:p w14:paraId="1ACBBFE8" w14:textId="77777777" w:rsidR="00A92F30" w:rsidRPr="00480790" w:rsidRDefault="00A92F30">
            <w:pPr>
              <w:keepLines/>
              <w:jc w:val="center"/>
              <w:rPr>
                <w:rFonts w:ascii="Arial Narrow" w:hAnsi="Arial Narrow"/>
                <w:i/>
                <w:iCs/>
                <w:sz w:val="20"/>
                <w:szCs w:val="20"/>
              </w:rPr>
            </w:pPr>
          </w:p>
        </w:tc>
        <w:tc>
          <w:tcPr>
            <w:tcW w:w="7745" w:type="dxa"/>
            <w:gridSpan w:val="6"/>
          </w:tcPr>
          <w:p w14:paraId="158DF0F0" w14:textId="77777777" w:rsidR="00A92F30" w:rsidRPr="00480790" w:rsidRDefault="00A92F30">
            <w:pPr>
              <w:keepLines/>
              <w:rPr>
                <w:rFonts w:ascii="Arial Narrow" w:hAnsi="Arial Narrow"/>
                <w:b/>
                <w:bCs/>
                <w:i/>
                <w:iCs/>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5F6105D7" w14:textId="77777777" w:rsidTr="00216B1F">
        <w:tblPrEx>
          <w:tblCellMar>
            <w:top w:w="15" w:type="dxa"/>
            <w:bottom w:w="15" w:type="dxa"/>
          </w:tblCellMar>
          <w:tblLook w:val="04A0" w:firstRow="1" w:lastRow="0" w:firstColumn="1" w:lastColumn="0" w:noHBand="0" w:noVBand="1"/>
        </w:tblPrEx>
        <w:trPr>
          <w:cantSplit/>
          <w:trHeight w:val="20"/>
        </w:trPr>
        <w:tc>
          <w:tcPr>
            <w:tcW w:w="1277" w:type="dxa"/>
            <w:gridSpan w:val="2"/>
          </w:tcPr>
          <w:p w14:paraId="7EDEF8D4" w14:textId="4A1E4CDF" w:rsidR="00A92F30" w:rsidRPr="00480790" w:rsidRDefault="00A92F30">
            <w:pPr>
              <w:keepLines/>
              <w:jc w:val="center"/>
              <w:rPr>
                <w:rFonts w:ascii="Arial Narrow" w:hAnsi="Arial Narrow"/>
                <w:sz w:val="20"/>
                <w:szCs w:val="20"/>
              </w:rPr>
            </w:pPr>
          </w:p>
        </w:tc>
        <w:tc>
          <w:tcPr>
            <w:tcW w:w="7745" w:type="dxa"/>
            <w:gridSpan w:val="6"/>
          </w:tcPr>
          <w:p w14:paraId="4AFCCD69" w14:textId="77777777" w:rsidR="00A92F30" w:rsidRPr="00480790" w:rsidRDefault="00A92F30">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1E1D2DC9" w14:textId="77777777" w:rsidTr="00216B1F">
        <w:tblPrEx>
          <w:tblCellMar>
            <w:top w:w="15" w:type="dxa"/>
            <w:bottom w:w="15" w:type="dxa"/>
          </w:tblCellMar>
          <w:tblLook w:val="04A0" w:firstRow="1" w:lastRow="0" w:firstColumn="1" w:lastColumn="0" w:noHBand="0" w:noVBand="1"/>
        </w:tblPrEx>
        <w:trPr>
          <w:cantSplit/>
          <w:trHeight w:val="20"/>
        </w:trPr>
        <w:tc>
          <w:tcPr>
            <w:tcW w:w="1277" w:type="dxa"/>
            <w:gridSpan w:val="2"/>
          </w:tcPr>
          <w:p w14:paraId="2829FB00" w14:textId="0777E4AD" w:rsidR="00A92F30" w:rsidRPr="00480790" w:rsidRDefault="00A92F30">
            <w:pPr>
              <w:keepLines/>
              <w:jc w:val="center"/>
              <w:rPr>
                <w:rFonts w:ascii="Arial Narrow" w:hAnsi="Arial Narrow"/>
                <w:sz w:val="20"/>
                <w:szCs w:val="20"/>
              </w:rPr>
            </w:pPr>
          </w:p>
        </w:tc>
        <w:tc>
          <w:tcPr>
            <w:tcW w:w="7745" w:type="dxa"/>
            <w:gridSpan w:val="6"/>
          </w:tcPr>
          <w:p w14:paraId="6D8EE612" w14:textId="77777777" w:rsidR="00A92F30" w:rsidRPr="00480790" w:rsidRDefault="00A92F30">
            <w:pPr>
              <w:keepLines/>
              <w:rPr>
                <w:rFonts w:ascii="Arial Narrow" w:hAnsi="Arial Narrow"/>
                <w:sz w:val="20"/>
                <w:szCs w:val="20"/>
              </w:rPr>
            </w:pPr>
            <w:r w:rsidRPr="00480790">
              <w:rPr>
                <w:rFonts w:ascii="Arial Narrow" w:hAnsi="Arial Narrow" w:cs="Open Sans"/>
                <w:sz w:val="20"/>
                <w:szCs w:val="20"/>
              </w:rPr>
              <w:t xml:space="preserve">Patient must have previously received PBS-subsidised treatment with this drug for this </w:t>
            </w:r>
            <w:r w:rsidRPr="00480790">
              <w:rPr>
                <w:rFonts w:ascii="Arial Narrow" w:hAnsi="Arial Narrow" w:cs="Open Sans"/>
                <w:strike/>
                <w:sz w:val="20"/>
                <w:szCs w:val="20"/>
              </w:rPr>
              <w:t xml:space="preserve">condition </w:t>
            </w:r>
            <w:r w:rsidRPr="00480790">
              <w:rPr>
                <w:rFonts w:ascii="Arial Narrow" w:hAnsi="Arial Narrow" w:cs="Open Sans"/>
                <w:i/>
                <w:iCs/>
                <w:sz w:val="20"/>
                <w:szCs w:val="20"/>
              </w:rPr>
              <w:t>indication</w:t>
            </w:r>
          </w:p>
        </w:tc>
      </w:tr>
      <w:tr w:rsidR="00AB01EA" w:rsidRPr="00480790" w14:paraId="260F7FCB" w14:textId="77777777" w:rsidTr="00216B1F">
        <w:tblPrEx>
          <w:tblCellMar>
            <w:top w:w="15" w:type="dxa"/>
            <w:bottom w:w="15" w:type="dxa"/>
          </w:tblCellMar>
          <w:tblLook w:val="04A0" w:firstRow="1" w:lastRow="0" w:firstColumn="1" w:lastColumn="0" w:noHBand="0" w:noVBand="1"/>
        </w:tblPrEx>
        <w:trPr>
          <w:cantSplit/>
          <w:trHeight w:val="20"/>
        </w:trPr>
        <w:tc>
          <w:tcPr>
            <w:tcW w:w="1277" w:type="dxa"/>
            <w:gridSpan w:val="2"/>
          </w:tcPr>
          <w:p w14:paraId="60724B90" w14:textId="77777777" w:rsidR="00A92F30" w:rsidRPr="00480790" w:rsidRDefault="00A92F30">
            <w:pPr>
              <w:keepLines/>
              <w:jc w:val="center"/>
              <w:rPr>
                <w:rFonts w:ascii="Arial Narrow" w:hAnsi="Arial Narrow"/>
                <w:sz w:val="20"/>
                <w:szCs w:val="20"/>
              </w:rPr>
            </w:pPr>
          </w:p>
        </w:tc>
        <w:tc>
          <w:tcPr>
            <w:tcW w:w="7745" w:type="dxa"/>
            <w:gridSpan w:val="6"/>
          </w:tcPr>
          <w:p w14:paraId="1BC9C176" w14:textId="77777777" w:rsidR="00A92F30" w:rsidRPr="00480790" w:rsidRDefault="00A92F30">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59495989" w14:textId="77777777" w:rsidTr="00216B1F">
        <w:tblPrEx>
          <w:tblCellMar>
            <w:top w:w="15" w:type="dxa"/>
            <w:bottom w:w="15" w:type="dxa"/>
          </w:tblCellMar>
          <w:tblLook w:val="04A0" w:firstRow="1" w:lastRow="0" w:firstColumn="1" w:lastColumn="0" w:noHBand="0" w:noVBand="1"/>
        </w:tblPrEx>
        <w:trPr>
          <w:cantSplit/>
          <w:trHeight w:val="20"/>
        </w:trPr>
        <w:tc>
          <w:tcPr>
            <w:tcW w:w="1277" w:type="dxa"/>
            <w:gridSpan w:val="2"/>
          </w:tcPr>
          <w:p w14:paraId="3BA663DD" w14:textId="1D8C7646" w:rsidR="00A92F30" w:rsidRPr="00480790" w:rsidRDefault="00A92F30">
            <w:pPr>
              <w:keepLines/>
              <w:jc w:val="center"/>
              <w:rPr>
                <w:rFonts w:ascii="Arial Narrow" w:hAnsi="Arial Narrow"/>
                <w:sz w:val="20"/>
                <w:szCs w:val="20"/>
              </w:rPr>
            </w:pPr>
          </w:p>
        </w:tc>
        <w:tc>
          <w:tcPr>
            <w:tcW w:w="7745" w:type="dxa"/>
            <w:gridSpan w:val="6"/>
          </w:tcPr>
          <w:p w14:paraId="7951FC4F" w14:textId="77777777" w:rsidR="00A92F30" w:rsidRPr="00480790" w:rsidRDefault="00A92F30">
            <w:pPr>
              <w:keepLines/>
              <w:rPr>
                <w:rFonts w:ascii="Arial Narrow" w:hAnsi="Arial Narrow"/>
                <w:b/>
                <w:bCs/>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028F4CB4" w14:textId="77777777" w:rsidTr="00216B1F">
        <w:tblPrEx>
          <w:tblCellMar>
            <w:top w:w="15" w:type="dxa"/>
            <w:bottom w:w="15" w:type="dxa"/>
          </w:tblCellMar>
          <w:tblLook w:val="04A0" w:firstRow="1" w:lastRow="0" w:firstColumn="1" w:lastColumn="0" w:noHBand="0" w:noVBand="1"/>
        </w:tblPrEx>
        <w:trPr>
          <w:cantSplit/>
          <w:trHeight w:val="20"/>
        </w:trPr>
        <w:tc>
          <w:tcPr>
            <w:tcW w:w="1277" w:type="dxa"/>
            <w:gridSpan w:val="2"/>
          </w:tcPr>
          <w:p w14:paraId="6DFCB9E7" w14:textId="30A22277" w:rsidR="00A92F30" w:rsidRPr="00480790" w:rsidRDefault="00A92F30">
            <w:pPr>
              <w:keepLines/>
              <w:jc w:val="center"/>
              <w:rPr>
                <w:rFonts w:ascii="Arial Narrow" w:hAnsi="Arial Narrow"/>
                <w:sz w:val="20"/>
                <w:szCs w:val="20"/>
              </w:rPr>
            </w:pPr>
          </w:p>
        </w:tc>
        <w:tc>
          <w:tcPr>
            <w:tcW w:w="7745" w:type="dxa"/>
            <w:gridSpan w:val="6"/>
          </w:tcPr>
          <w:p w14:paraId="1374CAA8" w14:textId="77777777" w:rsidR="00A92F30" w:rsidRPr="00480790" w:rsidRDefault="00A92F30">
            <w:pPr>
              <w:keepLines/>
              <w:rPr>
                <w:rFonts w:ascii="Arial Narrow" w:hAnsi="Arial Narrow"/>
                <w:b/>
                <w:bCs/>
                <w:sz w:val="20"/>
                <w:szCs w:val="20"/>
              </w:rPr>
            </w:pPr>
            <w:r w:rsidRPr="00480790">
              <w:rPr>
                <w:rFonts w:ascii="Arial Narrow" w:hAnsi="Arial Narrow" w:cs="Open Sans"/>
                <w:sz w:val="20"/>
                <w:szCs w:val="20"/>
              </w:rPr>
              <w:t>Patient must not develop disease progression while receiving PBS-subsidised treatment with this drug for this condition</w:t>
            </w:r>
          </w:p>
        </w:tc>
      </w:tr>
    </w:tbl>
    <w:p w14:paraId="6E2DB464" w14:textId="77777777" w:rsidR="00E47005" w:rsidRPr="00480790" w:rsidRDefault="00E47005" w:rsidP="00E47005">
      <w:pPr>
        <w:rPr>
          <w:snapToGrid w:val="0"/>
          <w:lang w:eastAsia="en-US"/>
        </w:rPr>
      </w:pPr>
    </w:p>
    <w:p w14:paraId="5E42E555" w14:textId="4CA4ED3A" w:rsidR="00216B1F" w:rsidRPr="00480790" w:rsidRDefault="00216B1F" w:rsidP="008B3FE6">
      <w:pPr>
        <w:pStyle w:val="Heading2"/>
        <w:widowControl w:val="0"/>
        <w:ind w:left="720" w:hanging="720"/>
        <w:jc w:val="left"/>
        <w:rPr>
          <w:bCs/>
          <w:i w:val="0"/>
          <w:snapToGrid w:val="0"/>
          <w:sz w:val="26"/>
          <w:szCs w:val="28"/>
          <w:lang w:eastAsia="en-US"/>
        </w:rPr>
      </w:pPr>
      <w:r w:rsidRPr="00480790">
        <w:rPr>
          <w:bCs/>
          <w:i w:val="0"/>
          <w:snapToGrid w:val="0"/>
          <w:sz w:val="26"/>
          <w:szCs w:val="28"/>
          <w:lang w:eastAsia="en-US"/>
        </w:rPr>
        <w:t>Ceritinib</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784"/>
        <w:gridCol w:w="2126"/>
        <w:gridCol w:w="993"/>
        <w:gridCol w:w="992"/>
        <w:gridCol w:w="991"/>
        <w:gridCol w:w="812"/>
        <w:gridCol w:w="1831"/>
      </w:tblGrid>
      <w:tr w:rsidR="00AB01EA" w:rsidRPr="00480790" w14:paraId="13E660A2" w14:textId="77777777" w:rsidTr="006A041B">
        <w:trPr>
          <w:cantSplit/>
          <w:trHeight w:val="20"/>
        </w:trPr>
        <w:tc>
          <w:tcPr>
            <w:tcW w:w="3403" w:type="dxa"/>
            <w:gridSpan w:val="3"/>
            <w:vAlign w:val="center"/>
          </w:tcPr>
          <w:p w14:paraId="692F8DD5" w14:textId="77777777" w:rsidR="003378A8" w:rsidRPr="00480790" w:rsidRDefault="003378A8">
            <w:pPr>
              <w:keepLines/>
              <w:rPr>
                <w:rFonts w:ascii="Arial Narrow" w:hAnsi="Arial Narrow"/>
                <w:b/>
                <w:bCs/>
                <w:sz w:val="20"/>
                <w:szCs w:val="20"/>
              </w:rPr>
            </w:pPr>
            <w:r w:rsidRPr="00480790">
              <w:rPr>
                <w:rFonts w:ascii="Arial Narrow" w:hAnsi="Arial Narrow"/>
                <w:b/>
                <w:bCs/>
                <w:sz w:val="20"/>
                <w:szCs w:val="20"/>
              </w:rPr>
              <w:t>MEDICINAL PRODUCT</w:t>
            </w:r>
          </w:p>
          <w:p w14:paraId="6061239B" w14:textId="77777777" w:rsidR="003378A8" w:rsidRPr="00480790" w:rsidRDefault="003378A8">
            <w:pPr>
              <w:keepLines/>
              <w:rPr>
                <w:rFonts w:ascii="Arial Narrow" w:hAnsi="Arial Narrow"/>
                <w:b/>
                <w:sz w:val="20"/>
                <w:szCs w:val="20"/>
              </w:rPr>
            </w:pPr>
            <w:r w:rsidRPr="00480790">
              <w:rPr>
                <w:rFonts w:ascii="Arial Narrow" w:hAnsi="Arial Narrow"/>
                <w:b/>
                <w:bCs/>
                <w:sz w:val="20"/>
                <w:szCs w:val="20"/>
              </w:rPr>
              <w:t>medicinal product pack</w:t>
            </w:r>
          </w:p>
        </w:tc>
        <w:tc>
          <w:tcPr>
            <w:tcW w:w="993" w:type="dxa"/>
            <w:vAlign w:val="center"/>
          </w:tcPr>
          <w:p w14:paraId="099FDB7C" w14:textId="77777777" w:rsidR="003378A8" w:rsidRPr="00480790" w:rsidRDefault="003378A8">
            <w:pPr>
              <w:keepLines/>
              <w:jc w:val="center"/>
              <w:rPr>
                <w:rFonts w:ascii="Arial Narrow" w:hAnsi="Arial Narrow"/>
                <w:b/>
                <w:sz w:val="20"/>
                <w:szCs w:val="20"/>
              </w:rPr>
            </w:pPr>
            <w:r w:rsidRPr="00480790">
              <w:rPr>
                <w:rFonts w:ascii="Arial Narrow" w:hAnsi="Arial Narrow"/>
                <w:b/>
                <w:sz w:val="20"/>
                <w:szCs w:val="20"/>
              </w:rPr>
              <w:t>PBS item code</w:t>
            </w:r>
          </w:p>
        </w:tc>
        <w:tc>
          <w:tcPr>
            <w:tcW w:w="992" w:type="dxa"/>
            <w:vAlign w:val="center"/>
          </w:tcPr>
          <w:p w14:paraId="54B3E648" w14:textId="77777777" w:rsidR="003378A8" w:rsidRPr="00480790" w:rsidRDefault="003378A8">
            <w:pPr>
              <w:keepLines/>
              <w:jc w:val="center"/>
              <w:rPr>
                <w:rFonts w:ascii="Arial Narrow" w:hAnsi="Arial Narrow"/>
                <w:b/>
                <w:sz w:val="20"/>
                <w:szCs w:val="20"/>
              </w:rPr>
            </w:pPr>
            <w:r w:rsidRPr="00480790">
              <w:rPr>
                <w:rFonts w:ascii="Arial Narrow" w:hAnsi="Arial Narrow"/>
                <w:b/>
                <w:sz w:val="20"/>
                <w:szCs w:val="20"/>
              </w:rPr>
              <w:t>Max. qty packs</w:t>
            </w:r>
          </w:p>
        </w:tc>
        <w:tc>
          <w:tcPr>
            <w:tcW w:w="991" w:type="dxa"/>
            <w:vAlign w:val="center"/>
          </w:tcPr>
          <w:p w14:paraId="149647E1" w14:textId="77777777" w:rsidR="003378A8" w:rsidRPr="00480790" w:rsidRDefault="003378A8">
            <w:pPr>
              <w:keepLines/>
              <w:jc w:val="center"/>
              <w:rPr>
                <w:rFonts w:ascii="Arial Narrow" w:hAnsi="Arial Narrow"/>
                <w:b/>
                <w:sz w:val="20"/>
                <w:szCs w:val="20"/>
              </w:rPr>
            </w:pPr>
            <w:r w:rsidRPr="00480790">
              <w:rPr>
                <w:rFonts w:ascii="Arial Narrow" w:hAnsi="Arial Narrow"/>
                <w:b/>
                <w:sz w:val="20"/>
                <w:szCs w:val="20"/>
              </w:rPr>
              <w:t>Max. qty units</w:t>
            </w:r>
          </w:p>
        </w:tc>
        <w:tc>
          <w:tcPr>
            <w:tcW w:w="812" w:type="dxa"/>
            <w:vAlign w:val="center"/>
          </w:tcPr>
          <w:p w14:paraId="64502F8B" w14:textId="77777777" w:rsidR="003378A8" w:rsidRPr="00480790" w:rsidRDefault="003378A8">
            <w:pPr>
              <w:keepLines/>
              <w:jc w:val="center"/>
              <w:rPr>
                <w:rFonts w:ascii="Arial Narrow" w:hAnsi="Arial Narrow"/>
                <w:b/>
                <w:bCs/>
                <w:sz w:val="20"/>
                <w:szCs w:val="20"/>
              </w:rPr>
            </w:pPr>
            <w:r w:rsidRPr="00480790">
              <w:rPr>
                <w:rFonts w:ascii="Arial Narrow" w:hAnsi="Arial Narrow"/>
                <w:b/>
                <w:bCs/>
                <w:sz w:val="20"/>
                <w:szCs w:val="20"/>
              </w:rPr>
              <w:t>№.of</w:t>
            </w:r>
          </w:p>
          <w:p w14:paraId="733CD929" w14:textId="77777777" w:rsidR="003378A8" w:rsidRPr="00480790" w:rsidRDefault="003378A8">
            <w:pPr>
              <w:keepLines/>
              <w:jc w:val="center"/>
              <w:rPr>
                <w:rFonts w:ascii="Arial Narrow" w:hAnsi="Arial Narrow"/>
                <w:b/>
                <w:bCs/>
                <w:sz w:val="20"/>
                <w:szCs w:val="20"/>
              </w:rPr>
            </w:pPr>
            <w:r w:rsidRPr="00480790">
              <w:rPr>
                <w:rFonts w:ascii="Arial Narrow" w:hAnsi="Arial Narrow"/>
                <w:b/>
                <w:bCs/>
                <w:sz w:val="20"/>
                <w:szCs w:val="20"/>
              </w:rPr>
              <w:t>Rpts</w:t>
            </w:r>
          </w:p>
        </w:tc>
        <w:tc>
          <w:tcPr>
            <w:tcW w:w="1831" w:type="dxa"/>
            <w:vAlign w:val="center"/>
          </w:tcPr>
          <w:p w14:paraId="0063E8CB" w14:textId="77777777" w:rsidR="003378A8" w:rsidRPr="00480790" w:rsidRDefault="003378A8">
            <w:pPr>
              <w:keepLines/>
              <w:rPr>
                <w:rFonts w:ascii="Arial Narrow" w:hAnsi="Arial Narrow"/>
                <w:b/>
                <w:sz w:val="20"/>
                <w:szCs w:val="20"/>
              </w:rPr>
            </w:pPr>
            <w:r w:rsidRPr="00480790">
              <w:rPr>
                <w:rFonts w:ascii="Arial Narrow" w:hAnsi="Arial Narrow"/>
                <w:b/>
                <w:sz w:val="20"/>
                <w:szCs w:val="20"/>
              </w:rPr>
              <w:t>Available brands</w:t>
            </w:r>
          </w:p>
        </w:tc>
      </w:tr>
      <w:tr w:rsidR="00AB01EA" w:rsidRPr="00480790" w14:paraId="4843559E" w14:textId="77777777" w:rsidTr="006A041B">
        <w:trPr>
          <w:cantSplit/>
          <w:trHeight w:val="20"/>
        </w:trPr>
        <w:tc>
          <w:tcPr>
            <w:tcW w:w="9022" w:type="dxa"/>
            <w:gridSpan w:val="8"/>
            <w:vAlign w:val="center"/>
          </w:tcPr>
          <w:p w14:paraId="0815D2C4" w14:textId="77777777" w:rsidR="003378A8" w:rsidRPr="00480790" w:rsidRDefault="003378A8">
            <w:pPr>
              <w:keepLines/>
              <w:rPr>
                <w:rFonts w:ascii="Arial Narrow" w:hAnsi="Arial Narrow"/>
                <w:sz w:val="20"/>
                <w:szCs w:val="20"/>
              </w:rPr>
            </w:pPr>
            <w:r w:rsidRPr="00480790">
              <w:rPr>
                <w:rFonts w:ascii="Arial Narrow" w:hAnsi="Arial Narrow"/>
                <w:sz w:val="20"/>
                <w:szCs w:val="20"/>
              </w:rPr>
              <w:t>CERITINIB</w:t>
            </w:r>
          </w:p>
        </w:tc>
      </w:tr>
      <w:tr w:rsidR="00AB01EA" w:rsidRPr="00480790" w14:paraId="15A4A068" w14:textId="77777777" w:rsidTr="006A041B">
        <w:trPr>
          <w:cantSplit/>
          <w:trHeight w:val="20"/>
        </w:trPr>
        <w:tc>
          <w:tcPr>
            <w:tcW w:w="3403" w:type="dxa"/>
            <w:gridSpan w:val="3"/>
            <w:vAlign w:val="center"/>
          </w:tcPr>
          <w:p w14:paraId="5A386512" w14:textId="77777777" w:rsidR="003378A8" w:rsidRPr="00480790" w:rsidRDefault="003378A8">
            <w:pPr>
              <w:keepLines/>
              <w:rPr>
                <w:rFonts w:ascii="Arial Narrow" w:hAnsi="Arial Narrow"/>
                <w:sz w:val="20"/>
                <w:szCs w:val="20"/>
              </w:rPr>
            </w:pPr>
            <w:r w:rsidRPr="00480790">
              <w:rPr>
                <w:rFonts w:ascii="Arial Narrow" w:hAnsi="Arial Narrow"/>
                <w:sz w:val="20"/>
                <w:szCs w:val="20"/>
              </w:rPr>
              <w:t>ceritinib 150 mg capsule, 3 x 50</w:t>
            </w:r>
          </w:p>
        </w:tc>
        <w:tc>
          <w:tcPr>
            <w:tcW w:w="993" w:type="dxa"/>
            <w:vAlign w:val="center"/>
          </w:tcPr>
          <w:p w14:paraId="408A4B51" w14:textId="77777777" w:rsidR="003378A8" w:rsidRPr="00480790" w:rsidRDefault="003378A8">
            <w:pPr>
              <w:keepLines/>
              <w:jc w:val="center"/>
              <w:rPr>
                <w:rFonts w:ascii="Arial Narrow" w:hAnsi="Arial Narrow"/>
                <w:sz w:val="20"/>
                <w:szCs w:val="20"/>
              </w:rPr>
            </w:pPr>
            <w:r w:rsidRPr="00480790">
              <w:rPr>
                <w:rFonts w:ascii="Arial Narrow" w:hAnsi="Arial Narrow"/>
                <w:sz w:val="20"/>
                <w:szCs w:val="20"/>
              </w:rPr>
              <w:t>11056X</w:t>
            </w:r>
          </w:p>
        </w:tc>
        <w:tc>
          <w:tcPr>
            <w:tcW w:w="992" w:type="dxa"/>
            <w:vAlign w:val="center"/>
          </w:tcPr>
          <w:p w14:paraId="14782BDC" w14:textId="77777777" w:rsidR="003378A8" w:rsidRPr="00480790" w:rsidRDefault="003378A8">
            <w:pPr>
              <w:keepLines/>
              <w:jc w:val="center"/>
              <w:rPr>
                <w:rFonts w:ascii="Arial Narrow" w:hAnsi="Arial Narrow"/>
                <w:sz w:val="20"/>
                <w:szCs w:val="20"/>
              </w:rPr>
            </w:pPr>
            <w:r w:rsidRPr="00480790">
              <w:rPr>
                <w:rFonts w:ascii="Arial Narrow" w:hAnsi="Arial Narrow"/>
                <w:sz w:val="20"/>
                <w:szCs w:val="20"/>
              </w:rPr>
              <w:t>3</w:t>
            </w:r>
          </w:p>
        </w:tc>
        <w:tc>
          <w:tcPr>
            <w:tcW w:w="991" w:type="dxa"/>
            <w:vAlign w:val="center"/>
          </w:tcPr>
          <w:p w14:paraId="61374AB2" w14:textId="77777777" w:rsidR="003378A8" w:rsidRPr="00480790" w:rsidRDefault="003378A8">
            <w:pPr>
              <w:keepLines/>
              <w:jc w:val="center"/>
              <w:rPr>
                <w:rFonts w:ascii="Arial Narrow" w:hAnsi="Arial Narrow"/>
                <w:sz w:val="20"/>
                <w:szCs w:val="20"/>
              </w:rPr>
            </w:pPr>
            <w:r w:rsidRPr="00480790">
              <w:rPr>
                <w:rFonts w:ascii="Arial Narrow" w:hAnsi="Arial Narrow"/>
                <w:sz w:val="20"/>
                <w:szCs w:val="20"/>
              </w:rPr>
              <w:t>150</w:t>
            </w:r>
          </w:p>
        </w:tc>
        <w:tc>
          <w:tcPr>
            <w:tcW w:w="812" w:type="dxa"/>
            <w:vAlign w:val="center"/>
          </w:tcPr>
          <w:p w14:paraId="21397C36" w14:textId="77777777" w:rsidR="003378A8" w:rsidRPr="00480790" w:rsidRDefault="003378A8">
            <w:pPr>
              <w:keepLines/>
              <w:jc w:val="center"/>
              <w:rPr>
                <w:rFonts w:ascii="Arial Narrow" w:hAnsi="Arial Narrow"/>
                <w:sz w:val="20"/>
                <w:szCs w:val="20"/>
              </w:rPr>
            </w:pPr>
            <w:r w:rsidRPr="00480790">
              <w:rPr>
                <w:rFonts w:ascii="Arial Narrow" w:hAnsi="Arial Narrow"/>
                <w:sz w:val="20"/>
                <w:szCs w:val="20"/>
              </w:rPr>
              <w:t>3</w:t>
            </w:r>
          </w:p>
        </w:tc>
        <w:tc>
          <w:tcPr>
            <w:tcW w:w="1831" w:type="dxa"/>
            <w:vAlign w:val="center"/>
          </w:tcPr>
          <w:p w14:paraId="355EEC86" w14:textId="77777777" w:rsidR="003378A8" w:rsidRPr="00480790" w:rsidRDefault="003378A8">
            <w:pPr>
              <w:keepLines/>
              <w:rPr>
                <w:rFonts w:ascii="Arial Narrow" w:hAnsi="Arial Narrow"/>
                <w:sz w:val="20"/>
                <w:szCs w:val="20"/>
              </w:rPr>
            </w:pPr>
            <w:r w:rsidRPr="00480790">
              <w:rPr>
                <w:rFonts w:ascii="Arial Narrow" w:hAnsi="Arial Narrow"/>
                <w:sz w:val="20"/>
                <w:szCs w:val="20"/>
              </w:rPr>
              <w:t>Zykadia</w:t>
            </w:r>
          </w:p>
        </w:tc>
      </w:tr>
      <w:tr w:rsidR="00AB01EA" w:rsidRPr="00480790" w14:paraId="111BC910" w14:textId="77777777" w:rsidTr="006A041B">
        <w:tblPrEx>
          <w:tblCellMar>
            <w:top w:w="15" w:type="dxa"/>
            <w:bottom w:w="15" w:type="dxa"/>
          </w:tblCellMar>
          <w:tblLook w:val="04A0" w:firstRow="1" w:lastRow="0" w:firstColumn="1" w:lastColumn="0" w:noHBand="0" w:noVBand="1"/>
        </w:tblPrEx>
        <w:trPr>
          <w:trHeight w:val="20"/>
        </w:trPr>
        <w:tc>
          <w:tcPr>
            <w:tcW w:w="9022" w:type="dxa"/>
            <w:gridSpan w:val="8"/>
            <w:tcBorders>
              <w:top w:val="single" w:sz="4" w:space="0" w:color="auto"/>
              <w:left w:val="single" w:sz="4" w:space="0" w:color="auto"/>
              <w:right w:val="single" w:sz="4" w:space="0" w:color="auto"/>
            </w:tcBorders>
            <w:vAlign w:val="center"/>
          </w:tcPr>
          <w:p w14:paraId="67AA7372" w14:textId="77777777" w:rsidR="003378A8" w:rsidRPr="00480790" w:rsidRDefault="003378A8">
            <w:pPr>
              <w:rPr>
                <w:rFonts w:ascii="Arial Narrow" w:hAnsi="Arial Narrow"/>
                <w:sz w:val="20"/>
                <w:szCs w:val="20"/>
              </w:rPr>
            </w:pPr>
          </w:p>
        </w:tc>
      </w:tr>
      <w:tr w:rsidR="00AB01EA" w:rsidRPr="00480790" w14:paraId="518035C3" w14:textId="77777777" w:rsidTr="006A041B">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71FD2CD2" w14:textId="3EF57E7E" w:rsidR="003378A8" w:rsidRPr="00480790" w:rsidRDefault="003378A8">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8AD7578" w14:textId="77777777" w:rsidR="003378A8" w:rsidRPr="00480790" w:rsidRDefault="003378A8">
            <w:pPr>
              <w:keepLines/>
              <w:rPr>
                <w:rFonts w:ascii="Arial Narrow" w:hAnsi="Arial Narrow"/>
                <w:sz w:val="20"/>
                <w:szCs w:val="20"/>
              </w:rPr>
            </w:pPr>
            <w:r w:rsidRPr="00480790">
              <w:rPr>
                <w:rFonts w:ascii="Arial Narrow" w:hAnsi="Arial Narrow"/>
                <w:b/>
                <w:sz w:val="20"/>
                <w:szCs w:val="20"/>
              </w:rPr>
              <w:t>Category / Program:</w:t>
            </w:r>
            <w:r w:rsidRPr="00480790">
              <w:rPr>
                <w:rFonts w:ascii="Arial Narrow" w:hAnsi="Arial Narrow"/>
                <w:sz w:val="20"/>
                <w:szCs w:val="20"/>
              </w:rPr>
              <w:t xml:space="preserve"> </w:t>
            </w:r>
            <w:r w:rsidRPr="00480790">
              <w:rPr>
                <w:rFonts w:ascii="Arial Narrow" w:eastAsia="Calibri" w:hAnsi="Arial Narrow"/>
                <w:sz w:val="20"/>
                <w:szCs w:val="20"/>
              </w:rPr>
              <w:fldChar w:fldCharType="begin">
                <w:ffData>
                  <w:name w:val="Check1"/>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 xml:space="preserve"> GENERAL - General Schedule (Code GE) </w:t>
            </w:r>
          </w:p>
        </w:tc>
      </w:tr>
      <w:tr w:rsidR="00AB01EA" w:rsidRPr="00480790" w14:paraId="04BA0B5E" w14:textId="77777777" w:rsidTr="006A041B">
        <w:tblPrEx>
          <w:tblCellMar>
            <w:top w:w="15" w:type="dxa"/>
            <w:bottom w:w="15" w:type="dxa"/>
          </w:tblCellMar>
          <w:tblLook w:val="04A0" w:firstRow="1" w:lastRow="0" w:firstColumn="1" w:lastColumn="0" w:noHBand="0" w:noVBand="1"/>
        </w:tblPrEx>
        <w:trPr>
          <w:trHeight w:val="20"/>
        </w:trPr>
        <w:tc>
          <w:tcPr>
            <w:tcW w:w="1277" w:type="dxa"/>
            <w:gridSpan w:val="2"/>
            <w:vMerge/>
          </w:tcPr>
          <w:p w14:paraId="3E9B6A62" w14:textId="77777777" w:rsidR="003378A8" w:rsidRPr="00480790" w:rsidRDefault="003378A8">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B4D04B2" w14:textId="77777777" w:rsidR="003378A8" w:rsidRPr="00480790" w:rsidRDefault="003378A8">
            <w:pPr>
              <w:keepLines/>
              <w:rPr>
                <w:rFonts w:ascii="Arial Narrow" w:hAnsi="Arial Narrow"/>
                <w:b/>
                <w:sz w:val="20"/>
                <w:szCs w:val="20"/>
              </w:rPr>
            </w:pPr>
            <w:r w:rsidRPr="00480790">
              <w:rPr>
                <w:rFonts w:ascii="Arial Narrow" w:hAnsi="Arial Narrow"/>
                <w:b/>
                <w:sz w:val="20"/>
                <w:szCs w:val="20"/>
              </w:rPr>
              <w:t xml:space="preserve">Prescriber type: </w:t>
            </w:r>
            <w:r w:rsidRPr="00480790">
              <w:rPr>
                <w:rFonts w:ascii="Arial Narrow" w:hAnsi="Arial Narrow"/>
                <w:sz w:val="20"/>
                <w:szCs w:val="20"/>
              </w:rPr>
              <w:t xml:space="preserve"> </w:t>
            </w:r>
            <w:r w:rsidRPr="00480790">
              <w:rPr>
                <w:rFonts w:ascii="Arial Narrow" w:hAnsi="Arial Narrow"/>
                <w:sz w:val="20"/>
                <w:szCs w:val="20"/>
              </w:rPr>
              <w:fldChar w:fldCharType="begin">
                <w:ffData>
                  <w:name w:val=""/>
                  <w:enabled/>
                  <w:calcOnExit w:val="0"/>
                  <w:checkBox>
                    <w:sizeAuto/>
                    <w:default w:val="1"/>
                  </w:checkBox>
                </w:ffData>
              </w:fldChar>
            </w:r>
            <w:r w:rsidRPr="00480790">
              <w:rPr>
                <w:rFonts w:ascii="Arial Narrow" w:hAnsi="Arial Narrow"/>
                <w:sz w:val="20"/>
                <w:szCs w:val="20"/>
              </w:rPr>
              <w:instrText xml:space="preserve"> FORMCHECKBOX </w:instrText>
            </w:r>
            <w:r w:rsidRPr="00480790">
              <w:rPr>
                <w:rFonts w:ascii="Arial Narrow" w:hAnsi="Arial Narrow"/>
                <w:sz w:val="20"/>
                <w:szCs w:val="20"/>
              </w:rPr>
            </w:r>
            <w:r w:rsidRPr="00480790">
              <w:rPr>
                <w:rFonts w:ascii="Arial Narrow" w:hAnsi="Arial Narrow"/>
                <w:sz w:val="20"/>
                <w:szCs w:val="20"/>
              </w:rPr>
              <w:fldChar w:fldCharType="separate"/>
            </w:r>
            <w:r w:rsidRPr="00480790">
              <w:rPr>
                <w:rFonts w:ascii="Arial Narrow" w:hAnsi="Arial Narrow"/>
                <w:sz w:val="20"/>
                <w:szCs w:val="20"/>
              </w:rPr>
              <w:fldChar w:fldCharType="end"/>
            </w:r>
            <w:r w:rsidRPr="00480790">
              <w:rPr>
                <w:rFonts w:ascii="Arial Narrow" w:hAnsi="Arial Narrow"/>
                <w:sz w:val="20"/>
                <w:szCs w:val="20"/>
              </w:rPr>
              <w:t xml:space="preserve">Medical Practitioners </w:t>
            </w:r>
          </w:p>
        </w:tc>
      </w:tr>
      <w:tr w:rsidR="00AB01EA" w:rsidRPr="00480790" w14:paraId="549B3C29" w14:textId="77777777" w:rsidTr="006A041B">
        <w:tblPrEx>
          <w:tblCellMar>
            <w:top w:w="15" w:type="dxa"/>
            <w:bottom w:w="15" w:type="dxa"/>
          </w:tblCellMar>
          <w:tblLook w:val="04A0" w:firstRow="1" w:lastRow="0" w:firstColumn="1" w:lastColumn="0" w:noHBand="0" w:noVBand="1"/>
        </w:tblPrEx>
        <w:trPr>
          <w:trHeight w:val="20"/>
        </w:trPr>
        <w:tc>
          <w:tcPr>
            <w:tcW w:w="493" w:type="dxa"/>
            <w:vMerge w:val="restart"/>
            <w:tcBorders>
              <w:left w:val="single" w:sz="4" w:space="0" w:color="auto"/>
              <w:right w:val="single" w:sz="4" w:space="0" w:color="auto"/>
            </w:tcBorders>
            <w:textDirection w:val="btLr"/>
            <w:vAlign w:val="center"/>
          </w:tcPr>
          <w:p w14:paraId="7052BB6F" w14:textId="6B028B0D" w:rsidR="003378A8" w:rsidRPr="00480790" w:rsidRDefault="003378A8">
            <w:pPr>
              <w:jc w:val="center"/>
              <w:rPr>
                <w:rFonts w:ascii="Arial Narrow" w:hAnsi="Arial Narrow"/>
                <w:sz w:val="20"/>
                <w:szCs w:val="20"/>
              </w:rPr>
            </w:pPr>
          </w:p>
        </w:tc>
        <w:tc>
          <w:tcPr>
            <w:tcW w:w="784" w:type="dxa"/>
            <w:vAlign w:val="center"/>
          </w:tcPr>
          <w:p w14:paraId="30ED8A8F" w14:textId="5B9D6569" w:rsidR="003378A8" w:rsidRPr="00480790" w:rsidRDefault="003378A8">
            <w:pPr>
              <w:jc w:val="center"/>
              <w:rPr>
                <w:rFonts w:ascii="Arial Narrow" w:hAnsi="Arial Narrow"/>
                <w:i/>
                <w:iCs/>
                <w:sz w:val="20"/>
                <w:szCs w:val="20"/>
              </w:rPr>
            </w:pPr>
          </w:p>
        </w:tc>
        <w:tc>
          <w:tcPr>
            <w:tcW w:w="7745" w:type="dxa"/>
            <w:gridSpan w:val="6"/>
            <w:vAlign w:val="center"/>
          </w:tcPr>
          <w:p w14:paraId="23E965E5" w14:textId="77777777" w:rsidR="003378A8" w:rsidRPr="00480790" w:rsidRDefault="003378A8">
            <w:pPr>
              <w:keepLines/>
              <w:rPr>
                <w:rFonts w:ascii="Arial Narrow" w:hAnsi="Arial Narrow"/>
                <w:b/>
                <w:bCs/>
                <w:i/>
                <w:iCs/>
                <w:sz w:val="20"/>
                <w:szCs w:val="20"/>
              </w:rPr>
            </w:pPr>
            <w:r w:rsidRPr="00480790">
              <w:rPr>
                <w:rFonts w:ascii="Arial Narrow" w:hAnsi="Arial Narrow"/>
                <w:b/>
                <w:bCs/>
                <w:i/>
                <w:iCs/>
                <w:sz w:val="20"/>
                <w:szCs w:val="20"/>
              </w:rPr>
              <w:t>Administration advice:</w:t>
            </w:r>
          </w:p>
          <w:p w14:paraId="4BF6C2C7" w14:textId="77777777" w:rsidR="003378A8" w:rsidRPr="00480790" w:rsidRDefault="003378A8">
            <w:pPr>
              <w:rPr>
                <w:rFonts w:ascii="Arial Narrow" w:hAnsi="Arial Narrow"/>
                <w:i/>
                <w:iCs/>
                <w:sz w:val="20"/>
                <w:szCs w:val="20"/>
              </w:rPr>
            </w:pPr>
            <w:r w:rsidRPr="00480790">
              <w:rPr>
                <w:rFonts w:ascii="Arial Narrow" w:hAnsi="Arial Narrow"/>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AB01EA" w:rsidRPr="00480790" w14:paraId="414D74F1" w14:textId="77777777" w:rsidTr="006A041B">
        <w:tblPrEx>
          <w:tblCellMar>
            <w:top w:w="15" w:type="dxa"/>
            <w:bottom w:w="15" w:type="dxa"/>
          </w:tblCellMar>
          <w:tblLook w:val="04A0" w:firstRow="1" w:lastRow="0" w:firstColumn="1" w:lastColumn="0" w:noHBand="0" w:noVBand="1"/>
        </w:tblPrEx>
        <w:trPr>
          <w:trHeight w:val="20"/>
        </w:trPr>
        <w:tc>
          <w:tcPr>
            <w:tcW w:w="493" w:type="dxa"/>
            <w:vMerge/>
          </w:tcPr>
          <w:p w14:paraId="625FD200" w14:textId="77777777" w:rsidR="003378A8" w:rsidRPr="00480790" w:rsidRDefault="003378A8">
            <w:pPr>
              <w:rPr>
                <w:rFonts w:ascii="Arial Narrow" w:hAnsi="Arial Narrow"/>
                <w:sz w:val="20"/>
                <w:szCs w:val="20"/>
              </w:rPr>
            </w:pPr>
          </w:p>
        </w:tc>
        <w:tc>
          <w:tcPr>
            <w:tcW w:w="784" w:type="dxa"/>
            <w:vAlign w:val="center"/>
          </w:tcPr>
          <w:p w14:paraId="1108336D" w14:textId="4048585E" w:rsidR="003378A8" w:rsidRPr="00480790" w:rsidRDefault="003378A8">
            <w:pPr>
              <w:jc w:val="center"/>
              <w:rPr>
                <w:rFonts w:ascii="Arial Narrow" w:hAnsi="Arial Narrow"/>
                <w:sz w:val="20"/>
                <w:szCs w:val="20"/>
              </w:rPr>
            </w:pPr>
          </w:p>
        </w:tc>
        <w:tc>
          <w:tcPr>
            <w:tcW w:w="7745" w:type="dxa"/>
            <w:gridSpan w:val="6"/>
            <w:vAlign w:val="center"/>
          </w:tcPr>
          <w:p w14:paraId="02A9A5E2" w14:textId="77777777" w:rsidR="003378A8" w:rsidRPr="00480790" w:rsidRDefault="003378A8">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quantity or number of units may be authorised.</w:t>
            </w:r>
          </w:p>
        </w:tc>
      </w:tr>
      <w:tr w:rsidR="00AB01EA" w:rsidRPr="00480790" w14:paraId="24BD54CE" w14:textId="77777777" w:rsidTr="006A041B">
        <w:tblPrEx>
          <w:tblCellMar>
            <w:top w:w="15" w:type="dxa"/>
            <w:bottom w:w="15" w:type="dxa"/>
          </w:tblCellMar>
          <w:tblLook w:val="04A0" w:firstRow="1" w:lastRow="0" w:firstColumn="1" w:lastColumn="0" w:noHBand="0" w:noVBand="1"/>
        </w:tblPrEx>
        <w:trPr>
          <w:trHeight w:val="20"/>
        </w:trPr>
        <w:tc>
          <w:tcPr>
            <w:tcW w:w="493" w:type="dxa"/>
            <w:vMerge/>
          </w:tcPr>
          <w:p w14:paraId="538C10FA" w14:textId="77777777" w:rsidR="003378A8" w:rsidRPr="00480790" w:rsidRDefault="003378A8">
            <w:pPr>
              <w:rPr>
                <w:rFonts w:ascii="Arial Narrow" w:hAnsi="Arial Narrow"/>
                <w:sz w:val="20"/>
                <w:szCs w:val="20"/>
              </w:rPr>
            </w:pPr>
          </w:p>
        </w:tc>
        <w:tc>
          <w:tcPr>
            <w:tcW w:w="784" w:type="dxa"/>
            <w:vAlign w:val="center"/>
          </w:tcPr>
          <w:p w14:paraId="3F7425FB" w14:textId="3272E537" w:rsidR="003378A8" w:rsidRPr="00480790" w:rsidRDefault="003378A8">
            <w:pPr>
              <w:jc w:val="center"/>
              <w:rPr>
                <w:rFonts w:ascii="Arial Narrow" w:hAnsi="Arial Narrow"/>
                <w:sz w:val="20"/>
                <w:szCs w:val="20"/>
              </w:rPr>
            </w:pPr>
          </w:p>
        </w:tc>
        <w:tc>
          <w:tcPr>
            <w:tcW w:w="7745" w:type="dxa"/>
            <w:gridSpan w:val="6"/>
            <w:vAlign w:val="center"/>
          </w:tcPr>
          <w:p w14:paraId="65E1DBE2" w14:textId="77777777" w:rsidR="003378A8" w:rsidRPr="00480790" w:rsidRDefault="003378A8">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number of repeats may be authorised.</w:t>
            </w:r>
          </w:p>
        </w:tc>
      </w:tr>
      <w:tr w:rsidR="00AB01EA" w:rsidRPr="00480790" w14:paraId="7F41D3B6" w14:textId="77777777" w:rsidTr="006A041B">
        <w:tblPrEx>
          <w:tblCellMar>
            <w:top w:w="15" w:type="dxa"/>
            <w:bottom w:w="15" w:type="dxa"/>
          </w:tblCellMar>
          <w:tblLook w:val="04A0" w:firstRow="1" w:lastRow="0" w:firstColumn="1" w:lastColumn="0" w:noHBand="0" w:noVBand="1"/>
        </w:tblPrEx>
        <w:trPr>
          <w:trHeight w:val="20"/>
        </w:trPr>
        <w:tc>
          <w:tcPr>
            <w:tcW w:w="493" w:type="dxa"/>
            <w:vMerge/>
          </w:tcPr>
          <w:p w14:paraId="0E6B254D" w14:textId="77777777" w:rsidR="003378A8" w:rsidRPr="00480790" w:rsidRDefault="003378A8">
            <w:pPr>
              <w:rPr>
                <w:rFonts w:ascii="Arial Narrow" w:hAnsi="Arial Narrow"/>
                <w:sz w:val="20"/>
                <w:szCs w:val="20"/>
              </w:rPr>
            </w:pPr>
          </w:p>
        </w:tc>
        <w:tc>
          <w:tcPr>
            <w:tcW w:w="784" w:type="dxa"/>
            <w:vAlign w:val="center"/>
          </w:tcPr>
          <w:p w14:paraId="3F82B2DF" w14:textId="7CD04B5D" w:rsidR="003378A8" w:rsidRPr="00480790" w:rsidRDefault="003378A8">
            <w:pPr>
              <w:jc w:val="center"/>
              <w:rPr>
                <w:rFonts w:ascii="Arial Narrow" w:hAnsi="Arial Narrow"/>
                <w:sz w:val="20"/>
                <w:szCs w:val="20"/>
              </w:rPr>
            </w:pPr>
          </w:p>
        </w:tc>
        <w:tc>
          <w:tcPr>
            <w:tcW w:w="7745" w:type="dxa"/>
            <w:gridSpan w:val="6"/>
            <w:vAlign w:val="center"/>
          </w:tcPr>
          <w:p w14:paraId="1414DBD2" w14:textId="77777777" w:rsidR="003378A8" w:rsidRPr="00480790" w:rsidRDefault="003378A8">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Special Pricing Arrangements apply.</w:t>
            </w:r>
          </w:p>
        </w:tc>
      </w:tr>
      <w:tr w:rsidR="00AB01EA" w:rsidRPr="00480790" w14:paraId="163234D3" w14:textId="77777777" w:rsidTr="006A041B">
        <w:tblPrEx>
          <w:tblCellMar>
            <w:top w:w="15" w:type="dxa"/>
            <w:bottom w:w="15" w:type="dxa"/>
          </w:tblCellMar>
          <w:tblLook w:val="04A0" w:firstRow="1" w:lastRow="0" w:firstColumn="1" w:lastColumn="0" w:noHBand="0" w:noVBand="1"/>
        </w:tblPrEx>
        <w:trPr>
          <w:trHeight w:val="182"/>
        </w:trPr>
        <w:tc>
          <w:tcPr>
            <w:tcW w:w="1277" w:type="dxa"/>
            <w:gridSpan w:val="2"/>
            <w:tcBorders>
              <w:left w:val="single" w:sz="4" w:space="0" w:color="auto"/>
              <w:right w:val="single" w:sz="4" w:space="0" w:color="auto"/>
            </w:tcBorders>
          </w:tcPr>
          <w:p w14:paraId="1B63F7D0" w14:textId="77777777" w:rsidR="003378A8" w:rsidRPr="00480790" w:rsidRDefault="003378A8">
            <w:pPr>
              <w:rPr>
                <w:rFonts w:ascii="Arial Narrow" w:hAnsi="Arial Narrow"/>
                <w:sz w:val="20"/>
                <w:szCs w:val="20"/>
              </w:rPr>
            </w:pPr>
          </w:p>
        </w:tc>
        <w:tc>
          <w:tcPr>
            <w:tcW w:w="7745" w:type="dxa"/>
            <w:gridSpan w:val="6"/>
            <w:tcBorders>
              <w:top w:val="single" w:sz="4" w:space="0" w:color="auto"/>
              <w:left w:val="single" w:sz="4" w:space="0" w:color="auto"/>
              <w:right w:val="single" w:sz="4" w:space="0" w:color="auto"/>
            </w:tcBorders>
            <w:vAlign w:val="center"/>
          </w:tcPr>
          <w:p w14:paraId="6526A26E" w14:textId="77777777" w:rsidR="003378A8" w:rsidRPr="00480790" w:rsidRDefault="003378A8">
            <w:pPr>
              <w:keepLines/>
              <w:rPr>
                <w:rFonts w:ascii="Arial Narrow" w:eastAsia="Calibri" w:hAnsi="Arial Narrow"/>
                <w:sz w:val="20"/>
                <w:szCs w:val="20"/>
              </w:rPr>
            </w:pPr>
            <w:r w:rsidRPr="00480790">
              <w:rPr>
                <w:rFonts w:ascii="Arial Narrow" w:hAnsi="Arial Narrow"/>
                <w:b/>
                <w:sz w:val="20"/>
                <w:szCs w:val="20"/>
              </w:rPr>
              <w:t xml:space="preserve">Restriction type: </w:t>
            </w:r>
            <w:r w:rsidRPr="00480790">
              <w:rPr>
                <w:rFonts w:ascii="Arial Narrow" w:eastAsia="Calibri" w:hAnsi="Arial Narrow"/>
                <w:sz w:val="20"/>
                <w:szCs w:val="20"/>
              </w:rPr>
              <w:fldChar w:fldCharType="begin">
                <w:ffData>
                  <w:name w:val="Check3"/>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Authority Required (immediate assessment) - Telephone/Online PBS Authorities</w:t>
            </w:r>
          </w:p>
        </w:tc>
      </w:tr>
      <w:tr w:rsidR="00A35F1C" w:rsidRPr="00480790" w14:paraId="47F1F996" w14:textId="77777777" w:rsidTr="006A041B">
        <w:tblPrEx>
          <w:tblCellMar>
            <w:top w:w="15" w:type="dxa"/>
            <w:bottom w:w="15" w:type="dxa"/>
          </w:tblCellMar>
          <w:tblLook w:val="04A0" w:firstRow="1" w:lastRow="0" w:firstColumn="1" w:lastColumn="0" w:noHBand="0" w:noVBand="1"/>
        </w:tblPrEx>
        <w:trPr>
          <w:trHeight w:val="182"/>
        </w:trPr>
        <w:tc>
          <w:tcPr>
            <w:tcW w:w="9022" w:type="dxa"/>
            <w:gridSpan w:val="8"/>
            <w:tcBorders>
              <w:left w:val="single" w:sz="4" w:space="0" w:color="auto"/>
              <w:right w:val="single" w:sz="4" w:space="0" w:color="auto"/>
            </w:tcBorders>
          </w:tcPr>
          <w:p w14:paraId="6EC99F52" w14:textId="77777777" w:rsidR="00A35F1C" w:rsidRPr="00480790" w:rsidRDefault="00A35F1C">
            <w:pPr>
              <w:keepLines/>
              <w:rPr>
                <w:rFonts w:ascii="Arial Narrow" w:hAnsi="Arial Narrow"/>
                <w:b/>
                <w:sz w:val="20"/>
                <w:szCs w:val="20"/>
              </w:rPr>
            </w:pPr>
          </w:p>
        </w:tc>
      </w:tr>
      <w:tr w:rsidR="00AB01EA" w:rsidRPr="00480790" w14:paraId="57E72481" w14:textId="77777777" w:rsidTr="006A041B">
        <w:tblPrEx>
          <w:tblCellMar>
            <w:top w:w="15" w:type="dxa"/>
            <w:bottom w:w="15" w:type="dxa"/>
          </w:tblCellMar>
          <w:tblLook w:val="04A0" w:firstRow="1" w:lastRow="0" w:firstColumn="1" w:lastColumn="0" w:noHBand="0" w:noVBand="1"/>
        </w:tblPrEx>
        <w:trPr>
          <w:trHeight w:val="182"/>
        </w:trPr>
        <w:tc>
          <w:tcPr>
            <w:tcW w:w="9022" w:type="dxa"/>
            <w:gridSpan w:val="8"/>
            <w:tcBorders>
              <w:left w:val="single" w:sz="4" w:space="0" w:color="auto"/>
              <w:right w:val="single" w:sz="4" w:space="0" w:color="auto"/>
            </w:tcBorders>
          </w:tcPr>
          <w:p w14:paraId="1F21347B" w14:textId="2F28D40A" w:rsidR="003378A8" w:rsidRPr="00480790" w:rsidRDefault="003378A8">
            <w:pPr>
              <w:keepLines/>
              <w:rPr>
                <w:rFonts w:ascii="Arial Narrow" w:hAnsi="Arial Narrow"/>
                <w:b/>
                <w:sz w:val="20"/>
                <w:szCs w:val="20"/>
              </w:rPr>
            </w:pPr>
            <w:r w:rsidRPr="00480790">
              <w:rPr>
                <w:rFonts w:ascii="Arial Narrow" w:hAnsi="Arial Narrow"/>
                <w:b/>
                <w:sz w:val="20"/>
                <w:szCs w:val="20"/>
              </w:rPr>
              <w:t xml:space="preserve">Restriction Summary / Treatment of Concept: </w:t>
            </w:r>
          </w:p>
        </w:tc>
      </w:tr>
      <w:tr w:rsidR="00AB01EA" w:rsidRPr="00480790" w14:paraId="42064486" w14:textId="77777777" w:rsidTr="009E7B7E">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9705030" w14:textId="4C5B5E98" w:rsidR="003378A8" w:rsidRPr="00480790" w:rsidRDefault="003378A8">
            <w:pPr>
              <w:keepLines/>
              <w:jc w:val="center"/>
              <w:rPr>
                <w:rFonts w:ascii="Arial Narrow" w:hAnsi="Arial Narrow"/>
                <w:sz w:val="20"/>
                <w:szCs w:val="20"/>
              </w:rPr>
            </w:pPr>
          </w:p>
        </w:tc>
        <w:tc>
          <w:tcPr>
            <w:tcW w:w="7745" w:type="dxa"/>
            <w:gridSpan w:val="6"/>
            <w:vAlign w:val="center"/>
            <w:hideMark/>
          </w:tcPr>
          <w:p w14:paraId="44C12DC9" w14:textId="77777777" w:rsidR="003378A8" w:rsidRPr="00480790" w:rsidRDefault="003378A8">
            <w:pPr>
              <w:keepLines/>
              <w:rPr>
                <w:rFonts w:ascii="Arial Narrow" w:hAnsi="Arial Narrow"/>
                <w:sz w:val="20"/>
                <w:szCs w:val="20"/>
              </w:rPr>
            </w:pPr>
            <w:r w:rsidRPr="00480790">
              <w:rPr>
                <w:rFonts w:ascii="Arial Narrow" w:hAnsi="Arial Narrow"/>
                <w:b/>
                <w:bCs/>
                <w:sz w:val="20"/>
                <w:szCs w:val="20"/>
              </w:rPr>
              <w:t>Indication:</w:t>
            </w:r>
            <w:r w:rsidRPr="00480790">
              <w:rPr>
                <w:rFonts w:ascii="Arial Narrow" w:hAnsi="Arial Narrow"/>
                <w:sz w:val="20"/>
                <w:szCs w:val="20"/>
              </w:rPr>
              <w:t xml:space="preserve"> Stage IIIB (locally advanced) or Stage IV (metastatic) non-small cell lung cancer (NSCLC)</w:t>
            </w:r>
          </w:p>
        </w:tc>
      </w:tr>
      <w:tr w:rsidR="00AB01EA" w:rsidRPr="00480790" w14:paraId="0D84F0CF"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57F8D9E" w14:textId="77777777" w:rsidR="003378A8" w:rsidRPr="00480790" w:rsidRDefault="003378A8">
            <w:pPr>
              <w:keepLines/>
              <w:jc w:val="center"/>
              <w:rPr>
                <w:rFonts w:ascii="Arial Narrow" w:hAnsi="Arial Narrow"/>
                <w:sz w:val="20"/>
                <w:szCs w:val="20"/>
              </w:rPr>
            </w:pPr>
          </w:p>
        </w:tc>
        <w:tc>
          <w:tcPr>
            <w:tcW w:w="7745" w:type="dxa"/>
            <w:gridSpan w:val="6"/>
            <w:vAlign w:val="center"/>
          </w:tcPr>
          <w:p w14:paraId="09689E13" w14:textId="77777777" w:rsidR="003378A8" w:rsidRPr="00480790" w:rsidRDefault="003378A8">
            <w:pPr>
              <w:keepLines/>
              <w:rPr>
                <w:rFonts w:ascii="Arial Narrow" w:hAnsi="Arial Narrow"/>
                <w:b/>
                <w:bCs/>
                <w:sz w:val="20"/>
                <w:szCs w:val="20"/>
              </w:rPr>
            </w:pPr>
            <w:r w:rsidRPr="00480790">
              <w:rPr>
                <w:rFonts w:ascii="Arial Narrow" w:hAnsi="Arial Narrow"/>
                <w:b/>
                <w:bCs/>
                <w:sz w:val="20"/>
                <w:szCs w:val="20"/>
              </w:rPr>
              <w:t xml:space="preserve">Treatment Phase: </w:t>
            </w:r>
            <w:r w:rsidRPr="00480790">
              <w:rPr>
                <w:rFonts w:ascii="Arial Narrow" w:hAnsi="Arial Narrow"/>
                <w:sz w:val="20"/>
                <w:szCs w:val="20"/>
              </w:rPr>
              <w:t>Initial treatment</w:t>
            </w:r>
          </w:p>
        </w:tc>
      </w:tr>
      <w:tr w:rsidR="00AB01EA" w:rsidRPr="00480790" w14:paraId="03D22B3E"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016E7A0" w14:textId="77777777" w:rsidR="003378A8" w:rsidRPr="00480790" w:rsidRDefault="003378A8">
            <w:pPr>
              <w:keepLines/>
              <w:jc w:val="center"/>
              <w:rPr>
                <w:rFonts w:ascii="Arial Narrow" w:hAnsi="Arial Narrow"/>
                <w:i/>
                <w:iCs/>
                <w:sz w:val="20"/>
                <w:szCs w:val="20"/>
              </w:rPr>
            </w:pPr>
          </w:p>
        </w:tc>
        <w:tc>
          <w:tcPr>
            <w:tcW w:w="7745" w:type="dxa"/>
            <w:gridSpan w:val="6"/>
            <w:vAlign w:val="center"/>
          </w:tcPr>
          <w:p w14:paraId="49C0C854" w14:textId="77777777" w:rsidR="003378A8" w:rsidRPr="00480790" w:rsidRDefault="003378A8">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Clinical criteria:</w:t>
            </w:r>
          </w:p>
        </w:tc>
      </w:tr>
      <w:tr w:rsidR="00AB01EA" w:rsidRPr="00480790" w14:paraId="226EC07A"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0D18C24" w14:textId="6848DAB0" w:rsidR="003378A8" w:rsidRPr="00480790" w:rsidRDefault="003378A8">
            <w:pPr>
              <w:keepLines/>
              <w:jc w:val="center"/>
              <w:rPr>
                <w:rFonts w:ascii="Arial Narrow" w:hAnsi="Arial Narrow"/>
                <w:i/>
                <w:iCs/>
                <w:sz w:val="20"/>
                <w:szCs w:val="20"/>
              </w:rPr>
            </w:pPr>
          </w:p>
        </w:tc>
        <w:tc>
          <w:tcPr>
            <w:tcW w:w="7745" w:type="dxa"/>
            <w:gridSpan w:val="6"/>
            <w:vAlign w:val="center"/>
          </w:tcPr>
          <w:p w14:paraId="71FA17C4" w14:textId="4208263B" w:rsidR="003378A8" w:rsidRPr="00480790" w:rsidRDefault="00AE7DE0">
            <w:pPr>
              <w:keepLines/>
              <w:rPr>
                <w:rFonts w:ascii="Arial Narrow" w:hAnsi="Arial Narrow"/>
                <w:i/>
                <w:iCs/>
                <w:sz w:val="20"/>
                <w:szCs w:val="20"/>
              </w:rPr>
            </w:pPr>
            <w:r w:rsidRPr="00AE7DE0">
              <w:rPr>
                <w:rFonts w:ascii="Arial Narrow" w:hAnsi="Arial Narrow"/>
                <w:i/>
                <w:iCs/>
                <w:sz w:val="20"/>
                <w:szCs w:val="20"/>
              </w:rPr>
              <w:t>Patient must be untreated with an Anaplastic Lymphoma Kinase-Tyrosine Kinase Inhibitor (ALK-TKI) for NSCLC</w:t>
            </w:r>
          </w:p>
        </w:tc>
      </w:tr>
      <w:tr w:rsidR="00AB01EA" w:rsidRPr="00480790" w14:paraId="12D5800F"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DDACEFB" w14:textId="77777777" w:rsidR="003378A8" w:rsidRPr="00480790" w:rsidRDefault="003378A8">
            <w:pPr>
              <w:keepLines/>
              <w:jc w:val="center"/>
              <w:rPr>
                <w:rFonts w:ascii="Arial Narrow" w:hAnsi="Arial Narrow"/>
                <w:i/>
                <w:iCs/>
                <w:sz w:val="20"/>
                <w:szCs w:val="20"/>
              </w:rPr>
            </w:pPr>
          </w:p>
        </w:tc>
        <w:tc>
          <w:tcPr>
            <w:tcW w:w="7745" w:type="dxa"/>
            <w:gridSpan w:val="6"/>
            <w:vAlign w:val="center"/>
          </w:tcPr>
          <w:p w14:paraId="1E4331AD" w14:textId="77777777" w:rsidR="003378A8" w:rsidRPr="00480790" w:rsidRDefault="003378A8">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AND</w:t>
            </w:r>
          </w:p>
        </w:tc>
      </w:tr>
      <w:tr w:rsidR="00AB01EA" w:rsidRPr="00480790" w14:paraId="29B088EA"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239E7A7F" w14:textId="4DFA7A3D" w:rsidR="003378A8" w:rsidRPr="00480790" w:rsidRDefault="003378A8">
            <w:pPr>
              <w:keepLines/>
              <w:jc w:val="center"/>
              <w:rPr>
                <w:rFonts w:ascii="Arial Narrow" w:hAnsi="Arial Narrow"/>
                <w:sz w:val="20"/>
                <w:szCs w:val="20"/>
              </w:rPr>
            </w:pPr>
          </w:p>
        </w:tc>
        <w:tc>
          <w:tcPr>
            <w:tcW w:w="7745" w:type="dxa"/>
            <w:gridSpan w:val="6"/>
          </w:tcPr>
          <w:p w14:paraId="11CE12B6" w14:textId="77777777" w:rsidR="003378A8" w:rsidRPr="00480790" w:rsidRDefault="003378A8">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3415F715"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1E827575" w14:textId="0EC5BB62" w:rsidR="003378A8" w:rsidRPr="00480790" w:rsidRDefault="003378A8">
            <w:pPr>
              <w:keepLines/>
              <w:jc w:val="center"/>
              <w:rPr>
                <w:rFonts w:ascii="Arial Narrow" w:hAnsi="Arial Narrow"/>
                <w:sz w:val="20"/>
                <w:szCs w:val="20"/>
              </w:rPr>
            </w:pPr>
          </w:p>
        </w:tc>
        <w:tc>
          <w:tcPr>
            <w:tcW w:w="7745" w:type="dxa"/>
            <w:gridSpan w:val="6"/>
          </w:tcPr>
          <w:p w14:paraId="0DE0CBF8" w14:textId="77777777" w:rsidR="003378A8" w:rsidRPr="00480790" w:rsidRDefault="003378A8">
            <w:pPr>
              <w:keepLines/>
              <w:rPr>
                <w:rFonts w:ascii="Arial Narrow" w:hAnsi="Arial Narrow" w:cs="Open Sans"/>
                <w:strike/>
                <w:sz w:val="20"/>
                <w:szCs w:val="20"/>
              </w:rPr>
            </w:pPr>
            <w:r w:rsidRPr="00480790">
              <w:rPr>
                <w:rFonts w:ascii="Arial Narrow" w:hAnsi="Arial Narrow" w:cs="Open Sans"/>
                <w:strike/>
                <w:sz w:val="20"/>
                <w:szCs w:val="20"/>
              </w:rPr>
              <w:t>The treatment must be as monotherapy</w:t>
            </w:r>
          </w:p>
          <w:p w14:paraId="03FDA0FF" w14:textId="77777777" w:rsidR="003378A8" w:rsidRPr="00480790" w:rsidRDefault="003378A8">
            <w:pPr>
              <w:keepLines/>
              <w:rPr>
                <w:rFonts w:ascii="Arial Narrow" w:hAnsi="Arial Narrow"/>
                <w:sz w:val="20"/>
                <w:szCs w:val="20"/>
              </w:rPr>
            </w:pPr>
            <w:r w:rsidRPr="00480790">
              <w:rPr>
                <w:rFonts w:ascii="Arial Narrow" w:hAnsi="Arial Narrow"/>
                <w:i/>
                <w:iCs/>
                <w:sz w:val="20"/>
                <w:szCs w:val="20"/>
              </w:rPr>
              <w:t>The treatment must be the sole PBS-subsidised systemic anti-cancer therapy for this condition</w:t>
            </w:r>
          </w:p>
        </w:tc>
      </w:tr>
      <w:tr w:rsidR="00AB01EA" w:rsidRPr="00480790" w14:paraId="7EB182A9"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49B4AD0E" w14:textId="77777777" w:rsidR="003378A8" w:rsidRPr="00480790" w:rsidRDefault="003378A8">
            <w:pPr>
              <w:keepLines/>
              <w:jc w:val="center"/>
              <w:rPr>
                <w:rFonts w:ascii="Arial Narrow" w:hAnsi="Arial Narrow"/>
                <w:sz w:val="20"/>
                <w:szCs w:val="20"/>
              </w:rPr>
            </w:pPr>
          </w:p>
        </w:tc>
        <w:tc>
          <w:tcPr>
            <w:tcW w:w="7745" w:type="dxa"/>
            <w:gridSpan w:val="6"/>
          </w:tcPr>
          <w:p w14:paraId="335FD66B" w14:textId="77777777" w:rsidR="003378A8" w:rsidRPr="00480790" w:rsidRDefault="003378A8">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68AECDCA"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7AEE8BA5" w14:textId="52B2512D" w:rsidR="003378A8" w:rsidRPr="00480790" w:rsidRDefault="003378A8">
            <w:pPr>
              <w:keepLines/>
              <w:jc w:val="center"/>
              <w:rPr>
                <w:rFonts w:ascii="Arial Narrow" w:hAnsi="Arial Narrow"/>
                <w:sz w:val="20"/>
                <w:szCs w:val="20"/>
              </w:rPr>
            </w:pPr>
          </w:p>
        </w:tc>
        <w:tc>
          <w:tcPr>
            <w:tcW w:w="7745" w:type="dxa"/>
            <w:gridSpan w:val="6"/>
          </w:tcPr>
          <w:p w14:paraId="2C703BB1" w14:textId="77777777" w:rsidR="003378A8" w:rsidRPr="00480790" w:rsidRDefault="003378A8">
            <w:pPr>
              <w:keepLines/>
              <w:rPr>
                <w:rFonts w:ascii="Arial Narrow" w:hAnsi="Arial Narrow"/>
                <w:b/>
                <w:bCs/>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22B9C3A8"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1519AC15" w14:textId="1DE11C7E" w:rsidR="003378A8" w:rsidRPr="00480790" w:rsidRDefault="003378A8">
            <w:pPr>
              <w:keepLines/>
              <w:jc w:val="center"/>
              <w:rPr>
                <w:rFonts w:ascii="Arial Narrow" w:hAnsi="Arial Narrow"/>
                <w:sz w:val="20"/>
                <w:szCs w:val="20"/>
              </w:rPr>
            </w:pPr>
          </w:p>
        </w:tc>
        <w:tc>
          <w:tcPr>
            <w:tcW w:w="7745" w:type="dxa"/>
            <w:gridSpan w:val="6"/>
          </w:tcPr>
          <w:p w14:paraId="14EB521C" w14:textId="77777777" w:rsidR="003378A8" w:rsidRPr="00480790" w:rsidRDefault="003378A8">
            <w:pPr>
              <w:keepLines/>
              <w:rPr>
                <w:rFonts w:ascii="Arial Narrow" w:hAnsi="Arial Narrow"/>
                <w:b/>
                <w:bCs/>
                <w:sz w:val="20"/>
                <w:szCs w:val="20"/>
              </w:rPr>
            </w:pPr>
            <w:r w:rsidRPr="00480790">
              <w:rPr>
                <w:rFonts w:ascii="Arial Narrow" w:hAnsi="Arial Narrow" w:cs="Open Sans"/>
                <w:sz w:val="20"/>
                <w:szCs w:val="20"/>
              </w:rPr>
              <w:t>The condition must be non-squamous type non-small cell lung cancer (NSCLC) or not otherwise specified type NSCLC</w:t>
            </w:r>
          </w:p>
        </w:tc>
      </w:tr>
      <w:tr w:rsidR="00AB01EA" w:rsidRPr="00480790" w14:paraId="1370FFFC"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4B93C272" w14:textId="77777777" w:rsidR="003378A8" w:rsidRPr="00480790" w:rsidRDefault="003378A8">
            <w:pPr>
              <w:keepLines/>
              <w:jc w:val="center"/>
              <w:rPr>
                <w:rFonts w:ascii="Arial Narrow" w:hAnsi="Arial Narrow"/>
                <w:sz w:val="20"/>
                <w:szCs w:val="20"/>
              </w:rPr>
            </w:pPr>
          </w:p>
        </w:tc>
        <w:tc>
          <w:tcPr>
            <w:tcW w:w="7745" w:type="dxa"/>
            <w:gridSpan w:val="6"/>
          </w:tcPr>
          <w:p w14:paraId="7E977503" w14:textId="77777777" w:rsidR="003378A8" w:rsidRPr="00480790" w:rsidRDefault="003378A8">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44D4E2BD"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71191ED1" w14:textId="600ECBE3" w:rsidR="003378A8" w:rsidRPr="00480790" w:rsidRDefault="003378A8">
            <w:pPr>
              <w:keepLines/>
              <w:jc w:val="center"/>
              <w:rPr>
                <w:rFonts w:ascii="Arial Narrow" w:hAnsi="Arial Narrow"/>
                <w:sz w:val="20"/>
                <w:szCs w:val="20"/>
              </w:rPr>
            </w:pPr>
          </w:p>
        </w:tc>
        <w:tc>
          <w:tcPr>
            <w:tcW w:w="7745" w:type="dxa"/>
            <w:gridSpan w:val="6"/>
          </w:tcPr>
          <w:p w14:paraId="6BC02193" w14:textId="77777777" w:rsidR="003378A8" w:rsidRPr="00480790" w:rsidRDefault="003378A8">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453938DE"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360B3A83" w14:textId="32B0B38F" w:rsidR="003378A8" w:rsidRPr="00480790" w:rsidRDefault="003378A8">
            <w:pPr>
              <w:keepLines/>
              <w:jc w:val="center"/>
              <w:rPr>
                <w:rFonts w:ascii="Arial Narrow" w:hAnsi="Arial Narrow"/>
                <w:sz w:val="20"/>
                <w:szCs w:val="20"/>
              </w:rPr>
            </w:pPr>
          </w:p>
        </w:tc>
        <w:tc>
          <w:tcPr>
            <w:tcW w:w="7745" w:type="dxa"/>
            <w:gridSpan w:val="6"/>
          </w:tcPr>
          <w:p w14:paraId="67D082DD" w14:textId="77777777" w:rsidR="003378A8" w:rsidRPr="00480790" w:rsidRDefault="003378A8">
            <w:pPr>
              <w:keepLines/>
              <w:rPr>
                <w:rFonts w:ascii="Arial Narrow" w:hAnsi="Arial Narrow"/>
                <w:sz w:val="20"/>
                <w:szCs w:val="20"/>
              </w:rPr>
            </w:pPr>
            <w:r w:rsidRPr="00480790">
              <w:rPr>
                <w:rFonts w:ascii="Arial Narrow" w:hAnsi="Arial Narrow" w:cs="Open Sans"/>
                <w:sz w:val="20"/>
                <w:szCs w:val="20"/>
              </w:rPr>
              <w:t>Patient must have a WHO performance status of 2 or less</w:t>
            </w:r>
          </w:p>
        </w:tc>
      </w:tr>
      <w:tr w:rsidR="00AB01EA" w:rsidRPr="00480790" w14:paraId="58A86879"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3F477BA8" w14:textId="77777777" w:rsidR="003378A8" w:rsidRPr="00480790" w:rsidRDefault="003378A8">
            <w:pPr>
              <w:keepLines/>
              <w:jc w:val="center"/>
              <w:rPr>
                <w:rFonts w:ascii="Arial Narrow" w:hAnsi="Arial Narrow"/>
                <w:sz w:val="20"/>
                <w:szCs w:val="20"/>
              </w:rPr>
            </w:pPr>
          </w:p>
        </w:tc>
        <w:tc>
          <w:tcPr>
            <w:tcW w:w="7745" w:type="dxa"/>
            <w:gridSpan w:val="6"/>
          </w:tcPr>
          <w:p w14:paraId="345FC229" w14:textId="77777777" w:rsidR="003378A8" w:rsidRPr="00480790" w:rsidRDefault="003378A8">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370E7B46"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4FBCD208" w14:textId="3FE54499" w:rsidR="003378A8" w:rsidRPr="00480790" w:rsidRDefault="003378A8">
            <w:pPr>
              <w:keepLines/>
              <w:jc w:val="center"/>
              <w:rPr>
                <w:rFonts w:ascii="Arial Narrow" w:hAnsi="Arial Narrow"/>
                <w:sz w:val="20"/>
                <w:szCs w:val="20"/>
              </w:rPr>
            </w:pPr>
          </w:p>
        </w:tc>
        <w:tc>
          <w:tcPr>
            <w:tcW w:w="7745" w:type="dxa"/>
            <w:gridSpan w:val="6"/>
          </w:tcPr>
          <w:p w14:paraId="19D26236" w14:textId="77777777" w:rsidR="003378A8" w:rsidRPr="00480790" w:rsidRDefault="003378A8">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6B74B116"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419BF51C" w14:textId="59857EA4" w:rsidR="003378A8" w:rsidRPr="00480790" w:rsidRDefault="003378A8">
            <w:pPr>
              <w:keepLines/>
              <w:jc w:val="center"/>
              <w:rPr>
                <w:rFonts w:ascii="Arial Narrow" w:hAnsi="Arial Narrow"/>
                <w:sz w:val="20"/>
                <w:szCs w:val="20"/>
              </w:rPr>
            </w:pPr>
          </w:p>
        </w:tc>
        <w:tc>
          <w:tcPr>
            <w:tcW w:w="7745" w:type="dxa"/>
            <w:gridSpan w:val="6"/>
          </w:tcPr>
          <w:p w14:paraId="1717145B" w14:textId="77777777" w:rsidR="003378A8" w:rsidRPr="00480790" w:rsidRDefault="003378A8">
            <w:pPr>
              <w:keepLines/>
              <w:rPr>
                <w:rFonts w:ascii="Arial Narrow" w:hAnsi="Arial Narrow"/>
                <w:sz w:val="20"/>
                <w:szCs w:val="20"/>
              </w:rPr>
            </w:pPr>
            <w:r w:rsidRPr="00480790">
              <w:rPr>
                <w:rFonts w:ascii="Arial Narrow" w:hAnsi="Arial Narrow" w:cs="Open Sans"/>
                <w:sz w:val="20"/>
                <w:szCs w:val="20"/>
              </w:rPr>
              <w:t>Patient must have evidence of an anaplastic lymphoma kinase (ALK) gene rearrangement in tumour material, defined as either: (i) 15% (or greater) positive cells by fluorescence in situ hybridisation (FISH) testing, (ii) positive next generation sequencing (NGS) testing</w:t>
            </w:r>
          </w:p>
        </w:tc>
      </w:tr>
      <w:tr w:rsidR="00A35F1C" w:rsidRPr="00480790" w14:paraId="0194B8A9" w14:textId="77777777" w:rsidTr="006A041B">
        <w:tblPrEx>
          <w:tblCellMar>
            <w:top w:w="15" w:type="dxa"/>
            <w:bottom w:w="15" w:type="dxa"/>
          </w:tblCellMar>
          <w:tblLook w:val="04A0" w:firstRow="1" w:lastRow="0" w:firstColumn="1" w:lastColumn="0" w:noHBand="0" w:noVBand="1"/>
        </w:tblPrEx>
        <w:trPr>
          <w:cantSplit/>
          <w:trHeight w:val="20"/>
        </w:trPr>
        <w:tc>
          <w:tcPr>
            <w:tcW w:w="9022" w:type="dxa"/>
            <w:gridSpan w:val="8"/>
          </w:tcPr>
          <w:p w14:paraId="6C07C81C" w14:textId="77777777" w:rsidR="00A35F1C" w:rsidRPr="00480790" w:rsidRDefault="00A35F1C">
            <w:pPr>
              <w:keepLines/>
              <w:rPr>
                <w:rFonts w:ascii="Arial Narrow" w:hAnsi="Arial Narrow"/>
                <w:b/>
                <w:bCs/>
                <w:sz w:val="20"/>
                <w:szCs w:val="20"/>
              </w:rPr>
            </w:pPr>
          </w:p>
        </w:tc>
      </w:tr>
      <w:tr w:rsidR="00AB01EA" w:rsidRPr="00480790" w14:paraId="5DBBE6A3" w14:textId="77777777" w:rsidTr="006A041B">
        <w:tblPrEx>
          <w:tblCellMar>
            <w:top w:w="15" w:type="dxa"/>
            <w:bottom w:w="15" w:type="dxa"/>
          </w:tblCellMar>
          <w:tblLook w:val="04A0" w:firstRow="1" w:lastRow="0" w:firstColumn="1" w:lastColumn="0" w:noHBand="0" w:noVBand="1"/>
        </w:tblPrEx>
        <w:trPr>
          <w:cantSplit/>
          <w:trHeight w:val="20"/>
        </w:trPr>
        <w:tc>
          <w:tcPr>
            <w:tcW w:w="9022" w:type="dxa"/>
            <w:gridSpan w:val="8"/>
          </w:tcPr>
          <w:p w14:paraId="6BBA1B72" w14:textId="6328F9F8" w:rsidR="003378A8" w:rsidRPr="00480790" w:rsidRDefault="003378A8">
            <w:pPr>
              <w:keepLines/>
              <w:rPr>
                <w:rFonts w:ascii="Arial Narrow" w:hAnsi="Arial Narrow"/>
                <w:b/>
                <w:bCs/>
                <w:sz w:val="20"/>
                <w:szCs w:val="20"/>
              </w:rPr>
            </w:pPr>
            <w:r w:rsidRPr="00480790">
              <w:rPr>
                <w:rFonts w:ascii="Arial Narrow" w:hAnsi="Arial Narrow"/>
                <w:b/>
                <w:bCs/>
                <w:sz w:val="20"/>
                <w:szCs w:val="20"/>
              </w:rPr>
              <w:t xml:space="preserve">Restriction Summary / Treatment of Concept: </w:t>
            </w:r>
          </w:p>
        </w:tc>
      </w:tr>
      <w:tr w:rsidR="00AB01EA" w:rsidRPr="00480790" w14:paraId="01476BF2"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0C8BEFBB" w14:textId="360A7D6E" w:rsidR="003378A8" w:rsidRPr="00480790" w:rsidRDefault="003378A8">
            <w:pPr>
              <w:keepLines/>
              <w:jc w:val="center"/>
              <w:rPr>
                <w:rFonts w:ascii="Arial Narrow" w:hAnsi="Arial Narrow"/>
                <w:sz w:val="20"/>
                <w:szCs w:val="20"/>
              </w:rPr>
            </w:pPr>
          </w:p>
        </w:tc>
        <w:tc>
          <w:tcPr>
            <w:tcW w:w="7745" w:type="dxa"/>
            <w:gridSpan w:val="6"/>
          </w:tcPr>
          <w:p w14:paraId="6F789DB7" w14:textId="77777777" w:rsidR="003378A8" w:rsidRPr="00480790" w:rsidRDefault="003378A8">
            <w:pPr>
              <w:pStyle w:val="NormalWeb"/>
              <w:spacing w:before="0" w:after="0"/>
              <w:textAlignment w:val="baseline"/>
              <w:rPr>
                <w:rFonts w:ascii="Arial Narrow" w:hAnsi="Arial Narrow"/>
                <w:sz w:val="20"/>
                <w:szCs w:val="20"/>
                <w:lang w:val="en-AU"/>
              </w:rPr>
            </w:pPr>
            <w:r w:rsidRPr="00480790">
              <w:rPr>
                <w:rStyle w:val="Strong"/>
                <w:rFonts w:ascii="Arial Narrow" w:hAnsi="Arial Narrow" w:cs="Open Sans"/>
                <w:sz w:val="20"/>
                <w:szCs w:val="20"/>
                <w:bdr w:val="none" w:sz="0" w:space="0" w:color="auto" w:frame="1"/>
                <w:lang w:val="en-AU"/>
              </w:rPr>
              <w:t xml:space="preserve">Indication: </w:t>
            </w:r>
            <w:r w:rsidRPr="00480790">
              <w:rPr>
                <w:rFonts w:ascii="Arial Narrow" w:hAnsi="Arial Narrow" w:cs="Open Sans"/>
                <w:sz w:val="20"/>
                <w:szCs w:val="20"/>
                <w:lang w:val="en-AU"/>
              </w:rPr>
              <w:t>Stage IIIB (locally advanced) or Stage IV (metastatic) non-small cell lung cancer (NSCLC)</w:t>
            </w:r>
          </w:p>
        </w:tc>
      </w:tr>
      <w:tr w:rsidR="00AB01EA" w:rsidRPr="00480790" w14:paraId="2545FB0D"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2C04DD23" w14:textId="77777777" w:rsidR="003378A8" w:rsidRPr="00480790" w:rsidRDefault="003378A8">
            <w:pPr>
              <w:keepLines/>
              <w:jc w:val="center"/>
              <w:rPr>
                <w:rFonts w:ascii="Arial Narrow" w:hAnsi="Arial Narrow"/>
                <w:sz w:val="20"/>
                <w:szCs w:val="20"/>
              </w:rPr>
            </w:pPr>
          </w:p>
        </w:tc>
        <w:tc>
          <w:tcPr>
            <w:tcW w:w="7745" w:type="dxa"/>
            <w:gridSpan w:val="6"/>
          </w:tcPr>
          <w:p w14:paraId="51A4405C" w14:textId="77777777" w:rsidR="003378A8" w:rsidRPr="00480790" w:rsidRDefault="003378A8">
            <w:pPr>
              <w:pStyle w:val="NormalWeb"/>
              <w:spacing w:before="0" w:after="0"/>
              <w:textAlignment w:val="baseline"/>
              <w:rPr>
                <w:rFonts w:ascii="Arial Narrow" w:hAnsi="Arial Narrow"/>
                <w:sz w:val="20"/>
                <w:szCs w:val="20"/>
                <w:lang w:val="en-AU"/>
              </w:rPr>
            </w:pPr>
            <w:r w:rsidRPr="00480790">
              <w:rPr>
                <w:rStyle w:val="Strong"/>
                <w:rFonts w:ascii="Arial Narrow" w:hAnsi="Arial Narrow" w:cs="Open Sans"/>
                <w:sz w:val="20"/>
                <w:szCs w:val="20"/>
                <w:bdr w:val="none" w:sz="0" w:space="0" w:color="auto" w:frame="1"/>
                <w:lang w:val="en-AU"/>
              </w:rPr>
              <w:t xml:space="preserve">Treatment Phase: </w:t>
            </w:r>
            <w:r w:rsidRPr="00480790">
              <w:rPr>
                <w:rFonts w:ascii="Arial Narrow" w:hAnsi="Arial Narrow" w:cs="Open Sans"/>
                <w:sz w:val="20"/>
                <w:szCs w:val="20"/>
                <w:lang w:val="en-AU"/>
              </w:rPr>
              <w:t>Continuing treatment</w:t>
            </w:r>
          </w:p>
        </w:tc>
      </w:tr>
      <w:tr w:rsidR="00AB01EA" w:rsidRPr="00480790" w14:paraId="2C98B13C"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08BCF9FE" w14:textId="4B7AB2BC" w:rsidR="003378A8" w:rsidRPr="00480790" w:rsidRDefault="003378A8">
            <w:pPr>
              <w:keepLines/>
              <w:jc w:val="center"/>
              <w:rPr>
                <w:rFonts w:ascii="Arial Narrow" w:hAnsi="Arial Narrow"/>
                <w:strike/>
                <w:sz w:val="20"/>
                <w:szCs w:val="20"/>
              </w:rPr>
            </w:pPr>
          </w:p>
        </w:tc>
        <w:tc>
          <w:tcPr>
            <w:tcW w:w="7745" w:type="dxa"/>
            <w:gridSpan w:val="6"/>
          </w:tcPr>
          <w:p w14:paraId="54CF37B3" w14:textId="77777777" w:rsidR="003378A8" w:rsidRPr="00480790" w:rsidRDefault="003378A8">
            <w:pPr>
              <w:keepLines/>
              <w:rPr>
                <w:rFonts w:ascii="Arial Narrow" w:hAnsi="Arial Narrow"/>
                <w:strike/>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588B1C6E"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78D41127" w14:textId="3D27C4F7" w:rsidR="003378A8" w:rsidRPr="00480790" w:rsidRDefault="003378A8">
            <w:pPr>
              <w:keepLines/>
              <w:jc w:val="center"/>
              <w:rPr>
                <w:rFonts w:ascii="Arial Narrow" w:hAnsi="Arial Narrow"/>
                <w:strike/>
                <w:sz w:val="20"/>
                <w:szCs w:val="20"/>
              </w:rPr>
            </w:pPr>
          </w:p>
        </w:tc>
        <w:tc>
          <w:tcPr>
            <w:tcW w:w="7745" w:type="dxa"/>
            <w:gridSpan w:val="6"/>
          </w:tcPr>
          <w:p w14:paraId="7AA2F482" w14:textId="77777777" w:rsidR="003378A8" w:rsidRPr="00480790" w:rsidRDefault="003378A8">
            <w:pPr>
              <w:keepLines/>
              <w:rPr>
                <w:rFonts w:ascii="Arial Narrow" w:hAnsi="Arial Narrow"/>
                <w:strike/>
                <w:sz w:val="20"/>
                <w:szCs w:val="20"/>
              </w:rPr>
            </w:pPr>
            <w:r w:rsidRPr="00480790">
              <w:rPr>
                <w:rFonts w:ascii="Arial Narrow" w:hAnsi="Arial Narrow" w:cs="Open Sans"/>
                <w:sz w:val="20"/>
                <w:szCs w:val="20"/>
              </w:rPr>
              <w:t>The treatment must be the sole PBS-subsidised systemic anti-cancer therapy for this condition</w:t>
            </w:r>
          </w:p>
        </w:tc>
      </w:tr>
      <w:tr w:rsidR="00AB01EA" w:rsidRPr="00480790" w14:paraId="3B76AAAE"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6BCE95E1" w14:textId="77777777" w:rsidR="003378A8" w:rsidRPr="00480790" w:rsidRDefault="003378A8">
            <w:pPr>
              <w:keepLines/>
              <w:jc w:val="center"/>
              <w:rPr>
                <w:rFonts w:ascii="Arial Narrow" w:hAnsi="Arial Narrow"/>
                <w:strike/>
                <w:sz w:val="20"/>
                <w:szCs w:val="20"/>
              </w:rPr>
            </w:pPr>
          </w:p>
        </w:tc>
        <w:tc>
          <w:tcPr>
            <w:tcW w:w="7745" w:type="dxa"/>
            <w:gridSpan w:val="6"/>
          </w:tcPr>
          <w:p w14:paraId="6F58C47C" w14:textId="77777777" w:rsidR="003378A8" w:rsidRPr="00480790" w:rsidRDefault="003378A8">
            <w:pPr>
              <w:keepLines/>
              <w:rPr>
                <w:rFonts w:ascii="Arial Narrow" w:hAnsi="Arial Narrow"/>
                <w:strike/>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591FC103"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527EA2C3" w14:textId="39BC1C6F" w:rsidR="003378A8" w:rsidRPr="00480790" w:rsidRDefault="003378A8">
            <w:pPr>
              <w:keepLines/>
              <w:jc w:val="center"/>
              <w:rPr>
                <w:rFonts w:ascii="Arial Narrow" w:hAnsi="Arial Narrow"/>
                <w:sz w:val="20"/>
                <w:szCs w:val="20"/>
              </w:rPr>
            </w:pPr>
          </w:p>
        </w:tc>
        <w:tc>
          <w:tcPr>
            <w:tcW w:w="7745" w:type="dxa"/>
            <w:gridSpan w:val="6"/>
          </w:tcPr>
          <w:p w14:paraId="5F36EC9A" w14:textId="77777777" w:rsidR="003378A8" w:rsidRPr="00480790" w:rsidRDefault="003378A8">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2B84B363"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323C6D9A" w14:textId="009BACF6" w:rsidR="003378A8" w:rsidRPr="00480790" w:rsidRDefault="003378A8">
            <w:pPr>
              <w:keepLines/>
              <w:jc w:val="center"/>
              <w:rPr>
                <w:rFonts w:ascii="Arial Narrow" w:hAnsi="Arial Narrow"/>
                <w:sz w:val="20"/>
                <w:szCs w:val="20"/>
              </w:rPr>
            </w:pPr>
          </w:p>
        </w:tc>
        <w:tc>
          <w:tcPr>
            <w:tcW w:w="7745" w:type="dxa"/>
            <w:gridSpan w:val="6"/>
          </w:tcPr>
          <w:p w14:paraId="53457ACC" w14:textId="77777777" w:rsidR="003378A8" w:rsidRPr="00480790" w:rsidRDefault="003378A8">
            <w:pPr>
              <w:keepLines/>
              <w:rPr>
                <w:rFonts w:ascii="Arial Narrow" w:hAnsi="Arial Narrow"/>
                <w:sz w:val="20"/>
                <w:szCs w:val="20"/>
              </w:rPr>
            </w:pPr>
            <w:r w:rsidRPr="00480790">
              <w:rPr>
                <w:rFonts w:ascii="Arial Narrow" w:hAnsi="Arial Narrow" w:cs="Open Sans"/>
                <w:sz w:val="20"/>
                <w:szCs w:val="20"/>
              </w:rPr>
              <w:t xml:space="preserve">Patient must have previously received PBS-subsidised treatment with this drug for this </w:t>
            </w:r>
            <w:r w:rsidRPr="00480790">
              <w:rPr>
                <w:rFonts w:ascii="Arial Narrow" w:hAnsi="Arial Narrow" w:cs="Open Sans"/>
                <w:strike/>
                <w:sz w:val="20"/>
                <w:szCs w:val="20"/>
              </w:rPr>
              <w:t xml:space="preserve">condition </w:t>
            </w:r>
            <w:r w:rsidRPr="00480790">
              <w:rPr>
                <w:rFonts w:ascii="Arial Narrow" w:hAnsi="Arial Narrow" w:cs="Open Sans"/>
                <w:i/>
                <w:iCs/>
                <w:sz w:val="20"/>
                <w:szCs w:val="20"/>
              </w:rPr>
              <w:t>indication</w:t>
            </w:r>
          </w:p>
        </w:tc>
      </w:tr>
      <w:tr w:rsidR="00AB01EA" w:rsidRPr="00480790" w14:paraId="066B9CC3"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1CE29730" w14:textId="77777777" w:rsidR="003378A8" w:rsidRPr="00480790" w:rsidRDefault="003378A8">
            <w:pPr>
              <w:keepLines/>
              <w:jc w:val="center"/>
              <w:rPr>
                <w:rFonts w:ascii="Arial Narrow" w:hAnsi="Arial Narrow" w:cs="Open Sans"/>
                <w:sz w:val="20"/>
                <w:szCs w:val="20"/>
              </w:rPr>
            </w:pPr>
          </w:p>
        </w:tc>
        <w:tc>
          <w:tcPr>
            <w:tcW w:w="7745" w:type="dxa"/>
            <w:gridSpan w:val="6"/>
          </w:tcPr>
          <w:p w14:paraId="3BCEC515" w14:textId="77777777" w:rsidR="003378A8" w:rsidRPr="00480790" w:rsidRDefault="003378A8">
            <w:pPr>
              <w:keepLines/>
              <w:rPr>
                <w:rFonts w:ascii="Arial Narrow" w:hAnsi="Arial Narrow" w:cs="Open Sans"/>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4EF02F32"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6969880E" w14:textId="6F471CA6" w:rsidR="003378A8" w:rsidRPr="00480790" w:rsidRDefault="003378A8">
            <w:pPr>
              <w:keepLines/>
              <w:jc w:val="center"/>
              <w:rPr>
                <w:rFonts w:ascii="Arial Narrow" w:hAnsi="Arial Narrow"/>
                <w:sz w:val="20"/>
                <w:szCs w:val="20"/>
              </w:rPr>
            </w:pPr>
          </w:p>
        </w:tc>
        <w:tc>
          <w:tcPr>
            <w:tcW w:w="7745" w:type="dxa"/>
            <w:gridSpan w:val="6"/>
          </w:tcPr>
          <w:p w14:paraId="1095692A" w14:textId="77777777" w:rsidR="003378A8" w:rsidRPr="00480790" w:rsidRDefault="003378A8">
            <w:pPr>
              <w:keepLines/>
              <w:rPr>
                <w:rFonts w:ascii="Arial Narrow" w:hAnsi="Arial Narrow"/>
                <w:b/>
                <w:bCs/>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3958BD72" w14:textId="77777777" w:rsidTr="006A041B">
        <w:tblPrEx>
          <w:tblCellMar>
            <w:top w:w="15" w:type="dxa"/>
            <w:bottom w:w="15" w:type="dxa"/>
          </w:tblCellMar>
          <w:tblLook w:val="04A0" w:firstRow="1" w:lastRow="0" w:firstColumn="1" w:lastColumn="0" w:noHBand="0" w:noVBand="1"/>
        </w:tblPrEx>
        <w:trPr>
          <w:cantSplit/>
          <w:trHeight w:val="20"/>
        </w:trPr>
        <w:tc>
          <w:tcPr>
            <w:tcW w:w="1277" w:type="dxa"/>
            <w:gridSpan w:val="2"/>
          </w:tcPr>
          <w:p w14:paraId="6F4F812E" w14:textId="162310DB" w:rsidR="003378A8" w:rsidRPr="00480790" w:rsidRDefault="003378A8">
            <w:pPr>
              <w:keepLines/>
              <w:jc w:val="center"/>
              <w:rPr>
                <w:rFonts w:ascii="Arial Narrow" w:hAnsi="Arial Narrow"/>
                <w:sz w:val="20"/>
                <w:szCs w:val="20"/>
              </w:rPr>
            </w:pPr>
          </w:p>
        </w:tc>
        <w:tc>
          <w:tcPr>
            <w:tcW w:w="7745" w:type="dxa"/>
            <w:gridSpan w:val="6"/>
          </w:tcPr>
          <w:p w14:paraId="581BB0C1" w14:textId="77777777" w:rsidR="003378A8" w:rsidRPr="00480790" w:rsidRDefault="003378A8">
            <w:pPr>
              <w:keepLines/>
              <w:rPr>
                <w:rFonts w:ascii="Arial Narrow" w:hAnsi="Arial Narrow"/>
                <w:b/>
                <w:bCs/>
                <w:sz w:val="20"/>
                <w:szCs w:val="20"/>
              </w:rPr>
            </w:pPr>
            <w:r w:rsidRPr="00480790">
              <w:rPr>
                <w:rFonts w:ascii="Arial Narrow" w:hAnsi="Arial Narrow" w:cs="Open Sans"/>
                <w:sz w:val="20"/>
                <w:szCs w:val="20"/>
              </w:rPr>
              <w:t>Patient must not develop disease progression while receiving PBS-subsidised treatment with this drug for this condition</w:t>
            </w:r>
          </w:p>
        </w:tc>
      </w:tr>
    </w:tbl>
    <w:p w14:paraId="7E733CED" w14:textId="77777777" w:rsidR="00E47005" w:rsidRPr="00480790" w:rsidRDefault="00E47005" w:rsidP="00E47005">
      <w:pPr>
        <w:rPr>
          <w:snapToGrid w:val="0"/>
          <w:lang w:eastAsia="en-US"/>
        </w:rPr>
      </w:pPr>
    </w:p>
    <w:p w14:paraId="31D0CFDC" w14:textId="6687AFE1" w:rsidR="006A041B" w:rsidRPr="00480790" w:rsidRDefault="006A041B" w:rsidP="00EB3E2D">
      <w:pPr>
        <w:pStyle w:val="Heading2"/>
        <w:widowControl w:val="0"/>
        <w:ind w:left="720" w:hanging="720"/>
        <w:jc w:val="left"/>
        <w:rPr>
          <w:bCs/>
          <w:i w:val="0"/>
          <w:snapToGrid w:val="0"/>
          <w:sz w:val="26"/>
          <w:szCs w:val="28"/>
          <w:lang w:eastAsia="en-US"/>
        </w:rPr>
      </w:pPr>
      <w:r w:rsidRPr="00480790">
        <w:rPr>
          <w:bCs/>
          <w:i w:val="0"/>
          <w:snapToGrid w:val="0"/>
          <w:sz w:val="26"/>
          <w:szCs w:val="28"/>
          <w:lang w:eastAsia="en-US"/>
        </w:rPr>
        <w:t>Crizotinib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126"/>
        <w:gridCol w:w="993"/>
        <w:gridCol w:w="992"/>
        <w:gridCol w:w="991"/>
        <w:gridCol w:w="812"/>
        <w:gridCol w:w="1831"/>
      </w:tblGrid>
      <w:tr w:rsidR="00AB01EA" w:rsidRPr="00480790" w14:paraId="3A412F9A" w14:textId="77777777" w:rsidTr="00117315">
        <w:trPr>
          <w:cantSplit/>
          <w:trHeight w:val="20"/>
        </w:trPr>
        <w:tc>
          <w:tcPr>
            <w:tcW w:w="3398" w:type="dxa"/>
            <w:gridSpan w:val="3"/>
            <w:vAlign w:val="center"/>
          </w:tcPr>
          <w:p w14:paraId="7596E514" w14:textId="77777777" w:rsidR="003E7A00" w:rsidRPr="00480790" w:rsidRDefault="003E7A00">
            <w:pPr>
              <w:keepLines/>
              <w:rPr>
                <w:rFonts w:ascii="Arial Narrow" w:hAnsi="Arial Narrow"/>
                <w:b/>
                <w:bCs/>
                <w:sz w:val="20"/>
                <w:szCs w:val="20"/>
              </w:rPr>
            </w:pPr>
            <w:r w:rsidRPr="00480790">
              <w:rPr>
                <w:rFonts w:ascii="Arial Narrow" w:hAnsi="Arial Narrow"/>
                <w:b/>
                <w:bCs/>
                <w:sz w:val="20"/>
                <w:szCs w:val="20"/>
              </w:rPr>
              <w:t>MEDICINAL PRODUCT</w:t>
            </w:r>
          </w:p>
          <w:p w14:paraId="38DF1EEF" w14:textId="77777777" w:rsidR="003E7A00" w:rsidRPr="00480790" w:rsidRDefault="003E7A00">
            <w:pPr>
              <w:keepLines/>
              <w:rPr>
                <w:rFonts w:ascii="Arial Narrow" w:hAnsi="Arial Narrow"/>
                <w:b/>
                <w:sz w:val="20"/>
                <w:szCs w:val="20"/>
              </w:rPr>
            </w:pPr>
            <w:r w:rsidRPr="00480790">
              <w:rPr>
                <w:rFonts w:ascii="Arial Narrow" w:hAnsi="Arial Narrow"/>
                <w:b/>
                <w:bCs/>
                <w:sz w:val="20"/>
                <w:szCs w:val="20"/>
              </w:rPr>
              <w:t>medicinal product pack</w:t>
            </w:r>
          </w:p>
        </w:tc>
        <w:tc>
          <w:tcPr>
            <w:tcW w:w="993" w:type="dxa"/>
            <w:vAlign w:val="center"/>
          </w:tcPr>
          <w:p w14:paraId="62B29B9A" w14:textId="77777777" w:rsidR="003E7A00" w:rsidRPr="00480790" w:rsidRDefault="003E7A00">
            <w:pPr>
              <w:keepLines/>
              <w:jc w:val="center"/>
              <w:rPr>
                <w:rFonts w:ascii="Arial Narrow" w:hAnsi="Arial Narrow"/>
                <w:b/>
                <w:sz w:val="20"/>
                <w:szCs w:val="20"/>
              </w:rPr>
            </w:pPr>
            <w:r w:rsidRPr="00480790">
              <w:rPr>
                <w:rFonts w:ascii="Arial Narrow" w:hAnsi="Arial Narrow"/>
                <w:b/>
                <w:sz w:val="20"/>
                <w:szCs w:val="20"/>
              </w:rPr>
              <w:t>PBS item code</w:t>
            </w:r>
          </w:p>
        </w:tc>
        <w:tc>
          <w:tcPr>
            <w:tcW w:w="992" w:type="dxa"/>
            <w:vAlign w:val="center"/>
          </w:tcPr>
          <w:p w14:paraId="7908488B" w14:textId="77777777" w:rsidR="003E7A00" w:rsidRPr="00480790" w:rsidRDefault="003E7A00">
            <w:pPr>
              <w:keepLines/>
              <w:jc w:val="center"/>
              <w:rPr>
                <w:rFonts w:ascii="Arial Narrow" w:hAnsi="Arial Narrow"/>
                <w:b/>
                <w:sz w:val="20"/>
                <w:szCs w:val="20"/>
              </w:rPr>
            </w:pPr>
            <w:r w:rsidRPr="00480790">
              <w:rPr>
                <w:rFonts w:ascii="Arial Narrow" w:hAnsi="Arial Narrow"/>
                <w:b/>
                <w:sz w:val="20"/>
                <w:szCs w:val="20"/>
              </w:rPr>
              <w:t>Max. qty packs</w:t>
            </w:r>
          </w:p>
        </w:tc>
        <w:tc>
          <w:tcPr>
            <w:tcW w:w="991" w:type="dxa"/>
            <w:vAlign w:val="center"/>
          </w:tcPr>
          <w:p w14:paraId="4DD40863" w14:textId="77777777" w:rsidR="003E7A00" w:rsidRPr="00480790" w:rsidRDefault="003E7A00">
            <w:pPr>
              <w:keepLines/>
              <w:jc w:val="center"/>
              <w:rPr>
                <w:rFonts w:ascii="Arial Narrow" w:hAnsi="Arial Narrow"/>
                <w:b/>
                <w:sz w:val="20"/>
                <w:szCs w:val="20"/>
              </w:rPr>
            </w:pPr>
            <w:r w:rsidRPr="00480790">
              <w:rPr>
                <w:rFonts w:ascii="Arial Narrow" w:hAnsi="Arial Narrow"/>
                <w:b/>
                <w:sz w:val="20"/>
                <w:szCs w:val="20"/>
              </w:rPr>
              <w:t>Max. qty units</w:t>
            </w:r>
          </w:p>
        </w:tc>
        <w:tc>
          <w:tcPr>
            <w:tcW w:w="812" w:type="dxa"/>
            <w:vAlign w:val="center"/>
          </w:tcPr>
          <w:p w14:paraId="5A529C99" w14:textId="77777777" w:rsidR="003E7A00" w:rsidRPr="00480790" w:rsidRDefault="003E7A00">
            <w:pPr>
              <w:keepLines/>
              <w:jc w:val="center"/>
              <w:rPr>
                <w:rFonts w:ascii="Arial Narrow" w:hAnsi="Arial Narrow"/>
                <w:b/>
                <w:bCs/>
                <w:sz w:val="20"/>
                <w:szCs w:val="20"/>
              </w:rPr>
            </w:pPr>
            <w:r w:rsidRPr="00480790">
              <w:rPr>
                <w:rFonts w:ascii="Arial Narrow" w:hAnsi="Arial Narrow"/>
                <w:b/>
                <w:bCs/>
                <w:sz w:val="20"/>
                <w:szCs w:val="20"/>
              </w:rPr>
              <w:t>№.of</w:t>
            </w:r>
          </w:p>
          <w:p w14:paraId="2E4E833B" w14:textId="77777777" w:rsidR="003E7A00" w:rsidRPr="00480790" w:rsidRDefault="003E7A00">
            <w:pPr>
              <w:keepLines/>
              <w:jc w:val="center"/>
              <w:rPr>
                <w:rFonts w:ascii="Arial Narrow" w:hAnsi="Arial Narrow"/>
                <w:b/>
                <w:bCs/>
                <w:sz w:val="20"/>
                <w:szCs w:val="20"/>
              </w:rPr>
            </w:pPr>
            <w:r w:rsidRPr="00480790">
              <w:rPr>
                <w:rFonts w:ascii="Arial Narrow" w:hAnsi="Arial Narrow"/>
                <w:b/>
                <w:bCs/>
                <w:sz w:val="20"/>
                <w:szCs w:val="20"/>
              </w:rPr>
              <w:t>Rpts</w:t>
            </w:r>
          </w:p>
        </w:tc>
        <w:tc>
          <w:tcPr>
            <w:tcW w:w="1831" w:type="dxa"/>
            <w:vAlign w:val="center"/>
          </w:tcPr>
          <w:p w14:paraId="150D4C9F" w14:textId="77777777" w:rsidR="003E7A00" w:rsidRPr="00480790" w:rsidRDefault="003E7A00">
            <w:pPr>
              <w:keepLines/>
              <w:rPr>
                <w:rFonts w:ascii="Arial Narrow" w:hAnsi="Arial Narrow"/>
                <w:b/>
                <w:sz w:val="20"/>
                <w:szCs w:val="20"/>
              </w:rPr>
            </w:pPr>
            <w:r w:rsidRPr="00480790">
              <w:rPr>
                <w:rFonts w:ascii="Arial Narrow" w:hAnsi="Arial Narrow"/>
                <w:b/>
                <w:sz w:val="20"/>
                <w:szCs w:val="20"/>
              </w:rPr>
              <w:t>Available brands</w:t>
            </w:r>
          </w:p>
        </w:tc>
      </w:tr>
      <w:tr w:rsidR="00AB01EA" w:rsidRPr="00480790" w14:paraId="38E280BB" w14:textId="77777777" w:rsidTr="00117315">
        <w:trPr>
          <w:cantSplit/>
          <w:trHeight w:val="20"/>
        </w:trPr>
        <w:tc>
          <w:tcPr>
            <w:tcW w:w="9017" w:type="dxa"/>
            <w:gridSpan w:val="8"/>
            <w:vAlign w:val="center"/>
          </w:tcPr>
          <w:p w14:paraId="71CBF77E" w14:textId="77777777" w:rsidR="003E7A00" w:rsidRPr="00480790" w:rsidRDefault="003E7A00">
            <w:pPr>
              <w:keepLines/>
              <w:rPr>
                <w:rFonts w:ascii="Arial Narrow" w:hAnsi="Arial Narrow"/>
                <w:sz w:val="20"/>
                <w:szCs w:val="20"/>
              </w:rPr>
            </w:pPr>
            <w:r w:rsidRPr="00480790">
              <w:rPr>
                <w:rFonts w:ascii="Arial Narrow" w:hAnsi="Arial Narrow"/>
                <w:sz w:val="20"/>
                <w:szCs w:val="20"/>
              </w:rPr>
              <w:t>CRIZOTINIB</w:t>
            </w:r>
          </w:p>
        </w:tc>
      </w:tr>
      <w:tr w:rsidR="00AB01EA" w:rsidRPr="00480790" w14:paraId="660C0C36" w14:textId="77777777" w:rsidTr="00117315">
        <w:trPr>
          <w:cantSplit/>
          <w:trHeight w:val="20"/>
        </w:trPr>
        <w:tc>
          <w:tcPr>
            <w:tcW w:w="3398" w:type="dxa"/>
            <w:gridSpan w:val="3"/>
            <w:vAlign w:val="center"/>
          </w:tcPr>
          <w:p w14:paraId="64714565" w14:textId="77777777" w:rsidR="003E7A00" w:rsidRPr="00480790" w:rsidRDefault="003E7A00">
            <w:pPr>
              <w:keepLines/>
              <w:rPr>
                <w:rFonts w:ascii="Arial Narrow" w:hAnsi="Arial Narrow"/>
                <w:sz w:val="20"/>
                <w:szCs w:val="20"/>
              </w:rPr>
            </w:pPr>
            <w:r w:rsidRPr="00480790">
              <w:rPr>
                <w:rFonts w:ascii="Arial Narrow" w:hAnsi="Arial Narrow"/>
                <w:sz w:val="20"/>
                <w:szCs w:val="20"/>
              </w:rPr>
              <w:t>crizotinib 200 mg capsule, 60</w:t>
            </w:r>
          </w:p>
        </w:tc>
        <w:tc>
          <w:tcPr>
            <w:tcW w:w="993" w:type="dxa"/>
            <w:vAlign w:val="center"/>
          </w:tcPr>
          <w:p w14:paraId="68802E1F" w14:textId="77777777" w:rsidR="003E7A00" w:rsidRPr="00480790" w:rsidRDefault="003E7A00">
            <w:pPr>
              <w:keepLines/>
              <w:jc w:val="center"/>
              <w:rPr>
                <w:rFonts w:ascii="Arial Narrow" w:hAnsi="Arial Narrow"/>
                <w:sz w:val="20"/>
                <w:szCs w:val="20"/>
              </w:rPr>
            </w:pPr>
            <w:r w:rsidRPr="00480790">
              <w:rPr>
                <w:rFonts w:ascii="Arial Narrow" w:hAnsi="Arial Narrow"/>
                <w:sz w:val="20"/>
                <w:szCs w:val="20"/>
              </w:rPr>
              <w:t>10323H</w:t>
            </w:r>
          </w:p>
        </w:tc>
        <w:tc>
          <w:tcPr>
            <w:tcW w:w="992" w:type="dxa"/>
            <w:vAlign w:val="center"/>
          </w:tcPr>
          <w:p w14:paraId="187653D3" w14:textId="77777777" w:rsidR="003E7A00" w:rsidRPr="00480790" w:rsidRDefault="003E7A00">
            <w:pPr>
              <w:keepLines/>
              <w:jc w:val="center"/>
              <w:rPr>
                <w:rFonts w:ascii="Arial Narrow" w:hAnsi="Arial Narrow"/>
                <w:sz w:val="20"/>
                <w:szCs w:val="20"/>
              </w:rPr>
            </w:pPr>
            <w:r w:rsidRPr="00480790">
              <w:rPr>
                <w:rFonts w:ascii="Arial Narrow" w:hAnsi="Arial Narrow"/>
                <w:sz w:val="20"/>
                <w:szCs w:val="20"/>
              </w:rPr>
              <w:t>1</w:t>
            </w:r>
          </w:p>
        </w:tc>
        <w:tc>
          <w:tcPr>
            <w:tcW w:w="991" w:type="dxa"/>
            <w:vAlign w:val="center"/>
          </w:tcPr>
          <w:p w14:paraId="0E7A8319" w14:textId="77777777" w:rsidR="003E7A00" w:rsidRPr="00480790" w:rsidRDefault="003E7A00">
            <w:pPr>
              <w:keepLines/>
              <w:jc w:val="center"/>
              <w:rPr>
                <w:rFonts w:ascii="Arial Narrow" w:hAnsi="Arial Narrow"/>
                <w:sz w:val="20"/>
                <w:szCs w:val="20"/>
              </w:rPr>
            </w:pPr>
            <w:r w:rsidRPr="00480790">
              <w:rPr>
                <w:rFonts w:ascii="Arial Narrow" w:hAnsi="Arial Narrow"/>
                <w:sz w:val="20"/>
                <w:szCs w:val="20"/>
              </w:rPr>
              <w:t>60</w:t>
            </w:r>
          </w:p>
        </w:tc>
        <w:tc>
          <w:tcPr>
            <w:tcW w:w="812" w:type="dxa"/>
            <w:vAlign w:val="center"/>
          </w:tcPr>
          <w:p w14:paraId="0D040777" w14:textId="77777777" w:rsidR="003E7A00" w:rsidRPr="00480790" w:rsidRDefault="003E7A00">
            <w:pPr>
              <w:keepLines/>
              <w:jc w:val="center"/>
              <w:rPr>
                <w:rFonts w:ascii="Arial Narrow" w:hAnsi="Arial Narrow"/>
                <w:sz w:val="20"/>
                <w:szCs w:val="20"/>
              </w:rPr>
            </w:pPr>
            <w:r w:rsidRPr="00480790">
              <w:rPr>
                <w:rFonts w:ascii="Arial Narrow" w:hAnsi="Arial Narrow"/>
                <w:sz w:val="20"/>
                <w:szCs w:val="20"/>
              </w:rPr>
              <w:t>3</w:t>
            </w:r>
          </w:p>
        </w:tc>
        <w:tc>
          <w:tcPr>
            <w:tcW w:w="1831" w:type="dxa"/>
            <w:vAlign w:val="center"/>
          </w:tcPr>
          <w:p w14:paraId="6E9F083D" w14:textId="77777777" w:rsidR="003E7A00" w:rsidRPr="00480790" w:rsidRDefault="003E7A00">
            <w:pPr>
              <w:keepLines/>
              <w:rPr>
                <w:rFonts w:ascii="Arial Narrow" w:hAnsi="Arial Narrow"/>
                <w:sz w:val="20"/>
                <w:szCs w:val="20"/>
              </w:rPr>
            </w:pPr>
            <w:r w:rsidRPr="00480790">
              <w:rPr>
                <w:rFonts w:ascii="Arial Narrow" w:hAnsi="Arial Narrow"/>
                <w:sz w:val="20"/>
                <w:szCs w:val="20"/>
              </w:rPr>
              <w:t>Xalkori</w:t>
            </w:r>
          </w:p>
        </w:tc>
      </w:tr>
      <w:tr w:rsidR="00AB01EA" w:rsidRPr="00480790" w14:paraId="3266EAE7" w14:textId="77777777" w:rsidTr="00117315">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773D5DCA" w14:textId="7444E28E" w:rsidR="003E7A00" w:rsidRPr="00480790" w:rsidRDefault="003E7A00">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843F6FD" w14:textId="77777777" w:rsidR="003E7A00" w:rsidRPr="00480790" w:rsidRDefault="003E7A00">
            <w:pPr>
              <w:keepLines/>
              <w:rPr>
                <w:rFonts w:ascii="Arial Narrow" w:hAnsi="Arial Narrow"/>
                <w:sz w:val="20"/>
                <w:szCs w:val="20"/>
              </w:rPr>
            </w:pPr>
            <w:r w:rsidRPr="00480790">
              <w:rPr>
                <w:rFonts w:ascii="Arial Narrow" w:hAnsi="Arial Narrow"/>
                <w:b/>
                <w:sz w:val="20"/>
                <w:szCs w:val="20"/>
              </w:rPr>
              <w:t>Category / Program:</w:t>
            </w:r>
            <w:r w:rsidRPr="00480790">
              <w:rPr>
                <w:rFonts w:ascii="Arial Narrow" w:hAnsi="Arial Narrow"/>
                <w:sz w:val="20"/>
                <w:szCs w:val="20"/>
              </w:rPr>
              <w:t xml:space="preserve"> </w:t>
            </w:r>
            <w:r w:rsidRPr="00480790">
              <w:rPr>
                <w:rFonts w:ascii="Arial Narrow" w:eastAsia="Calibri" w:hAnsi="Arial Narrow"/>
                <w:sz w:val="20"/>
                <w:szCs w:val="20"/>
              </w:rPr>
              <w:fldChar w:fldCharType="begin">
                <w:ffData>
                  <w:name w:val="Check1"/>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 xml:space="preserve"> GENERAL - General Schedule (Code GE) </w:t>
            </w:r>
          </w:p>
        </w:tc>
      </w:tr>
      <w:tr w:rsidR="00AB01EA" w:rsidRPr="00480790" w14:paraId="47998FED" w14:textId="77777777" w:rsidTr="00117315">
        <w:tblPrEx>
          <w:tblCellMar>
            <w:top w:w="15" w:type="dxa"/>
            <w:bottom w:w="15" w:type="dxa"/>
          </w:tblCellMar>
          <w:tblLook w:val="04A0" w:firstRow="1" w:lastRow="0" w:firstColumn="1" w:lastColumn="0" w:noHBand="0" w:noVBand="1"/>
        </w:tblPrEx>
        <w:trPr>
          <w:trHeight w:val="20"/>
        </w:trPr>
        <w:tc>
          <w:tcPr>
            <w:tcW w:w="1272" w:type="dxa"/>
            <w:gridSpan w:val="2"/>
            <w:vMerge/>
          </w:tcPr>
          <w:p w14:paraId="314E7317" w14:textId="77777777" w:rsidR="003E7A00" w:rsidRPr="00480790" w:rsidRDefault="003E7A00">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9A204A9" w14:textId="77777777" w:rsidR="003E7A00" w:rsidRPr="00480790" w:rsidRDefault="003E7A00">
            <w:pPr>
              <w:keepLines/>
              <w:rPr>
                <w:rFonts w:ascii="Arial Narrow" w:hAnsi="Arial Narrow"/>
                <w:b/>
                <w:sz w:val="20"/>
                <w:szCs w:val="20"/>
              </w:rPr>
            </w:pPr>
            <w:r w:rsidRPr="00480790">
              <w:rPr>
                <w:rFonts w:ascii="Arial Narrow" w:hAnsi="Arial Narrow"/>
                <w:b/>
                <w:sz w:val="20"/>
                <w:szCs w:val="20"/>
              </w:rPr>
              <w:t xml:space="preserve">Prescriber type: </w:t>
            </w:r>
            <w:r w:rsidRPr="00480790">
              <w:rPr>
                <w:rFonts w:ascii="Arial Narrow" w:hAnsi="Arial Narrow"/>
                <w:sz w:val="20"/>
                <w:szCs w:val="20"/>
              </w:rPr>
              <w:t xml:space="preserve"> </w:t>
            </w:r>
            <w:r w:rsidRPr="00480790">
              <w:rPr>
                <w:rFonts w:ascii="Arial Narrow" w:hAnsi="Arial Narrow"/>
                <w:sz w:val="20"/>
                <w:szCs w:val="20"/>
              </w:rPr>
              <w:fldChar w:fldCharType="begin">
                <w:ffData>
                  <w:name w:val=""/>
                  <w:enabled/>
                  <w:calcOnExit w:val="0"/>
                  <w:checkBox>
                    <w:sizeAuto/>
                    <w:default w:val="1"/>
                  </w:checkBox>
                </w:ffData>
              </w:fldChar>
            </w:r>
            <w:r w:rsidRPr="00480790">
              <w:rPr>
                <w:rFonts w:ascii="Arial Narrow" w:hAnsi="Arial Narrow"/>
                <w:sz w:val="20"/>
                <w:szCs w:val="20"/>
              </w:rPr>
              <w:instrText xml:space="preserve"> FORMCHECKBOX </w:instrText>
            </w:r>
            <w:r w:rsidRPr="00480790">
              <w:rPr>
                <w:rFonts w:ascii="Arial Narrow" w:hAnsi="Arial Narrow"/>
                <w:sz w:val="20"/>
                <w:szCs w:val="20"/>
              </w:rPr>
            </w:r>
            <w:r w:rsidRPr="00480790">
              <w:rPr>
                <w:rFonts w:ascii="Arial Narrow" w:hAnsi="Arial Narrow"/>
                <w:sz w:val="20"/>
                <w:szCs w:val="20"/>
              </w:rPr>
              <w:fldChar w:fldCharType="separate"/>
            </w:r>
            <w:r w:rsidRPr="00480790">
              <w:rPr>
                <w:rFonts w:ascii="Arial Narrow" w:hAnsi="Arial Narrow"/>
                <w:sz w:val="20"/>
                <w:szCs w:val="20"/>
              </w:rPr>
              <w:fldChar w:fldCharType="end"/>
            </w:r>
            <w:r w:rsidRPr="00480790">
              <w:rPr>
                <w:rFonts w:ascii="Arial Narrow" w:hAnsi="Arial Narrow"/>
                <w:sz w:val="20"/>
                <w:szCs w:val="20"/>
              </w:rPr>
              <w:t xml:space="preserve">Medical Practitioners </w:t>
            </w:r>
          </w:p>
        </w:tc>
      </w:tr>
      <w:tr w:rsidR="00AB01EA" w:rsidRPr="00480790" w14:paraId="4EFDBE85" w14:textId="77777777" w:rsidTr="00117315">
        <w:tblPrEx>
          <w:tblCellMar>
            <w:top w:w="15" w:type="dxa"/>
            <w:bottom w:w="15" w:type="dxa"/>
          </w:tblCellMar>
          <w:tblLook w:val="04A0" w:firstRow="1" w:lastRow="0" w:firstColumn="1" w:lastColumn="0" w:noHBand="0" w:noVBand="1"/>
        </w:tblPrEx>
        <w:trPr>
          <w:trHeight w:val="190"/>
        </w:trPr>
        <w:tc>
          <w:tcPr>
            <w:tcW w:w="488" w:type="dxa"/>
            <w:tcBorders>
              <w:left w:val="single" w:sz="4" w:space="0" w:color="auto"/>
              <w:right w:val="single" w:sz="4" w:space="0" w:color="auto"/>
            </w:tcBorders>
            <w:textDirection w:val="btLr"/>
            <w:vAlign w:val="center"/>
          </w:tcPr>
          <w:p w14:paraId="69334A57" w14:textId="11B452F5" w:rsidR="003E7A00" w:rsidRPr="00480790" w:rsidRDefault="003E7A00">
            <w:pPr>
              <w:jc w:val="center"/>
              <w:rPr>
                <w:rFonts w:ascii="Arial Narrow" w:hAnsi="Arial Narrow"/>
                <w:sz w:val="8"/>
                <w:szCs w:val="8"/>
              </w:rPr>
            </w:pPr>
          </w:p>
        </w:tc>
        <w:tc>
          <w:tcPr>
            <w:tcW w:w="784" w:type="dxa"/>
            <w:vAlign w:val="center"/>
          </w:tcPr>
          <w:p w14:paraId="6FB7E43D" w14:textId="4DDF2DBC" w:rsidR="003E7A00" w:rsidRPr="00480790" w:rsidRDefault="003E7A00">
            <w:pPr>
              <w:jc w:val="center"/>
              <w:rPr>
                <w:rFonts w:ascii="Arial Narrow" w:hAnsi="Arial Narrow"/>
                <w:sz w:val="20"/>
                <w:szCs w:val="20"/>
              </w:rPr>
            </w:pPr>
          </w:p>
        </w:tc>
        <w:tc>
          <w:tcPr>
            <w:tcW w:w="7745" w:type="dxa"/>
            <w:gridSpan w:val="6"/>
            <w:vAlign w:val="center"/>
          </w:tcPr>
          <w:p w14:paraId="7CBBE2EE" w14:textId="77777777" w:rsidR="003E7A00" w:rsidRPr="00480790" w:rsidRDefault="003E7A00">
            <w:pPr>
              <w:rPr>
                <w:rFonts w:ascii="Arial Narrow" w:hAnsi="Arial Narrow"/>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Special Pricing Arrangements apply.</w:t>
            </w:r>
          </w:p>
        </w:tc>
      </w:tr>
      <w:tr w:rsidR="00AB01EA" w:rsidRPr="00480790" w14:paraId="12B99C30" w14:textId="77777777" w:rsidTr="00117315">
        <w:tblPrEx>
          <w:tblCellMar>
            <w:top w:w="15" w:type="dxa"/>
            <w:bottom w:w="15" w:type="dxa"/>
          </w:tblCellMar>
          <w:tblLook w:val="04A0" w:firstRow="1" w:lastRow="0" w:firstColumn="1" w:lastColumn="0" w:noHBand="0" w:noVBand="1"/>
        </w:tblPrEx>
        <w:trPr>
          <w:trHeight w:val="182"/>
        </w:trPr>
        <w:tc>
          <w:tcPr>
            <w:tcW w:w="1272" w:type="dxa"/>
            <w:gridSpan w:val="2"/>
            <w:tcBorders>
              <w:left w:val="single" w:sz="4" w:space="0" w:color="auto"/>
              <w:right w:val="single" w:sz="4" w:space="0" w:color="auto"/>
            </w:tcBorders>
          </w:tcPr>
          <w:p w14:paraId="7782CA1B" w14:textId="77777777" w:rsidR="003E7A00" w:rsidRPr="00480790" w:rsidRDefault="003E7A00">
            <w:pPr>
              <w:rPr>
                <w:rFonts w:ascii="Arial Narrow" w:hAnsi="Arial Narrow"/>
                <w:sz w:val="20"/>
                <w:szCs w:val="20"/>
              </w:rPr>
            </w:pPr>
          </w:p>
        </w:tc>
        <w:tc>
          <w:tcPr>
            <w:tcW w:w="7745" w:type="dxa"/>
            <w:gridSpan w:val="6"/>
            <w:tcBorders>
              <w:top w:val="single" w:sz="4" w:space="0" w:color="auto"/>
              <w:left w:val="single" w:sz="4" w:space="0" w:color="auto"/>
              <w:right w:val="single" w:sz="4" w:space="0" w:color="auto"/>
            </w:tcBorders>
            <w:vAlign w:val="center"/>
          </w:tcPr>
          <w:p w14:paraId="6F906D2F" w14:textId="77777777" w:rsidR="003E7A00" w:rsidRPr="00480790" w:rsidRDefault="003E7A00">
            <w:pPr>
              <w:keepLines/>
              <w:rPr>
                <w:rFonts w:ascii="Arial Narrow" w:eastAsia="Calibri" w:hAnsi="Arial Narrow"/>
                <w:sz w:val="20"/>
                <w:szCs w:val="20"/>
              </w:rPr>
            </w:pPr>
            <w:r w:rsidRPr="00480790">
              <w:rPr>
                <w:rFonts w:ascii="Arial Narrow" w:hAnsi="Arial Narrow"/>
                <w:b/>
                <w:sz w:val="20"/>
                <w:szCs w:val="20"/>
              </w:rPr>
              <w:t xml:space="preserve">Restriction type: </w:t>
            </w:r>
            <w:r w:rsidRPr="00480790">
              <w:rPr>
                <w:rFonts w:ascii="Arial Narrow" w:eastAsia="Calibri" w:hAnsi="Arial Narrow"/>
                <w:sz w:val="20"/>
                <w:szCs w:val="20"/>
              </w:rPr>
              <w:fldChar w:fldCharType="begin">
                <w:ffData>
                  <w:name w:val="Check3"/>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Authority Required (immediate assessment) - Written/Online PBS Authorities</w:t>
            </w:r>
          </w:p>
        </w:tc>
      </w:tr>
      <w:tr w:rsidR="00A35F1C" w:rsidRPr="00480790" w14:paraId="130617DD" w14:textId="77777777" w:rsidTr="00117315">
        <w:tblPrEx>
          <w:tblCellMar>
            <w:top w:w="15" w:type="dxa"/>
            <w:bottom w:w="15" w:type="dxa"/>
          </w:tblCellMar>
          <w:tblLook w:val="04A0" w:firstRow="1" w:lastRow="0" w:firstColumn="1" w:lastColumn="0" w:noHBand="0" w:noVBand="1"/>
        </w:tblPrEx>
        <w:trPr>
          <w:trHeight w:val="182"/>
        </w:trPr>
        <w:tc>
          <w:tcPr>
            <w:tcW w:w="9017" w:type="dxa"/>
            <w:gridSpan w:val="8"/>
            <w:tcBorders>
              <w:left w:val="single" w:sz="4" w:space="0" w:color="auto"/>
              <w:right w:val="single" w:sz="4" w:space="0" w:color="auto"/>
            </w:tcBorders>
          </w:tcPr>
          <w:p w14:paraId="60A0C72E" w14:textId="77777777" w:rsidR="00A35F1C" w:rsidRPr="00480790" w:rsidRDefault="00A35F1C">
            <w:pPr>
              <w:keepLines/>
              <w:rPr>
                <w:rFonts w:ascii="Arial Narrow" w:hAnsi="Arial Narrow"/>
                <w:b/>
                <w:sz w:val="20"/>
                <w:szCs w:val="20"/>
              </w:rPr>
            </w:pPr>
          </w:p>
        </w:tc>
      </w:tr>
      <w:tr w:rsidR="00AB01EA" w:rsidRPr="00480790" w14:paraId="0626274E" w14:textId="77777777" w:rsidTr="00117315">
        <w:tblPrEx>
          <w:tblCellMar>
            <w:top w:w="15" w:type="dxa"/>
            <w:bottom w:w="15" w:type="dxa"/>
          </w:tblCellMar>
          <w:tblLook w:val="04A0" w:firstRow="1" w:lastRow="0" w:firstColumn="1" w:lastColumn="0" w:noHBand="0" w:noVBand="1"/>
        </w:tblPrEx>
        <w:trPr>
          <w:trHeight w:val="182"/>
        </w:trPr>
        <w:tc>
          <w:tcPr>
            <w:tcW w:w="9017" w:type="dxa"/>
            <w:gridSpan w:val="8"/>
            <w:tcBorders>
              <w:left w:val="single" w:sz="4" w:space="0" w:color="auto"/>
              <w:right w:val="single" w:sz="4" w:space="0" w:color="auto"/>
            </w:tcBorders>
          </w:tcPr>
          <w:p w14:paraId="75A99781" w14:textId="0DD7564B" w:rsidR="003E7A00" w:rsidRPr="00480790" w:rsidRDefault="003E7A00">
            <w:pPr>
              <w:keepLines/>
              <w:rPr>
                <w:rFonts w:ascii="Arial Narrow" w:hAnsi="Arial Narrow"/>
                <w:b/>
                <w:sz w:val="20"/>
                <w:szCs w:val="20"/>
              </w:rPr>
            </w:pPr>
            <w:r w:rsidRPr="00480790">
              <w:rPr>
                <w:rFonts w:ascii="Arial Narrow" w:hAnsi="Arial Narrow"/>
                <w:b/>
                <w:sz w:val="20"/>
                <w:szCs w:val="20"/>
              </w:rPr>
              <w:t xml:space="preserve">Restriction Summary / Treatment of Concept: </w:t>
            </w:r>
          </w:p>
        </w:tc>
      </w:tr>
      <w:tr w:rsidR="00AB01EA" w:rsidRPr="00480790" w14:paraId="0F289FFF" w14:textId="77777777" w:rsidTr="00E66D7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0BE7D22" w14:textId="191627C2" w:rsidR="003E7A00" w:rsidRPr="00480790" w:rsidRDefault="003E7A00">
            <w:pPr>
              <w:keepLines/>
              <w:jc w:val="center"/>
              <w:rPr>
                <w:rFonts w:ascii="Arial Narrow" w:hAnsi="Arial Narrow"/>
                <w:sz w:val="20"/>
                <w:szCs w:val="20"/>
              </w:rPr>
            </w:pPr>
          </w:p>
        </w:tc>
        <w:tc>
          <w:tcPr>
            <w:tcW w:w="7745" w:type="dxa"/>
            <w:gridSpan w:val="6"/>
            <w:vAlign w:val="center"/>
            <w:hideMark/>
          </w:tcPr>
          <w:p w14:paraId="26D331C2" w14:textId="77777777" w:rsidR="003E7A00" w:rsidRPr="00480790" w:rsidRDefault="003E7A00">
            <w:pPr>
              <w:keepLines/>
              <w:rPr>
                <w:rFonts w:ascii="Arial Narrow" w:hAnsi="Arial Narrow"/>
                <w:sz w:val="20"/>
                <w:szCs w:val="20"/>
              </w:rPr>
            </w:pPr>
            <w:r w:rsidRPr="00480790">
              <w:rPr>
                <w:rFonts w:ascii="Arial Narrow" w:hAnsi="Arial Narrow"/>
                <w:b/>
                <w:bCs/>
                <w:sz w:val="20"/>
                <w:szCs w:val="20"/>
              </w:rPr>
              <w:t>Indication:</w:t>
            </w:r>
            <w:r w:rsidRPr="00480790">
              <w:rPr>
                <w:rFonts w:ascii="Arial Narrow" w:hAnsi="Arial Narrow"/>
                <w:sz w:val="20"/>
                <w:szCs w:val="20"/>
              </w:rPr>
              <w:t xml:space="preserve"> Stage IIIB (locally advanced) or Stage IV (metastatic) non-small cell lung cancer (NSCLC)</w:t>
            </w:r>
          </w:p>
        </w:tc>
      </w:tr>
      <w:tr w:rsidR="00AB01EA" w:rsidRPr="00480790" w14:paraId="40F9BBDD"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48EA150" w14:textId="77777777" w:rsidR="003E7A00" w:rsidRPr="00480790" w:rsidRDefault="003E7A00">
            <w:pPr>
              <w:keepLines/>
              <w:jc w:val="center"/>
              <w:rPr>
                <w:rFonts w:ascii="Arial Narrow" w:hAnsi="Arial Narrow"/>
                <w:sz w:val="20"/>
                <w:szCs w:val="20"/>
              </w:rPr>
            </w:pPr>
          </w:p>
        </w:tc>
        <w:tc>
          <w:tcPr>
            <w:tcW w:w="7745" w:type="dxa"/>
            <w:gridSpan w:val="6"/>
            <w:vAlign w:val="center"/>
          </w:tcPr>
          <w:p w14:paraId="0ECF4794" w14:textId="77777777" w:rsidR="003E7A00" w:rsidRPr="00480790" w:rsidRDefault="003E7A00">
            <w:pPr>
              <w:keepLines/>
              <w:rPr>
                <w:rFonts w:ascii="Arial Narrow" w:hAnsi="Arial Narrow"/>
                <w:b/>
                <w:bCs/>
                <w:sz w:val="20"/>
                <w:szCs w:val="20"/>
              </w:rPr>
            </w:pPr>
            <w:r w:rsidRPr="00480790">
              <w:rPr>
                <w:rFonts w:ascii="Arial Narrow" w:hAnsi="Arial Narrow"/>
                <w:b/>
                <w:bCs/>
                <w:sz w:val="20"/>
                <w:szCs w:val="20"/>
              </w:rPr>
              <w:t xml:space="preserve">Treatment Phase: </w:t>
            </w:r>
            <w:r w:rsidRPr="00480790">
              <w:rPr>
                <w:rFonts w:ascii="Arial Narrow" w:hAnsi="Arial Narrow"/>
                <w:sz w:val="20"/>
                <w:szCs w:val="20"/>
              </w:rPr>
              <w:t>Initial treatment</w:t>
            </w:r>
          </w:p>
        </w:tc>
      </w:tr>
      <w:tr w:rsidR="00AB01EA" w:rsidRPr="00480790" w14:paraId="7860CB05"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7A8ED3B" w14:textId="77777777" w:rsidR="003E7A00" w:rsidRPr="00480790" w:rsidRDefault="003E7A00">
            <w:pPr>
              <w:keepLines/>
              <w:jc w:val="center"/>
              <w:rPr>
                <w:rFonts w:ascii="Arial Narrow" w:hAnsi="Arial Narrow"/>
                <w:i/>
                <w:iCs/>
                <w:sz w:val="20"/>
                <w:szCs w:val="20"/>
              </w:rPr>
            </w:pPr>
          </w:p>
        </w:tc>
        <w:tc>
          <w:tcPr>
            <w:tcW w:w="7745" w:type="dxa"/>
            <w:gridSpan w:val="6"/>
            <w:vAlign w:val="center"/>
          </w:tcPr>
          <w:p w14:paraId="36A1CDCC" w14:textId="77777777" w:rsidR="003E7A00" w:rsidRPr="00480790" w:rsidRDefault="003E7A00">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Clinical criteria:</w:t>
            </w:r>
          </w:p>
        </w:tc>
      </w:tr>
      <w:tr w:rsidR="00AB01EA" w:rsidRPr="00480790" w14:paraId="06142631"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4597CB2" w14:textId="01FFECE9" w:rsidR="003E7A00" w:rsidRPr="00480790" w:rsidRDefault="003E7A00">
            <w:pPr>
              <w:keepLines/>
              <w:jc w:val="center"/>
              <w:rPr>
                <w:rFonts w:ascii="Arial Narrow" w:hAnsi="Arial Narrow"/>
                <w:i/>
                <w:iCs/>
                <w:sz w:val="20"/>
                <w:szCs w:val="20"/>
              </w:rPr>
            </w:pPr>
          </w:p>
        </w:tc>
        <w:tc>
          <w:tcPr>
            <w:tcW w:w="7745" w:type="dxa"/>
            <w:gridSpan w:val="6"/>
            <w:vAlign w:val="center"/>
          </w:tcPr>
          <w:p w14:paraId="6811987F" w14:textId="4C6E381B" w:rsidR="003E7A00" w:rsidRPr="00480790" w:rsidRDefault="00AE7DE0">
            <w:pPr>
              <w:keepLines/>
              <w:rPr>
                <w:rFonts w:ascii="Arial Narrow" w:hAnsi="Arial Narrow"/>
                <w:i/>
                <w:iCs/>
                <w:sz w:val="20"/>
                <w:szCs w:val="20"/>
              </w:rPr>
            </w:pPr>
            <w:r w:rsidRPr="00AE7DE0">
              <w:rPr>
                <w:rFonts w:ascii="Arial Narrow" w:hAnsi="Arial Narrow"/>
                <w:i/>
                <w:iCs/>
                <w:sz w:val="20"/>
                <w:szCs w:val="20"/>
              </w:rPr>
              <w:t>Patient must be untreated with an Anaplastic Lymphoma Kinase-Tyrosine Kinase Inhibitor (ALK-TKI) for NSCLC</w:t>
            </w:r>
          </w:p>
        </w:tc>
      </w:tr>
      <w:tr w:rsidR="00AB01EA" w:rsidRPr="00480790" w14:paraId="63821E88"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E09E869" w14:textId="77777777" w:rsidR="003E7A00" w:rsidRPr="00480790" w:rsidRDefault="003E7A00">
            <w:pPr>
              <w:keepLines/>
              <w:jc w:val="center"/>
              <w:rPr>
                <w:rFonts w:ascii="Arial Narrow" w:hAnsi="Arial Narrow"/>
                <w:i/>
                <w:iCs/>
                <w:sz w:val="20"/>
                <w:szCs w:val="20"/>
              </w:rPr>
            </w:pPr>
          </w:p>
        </w:tc>
        <w:tc>
          <w:tcPr>
            <w:tcW w:w="7745" w:type="dxa"/>
            <w:gridSpan w:val="6"/>
            <w:vAlign w:val="center"/>
          </w:tcPr>
          <w:p w14:paraId="6D25F057" w14:textId="77777777" w:rsidR="003E7A00" w:rsidRPr="00480790" w:rsidRDefault="003E7A00">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AND</w:t>
            </w:r>
          </w:p>
        </w:tc>
      </w:tr>
      <w:tr w:rsidR="00AB01EA" w:rsidRPr="00480790" w14:paraId="1C4374BB"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11DA3B06" w14:textId="5230594C" w:rsidR="003E7A00" w:rsidRPr="00480790" w:rsidRDefault="003E7A00">
            <w:pPr>
              <w:keepLines/>
              <w:jc w:val="center"/>
              <w:rPr>
                <w:rFonts w:ascii="Arial Narrow" w:hAnsi="Arial Narrow"/>
                <w:sz w:val="20"/>
                <w:szCs w:val="20"/>
              </w:rPr>
            </w:pPr>
          </w:p>
        </w:tc>
        <w:tc>
          <w:tcPr>
            <w:tcW w:w="7745" w:type="dxa"/>
            <w:gridSpan w:val="6"/>
          </w:tcPr>
          <w:p w14:paraId="7C171311" w14:textId="77777777" w:rsidR="003E7A00" w:rsidRPr="00480790" w:rsidRDefault="003E7A00">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3B488D7E"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0E4E12F1" w14:textId="5EF81661" w:rsidR="003E7A00" w:rsidRPr="00480790" w:rsidRDefault="003E7A00">
            <w:pPr>
              <w:keepLines/>
              <w:jc w:val="center"/>
              <w:rPr>
                <w:rFonts w:ascii="Arial Narrow" w:hAnsi="Arial Narrow"/>
                <w:sz w:val="20"/>
                <w:szCs w:val="20"/>
              </w:rPr>
            </w:pPr>
          </w:p>
        </w:tc>
        <w:tc>
          <w:tcPr>
            <w:tcW w:w="7745" w:type="dxa"/>
            <w:gridSpan w:val="6"/>
          </w:tcPr>
          <w:p w14:paraId="64395209" w14:textId="77777777" w:rsidR="003E7A00" w:rsidRPr="00480790" w:rsidRDefault="003E7A00">
            <w:pPr>
              <w:keepLines/>
              <w:rPr>
                <w:rFonts w:ascii="Arial Narrow" w:hAnsi="Arial Narrow" w:cs="Open Sans"/>
                <w:strike/>
                <w:sz w:val="20"/>
                <w:szCs w:val="20"/>
              </w:rPr>
            </w:pPr>
            <w:r w:rsidRPr="00480790">
              <w:rPr>
                <w:rFonts w:ascii="Arial Narrow" w:hAnsi="Arial Narrow" w:cs="Open Sans"/>
                <w:strike/>
                <w:sz w:val="20"/>
                <w:szCs w:val="20"/>
              </w:rPr>
              <w:t>The treatment must be as monotherapy</w:t>
            </w:r>
          </w:p>
          <w:p w14:paraId="060CFCBD" w14:textId="77777777" w:rsidR="003E7A00" w:rsidRPr="00480790" w:rsidRDefault="003E7A00">
            <w:pPr>
              <w:keepLines/>
              <w:rPr>
                <w:rFonts w:ascii="Arial Narrow" w:hAnsi="Arial Narrow"/>
                <w:sz w:val="20"/>
                <w:szCs w:val="20"/>
              </w:rPr>
            </w:pPr>
            <w:r w:rsidRPr="00480790">
              <w:rPr>
                <w:rFonts w:ascii="Arial Narrow" w:hAnsi="Arial Narrow"/>
                <w:i/>
                <w:iCs/>
                <w:sz w:val="20"/>
                <w:szCs w:val="20"/>
              </w:rPr>
              <w:t>The treatment must be the sole PBS-subsidised systemic anti-cancer therapy for this condition</w:t>
            </w:r>
          </w:p>
        </w:tc>
      </w:tr>
      <w:tr w:rsidR="00AB01EA" w:rsidRPr="00480790" w14:paraId="7B2101B5"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6968E267" w14:textId="77777777" w:rsidR="003E7A00" w:rsidRPr="00480790" w:rsidRDefault="003E7A00">
            <w:pPr>
              <w:keepLines/>
              <w:jc w:val="center"/>
              <w:rPr>
                <w:rFonts w:ascii="Arial Narrow" w:hAnsi="Arial Narrow"/>
                <w:sz w:val="20"/>
                <w:szCs w:val="20"/>
              </w:rPr>
            </w:pPr>
          </w:p>
        </w:tc>
        <w:tc>
          <w:tcPr>
            <w:tcW w:w="7745" w:type="dxa"/>
            <w:gridSpan w:val="6"/>
          </w:tcPr>
          <w:p w14:paraId="77C27C21" w14:textId="77777777" w:rsidR="003E7A00" w:rsidRPr="00480790" w:rsidRDefault="003E7A00">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4A5DE7BD"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3C4B898B" w14:textId="6E7F75FB" w:rsidR="003E7A00" w:rsidRPr="00480790" w:rsidRDefault="003E7A00">
            <w:pPr>
              <w:keepLines/>
              <w:jc w:val="center"/>
              <w:rPr>
                <w:rFonts w:ascii="Arial Narrow" w:hAnsi="Arial Narrow"/>
                <w:sz w:val="20"/>
                <w:szCs w:val="20"/>
              </w:rPr>
            </w:pPr>
          </w:p>
        </w:tc>
        <w:tc>
          <w:tcPr>
            <w:tcW w:w="7745" w:type="dxa"/>
            <w:gridSpan w:val="6"/>
          </w:tcPr>
          <w:p w14:paraId="38E87F06" w14:textId="77777777" w:rsidR="003E7A00" w:rsidRPr="00480790" w:rsidRDefault="003E7A00">
            <w:pPr>
              <w:keepLines/>
              <w:rPr>
                <w:rFonts w:ascii="Arial Narrow" w:hAnsi="Arial Narrow"/>
                <w:b/>
                <w:bCs/>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4C454F79"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0F902058" w14:textId="2ADE09DB" w:rsidR="003E7A00" w:rsidRPr="00480790" w:rsidRDefault="003E7A00">
            <w:pPr>
              <w:keepLines/>
              <w:jc w:val="center"/>
              <w:rPr>
                <w:rFonts w:ascii="Arial Narrow" w:hAnsi="Arial Narrow"/>
                <w:sz w:val="20"/>
                <w:szCs w:val="20"/>
              </w:rPr>
            </w:pPr>
          </w:p>
        </w:tc>
        <w:tc>
          <w:tcPr>
            <w:tcW w:w="7745" w:type="dxa"/>
            <w:gridSpan w:val="6"/>
          </w:tcPr>
          <w:p w14:paraId="27358BEA" w14:textId="77777777" w:rsidR="003E7A00" w:rsidRPr="00480790" w:rsidRDefault="003E7A00">
            <w:pPr>
              <w:keepLines/>
              <w:rPr>
                <w:rFonts w:ascii="Arial Narrow" w:hAnsi="Arial Narrow"/>
                <w:b/>
                <w:bCs/>
                <w:sz w:val="20"/>
                <w:szCs w:val="20"/>
              </w:rPr>
            </w:pPr>
            <w:r w:rsidRPr="00480790">
              <w:rPr>
                <w:rFonts w:ascii="Arial Narrow" w:hAnsi="Arial Narrow" w:cs="Open Sans"/>
                <w:sz w:val="20"/>
                <w:szCs w:val="20"/>
              </w:rPr>
              <w:t>The condition must be non-squamous type non-small cell lung cancer (NSCLC) or not otherwise specified type NSCLC</w:t>
            </w:r>
          </w:p>
        </w:tc>
      </w:tr>
      <w:tr w:rsidR="00AB01EA" w:rsidRPr="00480790" w14:paraId="6F268D76"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1A06A907" w14:textId="77777777" w:rsidR="003E7A00" w:rsidRPr="00480790" w:rsidRDefault="003E7A00">
            <w:pPr>
              <w:keepLines/>
              <w:jc w:val="center"/>
              <w:rPr>
                <w:rFonts w:ascii="Arial Narrow" w:hAnsi="Arial Narrow"/>
                <w:sz w:val="20"/>
                <w:szCs w:val="20"/>
              </w:rPr>
            </w:pPr>
          </w:p>
        </w:tc>
        <w:tc>
          <w:tcPr>
            <w:tcW w:w="7745" w:type="dxa"/>
            <w:gridSpan w:val="6"/>
          </w:tcPr>
          <w:p w14:paraId="0C8F43BE" w14:textId="77777777" w:rsidR="003E7A00" w:rsidRPr="00480790" w:rsidRDefault="003E7A00">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31D257F1"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350DE5F9" w14:textId="232CF126" w:rsidR="003E7A00" w:rsidRPr="00480790" w:rsidRDefault="003E7A00">
            <w:pPr>
              <w:keepLines/>
              <w:jc w:val="center"/>
              <w:rPr>
                <w:rFonts w:ascii="Arial Narrow" w:hAnsi="Arial Narrow"/>
                <w:sz w:val="20"/>
                <w:szCs w:val="20"/>
              </w:rPr>
            </w:pPr>
          </w:p>
        </w:tc>
        <w:tc>
          <w:tcPr>
            <w:tcW w:w="7745" w:type="dxa"/>
            <w:gridSpan w:val="6"/>
          </w:tcPr>
          <w:p w14:paraId="713C4FE7" w14:textId="77777777" w:rsidR="003E7A00" w:rsidRPr="00480790" w:rsidRDefault="003E7A00">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77E35F96"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6D847850" w14:textId="0E2C0970" w:rsidR="003E7A00" w:rsidRPr="00480790" w:rsidRDefault="003E7A00">
            <w:pPr>
              <w:keepLines/>
              <w:jc w:val="center"/>
              <w:rPr>
                <w:rFonts w:ascii="Arial Narrow" w:hAnsi="Arial Narrow"/>
                <w:sz w:val="20"/>
                <w:szCs w:val="20"/>
              </w:rPr>
            </w:pPr>
          </w:p>
        </w:tc>
        <w:tc>
          <w:tcPr>
            <w:tcW w:w="7745" w:type="dxa"/>
            <w:gridSpan w:val="6"/>
          </w:tcPr>
          <w:p w14:paraId="0E088502" w14:textId="77777777" w:rsidR="003E7A00" w:rsidRPr="00480790" w:rsidRDefault="003E7A00">
            <w:pPr>
              <w:keepLines/>
              <w:rPr>
                <w:rFonts w:ascii="Arial Narrow" w:hAnsi="Arial Narrow"/>
                <w:sz w:val="20"/>
                <w:szCs w:val="20"/>
              </w:rPr>
            </w:pPr>
            <w:r w:rsidRPr="00480790">
              <w:rPr>
                <w:rFonts w:ascii="Arial Narrow" w:hAnsi="Arial Narrow" w:cs="Open Sans"/>
                <w:sz w:val="20"/>
                <w:szCs w:val="20"/>
              </w:rPr>
              <w:t>Patient must have a WHO performance status of 2 or less</w:t>
            </w:r>
          </w:p>
        </w:tc>
      </w:tr>
      <w:tr w:rsidR="00AB01EA" w:rsidRPr="00480790" w14:paraId="1C2C584A"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68D6F0BB" w14:textId="77777777" w:rsidR="003E7A00" w:rsidRPr="00480790" w:rsidRDefault="003E7A00">
            <w:pPr>
              <w:keepLines/>
              <w:jc w:val="center"/>
              <w:rPr>
                <w:rFonts w:ascii="Arial Narrow" w:hAnsi="Arial Narrow"/>
                <w:sz w:val="20"/>
                <w:szCs w:val="20"/>
              </w:rPr>
            </w:pPr>
          </w:p>
        </w:tc>
        <w:tc>
          <w:tcPr>
            <w:tcW w:w="7745" w:type="dxa"/>
            <w:gridSpan w:val="6"/>
          </w:tcPr>
          <w:p w14:paraId="18DE1DDD" w14:textId="77777777" w:rsidR="003E7A00" w:rsidRPr="00480790" w:rsidRDefault="003E7A00">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0FD602B9"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6C43E0C7" w14:textId="4A72BDDE" w:rsidR="003E7A00" w:rsidRPr="00480790" w:rsidRDefault="003E7A00">
            <w:pPr>
              <w:keepLines/>
              <w:jc w:val="center"/>
              <w:rPr>
                <w:rFonts w:ascii="Arial Narrow" w:hAnsi="Arial Narrow"/>
                <w:sz w:val="20"/>
                <w:szCs w:val="20"/>
              </w:rPr>
            </w:pPr>
          </w:p>
        </w:tc>
        <w:tc>
          <w:tcPr>
            <w:tcW w:w="7745" w:type="dxa"/>
            <w:gridSpan w:val="6"/>
          </w:tcPr>
          <w:p w14:paraId="03132097" w14:textId="77777777" w:rsidR="003E7A00" w:rsidRPr="00480790" w:rsidRDefault="003E7A00">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26FB087E"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203319BA" w14:textId="2EEABF9F" w:rsidR="003E7A00" w:rsidRPr="00480790" w:rsidRDefault="003E7A00">
            <w:pPr>
              <w:keepLines/>
              <w:jc w:val="center"/>
              <w:rPr>
                <w:rFonts w:ascii="Arial Narrow" w:hAnsi="Arial Narrow"/>
                <w:sz w:val="20"/>
                <w:szCs w:val="20"/>
              </w:rPr>
            </w:pPr>
          </w:p>
        </w:tc>
        <w:tc>
          <w:tcPr>
            <w:tcW w:w="7745" w:type="dxa"/>
            <w:gridSpan w:val="6"/>
          </w:tcPr>
          <w:p w14:paraId="636EA69F" w14:textId="77777777" w:rsidR="003E7A00" w:rsidRPr="00480790" w:rsidRDefault="003E7A00">
            <w:pPr>
              <w:keepLines/>
              <w:rPr>
                <w:rFonts w:ascii="Arial Narrow" w:hAnsi="Arial Narrow"/>
                <w:sz w:val="20"/>
                <w:szCs w:val="20"/>
              </w:rPr>
            </w:pPr>
            <w:r w:rsidRPr="00480790">
              <w:rPr>
                <w:rFonts w:ascii="Arial Narrow" w:hAnsi="Arial Narrow" w:cs="Open Sans"/>
                <w:sz w:val="20"/>
                <w:szCs w:val="20"/>
              </w:rPr>
              <w:t>Patient must have evidence of an anaplastic lymphoma kinase (ALK) gene rearrangement in tumour material, defined as either: (i) 15% (or greater) positive cells by fluorescence in situ hybridisation (FISH) testing, (ii) positive next generation sequencing (NGS) testing</w:t>
            </w:r>
          </w:p>
        </w:tc>
      </w:tr>
      <w:tr w:rsidR="00AB01EA" w:rsidRPr="00480790" w14:paraId="53F9EFB4"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07817E60" w14:textId="7EC605A8" w:rsidR="003E7A00" w:rsidRPr="00480790" w:rsidRDefault="003E7A00">
            <w:pPr>
              <w:keepLines/>
              <w:jc w:val="center"/>
              <w:rPr>
                <w:rFonts w:ascii="Arial Narrow" w:hAnsi="Arial Narrow"/>
                <w:sz w:val="20"/>
                <w:szCs w:val="20"/>
              </w:rPr>
            </w:pPr>
          </w:p>
        </w:tc>
        <w:tc>
          <w:tcPr>
            <w:tcW w:w="7745" w:type="dxa"/>
            <w:gridSpan w:val="6"/>
          </w:tcPr>
          <w:p w14:paraId="0DD9EFFC" w14:textId="77777777" w:rsidR="003E7A00" w:rsidRPr="00480790" w:rsidRDefault="003E7A00">
            <w:pPr>
              <w:keepLines/>
              <w:rPr>
                <w:rFonts w:ascii="Arial Narrow" w:hAnsi="Arial Narrow"/>
                <w:sz w:val="20"/>
                <w:szCs w:val="20"/>
              </w:rPr>
            </w:pPr>
            <w:r w:rsidRPr="00480790">
              <w:rPr>
                <w:rFonts w:ascii="Arial Narrow" w:hAnsi="Arial Narrow"/>
                <w:b/>
                <w:bCs/>
                <w:sz w:val="20"/>
                <w:szCs w:val="20"/>
              </w:rPr>
              <w:t>Prescribing Instructions:</w:t>
            </w:r>
          </w:p>
          <w:p w14:paraId="7CD8587B" w14:textId="77777777" w:rsidR="003E7A00" w:rsidRPr="00480790" w:rsidRDefault="003E7A00">
            <w:pPr>
              <w:keepLines/>
              <w:rPr>
                <w:rFonts w:ascii="Arial Narrow" w:hAnsi="Arial Narrow"/>
                <w:sz w:val="20"/>
                <w:szCs w:val="20"/>
              </w:rPr>
            </w:pPr>
            <w:r w:rsidRPr="00480790">
              <w:rPr>
                <w:rFonts w:ascii="Arial Narrow" w:hAnsi="Arial Narrow"/>
                <w:sz w:val="20"/>
                <w:szCs w:val="20"/>
              </w:rPr>
              <w:t>Applications for authorisation of initial treatment must be made via the Online PBS Authorities System (real time assessment) or in writing via HPOS form upload or mail.</w:t>
            </w:r>
          </w:p>
          <w:p w14:paraId="12C760E5" w14:textId="77777777" w:rsidR="003E7A00" w:rsidRPr="00480790" w:rsidRDefault="003E7A00">
            <w:pPr>
              <w:keepLines/>
              <w:rPr>
                <w:rFonts w:ascii="Arial Narrow" w:hAnsi="Arial Narrow"/>
                <w:sz w:val="20"/>
                <w:szCs w:val="20"/>
              </w:rPr>
            </w:pPr>
            <w:r w:rsidRPr="00480790">
              <w:rPr>
                <w:rFonts w:ascii="Arial Narrow" w:hAnsi="Arial Narrow"/>
                <w:sz w:val="20"/>
                <w:szCs w:val="20"/>
              </w:rPr>
              <w:t>If the application is submitted through HPOS form upload or mail, it must include:</w:t>
            </w:r>
          </w:p>
          <w:p w14:paraId="05DCEE90" w14:textId="77777777" w:rsidR="003E7A00" w:rsidRPr="00480790" w:rsidRDefault="003E7A00">
            <w:pPr>
              <w:keepLines/>
              <w:rPr>
                <w:rFonts w:ascii="Arial Narrow" w:hAnsi="Arial Narrow"/>
                <w:sz w:val="20"/>
                <w:szCs w:val="20"/>
              </w:rPr>
            </w:pPr>
            <w:r w:rsidRPr="00480790">
              <w:rPr>
                <w:rFonts w:ascii="Arial Narrow" w:hAnsi="Arial Narrow"/>
                <w:sz w:val="20"/>
                <w:szCs w:val="20"/>
              </w:rPr>
              <w:t>(a) details of the proposed prescription; and</w:t>
            </w:r>
          </w:p>
          <w:p w14:paraId="07B8B4BA" w14:textId="77777777" w:rsidR="003E7A00" w:rsidRPr="00480790" w:rsidRDefault="003E7A00">
            <w:pPr>
              <w:keepLines/>
              <w:rPr>
                <w:rFonts w:ascii="Arial Narrow" w:hAnsi="Arial Narrow"/>
                <w:sz w:val="20"/>
                <w:szCs w:val="20"/>
              </w:rPr>
            </w:pPr>
            <w:r w:rsidRPr="00480790">
              <w:rPr>
                <w:rFonts w:ascii="Arial Narrow" w:hAnsi="Arial Narrow"/>
                <w:sz w:val="20"/>
                <w:szCs w:val="20"/>
              </w:rPr>
              <w:t>(b) a completed authority application form relevant to the indication and treatment phase (the latest version is located on the website specified in the Administrative Advice).</w:t>
            </w:r>
          </w:p>
        </w:tc>
      </w:tr>
      <w:tr w:rsidR="00AB01EA" w:rsidRPr="00480790" w14:paraId="6C34DE48"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366DA5B5" w14:textId="0DD40881" w:rsidR="003E7A00" w:rsidRPr="00480790" w:rsidRDefault="003E7A00">
            <w:pPr>
              <w:keepLines/>
              <w:jc w:val="center"/>
              <w:rPr>
                <w:rFonts w:ascii="Arial Narrow" w:hAnsi="Arial Narrow"/>
                <w:sz w:val="20"/>
                <w:szCs w:val="20"/>
              </w:rPr>
            </w:pPr>
          </w:p>
        </w:tc>
        <w:tc>
          <w:tcPr>
            <w:tcW w:w="7745" w:type="dxa"/>
            <w:gridSpan w:val="6"/>
          </w:tcPr>
          <w:p w14:paraId="277AD803" w14:textId="77777777" w:rsidR="003E7A00" w:rsidRPr="00480790" w:rsidRDefault="003E7A00">
            <w:pPr>
              <w:keepLines/>
              <w:rPr>
                <w:rFonts w:ascii="Arial Narrow" w:hAnsi="Arial Narrow"/>
                <w:b/>
                <w:bCs/>
                <w:sz w:val="20"/>
                <w:szCs w:val="20"/>
              </w:rPr>
            </w:pPr>
            <w:r w:rsidRPr="00480790">
              <w:rPr>
                <w:rFonts w:ascii="Arial Narrow" w:hAnsi="Arial Narrow"/>
                <w:b/>
                <w:bCs/>
                <w:sz w:val="20"/>
                <w:szCs w:val="20"/>
              </w:rPr>
              <w:t>Prescribing Instructions:</w:t>
            </w:r>
          </w:p>
          <w:p w14:paraId="2EBDBAF7" w14:textId="77777777" w:rsidR="003E7A00" w:rsidRPr="00480790" w:rsidRDefault="003E7A00">
            <w:pPr>
              <w:keepLines/>
              <w:rPr>
                <w:rFonts w:ascii="Arial Narrow" w:hAnsi="Arial Narrow"/>
                <w:sz w:val="20"/>
                <w:szCs w:val="20"/>
              </w:rPr>
            </w:pPr>
            <w:r w:rsidRPr="00480790">
              <w:rPr>
                <w:rFonts w:ascii="Arial Narrow" w:hAnsi="Arial Narrow"/>
                <w:sz w:val="20"/>
                <w:szCs w:val="20"/>
              </w:rPr>
              <w:t>The following must be documented in the patient's medical records:</w:t>
            </w:r>
          </w:p>
          <w:p w14:paraId="3FBA6155" w14:textId="77777777" w:rsidR="003E7A00" w:rsidRPr="00480790" w:rsidRDefault="003E7A00">
            <w:pPr>
              <w:keepLines/>
              <w:rPr>
                <w:rFonts w:ascii="Arial Narrow" w:hAnsi="Arial Narrow"/>
                <w:sz w:val="20"/>
                <w:szCs w:val="20"/>
              </w:rPr>
            </w:pPr>
            <w:r w:rsidRPr="00480790">
              <w:rPr>
                <w:rFonts w:ascii="Arial Narrow" w:hAnsi="Arial Narrow"/>
                <w:sz w:val="20"/>
                <w:szCs w:val="20"/>
              </w:rPr>
              <w:t>(a) evidence of an anaplastic lymphoma kinase (ALK) gene rearrangement in tumour material.</w:t>
            </w:r>
          </w:p>
        </w:tc>
      </w:tr>
      <w:tr w:rsidR="00AB01EA" w:rsidRPr="00480790" w14:paraId="3100F824"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43405948" w14:textId="1A56E3C1" w:rsidR="003E7A00" w:rsidRPr="00480790" w:rsidRDefault="003E7A00">
            <w:pPr>
              <w:keepLines/>
              <w:jc w:val="center"/>
              <w:rPr>
                <w:rFonts w:ascii="Arial Narrow" w:hAnsi="Arial Narrow"/>
                <w:sz w:val="20"/>
                <w:szCs w:val="20"/>
              </w:rPr>
            </w:pPr>
          </w:p>
        </w:tc>
        <w:tc>
          <w:tcPr>
            <w:tcW w:w="7745" w:type="dxa"/>
            <w:gridSpan w:val="6"/>
          </w:tcPr>
          <w:p w14:paraId="16ADF301" w14:textId="77777777" w:rsidR="003E7A00" w:rsidRPr="00480790" w:rsidRDefault="003E7A00">
            <w:pPr>
              <w:keepLines/>
              <w:rPr>
                <w:rFonts w:ascii="Arial Narrow" w:hAnsi="Arial Narrow"/>
                <w:b/>
                <w:bCs/>
                <w:sz w:val="20"/>
                <w:szCs w:val="20"/>
              </w:rPr>
            </w:pPr>
            <w:r w:rsidRPr="00480790">
              <w:rPr>
                <w:rFonts w:ascii="Arial Narrow" w:hAnsi="Arial Narrow"/>
                <w:b/>
                <w:bCs/>
                <w:sz w:val="20"/>
                <w:szCs w:val="20"/>
              </w:rPr>
              <w:t>Administrative Advice:</w:t>
            </w:r>
          </w:p>
          <w:p w14:paraId="2A502AA8" w14:textId="77777777" w:rsidR="003E7A00" w:rsidRPr="00480790" w:rsidRDefault="003E7A00">
            <w:pPr>
              <w:keepLines/>
              <w:rPr>
                <w:rFonts w:ascii="Arial Narrow" w:hAnsi="Arial Narrow"/>
                <w:sz w:val="20"/>
                <w:szCs w:val="20"/>
              </w:rPr>
            </w:pPr>
            <w:r w:rsidRPr="00480790">
              <w:rPr>
                <w:rFonts w:ascii="Arial Narrow" w:hAnsi="Arial Narrow"/>
                <w:sz w:val="20"/>
                <w:szCs w:val="20"/>
              </w:rPr>
              <w:t>Any queries concerning the arrangements to prescribe may be directed to Services Australia on 1800 700 270 (hours of operation 8 a.m. to 5 p.m. Monday to Friday).</w:t>
            </w:r>
          </w:p>
          <w:p w14:paraId="608138D5" w14:textId="77777777" w:rsidR="003E7A00" w:rsidRPr="00480790" w:rsidRDefault="003E7A00">
            <w:pPr>
              <w:keepLines/>
              <w:rPr>
                <w:rFonts w:ascii="Arial Narrow" w:hAnsi="Arial Narrow"/>
                <w:sz w:val="20"/>
                <w:szCs w:val="20"/>
              </w:rPr>
            </w:pPr>
            <w:r w:rsidRPr="00480790">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586E405C" w14:textId="77777777" w:rsidR="003E7A00" w:rsidRPr="00480790" w:rsidRDefault="003E7A00">
            <w:pPr>
              <w:keepLines/>
              <w:rPr>
                <w:rFonts w:ascii="Arial Narrow" w:hAnsi="Arial Narrow"/>
                <w:sz w:val="20"/>
                <w:szCs w:val="20"/>
              </w:rPr>
            </w:pPr>
            <w:r w:rsidRPr="00480790">
              <w:rPr>
                <w:rFonts w:ascii="Arial Narrow" w:hAnsi="Arial Narrow"/>
                <w:sz w:val="20"/>
                <w:szCs w:val="20"/>
              </w:rPr>
              <w:t>Applications for authorisation under this restriction should be made in real time using the Online PBS Authorities system (see www.servicesaustralia.gov.au/hpos)</w:t>
            </w:r>
          </w:p>
          <w:p w14:paraId="18A7E25D" w14:textId="77777777" w:rsidR="003E7A00" w:rsidRPr="00480790" w:rsidRDefault="003E7A00">
            <w:pPr>
              <w:keepLines/>
              <w:rPr>
                <w:rFonts w:ascii="Arial Narrow" w:hAnsi="Arial Narrow"/>
                <w:sz w:val="20"/>
                <w:szCs w:val="20"/>
              </w:rPr>
            </w:pPr>
            <w:r w:rsidRPr="00480790">
              <w:rPr>
                <w:rFonts w:ascii="Arial Narrow" w:hAnsi="Arial Narrow"/>
                <w:sz w:val="20"/>
                <w:szCs w:val="20"/>
              </w:rPr>
              <w:t>Alternatively, applications for authority to prescribe can be submitted online using the form upload facility in Health Professional Online Services (HPOS) at www.servicesaustralia.gov.au/hpos</w:t>
            </w:r>
          </w:p>
          <w:p w14:paraId="7BA3D48F" w14:textId="77777777" w:rsidR="003E7A00" w:rsidRPr="00480790" w:rsidRDefault="003E7A00">
            <w:pPr>
              <w:keepLines/>
              <w:rPr>
                <w:rFonts w:ascii="Arial Narrow" w:hAnsi="Arial Narrow"/>
                <w:sz w:val="20"/>
                <w:szCs w:val="20"/>
              </w:rPr>
            </w:pPr>
            <w:r w:rsidRPr="00480790">
              <w:rPr>
                <w:rFonts w:ascii="Arial Narrow" w:hAnsi="Arial Narrow"/>
                <w:sz w:val="20"/>
                <w:szCs w:val="20"/>
              </w:rPr>
              <w:t>Or mailed to:</w:t>
            </w:r>
          </w:p>
          <w:p w14:paraId="571E7CCA" w14:textId="77777777" w:rsidR="003E7A00" w:rsidRPr="00480790" w:rsidRDefault="003E7A00">
            <w:pPr>
              <w:keepLines/>
              <w:rPr>
                <w:rFonts w:ascii="Arial Narrow" w:hAnsi="Arial Narrow"/>
                <w:sz w:val="20"/>
                <w:szCs w:val="20"/>
              </w:rPr>
            </w:pPr>
            <w:r w:rsidRPr="00480790">
              <w:rPr>
                <w:rFonts w:ascii="Arial Narrow" w:hAnsi="Arial Narrow"/>
                <w:sz w:val="20"/>
                <w:szCs w:val="20"/>
              </w:rPr>
              <w:t>Services Australia</w:t>
            </w:r>
          </w:p>
          <w:p w14:paraId="47A6418D" w14:textId="77777777" w:rsidR="003E7A00" w:rsidRPr="00480790" w:rsidRDefault="003E7A00">
            <w:pPr>
              <w:keepLines/>
              <w:rPr>
                <w:rFonts w:ascii="Arial Narrow" w:hAnsi="Arial Narrow"/>
                <w:sz w:val="20"/>
                <w:szCs w:val="20"/>
              </w:rPr>
            </w:pPr>
            <w:r w:rsidRPr="00480790">
              <w:rPr>
                <w:rFonts w:ascii="Arial Narrow" w:hAnsi="Arial Narrow"/>
                <w:sz w:val="20"/>
                <w:szCs w:val="20"/>
              </w:rPr>
              <w:t>Complex Drugs</w:t>
            </w:r>
          </w:p>
          <w:p w14:paraId="502D94D7" w14:textId="77777777" w:rsidR="003E7A00" w:rsidRPr="00480790" w:rsidRDefault="003E7A00">
            <w:pPr>
              <w:keepLines/>
              <w:rPr>
                <w:rFonts w:ascii="Arial Narrow" w:hAnsi="Arial Narrow"/>
                <w:sz w:val="20"/>
                <w:szCs w:val="20"/>
              </w:rPr>
            </w:pPr>
            <w:r w:rsidRPr="00480790">
              <w:rPr>
                <w:rFonts w:ascii="Arial Narrow" w:hAnsi="Arial Narrow"/>
                <w:sz w:val="20"/>
                <w:szCs w:val="20"/>
              </w:rPr>
              <w:t>Reply Paid 9826</w:t>
            </w:r>
          </w:p>
          <w:p w14:paraId="7FB3D50B" w14:textId="77777777" w:rsidR="003E7A00" w:rsidRPr="00480790" w:rsidRDefault="003E7A00">
            <w:pPr>
              <w:keepLines/>
              <w:rPr>
                <w:rFonts w:ascii="Arial Narrow" w:hAnsi="Arial Narrow"/>
                <w:sz w:val="20"/>
                <w:szCs w:val="20"/>
              </w:rPr>
            </w:pPr>
            <w:r w:rsidRPr="00480790">
              <w:rPr>
                <w:rFonts w:ascii="Arial Narrow" w:hAnsi="Arial Narrow"/>
                <w:sz w:val="20"/>
                <w:szCs w:val="20"/>
              </w:rPr>
              <w:t>HOBART TAS 7001</w:t>
            </w:r>
          </w:p>
        </w:tc>
      </w:tr>
      <w:tr w:rsidR="00A35F1C" w:rsidRPr="00480790" w14:paraId="01EB05F7" w14:textId="77777777" w:rsidTr="00117315">
        <w:tblPrEx>
          <w:tblCellMar>
            <w:top w:w="15" w:type="dxa"/>
            <w:bottom w:w="15" w:type="dxa"/>
          </w:tblCellMar>
          <w:tblLook w:val="04A0" w:firstRow="1" w:lastRow="0" w:firstColumn="1" w:lastColumn="0" w:noHBand="0" w:noVBand="1"/>
        </w:tblPrEx>
        <w:trPr>
          <w:cantSplit/>
          <w:trHeight w:val="20"/>
        </w:trPr>
        <w:tc>
          <w:tcPr>
            <w:tcW w:w="9017" w:type="dxa"/>
            <w:gridSpan w:val="8"/>
          </w:tcPr>
          <w:p w14:paraId="6A315732" w14:textId="77777777" w:rsidR="00A35F1C" w:rsidRPr="00480790" w:rsidRDefault="00A35F1C">
            <w:pPr>
              <w:keepLines/>
              <w:rPr>
                <w:rFonts w:ascii="Arial Narrow" w:hAnsi="Arial Narrow"/>
                <w:b/>
                <w:bCs/>
                <w:sz w:val="20"/>
                <w:szCs w:val="20"/>
              </w:rPr>
            </w:pPr>
          </w:p>
        </w:tc>
      </w:tr>
      <w:tr w:rsidR="00AB01EA" w:rsidRPr="00480790" w14:paraId="093A39C4" w14:textId="77777777" w:rsidTr="00117315">
        <w:tblPrEx>
          <w:tblCellMar>
            <w:top w:w="15" w:type="dxa"/>
            <w:bottom w:w="15" w:type="dxa"/>
          </w:tblCellMar>
          <w:tblLook w:val="04A0" w:firstRow="1" w:lastRow="0" w:firstColumn="1" w:lastColumn="0" w:noHBand="0" w:noVBand="1"/>
        </w:tblPrEx>
        <w:trPr>
          <w:cantSplit/>
          <w:trHeight w:val="20"/>
        </w:trPr>
        <w:tc>
          <w:tcPr>
            <w:tcW w:w="9017" w:type="dxa"/>
            <w:gridSpan w:val="8"/>
          </w:tcPr>
          <w:p w14:paraId="26403B93" w14:textId="593AFE8D" w:rsidR="003E7A00" w:rsidRPr="00480790" w:rsidRDefault="003E7A00">
            <w:pPr>
              <w:keepLines/>
              <w:rPr>
                <w:rFonts w:ascii="Arial Narrow" w:hAnsi="Arial Narrow"/>
                <w:b/>
                <w:bCs/>
                <w:sz w:val="20"/>
                <w:szCs w:val="20"/>
              </w:rPr>
            </w:pPr>
            <w:r w:rsidRPr="00480790">
              <w:rPr>
                <w:rFonts w:ascii="Arial Narrow" w:hAnsi="Arial Narrow"/>
                <w:b/>
                <w:bCs/>
                <w:sz w:val="20"/>
                <w:szCs w:val="20"/>
              </w:rPr>
              <w:t xml:space="preserve">Restriction Summary / Treatment of Concept: </w:t>
            </w:r>
          </w:p>
        </w:tc>
      </w:tr>
      <w:tr w:rsidR="00AB01EA" w:rsidRPr="00480790" w14:paraId="40AD3FFB"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19C6D2FF" w14:textId="4744433C" w:rsidR="003E7A00" w:rsidRPr="00480790" w:rsidRDefault="003E7A00">
            <w:pPr>
              <w:keepLines/>
              <w:jc w:val="center"/>
              <w:rPr>
                <w:rFonts w:ascii="Arial Narrow" w:hAnsi="Arial Narrow"/>
                <w:sz w:val="20"/>
                <w:szCs w:val="20"/>
              </w:rPr>
            </w:pPr>
          </w:p>
        </w:tc>
        <w:tc>
          <w:tcPr>
            <w:tcW w:w="7745" w:type="dxa"/>
            <w:gridSpan w:val="6"/>
          </w:tcPr>
          <w:p w14:paraId="7B993C5A" w14:textId="77777777" w:rsidR="003E7A00" w:rsidRPr="00480790" w:rsidRDefault="003E7A00">
            <w:pPr>
              <w:pStyle w:val="NormalWeb"/>
              <w:spacing w:before="0" w:after="0"/>
              <w:textAlignment w:val="baseline"/>
              <w:rPr>
                <w:rFonts w:ascii="Arial Narrow" w:hAnsi="Arial Narrow"/>
                <w:sz w:val="20"/>
                <w:szCs w:val="20"/>
                <w:lang w:val="en-AU"/>
              </w:rPr>
            </w:pPr>
            <w:r w:rsidRPr="00480790">
              <w:rPr>
                <w:rStyle w:val="Strong"/>
                <w:rFonts w:ascii="Arial Narrow" w:hAnsi="Arial Narrow" w:cs="Open Sans"/>
                <w:sz w:val="20"/>
                <w:szCs w:val="20"/>
                <w:bdr w:val="none" w:sz="0" w:space="0" w:color="auto" w:frame="1"/>
                <w:lang w:val="en-AU"/>
              </w:rPr>
              <w:t xml:space="preserve">Indication: </w:t>
            </w:r>
            <w:r w:rsidRPr="00480790">
              <w:rPr>
                <w:rFonts w:ascii="Arial Narrow" w:hAnsi="Arial Narrow" w:cs="Open Sans"/>
                <w:sz w:val="20"/>
                <w:szCs w:val="20"/>
                <w:lang w:val="en-AU"/>
              </w:rPr>
              <w:t>Stage IIIB (locally advanced) or Stage IV (metastatic) non-small cell lung cancer (NSCLC)</w:t>
            </w:r>
          </w:p>
        </w:tc>
      </w:tr>
      <w:tr w:rsidR="00AB01EA" w:rsidRPr="00480790" w14:paraId="4F9C0FF6"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517C609E" w14:textId="77777777" w:rsidR="003E7A00" w:rsidRPr="00480790" w:rsidRDefault="003E7A00">
            <w:pPr>
              <w:keepLines/>
              <w:jc w:val="center"/>
              <w:rPr>
                <w:rFonts w:ascii="Arial Narrow" w:hAnsi="Arial Narrow"/>
                <w:sz w:val="20"/>
                <w:szCs w:val="20"/>
              </w:rPr>
            </w:pPr>
          </w:p>
        </w:tc>
        <w:tc>
          <w:tcPr>
            <w:tcW w:w="7745" w:type="dxa"/>
            <w:gridSpan w:val="6"/>
          </w:tcPr>
          <w:p w14:paraId="2B935E79" w14:textId="77777777" w:rsidR="003E7A00" w:rsidRPr="00480790" w:rsidRDefault="003E7A00">
            <w:pPr>
              <w:pStyle w:val="NormalWeb"/>
              <w:spacing w:before="0" w:after="0"/>
              <w:textAlignment w:val="baseline"/>
              <w:rPr>
                <w:rFonts w:ascii="Arial Narrow" w:hAnsi="Arial Narrow"/>
                <w:sz w:val="20"/>
                <w:szCs w:val="20"/>
                <w:lang w:val="en-AU"/>
              </w:rPr>
            </w:pPr>
            <w:r w:rsidRPr="00480790">
              <w:rPr>
                <w:rStyle w:val="Strong"/>
                <w:rFonts w:ascii="Arial Narrow" w:hAnsi="Arial Narrow" w:cs="Open Sans"/>
                <w:sz w:val="20"/>
                <w:szCs w:val="20"/>
                <w:bdr w:val="none" w:sz="0" w:space="0" w:color="auto" w:frame="1"/>
                <w:lang w:val="en-AU"/>
              </w:rPr>
              <w:t xml:space="preserve">Treatment Phase: </w:t>
            </w:r>
            <w:r w:rsidRPr="00480790">
              <w:rPr>
                <w:rFonts w:ascii="Arial Narrow" w:hAnsi="Arial Narrow" w:cs="Open Sans"/>
                <w:sz w:val="20"/>
                <w:szCs w:val="20"/>
                <w:lang w:val="en-AU"/>
              </w:rPr>
              <w:t>Continuing treatment</w:t>
            </w:r>
          </w:p>
        </w:tc>
      </w:tr>
      <w:tr w:rsidR="00AB01EA" w:rsidRPr="00480790" w14:paraId="38D2B454"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311D3F90" w14:textId="20D430BC" w:rsidR="003E7A00" w:rsidRPr="00480790" w:rsidRDefault="003E7A00">
            <w:pPr>
              <w:keepLines/>
              <w:jc w:val="center"/>
              <w:rPr>
                <w:rFonts w:ascii="Arial Narrow" w:hAnsi="Arial Narrow"/>
                <w:strike/>
                <w:sz w:val="20"/>
                <w:szCs w:val="20"/>
              </w:rPr>
            </w:pPr>
          </w:p>
        </w:tc>
        <w:tc>
          <w:tcPr>
            <w:tcW w:w="7745" w:type="dxa"/>
            <w:gridSpan w:val="6"/>
          </w:tcPr>
          <w:p w14:paraId="4A1C4011" w14:textId="77777777" w:rsidR="003E7A00" w:rsidRPr="00480790" w:rsidRDefault="003E7A00">
            <w:pPr>
              <w:keepLines/>
              <w:rPr>
                <w:rFonts w:ascii="Arial Narrow" w:hAnsi="Arial Narrow"/>
                <w:strike/>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7F397067"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065CC06D" w14:textId="075E7145" w:rsidR="003E7A00" w:rsidRPr="00480790" w:rsidRDefault="003E7A00">
            <w:pPr>
              <w:keepLines/>
              <w:jc w:val="center"/>
              <w:rPr>
                <w:rFonts w:ascii="Arial Narrow" w:hAnsi="Arial Narrow"/>
                <w:strike/>
                <w:sz w:val="20"/>
                <w:szCs w:val="20"/>
              </w:rPr>
            </w:pPr>
          </w:p>
        </w:tc>
        <w:tc>
          <w:tcPr>
            <w:tcW w:w="7745" w:type="dxa"/>
            <w:gridSpan w:val="6"/>
          </w:tcPr>
          <w:p w14:paraId="2F4EDB22" w14:textId="77777777" w:rsidR="003E7A00" w:rsidRPr="00480790" w:rsidRDefault="003E7A00">
            <w:pPr>
              <w:keepLines/>
              <w:rPr>
                <w:rFonts w:ascii="Arial Narrow" w:hAnsi="Arial Narrow"/>
                <w:strike/>
                <w:sz w:val="20"/>
                <w:szCs w:val="20"/>
              </w:rPr>
            </w:pPr>
            <w:r w:rsidRPr="00480790">
              <w:rPr>
                <w:rFonts w:ascii="Arial Narrow" w:hAnsi="Arial Narrow" w:cs="Open Sans"/>
                <w:sz w:val="20"/>
                <w:szCs w:val="20"/>
              </w:rPr>
              <w:t>The treatment must be the sole PBS-subsidised systemic anti-cancer therapy for this condition</w:t>
            </w:r>
          </w:p>
        </w:tc>
      </w:tr>
      <w:tr w:rsidR="00AB01EA" w:rsidRPr="00480790" w14:paraId="23DD9BE2"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599A2371" w14:textId="77777777" w:rsidR="003E7A00" w:rsidRPr="00480790" w:rsidRDefault="003E7A00">
            <w:pPr>
              <w:keepLines/>
              <w:jc w:val="center"/>
              <w:rPr>
                <w:rFonts w:ascii="Arial Narrow" w:hAnsi="Arial Narrow"/>
                <w:strike/>
                <w:sz w:val="20"/>
                <w:szCs w:val="20"/>
              </w:rPr>
            </w:pPr>
          </w:p>
        </w:tc>
        <w:tc>
          <w:tcPr>
            <w:tcW w:w="7745" w:type="dxa"/>
            <w:gridSpan w:val="6"/>
          </w:tcPr>
          <w:p w14:paraId="094E81FE" w14:textId="77777777" w:rsidR="003E7A00" w:rsidRPr="00480790" w:rsidRDefault="003E7A00">
            <w:pPr>
              <w:keepLines/>
              <w:rPr>
                <w:rFonts w:ascii="Arial Narrow" w:hAnsi="Arial Narrow"/>
                <w:strike/>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56F7022B"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07B1DFD5" w14:textId="4D2C16CB" w:rsidR="003E7A00" w:rsidRPr="00480790" w:rsidRDefault="003E7A00">
            <w:pPr>
              <w:keepLines/>
              <w:jc w:val="center"/>
              <w:rPr>
                <w:rFonts w:ascii="Arial Narrow" w:hAnsi="Arial Narrow"/>
                <w:sz w:val="20"/>
                <w:szCs w:val="20"/>
              </w:rPr>
            </w:pPr>
          </w:p>
        </w:tc>
        <w:tc>
          <w:tcPr>
            <w:tcW w:w="7745" w:type="dxa"/>
            <w:gridSpan w:val="6"/>
          </w:tcPr>
          <w:p w14:paraId="4DE4A0BB" w14:textId="77777777" w:rsidR="003E7A00" w:rsidRPr="00480790" w:rsidRDefault="003E7A00">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028EF0F6"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5D1B1C76" w14:textId="2F734276" w:rsidR="003E7A00" w:rsidRPr="00480790" w:rsidRDefault="003E7A00">
            <w:pPr>
              <w:keepLines/>
              <w:jc w:val="center"/>
              <w:rPr>
                <w:rFonts w:ascii="Arial Narrow" w:hAnsi="Arial Narrow"/>
                <w:sz w:val="20"/>
                <w:szCs w:val="20"/>
              </w:rPr>
            </w:pPr>
          </w:p>
        </w:tc>
        <w:tc>
          <w:tcPr>
            <w:tcW w:w="7745" w:type="dxa"/>
            <w:gridSpan w:val="6"/>
          </w:tcPr>
          <w:p w14:paraId="741FC9D5" w14:textId="77777777" w:rsidR="003E7A00" w:rsidRPr="00480790" w:rsidRDefault="003E7A00">
            <w:pPr>
              <w:keepLines/>
              <w:rPr>
                <w:rFonts w:ascii="Arial Narrow" w:hAnsi="Arial Narrow"/>
                <w:sz w:val="20"/>
                <w:szCs w:val="20"/>
              </w:rPr>
            </w:pPr>
            <w:r w:rsidRPr="00480790">
              <w:rPr>
                <w:rFonts w:ascii="Arial Narrow" w:hAnsi="Arial Narrow" w:cs="Open Sans"/>
                <w:sz w:val="20"/>
                <w:szCs w:val="20"/>
              </w:rPr>
              <w:t xml:space="preserve">Patient must have previously received PBS-subsidised treatment with this drug for this </w:t>
            </w:r>
            <w:r w:rsidRPr="00480790">
              <w:rPr>
                <w:rFonts w:ascii="Arial Narrow" w:hAnsi="Arial Narrow" w:cs="Open Sans"/>
                <w:strike/>
                <w:sz w:val="20"/>
                <w:szCs w:val="20"/>
              </w:rPr>
              <w:t xml:space="preserve">condition </w:t>
            </w:r>
            <w:r w:rsidRPr="00480790">
              <w:rPr>
                <w:rFonts w:ascii="Arial Narrow" w:hAnsi="Arial Narrow" w:cs="Open Sans"/>
                <w:i/>
                <w:iCs/>
                <w:sz w:val="20"/>
                <w:szCs w:val="20"/>
              </w:rPr>
              <w:t>indication</w:t>
            </w:r>
          </w:p>
        </w:tc>
      </w:tr>
      <w:tr w:rsidR="00AB01EA" w:rsidRPr="00480790" w14:paraId="6638FE86"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40BEB528" w14:textId="77777777" w:rsidR="003E7A00" w:rsidRPr="00480790" w:rsidRDefault="003E7A00">
            <w:pPr>
              <w:keepLines/>
              <w:jc w:val="center"/>
              <w:rPr>
                <w:rFonts w:ascii="Arial Narrow" w:hAnsi="Arial Narrow"/>
                <w:sz w:val="20"/>
                <w:szCs w:val="20"/>
              </w:rPr>
            </w:pPr>
          </w:p>
        </w:tc>
        <w:tc>
          <w:tcPr>
            <w:tcW w:w="7745" w:type="dxa"/>
            <w:gridSpan w:val="6"/>
          </w:tcPr>
          <w:p w14:paraId="6F388451" w14:textId="77777777" w:rsidR="003E7A00" w:rsidRPr="00480790" w:rsidRDefault="003E7A00">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249685D2"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3389587C" w14:textId="73C9851A" w:rsidR="003E7A00" w:rsidRPr="00480790" w:rsidRDefault="003E7A00">
            <w:pPr>
              <w:keepLines/>
              <w:jc w:val="center"/>
              <w:rPr>
                <w:rFonts w:ascii="Arial Narrow" w:hAnsi="Arial Narrow"/>
                <w:sz w:val="20"/>
                <w:szCs w:val="20"/>
              </w:rPr>
            </w:pPr>
          </w:p>
        </w:tc>
        <w:tc>
          <w:tcPr>
            <w:tcW w:w="7745" w:type="dxa"/>
            <w:gridSpan w:val="6"/>
          </w:tcPr>
          <w:p w14:paraId="371465EA" w14:textId="77777777" w:rsidR="003E7A00" w:rsidRPr="00480790" w:rsidRDefault="003E7A00">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0D16B33B"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3D988B87" w14:textId="1504274A" w:rsidR="003E7A00" w:rsidRPr="00480790" w:rsidRDefault="003E7A00">
            <w:pPr>
              <w:keepLines/>
              <w:jc w:val="center"/>
              <w:rPr>
                <w:rFonts w:ascii="Arial Narrow" w:hAnsi="Arial Narrow"/>
                <w:sz w:val="20"/>
                <w:szCs w:val="20"/>
              </w:rPr>
            </w:pPr>
          </w:p>
        </w:tc>
        <w:tc>
          <w:tcPr>
            <w:tcW w:w="7745" w:type="dxa"/>
            <w:gridSpan w:val="6"/>
          </w:tcPr>
          <w:p w14:paraId="202D8366" w14:textId="77777777" w:rsidR="003E7A00" w:rsidRPr="00480790" w:rsidRDefault="003E7A00">
            <w:pPr>
              <w:keepLines/>
              <w:rPr>
                <w:rFonts w:ascii="Arial Narrow" w:hAnsi="Arial Narrow"/>
                <w:b/>
                <w:bCs/>
                <w:sz w:val="20"/>
                <w:szCs w:val="20"/>
              </w:rPr>
            </w:pPr>
            <w:r w:rsidRPr="00480790">
              <w:rPr>
                <w:rFonts w:ascii="Arial Narrow" w:hAnsi="Arial Narrow" w:cs="Open Sans"/>
                <w:sz w:val="20"/>
                <w:szCs w:val="20"/>
              </w:rPr>
              <w:t>Patient must not develop disease progression while receiving PBS-subsidised treatment with this drug for this condition</w:t>
            </w:r>
          </w:p>
        </w:tc>
      </w:tr>
      <w:tr w:rsidR="00AB01EA" w:rsidRPr="00480790" w14:paraId="4DE255D0" w14:textId="77777777" w:rsidTr="00117315">
        <w:tblPrEx>
          <w:tblCellMar>
            <w:top w:w="15" w:type="dxa"/>
            <w:bottom w:w="15" w:type="dxa"/>
          </w:tblCellMar>
          <w:tblLook w:val="04A0" w:firstRow="1" w:lastRow="0" w:firstColumn="1" w:lastColumn="0" w:noHBand="0" w:noVBand="1"/>
        </w:tblPrEx>
        <w:trPr>
          <w:cantSplit/>
          <w:trHeight w:val="20"/>
        </w:trPr>
        <w:tc>
          <w:tcPr>
            <w:tcW w:w="1272" w:type="dxa"/>
            <w:gridSpan w:val="2"/>
          </w:tcPr>
          <w:p w14:paraId="3AE68360" w14:textId="5B640AA3" w:rsidR="003E7A00" w:rsidRPr="00480790" w:rsidRDefault="003E7A00">
            <w:pPr>
              <w:keepLines/>
              <w:jc w:val="center"/>
              <w:rPr>
                <w:rFonts w:ascii="Arial Narrow" w:hAnsi="Arial Narrow" w:cs="Open Sans"/>
                <w:sz w:val="20"/>
                <w:szCs w:val="20"/>
              </w:rPr>
            </w:pPr>
          </w:p>
        </w:tc>
        <w:tc>
          <w:tcPr>
            <w:tcW w:w="7745" w:type="dxa"/>
            <w:gridSpan w:val="6"/>
          </w:tcPr>
          <w:p w14:paraId="384AC268" w14:textId="77777777" w:rsidR="003E7A00" w:rsidRPr="00480790" w:rsidRDefault="003E7A00">
            <w:pPr>
              <w:keepLines/>
              <w:rPr>
                <w:rFonts w:ascii="Arial Narrow" w:hAnsi="Arial Narrow" w:cs="Open Sans"/>
                <w:sz w:val="20"/>
                <w:szCs w:val="20"/>
              </w:rPr>
            </w:pPr>
            <w:r w:rsidRPr="00480790">
              <w:rPr>
                <w:rFonts w:ascii="Arial Narrow" w:hAnsi="Arial Narrow" w:cs="Open Sans"/>
                <w:b/>
                <w:bCs/>
                <w:sz w:val="20"/>
                <w:szCs w:val="20"/>
              </w:rPr>
              <w:t>Administrative Advice:</w:t>
            </w:r>
          </w:p>
          <w:p w14:paraId="2710E307" w14:textId="77777777" w:rsidR="003E7A00" w:rsidRPr="00480790" w:rsidRDefault="003E7A00">
            <w:pPr>
              <w:keepLines/>
              <w:rPr>
                <w:rFonts w:ascii="Arial Narrow" w:hAnsi="Arial Narrow" w:cs="Open Sans"/>
                <w:sz w:val="20"/>
                <w:szCs w:val="20"/>
              </w:rPr>
            </w:pPr>
            <w:r w:rsidRPr="00480790">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4A4C7F9E" w14:textId="77777777" w:rsidR="00E47005" w:rsidRPr="00480790" w:rsidRDefault="00E47005" w:rsidP="00E47005">
      <w:pPr>
        <w:rPr>
          <w:snapToGrid w:val="0"/>
          <w:lang w:eastAsia="en-US"/>
        </w:rPr>
      </w:pPr>
    </w:p>
    <w:p w14:paraId="3918DC87" w14:textId="3E5126DB" w:rsidR="00117315" w:rsidRPr="00480790" w:rsidRDefault="00117315" w:rsidP="00700D66">
      <w:pPr>
        <w:pStyle w:val="Heading2"/>
        <w:widowControl w:val="0"/>
        <w:ind w:left="720" w:hanging="720"/>
        <w:jc w:val="left"/>
        <w:rPr>
          <w:bCs/>
          <w:i w:val="0"/>
          <w:snapToGrid w:val="0"/>
          <w:sz w:val="26"/>
          <w:szCs w:val="28"/>
          <w:lang w:eastAsia="en-US"/>
        </w:rPr>
      </w:pPr>
      <w:r w:rsidRPr="00480790">
        <w:rPr>
          <w:bCs/>
          <w:i w:val="0"/>
          <w:snapToGrid w:val="0"/>
          <w:sz w:val="26"/>
          <w:szCs w:val="28"/>
          <w:lang w:eastAsia="en-US"/>
        </w:rPr>
        <w:t>Lorlatinib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126"/>
        <w:gridCol w:w="993"/>
        <w:gridCol w:w="992"/>
        <w:gridCol w:w="991"/>
        <w:gridCol w:w="812"/>
        <w:gridCol w:w="1831"/>
      </w:tblGrid>
      <w:tr w:rsidR="00AB01EA" w:rsidRPr="00480790" w14:paraId="4F9BD8BF" w14:textId="77777777" w:rsidTr="00A35F1C">
        <w:trPr>
          <w:cantSplit/>
          <w:trHeight w:val="20"/>
        </w:trPr>
        <w:tc>
          <w:tcPr>
            <w:tcW w:w="3398" w:type="dxa"/>
            <w:gridSpan w:val="3"/>
            <w:vAlign w:val="center"/>
          </w:tcPr>
          <w:p w14:paraId="1CF0A418" w14:textId="77777777" w:rsidR="00104D61" w:rsidRPr="00480790" w:rsidRDefault="00104D61">
            <w:pPr>
              <w:keepLines/>
              <w:rPr>
                <w:rFonts w:ascii="Arial Narrow" w:hAnsi="Arial Narrow"/>
                <w:b/>
                <w:bCs/>
                <w:sz w:val="20"/>
                <w:szCs w:val="20"/>
              </w:rPr>
            </w:pPr>
            <w:r w:rsidRPr="00480790">
              <w:rPr>
                <w:rFonts w:ascii="Arial Narrow" w:hAnsi="Arial Narrow"/>
                <w:b/>
                <w:bCs/>
                <w:sz w:val="20"/>
                <w:szCs w:val="20"/>
              </w:rPr>
              <w:t>MEDICINAL PRODUCT</w:t>
            </w:r>
          </w:p>
          <w:p w14:paraId="56D3FB3E" w14:textId="77777777" w:rsidR="00104D61" w:rsidRPr="00480790" w:rsidRDefault="00104D61">
            <w:pPr>
              <w:keepLines/>
              <w:rPr>
                <w:rFonts w:ascii="Arial Narrow" w:hAnsi="Arial Narrow"/>
                <w:b/>
                <w:sz w:val="20"/>
                <w:szCs w:val="20"/>
              </w:rPr>
            </w:pPr>
            <w:r w:rsidRPr="00480790">
              <w:rPr>
                <w:rFonts w:ascii="Arial Narrow" w:hAnsi="Arial Narrow"/>
                <w:b/>
                <w:bCs/>
                <w:sz w:val="20"/>
                <w:szCs w:val="20"/>
              </w:rPr>
              <w:t>medicinal product pack</w:t>
            </w:r>
          </w:p>
        </w:tc>
        <w:tc>
          <w:tcPr>
            <w:tcW w:w="993" w:type="dxa"/>
            <w:vAlign w:val="center"/>
          </w:tcPr>
          <w:p w14:paraId="1D5A6127" w14:textId="77777777" w:rsidR="00104D61" w:rsidRPr="00480790" w:rsidRDefault="00104D61">
            <w:pPr>
              <w:keepLines/>
              <w:jc w:val="center"/>
              <w:rPr>
                <w:rFonts w:ascii="Arial Narrow" w:hAnsi="Arial Narrow"/>
                <w:b/>
                <w:sz w:val="20"/>
                <w:szCs w:val="20"/>
              </w:rPr>
            </w:pPr>
            <w:r w:rsidRPr="00480790">
              <w:rPr>
                <w:rFonts w:ascii="Arial Narrow" w:hAnsi="Arial Narrow"/>
                <w:b/>
                <w:sz w:val="20"/>
                <w:szCs w:val="20"/>
              </w:rPr>
              <w:t>PBS item code</w:t>
            </w:r>
          </w:p>
        </w:tc>
        <w:tc>
          <w:tcPr>
            <w:tcW w:w="992" w:type="dxa"/>
            <w:vAlign w:val="center"/>
          </w:tcPr>
          <w:p w14:paraId="2F4DD0AA" w14:textId="77777777" w:rsidR="00104D61" w:rsidRPr="00480790" w:rsidRDefault="00104D61">
            <w:pPr>
              <w:keepLines/>
              <w:jc w:val="center"/>
              <w:rPr>
                <w:rFonts w:ascii="Arial Narrow" w:hAnsi="Arial Narrow"/>
                <w:b/>
                <w:sz w:val="20"/>
                <w:szCs w:val="20"/>
              </w:rPr>
            </w:pPr>
            <w:r w:rsidRPr="00480790">
              <w:rPr>
                <w:rFonts w:ascii="Arial Narrow" w:hAnsi="Arial Narrow"/>
                <w:b/>
                <w:sz w:val="20"/>
                <w:szCs w:val="20"/>
              </w:rPr>
              <w:t>Max. qty packs</w:t>
            </w:r>
          </w:p>
        </w:tc>
        <w:tc>
          <w:tcPr>
            <w:tcW w:w="991" w:type="dxa"/>
            <w:vAlign w:val="center"/>
          </w:tcPr>
          <w:p w14:paraId="574AC5C6" w14:textId="77777777" w:rsidR="00104D61" w:rsidRPr="00480790" w:rsidRDefault="00104D61">
            <w:pPr>
              <w:keepLines/>
              <w:jc w:val="center"/>
              <w:rPr>
                <w:rFonts w:ascii="Arial Narrow" w:hAnsi="Arial Narrow"/>
                <w:b/>
                <w:sz w:val="20"/>
                <w:szCs w:val="20"/>
              </w:rPr>
            </w:pPr>
            <w:r w:rsidRPr="00480790">
              <w:rPr>
                <w:rFonts w:ascii="Arial Narrow" w:hAnsi="Arial Narrow"/>
                <w:b/>
                <w:sz w:val="20"/>
                <w:szCs w:val="20"/>
              </w:rPr>
              <w:t>Max. qty units</w:t>
            </w:r>
          </w:p>
        </w:tc>
        <w:tc>
          <w:tcPr>
            <w:tcW w:w="812" w:type="dxa"/>
            <w:vAlign w:val="center"/>
          </w:tcPr>
          <w:p w14:paraId="6A9229B9" w14:textId="77777777" w:rsidR="00104D61" w:rsidRPr="00480790" w:rsidRDefault="00104D61">
            <w:pPr>
              <w:keepLines/>
              <w:jc w:val="center"/>
              <w:rPr>
                <w:rFonts w:ascii="Arial Narrow" w:hAnsi="Arial Narrow"/>
                <w:b/>
                <w:bCs/>
                <w:sz w:val="20"/>
                <w:szCs w:val="20"/>
              </w:rPr>
            </w:pPr>
            <w:r w:rsidRPr="00480790">
              <w:rPr>
                <w:rFonts w:ascii="Arial Narrow" w:hAnsi="Arial Narrow"/>
                <w:b/>
                <w:bCs/>
                <w:sz w:val="20"/>
                <w:szCs w:val="20"/>
              </w:rPr>
              <w:t>№.of</w:t>
            </w:r>
          </w:p>
          <w:p w14:paraId="04579486" w14:textId="77777777" w:rsidR="00104D61" w:rsidRPr="00480790" w:rsidRDefault="00104D61">
            <w:pPr>
              <w:keepLines/>
              <w:jc w:val="center"/>
              <w:rPr>
                <w:rFonts w:ascii="Arial Narrow" w:hAnsi="Arial Narrow"/>
                <w:b/>
                <w:bCs/>
                <w:sz w:val="20"/>
                <w:szCs w:val="20"/>
              </w:rPr>
            </w:pPr>
            <w:r w:rsidRPr="00480790">
              <w:rPr>
                <w:rFonts w:ascii="Arial Narrow" w:hAnsi="Arial Narrow"/>
                <w:b/>
                <w:bCs/>
                <w:sz w:val="20"/>
                <w:szCs w:val="20"/>
              </w:rPr>
              <w:t>Rpts</w:t>
            </w:r>
          </w:p>
        </w:tc>
        <w:tc>
          <w:tcPr>
            <w:tcW w:w="1831" w:type="dxa"/>
            <w:vAlign w:val="center"/>
          </w:tcPr>
          <w:p w14:paraId="2EE984E4" w14:textId="77777777" w:rsidR="00104D61" w:rsidRPr="00480790" w:rsidRDefault="00104D61">
            <w:pPr>
              <w:keepLines/>
              <w:rPr>
                <w:rFonts w:ascii="Arial Narrow" w:hAnsi="Arial Narrow"/>
                <w:b/>
                <w:sz w:val="20"/>
                <w:szCs w:val="20"/>
              </w:rPr>
            </w:pPr>
            <w:r w:rsidRPr="00480790">
              <w:rPr>
                <w:rFonts w:ascii="Arial Narrow" w:hAnsi="Arial Narrow"/>
                <w:b/>
                <w:sz w:val="20"/>
                <w:szCs w:val="20"/>
              </w:rPr>
              <w:t>Available brands</w:t>
            </w:r>
          </w:p>
        </w:tc>
      </w:tr>
      <w:tr w:rsidR="00AB01EA" w:rsidRPr="00480790" w14:paraId="5B49D4B6" w14:textId="77777777" w:rsidTr="00A35F1C">
        <w:trPr>
          <w:cantSplit/>
          <w:trHeight w:val="20"/>
        </w:trPr>
        <w:tc>
          <w:tcPr>
            <w:tcW w:w="9017" w:type="dxa"/>
            <w:gridSpan w:val="8"/>
            <w:vAlign w:val="center"/>
          </w:tcPr>
          <w:p w14:paraId="28D700E3" w14:textId="77777777" w:rsidR="00104D61" w:rsidRPr="00480790" w:rsidRDefault="00104D61">
            <w:pPr>
              <w:keepLines/>
              <w:rPr>
                <w:rFonts w:ascii="Arial Narrow" w:hAnsi="Arial Narrow"/>
                <w:sz w:val="20"/>
                <w:szCs w:val="20"/>
              </w:rPr>
            </w:pPr>
            <w:r w:rsidRPr="00480790">
              <w:rPr>
                <w:rFonts w:ascii="Arial Narrow" w:hAnsi="Arial Narrow"/>
                <w:sz w:val="20"/>
                <w:szCs w:val="20"/>
              </w:rPr>
              <w:t>LORLATINIB</w:t>
            </w:r>
          </w:p>
        </w:tc>
      </w:tr>
      <w:tr w:rsidR="00AB01EA" w:rsidRPr="00480790" w14:paraId="3FC305A6" w14:textId="77777777" w:rsidTr="00A35F1C">
        <w:trPr>
          <w:cantSplit/>
          <w:trHeight w:val="20"/>
        </w:trPr>
        <w:tc>
          <w:tcPr>
            <w:tcW w:w="3398" w:type="dxa"/>
            <w:gridSpan w:val="3"/>
            <w:vAlign w:val="center"/>
          </w:tcPr>
          <w:p w14:paraId="3A723890" w14:textId="77777777" w:rsidR="00104D61" w:rsidRPr="00480790" w:rsidRDefault="00104D61">
            <w:pPr>
              <w:keepLines/>
              <w:rPr>
                <w:rFonts w:ascii="Arial Narrow" w:hAnsi="Arial Narrow"/>
                <w:sz w:val="20"/>
                <w:szCs w:val="20"/>
              </w:rPr>
            </w:pPr>
            <w:r w:rsidRPr="00480790">
              <w:rPr>
                <w:rFonts w:ascii="Arial Narrow" w:hAnsi="Arial Narrow"/>
                <w:sz w:val="20"/>
                <w:szCs w:val="20"/>
              </w:rPr>
              <w:t>lorlatinib 25 mg tablet, 90</w:t>
            </w:r>
          </w:p>
        </w:tc>
        <w:tc>
          <w:tcPr>
            <w:tcW w:w="993" w:type="dxa"/>
            <w:vAlign w:val="center"/>
          </w:tcPr>
          <w:p w14:paraId="4AF0BC1C" w14:textId="77777777" w:rsidR="00104D61" w:rsidRPr="00480790" w:rsidRDefault="00104D61">
            <w:pPr>
              <w:keepLines/>
              <w:jc w:val="center"/>
              <w:rPr>
                <w:rFonts w:ascii="Arial Narrow" w:hAnsi="Arial Narrow"/>
                <w:sz w:val="20"/>
                <w:szCs w:val="20"/>
              </w:rPr>
            </w:pPr>
            <w:r w:rsidRPr="00480790">
              <w:rPr>
                <w:rFonts w:ascii="Arial Narrow" w:hAnsi="Arial Narrow"/>
                <w:sz w:val="20"/>
                <w:szCs w:val="20"/>
              </w:rPr>
              <w:t>12096P </w:t>
            </w:r>
          </w:p>
        </w:tc>
        <w:tc>
          <w:tcPr>
            <w:tcW w:w="992" w:type="dxa"/>
            <w:vAlign w:val="center"/>
          </w:tcPr>
          <w:p w14:paraId="106D692C" w14:textId="77777777" w:rsidR="00104D61" w:rsidRPr="00480790" w:rsidRDefault="00104D61">
            <w:pPr>
              <w:keepLines/>
              <w:jc w:val="center"/>
              <w:rPr>
                <w:rFonts w:ascii="Arial Narrow" w:hAnsi="Arial Narrow"/>
                <w:sz w:val="20"/>
                <w:szCs w:val="20"/>
              </w:rPr>
            </w:pPr>
            <w:r w:rsidRPr="00480790">
              <w:rPr>
                <w:rFonts w:ascii="Arial Narrow" w:hAnsi="Arial Narrow"/>
                <w:sz w:val="20"/>
                <w:szCs w:val="20"/>
              </w:rPr>
              <w:t>1</w:t>
            </w:r>
          </w:p>
        </w:tc>
        <w:tc>
          <w:tcPr>
            <w:tcW w:w="991" w:type="dxa"/>
            <w:vAlign w:val="center"/>
          </w:tcPr>
          <w:p w14:paraId="50687F25" w14:textId="77777777" w:rsidR="00104D61" w:rsidRPr="00480790" w:rsidRDefault="00104D61">
            <w:pPr>
              <w:keepLines/>
              <w:jc w:val="center"/>
              <w:rPr>
                <w:rFonts w:ascii="Arial Narrow" w:hAnsi="Arial Narrow"/>
                <w:sz w:val="20"/>
                <w:szCs w:val="20"/>
              </w:rPr>
            </w:pPr>
            <w:r w:rsidRPr="00480790">
              <w:rPr>
                <w:rFonts w:ascii="Arial Narrow" w:hAnsi="Arial Narrow"/>
                <w:sz w:val="20"/>
                <w:szCs w:val="20"/>
              </w:rPr>
              <w:t>90</w:t>
            </w:r>
          </w:p>
        </w:tc>
        <w:tc>
          <w:tcPr>
            <w:tcW w:w="812" w:type="dxa"/>
            <w:vAlign w:val="center"/>
          </w:tcPr>
          <w:p w14:paraId="53E29731" w14:textId="77777777" w:rsidR="00104D61" w:rsidRPr="00480790" w:rsidRDefault="00104D61">
            <w:pPr>
              <w:keepLines/>
              <w:jc w:val="center"/>
              <w:rPr>
                <w:rFonts w:ascii="Arial Narrow" w:hAnsi="Arial Narrow"/>
                <w:sz w:val="20"/>
                <w:szCs w:val="20"/>
              </w:rPr>
            </w:pPr>
            <w:r w:rsidRPr="00480790">
              <w:rPr>
                <w:rFonts w:ascii="Arial Narrow" w:hAnsi="Arial Narrow"/>
                <w:sz w:val="20"/>
                <w:szCs w:val="20"/>
              </w:rPr>
              <w:t>3</w:t>
            </w:r>
          </w:p>
        </w:tc>
        <w:tc>
          <w:tcPr>
            <w:tcW w:w="1831" w:type="dxa"/>
            <w:vAlign w:val="center"/>
          </w:tcPr>
          <w:p w14:paraId="36CF0A18" w14:textId="77777777" w:rsidR="00104D61" w:rsidRPr="00480790" w:rsidRDefault="00104D61">
            <w:pPr>
              <w:keepLines/>
              <w:rPr>
                <w:rFonts w:ascii="Arial Narrow" w:hAnsi="Arial Narrow"/>
                <w:sz w:val="20"/>
                <w:szCs w:val="20"/>
              </w:rPr>
            </w:pPr>
            <w:r w:rsidRPr="00480790">
              <w:rPr>
                <w:rFonts w:ascii="Arial Narrow" w:hAnsi="Arial Narrow"/>
                <w:sz w:val="20"/>
                <w:szCs w:val="20"/>
              </w:rPr>
              <w:t>Lorviqua</w:t>
            </w:r>
          </w:p>
        </w:tc>
      </w:tr>
      <w:tr w:rsidR="00AB01EA" w:rsidRPr="00480790" w14:paraId="1D999271" w14:textId="77777777" w:rsidTr="00A35F1C">
        <w:trPr>
          <w:cantSplit/>
          <w:trHeight w:val="20"/>
        </w:trPr>
        <w:tc>
          <w:tcPr>
            <w:tcW w:w="3398" w:type="dxa"/>
            <w:gridSpan w:val="3"/>
            <w:vAlign w:val="center"/>
          </w:tcPr>
          <w:p w14:paraId="37BC7D5C" w14:textId="77777777" w:rsidR="00104D61" w:rsidRPr="00480790" w:rsidRDefault="00104D61">
            <w:pPr>
              <w:keepLines/>
              <w:rPr>
                <w:rFonts w:ascii="Arial Narrow" w:hAnsi="Arial Narrow"/>
                <w:sz w:val="20"/>
                <w:szCs w:val="20"/>
              </w:rPr>
            </w:pPr>
            <w:r w:rsidRPr="00480790">
              <w:rPr>
                <w:rFonts w:ascii="Arial Narrow" w:hAnsi="Arial Narrow"/>
                <w:sz w:val="20"/>
                <w:szCs w:val="20"/>
              </w:rPr>
              <w:t>lorlatinib 100 mg tablet, 30</w:t>
            </w:r>
          </w:p>
        </w:tc>
        <w:tc>
          <w:tcPr>
            <w:tcW w:w="993" w:type="dxa"/>
            <w:vAlign w:val="center"/>
          </w:tcPr>
          <w:p w14:paraId="5521F3E9" w14:textId="77777777" w:rsidR="00104D61" w:rsidRPr="00480790" w:rsidRDefault="00104D61">
            <w:pPr>
              <w:keepLines/>
              <w:jc w:val="center"/>
              <w:rPr>
                <w:rFonts w:ascii="Arial Narrow" w:hAnsi="Arial Narrow"/>
                <w:sz w:val="20"/>
                <w:szCs w:val="20"/>
              </w:rPr>
            </w:pPr>
            <w:r w:rsidRPr="00480790">
              <w:rPr>
                <w:rFonts w:ascii="Arial Narrow" w:hAnsi="Arial Narrow"/>
                <w:sz w:val="20"/>
                <w:szCs w:val="20"/>
              </w:rPr>
              <w:t>12091J </w:t>
            </w:r>
          </w:p>
        </w:tc>
        <w:tc>
          <w:tcPr>
            <w:tcW w:w="992" w:type="dxa"/>
            <w:vAlign w:val="center"/>
          </w:tcPr>
          <w:p w14:paraId="1297020C" w14:textId="77777777" w:rsidR="00104D61" w:rsidRPr="00480790" w:rsidRDefault="00104D61">
            <w:pPr>
              <w:keepLines/>
              <w:jc w:val="center"/>
              <w:rPr>
                <w:rFonts w:ascii="Arial Narrow" w:hAnsi="Arial Narrow"/>
                <w:sz w:val="20"/>
                <w:szCs w:val="20"/>
              </w:rPr>
            </w:pPr>
            <w:r w:rsidRPr="00480790">
              <w:rPr>
                <w:rFonts w:ascii="Arial Narrow" w:hAnsi="Arial Narrow"/>
                <w:sz w:val="20"/>
                <w:szCs w:val="20"/>
              </w:rPr>
              <w:t>1</w:t>
            </w:r>
          </w:p>
        </w:tc>
        <w:tc>
          <w:tcPr>
            <w:tcW w:w="991" w:type="dxa"/>
            <w:vAlign w:val="center"/>
          </w:tcPr>
          <w:p w14:paraId="46363604" w14:textId="77777777" w:rsidR="00104D61" w:rsidRPr="00480790" w:rsidRDefault="00104D61">
            <w:pPr>
              <w:keepLines/>
              <w:jc w:val="center"/>
              <w:rPr>
                <w:rFonts w:ascii="Arial Narrow" w:hAnsi="Arial Narrow"/>
                <w:sz w:val="20"/>
                <w:szCs w:val="20"/>
              </w:rPr>
            </w:pPr>
            <w:r w:rsidRPr="00480790">
              <w:rPr>
                <w:rFonts w:ascii="Arial Narrow" w:hAnsi="Arial Narrow"/>
                <w:sz w:val="20"/>
                <w:szCs w:val="20"/>
              </w:rPr>
              <w:t>90</w:t>
            </w:r>
          </w:p>
        </w:tc>
        <w:tc>
          <w:tcPr>
            <w:tcW w:w="812" w:type="dxa"/>
            <w:vAlign w:val="center"/>
          </w:tcPr>
          <w:p w14:paraId="28C2FF03" w14:textId="77777777" w:rsidR="00104D61" w:rsidRPr="00480790" w:rsidRDefault="00104D61">
            <w:pPr>
              <w:keepLines/>
              <w:jc w:val="center"/>
              <w:rPr>
                <w:rFonts w:ascii="Arial Narrow" w:hAnsi="Arial Narrow"/>
                <w:sz w:val="20"/>
                <w:szCs w:val="20"/>
              </w:rPr>
            </w:pPr>
            <w:r w:rsidRPr="00480790">
              <w:rPr>
                <w:rFonts w:ascii="Arial Narrow" w:hAnsi="Arial Narrow"/>
                <w:sz w:val="20"/>
                <w:szCs w:val="20"/>
              </w:rPr>
              <w:t>3</w:t>
            </w:r>
          </w:p>
        </w:tc>
        <w:tc>
          <w:tcPr>
            <w:tcW w:w="1831" w:type="dxa"/>
            <w:vAlign w:val="center"/>
          </w:tcPr>
          <w:p w14:paraId="5BBDDB79" w14:textId="77777777" w:rsidR="00104D61" w:rsidRPr="00480790" w:rsidRDefault="00104D61">
            <w:pPr>
              <w:keepLines/>
              <w:rPr>
                <w:rFonts w:ascii="Arial Narrow" w:hAnsi="Arial Narrow"/>
                <w:sz w:val="20"/>
                <w:szCs w:val="20"/>
              </w:rPr>
            </w:pPr>
            <w:r w:rsidRPr="00480790">
              <w:rPr>
                <w:rFonts w:ascii="Arial Narrow" w:hAnsi="Arial Narrow"/>
                <w:sz w:val="20"/>
                <w:szCs w:val="20"/>
              </w:rPr>
              <w:t>Lorviqua</w:t>
            </w:r>
          </w:p>
        </w:tc>
      </w:tr>
      <w:tr w:rsidR="00AB01EA" w:rsidRPr="00480790" w14:paraId="691D53E4" w14:textId="77777777" w:rsidTr="00A35F1C">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2793B897" w14:textId="77777777" w:rsidR="00104D61" w:rsidRPr="00480790" w:rsidRDefault="00104D61">
            <w:pPr>
              <w:rPr>
                <w:rFonts w:ascii="Arial Narrow" w:hAnsi="Arial Narrow"/>
                <w:sz w:val="20"/>
                <w:szCs w:val="20"/>
              </w:rPr>
            </w:pPr>
          </w:p>
        </w:tc>
      </w:tr>
      <w:tr w:rsidR="00AB01EA" w:rsidRPr="00480790" w14:paraId="01D5EC53" w14:textId="77777777" w:rsidTr="00A35F1C">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25284645" w14:textId="1536970F" w:rsidR="00104D61" w:rsidRPr="00480790" w:rsidRDefault="00104D61">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51C82E3" w14:textId="77777777" w:rsidR="00104D61" w:rsidRPr="00480790" w:rsidRDefault="00104D61">
            <w:pPr>
              <w:keepLines/>
              <w:rPr>
                <w:rFonts w:ascii="Arial Narrow" w:hAnsi="Arial Narrow"/>
                <w:sz w:val="20"/>
                <w:szCs w:val="20"/>
              </w:rPr>
            </w:pPr>
            <w:r w:rsidRPr="00480790">
              <w:rPr>
                <w:rFonts w:ascii="Arial Narrow" w:hAnsi="Arial Narrow"/>
                <w:b/>
                <w:sz w:val="20"/>
                <w:szCs w:val="20"/>
              </w:rPr>
              <w:t>Category / Program:</w:t>
            </w:r>
            <w:r w:rsidRPr="00480790">
              <w:rPr>
                <w:rFonts w:ascii="Arial Narrow" w:hAnsi="Arial Narrow"/>
                <w:sz w:val="20"/>
                <w:szCs w:val="20"/>
              </w:rPr>
              <w:t xml:space="preserve"> </w:t>
            </w:r>
            <w:r w:rsidRPr="00480790">
              <w:rPr>
                <w:rFonts w:ascii="Arial Narrow" w:eastAsia="Calibri" w:hAnsi="Arial Narrow"/>
                <w:sz w:val="20"/>
                <w:szCs w:val="20"/>
              </w:rPr>
              <w:fldChar w:fldCharType="begin">
                <w:ffData>
                  <w:name w:val="Check1"/>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 xml:space="preserve"> GENERAL - General Schedule (Code GE) </w:t>
            </w:r>
          </w:p>
        </w:tc>
      </w:tr>
      <w:tr w:rsidR="00AB01EA" w:rsidRPr="00480790" w14:paraId="42A6D518" w14:textId="77777777" w:rsidTr="00A35F1C">
        <w:tblPrEx>
          <w:tblCellMar>
            <w:top w:w="15" w:type="dxa"/>
            <w:bottom w:w="15" w:type="dxa"/>
          </w:tblCellMar>
          <w:tblLook w:val="04A0" w:firstRow="1" w:lastRow="0" w:firstColumn="1" w:lastColumn="0" w:noHBand="0" w:noVBand="1"/>
        </w:tblPrEx>
        <w:trPr>
          <w:trHeight w:val="20"/>
        </w:trPr>
        <w:tc>
          <w:tcPr>
            <w:tcW w:w="1272" w:type="dxa"/>
            <w:gridSpan w:val="2"/>
            <w:vMerge/>
          </w:tcPr>
          <w:p w14:paraId="06D7E5ED" w14:textId="77777777" w:rsidR="00104D61" w:rsidRPr="00480790" w:rsidRDefault="00104D61">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39C6A4D" w14:textId="77777777" w:rsidR="00104D61" w:rsidRPr="00480790" w:rsidRDefault="00104D61">
            <w:pPr>
              <w:keepLines/>
              <w:rPr>
                <w:rFonts w:ascii="Arial Narrow" w:hAnsi="Arial Narrow"/>
                <w:b/>
                <w:sz w:val="20"/>
                <w:szCs w:val="20"/>
              </w:rPr>
            </w:pPr>
            <w:r w:rsidRPr="00480790">
              <w:rPr>
                <w:rFonts w:ascii="Arial Narrow" w:hAnsi="Arial Narrow"/>
                <w:b/>
                <w:sz w:val="20"/>
                <w:szCs w:val="20"/>
              </w:rPr>
              <w:t xml:space="preserve">Prescriber type: </w:t>
            </w:r>
            <w:r w:rsidRPr="00480790">
              <w:rPr>
                <w:rFonts w:ascii="Arial Narrow" w:hAnsi="Arial Narrow"/>
                <w:sz w:val="20"/>
                <w:szCs w:val="20"/>
              </w:rPr>
              <w:t xml:space="preserve"> </w:t>
            </w:r>
            <w:r w:rsidRPr="00480790">
              <w:rPr>
                <w:rFonts w:ascii="Arial Narrow" w:hAnsi="Arial Narrow"/>
                <w:sz w:val="20"/>
                <w:szCs w:val="20"/>
              </w:rPr>
              <w:fldChar w:fldCharType="begin">
                <w:ffData>
                  <w:name w:val=""/>
                  <w:enabled/>
                  <w:calcOnExit w:val="0"/>
                  <w:checkBox>
                    <w:sizeAuto/>
                    <w:default w:val="1"/>
                  </w:checkBox>
                </w:ffData>
              </w:fldChar>
            </w:r>
            <w:r w:rsidRPr="00480790">
              <w:rPr>
                <w:rFonts w:ascii="Arial Narrow" w:hAnsi="Arial Narrow"/>
                <w:sz w:val="20"/>
                <w:szCs w:val="20"/>
              </w:rPr>
              <w:instrText xml:space="preserve"> FORMCHECKBOX </w:instrText>
            </w:r>
            <w:r w:rsidRPr="00480790">
              <w:rPr>
                <w:rFonts w:ascii="Arial Narrow" w:hAnsi="Arial Narrow"/>
                <w:sz w:val="20"/>
                <w:szCs w:val="20"/>
              </w:rPr>
            </w:r>
            <w:r w:rsidRPr="00480790">
              <w:rPr>
                <w:rFonts w:ascii="Arial Narrow" w:hAnsi="Arial Narrow"/>
                <w:sz w:val="20"/>
                <w:szCs w:val="20"/>
              </w:rPr>
              <w:fldChar w:fldCharType="separate"/>
            </w:r>
            <w:r w:rsidRPr="00480790">
              <w:rPr>
                <w:rFonts w:ascii="Arial Narrow" w:hAnsi="Arial Narrow"/>
                <w:sz w:val="20"/>
                <w:szCs w:val="20"/>
              </w:rPr>
              <w:fldChar w:fldCharType="end"/>
            </w:r>
            <w:r w:rsidRPr="00480790">
              <w:rPr>
                <w:rFonts w:ascii="Arial Narrow" w:hAnsi="Arial Narrow"/>
                <w:sz w:val="20"/>
                <w:szCs w:val="20"/>
              </w:rPr>
              <w:t xml:space="preserve">Medical Practitioners </w:t>
            </w:r>
          </w:p>
        </w:tc>
      </w:tr>
      <w:tr w:rsidR="00AB01EA" w:rsidRPr="00480790" w14:paraId="0B1058E4" w14:textId="77777777" w:rsidTr="00A35F1C">
        <w:tblPrEx>
          <w:tblCellMar>
            <w:top w:w="15" w:type="dxa"/>
            <w:bottom w:w="15" w:type="dxa"/>
          </w:tblCellMar>
          <w:tblLook w:val="04A0" w:firstRow="1" w:lastRow="0" w:firstColumn="1" w:lastColumn="0" w:noHBand="0" w:noVBand="1"/>
        </w:tblPrEx>
        <w:trPr>
          <w:trHeight w:val="20"/>
        </w:trPr>
        <w:tc>
          <w:tcPr>
            <w:tcW w:w="488" w:type="dxa"/>
            <w:vMerge w:val="restart"/>
            <w:tcBorders>
              <w:left w:val="single" w:sz="4" w:space="0" w:color="auto"/>
              <w:right w:val="single" w:sz="4" w:space="0" w:color="auto"/>
            </w:tcBorders>
            <w:textDirection w:val="btLr"/>
            <w:vAlign w:val="center"/>
          </w:tcPr>
          <w:p w14:paraId="1549CF1A" w14:textId="6A4DDFFB" w:rsidR="00104D61" w:rsidRPr="00480790" w:rsidRDefault="00104D61">
            <w:pPr>
              <w:jc w:val="center"/>
              <w:rPr>
                <w:rFonts w:ascii="Arial Narrow" w:hAnsi="Arial Narrow"/>
                <w:sz w:val="20"/>
                <w:szCs w:val="20"/>
              </w:rPr>
            </w:pPr>
          </w:p>
        </w:tc>
        <w:tc>
          <w:tcPr>
            <w:tcW w:w="784" w:type="dxa"/>
            <w:vAlign w:val="center"/>
          </w:tcPr>
          <w:p w14:paraId="4B9ADE47" w14:textId="48968F9A" w:rsidR="00104D61" w:rsidRPr="00480790" w:rsidRDefault="00104D61">
            <w:pPr>
              <w:jc w:val="center"/>
              <w:rPr>
                <w:rFonts w:ascii="Arial Narrow" w:hAnsi="Arial Narrow"/>
                <w:sz w:val="20"/>
                <w:szCs w:val="20"/>
              </w:rPr>
            </w:pPr>
          </w:p>
        </w:tc>
        <w:tc>
          <w:tcPr>
            <w:tcW w:w="7745" w:type="dxa"/>
            <w:gridSpan w:val="6"/>
            <w:vAlign w:val="center"/>
          </w:tcPr>
          <w:p w14:paraId="0F4E2EBA" w14:textId="77777777" w:rsidR="00104D61" w:rsidRPr="00480790" w:rsidRDefault="00104D61">
            <w:pPr>
              <w:keepLines/>
              <w:rPr>
                <w:rFonts w:ascii="Arial Narrow" w:hAnsi="Arial Narrow"/>
                <w:b/>
                <w:bCs/>
                <w:sz w:val="20"/>
                <w:szCs w:val="20"/>
              </w:rPr>
            </w:pPr>
            <w:r w:rsidRPr="00480790">
              <w:rPr>
                <w:rFonts w:ascii="Arial Narrow" w:hAnsi="Arial Narrow"/>
                <w:b/>
                <w:bCs/>
                <w:sz w:val="20"/>
                <w:szCs w:val="20"/>
              </w:rPr>
              <w:t>Administration advice:</w:t>
            </w:r>
          </w:p>
          <w:p w14:paraId="45633C62" w14:textId="77777777" w:rsidR="00104D61" w:rsidRPr="00480790" w:rsidRDefault="00104D61">
            <w:pPr>
              <w:rPr>
                <w:rFonts w:ascii="Arial Narrow" w:hAnsi="Arial Narrow"/>
                <w:sz w:val="20"/>
                <w:szCs w:val="20"/>
              </w:rPr>
            </w:pPr>
            <w:r w:rsidRPr="00480790">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AB01EA" w:rsidRPr="00480790" w14:paraId="6A9139EC" w14:textId="77777777" w:rsidTr="00A35F1C">
        <w:tblPrEx>
          <w:tblCellMar>
            <w:top w:w="15" w:type="dxa"/>
            <w:bottom w:w="15" w:type="dxa"/>
          </w:tblCellMar>
          <w:tblLook w:val="04A0" w:firstRow="1" w:lastRow="0" w:firstColumn="1" w:lastColumn="0" w:noHBand="0" w:noVBand="1"/>
        </w:tblPrEx>
        <w:trPr>
          <w:trHeight w:val="20"/>
        </w:trPr>
        <w:tc>
          <w:tcPr>
            <w:tcW w:w="488" w:type="dxa"/>
            <w:vMerge/>
          </w:tcPr>
          <w:p w14:paraId="0D2EDBC7" w14:textId="77777777" w:rsidR="00104D61" w:rsidRPr="00480790" w:rsidRDefault="00104D61">
            <w:pPr>
              <w:rPr>
                <w:rFonts w:ascii="Arial Narrow" w:hAnsi="Arial Narrow"/>
                <w:sz w:val="20"/>
                <w:szCs w:val="20"/>
              </w:rPr>
            </w:pPr>
          </w:p>
        </w:tc>
        <w:tc>
          <w:tcPr>
            <w:tcW w:w="784" w:type="dxa"/>
            <w:vAlign w:val="center"/>
          </w:tcPr>
          <w:p w14:paraId="59B21691" w14:textId="530FE49B" w:rsidR="00104D61" w:rsidRPr="00480790" w:rsidRDefault="00104D61">
            <w:pPr>
              <w:jc w:val="center"/>
              <w:rPr>
                <w:rFonts w:ascii="Arial Narrow" w:hAnsi="Arial Narrow"/>
                <w:sz w:val="20"/>
                <w:szCs w:val="20"/>
              </w:rPr>
            </w:pPr>
          </w:p>
        </w:tc>
        <w:tc>
          <w:tcPr>
            <w:tcW w:w="7745" w:type="dxa"/>
            <w:gridSpan w:val="6"/>
            <w:vAlign w:val="center"/>
          </w:tcPr>
          <w:p w14:paraId="20189823" w14:textId="77777777" w:rsidR="00104D61" w:rsidRPr="00480790" w:rsidRDefault="00104D61">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quantity or number of units may be authorised.</w:t>
            </w:r>
          </w:p>
        </w:tc>
      </w:tr>
      <w:tr w:rsidR="00AB01EA" w:rsidRPr="00480790" w14:paraId="6F622330" w14:textId="77777777" w:rsidTr="00A35F1C">
        <w:tblPrEx>
          <w:tblCellMar>
            <w:top w:w="15" w:type="dxa"/>
            <w:bottom w:w="15" w:type="dxa"/>
          </w:tblCellMar>
          <w:tblLook w:val="04A0" w:firstRow="1" w:lastRow="0" w:firstColumn="1" w:lastColumn="0" w:noHBand="0" w:noVBand="1"/>
        </w:tblPrEx>
        <w:trPr>
          <w:trHeight w:val="20"/>
        </w:trPr>
        <w:tc>
          <w:tcPr>
            <w:tcW w:w="488" w:type="dxa"/>
            <w:vMerge/>
          </w:tcPr>
          <w:p w14:paraId="60681050" w14:textId="77777777" w:rsidR="00104D61" w:rsidRPr="00480790" w:rsidRDefault="00104D61">
            <w:pPr>
              <w:rPr>
                <w:rFonts w:ascii="Arial Narrow" w:hAnsi="Arial Narrow"/>
                <w:sz w:val="20"/>
                <w:szCs w:val="20"/>
              </w:rPr>
            </w:pPr>
          </w:p>
        </w:tc>
        <w:tc>
          <w:tcPr>
            <w:tcW w:w="784" w:type="dxa"/>
            <w:vAlign w:val="center"/>
          </w:tcPr>
          <w:p w14:paraId="1346B764" w14:textId="23C1EA19" w:rsidR="00104D61" w:rsidRPr="00480790" w:rsidRDefault="00104D61">
            <w:pPr>
              <w:jc w:val="center"/>
              <w:rPr>
                <w:rFonts w:ascii="Arial Narrow" w:hAnsi="Arial Narrow"/>
                <w:sz w:val="20"/>
                <w:szCs w:val="20"/>
              </w:rPr>
            </w:pPr>
          </w:p>
        </w:tc>
        <w:tc>
          <w:tcPr>
            <w:tcW w:w="7745" w:type="dxa"/>
            <w:gridSpan w:val="6"/>
            <w:vAlign w:val="center"/>
          </w:tcPr>
          <w:p w14:paraId="1AF62124" w14:textId="77777777" w:rsidR="00104D61" w:rsidRPr="00480790" w:rsidRDefault="00104D61">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No increase in the maximum number of repeats may be authorised.</w:t>
            </w:r>
          </w:p>
        </w:tc>
      </w:tr>
      <w:tr w:rsidR="00AB01EA" w:rsidRPr="00480790" w14:paraId="052D26F0" w14:textId="77777777" w:rsidTr="00A35F1C">
        <w:tblPrEx>
          <w:tblCellMar>
            <w:top w:w="15" w:type="dxa"/>
            <w:bottom w:w="15" w:type="dxa"/>
          </w:tblCellMar>
          <w:tblLook w:val="04A0" w:firstRow="1" w:lastRow="0" w:firstColumn="1" w:lastColumn="0" w:noHBand="0" w:noVBand="1"/>
        </w:tblPrEx>
        <w:trPr>
          <w:trHeight w:val="20"/>
        </w:trPr>
        <w:tc>
          <w:tcPr>
            <w:tcW w:w="488" w:type="dxa"/>
            <w:vMerge/>
          </w:tcPr>
          <w:p w14:paraId="22ECE2B9" w14:textId="77777777" w:rsidR="00104D61" w:rsidRPr="00480790" w:rsidRDefault="00104D61">
            <w:pPr>
              <w:rPr>
                <w:rFonts w:ascii="Arial Narrow" w:hAnsi="Arial Narrow"/>
                <w:sz w:val="20"/>
                <w:szCs w:val="20"/>
              </w:rPr>
            </w:pPr>
          </w:p>
        </w:tc>
        <w:tc>
          <w:tcPr>
            <w:tcW w:w="784" w:type="dxa"/>
            <w:vAlign w:val="center"/>
          </w:tcPr>
          <w:p w14:paraId="74C29777" w14:textId="613E881D" w:rsidR="00104D61" w:rsidRPr="00480790" w:rsidRDefault="00104D61">
            <w:pPr>
              <w:jc w:val="center"/>
              <w:rPr>
                <w:rFonts w:ascii="Arial Narrow" w:hAnsi="Arial Narrow"/>
                <w:sz w:val="20"/>
                <w:szCs w:val="20"/>
              </w:rPr>
            </w:pPr>
          </w:p>
        </w:tc>
        <w:tc>
          <w:tcPr>
            <w:tcW w:w="7745" w:type="dxa"/>
            <w:gridSpan w:val="6"/>
            <w:vAlign w:val="center"/>
          </w:tcPr>
          <w:p w14:paraId="68399C46" w14:textId="77777777" w:rsidR="00104D61" w:rsidRPr="00480790" w:rsidRDefault="00104D61">
            <w:pPr>
              <w:rPr>
                <w:rFonts w:ascii="Arial Narrow" w:hAnsi="Arial Narrow"/>
                <w:b/>
                <w:bCs/>
                <w:sz w:val="20"/>
                <w:szCs w:val="20"/>
              </w:rPr>
            </w:pPr>
            <w:r w:rsidRPr="00480790">
              <w:rPr>
                <w:rFonts w:ascii="Arial Narrow" w:hAnsi="Arial Narrow"/>
                <w:b/>
                <w:bCs/>
                <w:sz w:val="20"/>
                <w:szCs w:val="20"/>
              </w:rPr>
              <w:t xml:space="preserve">Administrative Advice: </w:t>
            </w:r>
            <w:r w:rsidRPr="00480790">
              <w:rPr>
                <w:rFonts w:ascii="Arial Narrow" w:hAnsi="Arial Narrow"/>
                <w:bCs/>
                <w:sz w:val="20"/>
                <w:szCs w:val="20"/>
              </w:rPr>
              <w:t>Special Pricing Arrangements apply.</w:t>
            </w:r>
          </w:p>
        </w:tc>
      </w:tr>
      <w:tr w:rsidR="00AB01EA" w:rsidRPr="00480790" w14:paraId="2A605477" w14:textId="77777777" w:rsidTr="00A35F1C">
        <w:tblPrEx>
          <w:tblCellMar>
            <w:top w:w="15" w:type="dxa"/>
            <w:bottom w:w="15" w:type="dxa"/>
          </w:tblCellMar>
          <w:tblLook w:val="04A0" w:firstRow="1" w:lastRow="0" w:firstColumn="1" w:lastColumn="0" w:noHBand="0" w:noVBand="1"/>
        </w:tblPrEx>
        <w:trPr>
          <w:trHeight w:val="182"/>
        </w:trPr>
        <w:tc>
          <w:tcPr>
            <w:tcW w:w="1272" w:type="dxa"/>
            <w:gridSpan w:val="2"/>
            <w:tcBorders>
              <w:left w:val="single" w:sz="4" w:space="0" w:color="auto"/>
              <w:right w:val="single" w:sz="4" w:space="0" w:color="auto"/>
            </w:tcBorders>
          </w:tcPr>
          <w:p w14:paraId="303B822E" w14:textId="77777777" w:rsidR="00104D61" w:rsidRPr="00480790" w:rsidRDefault="00104D61">
            <w:pPr>
              <w:rPr>
                <w:rFonts w:ascii="Arial Narrow" w:hAnsi="Arial Narrow"/>
                <w:sz w:val="20"/>
                <w:szCs w:val="20"/>
              </w:rPr>
            </w:pPr>
          </w:p>
        </w:tc>
        <w:tc>
          <w:tcPr>
            <w:tcW w:w="7745" w:type="dxa"/>
            <w:gridSpan w:val="6"/>
            <w:tcBorders>
              <w:top w:val="single" w:sz="4" w:space="0" w:color="auto"/>
              <w:left w:val="single" w:sz="4" w:space="0" w:color="auto"/>
              <w:right w:val="single" w:sz="4" w:space="0" w:color="auto"/>
            </w:tcBorders>
            <w:vAlign w:val="center"/>
          </w:tcPr>
          <w:p w14:paraId="75FDF301" w14:textId="40E3DABD" w:rsidR="00A35F1C" w:rsidRPr="00480790" w:rsidRDefault="00104D61">
            <w:pPr>
              <w:keepLines/>
              <w:rPr>
                <w:rFonts w:ascii="Arial Narrow" w:eastAsia="Calibri" w:hAnsi="Arial Narrow"/>
                <w:sz w:val="20"/>
                <w:szCs w:val="20"/>
              </w:rPr>
            </w:pPr>
            <w:r w:rsidRPr="00480790">
              <w:rPr>
                <w:rFonts w:ascii="Arial Narrow" w:hAnsi="Arial Narrow"/>
                <w:b/>
                <w:sz w:val="20"/>
                <w:szCs w:val="20"/>
              </w:rPr>
              <w:t xml:space="preserve">Restriction type: </w:t>
            </w:r>
            <w:r w:rsidRPr="00480790">
              <w:rPr>
                <w:rFonts w:ascii="Arial Narrow" w:eastAsia="Calibri" w:hAnsi="Arial Narrow"/>
                <w:sz w:val="20"/>
                <w:szCs w:val="20"/>
              </w:rPr>
              <w:fldChar w:fldCharType="begin">
                <w:ffData>
                  <w:name w:val="Check3"/>
                  <w:enabled/>
                  <w:calcOnExit w:val="0"/>
                  <w:checkBox>
                    <w:sizeAuto/>
                    <w:default w:val="1"/>
                  </w:checkBox>
                </w:ffData>
              </w:fldChar>
            </w:r>
            <w:r w:rsidRPr="00480790">
              <w:rPr>
                <w:rFonts w:ascii="Arial Narrow" w:eastAsia="Calibri" w:hAnsi="Arial Narrow"/>
                <w:sz w:val="20"/>
                <w:szCs w:val="20"/>
              </w:rPr>
              <w:instrText xml:space="preserve"> FORMCHECKBOX </w:instrText>
            </w:r>
            <w:r w:rsidRPr="00480790">
              <w:rPr>
                <w:rFonts w:ascii="Arial Narrow" w:eastAsia="Calibri" w:hAnsi="Arial Narrow"/>
                <w:sz w:val="20"/>
                <w:szCs w:val="20"/>
              </w:rPr>
            </w:r>
            <w:r w:rsidRPr="00480790">
              <w:rPr>
                <w:rFonts w:ascii="Arial Narrow" w:eastAsia="Calibri" w:hAnsi="Arial Narrow"/>
                <w:sz w:val="20"/>
                <w:szCs w:val="20"/>
              </w:rPr>
              <w:fldChar w:fldCharType="separate"/>
            </w:r>
            <w:r w:rsidRPr="00480790">
              <w:rPr>
                <w:rFonts w:ascii="Arial Narrow" w:eastAsia="Calibri" w:hAnsi="Arial Narrow"/>
                <w:sz w:val="20"/>
                <w:szCs w:val="20"/>
              </w:rPr>
              <w:fldChar w:fldCharType="end"/>
            </w:r>
            <w:r w:rsidRPr="00480790">
              <w:rPr>
                <w:rFonts w:ascii="Arial Narrow" w:eastAsia="Calibri" w:hAnsi="Arial Narrow"/>
                <w:sz w:val="20"/>
                <w:szCs w:val="20"/>
              </w:rPr>
              <w:t>Authority Required (immediate assessment) - Telephone/Online PBS Authorities</w:t>
            </w:r>
          </w:p>
        </w:tc>
      </w:tr>
      <w:tr w:rsidR="00A35F1C" w:rsidRPr="00480790" w14:paraId="0CE9451E" w14:textId="77777777" w:rsidTr="00A35F1C">
        <w:tblPrEx>
          <w:tblCellMar>
            <w:top w:w="15" w:type="dxa"/>
            <w:bottom w:w="15" w:type="dxa"/>
          </w:tblCellMar>
          <w:tblLook w:val="04A0" w:firstRow="1" w:lastRow="0" w:firstColumn="1" w:lastColumn="0" w:noHBand="0" w:noVBand="1"/>
        </w:tblPrEx>
        <w:trPr>
          <w:trHeight w:val="182"/>
        </w:trPr>
        <w:tc>
          <w:tcPr>
            <w:tcW w:w="9017" w:type="dxa"/>
            <w:gridSpan w:val="8"/>
            <w:tcBorders>
              <w:left w:val="single" w:sz="4" w:space="0" w:color="auto"/>
              <w:right w:val="single" w:sz="4" w:space="0" w:color="auto"/>
            </w:tcBorders>
          </w:tcPr>
          <w:p w14:paraId="51964531" w14:textId="77777777" w:rsidR="00A35F1C" w:rsidRPr="00480790" w:rsidRDefault="00A35F1C">
            <w:pPr>
              <w:keepLines/>
              <w:rPr>
                <w:rFonts w:ascii="Arial Narrow" w:hAnsi="Arial Narrow"/>
                <w:b/>
                <w:sz w:val="20"/>
                <w:szCs w:val="20"/>
              </w:rPr>
            </w:pPr>
          </w:p>
        </w:tc>
      </w:tr>
      <w:tr w:rsidR="00AB01EA" w:rsidRPr="00480790" w14:paraId="12790F5A" w14:textId="77777777" w:rsidTr="00A35F1C">
        <w:tblPrEx>
          <w:tblCellMar>
            <w:top w:w="15" w:type="dxa"/>
            <w:bottom w:w="15" w:type="dxa"/>
          </w:tblCellMar>
          <w:tblLook w:val="04A0" w:firstRow="1" w:lastRow="0" w:firstColumn="1" w:lastColumn="0" w:noHBand="0" w:noVBand="1"/>
        </w:tblPrEx>
        <w:trPr>
          <w:trHeight w:val="182"/>
        </w:trPr>
        <w:tc>
          <w:tcPr>
            <w:tcW w:w="9017" w:type="dxa"/>
            <w:gridSpan w:val="8"/>
            <w:tcBorders>
              <w:left w:val="single" w:sz="4" w:space="0" w:color="auto"/>
              <w:right w:val="single" w:sz="4" w:space="0" w:color="auto"/>
            </w:tcBorders>
          </w:tcPr>
          <w:p w14:paraId="4C9530AC" w14:textId="7B66999C" w:rsidR="00104D61" w:rsidRPr="00480790" w:rsidRDefault="00104D61">
            <w:pPr>
              <w:keepLines/>
              <w:rPr>
                <w:rFonts w:ascii="Arial Narrow" w:hAnsi="Arial Narrow"/>
                <w:b/>
                <w:sz w:val="20"/>
                <w:szCs w:val="20"/>
              </w:rPr>
            </w:pPr>
            <w:r w:rsidRPr="00480790">
              <w:rPr>
                <w:rFonts w:ascii="Arial Narrow" w:hAnsi="Arial Narrow"/>
                <w:b/>
                <w:sz w:val="20"/>
                <w:szCs w:val="20"/>
              </w:rPr>
              <w:t xml:space="preserve">Restriction Summary / Treatment of Concept: </w:t>
            </w:r>
          </w:p>
        </w:tc>
      </w:tr>
      <w:tr w:rsidR="00AB01EA" w:rsidRPr="00480790" w14:paraId="74D45295" w14:textId="77777777" w:rsidTr="00E66D7A">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94EB381" w14:textId="2A1FFF51" w:rsidR="00104D61" w:rsidRPr="00480790" w:rsidRDefault="00104D61">
            <w:pPr>
              <w:keepLines/>
              <w:jc w:val="center"/>
              <w:rPr>
                <w:rFonts w:ascii="Arial Narrow" w:hAnsi="Arial Narrow"/>
                <w:sz w:val="20"/>
                <w:szCs w:val="20"/>
              </w:rPr>
            </w:pPr>
          </w:p>
        </w:tc>
        <w:tc>
          <w:tcPr>
            <w:tcW w:w="7745" w:type="dxa"/>
            <w:gridSpan w:val="6"/>
            <w:vAlign w:val="center"/>
            <w:hideMark/>
          </w:tcPr>
          <w:p w14:paraId="6B494476" w14:textId="77777777" w:rsidR="00104D61" w:rsidRPr="00480790" w:rsidRDefault="00104D61">
            <w:pPr>
              <w:keepLines/>
              <w:rPr>
                <w:rFonts w:ascii="Arial Narrow" w:hAnsi="Arial Narrow"/>
                <w:sz w:val="20"/>
                <w:szCs w:val="20"/>
              </w:rPr>
            </w:pPr>
            <w:r w:rsidRPr="00480790">
              <w:rPr>
                <w:rFonts w:ascii="Arial Narrow" w:hAnsi="Arial Narrow"/>
                <w:b/>
                <w:bCs/>
                <w:sz w:val="20"/>
                <w:szCs w:val="20"/>
              </w:rPr>
              <w:t>Indication:</w:t>
            </w:r>
            <w:r w:rsidRPr="00480790">
              <w:rPr>
                <w:rFonts w:ascii="Arial Narrow" w:hAnsi="Arial Narrow"/>
                <w:sz w:val="20"/>
                <w:szCs w:val="20"/>
              </w:rPr>
              <w:t xml:space="preserve"> Stage IIIB (locally advanced) or Stage IV (metastatic) non-small cell lung cancer (NSCLC)</w:t>
            </w:r>
          </w:p>
        </w:tc>
      </w:tr>
      <w:tr w:rsidR="00AB01EA" w:rsidRPr="00480790" w14:paraId="2443981B"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07117BE" w14:textId="77777777" w:rsidR="00104D61" w:rsidRPr="00480790" w:rsidRDefault="00104D61">
            <w:pPr>
              <w:keepLines/>
              <w:jc w:val="center"/>
              <w:rPr>
                <w:rFonts w:ascii="Arial Narrow" w:hAnsi="Arial Narrow"/>
                <w:sz w:val="20"/>
                <w:szCs w:val="20"/>
              </w:rPr>
            </w:pPr>
          </w:p>
        </w:tc>
        <w:tc>
          <w:tcPr>
            <w:tcW w:w="7745" w:type="dxa"/>
            <w:gridSpan w:val="6"/>
            <w:vAlign w:val="center"/>
          </w:tcPr>
          <w:p w14:paraId="5DA88001" w14:textId="77777777" w:rsidR="00104D61" w:rsidRPr="00480790" w:rsidRDefault="00104D61">
            <w:pPr>
              <w:keepLines/>
              <w:rPr>
                <w:rFonts w:ascii="Arial Narrow" w:hAnsi="Arial Narrow"/>
                <w:b/>
                <w:bCs/>
                <w:sz w:val="20"/>
                <w:szCs w:val="20"/>
              </w:rPr>
            </w:pPr>
            <w:r w:rsidRPr="00480790">
              <w:rPr>
                <w:rFonts w:ascii="Arial Narrow" w:hAnsi="Arial Narrow"/>
                <w:b/>
                <w:bCs/>
                <w:sz w:val="20"/>
                <w:szCs w:val="20"/>
              </w:rPr>
              <w:t xml:space="preserve">Treatment Phase: </w:t>
            </w:r>
            <w:r w:rsidRPr="00480790">
              <w:rPr>
                <w:rFonts w:ascii="Arial Narrow" w:hAnsi="Arial Narrow"/>
                <w:sz w:val="20"/>
                <w:szCs w:val="20"/>
              </w:rPr>
              <w:t>Initial treatment</w:t>
            </w:r>
          </w:p>
        </w:tc>
      </w:tr>
      <w:tr w:rsidR="00AB01EA" w:rsidRPr="00480790" w14:paraId="7E9B4D4B"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02F134F" w14:textId="77777777" w:rsidR="00104D61" w:rsidRPr="00480790" w:rsidRDefault="00104D61">
            <w:pPr>
              <w:keepLines/>
              <w:jc w:val="center"/>
              <w:rPr>
                <w:rFonts w:ascii="Arial Narrow" w:hAnsi="Arial Narrow"/>
                <w:i/>
                <w:iCs/>
                <w:sz w:val="20"/>
                <w:szCs w:val="20"/>
              </w:rPr>
            </w:pPr>
          </w:p>
        </w:tc>
        <w:tc>
          <w:tcPr>
            <w:tcW w:w="7745" w:type="dxa"/>
            <w:gridSpan w:val="6"/>
            <w:vAlign w:val="center"/>
          </w:tcPr>
          <w:p w14:paraId="39048CD3" w14:textId="77777777" w:rsidR="00104D61" w:rsidRPr="00480790" w:rsidRDefault="00104D61">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Clinical criteria:</w:t>
            </w:r>
          </w:p>
        </w:tc>
      </w:tr>
      <w:tr w:rsidR="00AB01EA" w:rsidRPr="00480790" w14:paraId="7879FE55"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6F143DD" w14:textId="289293D4" w:rsidR="00104D61" w:rsidRPr="00480790" w:rsidRDefault="00104D61">
            <w:pPr>
              <w:keepLines/>
              <w:jc w:val="center"/>
              <w:rPr>
                <w:rFonts w:ascii="Arial Narrow" w:hAnsi="Arial Narrow"/>
                <w:i/>
                <w:iCs/>
                <w:sz w:val="20"/>
                <w:szCs w:val="20"/>
              </w:rPr>
            </w:pPr>
          </w:p>
        </w:tc>
        <w:tc>
          <w:tcPr>
            <w:tcW w:w="7745" w:type="dxa"/>
            <w:gridSpan w:val="6"/>
            <w:vAlign w:val="center"/>
          </w:tcPr>
          <w:p w14:paraId="10C53474" w14:textId="3EBF5C01" w:rsidR="00104D61" w:rsidRPr="00480790" w:rsidRDefault="00AE7DE0">
            <w:pPr>
              <w:keepLines/>
              <w:rPr>
                <w:rFonts w:ascii="Arial Narrow" w:hAnsi="Arial Narrow"/>
                <w:i/>
                <w:iCs/>
                <w:sz w:val="20"/>
                <w:szCs w:val="20"/>
              </w:rPr>
            </w:pPr>
            <w:r w:rsidRPr="00AE7DE0">
              <w:rPr>
                <w:rFonts w:ascii="Arial Narrow" w:hAnsi="Arial Narrow"/>
                <w:i/>
                <w:iCs/>
                <w:sz w:val="20"/>
                <w:szCs w:val="20"/>
              </w:rPr>
              <w:t>Patient must be untreated with an Anaplastic Lymphoma Kinase-Tyrosine Kinase Inhibitor (ALK-TKI) for NSCLC</w:t>
            </w:r>
          </w:p>
        </w:tc>
      </w:tr>
      <w:tr w:rsidR="00AB01EA" w:rsidRPr="00480790" w14:paraId="70972867"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B1F0BEB" w14:textId="77777777" w:rsidR="00104D61" w:rsidRPr="00480790" w:rsidRDefault="00104D61">
            <w:pPr>
              <w:keepLines/>
              <w:jc w:val="center"/>
              <w:rPr>
                <w:rFonts w:ascii="Arial Narrow" w:hAnsi="Arial Narrow"/>
                <w:i/>
                <w:iCs/>
                <w:sz w:val="20"/>
                <w:szCs w:val="20"/>
              </w:rPr>
            </w:pPr>
          </w:p>
        </w:tc>
        <w:tc>
          <w:tcPr>
            <w:tcW w:w="7745" w:type="dxa"/>
            <w:gridSpan w:val="6"/>
            <w:vAlign w:val="center"/>
          </w:tcPr>
          <w:p w14:paraId="71193F1D" w14:textId="77777777" w:rsidR="00104D61" w:rsidRPr="00480790" w:rsidRDefault="00104D61">
            <w:pPr>
              <w:keepLines/>
              <w:rPr>
                <w:rFonts w:ascii="Arial Narrow" w:hAnsi="Arial Narrow"/>
                <w:b/>
                <w:bCs/>
                <w:i/>
                <w:iCs/>
                <w:sz w:val="20"/>
                <w:szCs w:val="20"/>
              </w:rPr>
            </w:pPr>
            <w:r w:rsidRPr="00480790">
              <w:rPr>
                <w:rStyle w:val="Strong"/>
                <w:rFonts w:ascii="Arial Narrow" w:hAnsi="Arial Narrow" w:cs="Open Sans"/>
                <w:i/>
                <w:iCs/>
                <w:sz w:val="20"/>
                <w:szCs w:val="20"/>
                <w:bdr w:val="none" w:sz="0" w:space="0" w:color="auto" w:frame="1"/>
              </w:rPr>
              <w:t>AND</w:t>
            </w:r>
          </w:p>
        </w:tc>
      </w:tr>
      <w:tr w:rsidR="00AB01EA" w:rsidRPr="00480790" w14:paraId="63F483D0"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71F5F4C5" w14:textId="1A3DF7D8" w:rsidR="00104D61" w:rsidRPr="00480790" w:rsidRDefault="00104D61">
            <w:pPr>
              <w:keepLines/>
              <w:jc w:val="center"/>
              <w:rPr>
                <w:rFonts w:ascii="Arial Narrow" w:hAnsi="Arial Narrow"/>
                <w:sz w:val="20"/>
                <w:szCs w:val="20"/>
              </w:rPr>
            </w:pPr>
          </w:p>
        </w:tc>
        <w:tc>
          <w:tcPr>
            <w:tcW w:w="7745" w:type="dxa"/>
            <w:gridSpan w:val="6"/>
          </w:tcPr>
          <w:p w14:paraId="03BC256D" w14:textId="77777777" w:rsidR="00104D61" w:rsidRPr="00480790" w:rsidRDefault="00104D61">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77BC3054"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3671ABC3" w14:textId="5659EC6A" w:rsidR="00104D61" w:rsidRPr="00480790" w:rsidRDefault="00104D61">
            <w:pPr>
              <w:keepLines/>
              <w:jc w:val="center"/>
              <w:rPr>
                <w:rFonts w:ascii="Arial Narrow" w:hAnsi="Arial Narrow"/>
                <w:sz w:val="20"/>
                <w:szCs w:val="20"/>
              </w:rPr>
            </w:pPr>
          </w:p>
        </w:tc>
        <w:tc>
          <w:tcPr>
            <w:tcW w:w="7745" w:type="dxa"/>
            <w:gridSpan w:val="6"/>
          </w:tcPr>
          <w:p w14:paraId="41D73294" w14:textId="77777777" w:rsidR="00104D61" w:rsidRPr="00480790" w:rsidRDefault="00104D61">
            <w:pPr>
              <w:keepLines/>
              <w:rPr>
                <w:rFonts w:ascii="Arial Narrow" w:hAnsi="Arial Narrow"/>
                <w:sz w:val="20"/>
                <w:szCs w:val="20"/>
              </w:rPr>
            </w:pPr>
            <w:r w:rsidRPr="00480790">
              <w:rPr>
                <w:rFonts w:ascii="Arial Narrow" w:hAnsi="Arial Narrow" w:cs="Open Sans"/>
                <w:sz w:val="20"/>
                <w:szCs w:val="20"/>
              </w:rPr>
              <w:t>The treatment must be the sole PBS-subsidised systemic anti-cancer therapy for this PBS indication</w:t>
            </w:r>
          </w:p>
        </w:tc>
      </w:tr>
      <w:tr w:rsidR="00AB01EA" w:rsidRPr="00480790" w14:paraId="224DD80E"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0996FB2F" w14:textId="77777777" w:rsidR="00104D61" w:rsidRPr="00480790" w:rsidRDefault="00104D61">
            <w:pPr>
              <w:keepLines/>
              <w:jc w:val="center"/>
              <w:rPr>
                <w:rFonts w:ascii="Arial Narrow" w:hAnsi="Arial Narrow"/>
                <w:sz w:val="20"/>
                <w:szCs w:val="20"/>
              </w:rPr>
            </w:pPr>
          </w:p>
        </w:tc>
        <w:tc>
          <w:tcPr>
            <w:tcW w:w="7745" w:type="dxa"/>
            <w:gridSpan w:val="6"/>
          </w:tcPr>
          <w:p w14:paraId="002EE683" w14:textId="77777777" w:rsidR="00104D61" w:rsidRPr="00480790" w:rsidRDefault="00104D61">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6B70CC4B"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1F6647DD" w14:textId="52CF7B45" w:rsidR="00104D61" w:rsidRPr="00480790" w:rsidRDefault="00104D61">
            <w:pPr>
              <w:keepLines/>
              <w:jc w:val="center"/>
              <w:rPr>
                <w:rFonts w:ascii="Arial Narrow" w:hAnsi="Arial Narrow"/>
                <w:sz w:val="20"/>
                <w:szCs w:val="20"/>
              </w:rPr>
            </w:pPr>
          </w:p>
        </w:tc>
        <w:tc>
          <w:tcPr>
            <w:tcW w:w="7745" w:type="dxa"/>
            <w:gridSpan w:val="6"/>
          </w:tcPr>
          <w:p w14:paraId="31DFA2AE" w14:textId="77777777" w:rsidR="00104D61" w:rsidRPr="00480790" w:rsidRDefault="00104D61">
            <w:pPr>
              <w:keepLines/>
              <w:rPr>
                <w:rFonts w:ascii="Arial Narrow" w:hAnsi="Arial Narrow"/>
                <w:b/>
                <w:bCs/>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1D78350D"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615A4657" w14:textId="7CB8DAF5" w:rsidR="00104D61" w:rsidRPr="00480790" w:rsidRDefault="00104D61">
            <w:pPr>
              <w:keepLines/>
              <w:jc w:val="center"/>
              <w:rPr>
                <w:rFonts w:ascii="Arial Narrow" w:hAnsi="Arial Narrow"/>
                <w:sz w:val="20"/>
                <w:szCs w:val="20"/>
              </w:rPr>
            </w:pPr>
          </w:p>
        </w:tc>
        <w:tc>
          <w:tcPr>
            <w:tcW w:w="7745" w:type="dxa"/>
            <w:gridSpan w:val="6"/>
          </w:tcPr>
          <w:p w14:paraId="5F49636D" w14:textId="77777777" w:rsidR="00104D61" w:rsidRPr="00480790" w:rsidRDefault="00104D61">
            <w:pPr>
              <w:keepLines/>
              <w:rPr>
                <w:rFonts w:ascii="Arial Narrow" w:hAnsi="Arial Narrow"/>
                <w:b/>
                <w:bCs/>
                <w:sz w:val="20"/>
                <w:szCs w:val="20"/>
              </w:rPr>
            </w:pPr>
            <w:r w:rsidRPr="00480790">
              <w:rPr>
                <w:rFonts w:ascii="Arial Narrow" w:hAnsi="Arial Narrow" w:cs="Open Sans"/>
                <w:sz w:val="20"/>
                <w:szCs w:val="20"/>
              </w:rPr>
              <w:t>The condition must be non-squamous type non-small cell lung cancer (NSCLC) or not otherwise specified type NSCLC</w:t>
            </w:r>
          </w:p>
        </w:tc>
      </w:tr>
      <w:tr w:rsidR="00AB01EA" w:rsidRPr="00480790" w14:paraId="38FE9354"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2797EF25" w14:textId="77777777" w:rsidR="00104D61" w:rsidRPr="00480790" w:rsidRDefault="00104D61">
            <w:pPr>
              <w:keepLines/>
              <w:jc w:val="center"/>
              <w:rPr>
                <w:rFonts w:ascii="Arial Narrow" w:hAnsi="Arial Narrow"/>
                <w:sz w:val="20"/>
                <w:szCs w:val="20"/>
              </w:rPr>
            </w:pPr>
          </w:p>
        </w:tc>
        <w:tc>
          <w:tcPr>
            <w:tcW w:w="7745" w:type="dxa"/>
            <w:gridSpan w:val="6"/>
          </w:tcPr>
          <w:p w14:paraId="0ABE137F" w14:textId="77777777" w:rsidR="00104D61" w:rsidRPr="00480790" w:rsidRDefault="00104D61">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24C8274E"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1966CD18" w14:textId="5AB4E17D" w:rsidR="00104D61" w:rsidRPr="00480790" w:rsidRDefault="00104D61">
            <w:pPr>
              <w:keepLines/>
              <w:jc w:val="center"/>
              <w:rPr>
                <w:rFonts w:ascii="Arial Narrow" w:hAnsi="Arial Narrow"/>
                <w:sz w:val="20"/>
                <w:szCs w:val="20"/>
              </w:rPr>
            </w:pPr>
          </w:p>
        </w:tc>
        <w:tc>
          <w:tcPr>
            <w:tcW w:w="7745" w:type="dxa"/>
            <w:gridSpan w:val="6"/>
          </w:tcPr>
          <w:p w14:paraId="17D6C173" w14:textId="77777777" w:rsidR="00104D61" w:rsidRPr="00480790" w:rsidRDefault="00104D61">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23D85A12"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2D989C9A" w14:textId="683B553F" w:rsidR="00104D61" w:rsidRPr="00480790" w:rsidRDefault="00104D61">
            <w:pPr>
              <w:keepLines/>
              <w:jc w:val="center"/>
              <w:rPr>
                <w:rFonts w:ascii="Arial Narrow" w:hAnsi="Arial Narrow"/>
                <w:sz w:val="20"/>
                <w:szCs w:val="20"/>
              </w:rPr>
            </w:pPr>
          </w:p>
        </w:tc>
        <w:tc>
          <w:tcPr>
            <w:tcW w:w="7745" w:type="dxa"/>
            <w:gridSpan w:val="6"/>
          </w:tcPr>
          <w:p w14:paraId="52BC7B70" w14:textId="77777777" w:rsidR="00104D61" w:rsidRPr="00480790" w:rsidRDefault="00104D61">
            <w:pPr>
              <w:keepLines/>
              <w:rPr>
                <w:rFonts w:ascii="Arial Narrow" w:hAnsi="Arial Narrow"/>
                <w:sz w:val="20"/>
                <w:szCs w:val="20"/>
              </w:rPr>
            </w:pPr>
            <w:r w:rsidRPr="00480790">
              <w:rPr>
                <w:rFonts w:ascii="Arial Narrow" w:hAnsi="Arial Narrow" w:cs="Open Sans"/>
                <w:sz w:val="20"/>
                <w:szCs w:val="20"/>
              </w:rPr>
              <w:t>Patient must have a WHO performance status of 2 or less</w:t>
            </w:r>
          </w:p>
        </w:tc>
      </w:tr>
      <w:tr w:rsidR="00AB01EA" w:rsidRPr="00480790" w14:paraId="0759025B"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3E042AF9" w14:textId="77777777" w:rsidR="00104D61" w:rsidRPr="00480790" w:rsidRDefault="00104D61">
            <w:pPr>
              <w:keepLines/>
              <w:jc w:val="center"/>
              <w:rPr>
                <w:rFonts w:ascii="Arial Narrow" w:hAnsi="Arial Narrow"/>
                <w:sz w:val="20"/>
                <w:szCs w:val="20"/>
              </w:rPr>
            </w:pPr>
          </w:p>
        </w:tc>
        <w:tc>
          <w:tcPr>
            <w:tcW w:w="7745" w:type="dxa"/>
            <w:gridSpan w:val="6"/>
          </w:tcPr>
          <w:p w14:paraId="40F16268" w14:textId="77777777" w:rsidR="00104D61" w:rsidRPr="00480790" w:rsidRDefault="00104D61">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2C91400A"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7CBC16FA" w14:textId="47422DC0" w:rsidR="00104D61" w:rsidRPr="00480790" w:rsidRDefault="00104D61">
            <w:pPr>
              <w:keepLines/>
              <w:jc w:val="center"/>
              <w:rPr>
                <w:rFonts w:ascii="Arial Narrow" w:hAnsi="Arial Narrow"/>
                <w:sz w:val="20"/>
                <w:szCs w:val="20"/>
              </w:rPr>
            </w:pPr>
          </w:p>
        </w:tc>
        <w:tc>
          <w:tcPr>
            <w:tcW w:w="7745" w:type="dxa"/>
            <w:gridSpan w:val="6"/>
          </w:tcPr>
          <w:p w14:paraId="56CA5E51" w14:textId="77777777" w:rsidR="00104D61" w:rsidRPr="00480790" w:rsidRDefault="00104D61">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4C1459CA"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5B5287B6" w14:textId="50E1ECC0" w:rsidR="00104D61" w:rsidRPr="00480790" w:rsidRDefault="00104D61">
            <w:pPr>
              <w:keepLines/>
              <w:jc w:val="center"/>
              <w:rPr>
                <w:rFonts w:ascii="Arial Narrow" w:hAnsi="Arial Narrow"/>
                <w:sz w:val="20"/>
                <w:szCs w:val="20"/>
              </w:rPr>
            </w:pPr>
          </w:p>
        </w:tc>
        <w:tc>
          <w:tcPr>
            <w:tcW w:w="7745" w:type="dxa"/>
            <w:gridSpan w:val="6"/>
          </w:tcPr>
          <w:p w14:paraId="082D4748" w14:textId="77777777" w:rsidR="00104D61" w:rsidRPr="00480790" w:rsidRDefault="00104D61">
            <w:pPr>
              <w:keepLines/>
              <w:rPr>
                <w:rFonts w:ascii="Arial Narrow" w:hAnsi="Arial Narrow"/>
                <w:sz w:val="20"/>
                <w:szCs w:val="20"/>
              </w:rPr>
            </w:pPr>
            <w:r w:rsidRPr="00480790">
              <w:rPr>
                <w:rFonts w:ascii="Arial Narrow" w:hAnsi="Arial Narrow" w:cs="Open Sans"/>
                <w:sz w:val="20"/>
                <w:szCs w:val="20"/>
              </w:rPr>
              <w:t>Patient must have evidence of an anaplastic lymphoma kinase (ALK) gene rearrangement in tumour material, defined as either: (i) 15% (or greater) positive cells by fluorescence in situ hybridisation (FISH) testing, (ii) positive next generation sequencing (NGS) testing</w:t>
            </w:r>
          </w:p>
        </w:tc>
      </w:tr>
      <w:tr w:rsidR="00A35F1C" w:rsidRPr="00480790" w14:paraId="6D201AC0" w14:textId="77777777" w:rsidTr="00A35F1C">
        <w:tblPrEx>
          <w:tblCellMar>
            <w:top w:w="15" w:type="dxa"/>
            <w:bottom w:w="15" w:type="dxa"/>
          </w:tblCellMar>
          <w:tblLook w:val="04A0" w:firstRow="1" w:lastRow="0" w:firstColumn="1" w:lastColumn="0" w:noHBand="0" w:noVBand="1"/>
        </w:tblPrEx>
        <w:trPr>
          <w:cantSplit/>
          <w:trHeight w:val="20"/>
        </w:trPr>
        <w:tc>
          <w:tcPr>
            <w:tcW w:w="9017" w:type="dxa"/>
            <w:gridSpan w:val="8"/>
          </w:tcPr>
          <w:p w14:paraId="18C232B5" w14:textId="77777777" w:rsidR="00A35F1C" w:rsidRPr="00480790" w:rsidRDefault="00A35F1C">
            <w:pPr>
              <w:keepLines/>
              <w:rPr>
                <w:rFonts w:ascii="Arial Narrow" w:hAnsi="Arial Narrow"/>
                <w:b/>
                <w:bCs/>
                <w:sz w:val="20"/>
                <w:szCs w:val="20"/>
              </w:rPr>
            </w:pPr>
          </w:p>
        </w:tc>
      </w:tr>
      <w:tr w:rsidR="00AB01EA" w:rsidRPr="00480790" w14:paraId="7510048E" w14:textId="77777777" w:rsidTr="00A35F1C">
        <w:tblPrEx>
          <w:tblCellMar>
            <w:top w:w="15" w:type="dxa"/>
            <w:bottom w:w="15" w:type="dxa"/>
          </w:tblCellMar>
          <w:tblLook w:val="04A0" w:firstRow="1" w:lastRow="0" w:firstColumn="1" w:lastColumn="0" w:noHBand="0" w:noVBand="1"/>
        </w:tblPrEx>
        <w:trPr>
          <w:cantSplit/>
          <w:trHeight w:val="20"/>
        </w:trPr>
        <w:tc>
          <w:tcPr>
            <w:tcW w:w="9017" w:type="dxa"/>
            <w:gridSpan w:val="8"/>
          </w:tcPr>
          <w:p w14:paraId="693D7074" w14:textId="07FBDBB6" w:rsidR="00104D61" w:rsidRPr="00480790" w:rsidRDefault="00104D61">
            <w:pPr>
              <w:keepLines/>
              <w:rPr>
                <w:rFonts w:ascii="Arial Narrow" w:hAnsi="Arial Narrow"/>
                <w:b/>
                <w:bCs/>
                <w:sz w:val="20"/>
                <w:szCs w:val="20"/>
              </w:rPr>
            </w:pPr>
            <w:r w:rsidRPr="00480790">
              <w:rPr>
                <w:rFonts w:ascii="Arial Narrow" w:hAnsi="Arial Narrow"/>
                <w:b/>
                <w:bCs/>
                <w:sz w:val="20"/>
                <w:szCs w:val="20"/>
              </w:rPr>
              <w:t xml:space="preserve">Restriction Summary / Treatment of Concept: </w:t>
            </w:r>
          </w:p>
        </w:tc>
      </w:tr>
      <w:tr w:rsidR="00AB01EA" w:rsidRPr="00480790" w14:paraId="0D8671C2"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028BA371" w14:textId="64288E83" w:rsidR="00104D61" w:rsidRPr="00480790" w:rsidRDefault="00104D61">
            <w:pPr>
              <w:keepLines/>
              <w:jc w:val="center"/>
              <w:rPr>
                <w:rFonts w:ascii="Arial Narrow" w:hAnsi="Arial Narrow"/>
                <w:sz w:val="20"/>
                <w:szCs w:val="20"/>
              </w:rPr>
            </w:pPr>
          </w:p>
        </w:tc>
        <w:tc>
          <w:tcPr>
            <w:tcW w:w="7745" w:type="dxa"/>
            <w:gridSpan w:val="6"/>
          </w:tcPr>
          <w:p w14:paraId="4209D03C" w14:textId="77777777" w:rsidR="00104D61" w:rsidRPr="00480790" w:rsidRDefault="00104D61">
            <w:pPr>
              <w:pStyle w:val="NormalWeb"/>
              <w:spacing w:before="0" w:after="0"/>
              <w:textAlignment w:val="baseline"/>
              <w:rPr>
                <w:rFonts w:ascii="Arial Narrow" w:hAnsi="Arial Narrow"/>
                <w:sz w:val="20"/>
                <w:szCs w:val="20"/>
                <w:lang w:val="en-AU"/>
              </w:rPr>
            </w:pPr>
            <w:r w:rsidRPr="00480790">
              <w:rPr>
                <w:rStyle w:val="Strong"/>
                <w:rFonts w:ascii="Arial Narrow" w:hAnsi="Arial Narrow" w:cs="Open Sans"/>
                <w:sz w:val="20"/>
                <w:szCs w:val="20"/>
                <w:bdr w:val="none" w:sz="0" w:space="0" w:color="auto" w:frame="1"/>
                <w:lang w:val="en-AU"/>
              </w:rPr>
              <w:t xml:space="preserve">Indication: </w:t>
            </w:r>
            <w:r w:rsidRPr="00480790">
              <w:rPr>
                <w:rFonts w:ascii="Arial Narrow" w:hAnsi="Arial Narrow" w:cs="Open Sans"/>
                <w:sz w:val="20"/>
                <w:szCs w:val="20"/>
                <w:lang w:val="en-AU"/>
              </w:rPr>
              <w:t>Stage IIIB (locally advanced) or Stage IV (metastatic) non-small cell lung cancer (NSCLC)</w:t>
            </w:r>
          </w:p>
        </w:tc>
      </w:tr>
      <w:tr w:rsidR="00AB01EA" w:rsidRPr="00480790" w14:paraId="25CCE1AB"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79C6CF6D" w14:textId="77777777" w:rsidR="00104D61" w:rsidRPr="00480790" w:rsidRDefault="00104D61">
            <w:pPr>
              <w:keepLines/>
              <w:jc w:val="center"/>
              <w:rPr>
                <w:rFonts w:ascii="Arial Narrow" w:hAnsi="Arial Narrow"/>
                <w:sz w:val="20"/>
                <w:szCs w:val="20"/>
              </w:rPr>
            </w:pPr>
          </w:p>
        </w:tc>
        <w:tc>
          <w:tcPr>
            <w:tcW w:w="7745" w:type="dxa"/>
            <w:gridSpan w:val="6"/>
          </w:tcPr>
          <w:p w14:paraId="5B109264" w14:textId="77777777" w:rsidR="00104D61" w:rsidRPr="00480790" w:rsidRDefault="00104D61">
            <w:pPr>
              <w:pStyle w:val="NormalWeb"/>
              <w:spacing w:before="0" w:after="0"/>
              <w:textAlignment w:val="baseline"/>
              <w:rPr>
                <w:rFonts w:ascii="Arial Narrow" w:hAnsi="Arial Narrow"/>
                <w:sz w:val="20"/>
                <w:szCs w:val="20"/>
                <w:lang w:val="en-AU"/>
              </w:rPr>
            </w:pPr>
            <w:r w:rsidRPr="00480790">
              <w:rPr>
                <w:rStyle w:val="Strong"/>
                <w:rFonts w:ascii="Arial Narrow" w:hAnsi="Arial Narrow" w:cs="Open Sans"/>
                <w:sz w:val="20"/>
                <w:szCs w:val="20"/>
                <w:bdr w:val="none" w:sz="0" w:space="0" w:color="auto" w:frame="1"/>
                <w:lang w:val="en-AU"/>
              </w:rPr>
              <w:t xml:space="preserve">Treatment Phase: </w:t>
            </w:r>
            <w:r w:rsidRPr="00480790">
              <w:rPr>
                <w:rFonts w:ascii="Arial Narrow" w:hAnsi="Arial Narrow" w:cs="Open Sans"/>
                <w:sz w:val="20"/>
                <w:szCs w:val="20"/>
                <w:lang w:val="en-AU"/>
              </w:rPr>
              <w:t>Continuing treatment</w:t>
            </w:r>
          </w:p>
        </w:tc>
      </w:tr>
      <w:tr w:rsidR="00AB01EA" w:rsidRPr="00480790" w14:paraId="2BB6787F"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3FFA20B5" w14:textId="02F016AE" w:rsidR="00104D61" w:rsidRPr="00480790" w:rsidRDefault="00104D61">
            <w:pPr>
              <w:keepLines/>
              <w:jc w:val="center"/>
              <w:rPr>
                <w:rFonts w:ascii="Arial Narrow" w:hAnsi="Arial Narrow"/>
                <w:strike/>
                <w:sz w:val="20"/>
                <w:szCs w:val="20"/>
              </w:rPr>
            </w:pPr>
          </w:p>
        </w:tc>
        <w:tc>
          <w:tcPr>
            <w:tcW w:w="7745" w:type="dxa"/>
            <w:gridSpan w:val="6"/>
          </w:tcPr>
          <w:p w14:paraId="79C59372" w14:textId="77777777" w:rsidR="00104D61" w:rsidRPr="00480790" w:rsidRDefault="00104D61">
            <w:pPr>
              <w:keepLines/>
              <w:rPr>
                <w:rFonts w:ascii="Arial Narrow" w:hAnsi="Arial Narrow"/>
                <w:strike/>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2AEDDF89"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12397230" w14:textId="4FA2B194" w:rsidR="00104D61" w:rsidRPr="00480790" w:rsidRDefault="00104D61">
            <w:pPr>
              <w:keepLines/>
              <w:jc w:val="center"/>
              <w:rPr>
                <w:rFonts w:ascii="Arial Narrow" w:hAnsi="Arial Narrow"/>
                <w:strike/>
                <w:sz w:val="20"/>
                <w:szCs w:val="20"/>
              </w:rPr>
            </w:pPr>
          </w:p>
        </w:tc>
        <w:tc>
          <w:tcPr>
            <w:tcW w:w="7745" w:type="dxa"/>
            <w:gridSpan w:val="6"/>
          </w:tcPr>
          <w:p w14:paraId="40DE4AF1" w14:textId="77777777" w:rsidR="00104D61" w:rsidRPr="00480790" w:rsidRDefault="00104D61">
            <w:pPr>
              <w:keepLines/>
              <w:rPr>
                <w:rFonts w:ascii="Arial Narrow" w:hAnsi="Arial Narrow"/>
                <w:strike/>
                <w:sz w:val="20"/>
                <w:szCs w:val="20"/>
              </w:rPr>
            </w:pPr>
            <w:r w:rsidRPr="00480790">
              <w:rPr>
                <w:rFonts w:ascii="Arial Narrow" w:hAnsi="Arial Narrow" w:cs="Open Sans"/>
                <w:sz w:val="20"/>
                <w:szCs w:val="20"/>
              </w:rPr>
              <w:t>The treatment must be the sole PBS-subsidised systemic anti-cancer therapy for this PBS indication</w:t>
            </w:r>
          </w:p>
        </w:tc>
      </w:tr>
      <w:tr w:rsidR="00AB01EA" w:rsidRPr="00480790" w14:paraId="6A864B2E"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02A55866" w14:textId="77777777" w:rsidR="00104D61" w:rsidRPr="00480790" w:rsidRDefault="00104D61">
            <w:pPr>
              <w:keepLines/>
              <w:jc w:val="center"/>
              <w:rPr>
                <w:rFonts w:ascii="Arial Narrow" w:hAnsi="Arial Narrow"/>
                <w:strike/>
                <w:sz w:val="20"/>
                <w:szCs w:val="20"/>
              </w:rPr>
            </w:pPr>
          </w:p>
        </w:tc>
        <w:tc>
          <w:tcPr>
            <w:tcW w:w="7745" w:type="dxa"/>
            <w:gridSpan w:val="6"/>
          </w:tcPr>
          <w:p w14:paraId="1C3CFB6D" w14:textId="77777777" w:rsidR="00104D61" w:rsidRPr="00480790" w:rsidRDefault="00104D61">
            <w:pPr>
              <w:keepLines/>
              <w:rPr>
                <w:rFonts w:ascii="Arial Narrow" w:hAnsi="Arial Narrow"/>
                <w:strike/>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69B90C1C"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3CFF1899" w14:textId="2F836697" w:rsidR="00104D61" w:rsidRPr="00480790" w:rsidRDefault="00104D61">
            <w:pPr>
              <w:keepLines/>
              <w:jc w:val="center"/>
              <w:rPr>
                <w:rFonts w:ascii="Arial Narrow" w:hAnsi="Arial Narrow"/>
                <w:sz w:val="20"/>
                <w:szCs w:val="20"/>
              </w:rPr>
            </w:pPr>
          </w:p>
        </w:tc>
        <w:tc>
          <w:tcPr>
            <w:tcW w:w="7745" w:type="dxa"/>
            <w:gridSpan w:val="6"/>
          </w:tcPr>
          <w:p w14:paraId="215F8D36" w14:textId="77777777" w:rsidR="00104D61" w:rsidRPr="00480790" w:rsidRDefault="00104D61">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52AA95C4"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7B12708D" w14:textId="5F0387F2" w:rsidR="00104D61" w:rsidRPr="00480790" w:rsidRDefault="00104D61">
            <w:pPr>
              <w:keepLines/>
              <w:jc w:val="center"/>
              <w:rPr>
                <w:rFonts w:ascii="Arial Narrow" w:hAnsi="Arial Narrow"/>
                <w:sz w:val="20"/>
                <w:szCs w:val="20"/>
              </w:rPr>
            </w:pPr>
          </w:p>
        </w:tc>
        <w:tc>
          <w:tcPr>
            <w:tcW w:w="7745" w:type="dxa"/>
            <w:gridSpan w:val="6"/>
          </w:tcPr>
          <w:p w14:paraId="0D74BE06" w14:textId="77777777" w:rsidR="00104D61" w:rsidRPr="00480790" w:rsidRDefault="00104D61">
            <w:pPr>
              <w:keepLines/>
              <w:rPr>
                <w:rFonts w:ascii="Arial Narrow" w:hAnsi="Arial Narrow"/>
                <w:sz w:val="20"/>
                <w:szCs w:val="20"/>
              </w:rPr>
            </w:pPr>
            <w:r w:rsidRPr="00480790">
              <w:rPr>
                <w:rFonts w:ascii="Arial Narrow" w:hAnsi="Arial Narrow" w:cs="Open Sans"/>
                <w:sz w:val="20"/>
                <w:szCs w:val="20"/>
              </w:rPr>
              <w:t xml:space="preserve">Patient must have previously received PBS-subsidised treatment with this drug for this </w:t>
            </w:r>
            <w:r w:rsidRPr="00480790">
              <w:rPr>
                <w:rFonts w:ascii="Arial Narrow" w:hAnsi="Arial Narrow" w:cs="Open Sans"/>
                <w:strike/>
                <w:sz w:val="20"/>
                <w:szCs w:val="20"/>
              </w:rPr>
              <w:t xml:space="preserve">condition </w:t>
            </w:r>
            <w:r w:rsidRPr="00480790">
              <w:rPr>
                <w:rFonts w:ascii="Arial Narrow" w:hAnsi="Arial Narrow" w:cs="Open Sans"/>
                <w:i/>
                <w:iCs/>
                <w:sz w:val="20"/>
                <w:szCs w:val="20"/>
              </w:rPr>
              <w:t>indication</w:t>
            </w:r>
          </w:p>
        </w:tc>
      </w:tr>
      <w:tr w:rsidR="00AB01EA" w:rsidRPr="00480790" w14:paraId="045C3F32"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754052C5" w14:textId="77777777" w:rsidR="00104D61" w:rsidRPr="00480790" w:rsidRDefault="00104D61">
            <w:pPr>
              <w:keepLines/>
              <w:jc w:val="center"/>
              <w:rPr>
                <w:rFonts w:ascii="Arial Narrow" w:hAnsi="Arial Narrow"/>
                <w:sz w:val="20"/>
                <w:szCs w:val="20"/>
              </w:rPr>
            </w:pPr>
          </w:p>
        </w:tc>
        <w:tc>
          <w:tcPr>
            <w:tcW w:w="7745" w:type="dxa"/>
            <w:gridSpan w:val="6"/>
          </w:tcPr>
          <w:p w14:paraId="3FB45637" w14:textId="77777777" w:rsidR="00104D61" w:rsidRPr="00480790" w:rsidRDefault="00104D61">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AND</w:t>
            </w:r>
          </w:p>
        </w:tc>
      </w:tr>
      <w:tr w:rsidR="00AB01EA" w:rsidRPr="00480790" w14:paraId="3F165B77"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61F11204" w14:textId="258327A2" w:rsidR="00104D61" w:rsidRPr="00480790" w:rsidRDefault="00104D61">
            <w:pPr>
              <w:keepLines/>
              <w:jc w:val="center"/>
              <w:rPr>
                <w:rFonts w:ascii="Arial Narrow" w:hAnsi="Arial Narrow"/>
                <w:sz w:val="20"/>
                <w:szCs w:val="20"/>
              </w:rPr>
            </w:pPr>
          </w:p>
        </w:tc>
        <w:tc>
          <w:tcPr>
            <w:tcW w:w="7745" w:type="dxa"/>
            <w:gridSpan w:val="6"/>
          </w:tcPr>
          <w:p w14:paraId="784D0DC6" w14:textId="77777777" w:rsidR="00104D61" w:rsidRPr="00480790" w:rsidRDefault="00104D61">
            <w:pPr>
              <w:keepLines/>
              <w:rPr>
                <w:rFonts w:ascii="Arial Narrow" w:hAnsi="Arial Narrow"/>
                <w:sz w:val="20"/>
                <w:szCs w:val="20"/>
              </w:rPr>
            </w:pPr>
            <w:r w:rsidRPr="00480790">
              <w:rPr>
                <w:rStyle w:val="Strong"/>
                <w:rFonts w:ascii="Arial Narrow" w:hAnsi="Arial Narrow" w:cs="Open Sans"/>
                <w:sz w:val="20"/>
                <w:szCs w:val="20"/>
                <w:bdr w:val="none" w:sz="0" w:space="0" w:color="auto" w:frame="1"/>
              </w:rPr>
              <w:t>Clinical criteria:</w:t>
            </w:r>
          </w:p>
        </w:tc>
      </w:tr>
      <w:tr w:rsidR="00AB01EA" w:rsidRPr="00480790" w14:paraId="36BE2EE4" w14:textId="77777777" w:rsidTr="00A35F1C">
        <w:tblPrEx>
          <w:tblCellMar>
            <w:top w:w="15" w:type="dxa"/>
            <w:bottom w:w="15" w:type="dxa"/>
          </w:tblCellMar>
          <w:tblLook w:val="04A0" w:firstRow="1" w:lastRow="0" w:firstColumn="1" w:lastColumn="0" w:noHBand="0" w:noVBand="1"/>
        </w:tblPrEx>
        <w:trPr>
          <w:cantSplit/>
          <w:trHeight w:val="20"/>
        </w:trPr>
        <w:tc>
          <w:tcPr>
            <w:tcW w:w="1272" w:type="dxa"/>
            <w:gridSpan w:val="2"/>
          </w:tcPr>
          <w:p w14:paraId="57BFCBDB" w14:textId="339427BA" w:rsidR="00104D61" w:rsidRPr="00480790" w:rsidRDefault="00104D61">
            <w:pPr>
              <w:keepLines/>
              <w:jc w:val="center"/>
              <w:rPr>
                <w:rFonts w:ascii="Arial Narrow" w:hAnsi="Arial Narrow"/>
                <w:sz w:val="20"/>
                <w:szCs w:val="20"/>
              </w:rPr>
            </w:pPr>
          </w:p>
        </w:tc>
        <w:tc>
          <w:tcPr>
            <w:tcW w:w="7745" w:type="dxa"/>
            <w:gridSpan w:val="6"/>
          </w:tcPr>
          <w:p w14:paraId="73FC7269" w14:textId="77777777" w:rsidR="00104D61" w:rsidRPr="00480790" w:rsidRDefault="00104D61">
            <w:pPr>
              <w:keepLines/>
              <w:rPr>
                <w:rFonts w:ascii="Arial Narrow" w:hAnsi="Arial Narrow"/>
                <w:b/>
                <w:bCs/>
                <w:sz w:val="20"/>
                <w:szCs w:val="20"/>
              </w:rPr>
            </w:pPr>
            <w:r w:rsidRPr="00480790">
              <w:rPr>
                <w:rFonts w:ascii="Arial Narrow" w:hAnsi="Arial Narrow" w:cs="Open Sans"/>
                <w:sz w:val="20"/>
                <w:szCs w:val="20"/>
              </w:rPr>
              <w:t>Patient must not develop disease progression while receiving PBS-subsidised treatment with this drug for this condition</w:t>
            </w:r>
          </w:p>
        </w:tc>
      </w:tr>
    </w:tbl>
    <w:p w14:paraId="70989FD2" w14:textId="7092DB8E" w:rsidR="00F51280" w:rsidRDefault="00F51280" w:rsidP="00D13BED">
      <w:pPr>
        <w:spacing w:before="120"/>
        <w:rPr>
          <w:rFonts w:asciiTheme="minorHAnsi" w:hAnsiTheme="minorHAnsi"/>
          <w:b/>
          <w:i/>
          <w:iCs/>
          <w:snapToGrid w:val="0"/>
        </w:rPr>
      </w:pPr>
      <w:r w:rsidRPr="00480790">
        <w:rPr>
          <w:rFonts w:asciiTheme="minorHAnsi" w:hAnsiTheme="minorHAnsi"/>
          <w:b/>
          <w:i/>
          <w:iCs/>
          <w:snapToGrid w:val="0"/>
        </w:rPr>
        <w:t>These restrictions may be subject to further review. Should there be any changes made to the restriction the sponsor will be informed.</w:t>
      </w:r>
      <w:bookmarkEnd w:id="99"/>
    </w:p>
    <w:p w14:paraId="0360B312" w14:textId="77777777" w:rsidR="00B74ACC" w:rsidRPr="00B74ACC" w:rsidRDefault="00B74ACC" w:rsidP="00B74ACC">
      <w:pPr>
        <w:pStyle w:val="2-SectionHeading"/>
        <w:numPr>
          <w:ilvl w:val="0"/>
          <w:numId w:val="9"/>
        </w:numPr>
        <w:ind w:hanging="720"/>
      </w:pPr>
      <w:r w:rsidRPr="00B74ACC">
        <w:lastRenderedPageBreak/>
        <w:t>Context for Decision</w:t>
      </w:r>
    </w:p>
    <w:p w14:paraId="2FC25A6F" w14:textId="77777777" w:rsidR="00B74ACC" w:rsidRPr="00061CBE" w:rsidRDefault="00B74ACC" w:rsidP="00B74ACC">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E142432" w14:textId="47B53379" w:rsidR="00B74ACC" w:rsidRPr="00061CBE" w:rsidRDefault="00B74ACC" w:rsidP="00E66D7A">
      <w:pPr>
        <w:pStyle w:val="2-SectionHeading"/>
        <w:numPr>
          <w:ilvl w:val="0"/>
          <w:numId w:val="9"/>
        </w:numPr>
        <w:ind w:hanging="720"/>
      </w:pPr>
      <w:r w:rsidRPr="00061CBE">
        <w:t>Sponsor’s Comment</w:t>
      </w:r>
    </w:p>
    <w:p w14:paraId="019F9793" w14:textId="7EC32CB3" w:rsidR="004B5839" w:rsidRPr="00AB0DBE" w:rsidRDefault="0068092C" w:rsidP="00AB0DBE">
      <w:pPr>
        <w:ind w:left="720"/>
        <w:rPr>
          <w:rFonts w:asciiTheme="minorHAnsi" w:hAnsiTheme="minorHAnsi"/>
          <w:bCs/>
          <w:snapToGrid w:val="0"/>
        </w:rPr>
      </w:pPr>
      <w:r w:rsidRPr="007E3D90">
        <w:rPr>
          <w:rFonts w:asciiTheme="minorHAnsi" w:hAnsiTheme="minorHAnsi"/>
          <w:bCs/>
          <w:snapToGrid w:val="0"/>
        </w:rPr>
        <w:t xml:space="preserve">Roche welcomes the positive recommendation for PBS listing of alectinib as adjuvant treatment in patients following tumour resection of anaplastic lymphoma kinase (ALK)-positive non-small cell lung cancer (NSCLC) (tumours ≥4 cm or node positive). However, Roche is disappointed by </w:t>
      </w:r>
      <w:r w:rsidR="00581D65">
        <w:rPr>
          <w:rFonts w:asciiTheme="minorHAnsi" w:hAnsiTheme="minorHAnsi"/>
          <w:bCs/>
          <w:snapToGrid w:val="0"/>
        </w:rPr>
        <w:t xml:space="preserve">the </w:t>
      </w:r>
      <w:r w:rsidRPr="007E3D90">
        <w:rPr>
          <w:rFonts w:asciiTheme="minorHAnsi" w:hAnsiTheme="minorHAnsi"/>
          <w:bCs/>
          <w:snapToGrid w:val="0"/>
        </w:rPr>
        <w:t xml:space="preserve">PBAC’s decision not to allow alectinib re-treatment in the </w:t>
      </w:r>
      <w:r>
        <w:rPr>
          <w:rFonts w:asciiTheme="minorHAnsi" w:hAnsiTheme="minorHAnsi"/>
          <w:bCs/>
          <w:snapToGrid w:val="0"/>
        </w:rPr>
        <w:t>locally advanced/</w:t>
      </w:r>
      <w:r w:rsidRPr="007E3D90">
        <w:rPr>
          <w:rFonts w:asciiTheme="minorHAnsi" w:hAnsiTheme="minorHAnsi"/>
          <w:bCs/>
          <w:snapToGrid w:val="0"/>
        </w:rPr>
        <w:t>metastatic setting, and a further limitation that adjuvant therapy with alectinib would preclude</w:t>
      </w:r>
      <w:r w:rsidR="00581D65">
        <w:rPr>
          <w:rFonts w:asciiTheme="minorHAnsi" w:hAnsiTheme="minorHAnsi"/>
          <w:bCs/>
          <w:snapToGrid w:val="0"/>
        </w:rPr>
        <w:t xml:space="preserve"> the</w:t>
      </w:r>
      <w:r w:rsidRPr="007E3D90">
        <w:rPr>
          <w:rFonts w:asciiTheme="minorHAnsi" w:hAnsiTheme="minorHAnsi"/>
          <w:bCs/>
          <w:snapToGrid w:val="0"/>
        </w:rPr>
        <w:t xml:space="preserve"> use of any ALK tyrosine-kinase inhibitor (TKI) in the recurrent setting. Roche </w:t>
      </w:r>
      <w:r w:rsidR="005B3EAE">
        <w:rPr>
          <w:rFonts w:asciiTheme="minorHAnsi" w:hAnsiTheme="minorHAnsi"/>
          <w:bCs/>
          <w:snapToGrid w:val="0"/>
        </w:rPr>
        <w:t xml:space="preserve">notes </w:t>
      </w:r>
      <w:r w:rsidRPr="007E3D90">
        <w:rPr>
          <w:rFonts w:asciiTheme="minorHAnsi" w:hAnsiTheme="minorHAnsi"/>
          <w:bCs/>
          <w:snapToGrid w:val="0"/>
        </w:rPr>
        <w:t xml:space="preserve">ALK-positive NSCLC is a distinct molecular subtype where disease progression often remains ALK-driven. </w:t>
      </w:r>
      <w:r w:rsidR="00132E70">
        <w:rPr>
          <w:rFonts w:asciiTheme="minorHAnsi" w:hAnsiTheme="minorHAnsi"/>
          <w:bCs/>
          <w:snapToGrid w:val="0"/>
        </w:rPr>
        <w:t>Roche believes that c</w:t>
      </w:r>
      <w:r w:rsidRPr="007E3D90">
        <w:rPr>
          <w:rFonts w:asciiTheme="minorHAnsi" w:hAnsiTheme="minorHAnsi"/>
          <w:bCs/>
          <w:snapToGrid w:val="0"/>
        </w:rPr>
        <w:t xml:space="preserve">ontinuing ALK inhibition, even after disease progression, can provide better disease control and improve quality of life outcomes. </w:t>
      </w:r>
      <w:r w:rsidR="005B3EAE">
        <w:rPr>
          <w:rFonts w:asciiTheme="minorHAnsi" w:hAnsiTheme="minorHAnsi"/>
          <w:bCs/>
          <w:snapToGrid w:val="0"/>
        </w:rPr>
        <w:t xml:space="preserve">Roche notes </w:t>
      </w:r>
      <w:r w:rsidR="00E40D47">
        <w:rPr>
          <w:rFonts w:asciiTheme="minorHAnsi" w:hAnsiTheme="minorHAnsi"/>
          <w:bCs/>
          <w:snapToGrid w:val="0"/>
        </w:rPr>
        <w:t>t</w:t>
      </w:r>
      <w:r w:rsidRPr="007E3D90">
        <w:rPr>
          <w:rFonts w:asciiTheme="minorHAnsi" w:hAnsiTheme="minorHAnsi"/>
          <w:bCs/>
          <w:snapToGrid w:val="0"/>
        </w:rPr>
        <w:t xml:space="preserve">here are three generations of ALK TKIs available and reimbursed on the PBS, each with different mechanisms of action targeting ALK-positive disease. </w:t>
      </w:r>
      <w:r w:rsidR="00EF05FD">
        <w:rPr>
          <w:rFonts w:asciiTheme="minorHAnsi" w:hAnsiTheme="minorHAnsi"/>
          <w:bCs/>
          <w:snapToGrid w:val="0"/>
        </w:rPr>
        <w:t>Roche believes that t</w:t>
      </w:r>
      <w:r w:rsidRPr="007E3D90">
        <w:rPr>
          <w:rFonts w:asciiTheme="minorHAnsi" w:hAnsiTheme="minorHAnsi"/>
          <w:bCs/>
          <w:snapToGrid w:val="0"/>
        </w:rPr>
        <w:t>here is well-established</w:t>
      </w:r>
      <w:r w:rsidR="00EF05FD">
        <w:rPr>
          <w:rFonts w:asciiTheme="minorHAnsi" w:hAnsiTheme="minorHAnsi"/>
          <w:bCs/>
          <w:snapToGrid w:val="0"/>
        </w:rPr>
        <w:t>,</w:t>
      </w:r>
      <w:r w:rsidRPr="007E3D90">
        <w:rPr>
          <w:rFonts w:asciiTheme="minorHAnsi" w:hAnsiTheme="minorHAnsi"/>
          <w:bCs/>
          <w:snapToGrid w:val="0"/>
        </w:rPr>
        <w:t xml:space="preserve"> high</w:t>
      </w:r>
      <w:r w:rsidR="00EF05FD">
        <w:rPr>
          <w:rFonts w:asciiTheme="minorHAnsi" w:hAnsiTheme="minorHAnsi"/>
          <w:bCs/>
          <w:snapToGrid w:val="0"/>
        </w:rPr>
        <w:t>-</w:t>
      </w:r>
      <w:r w:rsidRPr="007E3D90">
        <w:rPr>
          <w:rFonts w:asciiTheme="minorHAnsi" w:hAnsiTheme="minorHAnsi"/>
          <w:bCs/>
          <w:snapToGrid w:val="0"/>
        </w:rPr>
        <w:t>quality evidence demonstrating the efficacy of targeted treatments in advanced ALK-positive NSCLC</w:t>
      </w:r>
      <w:r w:rsidR="00FA4C7D">
        <w:rPr>
          <w:rFonts w:asciiTheme="minorHAnsi" w:hAnsiTheme="minorHAnsi"/>
          <w:bCs/>
          <w:snapToGrid w:val="0"/>
        </w:rPr>
        <w:t xml:space="preserve"> </w:t>
      </w:r>
      <w:r w:rsidR="00EF05FD">
        <w:rPr>
          <w:rFonts w:asciiTheme="minorHAnsi" w:hAnsiTheme="minorHAnsi"/>
          <w:bCs/>
          <w:snapToGrid w:val="0"/>
        </w:rPr>
        <w:t xml:space="preserve">and seeks </w:t>
      </w:r>
      <w:r w:rsidR="0079667E">
        <w:rPr>
          <w:rFonts w:asciiTheme="minorHAnsi" w:hAnsiTheme="minorHAnsi"/>
          <w:bCs/>
          <w:snapToGrid w:val="0"/>
        </w:rPr>
        <w:t>to</w:t>
      </w:r>
      <w:r w:rsidRPr="007E3D90">
        <w:rPr>
          <w:rFonts w:asciiTheme="minorHAnsi" w:hAnsiTheme="minorHAnsi"/>
          <w:bCs/>
          <w:snapToGrid w:val="0"/>
        </w:rPr>
        <w:t xml:space="preserve"> further engage with the PBAC and the Department of Health, Disability and Ageing regarding re-treatment.</w:t>
      </w:r>
    </w:p>
    <w:sectPr w:rsidR="004B5839" w:rsidRPr="00AB0DBE" w:rsidSect="00F55013">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59B6D" w14:textId="77777777" w:rsidR="00CA794C" w:rsidRPr="00480790" w:rsidRDefault="00CA794C" w:rsidP="00124A51">
      <w:r w:rsidRPr="00480790">
        <w:separator/>
      </w:r>
    </w:p>
    <w:p w14:paraId="49588F85" w14:textId="77777777" w:rsidR="00CA794C" w:rsidRPr="00480790" w:rsidRDefault="00CA794C"/>
  </w:endnote>
  <w:endnote w:type="continuationSeparator" w:id="0">
    <w:p w14:paraId="7DEED1E1" w14:textId="77777777" w:rsidR="00CA794C" w:rsidRPr="00480790" w:rsidRDefault="00CA794C" w:rsidP="00124A51">
      <w:r w:rsidRPr="00480790">
        <w:continuationSeparator/>
      </w:r>
    </w:p>
    <w:p w14:paraId="4DF6A205" w14:textId="77777777" w:rsidR="00CA794C" w:rsidRPr="00480790" w:rsidRDefault="00CA794C"/>
  </w:endnote>
  <w:endnote w:type="continuationNotice" w:id="1">
    <w:p w14:paraId="1C56D95D" w14:textId="77777777" w:rsidR="00CA794C" w:rsidRPr="00480790" w:rsidRDefault="00C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A818" w14:textId="58AF6AF4" w:rsidR="00CC5BF5" w:rsidRDefault="00F64F04">
    <w:pPr>
      <w:pStyle w:val="Footer"/>
    </w:pPr>
    <w:r>
      <w:rPr>
        <w:noProof/>
      </w:rPr>
      <mc:AlternateContent>
        <mc:Choice Requires="wps">
          <w:drawing>
            <wp:anchor distT="0" distB="0" distL="0" distR="0" simplePos="0" relativeHeight="251668480" behindDoc="0" locked="0" layoutInCell="1" allowOverlap="1" wp14:anchorId="5CA6FEFC" wp14:editId="09A6FE09">
              <wp:simplePos x="635" y="635"/>
              <wp:positionH relativeFrom="page">
                <wp:align>center</wp:align>
              </wp:positionH>
              <wp:positionV relativeFrom="page">
                <wp:align>bottom</wp:align>
              </wp:positionV>
              <wp:extent cx="551815" cy="376555"/>
              <wp:effectExtent l="0" t="0" r="635" b="0"/>
              <wp:wrapNone/>
              <wp:docPr id="46913142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303372" w14:textId="6A325415" w:rsidR="00F64F04" w:rsidRPr="00F64F04" w:rsidRDefault="00F64F04" w:rsidP="00F64F04">
                          <w:pPr>
                            <w:rPr>
                              <w:rFonts w:eastAsia="Calibri" w:cs="Calibri"/>
                              <w:noProof/>
                              <w:color w:val="FF0000"/>
                            </w:rPr>
                          </w:pPr>
                          <w:r w:rsidRPr="00F64F04">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A6FEFC"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E303372" w14:textId="6A325415" w:rsidR="00F64F04" w:rsidRPr="00F64F04" w:rsidRDefault="00F64F04" w:rsidP="00F64F04">
                    <w:pPr>
                      <w:rPr>
                        <w:rFonts w:eastAsia="Calibri" w:cs="Calibri"/>
                        <w:noProof/>
                        <w:color w:val="FF0000"/>
                      </w:rPr>
                    </w:pPr>
                    <w:r w:rsidRPr="00F64F04">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6BED5" w14:textId="64F9F7B2" w:rsidR="007A68A1" w:rsidRPr="00480790" w:rsidRDefault="00F64F04">
    <w:pPr>
      <w:pStyle w:val="Footer"/>
      <w:jc w:val="center"/>
    </w:pPr>
    <w:r>
      <w:rPr>
        <w:noProof/>
      </w:rPr>
      <mc:AlternateContent>
        <mc:Choice Requires="wps">
          <w:drawing>
            <wp:anchor distT="0" distB="0" distL="0" distR="0" simplePos="0" relativeHeight="251669504" behindDoc="0" locked="0" layoutInCell="1" allowOverlap="1" wp14:anchorId="64A048FE" wp14:editId="1E7E885D">
              <wp:simplePos x="635" y="635"/>
              <wp:positionH relativeFrom="page">
                <wp:align>center</wp:align>
              </wp:positionH>
              <wp:positionV relativeFrom="page">
                <wp:align>bottom</wp:align>
              </wp:positionV>
              <wp:extent cx="551815" cy="376555"/>
              <wp:effectExtent l="0" t="0" r="635" b="0"/>
              <wp:wrapNone/>
              <wp:docPr id="211959611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C4953A" w14:textId="539D9F78" w:rsidR="00F64F04" w:rsidRPr="00F64F04" w:rsidRDefault="00F64F04" w:rsidP="00F64F04">
                          <w:pPr>
                            <w:rPr>
                              <w:rFonts w:eastAsia="Calibri" w:cs="Calibri"/>
                              <w:noProof/>
                              <w:color w:val="FF0000"/>
                            </w:rPr>
                          </w:pPr>
                          <w:r w:rsidRPr="00F64F04">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A048FE"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FC4953A" w14:textId="539D9F78" w:rsidR="00F64F04" w:rsidRPr="00F64F04" w:rsidRDefault="00F64F04" w:rsidP="00F64F04">
                    <w:pPr>
                      <w:rPr>
                        <w:rFonts w:eastAsia="Calibri" w:cs="Calibri"/>
                        <w:noProof/>
                        <w:color w:val="FF0000"/>
                      </w:rPr>
                    </w:pPr>
                    <w:r w:rsidRPr="00F64F04">
                      <w:rPr>
                        <w:rFonts w:eastAsia="Calibri" w:cs="Calibri"/>
                        <w:noProof/>
                        <w:color w:val="FF0000"/>
                      </w:rPr>
                      <w:t>OFFICIAL</w:t>
                    </w:r>
                  </w:p>
                </w:txbxContent>
              </v:textbox>
              <w10:wrap anchorx="page" anchory="page"/>
            </v:shape>
          </w:pict>
        </mc:Fallback>
      </mc:AlternateContent>
    </w:r>
  </w:p>
  <w:bookmarkStart w:id="101" w:name="_Hlk76375156"/>
  <w:p w14:paraId="5DE47CE5" w14:textId="5C565639" w:rsidR="007A68A1" w:rsidRPr="00480790" w:rsidRDefault="0094410E" w:rsidP="0094410E">
    <w:pPr>
      <w:pStyle w:val="Footer"/>
      <w:keepNext/>
      <w:ind w:left="360"/>
      <w:jc w:val="center"/>
      <w:rPr>
        <w:rFonts w:asciiTheme="minorHAnsi" w:hAnsiTheme="minorHAnsi"/>
      </w:rPr>
    </w:pPr>
    <w:r w:rsidRPr="00480790">
      <w:rPr>
        <w:b/>
      </w:rPr>
      <w:fldChar w:fldCharType="begin"/>
    </w:r>
    <w:r w:rsidRPr="00480790">
      <w:rPr>
        <w:b/>
      </w:rPr>
      <w:instrText xml:space="preserve"> PAGE   \* MERGEFORMAT </w:instrText>
    </w:r>
    <w:r w:rsidRPr="00480790">
      <w:rPr>
        <w:b/>
      </w:rPr>
      <w:fldChar w:fldCharType="separate"/>
    </w:r>
    <w:r w:rsidRPr="00480790">
      <w:rPr>
        <w:b/>
      </w:rPr>
      <w:t>1</w:t>
    </w:r>
    <w:r w:rsidRPr="00480790">
      <w:rPr>
        <w:b/>
      </w:rPr>
      <w:fldChar w:fldCharType="end"/>
    </w:r>
    <w:bookmarkEnd w:id="10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8505D" w14:textId="25DA50BA" w:rsidR="00CC5BF5" w:rsidRDefault="00F64F04">
    <w:pPr>
      <w:pStyle w:val="Footer"/>
    </w:pPr>
    <w:r>
      <w:rPr>
        <w:noProof/>
      </w:rPr>
      <mc:AlternateContent>
        <mc:Choice Requires="wps">
          <w:drawing>
            <wp:anchor distT="0" distB="0" distL="0" distR="0" simplePos="0" relativeHeight="251667456" behindDoc="0" locked="0" layoutInCell="1" allowOverlap="1" wp14:anchorId="4357BCBF" wp14:editId="04898B20">
              <wp:simplePos x="635" y="635"/>
              <wp:positionH relativeFrom="page">
                <wp:align>center</wp:align>
              </wp:positionH>
              <wp:positionV relativeFrom="page">
                <wp:align>bottom</wp:align>
              </wp:positionV>
              <wp:extent cx="551815" cy="376555"/>
              <wp:effectExtent l="0" t="0" r="635" b="0"/>
              <wp:wrapNone/>
              <wp:docPr id="70539637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4F4DCC" w14:textId="7C684061" w:rsidR="00F64F04" w:rsidRPr="00F64F04" w:rsidRDefault="00F64F04" w:rsidP="00F64F04">
                          <w:pPr>
                            <w:rPr>
                              <w:rFonts w:eastAsia="Calibri" w:cs="Calibri"/>
                              <w:noProof/>
                              <w:color w:val="FF0000"/>
                            </w:rPr>
                          </w:pPr>
                          <w:r w:rsidRPr="00F64F04">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57BCBF"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B4F4DCC" w14:textId="7C684061" w:rsidR="00F64F04" w:rsidRPr="00F64F04" w:rsidRDefault="00F64F04" w:rsidP="00F64F04">
                    <w:pPr>
                      <w:rPr>
                        <w:rFonts w:eastAsia="Calibri" w:cs="Calibri"/>
                        <w:noProof/>
                        <w:color w:val="FF0000"/>
                      </w:rPr>
                    </w:pPr>
                    <w:r w:rsidRPr="00F64F04">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84D35" w14:textId="77777777" w:rsidR="00CA794C" w:rsidRPr="00480790" w:rsidRDefault="00CA794C" w:rsidP="00124A51">
      <w:r w:rsidRPr="00480790">
        <w:separator/>
      </w:r>
    </w:p>
    <w:p w14:paraId="7986A31F" w14:textId="77777777" w:rsidR="00CA794C" w:rsidRPr="00480790" w:rsidRDefault="00CA794C"/>
  </w:footnote>
  <w:footnote w:type="continuationSeparator" w:id="0">
    <w:p w14:paraId="7C4C3BF9" w14:textId="77777777" w:rsidR="00CA794C" w:rsidRPr="00480790" w:rsidRDefault="00CA794C" w:rsidP="00124A51">
      <w:r w:rsidRPr="00480790">
        <w:continuationSeparator/>
      </w:r>
    </w:p>
    <w:p w14:paraId="13A5B699" w14:textId="77777777" w:rsidR="00CA794C" w:rsidRPr="00480790" w:rsidRDefault="00CA794C"/>
  </w:footnote>
  <w:footnote w:type="continuationNotice" w:id="1">
    <w:p w14:paraId="4E4C8089" w14:textId="77777777" w:rsidR="00CA794C" w:rsidRPr="00480790" w:rsidRDefault="00CA794C"/>
  </w:footnote>
  <w:footnote w:id="2">
    <w:p w14:paraId="33D00EA3" w14:textId="1CE7D6AD" w:rsidR="001C256F" w:rsidRPr="00480790" w:rsidRDefault="001C256F" w:rsidP="00C82749">
      <w:pPr>
        <w:pStyle w:val="FootnoteText"/>
        <w:spacing w:after="0"/>
        <w:rPr>
          <w:lang w:val="en-AU"/>
        </w:rPr>
      </w:pPr>
      <w:r w:rsidRPr="00480790">
        <w:rPr>
          <w:rStyle w:val="FootnoteReference"/>
          <w:lang w:val="en-AU"/>
        </w:rPr>
        <w:footnoteRef/>
      </w:r>
      <w:r w:rsidRPr="00480790">
        <w:rPr>
          <w:lang w:val="en-AU"/>
        </w:rPr>
        <w:t xml:space="preserve"> Para. 5.1, nivolumab, </w:t>
      </w:r>
      <w:r w:rsidR="00AD487F">
        <w:rPr>
          <w:lang w:val="en-AU"/>
        </w:rPr>
        <w:t xml:space="preserve">Public Summary Document </w:t>
      </w:r>
      <w:r w:rsidR="00E00D56">
        <w:rPr>
          <w:lang w:val="en-AU"/>
        </w:rPr>
        <w:t>(</w:t>
      </w:r>
      <w:r w:rsidRPr="00480790">
        <w:rPr>
          <w:lang w:val="en-AU"/>
        </w:rPr>
        <w:t>PSD</w:t>
      </w:r>
      <w:r w:rsidR="00E00D56">
        <w:rPr>
          <w:lang w:val="en-AU"/>
        </w:rPr>
        <w:t>)</w:t>
      </w:r>
      <w:r w:rsidRPr="00480790">
        <w:rPr>
          <w:lang w:val="en-AU"/>
        </w:rPr>
        <w:t>, July 2023 PBAC Meeting.</w:t>
      </w:r>
    </w:p>
  </w:footnote>
  <w:footnote w:id="3">
    <w:p w14:paraId="4FCE5111" w14:textId="77777777" w:rsidR="001C256F" w:rsidRPr="00480790" w:rsidRDefault="001C256F" w:rsidP="00C82749">
      <w:pPr>
        <w:pStyle w:val="FootnoteText"/>
        <w:spacing w:after="0"/>
        <w:rPr>
          <w:lang w:val="en-AU"/>
        </w:rPr>
      </w:pPr>
      <w:r w:rsidRPr="00480790">
        <w:rPr>
          <w:rStyle w:val="FootnoteReference"/>
          <w:lang w:val="en-AU"/>
        </w:rPr>
        <w:footnoteRef/>
      </w:r>
      <w:r w:rsidRPr="00480790">
        <w:rPr>
          <w:lang w:val="en-AU"/>
        </w:rPr>
        <w:t xml:space="preserve"> Para. 7.1, atezolizumab, PSD, July 2022 PBAC Meeting</w:t>
      </w:r>
    </w:p>
  </w:footnote>
  <w:footnote w:id="4">
    <w:p w14:paraId="3908C873" w14:textId="77777777" w:rsidR="001C256F" w:rsidRPr="00480790" w:rsidRDefault="001C256F" w:rsidP="00C82749">
      <w:pPr>
        <w:pStyle w:val="FootnoteText"/>
        <w:spacing w:after="0"/>
        <w:rPr>
          <w:lang w:val="en-AU"/>
        </w:rPr>
      </w:pPr>
      <w:r w:rsidRPr="00480790">
        <w:rPr>
          <w:rStyle w:val="FootnoteReference"/>
          <w:lang w:val="en-AU"/>
        </w:rPr>
        <w:footnoteRef/>
      </w:r>
      <w:r w:rsidRPr="00480790">
        <w:rPr>
          <w:lang w:val="en-AU"/>
        </w:rPr>
        <w:t xml:space="preserve"> Para. 7.1, osimertinib, PSD, November 2023 PBAC Meeting</w:t>
      </w:r>
    </w:p>
  </w:footnote>
  <w:footnote w:id="5">
    <w:p w14:paraId="20FEC45D" w14:textId="77777777" w:rsidR="001C256F" w:rsidRPr="00480790" w:rsidRDefault="001C256F" w:rsidP="00D75B81">
      <w:pPr>
        <w:pStyle w:val="FootnoteText"/>
        <w:spacing w:after="0"/>
        <w:rPr>
          <w:lang w:val="en-AU"/>
        </w:rPr>
      </w:pPr>
      <w:r w:rsidRPr="00480790">
        <w:rPr>
          <w:rStyle w:val="FootnoteReference"/>
          <w:lang w:val="en-AU"/>
        </w:rPr>
        <w:footnoteRef/>
      </w:r>
      <w:r w:rsidRPr="00480790">
        <w:rPr>
          <w:lang w:val="en-AU"/>
        </w:rPr>
        <w:t xml:space="preserve"> Australian Government (2020) Cancer Australia. Lung cancer in Australia. </w:t>
      </w:r>
    </w:p>
  </w:footnote>
  <w:footnote w:id="6">
    <w:p w14:paraId="68BFDC6E" w14:textId="77777777" w:rsidR="001C256F" w:rsidRPr="00480790" w:rsidRDefault="001C256F" w:rsidP="00AD487F">
      <w:pPr>
        <w:pStyle w:val="FootnoteText"/>
        <w:spacing w:after="0"/>
        <w:rPr>
          <w:lang w:val="en-AU"/>
        </w:rPr>
      </w:pPr>
      <w:r w:rsidRPr="00480790">
        <w:rPr>
          <w:rStyle w:val="FootnoteReference"/>
          <w:lang w:val="en-AU"/>
        </w:rPr>
        <w:footnoteRef/>
      </w:r>
      <w:r w:rsidRPr="00480790">
        <w:rPr>
          <w:lang w:val="en-AU"/>
        </w:rPr>
        <w:t xml:space="preserve"> Soda M, Choi YL, Enomoto M, et al. (2007) Identification of the transforming EML4-ALK fusion gene in non-small-cell lung cancer. Nature 448: 561-566.</w:t>
      </w:r>
    </w:p>
  </w:footnote>
  <w:footnote w:id="7">
    <w:p w14:paraId="23784E17" w14:textId="77777777" w:rsidR="001C256F" w:rsidRPr="00480790" w:rsidRDefault="001C256F" w:rsidP="00E00D56">
      <w:pPr>
        <w:pStyle w:val="FootnoteText"/>
        <w:spacing w:after="0"/>
        <w:rPr>
          <w:lang w:val="en-AU"/>
        </w:rPr>
      </w:pPr>
      <w:r w:rsidRPr="00480790">
        <w:rPr>
          <w:rStyle w:val="FootnoteReference"/>
          <w:lang w:val="en-AU"/>
        </w:rPr>
        <w:footnoteRef/>
      </w:r>
      <w:r w:rsidRPr="00480790">
        <w:rPr>
          <w:lang w:val="en-AU"/>
        </w:rPr>
        <w:t xml:space="preserve"> Australian Government. Services Australia. Medicare Benefits Schedule statistics. 2025 http://medicarestatistics.humanservices.gov.au/statistics/mbs_item.jsp. This was based on calendar year 2019 to 2023 MBS processed claims data for MBS items 73341 and 73337.</w:t>
      </w:r>
    </w:p>
  </w:footnote>
  <w:footnote w:id="8">
    <w:p w14:paraId="595891EF" w14:textId="77777777" w:rsidR="001C256F" w:rsidRPr="00480790" w:rsidRDefault="001C256F" w:rsidP="00E00D56">
      <w:pPr>
        <w:pStyle w:val="FootnoteText"/>
        <w:spacing w:after="0"/>
        <w:rPr>
          <w:lang w:val="en-AU"/>
        </w:rPr>
      </w:pPr>
      <w:r w:rsidRPr="00480790">
        <w:rPr>
          <w:rStyle w:val="FootnoteReference"/>
          <w:lang w:val="en-AU"/>
        </w:rPr>
        <w:footnoteRef/>
      </w:r>
      <w:r w:rsidRPr="00480790">
        <w:rPr>
          <w:lang w:val="en-AU"/>
        </w:rPr>
        <w:t xml:space="preserve"> Shaw AT, Yeap BY, Mino-Kenudson M, et al. (2009) Clinical features and outcome of patients with non-small-cell lung cancer who harbor EML4-ALK. J Clin Oncol 27: 4247-4253; Chia PL, Mitchell P, Dobrovic A, et al. (2014) Prevalence and natural history of ALK positive non-small-cell lung cancer and the clinical impact of targeted therapy with ALK inhibitors. Clin Epidemiol 6: 423-432; Zhao F, Xu M, Lei H, et al. (2015) Clinicopathological characteristics of patients with non-small-cell lung cancer who harbor EML4-ALK fusion gene: a meta-analysis. PLoS One 10: e0117333; Mori M, Hayashi H, Fukuda M, et al. (2019) Clinical and computed tomography characteristics of non-small cell lung cancer with ALK gene rearrangement: Comparison with EGFR mutation and ALK/EGFR-negative lung cancer. Thorac Cancer 10: 872-879.</w:t>
      </w:r>
    </w:p>
  </w:footnote>
  <w:footnote w:id="9">
    <w:p w14:paraId="35E365E7" w14:textId="77777777" w:rsidR="001C256F" w:rsidRPr="00480790" w:rsidRDefault="001C256F" w:rsidP="00E00D56">
      <w:pPr>
        <w:pStyle w:val="FootnoteText"/>
        <w:spacing w:after="0"/>
        <w:rPr>
          <w:lang w:val="en-AU"/>
        </w:rPr>
      </w:pPr>
      <w:r w:rsidRPr="00480790">
        <w:rPr>
          <w:rStyle w:val="FootnoteReference"/>
          <w:lang w:val="en-AU"/>
        </w:rPr>
        <w:footnoteRef/>
      </w:r>
      <w:r w:rsidRPr="00480790">
        <w:rPr>
          <w:lang w:val="en-AU"/>
        </w:rPr>
        <w:t xml:space="preserve"> Johung KL, Yeh N, Desai NB, et al. (2016) Extended Survival and Prognostic Factors for Patients With ALK-Rearranged Non-Small-Cell Lung Cancer and Brain Metastasis. J Clin Oncol 34: 123-129; Shi W and Dicker AP. (2016) CNS Metastases in Patients With Non–Small-Cell Lung Cancer and ALK Gene Rearrangement. Journal of Clinical Oncology 34: 107-109; Rangachari D, Yamaguchi N, VanderLaan PA, et al. (2015) Brain metastases in patients with EGFR-mutated or ALK-rearranged non-small-cell lung cancers. Lung Cancer 88: 108-111. </w:t>
      </w:r>
    </w:p>
  </w:footnote>
  <w:footnote w:id="10">
    <w:p w14:paraId="6FC90DDB" w14:textId="77777777" w:rsidR="001C256F" w:rsidRPr="00480790" w:rsidRDefault="001C256F" w:rsidP="00DE0838">
      <w:pPr>
        <w:pStyle w:val="FootnoteText"/>
        <w:spacing w:after="0"/>
        <w:rPr>
          <w:lang w:val="en-AU"/>
        </w:rPr>
      </w:pPr>
      <w:r w:rsidRPr="00480790">
        <w:rPr>
          <w:rStyle w:val="FootnoteReference"/>
          <w:lang w:val="en-AU"/>
        </w:rPr>
        <w:footnoteRef/>
      </w:r>
      <w:r w:rsidRPr="00480790">
        <w:rPr>
          <w:lang w:val="en-AU"/>
        </w:rPr>
        <w:t xml:space="preserve"> Pignon JP, Tribodet H, Scagliotti GV, et al. (2008) Lung adjuvant cisplatin evaluation: a pooled analysis by the LACE Collaborative Group. J Clin Oncol 26: 3552-3559.</w:t>
      </w:r>
    </w:p>
  </w:footnote>
  <w:footnote w:id="11">
    <w:p w14:paraId="0F257A94" w14:textId="77777777" w:rsidR="001C256F" w:rsidRPr="00480790" w:rsidRDefault="001C256F" w:rsidP="0001734C">
      <w:pPr>
        <w:pStyle w:val="FootnoteText"/>
        <w:spacing w:after="0"/>
        <w:jc w:val="both"/>
        <w:rPr>
          <w:lang w:val="en-AU"/>
        </w:rPr>
      </w:pPr>
      <w:r w:rsidRPr="00480790">
        <w:rPr>
          <w:rStyle w:val="FootnoteReference"/>
          <w:lang w:val="en-AU"/>
        </w:rPr>
        <w:footnoteRef/>
      </w:r>
      <w:r w:rsidRPr="00480790">
        <w:rPr>
          <w:lang w:val="en-AU"/>
        </w:rPr>
        <w:t xml:space="preserve"> Roche National Lung Cancer Advisory Board (2023). Digital Advisory Board Minutes. </w:t>
      </w:r>
    </w:p>
  </w:footnote>
  <w:footnote w:id="12">
    <w:p w14:paraId="2BDC4886" w14:textId="77777777" w:rsidR="001C256F" w:rsidRPr="00480790" w:rsidRDefault="001C256F" w:rsidP="0001734C">
      <w:pPr>
        <w:pStyle w:val="FootnoteText"/>
        <w:spacing w:after="0"/>
        <w:jc w:val="both"/>
        <w:rPr>
          <w:lang w:val="en-AU"/>
        </w:rPr>
      </w:pPr>
      <w:r w:rsidRPr="00480790">
        <w:rPr>
          <w:rStyle w:val="FootnoteReference"/>
          <w:lang w:val="en-AU"/>
        </w:rPr>
        <w:footnoteRef/>
      </w:r>
      <w:r w:rsidRPr="00480790">
        <w:rPr>
          <w:lang w:val="en-AU"/>
        </w:rPr>
        <w:t xml:space="preserve"> Tankel J, Spicer J, Chu Q, et al. (2023) Canadian Consensus Recommendations for the Management of Operable Stage II/III Non-Small-Cell Lung Cancer: Results of a Modified Delphi Process. Curr Oncol 30: 10363-10384.</w:t>
      </w:r>
    </w:p>
  </w:footnote>
  <w:footnote w:id="13">
    <w:p w14:paraId="3CD6FE78" w14:textId="77777777" w:rsidR="001C256F" w:rsidRPr="00480790" w:rsidRDefault="001C256F" w:rsidP="0001734C">
      <w:pPr>
        <w:pStyle w:val="FootnoteText"/>
        <w:spacing w:after="0"/>
        <w:jc w:val="both"/>
        <w:rPr>
          <w:lang w:val="en-AU"/>
        </w:rPr>
      </w:pPr>
      <w:r w:rsidRPr="00480790">
        <w:rPr>
          <w:rStyle w:val="FootnoteReference"/>
          <w:lang w:val="en-AU"/>
        </w:rPr>
        <w:footnoteRef/>
      </w:r>
      <w:r w:rsidRPr="00480790">
        <w:rPr>
          <w:lang w:val="en-AU"/>
        </w:rPr>
        <w:t xml:space="preserve"> Cancer Council Australia. (2022) Clinical practice guidelines for the treatment of lung cancer.</w:t>
      </w:r>
    </w:p>
  </w:footnote>
  <w:footnote w:id="14">
    <w:p w14:paraId="1EED0781" w14:textId="77777777" w:rsidR="001C256F" w:rsidRPr="00480790" w:rsidRDefault="001C256F" w:rsidP="0001734C">
      <w:pPr>
        <w:pStyle w:val="FootnoteText"/>
        <w:spacing w:after="0"/>
        <w:jc w:val="both"/>
        <w:rPr>
          <w:lang w:val="en-AU"/>
        </w:rPr>
      </w:pPr>
      <w:r w:rsidRPr="00480790">
        <w:rPr>
          <w:rStyle w:val="FootnoteReference"/>
          <w:lang w:val="en-AU"/>
        </w:rPr>
        <w:footnoteRef/>
      </w:r>
      <w:r w:rsidRPr="00480790">
        <w:rPr>
          <w:lang w:val="en-AU"/>
        </w:rPr>
        <w:t xml:space="preserve"> Pisters K, Kris MG, Gaspar LE, et al. (2022) Adjuvant Systemic Therapy and Adjuvant Radiation Therapy for Stage I-IIIA Completely Resected Non-Small-Cell Lung Cancer: ASCO Guideline Rapid Recommendation Update. J Clin Oncol 40: 1127-1129.</w:t>
      </w:r>
    </w:p>
  </w:footnote>
  <w:footnote w:id="15">
    <w:p w14:paraId="0645A567" w14:textId="77777777" w:rsidR="001C256F" w:rsidRPr="00480790" w:rsidRDefault="001C256F" w:rsidP="0001734C">
      <w:pPr>
        <w:pStyle w:val="FootnoteText"/>
        <w:spacing w:after="0"/>
        <w:jc w:val="both"/>
        <w:rPr>
          <w:lang w:val="en-AU"/>
        </w:rPr>
      </w:pPr>
      <w:r w:rsidRPr="00480790">
        <w:rPr>
          <w:rStyle w:val="FootnoteReference"/>
          <w:lang w:val="en-AU"/>
        </w:rPr>
        <w:footnoteRef/>
      </w:r>
      <w:r w:rsidRPr="00480790">
        <w:rPr>
          <w:lang w:val="en-AU"/>
        </w:rPr>
        <w:t xml:space="preserve"> Kris MG, Gaspar LE, Chaft JE, et al. (2017) Adjuvant Systemic Therapy and Adjuvant Radiation Therapy for Stage I to IIIA Completely Resected Non-Small-Cell Lung Cancers: American Society of Clinical Oncology/Cancer Care Ontario Clinical Practice Guideline Update. J Clin Oncol 35: 2960-2974.</w:t>
      </w:r>
    </w:p>
  </w:footnote>
  <w:footnote w:id="16">
    <w:p w14:paraId="38E7031C" w14:textId="77777777" w:rsidR="001C256F" w:rsidRPr="00480790" w:rsidRDefault="001C256F" w:rsidP="0001734C">
      <w:pPr>
        <w:pStyle w:val="FootnoteText"/>
        <w:spacing w:after="0"/>
        <w:jc w:val="both"/>
        <w:rPr>
          <w:lang w:val="en-AU"/>
        </w:rPr>
      </w:pPr>
      <w:r w:rsidRPr="00480790">
        <w:rPr>
          <w:rStyle w:val="FootnoteReference"/>
          <w:lang w:val="en-AU"/>
        </w:rPr>
        <w:footnoteRef/>
      </w:r>
      <w:r w:rsidRPr="00480790">
        <w:rPr>
          <w:lang w:val="en-AU"/>
        </w:rPr>
        <w:t xml:space="preserve"> Remon J, Soria JC and Peters S. (2021) Early and locally advanced non-small-cell lung cancer: an update of the ESMO Clinical Practice Guidelines focusing on diagnosis, staging, systemic and local therapy. Ann Oncol 32: 1637-1642.</w:t>
      </w:r>
    </w:p>
  </w:footnote>
  <w:footnote w:id="17">
    <w:p w14:paraId="116F26D6" w14:textId="77777777" w:rsidR="001C256F" w:rsidRPr="00480790" w:rsidRDefault="001C256F" w:rsidP="0001734C">
      <w:pPr>
        <w:pStyle w:val="FootnoteText"/>
        <w:spacing w:after="0"/>
        <w:jc w:val="both"/>
        <w:rPr>
          <w:lang w:val="en-AU"/>
        </w:rPr>
      </w:pPr>
      <w:r w:rsidRPr="00480790">
        <w:rPr>
          <w:rStyle w:val="FootnoteReference"/>
          <w:lang w:val="en-AU"/>
        </w:rPr>
        <w:footnoteRef/>
      </w:r>
      <w:r w:rsidRPr="00480790">
        <w:rPr>
          <w:lang w:val="en-AU"/>
        </w:rPr>
        <w:t xml:space="preserve"> Postmus PE, Kerr KM, Oudkerk M, et al. (2017) Early and locally advanced non-small-cell lung cancer (NSCLC): ESMO Clinical Practice Guidelines for diagnosis, treatment and follow-up. Ann Oncol 28: iv1-iv21.</w:t>
      </w:r>
    </w:p>
  </w:footnote>
  <w:footnote w:id="18">
    <w:p w14:paraId="7031952A" w14:textId="77777777" w:rsidR="001C256F" w:rsidRPr="00480790" w:rsidRDefault="001C256F" w:rsidP="0001734C">
      <w:pPr>
        <w:pStyle w:val="FootnoteText"/>
        <w:spacing w:after="0"/>
        <w:jc w:val="both"/>
        <w:rPr>
          <w:lang w:val="en-AU"/>
        </w:rPr>
      </w:pPr>
      <w:r w:rsidRPr="00480790">
        <w:rPr>
          <w:rStyle w:val="FootnoteReference"/>
          <w:lang w:val="en-AU"/>
        </w:rPr>
        <w:footnoteRef/>
      </w:r>
      <w:r w:rsidRPr="00480790">
        <w:rPr>
          <w:lang w:val="en-AU"/>
        </w:rPr>
        <w:t xml:space="preserve"> Roche National Lung Cancer Advisory Board, Digital Advisory Board Minutes, 2023.</w:t>
      </w:r>
    </w:p>
  </w:footnote>
  <w:footnote w:id="19">
    <w:p w14:paraId="393459A7" w14:textId="77777777" w:rsidR="001C256F" w:rsidRPr="00480790" w:rsidRDefault="001C256F" w:rsidP="0001734C">
      <w:pPr>
        <w:pStyle w:val="FootnoteText"/>
        <w:spacing w:after="0"/>
        <w:jc w:val="both"/>
        <w:rPr>
          <w:lang w:val="en-AU"/>
        </w:rPr>
      </w:pPr>
      <w:r w:rsidRPr="00480790">
        <w:rPr>
          <w:rStyle w:val="FootnoteReference"/>
          <w:lang w:val="en-AU"/>
        </w:rPr>
        <w:footnoteRef/>
      </w:r>
      <w:r w:rsidRPr="00480790">
        <w:rPr>
          <w:lang w:val="en-AU"/>
        </w:rPr>
        <w:t xml:space="preserve"> The ALINA trial under the AJCC/UICC 7th edition is stage IB to IIIA NSCLC.</w:t>
      </w:r>
    </w:p>
  </w:footnote>
  <w:footnote w:id="20">
    <w:p w14:paraId="28603D00" w14:textId="77777777" w:rsidR="001C256F" w:rsidRPr="00480790" w:rsidRDefault="001C256F" w:rsidP="00C41CD6">
      <w:pPr>
        <w:pStyle w:val="FootnoteText"/>
        <w:spacing w:after="0"/>
        <w:rPr>
          <w:lang w:val="en-AU"/>
        </w:rPr>
      </w:pPr>
      <w:r w:rsidRPr="00480790">
        <w:rPr>
          <w:rStyle w:val="FootnoteReference"/>
          <w:lang w:val="en-AU"/>
        </w:rPr>
        <w:footnoteRef/>
      </w:r>
      <w:r w:rsidRPr="00480790">
        <w:rPr>
          <w:lang w:val="en-AU"/>
        </w:rPr>
        <w:t xml:space="preserve"> The majority of patients in the control arm (80%) were treated with cisplatin-pemetrexed in the ALINA trial.</w:t>
      </w:r>
    </w:p>
  </w:footnote>
  <w:footnote w:id="21">
    <w:p w14:paraId="0F1100F8" w14:textId="77777777" w:rsidR="001C256F" w:rsidRPr="00480790" w:rsidRDefault="001C256F" w:rsidP="00C067B7">
      <w:pPr>
        <w:pStyle w:val="FootnoteText"/>
        <w:spacing w:after="0"/>
        <w:rPr>
          <w:lang w:val="en-AU"/>
        </w:rPr>
      </w:pPr>
      <w:r w:rsidRPr="00480790">
        <w:rPr>
          <w:rStyle w:val="FootnoteReference"/>
          <w:lang w:val="en-AU"/>
        </w:rPr>
        <w:footnoteRef/>
      </w:r>
      <w:r w:rsidRPr="00480790">
        <w:rPr>
          <w:lang w:val="en-AU"/>
        </w:rPr>
        <w:t xml:space="preserve"> Study BO40336 (ALINA) Retrospective Blinded Independent Central Review (BIRC) of Disease-Free Survival Data November 2023 referred to the BIRC and not the iDMC.</w:t>
      </w:r>
    </w:p>
  </w:footnote>
  <w:footnote w:id="22">
    <w:p w14:paraId="1A5EE703" w14:textId="77777777" w:rsidR="001C256F" w:rsidRPr="00480790" w:rsidRDefault="001C256F" w:rsidP="008D1940">
      <w:pPr>
        <w:pStyle w:val="FootnoteText"/>
        <w:spacing w:after="0"/>
        <w:rPr>
          <w:lang w:val="en-AU"/>
        </w:rPr>
      </w:pPr>
      <w:r w:rsidRPr="00480790">
        <w:rPr>
          <w:rStyle w:val="FootnoteReference"/>
          <w:lang w:val="en-AU"/>
        </w:rPr>
        <w:footnoteRef/>
      </w:r>
      <w:r w:rsidRPr="00480790">
        <w:rPr>
          <w:lang w:val="en-AU"/>
        </w:rPr>
        <w:t xml:space="preserve"> Maruish ME. User’s Manual for the SF-36v2 Health Survey (3rd edition). Quality Metric Incorporated 2011.</w:t>
      </w:r>
    </w:p>
  </w:footnote>
  <w:footnote w:id="23">
    <w:p w14:paraId="45D12B6A" w14:textId="77777777" w:rsidR="001C256F" w:rsidRPr="00480790" w:rsidRDefault="001C256F" w:rsidP="008D1940">
      <w:pPr>
        <w:pStyle w:val="FootnoteText"/>
        <w:spacing w:after="0"/>
        <w:rPr>
          <w:lang w:val="en-AU"/>
        </w:rPr>
      </w:pPr>
      <w:r w:rsidRPr="00480790">
        <w:rPr>
          <w:rStyle w:val="FootnoteReference"/>
          <w:lang w:val="en-AU"/>
        </w:rPr>
        <w:footnoteRef/>
      </w:r>
      <w:r w:rsidRPr="00480790">
        <w:rPr>
          <w:lang w:val="en-AU"/>
        </w:rPr>
        <w:t xml:space="preserve"> Study BO40336 (ALINA) Retrospective Blinded Independent Central Review (BIRC) of Disease-Free Survival Data November 2023 referred to the BIRC and not the iDMC.</w:t>
      </w:r>
    </w:p>
  </w:footnote>
  <w:footnote w:id="24">
    <w:p w14:paraId="047B6CBC" w14:textId="77777777" w:rsidR="001C256F" w:rsidRPr="00480790" w:rsidRDefault="001C256F" w:rsidP="008D1940">
      <w:pPr>
        <w:pStyle w:val="FootnoteText"/>
        <w:spacing w:after="0"/>
        <w:rPr>
          <w:lang w:val="en-AU"/>
        </w:rPr>
      </w:pPr>
      <w:r w:rsidRPr="00480790">
        <w:rPr>
          <w:rStyle w:val="FootnoteReference"/>
          <w:lang w:val="en-AU"/>
        </w:rPr>
        <w:footnoteRef/>
      </w:r>
      <w:r w:rsidRPr="00480790">
        <w:rPr>
          <w:lang w:val="en-AU"/>
        </w:rPr>
        <w:t xml:space="preserve"> Cherny N, Sullivan R, Dafni U, et al. (2015) A standardised, generic, validated approach to stratify the magnitude of clinical benefit that can be anticipated from anti-cancer therapies: the European Society for Medical Oncology Magnitude of Clinical Benefit Scale (ESMO-MCBS). Ann Oncol 26: 1547-1573.</w:t>
      </w:r>
    </w:p>
  </w:footnote>
  <w:footnote w:id="25">
    <w:p w14:paraId="0E071901" w14:textId="0898DF4A" w:rsidR="001C256F" w:rsidRPr="00480790" w:rsidRDefault="001C256F" w:rsidP="008D1940">
      <w:pPr>
        <w:pStyle w:val="FootnoteText"/>
        <w:spacing w:after="0"/>
        <w:rPr>
          <w:lang w:val="en-AU"/>
        </w:rPr>
      </w:pPr>
      <w:r w:rsidRPr="00480790">
        <w:rPr>
          <w:rStyle w:val="FootnoteReference"/>
          <w:lang w:val="en-AU"/>
        </w:rPr>
        <w:footnoteRef/>
      </w:r>
      <w:r w:rsidRPr="00480790">
        <w:rPr>
          <w:lang w:val="en-AU"/>
        </w:rPr>
        <w:t xml:space="preserve"> </w:t>
      </w:r>
      <w:bookmarkStart w:id="42" w:name="_Hlk190690910"/>
      <w:r w:rsidRPr="00480790">
        <w:rPr>
          <w:lang w:val="en-AU"/>
        </w:rPr>
        <w:t>Study BO40336 (ALINA) Retrospective Blinded Independent Central Review (BIRC) of Disease-Free Survival Data November 2023 referred to the BIRC and not the iDMC.</w:t>
      </w:r>
      <w:bookmarkEnd w:id="42"/>
    </w:p>
  </w:footnote>
  <w:footnote w:id="26">
    <w:p w14:paraId="4156F163" w14:textId="77777777" w:rsidR="001C256F" w:rsidRPr="00480790" w:rsidRDefault="001C256F" w:rsidP="003F18A3">
      <w:pPr>
        <w:pStyle w:val="FootnoteText"/>
        <w:spacing w:after="0"/>
        <w:rPr>
          <w:lang w:val="en-AU"/>
        </w:rPr>
      </w:pPr>
      <w:r w:rsidRPr="00480790">
        <w:rPr>
          <w:rStyle w:val="FootnoteReference"/>
          <w:rFonts w:eastAsiaTheme="minorEastAsia"/>
          <w:lang w:val="en-AU"/>
        </w:rPr>
        <w:footnoteRef/>
      </w:r>
      <w:r w:rsidRPr="00480790">
        <w:rPr>
          <w:lang w:val="en-AU"/>
        </w:rPr>
        <w:t xml:space="preserve"> Nakamichi S, Horinouchi H, Asao T, et al. (2017) Comparison of Radiotherapy and Chemoradiotherapy for Locoregional Recurrence of Non-small-cell Lung Cancer Developing After Surgery. Clin Lung Cancer 18: e441-e448.</w:t>
      </w:r>
    </w:p>
  </w:footnote>
  <w:footnote w:id="27">
    <w:p w14:paraId="3F773B61" w14:textId="77777777" w:rsidR="001C256F" w:rsidRPr="00480790" w:rsidRDefault="001C256F">
      <w:pPr>
        <w:pStyle w:val="FootnoteText"/>
        <w:rPr>
          <w:lang w:val="en-AU"/>
        </w:rPr>
      </w:pPr>
      <w:r w:rsidRPr="00480790">
        <w:rPr>
          <w:rStyle w:val="FootnoteReference"/>
          <w:lang w:val="en-AU"/>
        </w:rPr>
        <w:footnoteRef/>
      </w:r>
      <w:r w:rsidRPr="00480790">
        <w:rPr>
          <w:lang w:val="en-AU"/>
        </w:rPr>
        <w:t xml:space="preserve"> Alectinib Public Summary Document (July 2017 PBAC meeting).</w:t>
      </w:r>
    </w:p>
  </w:footnote>
  <w:footnote w:id="28">
    <w:p w14:paraId="5C2DDEF7" w14:textId="77777777" w:rsidR="001C256F" w:rsidRPr="00480790" w:rsidRDefault="001C256F" w:rsidP="00453DB2">
      <w:pPr>
        <w:pStyle w:val="FootnoteText"/>
        <w:spacing w:after="0"/>
        <w:rPr>
          <w:lang w:val="en-AU"/>
        </w:rPr>
      </w:pPr>
      <w:r w:rsidRPr="00480790">
        <w:rPr>
          <w:rStyle w:val="FootnoteReference"/>
          <w:lang w:val="en-AU"/>
        </w:rPr>
        <w:footnoteRef/>
      </w:r>
      <w:r w:rsidRPr="00480790">
        <w:rPr>
          <w:lang w:val="en-AU"/>
        </w:rPr>
        <w:t xml:space="preserve"> Chouaid C, Agulnik J, Goker E, et al. (2013) Health-related quality of life and utility in patients with advanced non-small-cell lung cancer: a prospective cross-sectional patient survey in a real-world setting. J Thorac Oncol 8: 997-1003.</w:t>
      </w:r>
    </w:p>
  </w:footnote>
  <w:footnote w:id="29">
    <w:p w14:paraId="66CF84B1" w14:textId="77777777" w:rsidR="001C256F" w:rsidRPr="00480790" w:rsidRDefault="001C256F" w:rsidP="00453DB2">
      <w:pPr>
        <w:pStyle w:val="FootnoteText"/>
        <w:spacing w:after="0"/>
        <w:rPr>
          <w:lang w:val="en-AU"/>
        </w:rPr>
      </w:pPr>
      <w:r w:rsidRPr="00480790">
        <w:rPr>
          <w:rStyle w:val="FootnoteReference"/>
          <w:rFonts w:eastAsiaTheme="minorEastAsia"/>
          <w:lang w:val="en-AU"/>
        </w:rPr>
        <w:footnoteRef/>
      </w:r>
      <w:r w:rsidRPr="00480790">
        <w:rPr>
          <w:lang w:val="en-AU"/>
        </w:rPr>
        <w:t xml:space="preserve"> National Hospital Cost Data Collection (NHCDC) Public Sector Report 2020-21 https://www.ihacpa.gov.au/resources/national-hospital-cost-data-collection-nhcdc-public-sector-report-2020-21</w:t>
      </w:r>
    </w:p>
  </w:footnote>
  <w:footnote w:id="30">
    <w:p w14:paraId="422267C5" w14:textId="77777777" w:rsidR="001C256F" w:rsidRPr="00480790" w:rsidRDefault="001C256F" w:rsidP="00453DB2">
      <w:pPr>
        <w:pStyle w:val="FootnoteText"/>
        <w:spacing w:after="0"/>
        <w:rPr>
          <w:lang w:val="en-AU"/>
        </w:rPr>
      </w:pPr>
      <w:r w:rsidRPr="00480790">
        <w:rPr>
          <w:rStyle w:val="FootnoteReference"/>
          <w:rFonts w:eastAsiaTheme="minorEastAsia"/>
          <w:lang w:val="en-AU"/>
        </w:rPr>
        <w:footnoteRef/>
      </w:r>
      <w:r w:rsidRPr="00480790">
        <w:rPr>
          <w:lang w:val="en-AU"/>
        </w:rPr>
        <w:t xml:space="preserve"> Batumalai V, Wong K, Shafiq J, et al. (2019) Estimating the cost of radiotherapy for 5-year local control and overall survival benefit. Radiother Oncol 136: 154-160.</w:t>
      </w:r>
    </w:p>
  </w:footnote>
  <w:footnote w:id="31">
    <w:p w14:paraId="3CF3D8DE" w14:textId="77777777" w:rsidR="001C256F" w:rsidRPr="00480790" w:rsidRDefault="001C256F" w:rsidP="00453DB2">
      <w:pPr>
        <w:pStyle w:val="FootnoteText"/>
        <w:spacing w:after="0"/>
        <w:rPr>
          <w:lang w:val="en-AU"/>
        </w:rPr>
      </w:pPr>
      <w:r w:rsidRPr="00480790">
        <w:rPr>
          <w:rStyle w:val="FootnoteReference"/>
          <w:rFonts w:eastAsiaTheme="minorEastAsia"/>
          <w:lang w:val="en-AU"/>
        </w:rPr>
        <w:footnoteRef/>
      </w:r>
      <w:r w:rsidRPr="00480790">
        <w:rPr>
          <w:lang w:val="en-AU"/>
        </w:rPr>
        <w:t xml:space="preserve"> Goldsbury DE, Weber MF, Yap S, et al. (2020) Health services costs for lung cancer care in Australia: Estimates from the 45 and Up Study. PLoS One 15: e0238018.</w:t>
      </w:r>
    </w:p>
  </w:footnote>
  <w:footnote w:id="32">
    <w:p w14:paraId="71D3907E" w14:textId="77777777" w:rsidR="001C256F" w:rsidRPr="00480790" w:rsidRDefault="001C256F" w:rsidP="007F0065">
      <w:pPr>
        <w:pStyle w:val="FootnoteText"/>
        <w:spacing w:after="0"/>
        <w:rPr>
          <w:lang w:val="en-AU"/>
        </w:rPr>
      </w:pPr>
      <w:r w:rsidRPr="00480790">
        <w:rPr>
          <w:rStyle w:val="FootnoteReference"/>
          <w:rFonts w:eastAsiaTheme="minorEastAsia"/>
          <w:lang w:val="en-AU"/>
        </w:rPr>
        <w:footnoteRef/>
      </w:r>
      <w:r w:rsidRPr="00480790">
        <w:rPr>
          <w:lang w:val="en-AU"/>
        </w:rPr>
        <w:t xml:space="preserve"> NICE (2024) Alectinib for adjuvant treatment of ALK-positive non-small-cell lung cancer</w:t>
      </w:r>
    </w:p>
    <w:p w14:paraId="5C5B156D" w14:textId="77777777" w:rsidR="001C256F" w:rsidRPr="00480790" w:rsidRDefault="001C256F" w:rsidP="007F0065">
      <w:pPr>
        <w:pStyle w:val="FootnoteText"/>
        <w:spacing w:after="0"/>
        <w:rPr>
          <w:lang w:val="en-AU"/>
        </w:rPr>
      </w:pPr>
      <w:r w:rsidRPr="00480790">
        <w:rPr>
          <w:lang w:val="en-AU"/>
        </w:rPr>
        <w:t xml:space="preserve">Technology appraisal guidance TA1014 Published: </w:t>
      </w:r>
    </w:p>
    <w:p w14:paraId="2D51E6EB" w14:textId="77777777" w:rsidR="001C256F" w:rsidRPr="00480790" w:rsidRDefault="001C256F" w:rsidP="007F0065">
      <w:pPr>
        <w:pStyle w:val="FootnoteText"/>
        <w:spacing w:after="0"/>
        <w:rPr>
          <w:lang w:val="en-AU"/>
        </w:rPr>
      </w:pPr>
      <w:r w:rsidRPr="00480790">
        <w:rPr>
          <w:lang w:val="en-AU"/>
        </w:rPr>
        <w:t>13 November 2024 https://www.nice.org.uk/guidance/ta1014/evidence</w:t>
      </w:r>
    </w:p>
  </w:footnote>
  <w:footnote w:id="33">
    <w:p w14:paraId="3A148390" w14:textId="77777777" w:rsidR="001C256F" w:rsidRPr="00480790" w:rsidRDefault="001C256F" w:rsidP="00CF4218">
      <w:pPr>
        <w:pStyle w:val="FootnoteText"/>
        <w:spacing w:after="0"/>
        <w:rPr>
          <w:lang w:val="en-AU"/>
        </w:rPr>
      </w:pPr>
      <w:r w:rsidRPr="00480790">
        <w:rPr>
          <w:rStyle w:val="FootnoteReference"/>
          <w:rFonts w:eastAsiaTheme="minorEastAsia"/>
          <w:lang w:val="en-AU"/>
        </w:rPr>
        <w:footnoteRef/>
      </w:r>
      <w:r w:rsidRPr="00480790">
        <w:rPr>
          <w:lang w:val="en-AU"/>
        </w:rPr>
        <w:t xml:space="preserve"> NCCN. (2024) National Comprehensive Cancer Network. NCCN Clinical Practice Guidelines in Oncology. Non-Small Cell Lung Cancer. (Version 5.2024).</w:t>
      </w:r>
    </w:p>
  </w:footnote>
  <w:footnote w:id="34">
    <w:p w14:paraId="4007FC03" w14:textId="77777777" w:rsidR="001C256F" w:rsidRPr="00480790" w:rsidRDefault="001C256F" w:rsidP="00CF4218">
      <w:pPr>
        <w:pStyle w:val="FootnoteText"/>
        <w:spacing w:after="0"/>
        <w:rPr>
          <w:lang w:val="en-AU"/>
        </w:rPr>
      </w:pPr>
      <w:r w:rsidRPr="00480790">
        <w:rPr>
          <w:rStyle w:val="FootnoteReference"/>
          <w:rFonts w:eastAsiaTheme="minorEastAsia"/>
          <w:lang w:val="en-AU"/>
        </w:rPr>
        <w:footnoteRef/>
      </w:r>
      <w:r w:rsidRPr="00480790">
        <w:rPr>
          <w:lang w:val="en-AU"/>
        </w:rPr>
        <w:t xml:space="preserve"> NICE. (2024) National Institute for Health and Care Excellence (NICE). Lung cancer: diagnosis and management. NICE guidelines published 28 March 2019. Last updated 8 March 2024. Available from: www.nice.org.uk/guidance/ng122.</w:t>
      </w:r>
    </w:p>
  </w:footnote>
  <w:footnote w:id="35">
    <w:p w14:paraId="0D5BCA9F" w14:textId="77777777" w:rsidR="001C256F" w:rsidRPr="00480790" w:rsidRDefault="001C256F" w:rsidP="00CF4218">
      <w:pPr>
        <w:pStyle w:val="FootnoteText"/>
        <w:spacing w:after="0"/>
        <w:rPr>
          <w:lang w:val="en-AU"/>
        </w:rPr>
      </w:pPr>
      <w:r w:rsidRPr="00480790">
        <w:rPr>
          <w:rStyle w:val="FootnoteReference"/>
          <w:rFonts w:eastAsiaTheme="minorEastAsia"/>
          <w:lang w:val="en-AU"/>
        </w:rPr>
        <w:footnoteRef/>
      </w:r>
      <w:r w:rsidRPr="00480790">
        <w:rPr>
          <w:lang w:val="en-AU"/>
        </w:rPr>
        <w:t xml:space="preserve"> Mok T, Camidge DR, Gadgeel SM, et al. (2020) Updated overall survival and final progression-free survival data for patients with treatment-naive advanced ALK-positive non-small-cell lung cancer in the ALEX study. Ann Oncol 31: 1056-1064</w:t>
      </w:r>
    </w:p>
  </w:footnote>
  <w:footnote w:id="36">
    <w:p w14:paraId="1578ECD6" w14:textId="77777777" w:rsidR="001C256F" w:rsidRPr="00480790" w:rsidRDefault="001C256F" w:rsidP="00CF4218">
      <w:pPr>
        <w:pStyle w:val="FootnoteText"/>
        <w:spacing w:after="0"/>
        <w:rPr>
          <w:lang w:val="en-AU"/>
        </w:rPr>
      </w:pPr>
      <w:r w:rsidRPr="00480790">
        <w:rPr>
          <w:rStyle w:val="FootnoteReference"/>
          <w:rFonts w:eastAsiaTheme="minorEastAsia"/>
          <w:lang w:val="en-AU"/>
        </w:rPr>
        <w:footnoteRef/>
      </w:r>
      <w:r w:rsidRPr="00480790">
        <w:rPr>
          <w:lang w:val="en-AU"/>
        </w:rPr>
        <w:t xml:space="preserve"> </w:t>
      </w:r>
      <w:r w:rsidRPr="00480790">
        <w:rPr>
          <w:i/>
          <w:iCs/>
          <w:lang w:val="en-AU"/>
        </w:rPr>
        <w:t>Solomon BJ, et al. (2024) Lorlatinib Versus Crizotinib in Patients With Advanced ALK-Positive Non–Small Cell Lung Cancer: 5-Year Outcomes From the Phase III CROWN Study. J Clin Oncol Vol 42, Issue 29: 3400-3409.</w:t>
      </w:r>
    </w:p>
  </w:footnote>
  <w:footnote w:id="37">
    <w:p w14:paraId="5B22949F" w14:textId="77777777" w:rsidR="001C256F" w:rsidRPr="00480790" w:rsidRDefault="001C256F" w:rsidP="00284677">
      <w:pPr>
        <w:pStyle w:val="FootnoteText"/>
        <w:spacing w:after="0"/>
        <w:rPr>
          <w:lang w:val="en-AU"/>
        </w:rPr>
      </w:pPr>
      <w:r w:rsidRPr="00480790">
        <w:rPr>
          <w:rStyle w:val="FootnoteReference"/>
          <w:rFonts w:eastAsiaTheme="minorEastAsia"/>
          <w:lang w:val="en-AU"/>
        </w:rPr>
        <w:footnoteRef/>
      </w:r>
      <w:r w:rsidRPr="00480790">
        <w:rPr>
          <w:lang w:val="en-AU"/>
        </w:rPr>
        <w:t xml:space="preserve"> Goldsbury DE, Weber MF, Yap S, et al. (2020) Health services costs for lung cancer care in Australia: Estimates from the 45 and Up Study. PLoS One 15: e0238018.</w:t>
      </w:r>
    </w:p>
  </w:footnote>
  <w:footnote w:id="38">
    <w:p w14:paraId="58AC9185" w14:textId="77777777" w:rsidR="001C256F" w:rsidRPr="0058396F" w:rsidRDefault="001C256F" w:rsidP="00751EBB">
      <w:pPr>
        <w:pStyle w:val="EndNoteBibliography"/>
        <w:ind w:left="720" w:hanging="720"/>
        <w:rPr>
          <w:noProof w:val="0"/>
          <w:sz w:val="18"/>
          <w:szCs w:val="18"/>
        </w:rPr>
      </w:pPr>
      <w:r w:rsidRPr="0058396F">
        <w:rPr>
          <w:rStyle w:val="FootnoteReference"/>
          <w:noProof w:val="0"/>
          <w:sz w:val="18"/>
          <w:szCs w:val="18"/>
        </w:rPr>
        <w:footnoteRef/>
      </w:r>
      <w:r w:rsidRPr="0058396F">
        <w:rPr>
          <w:noProof w:val="0"/>
          <w:sz w:val="18"/>
          <w:szCs w:val="18"/>
        </w:rPr>
        <w:t xml:space="preserve"> AIHW. (2023) Cancer data in Australia (CDIA). Cancer incidence projections (long-term). Accessed 12 June 2024 </w:t>
      </w:r>
      <w:hyperlink r:id="rId1" w:history="1">
        <w:r w:rsidRPr="0058396F">
          <w:rPr>
            <w:rStyle w:val="Hyperlink"/>
            <w:noProof w:val="0"/>
            <w:color w:val="auto"/>
            <w:sz w:val="18"/>
            <w:szCs w:val="18"/>
          </w:rPr>
          <w:t>https://www.aihw.gov.au/reports/cancer/cancer-data-in-australia/data</w:t>
        </w:r>
      </w:hyperlink>
    </w:p>
  </w:footnote>
  <w:footnote w:id="39">
    <w:p w14:paraId="6F577B86" w14:textId="77777777" w:rsidR="001C256F" w:rsidRPr="00480790" w:rsidRDefault="001C256F" w:rsidP="0057438B">
      <w:pPr>
        <w:pStyle w:val="FootnoteText"/>
        <w:spacing w:after="0"/>
        <w:rPr>
          <w:lang w:val="en-AU"/>
        </w:rPr>
      </w:pPr>
      <w:r w:rsidRPr="00480790">
        <w:rPr>
          <w:rStyle w:val="FootnoteReference"/>
          <w:lang w:val="en-AU"/>
        </w:rPr>
        <w:footnoteRef/>
      </w:r>
      <w:r w:rsidRPr="00480790">
        <w:rPr>
          <w:lang w:val="en-AU"/>
        </w:rPr>
        <w:t xml:space="preserve"> The first source was a retrospective chart review of patients with surgically resected stage I-III NSCLC (n=764), where an ALK positivity rate of 4% was reported based on FISH testing (Chaft et al 2018) (p112 of the submission). This was also consistent with Arbour &amp; Riely (2017), who cited an ALK positive rate of approximately 5%.</w:t>
      </w:r>
    </w:p>
  </w:footnote>
  <w:footnote w:id="40">
    <w:p w14:paraId="0A2AA637" w14:textId="77777777" w:rsidR="001C256F" w:rsidRPr="00480790" w:rsidRDefault="001C256F" w:rsidP="0057438B">
      <w:pPr>
        <w:pStyle w:val="FootnoteText"/>
        <w:spacing w:after="0"/>
        <w:rPr>
          <w:lang w:val="en-AU"/>
        </w:rPr>
      </w:pPr>
      <w:r w:rsidRPr="00480790">
        <w:rPr>
          <w:rStyle w:val="FootnoteReference"/>
          <w:lang w:val="en-AU"/>
        </w:rPr>
        <w:footnoteRef/>
      </w:r>
      <w:r w:rsidRPr="00480790">
        <w:rPr>
          <w:lang w:val="en-AU"/>
        </w:rPr>
        <w:t xml:space="preserve"> Australian Government. (2023) Establishing the National Lung Cancer Screening Program. Accessed 17 June 2024 https://www.health.gov.au/our-work/nlcsp/establishing-program</w:t>
      </w:r>
    </w:p>
  </w:footnote>
  <w:footnote w:id="41">
    <w:p w14:paraId="21373A10" w14:textId="77777777" w:rsidR="001C256F" w:rsidRPr="00000D8D" w:rsidRDefault="001C256F" w:rsidP="0057438B">
      <w:pPr>
        <w:pStyle w:val="FootnoteText"/>
        <w:spacing w:after="0"/>
      </w:pPr>
      <w:r w:rsidRPr="00480790">
        <w:rPr>
          <w:rStyle w:val="FootnoteReference"/>
          <w:lang w:val="en-AU"/>
        </w:rPr>
        <w:footnoteRef/>
      </w:r>
      <w:r w:rsidRPr="00480790">
        <w:rPr>
          <w:lang w:val="en-AU"/>
        </w:rPr>
        <w:t xml:space="preserve"> How the NLCSP will work. Australian Government. https://www.health.gov.au/our-work/nlcsp/how-it-works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057D" w14:textId="41E0E90E" w:rsidR="00CC5BF5" w:rsidRDefault="00F64F04">
    <w:pPr>
      <w:pStyle w:val="Header"/>
    </w:pPr>
    <w:r>
      <w:rPr>
        <w:noProof/>
      </w:rPr>
      <mc:AlternateContent>
        <mc:Choice Requires="wps">
          <w:drawing>
            <wp:anchor distT="0" distB="0" distL="0" distR="0" simplePos="0" relativeHeight="251665408" behindDoc="0" locked="0" layoutInCell="1" allowOverlap="1" wp14:anchorId="6C59917B" wp14:editId="0AF71054">
              <wp:simplePos x="635" y="635"/>
              <wp:positionH relativeFrom="page">
                <wp:align>center</wp:align>
              </wp:positionH>
              <wp:positionV relativeFrom="page">
                <wp:align>top</wp:align>
              </wp:positionV>
              <wp:extent cx="551815" cy="376555"/>
              <wp:effectExtent l="0" t="0" r="635" b="4445"/>
              <wp:wrapNone/>
              <wp:docPr id="31381055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C823C5B" w14:textId="2B5269CB" w:rsidR="00F64F04" w:rsidRPr="00F64F04" w:rsidRDefault="00F64F04" w:rsidP="00F64F04">
                          <w:pPr>
                            <w:rPr>
                              <w:rFonts w:eastAsia="Calibri" w:cs="Calibri"/>
                              <w:noProof/>
                              <w:color w:val="FF0000"/>
                            </w:rPr>
                          </w:pPr>
                          <w:r w:rsidRPr="00F64F04">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59917B"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7C823C5B" w14:textId="2B5269CB" w:rsidR="00F64F04" w:rsidRPr="00F64F04" w:rsidRDefault="00F64F04" w:rsidP="00F64F04">
                    <w:pPr>
                      <w:rPr>
                        <w:rFonts w:eastAsia="Calibri" w:cs="Calibri"/>
                        <w:noProof/>
                        <w:color w:val="FF0000"/>
                      </w:rPr>
                    </w:pPr>
                    <w:r w:rsidRPr="00F64F04">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00" w:name="_Hlk76375146"/>
  <w:p w14:paraId="1D667135" w14:textId="29B0182B" w:rsidR="000C061D" w:rsidRPr="00480790" w:rsidRDefault="00F64F04" w:rsidP="001372FF">
    <w:pPr>
      <w:pStyle w:val="Header"/>
      <w:ind w:left="360"/>
      <w:rPr>
        <w:rFonts w:asciiTheme="minorHAnsi" w:hAnsiTheme="minorHAnsi"/>
        <w:i w:val="0"/>
        <w:color w:val="808080"/>
      </w:rPr>
    </w:pPr>
    <w:r>
      <w:rPr>
        <w:rFonts w:asciiTheme="minorHAnsi" w:hAnsiTheme="minorHAnsi"/>
        <w:noProof/>
        <w:color w:val="808080" w:themeColor="background1" w:themeShade="80"/>
      </w:rPr>
      <mc:AlternateContent>
        <mc:Choice Requires="wps">
          <w:drawing>
            <wp:anchor distT="0" distB="0" distL="0" distR="0" simplePos="0" relativeHeight="251666432" behindDoc="0" locked="0" layoutInCell="1" allowOverlap="1" wp14:anchorId="639BED48" wp14:editId="7CDC68B9">
              <wp:simplePos x="635" y="635"/>
              <wp:positionH relativeFrom="page">
                <wp:align>center</wp:align>
              </wp:positionH>
              <wp:positionV relativeFrom="page">
                <wp:align>top</wp:align>
              </wp:positionV>
              <wp:extent cx="551815" cy="376555"/>
              <wp:effectExtent l="0" t="0" r="635" b="4445"/>
              <wp:wrapNone/>
              <wp:docPr id="169311287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80F2E3" w14:textId="3CF2C0F6" w:rsidR="00F64F04" w:rsidRPr="00F64F04" w:rsidRDefault="00F64F04" w:rsidP="00F64F04">
                          <w:pPr>
                            <w:rPr>
                              <w:rFonts w:eastAsia="Calibri" w:cs="Calibri"/>
                              <w:noProof/>
                              <w:color w:val="FF0000"/>
                            </w:rPr>
                          </w:pPr>
                          <w:r w:rsidRPr="00F64F04">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9BED48"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B80F2E3" w14:textId="3CF2C0F6" w:rsidR="00F64F04" w:rsidRPr="00F64F04" w:rsidRDefault="00F64F04" w:rsidP="00F64F04">
                    <w:pPr>
                      <w:rPr>
                        <w:rFonts w:eastAsia="Calibri" w:cs="Calibri"/>
                        <w:noProof/>
                        <w:color w:val="FF0000"/>
                      </w:rPr>
                    </w:pPr>
                    <w:r w:rsidRPr="00F64F04">
                      <w:rPr>
                        <w:rFonts w:eastAsia="Calibri" w:cs="Calibri"/>
                        <w:noProof/>
                        <w:color w:val="FF0000"/>
                      </w:rPr>
                      <w:t>OFFICIAL</w:t>
                    </w:r>
                  </w:p>
                </w:txbxContent>
              </v:textbox>
              <w10:wrap anchorx="page" anchory="page"/>
            </v:shape>
          </w:pict>
        </mc:Fallback>
      </mc:AlternateContent>
    </w:r>
    <w:r w:rsidR="006E35C5">
      <w:rPr>
        <w:rFonts w:asciiTheme="minorHAnsi" w:hAnsiTheme="minorHAnsi"/>
        <w:color w:val="808080" w:themeColor="background1" w:themeShade="80"/>
      </w:rPr>
      <w:t>Public Summary Document</w:t>
    </w:r>
    <w:r w:rsidR="0019724A" w:rsidRPr="00480790">
      <w:rPr>
        <w:rFonts w:asciiTheme="minorHAnsi" w:hAnsiTheme="minorHAnsi"/>
        <w:color w:val="808080" w:themeColor="background1" w:themeShade="80"/>
      </w:rPr>
      <w:t xml:space="preserve"> </w:t>
    </w:r>
    <w:r w:rsidR="000C061D" w:rsidRPr="00480790">
      <w:rPr>
        <w:rFonts w:asciiTheme="minorHAnsi" w:hAnsiTheme="minorHAnsi"/>
        <w:color w:val="808080" w:themeColor="background1" w:themeShade="80"/>
      </w:rPr>
      <w:t>– Ma</w:t>
    </w:r>
    <w:r w:rsidR="001C256F" w:rsidRPr="00480790">
      <w:rPr>
        <w:rFonts w:asciiTheme="minorHAnsi" w:hAnsiTheme="minorHAnsi"/>
        <w:color w:val="808080" w:themeColor="background1" w:themeShade="80"/>
      </w:rPr>
      <w:t>y</w:t>
    </w:r>
    <w:r w:rsidR="000C061D" w:rsidRPr="00480790">
      <w:rPr>
        <w:rFonts w:asciiTheme="minorHAnsi" w:hAnsiTheme="minorHAnsi"/>
        <w:color w:val="808080" w:themeColor="background1" w:themeShade="80"/>
      </w:rPr>
      <w:t xml:space="preserve"> </w:t>
    </w:r>
    <w:r w:rsidR="5F5C39BE" w:rsidRPr="00480790">
      <w:rPr>
        <w:rFonts w:asciiTheme="minorHAnsi" w:hAnsiTheme="minorHAnsi"/>
        <w:color w:val="808080" w:themeColor="background1" w:themeShade="80"/>
      </w:rPr>
      <w:t>2025</w:t>
    </w:r>
    <w:r w:rsidR="000C061D" w:rsidRPr="00480790">
      <w:rPr>
        <w:rFonts w:asciiTheme="minorHAnsi" w:hAnsiTheme="minorHAnsi"/>
        <w:color w:val="808080" w:themeColor="background1" w:themeShade="80"/>
      </w:rPr>
      <w:t xml:space="preserve"> PBAC Meeting</w:t>
    </w:r>
  </w:p>
  <w:bookmarkEnd w:id="100"/>
  <w:p w14:paraId="6F2A9332" w14:textId="77777777" w:rsidR="00A358CB" w:rsidRPr="00480790" w:rsidRDefault="00A358CB" w:rsidP="00A358CB">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2D0C" w14:textId="59E12B1D" w:rsidR="00CC5BF5" w:rsidRDefault="00F64F04">
    <w:pPr>
      <w:pStyle w:val="Header"/>
    </w:pPr>
    <w:r>
      <w:rPr>
        <w:noProof/>
      </w:rPr>
      <mc:AlternateContent>
        <mc:Choice Requires="wps">
          <w:drawing>
            <wp:anchor distT="0" distB="0" distL="0" distR="0" simplePos="0" relativeHeight="251664384" behindDoc="0" locked="0" layoutInCell="1" allowOverlap="1" wp14:anchorId="2E3FD8A5" wp14:editId="28531A9D">
              <wp:simplePos x="635" y="635"/>
              <wp:positionH relativeFrom="page">
                <wp:align>center</wp:align>
              </wp:positionH>
              <wp:positionV relativeFrom="page">
                <wp:align>top</wp:align>
              </wp:positionV>
              <wp:extent cx="551815" cy="376555"/>
              <wp:effectExtent l="0" t="0" r="635" b="4445"/>
              <wp:wrapNone/>
              <wp:docPr id="102658871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D1F0A5" w14:textId="6B09B624" w:rsidR="00F64F04" w:rsidRPr="00F64F04" w:rsidRDefault="00F64F04" w:rsidP="00F64F04">
                          <w:pPr>
                            <w:rPr>
                              <w:rFonts w:eastAsia="Calibri" w:cs="Calibri"/>
                              <w:noProof/>
                              <w:color w:val="FF0000"/>
                            </w:rPr>
                          </w:pPr>
                          <w:r w:rsidRPr="00F64F04">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3FD8A5"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2D1F0A5" w14:textId="6B09B624" w:rsidR="00F64F04" w:rsidRPr="00F64F04" w:rsidRDefault="00F64F04" w:rsidP="00F64F04">
                    <w:pPr>
                      <w:rPr>
                        <w:rFonts w:eastAsia="Calibri" w:cs="Calibri"/>
                        <w:noProof/>
                        <w:color w:val="FF0000"/>
                      </w:rPr>
                    </w:pPr>
                    <w:r w:rsidRPr="00F64F04">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160FE"/>
    <w:multiLevelType w:val="hybridMultilevel"/>
    <w:tmpl w:val="1A50B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C0490A"/>
    <w:multiLevelType w:val="multilevel"/>
    <w:tmpl w:val="BAAA91D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0346AD7"/>
    <w:multiLevelType w:val="hybridMultilevel"/>
    <w:tmpl w:val="7EEEF028"/>
    <w:lvl w:ilvl="0" w:tplc="0A6E900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0EB5506"/>
    <w:multiLevelType w:val="hybridMultilevel"/>
    <w:tmpl w:val="5FE2E7BE"/>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010D3"/>
    <w:multiLevelType w:val="multilevel"/>
    <w:tmpl w:val="F406343C"/>
    <w:lvl w:ilvl="0">
      <w:start w:val="1"/>
      <w:numFmt w:val="decimal"/>
      <w:lvlText w:val="%1"/>
      <w:lvlJc w:val="left"/>
      <w:pPr>
        <w:ind w:left="720" w:hanging="360"/>
      </w:pPr>
      <w:rPr>
        <w:rFonts w:hint="default"/>
      </w:rPr>
    </w:lvl>
    <w:lvl w:ilvl="1">
      <w:start w:val="1"/>
      <w:numFmt w:val="decimal"/>
      <w:pStyle w:val="3-BodyText"/>
      <w:isLgl/>
      <w:lvlText w:val="%1.%2"/>
      <w:lvlJc w:val="left"/>
      <w:pPr>
        <w:ind w:left="1080" w:hanging="360"/>
      </w:pPr>
      <w:rPr>
        <w:rFonts w:hint="default"/>
        <w:b w:val="0"/>
        <w:b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1A208D4"/>
    <w:multiLevelType w:val="hybridMultilevel"/>
    <w:tmpl w:val="DC8C7BA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51B979E8"/>
    <w:multiLevelType w:val="hybridMultilevel"/>
    <w:tmpl w:val="0F4E7734"/>
    <w:lvl w:ilvl="0" w:tplc="FFFFFFFF">
      <w:start w:val="1"/>
      <w:numFmt w:val="bullet"/>
      <w:lvlText w:val=""/>
      <w:lvlJc w:val="left"/>
      <w:pPr>
        <w:ind w:left="720" w:hanging="360"/>
      </w:pPr>
      <w:rPr>
        <w:rFonts w:ascii="Symbol" w:hAnsi="Symbol" w:hint="default"/>
      </w:rPr>
    </w:lvl>
    <w:lvl w:ilvl="1" w:tplc="0C090017">
      <w:start w:val="1"/>
      <w:numFmt w:val="lowerLetter"/>
      <w:lvlText w:val="%2)"/>
      <w:lvlJc w:val="left"/>
      <w:pPr>
        <w:ind w:left="1703"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4866439"/>
    <w:multiLevelType w:val="hybridMultilevel"/>
    <w:tmpl w:val="E2C8BAA2"/>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65A41B2D"/>
    <w:multiLevelType w:val="hybridMultilevel"/>
    <w:tmpl w:val="FE1AC944"/>
    <w:lvl w:ilvl="0" w:tplc="E292B1AE">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2" w15:restartNumberingAfterBreak="0">
    <w:nsid w:val="784D033C"/>
    <w:multiLevelType w:val="multilevel"/>
    <w:tmpl w:val="C406A8AC"/>
    <w:lvl w:ilvl="0">
      <w:start w:val="1"/>
      <w:numFmt w:val="decimal"/>
      <w:pStyle w:val="2-SectionHeading"/>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32815497">
    <w:abstractNumId w:val="5"/>
  </w:num>
  <w:num w:numId="2" w16cid:durableId="222179822">
    <w:abstractNumId w:val="0"/>
  </w:num>
  <w:num w:numId="3" w16cid:durableId="1447893778">
    <w:abstractNumId w:val="10"/>
  </w:num>
  <w:num w:numId="4" w16cid:durableId="449394125">
    <w:abstractNumId w:val="4"/>
  </w:num>
  <w:num w:numId="5" w16cid:durableId="752358537">
    <w:abstractNumId w:val="9"/>
  </w:num>
  <w:num w:numId="6" w16cid:durableId="1177577810">
    <w:abstractNumId w:val="1"/>
  </w:num>
  <w:num w:numId="7" w16cid:durableId="681055142">
    <w:abstractNumId w:val="11"/>
  </w:num>
  <w:num w:numId="8" w16cid:durableId="2077703981">
    <w:abstractNumId w:val="7"/>
  </w:num>
  <w:num w:numId="9" w16cid:durableId="808134703">
    <w:abstractNumId w:val="6"/>
  </w:num>
  <w:num w:numId="10" w16cid:durableId="1308976712">
    <w:abstractNumId w:val="2"/>
  </w:num>
  <w:num w:numId="11" w16cid:durableId="269243851">
    <w:abstractNumId w:val="8"/>
  </w:num>
  <w:num w:numId="12" w16cid:durableId="1358778697">
    <w:abstractNumId w:val="3"/>
  </w:num>
  <w:num w:numId="13" w16cid:durableId="788859229">
    <w:abstractNumId w:val="12"/>
  </w:num>
  <w:num w:numId="14" w16cid:durableId="1780441959">
    <w:abstractNumId w:val="12"/>
  </w:num>
  <w:num w:numId="15" w16cid:durableId="92812161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c0NDUyMTQC0kbGRko6SsGpxcWZ+XkgBYbmtQCfUY0nLQAAAA=="/>
    <w:docVar w:name="EN.InstantFormat" w:val="&lt;ENInstantFormat&gt;&lt;Enabled&gt;0&lt;/Enabled&gt;&lt;ScanUnformatted&gt;1&lt;/ScanUnformatted&gt;&lt;ScanChanges&gt;1&lt;/ScanChanges&gt;&lt;Suspended&gt;0&lt;/Suspended&gt;&lt;/ENInstantFormat&gt;"/>
    <w:docVar w:name="EN.Layout" w:val="&lt;ENLayout&gt;&lt;Style&gt;Harvard Do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af0dvdkssa0eewaxb5x5egppze5f5ax2rv&quot;&gt;PBAC Lumasiran Lib&lt;record-ids&gt;&lt;item&gt;1&lt;/item&gt;&lt;item&gt;2&lt;/item&gt;&lt;item&gt;3&lt;/item&gt;&lt;item&gt;4&lt;/item&gt;&lt;item&gt;5&lt;/item&gt;&lt;item&gt;6&lt;/item&gt;&lt;item&gt;7&lt;/item&gt;&lt;item&gt;8&lt;/item&gt;&lt;item&gt;9&lt;/item&gt;&lt;item&gt;10&lt;/item&gt;&lt;item&gt;11&lt;/item&gt;&lt;item&gt;12&lt;/item&gt;&lt;item&gt;14&lt;/item&gt;&lt;item&gt;15&lt;/item&gt;&lt;item&gt;16&lt;/item&gt;&lt;item&gt;17&lt;/item&gt;&lt;item&gt;18&lt;/item&gt;&lt;item&gt;19&lt;/item&gt;&lt;item&gt;20&lt;/item&gt;&lt;item&gt;21&lt;/item&gt;&lt;item&gt;22&lt;/item&gt;&lt;item&gt;23&lt;/item&gt;&lt;item&gt;24&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4&lt;/item&gt;&lt;item&gt;65&lt;/item&gt;&lt;item&gt;66&lt;/item&gt;&lt;item&gt;67&lt;/item&gt;&lt;item&gt;68&lt;/item&gt;&lt;/record-ids&gt;&lt;/item&gt;&lt;/Libraries&gt;"/>
  </w:docVars>
  <w:rsids>
    <w:rsidRoot w:val="00E65E79"/>
    <w:rsid w:val="0000006F"/>
    <w:rsid w:val="00000284"/>
    <w:rsid w:val="000002A6"/>
    <w:rsid w:val="000004E5"/>
    <w:rsid w:val="000006B8"/>
    <w:rsid w:val="0000075F"/>
    <w:rsid w:val="00000790"/>
    <w:rsid w:val="000007B6"/>
    <w:rsid w:val="00000812"/>
    <w:rsid w:val="0000089E"/>
    <w:rsid w:val="00000C1F"/>
    <w:rsid w:val="00000DC3"/>
    <w:rsid w:val="00000E21"/>
    <w:rsid w:val="00000E6E"/>
    <w:rsid w:val="00001022"/>
    <w:rsid w:val="00001044"/>
    <w:rsid w:val="0000110B"/>
    <w:rsid w:val="00001359"/>
    <w:rsid w:val="0000138F"/>
    <w:rsid w:val="000013E6"/>
    <w:rsid w:val="00001462"/>
    <w:rsid w:val="000014FA"/>
    <w:rsid w:val="00001529"/>
    <w:rsid w:val="0000172D"/>
    <w:rsid w:val="00001784"/>
    <w:rsid w:val="000017AC"/>
    <w:rsid w:val="000019B9"/>
    <w:rsid w:val="00001BB6"/>
    <w:rsid w:val="00001BE7"/>
    <w:rsid w:val="00001C50"/>
    <w:rsid w:val="00001DF4"/>
    <w:rsid w:val="00001FA6"/>
    <w:rsid w:val="00001FF8"/>
    <w:rsid w:val="0000205B"/>
    <w:rsid w:val="000020E9"/>
    <w:rsid w:val="000021B6"/>
    <w:rsid w:val="00002276"/>
    <w:rsid w:val="0000227B"/>
    <w:rsid w:val="00002341"/>
    <w:rsid w:val="00002497"/>
    <w:rsid w:val="00002510"/>
    <w:rsid w:val="00002616"/>
    <w:rsid w:val="000027B7"/>
    <w:rsid w:val="00002884"/>
    <w:rsid w:val="00002A8B"/>
    <w:rsid w:val="00002B58"/>
    <w:rsid w:val="00002F71"/>
    <w:rsid w:val="0000330E"/>
    <w:rsid w:val="00003499"/>
    <w:rsid w:val="000036BF"/>
    <w:rsid w:val="000036D8"/>
    <w:rsid w:val="0000395D"/>
    <w:rsid w:val="000039B7"/>
    <w:rsid w:val="00003B55"/>
    <w:rsid w:val="00003B61"/>
    <w:rsid w:val="00003B91"/>
    <w:rsid w:val="00003C4B"/>
    <w:rsid w:val="00003D48"/>
    <w:rsid w:val="000040F9"/>
    <w:rsid w:val="0000413B"/>
    <w:rsid w:val="0000457F"/>
    <w:rsid w:val="0000464C"/>
    <w:rsid w:val="00004675"/>
    <w:rsid w:val="0000494A"/>
    <w:rsid w:val="00004978"/>
    <w:rsid w:val="00004BD2"/>
    <w:rsid w:val="00004C0E"/>
    <w:rsid w:val="00004CA7"/>
    <w:rsid w:val="00004D03"/>
    <w:rsid w:val="00004D99"/>
    <w:rsid w:val="00004DE5"/>
    <w:rsid w:val="00004E4C"/>
    <w:rsid w:val="00005160"/>
    <w:rsid w:val="0000526B"/>
    <w:rsid w:val="00005298"/>
    <w:rsid w:val="000052C5"/>
    <w:rsid w:val="000052CF"/>
    <w:rsid w:val="000052FB"/>
    <w:rsid w:val="000054D3"/>
    <w:rsid w:val="0000557C"/>
    <w:rsid w:val="000055E4"/>
    <w:rsid w:val="000055E7"/>
    <w:rsid w:val="000056B9"/>
    <w:rsid w:val="000056ED"/>
    <w:rsid w:val="000058B3"/>
    <w:rsid w:val="00005AEF"/>
    <w:rsid w:val="00005CB9"/>
    <w:rsid w:val="00005D4F"/>
    <w:rsid w:val="00006222"/>
    <w:rsid w:val="00006274"/>
    <w:rsid w:val="0000639A"/>
    <w:rsid w:val="000063B9"/>
    <w:rsid w:val="0000643E"/>
    <w:rsid w:val="0000647C"/>
    <w:rsid w:val="00006545"/>
    <w:rsid w:val="00006765"/>
    <w:rsid w:val="0000685D"/>
    <w:rsid w:val="000068C4"/>
    <w:rsid w:val="00006A21"/>
    <w:rsid w:val="00006B10"/>
    <w:rsid w:val="00006BB6"/>
    <w:rsid w:val="00006C5D"/>
    <w:rsid w:val="00006CFD"/>
    <w:rsid w:val="00006D96"/>
    <w:rsid w:val="00006DA2"/>
    <w:rsid w:val="00007067"/>
    <w:rsid w:val="000070C8"/>
    <w:rsid w:val="00007371"/>
    <w:rsid w:val="000073C2"/>
    <w:rsid w:val="0000744C"/>
    <w:rsid w:val="000074A5"/>
    <w:rsid w:val="000074BF"/>
    <w:rsid w:val="000074E8"/>
    <w:rsid w:val="0000770C"/>
    <w:rsid w:val="00007807"/>
    <w:rsid w:val="000078F1"/>
    <w:rsid w:val="00007A85"/>
    <w:rsid w:val="00007A93"/>
    <w:rsid w:val="00007D2E"/>
    <w:rsid w:val="00007DCC"/>
    <w:rsid w:val="00007EB1"/>
    <w:rsid w:val="0001015E"/>
    <w:rsid w:val="0001017F"/>
    <w:rsid w:val="000101F3"/>
    <w:rsid w:val="0001024E"/>
    <w:rsid w:val="00010361"/>
    <w:rsid w:val="000103E9"/>
    <w:rsid w:val="00010400"/>
    <w:rsid w:val="000105AE"/>
    <w:rsid w:val="000107AD"/>
    <w:rsid w:val="00010CF3"/>
    <w:rsid w:val="00010E88"/>
    <w:rsid w:val="00010FD1"/>
    <w:rsid w:val="0001115B"/>
    <w:rsid w:val="000111CE"/>
    <w:rsid w:val="0001123A"/>
    <w:rsid w:val="00011385"/>
    <w:rsid w:val="000113AE"/>
    <w:rsid w:val="00011669"/>
    <w:rsid w:val="000116DE"/>
    <w:rsid w:val="00011976"/>
    <w:rsid w:val="00011B23"/>
    <w:rsid w:val="00011EC1"/>
    <w:rsid w:val="00011EF6"/>
    <w:rsid w:val="000120D8"/>
    <w:rsid w:val="000122DF"/>
    <w:rsid w:val="000125AC"/>
    <w:rsid w:val="0001265E"/>
    <w:rsid w:val="0001266E"/>
    <w:rsid w:val="000126D8"/>
    <w:rsid w:val="00012792"/>
    <w:rsid w:val="0001287B"/>
    <w:rsid w:val="00012896"/>
    <w:rsid w:val="00012E1D"/>
    <w:rsid w:val="00012E95"/>
    <w:rsid w:val="00013129"/>
    <w:rsid w:val="00013212"/>
    <w:rsid w:val="00013247"/>
    <w:rsid w:val="0001330D"/>
    <w:rsid w:val="00013451"/>
    <w:rsid w:val="0001347E"/>
    <w:rsid w:val="000135FB"/>
    <w:rsid w:val="0001365A"/>
    <w:rsid w:val="000137D1"/>
    <w:rsid w:val="00013942"/>
    <w:rsid w:val="000139D5"/>
    <w:rsid w:val="00013C6C"/>
    <w:rsid w:val="00013D6A"/>
    <w:rsid w:val="00013D7E"/>
    <w:rsid w:val="00013DAC"/>
    <w:rsid w:val="00013DC9"/>
    <w:rsid w:val="00013E28"/>
    <w:rsid w:val="00013FF2"/>
    <w:rsid w:val="0001422A"/>
    <w:rsid w:val="00014450"/>
    <w:rsid w:val="00014623"/>
    <w:rsid w:val="00014923"/>
    <w:rsid w:val="00014A0A"/>
    <w:rsid w:val="00014A27"/>
    <w:rsid w:val="00014B33"/>
    <w:rsid w:val="00014BA6"/>
    <w:rsid w:val="00014D31"/>
    <w:rsid w:val="00014EC7"/>
    <w:rsid w:val="00014F97"/>
    <w:rsid w:val="00014FCE"/>
    <w:rsid w:val="00014FF5"/>
    <w:rsid w:val="00015047"/>
    <w:rsid w:val="000153DD"/>
    <w:rsid w:val="00015410"/>
    <w:rsid w:val="00015546"/>
    <w:rsid w:val="00015596"/>
    <w:rsid w:val="0001560F"/>
    <w:rsid w:val="00015886"/>
    <w:rsid w:val="00015ABD"/>
    <w:rsid w:val="00015B5F"/>
    <w:rsid w:val="00015E6F"/>
    <w:rsid w:val="00015F38"/>
    <w:rsid w:val="00015F4D"/>
    <w:rsid w:val="00015F75"/>
    <w:rsid w:val="00015FC5"/>
    <w:rsid w:val="00016077"/>
    <w:rsid w:val="000160CE"/>
    <w:rsid w:val="00016189"/>
    <w:rsid w:val="000161C4"/>
    <w:rsid w:val="000162EF"/>
    <w:rsid w:val="000163E6"/>
    <w:rsid w:val="000165CD"/>
    <w:rsid w:val="00016791"/>
    <w:rsid w:val="00016982"/>
    <w:rsid w:val="00016A64"/>
    <w:rsid w:val="00016BEF"/>
    <w:rsid w:val="00016CA1"/>
    <w:rsid w:val="00016EB2"/>
    <w:rsid w:val="00016F0A"/>
    <w:rsid w:val="00016FD7"/>
    <w:rsid w:val="00017020"/>
    <w:rsid w:val="00017051"/>
    <w:rsid w:val="000170C6"/>
    <w:rsid w:val="000170D0"/>
    <w:rsid w:val="00017223"/>
    <w:rsid w:val="0001734C"/>
    <w:rsid w:val="00017454"/>
    <w:rsid w:val="000174BB"/>
    <w:rsid w:val="000174BF"/>
    <w:rsid w:val="000174C2"/>
    <w:rsid w:val="000174F3"/>
    <w:rsid w:val="000175A4"/>
    <w:rsid w:val="00017892"/>
    <w:rsid w:val="000178AD"/>
    <w:rsid w:val="00017919"/>
    <w:rsid w:val="00017A16"/>
    <w:rsid w:val="00017D0C"/>
    <w:rsid w:val="00017DB5"/>
    <w:rsid w:val="00020154"/>
    <w:rsid w:val="000202D0"/>
    <w:rsid w:val="000203F0"/>
    <w:rsid w:val="00020461"/>
    <w:rsid w:val="00020477"/>
    <w:rsid w:val="0002051C"/>
    <w:rsid w:val="00020577"/>
    <w:rsid w:val="00020581"/>
    <w:rsid w:val="00020609"/>
    <w:rsid w:val="00020660"/>
    <w:rsid w:val="00020780"/>
    <w:rsid w:val="000207C9"/>
    <w:rsid w:val="000208B9"/>
    <w:rsid w:val="00020A40"/>
    <w:rsid w:val="00020A4B"/>
    <w:rsid w:val="00020B18"/>
    <w:rsid w:val="00020D55"/>
    <w:rsid w:val="00020DAC"/>
    <w:rsid w:val="00020EB6"/>
    <w:rsid w:val="000210B7"/>
    <w:rsid w:val="000210C1"/>
    <w:rsid w:val="000210C5"/>
    <w:rsid w:val="000210DB"/>
    <w:rsid w:val="000212BA"/>
    <w:rsid w:val="00021316"/>
    <w:rsid w:val="00021711"/>
    <w:rsid w:val="000217B2"/>
    <w:rsid w:val="000217B3"/>
    <w:rsid w:val="000217CD"/>
    <w:rsid w:val="000218D3"/>
    <w:rsid w:val="000219F5"/>
    <w:rsid w:val="00021E06"/>
    <w:rsid w:val="00021EB1"/>
    <w:rsid w:val="00022088"/>
    <w:rsid w:val="000221BB"/>
    <w:rsid w:val="0002225F"/>
    <w:rsid w:val="0002234F"/>
    <w:rsid w:val="00022379"/>
    <w:rsid w:val="00022390"/>
    <w:rsid w:val="000224FC"/>
    <w:rsid w:val="00022725"/>
    <w:rsid w:val="00022A34"/>
    <w:rsid w:val="00022B98"/>
    <w:rsid w:val="00022C1B"/>
    <w:rsid w:val="00022DEB"/>
    <w:rsid w:val="00022F5D"/>
    <w:rsid w:val="00023039"/>
    <w:rsid w:val="00023318"/>
    <w:rsid w:val="00023387"/>
    <w:rsid w:val="000233C5"/>
    <w:rsid w:val="00023704"/>
    <w:rsid w:val="00023763"/>
    <w:rsid w:val="00023826"/>
    <w:rsid w:val="000238EA"/>
    <w:rsid w:val="00023A62"/>
    <w:rsid w:val="00023D3A"/>
    <w:rsid w:val="00023D78"/>
    <w:rsid w:val="000240C1"/>
    <w:rsid w:val="0002415B"/>
    <w:rsid w:val="0002418C"/>
    <w:rsid w:val="00024350"/>
    <w:rsid w:val="000243A1"/>
    <w:rsid w:val="0002441A"/>
    <w:rsid w:val="000244B4"/>
    <w:rsid w:val="00024596"/>
    <w:rsid w:val="000245DC"/>
    <w:rsid w:val="00024696"/>
    <w:rsid w:val="00024699"/>
    <w:rsid w:val="00024785"/>
    <w:rsid w:val="0002485E"/>
    <w:rsid w:val="00024A63"/>
    <w:rsid w:val="00024A93"/>
    <w:rsid w:val="00024D0F"/>
    <w:rsid w:val="00024EB5"/>
    <w:rsid w:val="00024F23"/>
    <w:rsid w:val="00024F9F"/>
    <w:rsid w:val="00025175"/>
    <w:rsid w:val="000251B5"/>
    <w:rsid w:val="0002552B"/>
    <w:rsid w:val="00025865"/>
    <w:rsid w:val="00025930"/>
    <w:rsid w:val="00025A27"/>
    <w:rsid w:val="00025B31"/>
    <w:rsid w:val="00025D5F"/>
    <w:rsid w:val="00025DF4"/>
    <w:rsid w:val="00025F4F"/>
    <w:rsid w:val="00026052"/>
    <w:rsid w:val="00026076"/>
    <w:rsid w:val="00026103"/>
    <w:rsid w:val="000261B1"/>
    <w:rsid w:val="000261DC"/>
    <w:rsid w:val="000261E9"/>
    <w:rsid w:val="00026312"/>
    <w:rsid w:val="00026469"/>
    <w:rsid w:val="000264B9"/>
    <w:rsid w:val="000265AD"/>
    <w:rsid w:val="000266EA"/>
    <w:rsid w:val="00026963"/>
    <w:rsid w:val="00026A43"/>
    <w:rsid w:val="00026B52"/>
    <w:rsid w:val="00026DC1"/>
    <w:rsid w:val="00026E8B"/>
    <w:rsid w:val="00026FD7"/>
    <w:rsid w:val="00027017"/>
    <w:rsid w:val="000270DE"/>
    <w:rsid w:val="0002713B"/>
    <w:rsid w:val="000272D8"/>
    <w:rsid w:val="000272E4"/>
    <w:rsid w:val="000274B8"/>
    <w:rsid w:val="00027708"/>
    <w:rsid w:val="000279F7"/>
    <w:rsid w:val="00027A1B"/>
    <w:rsid w:val="00027D37"/>
    <w:rsid w:val="00027DDE"/>
    <w:rsid w:val="00027E4F"/>
    <w:rsid w:val="00027F5D"/>
    <w:rsid w:val="00030120"/>
    <w:rsid w:val="00030223"/>
    <w:rsid w:val="00030401"/>
    <w:rsid w:val="0003043A"/>
    <w:rsid w:val="0003068A"/>
    <w:rsid w:val="000306B7"/>
    <w:rsid w:val="000307C9"/>
    <w:rsid w:val="00030989"/>
    <w:rsid w:val="00030C74"/>
    <w:rsid w:val="00030D86"/>
    <w:rsid w:val="00030ED0"/>
    <w:rsid w:val="00030EFB"/>
    <w:rsid w:val="00030EFF"/>
    <w:rsid w:val="00030FF2"/>
    <w:rsid w:val="00031001"/>
    <w:rsid w:val="000311D9"/>
    <w:rsid w:val="00031315"/>
    <w:rsid w:val="0003141B"/>
    <w:rsid w:val="000314B9"/>
    <w:rsid w:val="000314C6"/>
    <w:rsid w:val="00031529"/>
    <w:rsid w:val="00031593"/>
    <w:rsid w:val="000316AB"/>
    <w:rsid w:val="000316D0"/>
    <w:rsid w:val="000318EB"/>
    <w:rsid w:val="00031A1D"/>
    <w:rsid w:val="00031A45"/>
    <w:rsid w:val="00031B22"/>
    <w:rsid w:val="00031B6F"/>
    <w:rsid w:val="00031CFA"/>
    <w:rsid w:val="00031D3F"/>
    <w:rsid w:val="00031F2C"/>
    <w:rsid w:val="0003212B"/>
    <w:rsid w:val="0003230B"/>
    <w:rsid w:val="00032486"/>
    <w:rsid w:val="000324ED"/>
    <w:rsid w:val="0003259E"/>
    <w:rsid w:val="00032679"/>
    <w:rsid w:val="000326F2"/>
    <w:rsid w:val="00032706"/>
    <w:rsid w:val="000327D9"/>
    <w:rsid w:val="00032848"/>
    <w:rsid w:val="00032A6F"/>
    <w:rsid w:val="00032B62"/>
    <w:rsid w:val="00032ED4"/>
    <w:rsid w:val="00033032"/>
    <w:rsid w:val="00033134"/>
    <w:rsid w:val="0003327D"/>
    <w:rsid w:val="00033424"/>
    <w:rsid w:val="00033477"/>
    <w:rsid w:val="00033505"/>
    <w:rsid w:val="0003366D"/>
    <w:rsid w:val="00033863"/>
    <w:rsid w:val="000339F6"/>
    <w:rsid w:val="00033BE2"/>
    <w:rsid w:val="00033C50"/>
    <w:rsid w:val="00033CAD"/>
    <w:rsid w:val="00033D94"/>
    <w:rsid w:val="00034247"/>
    <w:rsid w:val="00034408"/>
    <w:rsid w:val="0003448E"/>
    <w:rsid w:val="000344EA"/>
    <w:rsid w:val="000345B1"/>
    <w:rsid w:val="0003469F"/>
    <w:rsid w:val="0003488B"/>
    <w:rsid w:val="00034AA9"/>
    <w:rsid w:val="00034B1A"/>
    <w:rsid w:val="00034B3C"/>
    <w:rsid w:val="00034D02"/>
    <w:rsid w:val="00034DBF"/>
    <w:rsid w:val="00034DF0"/>
    <w:rsid w:val="00034E9F"/>
    <w:rsid w:val="00034EE0"/>
    <w:rsid w:val="00034F96"/>
    <w:rsid w:val="00034FC7"/>
    <w:rsid w:val="00035033"/>
    <w:rsid w:val="00035434"/>
    <w:rsid w:val="000357C1"/>
    <w:rsid w:val="00035A76"/>
    <w:rsid w:val="00035C76"/>
    <w:rsid w:val="00035DB5"/>
    <w:rsid w:val="00035DC0"/>
    <w:rsid w:val="00035F4D"/>
    <w:rsid w:val="00035F91"/>
    <w:rsid w:val="0003610B"/>
    <w:rsid w:val="00036699"/>
    <w:rsid w:val="00036829"/>
    <w:rsid w:val="00036830"/>
    <w:rsid w:val="00036AC2"/>
    <w:rsid w:val="00036B97"/>
    <w:rsid w:val="00036BB3"/>
    <w:rsid w:val="00036EB0"/>
    <w:rsid w:val="00036EBC"/>
    <w:rsid w:val="00036FD3"/>
    <w:rsid w:val="00037032"/>
    <w:rsid w:val="000370A5"/>
    <w:rsid w:val="000372B1"/>
    <w:rsid w:val="000373A2"/>
    <w:rsid w:val="000374DE"/>
    <w:rsid w:val="0003750F"/>
    <w:rsid w:val="0003764F"/>
    <w:rsid w:val="0003782E"/>
    <w:rsid w:val="000379C6"/>
    <w:rsid w:val="00037A26"/>
    <w:rsid w:val="00037F1A"/>
    <w:rsid w:val="00037F2C"/>
    <w:rsid w:val="00040225"/>
    <w:rsid w:val="0004028B"/>
    <w:rsid w:val="00040325"/>
    <w:rsid w:val="00040401"/>
    <w:rsid w:val="000406F8"/>
    <w:rsid w:val="00040895"/>
    <w:rsid w:val="00040BCE"/>
    <w:rsid w:val="00040BDA"/>
    <w:rsid w:val="00040C77"/>
    <w:rsid w:val="00040D6F"/>
    <w:rsid w:val="00040E57"/>
    <w:rsid w:val="00040F56"/>
    <w:rsid w:val="0004102B"/>
    <w:rsid w:val="000410A0"/>
    <w:rsid w:val="000410F8"/>
    <w:rsid w:val="000411DA"/>
    <w:rsid w:val="00041213"/>
    <w:rsid w:val="0004121F"/>
    <w:rsid w:val="000412FA"/>
    <w:rsid w:val="0004149B"/>
    <w:rsid w:val="000416C0"/>
    <w:rsid w:val="000416C8"/>
    <w:rsid w:val="000416D1"/>
    <w:rsid w:val="00041723"/>
    <w:rsid w:val="000418BD"/>
    <w:rsid w:val="00041A3D"/>
    <w:rsid w:val="00041B37"/>
    <w:rsid w:val="00041B55"/>
    <w:rsid w:val="00041BFE"/>
    <w:rsid w:val="00041D10"/>
    <w:rsid w:val="00041EE0"/>
    <w:rsid w:val="00041F22"/>
    <w:rsid w:val="0004208D"/>
    <w:rsid w:val="000422CE"/>
    <w:rsid w:val="000422E6"/>
    <w:rsid w:val="0004281F"/>
    <w:rsid w:val="00042A54"/>
    <w:rsid w:val="00042A89"/>
    <w:rsid w:val="00042A9D"/>
    <w:rsid w:val="00042AB2"/>
    <w:rsid w:val="00042B3D"/>
    <w:rsid w:val="00042B73"/>
    <w:rsid w:val="00042CE2"/>
    <w:rsid w:val="00042D8E"/>
    <w:rsid w:val="000430DF"/>
    <w:rsid w:val="00043167"/>
    <w:rsid w:val="0004330B"/>
    <w:rsid w:val="00043448"/>
    <w:rsid w:val="000435EE"/>
    <w:rsid w:val="00043686"/>
    <w:rsid w:val="00043850"/>
    <w:rsid w:val="00043A9C"/>
    <w:rsid w:val="00043C37"/>
    <w:rsid w:val="00043C92"/>
    <w:rsid w:val="00043CAF"/>
    <w:rsid w:val="00043D9A"/>
    <w:rsid w:val="00043DE4"/>
    <w:rsid w:val="00043E57"/>
    <w:rsid w:val="00043E7E"/>
    <w:rsid w:val="00043EA0"/>
    <w:rsid w:val="00044089"/>
    <w:rsid w:val="0004409E"/>
    <w:rsid w:val="00044183"/>
    <w:rsid w:val="000441F1"/>
    <w:rsid w:val="00044639"/>
    <w:rsid w:val="000446C2"/>
    <w:rsid w:val="000447DB"/>
    <w:rsid w:val="000448B6"/>
    <w:rsid w:val="000448DC"/>
    <w:rsid w:val="00044905"/>
    <w:rsid w:val="000449AF"/>
    <w:rsid w:val="00044A90"/>
    <w:rsid w:val="00044B0B"/>
    <w:rsid w:val="00044B73"/>
    <w:rsid w:val="00044CD9"/>
    <w:rsid w:val="00044D03"/>
    <w:rsid w:val="00044D50"/>
    <w:rsid w:val="00044DFF"/>
    <w:rsid w:val="00044E1B"/>
    <w:rsid w:val="00044EC2"/>
    <w:rsid w:val="00045017"/>
    <w:rsid w:val="00045052"/>
    <w:rsid w:val="00045229"/>
    <w:rsid w:val="0004542C"/>
    <w:rsid w:val="0004547E"/>
    <w:rsid w:val="000455E4"/>
    <w:rsid w:val="00045813"/>
    <w:rsid w:val="00045821"/>
    <w:rsid w:val="000459B4"/>
    <w:rsid w:val="000459E7"/>
    <w:rsid w:val="00045A2B"/>
    <w:rsid w:val="00045A9C"/>
    <w:rsid w:val="00045ABE"/>
    <w:rsid w:val="00045B24"/>
    <w:rsid w:val="000460F5"/>
    <w:rsid w:val="000461E8"/>
    <w:rsid w:val="000462F4"/>
    <w:rsid w:val="000462F8"/>
    <w:rsid w:val="000463BF"/>
    <w:rsid w:val="000464DC"/>
    <w:rsid w:val="00046548"/>
    <w:rsid w:val="0004663E"/>
    <w:rsid w:val="000467AF"/>
    <w:rsid w:val="000468A7"/>
    <w:rsid w:val="000468B6"/>
    <w:rsid w:val="0004698F"/>
    <w:rsid w:val="00046C3C"/>
    <w:rsid w:val="00046C8A"/>
    <w:rsid w:val="00046D64"/>
    <w:rsid w:val="00046E06"/>
    <w:rsid w:val="00046E0D"/>
    <w:rsid w:val="00046E13"/>
    <w:rsid w:val="00046FBE"/>
    <w:rsid w:val="0004704F"/>
    <w:rsid w:val="000472CF"/>
    <w:rsid w:val="00047464"/>
    <w:rsid w:val="000474EE"/>
    <w:rsid w:val="00047523"/>
    <w:rsid w:val="000475A6"/>
    <w:rsid w:val="00047620"/>
    <w:rsid w:val="00047916"/>
    <w:rsid w:val="00047A26"/>
    <w:rsid w:val="00047A71"/>
    <w:rsid w:val="00047AA1"/>
    <w:rsid w:val="00047B1E"/>
    <w:rsid w:val="00047B85"/>
    <w:rsid w:val="00047E1C"/>
    <w:rsid w:val="00047E67"/>
    <w:rsid w:val="00047E9A"/>
    <w:rsid w:val="00047EF4"/>
    <w:rsid w:val="00047FFE"/>
    <w:rsid w:val="0005008B"/>
    <w:rsid w:val="000500C8"/>
    <w:rsid w:val="00050104"/>
    <w:rsid w:val="000501CC"/>
    <w:rsid w:val="00050220"/>
    <w:rsid w:val="00050423"/>
    <w:rsid w:val="000504EF"/>
    <w:rsid w:val="00050769"/>
    <w:rsid w:val="000507B8"/>
    <w:rsid w:val="000507D5"/>
    <w:rsid w:val="000508C2"/>
    <w:rsid w:val="00050A75"/>
    <w:rsid w:val="00050AB7"/>
    <w:rsid w:val="00050B77"/>
    <w:rsid w:val="00050CB1"/>
    <w:rsid w:val="00050CD6"/>
    <w:rsid w:val="00050DB8"/>
    <w:rsid w:val="00050F82"/>
    <w:rsid w:val="00051017"/>
    <w:rsid w:val="000510D0"/>
    <w:rsid w:val="00051123"/>
    <w:rsid w:val="0005112F"/>
    <w:rsid w:val="000513AD"/>
    <w:rsid w:val="0005167E"/>
    <w:rsid w:val="00051789"/>
    <w:rsid w:val="000518A1"/>
    <w:rsid w:val="00051940"/>
    <w:rsid w:val="00051A9D"/>
    <w:rsid w:val="00051B4C"/>
    <w:rsid w:val="00051D6D"/>
    <w:rsid w:val="00051E09"/>
    <w:rsid w:val="00051E35"/>
    <w:rsid w:val="00051F5E"/>
    <w:rsid w:val="00051FB8"/>
    <w:rsid w:val="000520E7"/>
    <w:rsid w:val="000521BF"/>
    <w:rsid w:val="000521DB"/>
    <w:rsid w:val="0005222A"/>
    <w:rsid w:val="000522C2"/>
    <w:rsid w:val="000525DE"/>
    <w:rsid w:val="000525E3"/>
    <w:rsid w:val="00052DE1"/>
    <w:rsid w:val="00052E92"/>
    <w:rsid w:val="00052F54"/>
    <w:rsid w:val="000530EA"/>
    <w:rsid w:val="0005331F"/>
    <w:rsid w:val="0005373C"/>
    <w:rsid w:val="0005385D"/>
    <w:rsid w:val="00053993"/>
    <w:rsid w:val="000539D0"/>
    <w:rsid w:val="00053A2F"/>
    <w:rsid w:val="00053B2F"/>
    <w:rsid w:val="00053B9A"/>
    <w:rsid w:val="00053D6A"/>
    <w:rsid w:val="00053D9B"/>
    <w:rsid w:val="00053E2A"/>
    <w:rsid w:val="000540F8"/>
    <w:rsid w:val="000545C9"/>
    <w:rsid w:val="00054621"/>
    <w:rsid w:val="0005466A"/>
    <w:rsid w:val="000546D7"/>
    <w:rsid w:val="000548A2"/>
    <w:rsid w:val="000548C5"/>
    <w:rsid w:val="000548FE"/>
    <w:rsid w:val="00054932"/>
    <w:rsid w:val="00054A37"/>
    <w:rsid w:val="00054A7C"/>
    <w:rsid w:val="00054A8D"/>
    <w:rsid w:val="00054A94"/>
    <w:rsid w:val="00054BBE"/>
    <w:rsid w:val="00054C2B"/>
    <w:rsid w:val="00054C96"/>
    <w:rsid w:val="00054D0C"/>
    <w:rsid w:val="00054EBA"/>
    <w:rsid w:val="00054F31"/>
    <w:rsid w:val="000551FC"/>
    <w:rsid w:val="00055256"/>
    <w:rsid w:val="00055308"/>
    <w:rsid w:val="00055367"/>
    <w:rsid w:val="00055416"/>
    <w:rsid w:val="000557CB"/>
    <w:rsid w:val="0005585E"/>
    <w:rsid w:val="000559C2"/>
    <w:rsid w:val="00055A99"/>
    <w:rsid w:val="00055B42"/>
    <w:rsid w:val="00055CC0"/>
    <w:rsid w:val="00055CD1"/>
    <w:rsid w:val="00056030"/>
    <w:rsid w:val="00056190"/>
    <w:rsid w:val="000561AD"/>
    <w:rsid w:val="00056259"/>
    <w:rsid w:val="0005630C"/>
    <w:rsid w:val="000564FD"/>
    <w:rsid w:val="000565DA"/>
    <w:rsid w:val="00056603"/>
    <w:rsid w:val="00056624"/>
    <w:rsid w:val="00056663"/>
    <w:rsid w:val="00056937"/>
    <w:rsid w:val="00056AB3"/>
    <w:rsid w:val="00056C1C"/>
    <w:rsid w:val="00056ECF"/>
    <w:rsid w:val="00056F09"/>
    <w:rsid w:val="000571C2"/>
    <w:rsid w:val="000573D9"/>
    <w:rsid w:val="00057407"/>
    <w:rsid w:val="00057409"/>
    <w:rsid w:val="00057450"/>
    <w:rsid w:val="0005758F"/>
    <w:rsid w:val="00057604"/>
    <w:rsid w:val="00057620"/>
    <w:rsid w:val="00057624"/>
    <w:rsid w:val="000576BC"/>
    <w:rsid w:val="000576EB"/>
    <w:rsid w:val="000576FB"/>
    <w:rsid w:val="00057847"/>
    <w:rsid w:val="00057A7A"/>
    <w:rsid w:val="00057B8B"/>
    <w:rsid w:val="00057C3F"/>
    <w:rsid w:val="00057D48"/>
    <w:rsid w:val="00057E6A"/>
    <w:rsid w:val="00057EBE"/>
    <w:rsid w:val="00057EDE"/>
    <w:rsid w:val="00057F3C"/>
    <w:rsid w:val="000600E0"/>
    <w:rsid w:val="00060139"/>
    <w:rsid w:val="0006018F"/>
    <w:rsid w:val="00060289"/>
    <w:rsid w:val="0006037A"/>
    <w:rsid w:val="000604DF"/>
    <w:rsid w:val="000605DB"/>
    <w:rsid w:val="00060659"/>
    <w:rsid w:val="0006065E"/>
    <w:rsid w:val="000607B0"/>
    <w:rsid w:val="000607D0"/>
    <w:rsid w:val="00060A07"/>
    <w:rsid w:val="00060B06"/>
    <w:rsid w:val="00060D94"/>
    <w:rsid w:val="00060E1A"/>
    <w:rsid w:val="00060E78"/>
    <w:rsid w:val="00060F0B"/>
    <w:rsid w:val="00060F42"/>
    <w:rsid w:val="000610C6"/>
    <w:rsid w:val="000611CD"/>
    <w:rsid w:val="000611DE"/>
    <w:rsid w:val="00061246"/>
    <w:rsid w:val="000613E7"/>
    <w:rsid w:val="00061490"/>
    <w:rsid w:val="0006169F"/>
    <w:rsid w:val="0006171E"/>
    <w:rsid w:val="00061748"/>
    <w:rsid w:val="00061783"/>
    <w:rsid w:val="0006179A"/>
    <w:rsid w:val="00061822"/>
    <w:rsid w:val="00061A00"/>
    <w:rsid w:val="00061B82"/>
    <w:rsid w:val="00061BE1"/>
    <w:rsid w:val="00061CF4"/>
    <w:rsid w:val="00061D84"/>
    <w:rsid w:val="00061DAB"/>
    <w:rsid w:val="00061E71"/>
    <w:rsid w:val="00061E84"/>
    <w:rsid w:val="00061E93"/>
    <w:rsid w:val="00061F87"/>
    <w:rsid w:val="00062268"/>
    <w:rsid w:val="00062324"/>
    <w:rsid w:val="0006236C"/>
    <w:rsid w:val="0006237E"/>
    <w:rsid w:val="000623C3"/>
    <w:rsid w:val="000624D3"/>
    <w:rsid w:val="00062582"/>
    <w:rsid w:val="00062607"/>
    <w:rsid w:val="0006263B"/>
    <w:rsid w:val="0006276A"/>
    <w:rsid w:val="00062861"/>
    <w:rsid w:val="00062A01"/>
    <w:rsid w:val="00062C02"/>
    <w:rsid w:val="00062DCA"/>
    <w:rsid w:val="00062E23"/>
    <w:rsid w:val="00062E50"/>
    <w:rsid w:val="00062F84"/>
    <w:rsid w:val="000631AD"/>
    <w:rsid w:val="000631DF"/>
    <w:rsid w:val="00063368"/>
    <w:rsid w:val="00063400"/>
    <w:rsid w:val="0006351F"/>
    <w:rsid w:val="000638F8"/>
    <w:rsid w:val="0006394A"/>
    <w:rsid w:val="000639E6"/>
    <w:rsid w:val="000639F4"/>
    <w:rsid w:val="00063B77"/>
    <w:rsid w:val="00063DC9"/>
    <w:rsid w:val="00063E91"/>
    <w:rsid w:val="00063E98"/>
    <w:rsid w:val="00063E9C"/>
    <w:rsid w:val="00063EAD"/>
    <w:rsid w:val="000640C7"/>
    <w:rsid w:val="000640FC"/>
    <w:rsid w:val="00064284"/>
    <w:rsid w:val="00064327"/>
    <w:rsid w:val="000643B5"/>
    <w:rsid w:val="000646AD"/>
    <w:rsid w:val="00064859"/>
    <w:rsid w:val="00064875"/>
    <w:rsid w:val="000648F6"/>
    <w:rsid w:val="0006492B"/>
    <w:rsid w:val="0006492D"/>
    <w:rsid w:val="000649F7"/>
    <w:rsid w:val="00064A22"/>
    <w:rsid w:val="00064BC2"/>
    <w:rsid w:val="00064C6B"/>
    <w:rsid w:val="00064CF9"/>
    <w:rsid w:val="00064D0E"/>
    <w:rsid w:val="00064D6D"/>
    <w:rsid w:val="00064D97"/>
    <w:rsid w:val="00064EDC"/>
    <w:rsid w:val="00065244"/>
    <w:rsid w:val="0006528D"/>
    <w:rsid w:val="0006532D"/>
    <w:rsid w:val="000653B5"/>
    <w:rsid w:val="0006542E"/>
    <w:rsid w:val="000654DB"/>
    <w:rsid w:val="000657D6"/>
    <w:rsid w:val="00065954"/>
    <w:rsid w:val="000659FD"/>
    <w:rsid w:val="00065A9E"/>
    <w:rsid w:val="00065DDC"/>
    <w:rsid w:val="00065EC0"/>
    <w:rsid w:val="00065EF1"/>
    <w:rsid w:val="00065FD3"/>
    <w:rsid w:val="00066044"/>
    <w:rsid w:val="000660B2"/>
    <w:rsid w:val="000660D7"/>
    <w:rsid w:val="000660F1"/>
    <w:rsid w:val="0006612A"/>
    <w:rsid w:val="00066360"/>
    <w:rsid w:val="00066557"/>
    <w:rsid w:val="000668DC"/>
    <w:rsid w:val="00066AF8"/>
    <w:rsid w:val="00066CA4"/>
    <w:rsid w:val="00066DF6"/>
    <w:rsid w:val="0006705B"/>
    <w:rsid w:val="00067066"/>
    <w:rsid w:val="000670D6"/>
    <w:rsid w:val="0006717C"/>
    <w:rsid w:val="000672BF"/>
    <w:rsid w:val="000672CA"/>
    <w:rsid w:val="00067345"/>
    <w:rsid w:val="000673DF"/>
    <w:rsid w:val="000675BC"/>
    <w:rsid w:val="00067722"/>
    <w:rsid w:val="0006796D"/>
    <w:rsid w:val="00067B2C"/>
    <w:rsid w:val="00067C88"/>
    <w:rsid w:val="00067E0D"/>
    <w:rsid w:val="00067EC8"/>
    <w:rsid w:val="00067EFE"/>
    <w:rsid w:val="0007002C"/>
    <w:rsid w:val="000700C1"/>
    <w:rsid w:val="00070481"/>
    <w:rsid w:val="00070B97"/>
    <w:rsid w:val="00070C73"/>
    <w:rsid w:val="00070DEF"/>
    <w:rsid w:val="00070E1F"/>
    <w:rsid w:val="000710A6"/>
    <w:rsid w:val="00071248"/>
    <w:rsid w:val="0007135E"/>
    <w:rsid w:val="00071688"/>
    <w:rsid w:val="00071887"/>
    <w:rsid w:val="00071981"/>
    <w:rsid w:val="0007199E"/>
    <w:rsid w:val="00071A40"/>
    <w:rsid w:val="00071D4E"/>
    <w:rsid w:val="000720B9"/>
    <w:rsid w:val="000720E4"/>
    <w:rsid w:val="000721FA"/>
    <w:rsid w:val="0007263A"/>
    <w:rsid w:val="00072680"/>
    <w:rsid w:val="00072827"/>
    <w:rsid w:val="00072876"/>
    <w:rsid w:val="000728A8"/>
    <w:rsid w:val="000728B8"/>
    <w:rsid w:val="000728C9"/>
    <w:rsid w:val="00072904"/>
    <w:rsid w:val="00072ABA"/>
    <w:rsid w:val="00072BC0"/>
    <w:rsid w:val="00072BE3"/>
    <w:rsid w:val="00072D25"/>
    <w:rsid w:val="00073056"/>
    <w:rsid w:val="000730F1"/>
    <w:rsid w:val="00073269"/>
    <w:rsid w:val="000737F7"/>
    <w:rsid w:val="00073931"/>
    <w:rsid w:val="00073959"/>
    <w:rsid w:val="00073D0A"/>
    <w:rsid w:val="00073DD3"/>
    <w:rsid w:val="00073F03"/>
    <w:rsid w:val="00073F25"/>
    <w:rsid w:val="00073F5B"/>
    <w:rsid w:val="00074178"/>
    <w:rsid w:val="0007419D"/>
    <w:rsid w:val="000742BF"/>
    <w:rsid w:val="00074342"/>
    <w:rsid w:val="00074375"/>
    <w:rsid w:val="0007443D"/>
    <w:rsid w:val="000744CA"/>
    <w:rsid w:val="00074502"/>
    <w:rsid w:val="000747D2"/>
    <w:rsid w:val="0007495E"/>
    <w:rsid w:val="00074B27"/>
    <w:rsid w:val="00074C02"/>
    <w:rsid w:val="00074D10"/>
    <w:rsid w:val="00074D76"/>
    <w:rsid w:val="00074D7C"/>
    <w:rsid w:val="00074DA2"/>
    <w:rsid w:val="00074EEB"/>
    <w:rsid w:val="00074F31"/>
    <w:rsid w:val="00074F41"/>
    <w:rsid w:val="00074F61"/>
    <w:rsid w:val="00075024"/>
    <w:rsid w:val="00075031"/>
    <w:rsid w:val="00075088"/>
    <w:rsid w:val="00075137"/>
    <w:rsid w:val="0007513C"/>
    <w:rsid w:val="0007517B"/>
    <w:rsid w:val="00075191"/>
    <w:rsid w:val="000751AE"/>
    <w:rsid w:val="000753A6"/>
    <w:rsid w:val="000754D6"/>
    <w:rsid w:val="0007565B"/>
    <w:rsid w:val="00075690"/>
    <w:rsid w:val="000756F4"/>
    <w:rsid w:val="000757F3"/>
    <w:rsid w:val="00075954"/>
    <w:rsid w:val="00075979"/>
    <w:rsid w:val="000759A9"/>
    <w:rsid w:val="00075A9A"/>
    <w:rsid w:val="00075D69"/>
    <w:rsid w:val="00076054"/>
    <w:rsid w:val="00076134"/>
    <w:rsid w:val="0007617F"/>
    <w:rsid w:val="0007620C"/>
    <w:rsid w:val="000764AF"/>
    <w:rsid w:val="0007672F"/>
    <w:rsid w:val="00076B54"/>
    <w:rsid w:val="00076B79"/>
    <w:rsid w:val="00076C89"/>
    <w:rsid w:val="00076D78"/>
    <w:rsid w:val="00076FF3"/>
    <w:rsid w:val="000770A7"/>
    <w:rsid w:val="000770D4"/>
    <w:rsid w:val="000773CA"/>
    <w:rsid w:val="000774F0"/>
    <w:rsid w:val="00077680"/>
    <w:rsid w:val="000776B1"/>
    <w:rsid w:val="00077741"/>
    <w:rsid w:val="0007776D"/>
    <w:rsid w:val="00077791"/>
    <w:rsid w:val="00077A21"/>
    <w:rsid w:val="00077C03"/>
    <w:rsid w:val="00077CF4"/>
    <w:rsid w:val="00077D8E"/>
    <w:rsid w:val="00080008"/>
    <w:rsid w:val="00080162"/>
    <w:rsid w:val="000801AD"/>
    <w:rsid w:val="0008027F"/>
    <w:rsid w:val="000804A7"/>
    <w:rsid w:val="000806CE"/>
    <w:rsid w:val="00080817"/>
    <w:rsid w:val="000808D8"/>
    <w:rsid w:val="00080909"/>
    <w:rsid w:val="000809E1"/>
    <w:rsid w:val="000809F5"/>
    <w:rsid w:val="00080C3C"/>
    <w:rsid w:val="00080CD6"/>
    <w:rsid w:val="00080DA2"/>
    <w:rsid w:val="00080E0E"/>
    <w:rsid w:val="000810CD"/>
    <w:rsid w:val="000812BD"/>
    <w:rsid w:val="000812CA"/>
    <w:rsid w:val="000812ED"/>
    <w:rsid w:val="00081556"/>
    <w:rsid w:val="00081936"/>
    <w:rsid w:val="000819F4"/>
    <w:rsid w:val="00081E63"/>
    <w:rsid w:val="00082017"/>
    <w:rsid w:val="00082278"/>
    <w:rsid w:val="00082438"/>
    <w:rsid w:val="000824C2"/>
    <w:rsid w:val="0008258D"/>
    <w:rsid w:val="000825E1"/>
    <w:rsid w:val="00082633"/>
    <w:rsid w:val="000827A2"/>
    <w:rsid w:val="000828F2"/>
    <w:rsid w:val="000829B0"/>
    <w:rsid w:val="000829E2"/>
    <w:rsid w:val="00082A0C"/>
    <w:rsid w:val="00082A75"/>
    <w:rsid w:val="00082A96"/>
    <w:rsid w:val="00082B7F"/>
    <w:rsid w:val="00082DB1"/>
    <w:rsid w:val="00082E47"/>
    <w:rsid w:val="00082EEE"/>
    <w:rsid w:val="00082FCE"/>
    <w:rsid w:val="000830AA"/>
    <w:rsid w:val="000830C9"/>
    <w:rsid w:val="000830F7"/>
    <w:rsid w:val="0008318D"/>
    <w:rsid w:val="0008331B"/>
    <w:rsid w:val="000833D5"/>
    <w:rsid w:val="000835B6"/>
    <w:rsid w:val="000835DE"/>
    <w:rsid w:val="0008360B"/>
    <w:rsid w:val="00083641"/>
    <w:rsid w:val="000836F3"/>
    <w:rsid w:val="00083732"/>
    <w:rsid w:val="00083975"/>
    <w:rsid w:val="00083985"/>
    <w:rsid w:val="0008398C"/>
    <w:rsid w:val="00083A26"/>
    <w:rsid w:val="00083B81"/>
    <w:rsid w:val="00083BF7"/>
    <w:rsid w:val="00083C4C"/>
    <w:rsid w:val="00083D1F"/>
    <w:rsid w:val="00083D5B"/>
    <w:rsid w:val="00083E53"/>
    <w:rsid w:val="00083E99"/>
    <w:rsid w:val="00083FC1"/>
    <w:rsid w:val="0008423B"/>
    <w:rsid w:val="00084386"/>
    <w:rsid w:val="000843EE"/>
    <w:rsid w:val="0008447C"/>
    <w:rsid w:val="00084653"/>
    <w:rsid w:val="00084689"/>
    <w:rsid w:val="000847E4"/>
    <w:rsid w:val="000848DC"/>
    <w:rsid w:val="000849B3"/>
    <w:rsid w:val="000849FF"/>
    <w:rsid w:val="00084A9D"/>
    <w:rsid w:val="00084B8D"/>
    <w:rsid w:val="00084E4F"/>
    <w:rsid w:val="00084FA8"/>
    <w:rsid w:val="0008504A"/>
    <w:rsid w:val="000850CE"/>
    <w:rsid w:val="000850E9"/>
    <w:rsid w:val="00085243"/>
    <w:rsid w:val="00085450"/>
    <w:rsid w:val="00085623"/>
    <w:rsid w:val="000856C5"/>
    <w:rsid w:val="0008579B"/>
    <w:rsid w:val="00085AFB"/>
    <w:rsid w:val="00085B84"/>
    <w:rsid w:val="00085C22"/>
    <w:rsid w:val="00085C31"/>
    <w:rsid w:val="00085F94"/>
    <w:rsid w:val="0008605A"/>
    <w:rsid w:val="0008623D"/>
    <w:rsid w:val="00086415"/>
    <w:rsid w:val="0008648E"/>
    <w:rsid w:val="00086658"/>
    <w:rsid w:val="00086A43"/>
    <w:rsid w:val="00086C1C"/>
    <w:rsid w:val="00086C31"/>
    <w:rsid w:val="00086FB9"/>
    <w:rsid w:val="0008726F"/>
    <w:rsid w:val="00087301"/>
    <w:rsid w:val="000875E0"/>
    <w:rsid w:val="000876F2"/>
    <w:rsid w:val="0008774E"/>
    <w:rsid w:val="000877A3"/>
    <w:rsid w:val="000877F3"/>
    <w:rsid w:val="00087B2D"/>
    <w:rsid w:val="00087BF1"/>
    <w:rsid w:val="00087E6E"/>
    <w:rsid w:val="00087E9E"/>
    <w:rsid w:val="00087F2F"/>
    <w:rsid w:val="00090268"/>
    <w:rsid w:val="000902D9"/>
    <w:rsid w:val="00090387"/>
    <w:rsid w:val="000908AD"/>
    <w:rsid w:val="00090BBD"/>
    <w:rsid w:val="00090C30"/>
    <w:rsid w:val="00090C7E"/>
    <w:rsid w:val="00090F93"/>
    <w:rsid w:val="00090FB2"/>
    <w:rsid w:val="00091023"/>
    <w:rsid w:val="000910FC"/>
    <w:rsid w:val="00091166"/>
    <w:rsid w:val="00091169"/>
    <w:rsid w:val="000911AC"/>
    <w:rsid w:val="000913A9"/>
    <w:rsid w:val="000913EA"/>
    <w:rsid w:val="000915A4"/>
    <w:rsid w:val="0009172F"/>
    <w:rsid w:val="00091857"/>
    <w:rsid w:val="00091884"/>
    <w:rsid w:val="0009188E"/>
    <w:rsid w:val="00091A7A"/>
    <w:rsid w:val="00091BDC"/>
    <w:rsid w:val="00091D73"/>
    <w:rsid w:val="00091F07"/>
    <w:rsid w:val="00092026"/>
    <w:rsid w:val="000923FE"/>
    <w:rsid w:val="00092600"/>
    <w:rsid w:val="0009262B"/>
    <w:rsid w:val="0009282C"/>
    <w:rsid w:val="000929F5"/>
    <w:rsid w:val="00092C13"/>
    <w:rsid w:val="00092C34"/>
    <w:rsid w:val="00092D61"/>
    <w:rsid w:val="00092D71"/>
    <w:rsid w:val="00092DE6"/>
    <w:rsid w:val="00092F5C"/>
    <w:rsid w:val="00092F77"/>
    <w:rsid w:val="00092F9C"/>
    <w:rsid w:val="00092FAE"/>
    <w:rsid w:val="00092FCF"/>
    <w:rsid w:val="00093202"/>
    <w:rsid w:val="00093288"/>
    <w:rsid w:val="000932DD"/>
    <w:rsid w:val="000932F7"/>
    <w:rsid w:val="00093310"/>
    <w:rsid w:val="00093379"/>
    <w:rsid w:val="00093443"/>
    <w:rsid w:val="00093592"/>
    <w:rsid w:val="000939FA"/>
    <w:rsid w:val="00093C00"/>
    <w:rsid w:val="00093C52"/>
    <w:rsid w:val="00093C71"/>
    <w:rsid w:val="00093E28"/>
    <w:rsid w:val="00093F94"/>
    <w:rsid w:val="00093FB6"/>
    <w:rsid w:val="00094070"/>
    <w:rsid w:val="00094376"/>
    <w:rsid w:val="0009444E"/>
    <w:rsid w:val="0009445C"/>
    <w:rsid w:val="00094504"/>
    <w:rsid w:val="0009452F"/>
    <w:rsid w:val="0009456F"/>
    <w:rsid w:val="00094592"/>
    <w:rsid w:val="00094802"/>
    <w:rsid w:val="000949CF"/>
    <w:rsid w:val="00094A21"/>
    <w:rsid w:val="00094A5E"/>
    <w:rsid w:val="00094B84"/>
    <w:rsid w:val="00094BEE"/>
    <w:rsid w:val="00094D47"/>
    <w:rsid w:val="00094E75"/>
    <w:rsid w:val="00094ED7"/>
    <w:rsid w:val="00094FA1"/>
    <w:rsid w:val="00095083"/>
    <w:rsid w:val="00095124"/>
    <w:rsid w:val="000951F7"/>
    <w:rsid w:val="00095200"/>
    <w:rsid w:val="000956C0"/>
    <w:rsid w:val="000957B6"/>
    <w:rsid w:val="00095834"/>
    <w:rsid w:val="00095848"/>
    <w:rsid w:val="0009587F"/>
    <w:rsid w:val="00095893"/>
    <w:rsid w:val="0009598F"/>
    <w:rsid w:val="00095C31"/>
    <w:rsid w:val="00095C55"/>
    <w:rsid w:val="00095D7E"/>
    <w:rsid w:val="00095F13"/>
    <w:rsid w:val="00095FE5"/>
    <w:rsid w:val="00096113"/>
    <w:rsid w:val="0009615B"/>
    <w:rsid w:val="00096284"/>
    <w:rsid w:val="000963DE"/>
    <w:rsid w:val="00096475"/>
    <w:rsid w:val="00096499"/>
    <w:rsid w:val="00096784"/>
    <w:rsid w:val="0009691F"/>
    <w:rsid w:val="000969AE"/>
    <w:rsid w:val="00096C5E"/>
    <w:rsid w:val="00096CEE"/>
    <w:rsid w:val="00096DDC"/>
    <w:rsid w:val="00096F30"/>
    <w:rsid w:val="00096FAB"/>
    <w:rsid w:val="00097203"/>
    <w:rsid w:val="00097263"/>
    <w:rsid w:val="00097298"/>
    <w:rsid w:val="000972E6"/>
    <w:rsid w:val="00097326"/>
    <w:rsid w:val="000975D0"/>
    <w:rsid w:val="00097826"/>
    <w:rsid w:val="0009786A"/>
    <w:rsid w:val="0009794F"/>
    <w:rsid w:val="000979BC"/>
    <w:rsid w:val="00097A02"/>
    <w:rsid w:val="00097C6E"/>
    <w:rsid w:val="00097D0F"/>
    <w:rsid w:val="00097D64"/>
    <w:rsid w:val="00097E48"/>
    <w:rsid w:val="00097E97"/>
    <w:rsid w:val="00097EFC"/>
    <w:rsid w:val="00097FA5"/>
    <w:rsid w:val="000A04E4"/>
    <w:rsid w:val="000A052C"/>
    <w:rsid w:val="000A0595"/>
    <w:rsid w:val="000A059B"/>
    <w:rsid w:val="000A05AB"/>
    <w:rsid w:val="000A0816"/>
    <w:rsid w:val="000A08B7"/>
    <w:rsid w:val="000A08DC"/>
    <w:rsid w:val="000A0959"/>
    <w:rsid w:val="000A09D1"/>
    <w:rsid w:val="000A09F5"/>
    <w:rsid w:val="000A0A0F"/>
    <w:rsid w:val="000A0A7D"/>
    <w:rsid w:val="000A0B07"/>
    <w:rsid w:val="000A0BD0"/>
    <w:rsid w:val="000A0C9D"/>
    <w:rsid w:val="000A0CEA"/>
    <w:rsid w:val="000A0DF3"/>
    <w:rsid w:val="000A0E9E"/>
    <w:rsid w:val="000A0F3A"/>
    <w:rsid w:val="000A1089"/>
    <w:rsid w:val="000A11B4"/>
    <w:rsid w:val="000A11EE"/>
    <w:rsid w:val="000A1265"/>
    <w:rsid w:val="000A12B0"/>
    <w:rsid w:val="000A12CF"/>
    <w:rsid w:val="000A12EA"/>
    <w:rsid w:val="000A1392"/>
    <w:rsid w:val="000A142B"/>
    <w:rsid w:val="000A14BE"/>
    <w:rsid w:val="000A14FA"/>
    <w:rsid w:val="000A15B4"/>
    <w:rsid w:val="000A168D"/>
    <w:rsid w:val="000A16C0"/>
    <w:rsid w:val="000A16DA"/>
    <w:rsid w:val="000A16FF"/>
    <w:rsid w:val="000A174B"/>
    <w:rsid w:val="000A1766"/>
    <w:rsid w:val="000A17F3"/>
    <w:rsid w:val="000A1A6B"/>
    <w:rsid w:val="000A1BC0"/>
    <w:rsid w:val="000A1C47"/>
    <w:rsid w:val="000A1CC6"/>
    <w:rsid w:val="000A22F2"/>
    <w:rsid w:val="000A234E"/>
    <w:rsid w:val="000A2403"/>
    <w:rsid w:val="000A2516"/>
    <w:rsid w:val="000A255A"/>
    <w:rsid w:val="000A25E4"/>
    <w:rsid w:val="000A2889"/>
    <w:rsid w:val="000A289B"/>
    <w:rsid w:val="000A2995"/>
    <w:rsid w:val="000A29C5"/>
    <w:rsid w:val="000A2A7B"/>
    <w:rsid w:val="000A2AD5"/>
    <w:rsid w:val="000A2CE6"/>
    <w:rsid w:val="000A2D25"/>
    <w:rsid w:val="000A2DD7"/>
    <w:rsid w:val="000A2E3C"/>
    <w:rsid w:val="000A2F9E"/>
    <w:rsid w:val="000A2FBC"/>
    <w:rsid w:val="000A3050"/>
    <w:rsid w:val="000A31D6"/>
    <w:rsid w:val="000A320C"/>
    <w:rsid w:val="000A32AB"/>
    <w:rsid w:val="000A34B9"/>
    <w:rsid w:val="000A3530"/>
    <w:rsid w:val="000A360D"/>
    <w:rsid w:val="000A38CE"/>
    <w:rsid w:val="000A38E8"/>
    <w:rsid w:val="000A3C8D"/>
    <w:rsid w:val="000A3D89"/>
    <w:rsid w:val="000A3E47"/>
    <w:rsid w:val="000A3E54"/>
    <w:rsid w:val="000A3E5C"/>
    <w:rsid w:val="000A405F"/>
    <w:rsid w:val="000A4087"/>
    <w:rsid w:val="000A40BB"/>
    <w:rsid w:val="000A40BD"/>
    <w:rsid w:val="000A4146"/>
    <w:rsid w:val="000A43A3"/>
    <w:rsid w:val="000A445C"/>
    <w:rsid w:val="000A44B1"/>
    <w:rsid w:val="000A4510"/>
    <w:rsid w:val="000A4626"/>
    <w:rsid w:val="000A462A"/>
    <w:rsid w:val="000A47B7"/>
    <w:rsid w:val="000A484C"/>
    <w:rsid w:val="000A4AD7"/>
    <w:rsid w:val="000A4F94"/>
    <w:rsid w:val="000A513B"/>
    <w:rsid w:val="000A522B"/>
    <w:rsid w:val="000A53DB"/>
    <w:rsid w:val="000A54BA"/>
    <w:rsid w:val="000A5604"/>
    <w:rsid w:val="000A56EE"/>
    <w:rsid w:val="000A58B3"/>
    <w:rsid w:val="000A591F"/>
    <w:rsid w:val="000A593D"/>
    <w:rsid w:val="000A5A4C"/>
    <w:rsid w:val="000A5B86"/>
    <w:rsid w:val="000A5BE4"/>
    <w:rsid w:val="000A5C95"/>
    <w:rsid w:val="000A6039"/>
    <w:rsid w:val="000A60BD"/>
    <w:rsid w:val="000A6190"/>
    <w:rsid w:val="000A6254"/>
    <w:rsid w:val="000A6411"/>
    <w:rsid w:val="000A654E"/>
    <w:rsid w:val="000A6562"/>
    <w:rsid w:val="000A67A9"/>
    <w:rsid w:val="000A6B29"/>
    <w:rsid w:val="000A6C59"/>
    <w:rsid w:val="000A6CF2"/>
    <w:rsid w:val="000A6E13"/>
    <w:rsid w:val="000A6F67"/>
    <w:rsid w:val="000A704F"/>
    <w:rsid w:val="000A728C"/>
    <w:rsid w:val="000A72FB"/>
    <w:rsid w:val="000A73B9"/>
    <w:rsid w:val="000A7453"/>
    <w:rsid w:val="000A77DB"/>
    <w:rsid w:val="000A7943"/>
    <w:rsid w:val="000A79C9"/>
    <w:rsid w:val="000A7B3B"/>
    <w:rsid w:val="000A7C08"/>
    <w:rsid w:val="000A7C99"/>
    <w:rsid w:val="000A7D08"/>
    <w:rsid w:val="000A7D2A"/>
    <w:rsid w:val="000A7D57"/>
    <w:rsid w:val="000A7F21"/>
    <w:rsid w:val="000B007D"/>
    <w:rsid w:val="000B00C4"/>
    <w:rsid w:val="000B0121"/>
    <w:rsid w:val="000B0207"/>
    <w:rsid w:val="000B0306"/>
    <w:rsid w:val="000B0313"/>
    <w:rsid w:val="000B041C"/>
    <w:rsid w:val="000B0668"/>
    <w:rsid w:val="000B0670"/>
    <w:rsid w:val="000B069B"/>
    <w:rsid w:val="000B0A14"/>
    <w:rsid w:val="000B0A22"/>
    <w:rsid w:val="000B0A9C"/>
    <w:rsid w:val="000B0AA0"/>
    <w:rsid w:val="000B0B61"/>
    <w:rsid w:val="000B0C2F"/>
    <w:rsid w:val="000B0CF5"/>
    <w:rsid w:val="000B0D6D"/>
    <w:rsid w:val="000B0DA2"/>
    <w:rsid w:val="000B0DAB"/>
    <w:rsid w:val="000B0E47"/>
    <w:rsid w:val="000B0E73"/>
    <w:rsid w:val="000B0E75"/>
    <w:rsid w:val="000B0F36"/>
    <w:rsid w:val="000B0FEC"/>
    <w:rsid w:val="000B0FFA"/>
    <w:rsid w:val="000B1084"/>
    <w:rsid w:val="000B1181"/>
    <w:rsid w:val="000B1348"/>
    <w:rsid w:val="000B1359"/>
    <w:rsid w:val="000B1599"/>
    <w:rsid w:val="000B1603"/>
    <w:rsid w:val="000B16BC"/>
    <w:rsid w:val="000B16E3"/>
    <w:rsid w:val="000B173A"/>
    <w:rsid w:val="000B19CE"/>
    <w:rsid w:val="000B19D1"/>
    <w:rsid w:val="000B1A1F"/>
    <w:rsid w:val="000B1A71"/>
    <w:rsid w:val="000B1AF3"/>
    <w:rsid w:val="000B1B4C"/>
    <w:rsid w:val="000B1B5A"/>
    <w:rsid w:val="000B1B75"/>
    <w:rsid w:val="000B1BD7"/>
    <w:rsid w:val="000B1BEB"/>
    <w:rsid w:val="000B1CAA"/>
    <w:rsid w:val="000B1CFE"/>
    <w:rsid w:val="000B1D1B"/>
    <w:rsid w:val="000B1D35"/>
    <w:rsid w:val="000B1D9A"/>
    <w:rsid w:val="000B1E3C"/>
    <w:rsid w:val="000B23E6"/>
    <w:rsid w:val="000B2467"/>
    <w:rsid w:val="000B24B1"/>
    <w:rsid w:val="000B25AB"/>
    <w:rsid w:val="000B2698"/>
    <w:rsid w:val="000B2731"/>
    <w:rsid w:val="000B288D"/>
    <w:rsid w:val="000B2943"/>
    <w:rsid w:val="000B2AC2"/>
    <w:rsid w:val="000B2CC1"/>
    <w:rsid w:val="000B2D35"/>
    <w:rsid w:val="000B2D9D"/>
    <w:rsid w:val="000B2DBA"/>
    <w:rsid w:val="000B2DC0"/>
    <w:rsid w:val="000B2DCB"/>
    <w:rsid w:val="000B2DD7"/>
    <w:rsid w:val="000B2ED0"/>
    <w:rsid w:val="000B30C3"/>
    <w:rsid w:val="000B327A"/>
    <w:rsid w:val="000B32B9"/>
    <w:rsid w:val="000B3422"/>
    <w:rsid w:val="000B349E"/>
    <w:rsid w:val="000B384E"/>
    <w:rsid w:val="000B3A08"/>
    <w:rsid w:val="000B3AC8"/>
    <w:rsid w:val="000B3AEF"/>
    <w:rsid w:val="000B3D10"/>
    <w:rsid w:val="000B3EDE"/>
    <w:rsid w:val="000B3FA5"/>
    <w:rsid w:val="000B402F"/>
    <w:rsid w:val="000B40FB"/>
    <w:rsid w:val="000B420F"/>
    <w:rsid w:val="000B422F"/>
    <w:rsid w:val="000B433D"/>
    <w:rsid w:val="000B4435"/>
    <w:rsid w:val="000B466E"/>
    <w:rsid w:val="000B4935"/>
    <w:rsid w:val="000B49E4"/>
    <w:rsid w:val="000B4ACF"/>
    <w:rsid w:val="000B4BB7"/>
    <w:rsid w:val="000B4D90"/>
    <w:rsid w:val="000B4DF8"/>
    <w:rsid w:val="000B4E6D"/>
    <w:rsid w:val="000B4F66"/>
    <w:rsid w:val="000B507D"/>
    <w:rsid w:val="000B523F"/>
    <w:rsid w:val="000B52A8"/>
    <w:rsid w:val="000B52FF"/>
    <w:rsid w:val="000B5348"/>
    <w:rsid w:val="000B53B2"/>
    <w:rsid w:val="000B5415"/>
    <w:rsid w:val="000B583C"/>
    <w:rsid w:val="000B58F5"/>
    <w:rsid w:val="000B5973"/>
    <w:rsid w:val="000B5AAB"/>
    <w:rsid w:val="000B5B0F"/>
    <w:rsid w:val="000B5CE0"/>
    <w:rsid w:val="000B5E00"/>
    <w:rsid w:val="000B5E0A"/>
    <w:rsid w:val="000B5F3F"/>
    <w:rsid w:val="000B5FD6"/>
    <w:rsid w:val="000B602F"/>
    <w:rsid w:val="000B6054"/>
    <w:rsid w:val="000B6085"/>
    <w:rsid w:val="000B6120"/>
    <w:rsid w:val="000B6399"/>
    <w:rsid w:val="000B6564"/>
    <w:rsid w:val="000B659D"/>
    <w:rsid w:val="000B66DB"/>
    <w:rsid w:val="000B6701"/>
    <w:rsid w:val="000B689C"/>
    <w:rsid w:val="000B6923"/>
    <w:rsid w:val="000B6A28"/>
    <w:rsid w:val="000B6CAC"/>
    <w:rsid w:val="000B6F6D"/>
    <w:rsid w:val="000B6F7A"/>
    <w:rsid w:val="000B6FDE"/>
    <w:rsid w:val="000B7028"/>
    <w:rsid w:val="000B70F4"/>
    <w:rsid w:val="000B729B"/>
    <w:rsid w:val="000B72AC"/>
    <w:rsid w:val="000B73A2"/>
    <w:rsid w:val="000B7612"/>
    <w:rsid w:val="000B762E"/>
    <w:rsid w:val="000B76F0"/>
    <w:rsid w:val="000B775A"/>
    <w:rsid w:val="000B78AE"/>
    <w:rsid w:val="000B793E"/>
    <w:rsid w:val="000B7AEB"/>
    <w:rsid w:val="000B7BE7"/>
    <w:rsid w:val="000B7CE7"/>
    <w:rsid w:val="000B7E24"/>
    <w:rsid w:val="000C0077"/>
    <w:rsid w:val="000C02FF"/>
    <w:rsid w:val="000C0353"/>
    <w:rsid w:val="000C0390"/>
    <w:rsid w:val="000C04A3"/>
    <w:rsid w:val="000C0561"/>
    <w:rsid w:val="000C061D"/>
    <w:rsid w:val="000C06A4"/>
    <w:rsid w:val="000C077E"/>
    <w:rsid w:val="000C0A24"/>
    <w:rsid w:val="000C0E2B"/>
    <w:rsid w:val="000C111A"/>
    <w:rsid w:val="000C11E7"/>
    <w:rsid w:val="000C1210"/>
    <w:rsid w:val="000C1285"/>
    <w:rsid w:val="000C13FC"/>
    <w:rsid w:val="000C1821"/>
    <w:rsid w:val="000C1C80"/>
    <w:rsid w:val="000C1FAF"/>
    <w:rsid w:val="000C2001"/>
    <w:rsid w:val="000C20DC"/>
    <w:rsid w:val="000C22B6"/>
    <w:rsid w:val="000C240D"/>
    <w:rsid w:val="000C257D"/>
    <w:rsid w:val="000C25C2"/>
    <w:rsid w:val="000C29C3"/>
    <w:rsid w:val="000C2AB9"/>
    <w:rsid w:val="000C2B36"/>
    <w:rsid w:val="000C2BB8"/>
    <w:rsid w:val="000C2D07"/>
    <w:rsid w:val="000C2EFE"/>
    <w:rsid w:val="000C33A6"/>
    <w:rsid w:val="000C3402"/>
    <w:rsid w:val="000C3450"/>
    <w:rsid w:val="000C3480"/>
    <w:rsid w:val="000C351F"/>
    <w:rsid w:val="000C3522"/>
    <w:rsid w:val="000C3DF6"/>
    <w:rsid w:val="000C3DF9"/>
    <w:rsid w:val="000C3EC7"/>
    <w:rsid w:val="000C3ED8"/>
    <w:rsid w:val="000C4077"/>
    <w:rsid w:val="000C40E5"/>
    <w:rsid w:val="000C4218"/>
    <w:rsid w:val="000C422E"/>
    <w:rsid w:val="000C4255"/>
    <w:rsid w:val="000C43CB"/>
    <w:rsid w:val="000C441C"/>
    <w:rsid w:val="000C4457"/>
    <w:rsid w:val="000C45D5"/>
    <w:rsid w:val="000C45E6"/>
    <w:rsid w:val="000C4783"/>
    <w:rsid w:val="000C487F"/>
    <w:rsid w:val="000C4CCE"/>
    <w:rsid w:val="000C4CF2"/>
    <w:rsid w:val="000C5098"/>
    <w:rsid w:val="000C522B"/>
    <w:rsid w:val="000C52AB"/>
    <w:rsid w:val="000C5306"/>
    <w:rsid w:val="000C5369"/>
    <w:rsid w:val="000C53BC"/>
    <w:rsid w:val="000C54F0"/>
    <w:rsid w:val="000C5697"/>
    <w:rsid w:val="000C5806"/>
    <w:rsid w:val="000C5965"/>
    <w:rsid w:val="000C599B"/>
    <w:rsid w:val="000C5AA6"/>
    <w:rsid w:val="000C5B04"/>
    <w:rsid w:val="000C5C78"/>
    <w:rsid w:val="000C612E"/>
    <w:rsid w:val="000C61C6"/>
    <w:rsid w:val="000C62D7"/>
    <w:rsid w:val="000C62D9"/>
    <w:rsid w:val="000C6414"/>
    <w:rsid w:val="000C641A"/>
    <w:rsid w:val="000C646A"/>
    <w:rsid w:val="000C647C"/>
    <w:rsid w:val="000C650D"/>
    <w:rsid w:val="000C6713"/>
    <w:rsid w:val="000C683E"/>
    <w:rsid w:val="000C6B1B"/>
    <w:rsid w:val="000C6C41"/>
    <w:rsid w:val="000C6C6F"/>
    <w:rsid w:val="000C718E"/>
    <w:rsid w:val="000C7203"/>
    <w:rsid w:val="000C7283"/>
    <w:rsid w:val="000C72AF"/>
    <w:rsid w:val="000C7396"/>
    <w:rsid w:val="000C75A4"/>
    <w:rsid w:val="000C75CC"/>
    <w:rsid w:val="000C75E8"/>
    <w:rsid w:val="000C77C7"/>
    <w:rsid w:val="000C7862"/>
    <w:rsid w:val="000C78EA"/>
    <w:rsid w:val="000C793D"/>
    <w:rsid w:val="000C7C48"/>
    <w:rsid w:val="000C7CA7"/>
    <w:rsid w:val="000C7E69"/>
    <w:rsid w:val="000C7F01"/>
    <w:rsid w:val="000C7FAE"/>
    <w:rsid w:val="000C7FBB"/>
    <w:rsid w:val="000D017B"/>
    <w:rsid w:val="000D0228"/>
    <w:rsid w:val="000D02F3"/>
    <w:rsid w:val="000D0523"/>
    <w:rsid w:val="000D0539"/>
    <w:rsid w:val="000D05B0"/>
    <w:rsid w:val="000D05CB"/>
    <w:rsid w:val="000D072F"/>
    <w:rsid w:val="000D0750"/>
    <w:rsid w:val="000D075C"/>
    <w:rsid w:val="000D0B6F"/>
    <w:rsid w:val="000D0B85"/>
    <w:rsid w:val="000D0BD9"/>
    <w:rsid w:val="000D0BEB"/>
    <w:rsid w:val="000D0C13"/>
    <w:rsid w:val="000D0C17"/>
    <w:rsid w:val="000D0CBF"/>
    <w:rsid w:val="000D0CF6"/>
    <w:rsid w:val="000D0EC8"/>
    <w:rsid w:val="000D0F57"/>
    <w:rsid w:val="000D1098"/>
    <w:rsid w:val="000D12E0"/>
    <w:rsid w:val="000D132B"/>
    <w:rsid w:val="000D1355"/>
    <w:rsid w:val="000D157C"/>
    <w:rsid w:val="000D1702"/>
    <w:rsid w:val="000D188E"/>
    <w:rsid w:val="000D1A55"/>
    <w:rsid w:val="000D1BFC"/>
    <w:rsid w:val="000D1D5D"/>
    <w:rsid w:val="000D1D9E"/>
    <w:rsid w:val="000D1E6C"/>
    <w:rsid w:val="000D1E8B"/>
    <w:rsid w:val="000D1FDB"/>
    <w:rsid w:val="000D2056"/>
    <w:rsid w:val="000D214D"/>
    <w:rsid w:val="000D2221"/>
    <w:rsid w:val="000D231A"/>
    <w:rsid w:val="000D2339"/>
    <w:rsid w:val="000D236E"/>
    <w:rsid w:val="000D2370"/>
    <w:rsid w:val="000D251D"/>
    <w:rsid w:val="000D2655"/>
    <w:rsid w:val="000D267A"/>
    <w:rsid w:val="000D27FF"/>
    <w:rsid w:val="000D281A"/>
    <w:rsid w:val="000D2848"/>
    <w:rsid w:val="000D29DB"/>
    <w:rsid w:val="000D2B14"/>
    <w:rsid w:val="000D2B42"/>
    <w:rsid w:val="000D2B45"/>
    <w:rsid w:val="000D2B7F"/>
    <w:rsid w:val="000D2C34"/>
    <w:rsid w:val="000D2DDB"/>
    <w:rsid w:val="000D2F7F"/>
    <w:rsid w:val="000D2FC3"/>
    <w:rsid w:val="000D3085"/>
    <w:rsid w:val="000D3115"/>
    <w:rsid w:val="000D3154"/>
    <w:rsid w:val="000D316C"/>
    <w:rsid w:val="000D321E"/>
    <w:rsid w:val="000D326A"/>
    <w:rsid w:val="000D33A2"/>
    <w:rsid w:val="000D3443"/>
    <w:rsid w:val="000D348D"/>
    <w:rsid w:val="000D34A5"/>
    <w:rsid w:val="000D3557"/>
    <w:rsid w:val="000D35C2"/>
    <w:rsid w:val="000D3620"/>
    <w:rsid w:val="000D38C2"/>
    <w:rsid w:val="000D391F"/>
    <w:rsid w:val="000D408D"/>
    <w:rsid w:val="000D409D"/>
    <w:rsid w:val="000D4307"/>
    <w:rsid w:val="000D4330"/>
    <w:rsid w:val="000D4556"/>
    <w:rsid w:val="000D45C0"/>
    <w:rsid w:val="000D45EC"/>
    <w:rsid w:val="000D45EF"/>
    <w:rsid w:val="000D461E"/>
    <w:rsid w:val="000D4756"/>
    <w:rsid w:val="000D47B3"/>
    <w:rsid w:val="000D47D4"/>
    <w:rsid w:val="000D481B"/>
    <w:rsid w:val="000D48AA"/>
    <w:rsid w:val="000D4B8D"/>
    <w:rsid w:val="000D4C48"/>
    <w:rsid w:val="000D4C55"/>
    <w:rsid w:val="000D4E06"/>
    <w:rsid w:val="000D4EB9"/>
    <w:rsid w:val="000D504B"/>
    <w:rsid w:val="000D507B"/>
    <w:rsid w:val="000D5105"/>
    <w:rsid w:val="000D51C3"/>
    <w:rsid w:val="000D51FB"/>
    <w:rsid w:val="000D52BC"/>
    <w:rsid w:val="000D5381"/>
    <w:rsid w:val="000D540D"/>
    <w:rsid w:val="000D543B"/>
    <w:rsid w:val="000D5542"/>
    <w:rsid w:val="000D55D0"/>
    <w:rsid w:val="000D55E7"/>
    <w:rsid w:val="000D5871"/>
    <w:rsid w:val="000D5882"/>
    <w:rsid w:val="000D58C7"/>
    <w:rsid w:val="000D5928"/>
    <w:rsid w:val="000D592D"/>
    <w:rsid w:val="000D5A8F"/>
    <w:rsid w:val="000D5C52"/>
    <w:rsid w:val="000D5D68"/>
    <w:rsid w:val="000D5DAE"/>
    <w:rsid w:val="000D6069"/>
    <w:rsid w:val="000D60C8"/>
    <w:rsid w:val="000D61C6"/>
    <w:rsid w:val="000D6223"/>
    <w:rsid w:val="000D6246"/>
    <w:rsid w:val="000D62D3"/>
    <w:rsid w:val="000D6387"/>
    <w:rsid w:val="000D6471"/>
    <w:rsid w:val="000D648D"/>
    <w:rsid w:val="000D64B2"/>
    <w:rsid w:val="000D69C8"/>
    <w:rsid w:val="000D6E81"/>
    <w:rsid w:val="000D702A"/>
    <w:rsid w:val="000D70D2"/>
    <w:rsid w:val="000D70EC"/>
    <w:rsid w:val="000D7138"/>
    <w:rsid w:val="000D71EB"/>
    <w:rsid w:val="000D7305"/>
    <w:rsid w:val="000D7372"/>
    <w:rsid w:val="000D740F"/>
    <w:rsid w:val="000D7577"/>
    <w:rsid w:val="000D7690"/>
    <w:rsid w:val="000D76BB"/>
    <w:rsid w:val="000D77C3"/>
    <w:rsid w:val="000D785A"/>
    <w:rsid w:val="000D7A9B"/>
    <w:rsid w:val="000D7E34"/>
    <w:rsid w:val="000E01DE"/>
    <w:rsid w:val="000E024E"/>
    <w:rsid w:val="000E038A"/>
    <w:rsid w:val="000E0640"/>
    <w:rsid w:val="000E069B"/>
    <w:rsid w:val="000E089E"/>
    <w:rsid w:val="000E08B1"/>
    <w:rsid w:val="000E08E7"/>
    <w:rsid w:val="000E09C0"/>
    <w:rsid w:val="000E0EDF"/>
    <w:rsid w:val="000E0EFF"/>
    <w:rsid w:val="000E125F"/>
    <w:rsid w:val="000E1285"/>
    <w:rsid w:val="000E135D"/>
    <w:rsid w:val="000E13F8"/>
    <w:rsid w:val="000E144A"/>
    <w:rsid w:val="000E162D"/>
    <w:rsid w:val="000E1955"/>
    <w:rsid w:val="000E19EA"/>
    <w:rsid w:val="000E1C4E"/>
    <w:rsid w:val="000E1D7B"/>
    <w:rsid w:val="000E1EC7"/>
    <w:rsid w:val="000E2032"/>
    <w:rsid w:val="000E258D"/>
    <w:rsid w:val="000E2606"/>
    <w:rsid w:val="000E2748"/>
    <w:rsid w:val="000E27D0"/>
    <w:rsid w:val="000E2BD5"/>
    <w:rsid w:val="000E2C0F"/>
    <w:rsid w:val="000E2C6D"/>
    <w:rsid w:val="000E2D18"/>
    <w:rsid w:val="000E2E81"/>
    <w:rsid w:val="000E2EA6"/>
    <w:rsid w:val="000E3066"/>
    <w:rsid w:val="000E3089"/>
    <w:rsid w:val="000E330F"/>
    <w:rsid w:val="000E372F"/>
    <w:rsid w:val="000E3791"/>
    <w:rsid w:val="000E386A"/>
    <w:rsid w:val="000E3A7F"/>
    <w:rsid w:val="000E3B15"/>
    <w:rsid w:val="000E3BF7"/>
    <w:rsid w:val="000E3C19"/>
    <w:rsid w:val="000E3D37"/>
    <w:rsid w:val="000E3DE7"/>
    <w:rsid w:val="000E3F89"/>
    <w:rsid w:val="000E41D5"/>
    <w:rsid w:val="000E44B0"/>
    <w:rsid w:val="000E44F2"/>
    <w:rsid w:val="000E4509"/>
    <w:rsid w:val="000E475A"/>
    <w:rsid w:val="000E480B"/>
    <w:rsid w:val="000E4890"/>
    <w:rsid w:val="000E4BAC"/>
    <w:rsid w:val="000E4D5C"/>
    <w:rsid w:val="000E4DEE"/>
    <w:rsid w:val="000E5072"/>
    <w:rsid w:val="000E5111"/>
    <w:rsid w:val="000E51AD"/>
    <w:rsid w:val="000E5265"/>
    <w:rsid w:val="000E543C"/>
    <w:rsid w:val="000E54C0"/>
    <w:rsid w:val="000E55E5"/>
    <w:rsid w:val="000E56F0"/>
    <w:rsid w:val="000E5734"/>
    <w:rsid w:val="000E57FB"/>
    <w:rsid w:val="000E5871"/>
    <w:rsid w:val="000E5938"/>
    <w:rsid w:val="000E5AC7"/>
    <w:rsid w:val="000E5BAC"/>
    <w:rsid w:val="000E5C21"/>
    <w:rsid w:val="000E5C6F"/>
    <w:rsid w:val="000E5DEB"/>
    <w:rsid w:val="000E5EB8"/>
    <w:rsid w:val="000E5EC4"/>
    <w:rsid w:val="000E6019"/>
    <w:rsid w:val="000E6059"/>
    <w:rsid w:val="000E60C3"/>
    <w:rsid w:val="000E6314"/>
    <w:rsid w:val="000E6361"/>
    <w:rsid w:val="000E64FE"/>
    <w:rsid w:val="000E6538"/>
    <w:rsid w:val="000E659E"/>
    <w:rsid w:val="000E66DE"/>
    <w:rsid w:val="000E670A"/>
    <w:rsid w:val="000E6AD0"/>
    <w:rsid w:val="000E6CCB"/>
    <w:rsid w:val="000E6D28"/>
    <w:rsid w:val="000E6D77"/>
    <w:rsid w:val="000E6DB3"/>
    <w:rsid w:val="000E6E4D"/>
    <w:rsid w:val="000E6ED0"/>
    <w:rsid w:val="000E6F80"/>
    <w:rsid w:val="000E6F9A"/>
    <w:rsid w:val="000E7048"/>
    <w:rsid w:val="000E70E3"/>
    <w:rsid w:val="000E71EA"/>
    <w:rsid w:val="000E730F"/>
    <w:rsid w:val="000E742C"/>
    <w:rsid w:val="000E77B6"/>
    <w:rsid w:val="000E787A"/>
    <w:rsid w:val="000E79C6"/>
    <w:rsid w:val="000E7AEC"/>
    <w:rsid w:val="000E7B54"/>
    <w:rsid w:val="000E7B93"/>
    <w:rsid w:val="000F00BA"/>
    <w:rsid w:val="000F015B"/>
    <w:rsid w:val="000F01B9"/>
    <w:rsid w:val="000F03C7"/>
    <w:rsid w:val="000F060D"/>
    <w:rsid w:val="000F06A4"/>
    <w:rsid w:val="000F0741"/>
    <w:rsid w:val="000F0950"/>
    <w:rsid w:val="000F0B56"/>
    <w:rsid w:val="000F0C5F"/>
    <w:rsid w:val="000F0DBC"/>
    <w:rsid w:val="000F103B"/>
    <w:rsid w:val="000F1144"/>
    <w:rsid w:val="000F14BB"/>
    <w:rsid w:val="000F14BD"/>
    <w:rsid w:val="000F1603"/>
    <w:rsid w:val="000F1604"/>
    <w:rsid w:val="000F1626"/>
    <w:rsid w:val="000F1663"/>
    <w:rsid w:val="000F17C7"/>
    <w:rsid w:val="000F18AB"/>
    <w:rsid w:val="000F1B91"/>
    <w:rsid w:val="000F1DB8"/>
    <w:rsid w:val="000F1EDA"/>
    <w:rsid w:val="000F1F55"/>
    <w:rsid w:val="000F2005"/>
    <w:rsid w:val="000F2006"/>
    <w:rsid w:val="000F2165"/>
    <w:rsid w:val="000F21BD"/>
    <w:rsid w:val="000F239E"/>
    <w:rsid w:val="000F23AE"/>
    <w:rsid w:val="000F261E"/>
    <w:rsid w:val="000F26AC"/>
    <w:rsid w:val="000F2748"/>
    <w:rsid w:val="000F28C2"/>
    <w:rsid w:val="000F28D6"/>
    <w:rsid w:val="000F29A8"/>
    <w:rsid w:val="000F2C8C"/>
    <w:rsid w:val="000F2DBB"/>
    <w:rsid w:val="000F2F4B"/>
    <w:rsid w:val="000F3050"/>
    <w:rsid w:val="000F316A"/>
    <w:rsid w:val="000F31D1"/>
    <w:rsid w:val="000F32E9"/>
    <w:rsid w:val="000F330E"/>
    <w:rsid w:val="000F3382"/>
    <w:rsid w:val="000F3478"/>
    <w:rsid w:val="000F347E"/>
    <w:rsid w:val="000F365B"/>
    <w:rsid w:val="000F38DF"/>
    <w:rsid w:val="000F3AE3"/>
    <w:rsid w:val="000F3B0C"/>
    <w:rsid w:val="000F3BAE"/>
    <w:rsid w:val="000F3BB4"/>
    <w:rsid w:val="000F3C74"/>
    <w:rsid w:val="000F3FBB"/>
    <w:rsid w:val="000F406F"/>
    <w:rsid w:val="000F40B8"/>
    <w:rsid w:val="000F4900"/>
    <w:rsid w:val="000F4A89"/>
    <w:rsid w:val="000F4AA2"/>
    <w:rsid w:val="000F4BB8"/>
    <w:rsid w:val="000F4DDB"/>
    <w:rsid w:val="000F4F3A"/>
    <w:rsid w:val="000F4FA9"/>
    <w:rsid w:val="000F5093"/>
    <w:rsid w:val="000F5109"/>
    <w:rsid w:val="000F51F4"/>
    <w:rsid w:val="000F53FB"/>
    <w:rsid w:val="000F5584"/>
    <w:rsid w:val="000F5854"/>
    <w:rsid w:val="000F59A1"/>
    <w:rsid w:val="000F5A44"/>
    <w:rsid w:val="000F5A63"/>
    <w:rsid w:val="000F5DA3"/>
    <w:rsid w:val="000F5DCC"/>
    <w:rsid w:val="000F5E01"/>
    <w:rsid w:val="000F601D"/>
    <w:rsid w:val="000F621B"/>
    <w:rsid w:val="000F6243"/>
    <w:rsid w:val="000F62FE"/>
    <w:rsid w:val="000F6726"/>
    <w:rsid w:val="000F67EC"/>
    <w:rsid w:val="000F6ACA"/>
    <w:rsid w:val="000F6B1E"/>
    <w:rsid w:val="000F6BFE"/>
    <w:rsid w:val="000F6C22"/>
    <w:rsid w:val="000F6ED5"/>
    <w:rsid w:val="000F6EE7"/>
    <w:rsid w:val="000F6F10"/>
    <w:rsid w:val="000F6F93"/>
    <w:rsid w:val="000F7127"/>
    <w:rsid w:val="000F7178"/>
    <w:rsid w:val="000F77AB"/>
    <w:rsid w:val="000F7872"/>
    <w:rsid w:val="000F7906"/>
    <w:rsid w:val="000F7B54"/>
    <w:rsid w:val="000F7C97"/>
    <w:rsid w:val="000F7D52"/>
    <w:rsid w:val="000F7E53"/>
    <w:rsid w:val="000F7E66"/>
    <w:rsid w:val="000F7E9E"/>
    <w:rsid w:val="000F7EFA"/>
    <w:rsid w:val="000F7F61"/>
    <w:rsid w:val="000F7FD2"/>
    <w:rsid w:val="0010008B"/>
    <w:rsid w:val="001000B3"/>
    <w:rsid w:val="0010013F"/>
    <w:rsid w:val="0010035D"/>
    <w:rsid w:val="0010058A"/>
    <w:rsid w:val="001006DD"/>
    <w:rsid w:val="00100787"/>
    <w:rsid w:val="001008B9"/>
    <w:rsid w:val="00100AA8"/>
    <w:rsid w:val="00100B29"/>
    <w:rsid w:val="00100F8A"/>
    <w:rsid w:val="00100FAC"/>
    <w:rsid w:val="00100FB2"/>
    <w:rsid w:val="00101061"/>
    <w:rsid w:val="0010117A"/>
    <w:rsid w:val="00101208"/>
    <w:rsid w:val="00101237"/>
    <w:rsid w:val="001013A8"/>
    <w:rsid w:val="001013D8"/>
    <w:rsid w:val="001015B7"/>
    <w:rsid w:val="001017D2"/>
    <w:rsid w:val="00101804"/>
    <w:rsid w:val="00101C04"/>
    <w:rsid w:val="00101CCE"/>
    <w:rsid w:val="00101F0B"/>
    <w:rsid w:val="00102051"/>
    <w:rsid w:val="0010226B"/>
    <w:rsid w:val="001022AE"/>
    <w:rsid w:val="001024AD"/>
    <w:rsid w:val="00102588"/>
    <w:rsid w:val="00102632"/>
    <w:rsid w:val="0010266A"/>
    <w:rsid w:val="00102B96"/>
    <w:rsid w:val="00102CD5"/>
    <w:rsid w:val="00102D77"/>
    <w:rsid w:val="00102F17"/>
    <w:rsid w:val="00103004"/>
    <w:rsid w:val="00103142"/>
    <w:rsid w:val="001031CD"/>
    <w:rsid w:val="00103320"/>
    <w:rsid w:val="00103663"/>
    <w:rsid w:val="0010376B"/>
    <w:rsid w:val="0010382F"/>
    <w:rsid w:val="00103894"/>
    <w:rsid w:val="00103A29"/>
    <w:rsid w:val="00103B37"/>
    <w:rsid w:val="00103DB2"/>
    <w:rsid w:val="00103E0B"/>
    <w:rsid w:val="00103F77"/>
    <w:rsid w:val="0010408E"/>
    <w:rsid w:val="00104368"/>
    <w:rsid w:val="0010436F"/>
    <w:rsid w:val="0010452E"/>
    <w:rsid w:val="0010484D"/>
    <w:rsid w:val="001048EB"/>
    <w:rsid w:val="00104A22"/>
    <w:rsid w:val="00104B00"/>
    <w:rsid w:val="00104B84"/>
    <w:rsid w:val="00104BB6"/>
    <w:rsid w:val="00104CF8"/>
    <w:rsid w:val="00104D61"/>
    <w:rsid w:val="00104D84"/>
    <w:rsid w:val="00104DA5"/>
    <w:rsid w:val="00104E97"/>
    <w:rsid w:val="00104F5B"/>
    <w:rsid w:val="00104F60"/>
    <w:rsid w:val="00104F8D"/>
    <w:rsid w:val="00104FAB"/>
    <w:rsid w:val="00105289"/>
    <w:rsid w:val="0010528C"/>
    <w:rsid w:val="001052BF"/>
    <w:rsid w:val="0010549C"/>
    <w:rsid w:val="00105620"/>
    <w:rsid w:val="00105681"/>
    <w:rsid w:val="001057D0"/>
    <w:rsid w:val="0010584C"/>
    <w:rsid w:val="001058AF"/>
    <w:rsid w:val="00105925"/>
    <w:rsid w:val="001059CC"/>
    <w:rsid w:val="00105A03"/>
    <w:rsid w:val="00105AE2"/>
    <w:rsid w:val="00105B5D"/>
    <w:rsid w:val="00105CF8"/>
    <w:rsid w:val="00105D32"/>
    <w:rsid w:val="00105D81"/>
    <w:rsid w:val="00105E29"/>
    <w:rsid w:val="0010606C"/>
    <w:rsid w:val="001060C6"/>
    <w:rsid w:val="001061B7"/>
    <w:rsid w:val="001061FA"/>
    <w:rsid w:val="0010628E"/>
    <w:rsid w:val="001063CE"/>
    <w:rsid w:val="001066D4"/>
    <w:rsid w:val="00106701"/>
    <w:rsid w:val="001067FE"/>
    <w:rsid w:val="00106B80"/>
    <w:rsid w:val="00106E51"/>
    <w:rsid w:val="00106E7C"/>
    <w:rsid w:val="00106FE1"/>
    <w:rsid w:val="001070B0"/>
    <w:rsid w:val="001070B5"/>
    <w:rsid w:val="001072AE"/>
    <w:rsid w:val="0010747B"/>
    <w:rsid w:val="00107528"/>
    <w:rsid w:val="00107BA4"/>
    <w:rsid w:val="00107D57"/>
    <w:rsid w:val="00107EFD"/>
    <w:rsid w:val="00107FE2"/>
    <w:rsid w:val="00110052"/>
    <w:rsid w:val="00110060"/>
    <w:rsid w:val="001100FD"/>
    <w:rsid w:val="0011024C"/>
    <w:rsid w:val="0011032E"/>
    <w:rsid w:val="001103CF"/>
    <w:rsid w:val="00110552"/>
    <w:rsid w:val="0011060A"/>
    <w:rsid w:val="00110660"/>
    <w:rsid w:val="001107EF"/>
    <w:rsid w:val="0011089E"/>
    <w:rsid w:val="001108F2"/>
    <w:rsid w:val="00110ADD"/>
    <w:rsid w:val="00110B30"/>
    <w:rsid w:val="00110C65"/>
    <w:rsid w:val="00110D1C"/>
    <w:rsid w:val="00110D2E"/>
    <w:rsid w:val="00110D31"/>
    <w:rsid w:val="00110DA1"/>
    <w:rsid w:val="00110DC1"/>
    <w:rsid w:val="00110E05"/>
    <w:rsid w:val="00110E6B"/>
    <w:rsid w:val="00110E8F"/>
    <w:rsid w:val="00110F4C"/>
    <w:rsid w:val="00110FF6"/>
    <w:rsid w:val="0011102B"/>
    <w:rsid w:val="00111123"/>
    <w:rsid w:val="001114BC"/>
    <w:rsid w:val="00111569"/>
    <w:rsid w:val="00111776"/>
    <w:rsid w:val="0011196D"/>
    <w:rsid w:val="001119A9"/>
    <w:rsid w:val="00111C1A"/>
    <w:rsid w:val="00111ED2"/>
    <w:rsid w:val="0011216F"/>
    <w:rsid w:val="00112172"/>
    <w:rsid w:val="001121F9"/>
    <w:rsid w:val="00112526"/>
    <w:rsid w:val="00112673"/>
    <w:rsid w:val="00112973"/>
    <w:rsid w:val="00112A28"/>
    <w:rsid w:val="00112D17"/>
    <w:rsid w:val="00112D9C"/>
    <w:rsid w:val="00112F0F"/>
    <w:rsid w:val="00112FE2"/>
    <w:rsid w:val="001130D7"/>
    <w:rsid w:val="001130F5"/>
    <w:rsid w:val="0011321B"/>
    <w:rsid w:val="0011348B"/>
    <w:rsid w:val="0011354E"/>
    <w:rsid w:val="00113579"/>
    <w:rsid w:val="001135AB"/>
    <w:rsid w:val="00113607"/>
    <w:rsid w:val="0011361A"/>
    <w:rsid w:val="0011375C"/>
    <w:rsid w:val="00113821"/>
    <w:rsid w:val="00113BFD"/>
    <w:rsid w:val="00113C12"/>
    <w:rsid w:val="00113C22"/>
    <w:rsid w:val="00113F17"/>
    <w:rsid w:val="001142F2"/>
    <w:rsid w:val="00114330"/>
    <w:rsid w:val="00114382"/>
    <w:rsid w:val="001143AE"/>
    <w:rsid w:val="001143D8"/>
    <w:rsid w:val="00114509"/>
    <w:rsid w:val="001145BE"/>
    <w:rsid w:val="001146A5"/>
    <w:rsid w:val="001147B5"/>
    <w:rsid w:val="001147D6"/>
    <w:rsid w:val="00114A75"/>
    <w:rsid w:val="00114B55"/>
    <w:rsid w:val="00114C0F"/>
    <w:rsid w:val="00114D08"/>
    <w:rsid w:val="00114D66"/>
    <w:rsid w:val="00114FCC"/>
    <w:rsid w:val="001151AD"/>
    <w:rsid w:val="001151C2"/>
    <w:rsid w:val="00115241"/>
    <w:rsid w:val="0011547A"/>
    <w:rsid w:val="001154B6"/>
    <w:rsid w:val="00115696"/>
    <w:rsid w:val="001156F3"/>
    <w:rsid w:val="0011579C"/>
    <w:rsid w:val="0011579F"/>
    <w:rsid w:val="00115982"/>
    <w:rsid w:val="0011598B"/>
    <w:rsid w:val="001159DF"/>
    <w:rsid w:val="00115AC1"/>
    <w:rsid w:val="00115F16"/>
    <w:rsid w:val="0011627C"/>
    <w:rsid w:val="001162DE"/>
    <w:rsid w:val="001163F3"/>
    <w:rsid w:val="001165BC"/>
    <w:rsid w:val="001165FE"/>
    <w:rsid w:val="001168E2"/>
    <w:rsid w:val="00116933"/>
    <w:rsid w:val="001169B2"/>
    <w:rsid w:val="00116AED"/>
    <w:rsid w:val="00116B0B"/>
    <w:rsid w:val="00116BCB"/>
    <w:rsid w:val="00116C53"/>
    <w:rsid w:val="00116D74"/>
    <w:rsid w:val="00116DDF"/>
    <w:rsid w:val="00116E13"/>
    <w:rsid w:val="00116E40"/>
    <w:rsid w:val="00116E51"/>
    <w:rsid w:val="00116EC5"/>
    <w:rsid w:val="001170AF"/>
    <w:rsid w:val="001170E5"/>
    <w:rsid w:val="001171F4"/>
    <w:rsid w:val="00117314"/>
    <w:rsid w:val="00117315"/>
    <w:rsid w:val="001174F8"/>
    <w:rsid w:val="00117534"/>
    <w:rsid w:val="001175C1"/>
    <w:rsid w:val="001176F0"/>
    <w:rsid w:val="001177AF"/>
    <w:rsid w:val="001177C7"/>
    <w:rsid w:val="001177CE"/>
    <w:rsid w:val="001177E2"/>
    <w:rsid w:val="00117902"/>
    <w:rsid w:val="001179F0"/>
    <w:rsid w:val="00117A04"/>
    <w:rsid w:val="00117B7A"/>
    <w:rsid w:val="00117D7C"/>
    <w:rsid w:val="00120400"/>
    <w:rsid w:val="00120438"/>
    <w:rsid w:val="0012055A"/>
    <w:rsid w:val="0012056C"/>
    <w:rsid w:val="0012075A"/>
    <w:rsid w:val="00120931"/>
    <w:rsid w:val="001209FA"/>
    <w:rsid w:val="00120DC6"/>
    <w:rsid w:val="00120E5E"/>
    <w:rsid w:val="00120F94"/>
    <w:rsid w:val="0012108B"/>
    <w:rsid w:val="00121382"/>
    <w:rsid w:val="001213D4"/>
    <w:rsid w:val="00121437"/>
    <w:rsid w:val="0012146F"/>
    <w:rsid w:val="001214DD"/>
    <w:rsid w:val="00121510"/>
    <w:rsid w:val="0012155E"/>
    <w:rsid w:val="001215D2"/>
    <w:rsid w:val="0012164E"/>
    <w:rsid w:val="00121748"/>
    <w:rsid w:val="00121799"/>
    <w:rsid w:val="00121BEC"/>
    <w:rsid w:val="00121DE8"/>
    <w:rsid w:val="00121ED8"/>
    <w:rsid w:val="00121F6D"/>
    <w:rsid w:val="00121FE2"/>
    <w:rsid w:val="00122030"/>
    <w:rsid w:val="001220A3"/>
    <w:rsid w:val="00122131"/>
    <w:rsid w:val="001222FC"/>
    <w:rsid w:val="00122478"/>
    <w:rsid w:val="00122491"/>
    <w:rsid w:val="00122501"/>
    <w:rsid w:val="001225C6"/>
    <w:rsid w:val="00122772"/>
    <w:rsid w:val="00122A9B"/>
    <w:rsid w:val="00122B1A"/>
    <w:rsid w:val="00122F47"/>
    <w:rsid w:val="00123076"/>
    <w:rsid w:val="00123108"/>
    <w:rsid w:val="00123116"/>
    <w:rsid w:val="001231A0"/>
    <w:rsid w:val="001231D6"/>
    <w:rsid w:val="00123363"/>
    <w:rsid w:val="00123481"/>
    <w:rsid w:val="001235FF"/>
    <w:rsid w:val="00123649"/>
    <w:rsid w:val="001236B6"/>
    <w:rsid w:val="0012378B"/>
    <w:rsid w:val="00123902"/>
    <w:rsid w:val="00123B82"/>
    <w:rsid w:val="00123C64"/>
    <w:rsid w:val="00123D10"/>
    <w:rsid w:val="00123D7E"/>
    <w:rsid w:val="00123F09"/>
    <w:rsid w:val="00123F31"/>
    <w:rsid w:val="00123F5D"/>
    <w:rsid w:val="00123F93"/>
    <w:rsid w:val="001240C4"/>
    <w:rsid w:val="001240F2"/>
    <w:rsid w:val="00124174"/>
    <w:rsid w:val="001241C7"/>
    <w:rsid w:val="001242D3"/>
    <w:rsid w:val="001243D7"/>
    <w:rsid w:val="001243EB"/>
    <w:rsid w:val="00124405"/>
    <w:rsid w:val="001244F7"/>
    <w:rsid w:val="00124A23"/>
    <w:rsid w:val="00124A51"/>
    <w:rsid w:val="00124C52"/>
    <w:rsid w:val="00124EED"/>
    <w:rsid w:val="00124EF2"/>
    <w:rsid w:val="001255DA"/>
    <w:rsid w:val="001256D0"/>
    <w:rsid w:val="00125742"/>
    <w:rsid w:val="0012583D"/>
    <w:rsid w:val="00125939"/>
    <w:rsid w:val="00125A82"/>
    <w:rsid w:val="00125AD5"/>
    <w:rsid w:val="00125C76"/>
    <w:rsid w:val="00125CA0"/>
    <w:rsid w:val="00125D71"/>
    <w:rsid w:val="00125DCE"/>
    <w:rsid w:val="00125FC8"/>
    <w:rsid w:val="001260A9"/>
    <w:rsid w:val="00126203"/>
    <w:rsid w:val="0012627B"/>
    <w:rsid w:val="001262EC"/>
    <w:rsid w:val="0012631A"/>
    <w:rsid w:val="00126548"/>
    <w:rsid w:val="00126621"/>
    <w:rsid w:val="001266A9"/>
    <w:rsid w:val="0012679B"/>
    <w:rsid w:val="0012699B"/>
    <w:rsid w:val="00126B1D"/>
    <w:rsid w:val="00126B85"/>
    <w:rsid w:val="00126BB3"/>
    <w:rsid w:val="00126BC6"/>
    <w:rsid w:val="00126CE7"/>
    <w:rsid w:val="00127163"/>
    <w:rsid w:val="00127286"/>
    <w:rsid w:val="0012729C"/>
    <w:rsid w:val="0012735C"/>
    <w:rsid w:val="00127396"/>
    <w:rsid w:val="00127687"/>
    <w:rsid w:val="001277EA"/>
    <w:rsid w:val="0012782A"/>
    <w:rsid w:val="001279F9"/>
    <w:rsid w:val="00127A4E"/>
    <w:rsid w:val="00127CB2"/>
    <w:rsid w:val="00127E40"/>
    <w:rsid w:val="00127F38"/>
    <w:rsid w:val="001300AC"/>
    <w:rsid w:val="001301E9"/>
    <w:rsid w:val="001302E4"/>
    <w:rsid w:val="001305D0"/>
    <w:rsid w:val="0013068F"/>
    <w:rsid w:val="00130704"/>
    <w:rsid w:val="00130753"/>
    <w:rsid w:val="0013085B"/>
    <w:rsid w:val="00130A16"/>
    <w:rsid w:val="00130A89"/>
    <w:rsid w:val="00130AC6"/>
    <w:rsid w:val="00130BBF"/>
    <w:rsid w:val="00130C26"/>
    <w:rsid w:val="00130D55"/>
    <w:rsid w:val="00130D83"/>
    <w:rsid w:val="00131327"/>
    <w:rsid w:val="00131343"/>
    <w:rsid w:val="001315B2"/>
    <w:rsid w:val="00131734"/>
    <w:rsid w:val="0013182F"/>
    <w:rsid w:val="001318A4"/>
    <w:rsid w:val="001318BA"/>
    <w:rsid w:val="00131943"/>
    <w:rsid w:val="00131A90"/>
    <w:rsid w:val="00131ADB"/>
    <w:rsid w:val="00131B5B"/>
    <w:rsid w:val="00131BCF"/>
    <w:rsid w:val="00131D82"/>
    <w:rsid w:val="00131DCB"/>
    <w:rsid w:val="00131EF9"/>
    <w:rsid w:val="00131F97"/>
    <w:rsid w:val="0013201E"/>
    <w:rsid w:val="0013205D"/>
    <w:rsid w:val="00132061"/>
    <w:rsid w:val="0013214C"/>
    <w:rsid w:val="0013220A"/>
    <w:rsid w:val="001322C5"/>
    <w:rsid w:val="001322D5"/>
    <w:rsid w:val="0013237B"/>
    <w:rsid w:val="0013250F"/>
    <w:rsid w:val="00132616"/>
    <w:rsid w:val="001326A8"/>
    <w:rsid w:val="001328E7"/>
    <w:rsid w:val="0013290C"/>
    <w:rsid w:val="00132AEC"/>
    <w:rsid w:val="00132B22"/>
    <w:rsid w:val="00132B45"/>
    <w:rsid w:val="00132C20"/>
    <w:rsid w:val="00132E06"/>
    <w:rsid w:val="00132E70"/>
    <w:rsid w:val="00132E7D"/>
    <w:rsid w:val="00132EB3"/>
    <w:rsid w:val="00133352"/>
    <w:rsid w:val="00133397"/>
    <w:rsid w:val="00133411"/>
    <w:rsid w:val="00133465"/>
    <w:rsid w:val="001334FF"/>
    <w:rsid w:val="00133529"/>
    <w:rsid w:val="001337B1"/>
    <w:rsid w:val="001337C8"/>
    <w:rsid w:val="00133862"/>
    <w:rsid w:val="00133966"/>
    <w:rsid w:val="00133ADF"/>
    <w:rsid w:val="00133CE8"/>
    <w:rsid w:val="00133D36"/>
    <w:rsid w:val="00133D55"/>
    <w:rsid w:val="00133EF7"/>
    <w:rsid w:val="00133FF0"/>
    <w:rsid w:val="00134077"/>
    <w:rsid w:val="0013407C"/>
    <w:rsid w:val="001340A2"/>
    <w:rsid w:val="001340F9"/>
    <w:rsid w:val="00134238"/>
    <w:rsid w:val="00134308"/>
    <w:rsid w:val="001348E1"/>
    <w:rsid w:val="001348FB"/>
    <w:rsid w:val="00134B4A"/>
    <w:rsid w:val="00134B8E"/>
    <w:rsid w:val="00134ED7"/>
    <w:rsid w:val="00134F16"/>
    <w:rsid w:val="00134F1C"/>
    <w:rsid w:val="00134F4A"/>
    <w:rsid w:val="00134FDF"/>
    <w:rsid w:val="00135021"/>
    <w:rsid w:val="001351D7"/>
    <w:rsid w:val="00135266"/>
    <w:rsid w:val="00135288"/>
    <w:rsid w:val="00135352"/>
    <w:rsid w:val="001354FA"/>
    <w:rsid w:val="00135534"/>
    <w:rsid w:val="001356AB"/>
    <w:rsid w:val="00135844"/>
    <w:rsid w:val="00135A38"/>
    <w:rsid w:val="00135B69"/>
    <w:rsid w:val="00135D07"/>
    <w:rsid w:val="00135E17"/>
    <w:rsid w:val="00135E35"/>
    <w:rsid w:val="00135FFC"/>
    <w:rsid w:val="0013613F"/>
    <w:rsid w:val="001362F4"/>
    <w:rsid w:val="001363E3"/>
    <w:rsid w:val="00136594"/>
    <w:rsid w:val="0013662E"/>
    <w:rsid w:val="0013669D"/>
    <w:rsid w:val="00136C27"/>
    <w:rsid w:val="00136D54"/>
    <w:rsid w:val="00136DD4"/>
    <w:rsid w:val="001371CC"/>
    <w:rsid w:val="001371F3"/>
    <w:rsid w:val="001372FF"/>
    <w:rsid w:val="001373B7"/>
    <w:rsid w:val="001375AE"/>
    <w:rsid w:val="0013762E"/>
    <w:rsid w:val="00137645"/>
    <w:rsid w:val="001376C4"/>
    <w:rsid w:val="00137701"/>
    <w:rsid w:val="00137970"/>
    <w:rsid w:val="00137AE8"/>
    <w:rsid w:val="00137B15"/>
    <w:rsid w:val="00137B82"/>
    <w:rsid w:val="00137BC6"/>
    <w:rsid w:val="00137C9E"/>
    <w:rsid w:val="0014015A"/>
    <w:rsid w:val="001401A8"/>
    <w:rsid w:val="001401B8"/>
    <w:rsid w:val="001401F8"/>
    <w:rsid w:val="00140300"/>
    <w:rsid w:val="001404F4"/>
    <w:rsid w:val="0014061C"/>
    <w:rsid w:val="00140627"/>
    <w:rsid w:val="00140648"/>
    <w:rsid w:val="00140793"/>
    <w:rsid w:val="00140800"/>
    <w:rsid w:val="00140913"/>
    <w:rsid w:val="00140C17"/>
    <w:rsid w:val="00140E99"/>
    <w:rsid w:val="00140F1F"/>
    <w:rsid w:val="001410B7"/>
    <w:rsid w:val="00141282"/>
    <w:rsid w:val="00141483"/>
    <w:rsid w:val="00141591"/>
    <w:rsid w:val="001416D5"/>
    <w:rsid w:val="001418C2"/>
    <w:rsid w:val="0014194A"/>
    <w:rsid w:val="001419CA"/>
    <w:rsid w:val="001419D4"/>
    <w:rsid w:val="00141F01"/>
    <w:rsid w:val="00142080"/>
    <w:rsid w:val="0014214F"/>
    <w:rsid w:val="00142287"/>
    <w:rsid w:val="001422C8"/>
    <w:rsid w:val="00142714"/>
    <w:rsid w:val="001428E3"/>
    <w:rsid w:val="0014295D"/>
    <w:rsid w:val="00142A3B"/>
    <w:rsid w:val="00142C32"/>
    <w:rsid w:val="00142D20"/>
    <w:rsid w:val="00142D2B"/>
    <w:rsid w:val="00142D2D"/>
    <w:rsid w:val="00142D95"/>
    <w:rsid w:val="00142E1D"/>
    <w:rsid w:val="001430F9"/>
    <w:rsid w:val="00143186"/>
    <w:rsid w:val="001431D4"/>
    <w:rsid w:val="00143404"/>
    <w:rsid w:val="00143998"/>
    <w:rsid w:val="00143C19"/>
    <w:rsid w:val="00143F67"/>
    <w:rsid w:val="00143FE9"/>
    <w:rsid w:val="0014414B"/>
    <w:rsid w:val="00144186"/>
    <w:rsid w:val="001441D4"/>
    <w:rsid w:val="001442F9"/>
    <w:rsid w:val="001443EA"/>
    <w:rsid w:val="00144534"/>
    <w:rsid w:val="00144582"/>
    <w:rsid w:val="0014463C"/>
    <w:rsid w:val="001449FF"/>
    <w:rsid w:val="00144AA4"/>
    <w:rsid w:val="00144C25"/>
    <w:rsid w:val="00144C58"/>
    <w:rsid w:val="00144D9C"/>
    <w:rsid w:val="00144E4E"/>
    <w:rsid w:val="0014503F"/>
    <w:rsid w:val="00145144"/>
    <w:rsid w:val="00145234"/>
    <w:rsid w:val="00145503"/>
    <w:rsid w:val="00145540"/>
    <w:rsid w:val="001455EF"/>
    <w:rsid w:val="001456A1"/>
    <w:rsid w:val="001456B0"/>
    <w:rsid w:val="00145736"/>
    <w:rsid w:val="0014588A"/>
    <w:rsid w:val="00145901"/>
    <w:rsid w:val="00145954"/>
    <w:rsid w:val="001459E8"/>
    <w:rsid w:val="00145DDC"/>
    <w:rsid w:val="0014603C"/>
    <w:rsid w:val="001460EB"/>
    <w:rsid w:val="001462E4"/>
    <w:rsid w:val="00146469"/>
    <w:rsid w:val="001464B9"/>
    <w:rsid w:val="0014654E"/>
    <w:rsid w:val="001465DB"/>
    <w:rsid w:val="0014664B"/>
    <w:rsid w:val="00146787"/>
    <w:rsid w:val="00146820"/>
    <w:rsid w:val="001469A4"/>
    <w:rsid w:val="00146A67"/>
    <w:rsid w:val="00146AAF"/>
    <w:rsid w:val="00146B52"/>
    <w:rsid w:val="00146DEB"/>
    <w:rsid w:val="00146F75"/>
    <w:rsid w:val="00146FEF"/>
    <w:rsid w:val="001470AD"/>
    <w:rsid w:val="001472AA"/>
    <w:rsid w:val="001474C3"/>
    <w:rsid w:val="00147510"/>
    <w:rsid w:val="00147529"/>
    <w:rsid w:val="00147764"/>
    <w:rsid w:val="001477B3"/>
    <w:rsid w:val="00147878"/>
    <w:rsid w:val="0014788F"/>
    <w:rsid w:val="00147CB8"/>
    <w:rsid w:val="00147D38"/>
    <w:rsid w:val="00147D51"/>
    <w:rsid w:val="00147D5C"/>
    <w:rsid w:val="00147E81"/>
    <w:rsid w:val="00150068"/>
    <w:rsid w:val="001500C1"/>
    <w:rsid w:val="0015011F"/>
    <w:rsid w:val="001501DF"/>
    <w:rsid w:val="001503B5"/>
    <w:rsid w:val="00150483"/>
    <w:rsid w:val="0015060A"/>
    <w:rsid w:val="00150670"/>
    <w:rsid w:val="001507A5"/>
    <w:rsid w:val="00150BC5"/>
    <w:rsid w:val="00150BD1"/>
    <w:rsid w:val="00150EC0"/>
    <w:rsid w:val="00150F11"/>
    <w:rsid w:val="00150F65"/>
    <w:rsid w:val="00150FC6"/>
    <w:rsid w:val="001512B8"/>
    <w:rsid w:val="001512EE"/>
    <w:rsid w:val="001513AC"/>
    <w:rsid w:val="0015140D"/>
    <w:rsid w:val="001517E1"/>
    <w:rsid w:val="001518D3"/>
    <w:rsid w:val="001519AB"/>
    <w:rsid w:val="00151BB2"/>
    <w:rsid w:val="00151C6C"/>
    <w:rsid w:val="00151E07"/>
    <w:rsid w:val="00151E0C"/>
    <w:rsid w:val="00151E87"/>
    <w:rsid w:val="00151E8F"/>
    <w:rsid w:val="00152000"/>
    <w:rsid w:val="001521AE"/>
    <w:rsid w:val="00152215"/>
    <w:rsid w:val="00152233"/>
    <w:rsid w:val="00152271"/>
    <w:rsid w:val="00152375"/>
    <w:rsid w:val="0015252D"/>
    <w:rsid w:val="0015262B"/>
    <w:rsid w:val="0015266B"/>
    <w:rsid w:val="001527C4"/>
    <w:rsid w:val="0015290D"/>
    <w:rsid w:val="00152A2A"/>
    <w:rsid w:val="00152BFC"/>
    <w:rsid w:val="00152CC3"/>
    <w:rsid w:val="00152D6F"/>
    <w:rsid w:val="00152D99"/>
    <w:rsid w:val="00152E16"/>
    <w:rsid w:val="00152E3C"/>
    <w:rsid w:val="00152E4B"/>
    <w:rsid w:val="00152E5A"/>
    <w:rsid w:val="00152E9A"/>
    <w:rsid w:val="0015316C"/>
    <w:rsid w:val="00153309"/>
    <w:rsid w:val="00153337"/>
    <w:rsid w:val="00153347"/>
    <w:rsid w:val="00153357"/>
    <w:rsid w:val="001533D4"/>
    <w:rsid w:val="0015354D"/>
    <w:rsid w:val="00153565"/>
    <w:rsid w:val="0015366B"/>
    <w:rsid w:val="001538A8"/>
    <w:rsid w:val="00153A6F"/>
    <w:rsid w:val="00153AA6"/>
    <w:rsid w:val="00153AE9"/>
    <w:rsid w:val="00153B54"/>
    <w:rsid w:val="00153B88"/>
    <w:rsid w:val="001542EA"/>
    <w:rsid w:val="001543AA"/>
    <w:rsid w:val="001543DD"/>
    <w:rsid w:val="00154454"/>
    <w:rsid w:val="001544EF"/>
    <w:rsid w:val="00154785"/>
    <w:rsid w:val="001547AB"/>
    <w:rsid w:val="0015488B"/>
    <w:rsid w:val="00154AB3"/>
    <w:rsid w:val="00154B18"/>
    <w:rsid w:val="00154CA6"/>
    <w:rsid w:val="00154D9F"/>
    <w:rsid w:val="00154FA6"/>
    <w:rsid w:val="00154FAB"/>
    <w:rsid w:val="0015535F"/>
    <w:rsid w:val="0015549C"/>
    <w:rsid w:val="001555D6"/>
    <w:rsid w:val="0015576F"/>
    <w:rsid w:val="00155A80"/>
    <w:rsid w:val="00155AB0"/>
    <w:rsid w:val="00155B82"/>
    <w:rsid w:val="00155D58"/>
    <w:rsid w:val="00156026"/>
    <w:rsid w:val="0015604E"/>
    <w:rsid w:val="001560A4"/>
    <w:rsid w:val="00156165"/>
    <w:rsid w:val="001561DB"/>
    <w:rsid w:val="0015621E"/>
    <w:rsid w:val="001564F6"/>
    <w:rsid w:val="00156512"/>
    <w:rsid w:val="00156A47"/>
    <w:rsid w:val="00156ACE"/>
    <w:rsid w:val="00156AFB"/>
    <w:rsid w:val="00156B15"/>
    <w:rsid w:val="00156B70"/>
    <w:rsid w:val="00156C96"/>
    <w:rsid w:val="00156D3F"/>
    <w:rsid w:val="00156E78"/>
    <w:rsid w:val="00156F8F"/>
    <w:rsid w:val="001570DF"/>
    <w:rsid w:val="00157130"/>
    <w:rsid w:val="00157163"/>
    <w:rsid w:val="0015721E"/>
    <w:rsid w:val="001572F7"/>
    <w:rsid w:val="001572FF"/>
    <w:rsid w:val="00157344"/>
    <w:rsid w:val="00157391"/>
    <w:rsid w:val="001573D7"/>
    <w:rsid w:val="001573EA"/>
    <w:rsid w:val="0015743F"/>
    <w:rsid w:val="001574CF"/>
    <w:rsid w:val="00157561"/>
    <w:rsid w:val="001575B7"/>
    <w:rsid w:val="001576B1"/>
    <w:rsid w:val="001576D4"/>
    <w:rsid w:val="00157921"/>
    <w:rsid w:val="00157951"/>
    <w:rsid w:val="00157956"/>
    <w:rsid w:val="00157A96"/>
    <w:rsid w:val="00157B40"/>
    <w:rsid w:val="00157E80"/>
    <w:rsid w:val="00160018"/>
    <w:rsid w:val="001600EB"/>
    <w:rsid w:val="001601D4"/>
    <w:rsid w:val="00160224"/>
    <w:rsid w:val="00160352"/>
    <w:rsid w:val="00160386"/>
    <w:rsid w:val="00160400"/>
    <w:rsid w:val="0016047B"/>
    <w:rsid w:val="001604FA"/>
    <w:rsid w:val="0016055F"/>
    <w:rsid w:val="001605B7"/>
    <w:rsid w:val="001607AF"/>
    <w:rsid w:val="0016082C"/>
    <w:rsid w:val="001608C5"/>
    <w:rsid w:val="001609C6"/>
    <w:rsid w:val="00160A4C"/>
    <w:rsid w:val="00160BB1"/>
    <w:rsid w:val="0016101E"/>
    <w:rsid w:val="001611B1"/>
    <w:rsid w:val="001611C3"/>
    <w:rsid w:val="001612A0"/>
    <w:rsid w:val="00161405"/>
    <w:rsid w:val="00161469"/>
    <w:rsid w:val="0016146B"/>
    <w:rsid w:val="00161603"/>
    <w:rsid w:val="00161730"/>
    <w:rsid w:val="00161744"/>
    <w:rsid w:val="00161926"/>
    <w:rsid w:val="00161A21"/>
    <w:rsid w:val="00161BE0"/>
    <w:rsid w:val="00161CE9"/>
    <w:rsid w:val="00161D6B"/>
    <w:rsid w:val="00161DF9"/>
    <w:rsid w:val="001620F8"/>
    <w:rsid w:val="0016212B"/>
    <w:rsid w:val="00162279"/>
    <w:rsid w:val="001622C6"/>
    <w:rsid w:val="0016234E"/>
    <w:rsid w:val="001623D6"/>
    <w:rsid w:val="00162416"/>
    <w:rsid w:val="0016243C"/>
    <w:rsid w:val="0016244B"/>
    <w:rsid w:val="00162475"/>
    <w:rsid w:val="00162693"/>
    <w:rsid w:val="0016276E"/>
    <w:rsid w:val="00162913"/>
    <w:rsid w:val="00162AB2"/>
    <w:rsid w:val="00162C11"/>
    <w:rsid w:val="00162C7A"/>
    <w:rsid w:val="00163089"/>
    <w:rsid w:val="00163113"/>
    <w:rsid w:val="00163272"/>
    <w:rsid w:val="0016327B"/>
    <w:rsid w:val="0016346C"/>
    <w:rsid w:val="001635A6"/>
    <w:rsid w:val="001635DB"/>
    <w:rsid w:val="001635E2"/>
    <w:rsid w:val="001635FB"/>
    <w:rsid w:val="001636DE"/>
    <w:rsid w:val="001637EE"/>
    <w:rsid w:val="00163924"/>
    <w:rsid w:val="00163935"/>
    <w:rsid w:val="0016393F"/>
    <w:rsid w:val="0016399B"/>
    <w:rsid w:val="00163B26"/>
    <w:rsid w:val="00163B94"/>
    <w:rsid w:val="00163BA0"/>
    <w:rsid w:val="00163C3C"/>
    <w:rsid w:val="00163DB3"/>
    <w:rsid w:val="00163DB5"/>
    <w:rsid w:val="00163E55"/>
    <w:rsid w:val="00163E5C"/>
    <w:rsid w:val="00163EFF"/>
    <w:rsid w:val="00163F66"/>
    <w:rsid w:val="001640F2"/>
    <w:rsid w:val="00164102"/>
    <w:rsid w:val="00164334"/>
    <w:rsid w:val="00164399"/>
    <w:rsid w:val="001643BD"/>
    <w:rsid w:val="00164479"/>
    <w:rsid w:val="0016448E"/>
    <w:rsid w:val="001645A8"/>
    <w:rsid w:val="0016478E"/>
    <w:rsid w:val="001648FF"/>
    <w:rsid w:val="00164A9C"/>
    <w:rsid w:val="00164B6C"/>
    <w:rsid w:val="00164CEA"/>
    <w:rsid w:val="00164D93"/>
    <w:rsid w:val="00164F08"/>
    <w:rsid w:val="00164FDE"/>
    <w:rsid w:val="0016503C"/>
    <w:rsid w:val="00165162"/>
    <w:rsid w:val="0016554B"/>
    <w:rsid w:val="00165796"/>
    <w:rsid w:val="0016588E"/>
    <w:rsid w:val="001658F4"/>
    <w:rsid w:val="00165927"/>
    <w:rsid w:val="00165B95"/>
    <w:rsid w:val="00165D61"/>
    <w:rsid w:val="00165EC4"/>
    <w:rsid w:val="001661FB"/>
    <w:rsid w:val="00166336"/>
    <w:rsid w:val="0016659E"/>
    <w:rsid w:val="00166636"/>
    <w:rsid w:val="001666C8"/>
    <w:rsid w:val="00166738"/>
    <w:rsid w:val="001669B1"/>
    <w:rsid w:val="00166A61"/>
    <w:rsid w:val="00166BBC"/>
    <w:rsid w:val="00166C15"/>
    <w:rsid w:val="00166CE6"/>
    <w:rsid w:val="00166D0D"/>
    <w:rsid w:val="00166E99"/>
    <w:rsid w:val="00166F74"/>
    <w:rsid w:val="0016708E"/>
    <w:rsid w:val="001671A0"/>
    <w:rsid w:val="0016735D"/>
    <w:rsid w:val="0016739E"/>
    <w:rsid w:val="0016767F"/>
    <w:rsid w:val="00167714"/>
    <w:rsid w:val="00167797"/>
    <w:rsid w:val="00167894"/>
    <w:rsid w:val="00167A86"/>
    <w:rsid w:val="00167A94"/>
    <w:rsid w:val="00167BD0"/>
    <w:rsid w:val="00167D7B"/>
    <w:rsid w:val="00167DA1"/>
    <w:rsid w:val="00167DD1"/>
    <w:rsid w:val="00167E0A"/>
    <w:rsid w:val="00167FB3"/>
    <w:rsid w:val="0017029D"/>
    <w:rsid w:val="00170585"/>
    <w:rsid w:val="001705A9"/>
    <w:rsid w:val="001705BE"/>
    <w:rsid w:val="00170648"/>
    <w:rsid w:val="0017076A"/>
    <w:rsid w:val="001708D9"/>
    <w:rsid w:val="00170925"/>
    <w:rsid w:val="00170A96"/>
    <w:rsid w:val="00170AE1"/>
    <w:rsid w:val="00170CE0"/>
    <w:rsid w:val="00170D11"/>
    <w:rsid w:val="00170E6D"/>
    <w:rsid w:val="00171492"/>
    <w:rsid w:val="001715EC"/>
    <w:rsid w:val="001716E6"/>
    <w:rsid w:val="00171749"/>
    <w:rsid w:val="001717EA"/>
    <w:rsid w:val="001719A4"/>
    <w:rsid w:val="00171A20"/>
    <w:rsid w:val="00171A5D"/>
    <w:rsid w:val="00171B34"/>
    <w:rsid w:val="00171D59"/>
    <w:rsid w:val="00171DCE"/>
    <w:rsid w:val="00171EFF"/>
    <w:rsid w:val="00171F6C"/>
    <w:rsid w:val="0017210C"/>
    <w:rsid w:val="001721B6"/>
    <w:rsid w:val="00172597"/>
    <w:rsid w:val="00172612"/>
    <w:rsid w:val="00172623"/>
    <w:rsid w:val="0017297E"/>
    <w:rsid w:val="00172AA2"/>
    <w:rsid w:val="00172C94"/>
    <w:rsid w:val="00172D57"/>
    <w:rsid w:val="00172D82"/>
    <w:rsid w:val="001730B2"/>
    <w:rsid w:val="001730F4"/>
    <w:rsid w:val="00173316"/>
    <w:rsid w:val="00173560"/>
    <w:rsid w:val="00173565"/>
    <w:rsid w:val="00173618"/>
    <w:rsid w:val="001737C5"/>
    <w:rsid w:val="00173951"/>
    <w:rsid w:val="00173B07"/>
    <w:rsid w:val="00173BF9"/>
    <w:rsid w:val="00173E33"/>
    <w:rsid w:val="00173F0E"/>
    <w:rsid w:val="00174005"/>
    <w:rsid w:val="001740FB"/>
    <w:rsid w:val="00174318"/>
    <w:rsid w:val="0017433D"/>
    <w:rsid w:val="00174489"/>
    <w:rsid w:val="0017456A"/>
    <w:rsid w:val="0017457A"/>
    <w:rsid w:val="001745AE"/>
    <w:rsid w:val="001745CB"/>
    <w:rsid w:val="00174697"/>
    <w:rsid w:val="0017470C"/>
    <w:rsid w:val="0017480B"/>
    <w:rsid w:val="001748F0"/>
    <w:rsid w:val="00174962"/>
    <w:rsid w:val="001749E2"/>
    <w:rsid w:val="00174D17"/>
    <w:rsid w:val="00174D39"/>
    <w:rsid w:val="00174D7D"/>
    <w:rsid w:val="00174DBA"/>
    <w:rsid w:val="00174E34"/>
    <w:rsid w:val="00174ED5"/>
    <w:rsid w:val="00174F4B"/>
    <w:rsid w:val="00174F67"/>
    <w:rsid w:val="001750BF"/>
    <w:rsid w:val="001751FA"/>
    <w:rsid w:val="001752F6"/>
    <w:rsid w:val="001754D8"/>
    <w:rsid w:val="00175627"/>
    <w:rsid w:val="00175727"/>
    <w:rsid w:val="00175873"/>
    <w:rsid w:val="00175CBC"/>
    <w:rsid w:val="00175E11"/>
    <w:rsid w:val="00175EA5"/>
    <w:rsid w:val="00175F6D"/>
    <w:rsid w:val="001760A3"/>
    <w:rsid w:val="00176143"/>
    <w:rsid w:val="0017619D"/>
    <w:rsid w:val="001761BB"/>
    <w:rsid w:val="001761F1"/>
    <w:rsid w:val="00176209"/>
    <w:rsid w:val="001762FD"/>
    <w:rsid w:val="001763B2"/>
    <w:rsid w:val="00176547"/>
    <w:rsid w:val="0017674C"/>
    <w:rsid w:val="00176BCE"/>
    <w:rsid w:val="00176C29"/>
    <w:rsid w:val="00176C59"/>
    <w:rsid w:val="00176DAB"/>
    <w:rsid w:val="00177096"/>
    <w:rsid w:val="001771AB"/>
    <w:rsid w:val="001771E5"/>
    <w:rsid w:val="001773E0"/>
    <w:rsid w:val="001775B0"/>
    <w:rsid w:val="001778CE"/>
    <w:rsid w:val="001779D1"/>
    <w:rsid w:val="00177B39"/>
    <w:rsid w:val="00177F60"/>
    <w:rsid w:val="00177F85"/>
    <w:rsid w:val="00177FE4"/>
    <w:rsid w:val="00180188"/>
    <w:rsid w:val="001801EA"/>
    <w:rsid w:val="0018036B"/>
    <w:rsid w:val="00180526"/>
    <w:rsid w:val="001805C3"/>
    <w:rsid w:val="00180615"/>
    <w:rsid w:val="00180667"/>
    <w:rsid w:val="001806C4"/>
    <w:rsid w:val="001808C9"/>
    <w:rsid w:val="001809C8"/>
    <w:rsid w:val="00180A4C"/>
    <w:rsid w:val="00180B00"/>
    <w:rsid w:val="00180C23"/>
    <w:rsid w:val="00180CFD"/>
    <w:rsid w:val="00180E4B"/>
    <w:rsid w:val="0018125B"/>
    <w:rsid w:val="001816B0"/>
    <w:rsid w:val="00181875"/>
    <w:rsid w:val="00181898"/>
    <w:rsid w:val="001819E0"/>
    <w:rsid w:val="00181C10"/>
    <w:rsid w:val="00181CE3"/>
    <w:rsid w:val="00181D8C"/>
    <w:rsid w:val="00181D9C"/>
    <w:rsid w:val="00181EEB"/>
    <w:rsid w:val="00181F04"/>
    <w:rsid w:val="001820C2"/>
    <w:rsid w:val="00182198"/>
    <w:rsid w:val="00182205"/>
    <w:rsid w:val="00182390"/>
    <w:rsid w:val="001823DA"/>
    <w:rsid w:val="001824D9"/>
    <w:rsid w:val="0018254F"/>
    <w:rsid w:val="0018263D"/>
    <w:rsid w:val="001826A4"/>
    <w:rsid w:val="001826CA"/>
    <w:rsid w:val="0018274D"/>
    <w:rsid w:val="00182785"/>
    <w:rsid w:val="001829A4"/>
    <w:rsid w:val="00182CAE"/>
    <w:rsid w:val="00182D3E"/>
    <w:rsid w:val="00182E10"/>
    <w:rsid w:val="00183150"/>
    <w:rsid w:val="00183224"/>
    <w:rsid w:val="0018340B"/>
    <w:rsid w:val="00183455"/>
    <w:rsid w:val="00183576"/>
    <w:rsid w:val="001837BA"/>
    <w:rsid w:val="001837FF"/>
    <w:rsid w:val="00183999"/>
    <w:rsid w:val="00183A7F"/>
    <w:rsid w:val="00183AC7"/>
    <w:rsid w:val="00183B31"/>
    <w:rsid w:val="00183C4A"/>
    <w:rsid w:val="00183C95"/>
    <w:rsid w:val="00183EFA"/>
    <w:rsid w:val="00183F27"/>
    <w:rsid w:val="00184040"/>
    <w:rsid w:val="001842DC"/>
    <w:rsid w:val="00184451"/>
    <w:rsid w:val="001844A2"/>
    <w:rsid w:val="001846C1"/>
    <w:rsid w:val="00184736"/>
    <w:rsid w:val="0018492D"/>
    <w:rsid w:val="001849DD"/>
    <w:rsid w:val="00184B0E"/>
    <w:rsid w:val="00184B36"/>
    <w:rsid w:val="00184B49"/>
    <w:rsid w:val="00184B62"/>
    <w:rsid w:val="00184BD0"/>
    <w:rsid w:val="00184C1B"/>
    <w:rsid w:val="00184D83"/>
    <w:rsid w:val="00184D90"/>
    <w:rsid w:val="00184D91"/>
    <w:rsid w:val="00184EF9"/>
    <w:rsid w:val="00184FB2"/>
    <w:rsid w:val="001851D4"/>
    <w:rsid w:val="0018533B"/>
    <w:rsid w:val="001854E6"/>
    <w:rsid w:val="00185843"/>
    <w:rsid w:val="00185AD8"/>
    <w:rsid w:val="00185B5A"/>
    <w:rsid w:val="00185B7E"/>
    <w:rsid w:val="00185DEA"/>
    <w:rsid w:val="0018610A"/>
    <w:rsid w:val="001861A9"/>
    <w:rsid w:val="00186274"/>
    <w:rsid w:val="001865BF"/>
    <w:rsid w:val="00186650"/>
    <w:rsid w:val="001867DA"/>
    <w:rsid w:val="0018680D"/>
    <w:rsid w:val="0018681D"/>
    <w:rsid w:val="0018687E"/>
    <w:rsid w:val="001868A0"/>
    <w:rsid w:val="00186961"/>
    <w:rsid w:val="00186978"/>
    <w:rsid w:val="00186A41"/>
    <w:rsid w:val="00186A72"/>
    <w:rsid w:val="00186B32"/>
    <w:rsid w:val="00186C43"/>
    <w:rsid w:val="00187160"/>
    <w:rsid w:val="001871A5"/>
    <w:rsid w:val="001871B0"/>
    <w:rsid w:val="001871CE"/>
    <w:rsid w:val="001874E4"/>
    <w:rsid w:val="0018752F"/>
    <w:rsid w:val="00187618"/>
    <w:rsid w:val="0018763C"/>
    <w:rsid w:val="00187854"/>
    <w:rsid w:val="001878D8"/>
    <w:rsid w:val="001878D9"/>
    <w:rsid w:val="00187B19"/>
    <w:rsid w:val="00187B92"/>
    <w:rsid w:val="00187E25"/>
    <w:rsid w:val="00187E8E"/>
    <w:rsid w:val="00190069"/>
    <w:rsid w:val="00190470"/>
    <w:rsid w:val="00190562"/>
    <w:rsid w:val="001907E9"/>
    <w:rsid w:val="0019082A"/>
    <w:rsid w:val="0019089F"/>
    <w:rsid w:val="001908A6"/>
    <w:rsid w:val="00190A14"/>
    <w:rsid w:val="00190B97"/>
    <w:rsid w:val="00190C3A"/>
    <w:rsid w:val="00190CF5"/>
    <w:rsid w:val="00190DB8"/>
    <w:rsid w:val="00190F37"/>
    <w:rsid w:val="001911E4"/>
    <w:rsid w:val="00191310"/>
    <w:rsid w:val="00191473"/>
    <w:rsid w:val="001915C4"/>
    <w:rsid w:val="00191967"/>
    <w:rsid w:val="00191ABE"/>
    <w:rsid w:val="00191BC9"/>
    <w:rsid w:val="00191C9D"/>
    <w:rsid w:val="00191E46"/>
    <w:rsid w:val="00191EF7"/>
    <w:rsid w:val="00191F70"/>
    <w:rsid w:val="00191FC9"/>
    <w:rsid w:val="0019204F"/>
    <w:rsid w:val="0019218F"/>
    <w:rsid w:val="001923B7"/>
    <w:rsid w:val="0019242D"/>
    <w:rsid w:val="0019259F"/>
    <w:rsid w:val="001925B9"/>
    <w:rsid w:val="001925D0"/>
    <w:rsid w:val="00192833"/>
    <w:rsid w:val="001929C0"/>
    <w:rsid w:val="00192A19"/>
    <w:rsid w:val="00192B47"/>
    <w:rsid w:val="00192DA4"/>
    <w:rsid w:val="00193254"/>
    <w:rsid w:val="00193285"/>
    <w:rsid w:val="00193561"/>
    <w:rsid w:val="0019358F"/>
    <w:rsid w:val="001935B3"/>
    <w:rsid w:val="001936C3"/>
    <w:rsid w:val="0019381B"/>
    <w:rsid w:val="00193838"/>
    <w:rsid w:val="00193943"/>
    <w:rsid w:val="00193C42"/>
    <w:rsid w:val="00193D14"/>
    <w:rsid w:val="00193D46"/>
    <w:rsid w:val="00194330"/>
    <w:rsid w:val="00194438"/>
    <w:rsid w:val="00194509"/>
    <w:rsid w:val="00194535"/>
    <w:rsid w:val="001945E2"/>
    <w:rsid w:val="00194716"/>
    <w:rsid w:val="00194745"/>
    <w:rsid w:val="00194779"/>
    <w:rsid w:val="001947F3"/>
    <w:rsid w:val="00194984"/>
    <w:rsid w:val="00194AA7"/>
    <w:rsid w:val="00194AD8"/>
    <w:rsid w:val="00194BA0"/>
    <w:rsid w:val="00194BA8"/>
    <w:rsid w:val="00194C94"/>
    <w:rsid w:val="00194DF8"/>
    <w:rsid w:val="00194DFB"/>
    <w:rsid w:val="00194E0C"/>
    <w:rsid w:val="00194EBA"/>
    <w:rsid w:val="00194EFE"/>
    <w:rsid w:val="00194F1D"/>
    <w:rsid w:val="00194FAF"/>
    <w:rsid w:val="00195012"/>
    <w:rsid w:val="0019512A"/>
    <w:rsid w:val="00195222"/>
    <w:rsid w:val="0019544F"/>
    <w:rsid w:val="00195452"/>
    <w:rsid w:val="00195717"/>
    <w:rsid w:val="001957E9"/>
    <w:rsid w:val="0019583B"/>
    <w:rsid w:val="00195877"/>
    <w:rsid w:val="0019587D"/>
    <w:rsid w:val="00195A2B"/>
    <w:rsid w:val="00195CA5"/>
    <w:rsid w:val="00195D7A"/>
    <w:rsid w:val="00196001"/>
    <w:rsid w:val="0019635D"/>
    <w:rsid w:val="0019637F"/>
    <w:rsid w:val="0019668B"/>
    <w:rsid w:val="001966B3"/>
    <w:rsid w:val="00196907"/>
    <w:rsid w:val="00196A55"/>
    <w:rsid w:val="00196A9F"/>
    <w:rsid w:val="00196D60"/>
    <w:rsid w:val="00196D6B"/>
    <w:rsid w:val="00196EF5"/>
    <w:rsid w:val="00196FEB"/>
    <w:rsid w:val="00197215"/>
    <w:rsid w:val="0019724A"/>
    <w:rsid w:val="00197497"/>
    <w:rsid w:val="001974FF"/>
    <w:rsid w:val="001975CE"/>
    <w:rsid w:val="001975D8"/>
    <w:rsid w:val="001976FE"/>
    <w:rsid w:val="00197763"/>
    <w:rsid w:val="0019789C"/>
    <w:rsid w:val="001979B7"/>
    <w:rsid w:val="001979CC"/>
    <w:rsid w:val="00197D8E"/>
    <w:rsid w:val="00197DF6"/>
    <w:rsid w:val="00197E48"/>
    <w:rsid w:val="001A00BC"/>
    <w:rsid w:val="001A0392"/>
    <w:rsid w:val="001A03A2"/>
    <w:rsid w:val="001A048D"/>
    <w:rsid w:val="001A04B2"/>
    <w:rsid w:val="001A056D"/>
    <w:rsid w:val="001A075C"/>
    <w:rsid w:val="001A0772"/>
    <w:rsid w:val="001A08CA"/>
    <w:rsid w:val="001A0A03"/>
    <w:rsid w:val="001A0AA8"/>
    <w:rsid w:val="001A0AE6"/>
    <w:rsid w:val="001A0B22"/>
    <w:rsid w:val="001A0D9B"/>
    <w:rsid w:val="001A0DD1"/>
    <w:rsid w:val="001A0EA7"/>
    <w:rsid w:val="001A0F2D"/>
    <w:rsid w:val="001A1455"/>
    <w:rsid w:val="001A178E"/>
    <w:rsid w:val="001A1848"/>
    <w:rsid w:val="001A18DB"/>
    <w:rsid w:val="001A1B4E"/>
    <w:rsid w:val="001A1C54"/>
    <w:rsid w:val="001A1C6B"/>
    <w:rsid w:val="001A1E86"/>
    <w:rsid w:val="001A1FBA"/>
    <w:rsid w:val="001A21FB"/>
    <w:rsid w:val="001A2345"/>
    <w:rsid w:val="001A24F4"/>
    <w:rsid w:val="001A25AB"/>
    <w:rsid w:val="001A25CE"/>
    <w:rsid w:val="001A26BB"/>
    <w:rsid w:val="001A26C7"/>
    <w:rsid w:val="001A285E"/>
    <w:rsid w:val="001A29CC"/>
    <w:rsid w:val="001A2A97"/>
    <w:rsid w:val="001A2ACA"/>
    <w:rsid w:val="001A2DB8"/>
    <w:rsid w:val="001A2F3D"/>
    <w:rsid w:val="001A2FDB"/>
    <w:rsid w:val="001A3049"/>
    <w:rsid w:val="001A3178"/>
    <w:rsid w:val="001A3288"/>
    <w:rsid w:val="001A3677"/>
    <w:rsid w:val="001A36D0"/>
    <w:rsid w:val="001A3928"/>
    <w:rsid w:val="001A3AC4"/>
    <w:rsid w:val="001A3B8E"/>
    <w:rsid w:val="001A3E13"/>
    <w:rsid w:val="001A3ECE"/>
    <w:rsid w:val="001A3F56"/>
    <w:rsid w:val="001A4045"/>
    <w:rsid w:val="001A42FB"/>
    <w:rsid w:val="001A43FA"/>
    <w:rsid w:val="001A47C5"/>
    <w:rsid w:val="001A49F9"/>
    <w:rsid w:val="001A4A6E"/>
    <w:rsid w:val="001A4DD0"/>
    <w:rsid w:val="001A5040"/>
    <w:rsid w:val="001A511F"/>
    <w:rsid w:val="001A515F"/>
    <w:rsid w:val="001A5233"/>
    <w:rsid w:val="001A5299"/>
    <w:rsid w:val="001A55FE"/>
    <w:rsid w:val="001A56B4"/>
    <w:rsid w:val="001A56C2"/>
    <w:rsid w:val="001A575C"/>
    <w:rsid w:val="001A57B1"/>
    <w:rsid w:val="001A59FB"/>
    <w:rsid w:val="001A5A50"/>
    <w:rsid w:val="001A5B8B"/>
    <w:rsid w:val="001A5C05"/>
    <w:rsid w:val="001A5CCA"/>
    <w:rsid w:val="001A5DBA"/>
    <w:rsid w:val="001A5E73"/>
    <w:rsid w:val="001A5E9E"/>
    <w:rsid w:val="001A5EBC"/>
    <w:rsid w:val="001A600A"/>
    <w:rsid w:val="001A6135"/>
    <w:rsid w:val="001A6155"/>
    <w:rsid w:val="001A616B"/>
    <w:rsid w:val="001A6354"/>
    <w:rsid w:val="001A6366"/>
    <w:rsid w:val="001A640D"/>
    <w:rsid w:val="001A657E"/>
    <w:rsid w:val="001A65DD"/>
    <w:rsid w:val="001A67FB"/>
    <w:rsid w:val="001A68D0"/>
    <w:rsid w:val="001A69DE"/>
    <w:rsid w:val="001A6BE0"/>
    <w:rsid w:val="001A6C6A"/>
    <w:rsid w:val="001A6CAD"/>
    <w:rsid w:val="001A6DF2"/>
    <w:rsid w:val="001A6EBE"/>
    <w:rsid w:val="001A6FCE"/>
    <w:rsid w:val="001A712B"/>
    <w:rsid w:val="001A7132"/>
    <w:rsid w:val="001A7249"/>
    <w:rsid w:val="001A739A"/>
    <w:rsid w:val="001A7795"/>
    <w:rsid w:val="001A77F2"/>
    <w:rsid w:val="001A7971"/>
    <w:rsid w:val="001A7978"/>
    <w:rsid w:val="001A79A2"/>
    <w:rsid w:val="001A7A20"/>
    <w:rsid w:val="001A7A46"/>
    <w:rsid w:val="001A7AE8"/>
    <w:rsid w:val="001A7B15"/>
    <w:rsid w:val="001A7C40"/>
    <w:rsid w:val="001A7CF0"/>
    <w:rsid w:val="001A7D13"/>
    <w:rsid w:val="001A7DF7"/>
    <w:rsid w:val="001A7E2B"/>
    <w:rsid w:val="001A7F26"/>
    <w:rsid w:val="001B02ED"/>
    <w:rsid w:val="001B031B"/>
    <w:rsid w:val="001B04D0"/>
    <w:rsid w:val="001B0514"/>
    <w:rsid w:val="001B05AC"/>
    <w:rsid w:val="001B0C9D"/>
    <w:rsid w:val="001B0D0C"/>
    <w:rsid w:val="001B0D1E"/>
    <w:rsid w:val="001B1134"/>
    <w:rsid w:val="001B1422"/>
    <w:rsid w:val="001B15F4"/>
    <w:rsid w:val="001B18A9"/>
    <w:rsid w:val="001B1908"/>
    <w:rsid w:val="001B1972"/>
    <w:rsid w:val="001B1B0F"/>
    <w:rsid w:val="001B204E"/>
    <w:rsid w:val="001B20BE"/>
    <w:rsid w:val="001B20FD"/>
    <w:rsid w:val="001B22BB"/>
    <w:rsid w:val="001B2372"/>
    <w:rsid w:val="001B290A"/>
    <w:rsid w:val="001B2B02"/>
    <w:rsid w:val="001B2D99"/>
    <w:rsid w:val="001B2F07"/>
    <w:rsid w:val="001B3326"/>
    <w:rsid w:val="001B3332"/>
    <w:rsid w:val="001B3379"/>
    <w:rsid w:val="001B33AB"/>
    <w:rsid w:val="001B33EC"/>
    <w:rsid w:val="001B3443"/>
    <w:rsid w:val="001B355F"/>
    <w:rsid w:val="001B38A9"/>
    <w:rsid w:val="001B3988"/>
    <w:rsid w:val="001B3AC7"/>
    <w:rsid w:val="001B3BF9"/>
    <w:rsid w:val="001B3D15"/>
    <w:rsid w:val="001B3E33"/>
    <w:rsid w:val="001B3F34"/>
    <w:rsid w:val="001B41FC"/>
    <w:rsid w:val="001B42CE"/>
    <w:rsid w:val="001B4353"/>
    <w:rsid w:val="001B4607"/>
    <w:rsid w:val="001B464B"/>
    <w:rsid w:val="001B46A5"/>
    <w:rsid w:val="001B470A"/>
    <w:rsid w:val="001B48AA"/>
    <w:rsid w:val="001B48AF"/>
    <w:rsid w:val="001B4907"/>
    <w:rsid w:val="001B4C44"/>
    <w:rsid w:val="001B4D20"/>
    <w:rsid w:val="001B4E5A"/>
    <w:rsid w:val="001B4F2B"/>
    <w:rsid w:val="001B4FCA"/>
    <w:rsid w:val="001B502E"/>
    <w:rsid w:val="001B5323"/>
    <w:rsid w:val="001B59B8"/>
    <w:rsid w:val="001B5A89"/>
    <w:rsid w:val="001B5ACD"/>
    <w:rsid w:val="001B5CF2"/>
    <w:rsid w:val="001B5D26"/>
    <w:rsid w:val="001B5D5F"/>
    <w:rsid w:val="001B5F0D"/>
    <w:rsid w:val="001B60DD"/>
    <w:rsid w:val="001B631A"/>
    <w:rsid w:val="001B666F"/>
    <w:rsid w:val="001B6704"/>
    <w:rsid w:val="001B6718"/>
    <w:rsid w:val="001B6898"/>
    <w:rsid w:val="001B6900"/>
    <w:rsid w:val="001B6AEF"/>
    <w:rsid w:val="001B6C23"/>
    <w:rsid w:val="001B6C99"/>
    <w:rsid w:val="001B6EC2"/>
    <w:rsid w:val="001B6F52"/>
    <w:rsid w:val="001B7024"/>
    <w:rsid w:val="001B718D"/>
    <w:rsid w:val="001B728B"/>
    <w:rsid w:val="001B735C"/>
    <w:rsid w:val="001B73B9"/>
    <w:rsid w:val="001B7560"/>
    <w:rsid w:val="001B7599"/>
    <w:rsid w:val="001B770D"/>
    <w:rsid w:val="001B781B"/>
    <w:rsid w:val="001B781D"/>
    <w:rsid w:val="001B7842"/>
    <w:rsid w:val="001B785C"/>
    <w:rsid w:val="001B78E2"/>
    <w:rsid w:val="001B7A9B"/>
    <w:rsid w:val="001B7AEF"/>
    <w:rsid w:val="001B7B12"/>
    <w:rsid w:val="001B7C00"/>
    <w:rsid w:val="001B7CF7"/>
    <w:rsid w:val="001B7D6C"/>
    <w:rsid w:val="001B7D8B"/>
    <w:rsid w:val="001B7E77"/>
    <w:rsid w:val="001B7EB1"/>
    <w:rsid w:val="001B7ECB"/>
    <w:rsid w:val="001B7F84"/>
    <w:rsid w:val="001C004F"/>
    <w:rsid w:val="001C0258"/>
    <w:rsid w:val="001C0298"/>
    <w:rsid w:val="001C0722"/>
    <w:rsid w:val="001C074B"/>
    <w:rsid w:val="001C089C"/>
    <w:rsid w:val="001C08E3"/>
    <w:rsid w:val="001C0B8D"/>
    <w:rsid w:val="001C0C8B"/>
    <w:rsid w:val="001C0CDD"/>
    <w:rsid w:val="001C0DDF"/>
    <w:rsid w:val="001C1095"/>
    <w:rsid w:val="001C11BD"/>
    <w:rsid w:val="001C146A"/>
    <w:rsid w:val="001C14BC"/>
    <w:rsid w:val="001C1660"/>
    <w:rsid w:val="001C1721"/>
    <w:rsid w:val="001C1859"/>
    <w:rsid w:val="001C1B10"/>
    <w:rsid w:val="001C1C03"/>
    <w:rsid w:val="001C1DB2"/>
    <w:rsid w:val="001C1F10"/>
    <w:rsid w:val="001C1F1C"/>
    <w:rsid w:val="001C2161"/>
    <w:rsid w:val="001C217D"/>
    <w:rsid w:val="001C220A"/>
    <w:rsid w:val="001C22F8"/>
    <w:rsid w:val="001C22FD"/>
    <w:rsid w:val="001C233B"/>
    <w:rsid w:val="001C23B3"/>
    <w:rsid w:val="001C23D4"/>
    <w:rsid w:val="001C256F"/>
    <w:rsid w:val="001C2657"/>
    <w:rsid w:val="001C276E"/>
    <w:rsid w:val="001C279B"/>
    <w:rsid w:val="001C28FC"/>
    <w:rsid w:val="001C29C3"/>
    <w:rsid w:val="001C29D0"/>
    <w:rsid w:val="001C2A9B"/>
    <w:rsid w:val="001C2AA5"/>
    <w:rsid w:val="001C2B3C"/>
    <w:rsid w:val="001C2FC5"/>
    <w:rsid w:val="001C30F2"/>
    <w:rsid w:val="001C3123"/>
    <w:rsid w:val="001C32C0"/>
    <w:rsid w:val="001C32F1"/>
    <w:rsid w:val="001C34DF"/>
    <w:rsid w:val="001C3514"/>
    <w:rsid w:val="001C38B3"/>
    <w:rsid w:val="001C3A77"/>
    <w:rsid w:val="001C3AA5"/>
    <w:rsid w:val="001C3AE9"/>
    <w:rsid w:val="001C3B32"/>
    <w:rsid w:val="001C3B97"/>
    <w:rsid w:val="001C3BA4"/>
    <w:rsid w:val="001C3C9B"/>
    <w:rsid w:val="001C3D04"/>
    <w:rsid w:val="001C3DD6"/>
    <w:rsid w:val="001C3F1F"/>
    <w:rsid w:val="001C3F37"/>
    <w:rsid w:val="001C4133"/>
    <w:rsid w:val="001C4138"/>
    <w:rsid w:val="001C41F5"/>
    <w:rsid w:val="001C4299"/>
    <w:rsid w:val="001C4391"/>
    <w:rsid w:val="001C47C5"/>
    <w:rsid w:val="001C483D"/>
    <w:rsid w:val="001C4874"/>
    <w:rsid w:val="001C48AE"/>
    <w:rsid w:val="001C54A5"/>
    <w:rsid w:val="001C55BD"/>
    <w:rsid w:val="001C56EC"/>
    <w:rsid w:val="001C5890"/>
    <w:rsid w:val="001C58C9"/>
    <w:rsid w:val="001C58D6"/>
    <w:rsid w:val="001C5C12"/>
    <w:rsid w:val="001C5D66"/>
    <w:rsid w:val="001C5F94"/>
    <w:rsid w:val="001C607B"/>
    <w:rsid w:val="001C6163"/>
    <w:rsid w:val="001C61FC"/>
    <w:rsid w:val="001C6377"/>
    <w:rsid w:val="001C63C9"/>
    <w:rsid w:val="001C6400"/>
    <w:rsid w:val="001C67A2"/>
    <w:rsid w:val="001C683F"/>
    <w:rsid w:val="001C6AA9"/>
    <w:rsid w:val="001C6B08"/>
    <w:rsid w:val="001C6C09"/>
    <w:rsid w:val="001C6E66"/>
    <w:rsid w:val="001C6EDC"/>
    <w:rsid w:val="001C6EE9"/>
    <w:rsid w:val="001C6FD9"/>
    <w:rsid w:val="001C7398"/>
    <w:rsid w:val="001C73A8"/>
    <w:rsid w:val="001C7563"/>
    <w:rsid w:val="001C7636"/>
    <w:rsid w:val="001C773B"/>
    <w:rsid w:val="001C7801"/>
    <w:rsid w:val="001C79FC"/>
    <w:rsid w:val="001C7B72"/>
    <w:rsid w:val="001C7BC7"/>
    <w:rsid w:val="001C7D15"/>
    <w:rsid w:val="001C7F1C"/>
    <w:rsid w:val="001D006D"/>
    <w:rsid w:val="001D00EA"/>
    <w:rsid w:val="001D0187"/>
    <w:rsid w:val="001D0275"/>
    <w:rsid w:val="001D0278"/>
    <w:rsid w:val="001D0385"/>
    <w:rsid w:val="001D0625"/>
    <w:rsid w:val="001D06D9"/>
    <w:rsid w:val="001D0795"/>
    <w:rsid w:val="001D07AC"/>
    <w:rsid w:val="001D0891"/>
    <w:rsid w:val="001D09A3"/>
    <w:rsid w:val="001D0A2D"/>
    <w:rsid w:val="001D0BBE"/>
    <w:rsid w:val="001D0D00"/>
    <w:rsid w:val="001D0ED0"/>
    <w:rsid w:val="001D0ED9"/>
    <w:rsid w:val="001D0F6E"/>
    <w:rsid w:val="001D1031"/>
    <w:rsid w:val="001D1100"/>
    <w:rsid w:val="001D12EC"/>
    <w:rsid w:val="001D1391"/>
    <w:rsid w:val="001D13DA"/>
    <w:rsid w:val="001D13E6"/>
    <w:rsid w:val="001D15C7"/>
    <w:rsid w:val="001D1674"/>
    <w:rsid w:val="001D1728"/>
    <w:rsid w:val="001D17E5"/>
    <w:rsid w:val="001D1863"/>
    <w:rsid w:val="001D1899"/>
    <w:rsid w:val="001D1A28"/>
    <w:rsid w:val="001D1A3C"/>
    <w:rsid w:val="001D1BC3"/>
    <w:rsid w:val="001D1BFB"/>
    <w:rsid w:val="001D1C0D"/>
    <w:rsid w:val="001D1CBB"/>
    <w:rsid w:val="001D1F1B"/>
    <w:rsid w:val="001D1FCE"/>
    <w:rsid w:val="001D2029"/>
    <w:rsid w:val="001D2068"/>
    <w:rsid w:val="001D20CD"/>
    <w:rsid w:val="001D22E2"/>
    <w:rsid w:val="001D2343"/>
    <w:rsid w:val="001D23FB"/>
    <w:rsid w:val="001D248F"/>
    <w:rsid w:val="001D25D7"/>
    <w:rsid w:val="001D274A"/>
    <w:rsid w:val="001D27B3"/>
    <w:rsid w:val="001D2874"/>
    <w:rsid w:val="001D2B15"/>
    <w:rsid w:val="001D2B81"/>
    <w:rsid w:val="001D2C03"/>
    <w:rsid w:val="001D2CEA"/>
    <w:rsid w:val="001D2E61"/>
    <w:rsid w:val="001D3058"/>
    <w:rsid w:val="001D3066"/>
    <w:rsid w:val="001D30A0"/>
    <w:rsid w:val="001D3193"/>
    <w:rsid w:val="001D326A"/>
    <w:rsid w:val="001D3492"/>
    <w:rsid w:val="001D35C4"/>
    <w:rsid w:val="001D3983"/>
    <w:rsid w:val="001D3A0E"/>
    <w:rsid w:val="001D3A8C"/>
    <w:rsid w:val="001D3AD5"/>
    <w:rsid w:val="001D3B6B"/>
    <w:rsid w:val="001D3DD9"/>
    <w:rsid w:val="001D3DEC"/>
    <w:rsid w:val="001D3EA3"/>
    <w:rsid w:val="001D3FC2"/>
    <w:rsid w:val="001D4260"/>
    <w:rsid w:val="001D42F6"/>
    <w:rsid w:val="001D4357"/>
    <w:rsid w:val="001D43D8"/>
    <w:rsid w:val="001D45C8"/>
    <w:rsid w:val="001D46CB"/>
    <w:rsid w:val="001D4733"/>
    <w:rsid w:val="001D489C"/>
    <w:rsid w:val="001D48D1"/>
    <w:rsid w:val="001D49DC"/>
    <w:rsid w:val="001D4A92"/>
    <w:rsid w:val="001D4B80"/>
    <w:rsid w:val="001D4E13"/>
    <w:rsid w:val="001D4F60"/>
    <w:rsid w:val="001D4FAE"/>
    <w:rsid w:val="001D5045"/>
    <w:rsid w:val="001D50B2"/>
    <w:rsid w:val="001D521F"/>
    <w:rsid w:val="001D5387"/>
    <w:rsid w:val="001D5390"/>
    <w:rsid w:val="001D54D9"/>
    <w:rsid w:val="001D5589"/>
    <w:rsid w:val="001D575A"/>
    <w:rsid w:val="001D5A37"/>
    <w:rsid w:val="001D5C4F"/>
    <w:rsid w:val="001D5F19"/>
    <w:rsid w:val="001D5FFE"/>
    <w:rsid w:val="001D6099"/>
    <w:rsid w:val="001D60F7"/>
    <w:rsid w:val="001D6529"/>
    <w:rsid w:val="001D653F"/>
    <w:rsid w:val="001D6545"/>
    <w:rsid w:val="001D6559"/>
    <w:rsid w:val="001D6887"/>
    <w:rsid w:val="001D69CC"/>
    <w:rsid w:val="001D6BC7"/>
    <w:rsid w:val="001D6FF7"/>
    <w:rsid w:val="001D71F4"/>
    <w:rsid w:val="001D7464"/>
    <w:rsid w:val="001D762A"/>
    <w:rsid w:val="001D7645"/>
    <w:rsid w:val="001D7746"/>
    <w:rsid w:val="001D7753"/>
    <w:rsid w:val="001D7754"/>
    <w:rsid w:val="001D77BE"/>
    <w:rsid w:val="001D7879"/>
    <w:rsid w:val="001D78B9"/>
    <w:rsid w:val="001D78F2"/>
    <w:rsid w:val="001D7A41"/>
    <w:rsid w:val="001D7BF2"/>
    <w:rsid w:val="001D7C3F"/>
    <w:rsid w:val="001D7E38"/>
    <w:rsid w:val="001D7E56"/>
    <w:rsid w:val="001D7E7B"/>
    <w:rsid w:val="001E0049"/>
    <w:rsid w:val="001E0082"/>
    <w:rsid w:val="001E01F1"/>
    <w:rsid w:val="001E0341"/>
    <w:rsid w:val="001E05C5"/>
    <w:rsid w:val="001E0647"/>
    <w:rsid w:val="001E0697"/>
    <w:rsid w:val="001E0773"/>
    <w:rsid w:val="001E088B"/>
    <w:rsid w:val="001E0CDC"/>
    <w:rsid w:val="001E0DB2"/>
    <w:rsid w:val="001E109D"/>
    <w:rsid w:val="001E11B4"/>
    <w:rsid w:val="001E134C"/>
    <w:rsid w:val="001E13E1"/>
    <w:rsid w:val="001E1448"/>
    <w:rsid w:val="001E15CA"/>
    <w:rsid w:val="001E15F7"/>
    <w:rsid w:val="001E1628"/>
    <w:rsid w:val="001E16DE"/>
    <w:rsid w:val="001E18FD"/>
    <w:rsid w:val="001E1917"/>
    <w:rsid w:val="001E19B8"/>
    <w:rsid w:val="001E1C53"/>
    <w:rsid w:val="001E1D06"/>
    <w:rsid w:val="001E1E86"/>
    <w:rsid w:val="001E1F4B"/>
    <w:rsid w:val="001E21CA"/>
    <w:rsid w:val="001E238E"/>
    <w:rsid w:val="001E2483"/>
    <w:rsid w:val="001E25E6"/>
    <w:rsid w:val="001E295E"/>
    <w:rsid w:val="001E2B1E"/>
    <w:rsid w:val="001E2B54"/>
    <w:rsid w:val="001E2B8C"/>
    <w:rsid w:val="001E2CFF"/>
    <w:rsid w:val="001E2D24"/>
    <w:rsid w:val="001E2E81"/>
    <w:rsid w:val="001E2ED7"/>
    <w:rsid w:val="001E2F24"/>
    <w:rsid w:val="001E2F37"/>
    <w:rsid w:val="001E30D4"/>
    <w:rsid w:val="001E3248"/>
    <w:rsid w:val="001E3270"/>
    <w:rsid w:val="001E336C"/>
    <w:rsid w:val="001E345C"/>
    <w:rsid w:val="001E34A2"/>
    <w:rsid w:val="001E34B9"/>
    <w:rsid w:val="001E34D7"/>
    <w:rsid w:val="001E34DF"/>
    <w:rsid w:val="001E3551"/>
    <w:rsid w:val="001E3699"/>
    <w:rsid w:val="001E3736"/>
    <w:rsid w:val="001E3985"/>
    <w:rsid w:val="001E3CD5"/>
    <w:rsid w:val="001E3DB5"/>
    <w:rsid w:val="001E3F1C"/>
    <w:rsid w:val="001E40A6"/>
    <w:rsid w:val="001E40EE"/>
    <w:rsid w:val="001E4162"/>
    <w:rsid w:val="001E41D1"/>
    <w:rsid w:val="001E4463"/>
    <w:rsid w:val="001E44F5"/>
    <w:rsid w:val="001E45B0"/>
    <w:rsid w:val="001E4671"/>
    <w:rsid w:val="001E47D0"/>
    <w:rsid w:val="001E48A8"/>
    <w:rsid w:val="001E4912"/>
    <w:rsid w:val="001E4BD3"/>
    <w:rsid w:val="001E4ECC"/>
    <w:rsid w:val="001E4F43"/>
    <w:rsid w:val="001E4F68"/>
    <w:rsid w:val="001E514E"/>
    <w:rsid w:val="001E5192"/>
    <w:rsid w:val="001E51E9"/>
    <w:rsid w:val="001E52EB"/>
    <w:rsid w:val="001E56C9"/>
    <w:rsid w:val="001E5837"/>
    <w:rsid w:val="001E58B7"/>
    <w:rsid w:val="001E59B5"/>
    <w:rsid w:val="001E5A5E"/>
    <w:rsid w:val="001E5A7A"/>
    <w:rsid w:val="001E5BF7"/>
    <w:rsid w:val="001E5D96"/>
    <w:rsid w:val="001E5E53"/>
    <w:rsid w:val="001E5E9E"/>
    <w:rsid w:val="001E5EA9"/>
    <w:rsid w:val="001E5EE2"/>
    <w:rsid w:val="001E5F58"/>
    <w:rsid w:val="001E5F60"/>
    <w:rsid w:val="001E603B"/>
    <w:rsid w:val="001E6143"/>
    <w:rsid w:val="001E61D2"/>
    <w:rsid w:val="001E6419"/>
    <w:rsid w:val="001E64DC"/>
    <w:rsid w:val="001E669D"/>
    <w:rsid w:val="001E66A0"/>
    <w:rsid w:val="001E6789"/>
    <w:rsid w:val="001E6878"/>
    <w:rsid w:val="001E689E"/>
    <w:rsid w:val="001E69D4"/>
    <w:rsid w:val="001E6A26"/>
    <w:rsid w:val="001E6A39"/>
    <w:rsid w:val="001E6C73"/>
    <w:rsid w:val="001E6D62"/>
    <w:rsid w:val="001E6E15"/>
    <w:rsid w:val="001E6E4E"/>
    <w:rsid w:val="001E6E5C"/>
    <w:rsid w:val="001E6F0D"/>
    <w:rsid w:val="001E740C"/>
    <w:rsid w:val="001E753A"/>
    <w:rsid w:val="001E75A7"/>
    <w:rsid w:val="001E7662"/>
    <w:rsid w:val="001E773F"/>
    <w:rsid w:val="001E7907"/>
    <w:rsid w:val="001E7BD0"/>
    <w:rsid w:val="001E7C2E"/>
    <w:rsid w:val="001E7C6A"/>
    <w:rsid w:val="001E7E73"/>
    <w:rsid w:val="001E7EE2"/>
    <w:rsid w:val="001E7F36"/>
    <w:rsid w:val="001E7FC3"/>
    <w:rsid w:val="001F0356"/>
    <w:rsid w:val="001F063E"/>
    <w:rsid w:val="001F06EE"/>
    <w:rsid w:val="001F0714"/>
    <w:rsid w:val="001F0946"/>
    <w:rsid w:val="001F0A6E"/>
    <w:rsid w:val="001F0E8C"/>
    <w:rsid w:val="001F0ED6"/>
    <w:rsid w:val="001F1235"/>
    <w:rsid w:val="001F13FE"/>
    <w:rsid w:val="001F14DE"/>
    <w:rsid w:val="001F18AC"/>
    <w:rsid w:val="001F19AC"/>
    <w:rsid w:val="001F19DA"/>
    <w:rsid w:val="001F1B12"/>
    <w:rsid w:val="001F1B2E"/>
    <w:rsid w:val="001F1C0D"/>
    <w:rsid w:val="001F1CB2"/>
    <w:rsid w:val="001F1CB3"/>
    <w:rsid w:val="001F1D4F"/>
    <w:rsid w:val="001F1DD7"/>
    <w:rsid w:val="001F1F88"/>
    <w:rsid w:val="001F23C0"/>
    <w:rsid w:val="001F23DE"/>
    <w:rsid w:val="001F26A1"/>
    <w:rsid w:val="001F26D3"/>
    <w:rsid w:val="001F2939"/>
    <w:rsid w:val="001F2B67"/>
    <w:rsid w:val="001F2E1F"/>
    <w:rsid w:val="001F2ED4"/>
    <w:rsid w:val="001F2EE8"/>
    <w:rsid w:val="001F3008"/>
    <w:rsid w:val="001F30B9"/>
    <w:rsid w:val="001F33FB"/>
    <w:rsid w:val="001F3479"/>
    <w:rsid w:val="001F3840"/>
    <w:rsid w:val="001F38B5"/>
    <w:rsid w:val="001F39AD"/>
    <w:rsid w:val="001F39E8"/>
    <w:rsid w:val="001F3B80"/>
    <w:rsid w:val="001F3D3F"/>
    <w:rsid w:val="001F3D4A"/>
    <w:rsid w:val="001F3DBE"/>
    <w:rsid w:val="001F3DC8"/>
    <w:rsid w:val="001F4081"/>
    <w:rsid w:val="001F416B"/>
    <w:rsid w:val="001F4219"/>
    <w:rsid w:val="001F427C"/>
    <w:rsid w:val="001F42D5"/>
    <w:rsid w:val="001F4465"/>
    <w:rsid w:val="001F463D"/>
    <w:rsid w:val="001F474F"/>
    <w:rsid w:val="001F4852"/>
    <w:rsid w:val="001F49B2"/>
    <w:rsid w:val="001F49C7"/>
    <w:rsid w:val="001F4AA6"/>
    <w:rsid w:val="001F4B88"/>
    <w:rsid w:val="001F5008"/>
    <w:rsid w:val="001F50ED"/>
    <w:rsid w:val="001F511B"/>
    <w:rsid w:val="001F51E9"/>
    <w:rsid w:val="001F5442"/>
    <w:rsid w:val="001F5560"/>
    <w:rsid w:val="001F55C1"/>
    <w:rsid w:val="001F5790"/>
    <w:rsid w:val="001F5963"/>
    <w:rsid w:val="001F5DE2"/>
    <w:rsid w:val="001F5DE4"/>
    <w:rsid w:val="001F5EAF"/>
    <w:rsid w:val="001F6105"/>
    <w:rsid w:val="001F6A01"/>
    <w:rsid w:val="001F6BC1"/>
    <w:rsid w:val="001F6D3B"/>
    <w:rsid w:val="001F6EC1"/>
    <w:rsid w:val="001F6F2A"/>
    <w:rsid w:val="001F6FFB"/>
    <w:rsid w:val="001F7027"/>
    <w:rsid w:val="001F7116"/>
    <w:rsid w:val="001F7148"/>
    <w:rsid w:val="001F7361"/>
    <w:rsid w:val="001F73F8"/>
    <w:rsid w:val="001F7663"/>
    <w:rsid w:val="001F7780"/>
    <w:rsid w:val="001F7A96"/>
    <w:rsid w:val="002000DE"/>
    <w:rsid w:val="00200156"/>
    <w:rsid w:val="0020023B"/>
    <w:rsid w:val="00200293"/>
    <w:rsid w:val="002003EE"/>
    <w:rsid w:val="00200916"/>
    <w:rsid w:val="00200ABA"/>
    <w:rsid w:val="00200B67"/>
    <w:rsid w:val="00200C61"/>
    <w:rsid w:val="00200C7A"/>
    <w:rsid w:val="002011B0"/>
    <w:rsid w:val="002011D4"/>
    <w:rsid w:val="002012B1"/>
    <w:rsid w:val="00201372"/>
    <w:rsid w:val="0020142D"/>
    <w:rsid w:val="0020143D"/>
    <w:rsid w:val="00201624"/>
    <w:rsid w:val="002017AE"/>
    <w:rsid w:val="0020191D"/>
    <w:rsid w:val="00201B33"/>
    <w:rsid w:val="00201B65"/>
    <w:rsid w:val="00201B9F"/>
    <w:rsid w:val="00201C1C"/>
    <w:rsid w:val="00201DDD"/>
    <w:rsid w:val="00201EA8"/>
    <w:rsid w:val="00201EB8"/>
    <w:rsid w:val="00201FB4"/>
    <w:rsid w:val="00201FE6"/>
    <w:rsid w:val="0020211A"/>
    <w:rsid w:val="002021BA"/>
    <w:rsid w:val="002024C1"/>
    <w:rsid w:val="002029E7"/>
    <w:rsid w:val="00202B36"/>
    <w:rsid w:val="00202D06"/>
    <w:rsid w:val="00202D0B"/>
    <w:rsid w:val="00202D92"/>
    <w:rsid w:val="00202DB0"/>
    <w:rsid w:val="00202E0A"/>
    <w:rsid w:val="002030E1"/>
    <w:rsid w:val="00203146"/>
    <w:rsid w:val="00203181"/>
    <w:rsid w:val="002031C3"/>
    <w:rsid w:val="002034ED"/>
    <w:rsid w:val="002035D5"/>
    <w:rsid w:val="00203611"/>
    <w:rsid w:val="0020365E"/>
    <w:rsid w:val="002036E8"/>
    <w:rsid w:val="002036F4"/>
    <w:rsid w:val="00203783"/>
    <w:rsid w:val="00203805"/>
    <w:rsid w:val="0020384E"/>
    <w:rsid w:val="0020385F"/>
    <w:rsid w:val="00203925"/>
    <w:rsid w:val="002039A3"/>
    <w:rsid w:val="00203A44"/>
    <w:rsid w:val="00203B73"/>
    <w:rsid w:val="00203C86"/>
    <w:rsid w:val="00203D7A"/>
    <w:rsid w:val="00203DDE"/>
    <w:rsid w:val="00203FBB"/>
    <w:rsid w:val="0020404E"/>
    <w:rsid w:val="002040F3"/>
    <w:rsid w:val="002040F9"/>
    <w:rsid w:val="002041AB"/>
    <w:rsid w:val="00204278"/>
    <w:rsid w:val="00204481"/>
    <w:rsid w:val="00204520"/>
    <w:rsid w:val="002045CC"/>
    <w:rsid w:val="002046B4"/>
    <w:rsid w:val="002046DA"/>
    <w:rsid w:val="00204838"/>
    <w:rsid w:val="00204842"/>
    <w:rsid w:val="00204854"/>
    <w:rsid w:val="0020493C"/>
    <w:rsid w:val="00204A9D"/>
    <w:rsid w:val="00204B34"/>
    <w:rsid w:val="00204B7B"/>
    <w:rsid w:val="00204FEA"/>
    <w:rsid w:val="00205163"/>
    <w:rsid w:val="0020518D"/>
    <w:rsid w:val="002052F2"/>
    <w:rsid w:val="00205325"/>
    <w:rsid w:val="00205423"/>
    <w:rsid w:val="002054AF"/>
    <w:rsid w:val="0020570B"/>
    <w:rsid w:val="002057F0"/>
    <w:rsid w:val="0020596E"/>
    <w:rsid w:val="00205ABB"/>
    <w:rsid w:val="00205DFF"/>
    <w:rsid w:val="00206046"/>
    <w:rsid w:val="002060D7"/>
    <w:rsid w:val="00206302"/>
    <w:rsid w:val="00206362"/>
    <w:rsid w:val="0020639C"/>
    <w:rsid w:val="00206632"/>
    <w:rsid w:val="0020663E"/>
    <w:rsid w:val="002068A0"/>
    <w:rsid w:val="002068AA"/>
    <w:rsid w:val="00206928"/>
    <w:rsid w:val="00206958"/>
    <w:rsid w:val="0020696A"/>
    <w:rsid w:val="00206AA4"/>
    <w:rsid w:val="00206F41"/>
    <w:rsid w:val="00207021"/>
    <w:rsid w:val="00207038"/>
    <w:rsid w:val="0020713C"/>
    <w:rsid w:val="0020724F"/>
    <w:rsid w:val="0020732F"/>
    <w:rsid w:val="00207509"/>
    <w:rsid w:val="00207647"/>
    <w:rsid w:val="00207798"/>
    <w:rsid w:val="002077F7"/>
    <w:rsid w:val="00207C49"/>
    <w:rsid w:val="00207D00"/>
    <w:rsid w:val="00207D1C"/>
    <w:rsid w:val="00207D81"/>
    <w:rsid w:val="00207E18"/>
    <w:rsid w:val="00207E41"/>
    <w:rsid w:val="00207F2C"/>
    <w:rsid w:val="0021022A"/>
    <w:rsid w:val="00210307"/>
    <w:rsid w:val="002103A4"/>
    <w:rsid w:val="00210550"/>
    <w:rsid w:val="002105B0"/>
    <w:rsid w:val="002105C1"/>
    <w:rsid w:val="00210664"/>
    <w:rsid w:val="00210699"/>
    <w:rsid w:val="002106DA"/>
    <w:rsid w:val="0021074B"/>
    <w:rsid w:val="00210759"/>
    <w:rsid w:val="002109C0"/>
    <w:rsid w:val="00210A28"/>
    <w:rsid w:val="00210A89"/>
    <w:rsid w:val="00210ABC"/>
    <w:rsid w:val="00210B00"/>
    <w:rsid w:val="00210BCF"/>
    <w:rsid w:val="00210E1F"/>
    <w:rsid w:val="00210E73"/>
    <w:rsid w:val="0021103C"/>
    <w:rsid w:val="0021116E"/>
    <w:rsid w:val="00211190"/>
    <w:rsid w:val="00211252"/>
    <w:rsid w:val="00211581"/>
    <w:rsid w:val="00211685"/>
    <w:rsid w:val="002116FD"/>
    <w:rsid w:val="00211726"/>
    <w:rsid w:val="00211797"/>
    <w:rsid w:val="0021182A"/>
    <w:rsid w:val="002118AC"/>
    <w:rsid w:val="002118C7"/>
    <w:rsid w:val="00211AE0"/>
    <w:rsid w:val="00211BA6"/>
    <w:rsid w:val="00211BC0"/>
    <w:rsid w:val="00211C92"/>
    <w:rsid w:val="00211F25"/>
    <w:rsid w:val="00212023"/>
    <w:rsid w:val="00212095"/>
    <w:rsid w:val="002120D7"/>
    <w:rsid w:val="00212130"/>
    <w:rsid w:val="00212266"/>
    <w:rsid w:val="00212432"/>
    <w:rsid w:val="00212517"/>
    <w:rsid w:val="0021287B"/>
    <w:rsid w:val="00212A31"/>
    <w:rsid w:val="00212A49"/>
    <w:rsid w:val="00212A51"/>
    <w:rsid w:val="00212A78"/>
    <w:rsid w:val="00212D3A"/>
    <w:rsid w:val="00212E52"/>
    <w:rsid w:val="00212E92"/>
    <w:rsid w:val="0021303E"/>
    <w:rsid w:val="00213119"/>
    <w:rsid w:val="0021320F"/>
    <w:rsid w:val="00213265"/>
    <w:rsid w:val="00213495"/>
    <w:rsid w:val="002135FA"/>
    <w:rsid w:val="00213850"/>
    <w:rsid w:val="002139B0"/>
    <w:rsid w:val="00213ABB"/>
    <w:rsid w:val="00213AFD"/>
    <w:rsid w:val="00213BBE"/>
    <w:rsid w:val="00213D68"/>
    <w:rsid w:val="00213E13"/>
    <w:rsid w:val="00213EF5"/>
    <w:rsid w:val="00213FA4"/>
    <w:rsid w:val="00214009"/>
    <w:rsid w:val="00214077"/>
    <w:rsid w:val="002141A9"/>
    <w:rsid w:val="00214319"/>
    <w:rsid w:val="00214380"/>
    <w:rsid w:val="00214506"/>
    <w:rsid w:val="002145B3"/>
    <w:rsid w:val="002146B3"/>
    <w:rsid w:val="002146BC"/>
    <w:rsid w:val="00214762"/>
    <w:rsid w:val="00214846"/>
    <w:rsid w:val="002148C7"/>
    <w:rsid w:val="00214A6A"/>
    <w:rsid w:val="00214CDF"/>
    <w:rsid w:val="00214ED3"/>
    <w:rsid w:val="00214EE6"/>
    <w:rsid w:val="00214EF2"/>
    <w:rsid w:val="00214F08"/>
    <w:rsid w:val="00214F85"/>
    <w:rsid w:val="0021521C"/>
    <w:rsid w:val="00215264"/>
    <w:rsid w:val="0021531F"/>
    <w:rsid w:val="00215393"/>
    <w:rsid w:val="00215408"/>
    <w:rsid w:val="0021542F"/>
    <w:rsid w:val="002154E0"/>
    <w:rsid w:val="00215606"/>
    <w:rsid w:val="00215671"/>
    <w:rsid w:val="0021575B"/>
    <w:rsid w:val="00215936"/>
    <w:rsid w:val="002159AB"/>
    <w:rsid w:val="00215F69"/>
    <w:rsid w:val="0021600B"/>
    <w:rsid w:val="002160D4"/>
    <w:rsid w:val="002161B8"/>
    <w:rsid w:val="00216333"/>
    <w:rsid w:val="002164A7"/>
    <w:rsid w:val="002164FD"/>
    <w:rsid w:val="0021659B"/>
    <w:rsid w:val="002165C9"/>
    <w:rsid w:val="00216722"/>
    <w:rsid w:val="002167B5"/>
    <w:rsid w:val="00216A4B"/>
    <w:rsid w:val="00216B1F"/>
    <w:rsid w:val="00216BF5"/>
    <w:rsid w:val="00216E93"/>
    <w:rsid w:val="00216EB7"/>
    <w:rsid w:val="00216ED4"/>
    <w:rsid w:val="002170E7"/>
    <w:rsid w:val="002171BC"/>
    <w:rsid w:val="002172FC"/>
    <w:rsid w:val="002175A2"/>
    <w:rsid w:val="00217708"/>
    <w:rsid w:val="00217738"/>
    <w:rsid w:val="0021779A"/>
    <w:rsid w:val="0021793D"/>
    <w:rsid w:val="00217960"/>
    <w:rsid w:val="00217966"/>
    <w:rsid w:val="002179E1"/>
    <w:rsid w:val="00217A2C"/>
    <w:rsid w:val="00217E06"/>
    <w:rsid w:val="0022006E"/>
    <w:rsid w:val="00220202"/>
    <w:rsid w:val="00220317"/>
    <w:rsid w:val="00220498"/>
    <w:rsid w:val="002208D6"/>
    <w:rsid w:val="00220BE2"/>
    <w:rsid w:val="00220C04"/>
    <w:rsid w:val="00220C74"/>
    <w:rsid w:val="00220DF7"/>
    <w:rsid w:val="00220F66"/>
    <w:rsid w:val="0022116E"/>
    <w:rsid w:val="0022134E"/>
    <w:rsid w:val="002213C0"/>
    <w:rsid w:val="002214E6"/>
    <w:rsid w:val="002214F3"/>
    <w:rsid w:val="00221517"/>
    <w:rsid w:val="0022153A"/>
    <w:rsid w:val="00221575"/>
    <w:rsid w:val="002216A5"/>
    <w:rsid w:val="002217EB"/>
    <w:rsid w:val="00221800"/>
    <w:rsid w:val="0022185F"/>
    <w:rsid w:val="00221BF5"/>
    <w:rsid w:val="00221D6D"/>
    <w:rsid w:val="00221F27"/>
    <w:rsid w:val="00221FD9"/>
    <w:rsid w:val="00221FF8"/>
    <w:rsid w:val="00222030"/>
    <w:rsid w:val="00222084"/>
    <w:rsid w:val="0022213D"/>
    <w:rsid w:val="0022226A"/>
    <w:rsid w:val="0022227A"/>
    <w:rsid w:val="002222B3"/>
    <w:rsid w:val="00222384"/>
    <w:rsid w:val="00222533"/>
    <w:rsid w:val="002225BF"/>
    <w:rsid w:val="002226AF"/>
    <w:rsid w:val="002226BF"/>
    <w:rsid w:val="00222817"/>
    <w:rsid w:val="00222A9B"/>
    <w:rsid w:val="00222C8F"/>
    <w:rsid w:val="00222DE0"/>
    <w:rsid w:val="00222DF8"/>
    <w:rsid w:val="00222E3C"/>
    <w:rsid w:val="00222E57"/>
    <w:rsid w:val="00222E9B"/>
    <w:rsid w:val="00222F19"/>
    <w:rsid w:val="00222F3B"/>
    <w:rsid w:val="0022323B"/>
    <w:rsid w:val="00223334"/>
    <w:rsid w:val="00223379"/>
    <w:rsid w:val="00223526"/>
    <w:rsid w:val="002236C1"/>
    <w:rsid w:val="00223845"/>
    <w:rsid w:val="00223A29"/>
    <w:rsid w:val="00223A6D"/>
    <w:rsid w:val="00223A8F"/>
    <w:rsid w:val="00223B31"/>
    <w:rsid w:val="00223B3A"/>
    <w:rsid w:val="00223B49"/>
    <w:rsid w:val="00223D35"/>
    <w:rsid w:val="00223D45"/>
    <w:rsid w:val="00223D5A"/>
    <w:rsid w:val="00223FD9"/>
    <w:rsid w:val="0022417A"/>
    <w:rsid w:val="002241B5"/>
    <w:rsid w:val="00224374"/>
    <w:rsid w:val="0022458C"/>
    <w:rsid w:val="002245F6"/>
    <w:rsid w:val="00224692"/>
    <w:rsid w:val="00224828"/>
    <w:rsid w:val="0022492F"/>
    <w:rsid w:val="00224A0B"/>
    <w:rsid w:val="00224BB5"/>
    <w:rsid w:val="00224CFF"/>
    <w:rsid w:val="00224DAC"/>
    <w:rsid w:val="00224DD4"/>
    <w:rsid w:val="00224E07"/>
    <w:rsid w:val="00224E30"/>
    <w:rsid w:val="00224F5C"/>
    <w:rsid w:val="0022500C"/>
    <w:rsid w:val="002251BC"/>
    <w:rsid w:val="00225271"/>
    <w:rsid w:val="00225371"/>
    <w:rsid w:val="00225560"/>
    <w:rsid w:val="002255A7"/>
    <w:rsid w:val="00225A5A"/>
    <w:rsid w:val="00225B54"/>
    <w:rsid w:val="00225D7E"/>
    <w:rsid w:val="00225E28"/>
    <w:rsid w:val="00225E50"/>
    <w:rsid w:val="002260AA"/>
    <w:rsid w:val="0022627A"/>
    <w:rsid w:val="002263DA"/>
    <w:rsid w:val="00226467"/>
    <w:rsid w:val="002264B0"/>
    <w:rsid w:val="002264C7"/>
    <w:rsid w:val="00226558"/>
    <w:rsid w:val="0022676F"/>
    <w:rsid w:val="002267A7"/>
    <w:rsid w:val="0022691C"/>
    <w:rsid w:val="00226942"/>
    <w:rsid w:val="00226971"/>
    <w:rsid w:val="00226A02"/>
    <w:rsid w:val="00226BA7"/>
    <w:rsid w:val="00226CA5"/>
    <w:rsid w:val="00226D11"/>
    <w:rsid w:val="00226E00"/>
    <w:rsid w:val="00226ED1"/>
    <w:rsid w:val="002270CE"/>
    <w:rsid w:val="0022715B"/>
    <w:rsid w:val="002273F6"/>
    <w:rsid w:val="002275EF"/>
    <w:rsid w:val="0022774C"/>
    <w:rsid w:val="002277BA"/>
    <w:rsid w:val="002278A0"/>
    <w:rsid w:val="00227907"/>
    <w:rsid w:val="00227A3A"/>
    <w:rsid w:val="00227AB8"/>
    <w:rsid w:val="00227BCB"/>
    <w:rsid w:val="00227D11"/>
    <w:rsid w:val="002300A5"/>
    <w:rsid w:val="002301BE"/>
    <w:rsid w:val="00230390"/>
    <w:rsid w:val="00230748"/>
    <w:rsid w:val="002307DE"/>
    <w:rsid w:val="00230975"/>
    <w:rsid w:val="002309A3"/>
    <w:rsid w:val="002309CC"/>
    <w:rsid w:val="00230A33"/>
    <w:rsid w:val="00230A86"/>
    <w:rsid w:val="00230B07"/>
    <w:rsid w:val="00230C40"/>
    <w:rsid w:val="00230C91"/>
    <w:rsid w:val="00230FBA"/>
    <w:rsid w:val="00230FF8"/>
    <w:rsid w:val="00231013"/>
    <w:rsid w:val="00231414"/>
    <w:rsid w:val="00231430"/>
    <w:rsid w:val="00231461"/>
    <w:rsid w:val="0023156F"/>
    <w:rsid w:val="00231770"/>
    <w:rsid w:val="002317F6"/>
    <w:rsid w:val="00231891"/>
    <w:rsid w:val="002318C0"/>
    <w:rsid w:val="002318FD"/>
    <w:rsid w:val="00231BA9"/>
    <w:rsid w:val="00231BB4"/>
    <w:rsid w:val="00231BEA"/>
    <w:rsid w:val="00231CD6"/>
    <w:rsid w:val="00231D35"/>
    <w:rsid w:val="00231DB1"/>
    <w:rsid w:val="00231E00"/>
    <w:rsid w:val="00231EF4"/>
    <w:rsid w:val="00231FC4"/>
    <w:rsid w:val="0023203A"/>
    <w:rsid w:val="0023209F"/>
    <w:rsid w:val="002320A0"/>
    <w:rsid w:val="0023224C"/>
    <w:rsid w:val="00232342"/>
    <w:rsid w:val="0023242F"/>
    <w:rsid w:val="00232789"/>
    <w:rsid w:val="002328A3"/>
    <w:rsid w:val="00232A77"/>
    <w:rsid w:val="00232A7C"/>
    <w:rsid w:val="00232B92"/>
    <w:rsid w:val="00232C69"/>
    <w:rsid w:val="00232EA3"/>
    <w:rsid w:val="00232EEA"/>
    <w:rsid w:val="00232FA0"/>
    <w:rsid w:val="00232FC2"/>
    <w:rsid w:val="002331A6"/>
    <w:rsid w:val="00233489"/>
    <w:rsid w:val="00233633"/>
    <w:rsid w:val="0023387D"/>
    <w:rsid w:val="002339A5"/>
    <w:rsid w:val="00233A9A"/>
    <w:rsid w:val="00233B27"/>
    <w:rsid w:val="00233B6E"/>
    <w:rsid w:val="00233BC8"/>
    <w:rsid w:val="00233C01"/>
    <w:rsid w:val="00233C1F"/>
    <w:rsid w:val="0023401F"/>
    <w:rsid w:val="0023413C"/>
    <w:rsid w:val="00234212"/>
    <w:rsid w:val="002345B0"/>
    <w:rsid w:val="002346F0"/>
    <w:rsid w:val="00234933"/>
    <w:rsid w:val="00234943"/>
    <w:rsid w:val="002349C6"/>
    <w:rsid w:val="00234A98"/>
    <w:rsid w:val="00234EA9"/>
    <w:rsid w:val="002350E9"/>
    <w:rsid w:val="002351F1"/>
    <w:rsid w:val="0023539C"/>
    <w:rsid w:val="002353BA"/>
    <w:rsid w:val="002353F0"/>
    <w:rsid w:val="00235490"/>
    <w:rsid w:val="0023551E"/>
    <w:rsid w:val="002355AD"/>
    <w:rsid w:val="00235899"/>
    <w:rsid w:val="00235979"/>
    <w:rsid w:val="00235A84"/>
    <w:rsid w:val="00235BCD"/>
    <w:rsid w:val="00235C63"/>
    <w:rsid w:val="00235C6D"/>
    <w:rsid w:val="00235D6D"/>
    <w:rsid w:val="002361A1"/>
    <w:rsid w:val="00236236"/>
    <w:rsid w:val="0023629D"/>
    <w:rsid w:val="002362FF"/>
    <w:rsid w:val="00236670"/>
    <w:rsid w:val="00236941"/>
    <w:rsid w:val="002369DB"/>
    <w:rsid w:val="00236A2F"/>
    <w:rsid w:val="00236BBF"/>
    <w:rsid w:val="00237079"/>
    <w:rsid w:val="002370C9"/>
    <w:rsid w:val="002371C3"/>
    <w:rsid w:val="00237255"/>
    <w:rsid w:val="00237322"/>
    <w:rsid w:val="00237606"/>
    <w:rsid w:val="00237923"/>
    <w:rsid w:val="002379CA"/>
    <w:rsid w:val="00237AA8"/>
    <w:rsid w:val="00237B2A"/>
    <w:rsid w:val="00237BDC"/>
    <w:rsid w:val="00237C54"/>
    <w:rsid w:val="00237D40"/>
    <w:rsid w:val="00240006"/>
    <w:rsid w:val="00240091"/>
    <w:rsid w:val="00240113"/>
    <w:rsid w:val="0024013F"/>
    <w:rsid w:val="002401DB"/>
    <w:rsid w:val="002402DD"/>
    <w:rsid w:val="002409AC"/>
    <w:rsid w:val="00240AFF"/>
    <w:rsid w:val="00240BD8"/>
    <w:rsid w:val="00240D61"/>
    <w:rsid w:val="00240D62"/>
    <w:rsid w:val="00240E92"/>
    <w:rsid w:val="0024106B"/>
    <w:rsid w:val="00241283"/>
    <w:rsid w:val="002412EA"/>
    <w:rsid w:val="0024153F"/>
    <w:rsid w:val="002415A8"/>
    <w:rsid w:val="002415C7"/>
    <w:rsid w:val="002416CB"/>
    <w:rsid w:val="0024181E"/>
    <w:rsid w:val="0024195C"/>
    <w:rsid w:val="0024198B"/>
    <w:rsid w:val="00241A88"/>
    <w:rsid w:val="00241B1E"/>
    <w:rsid w:val="00241D8D"/>
    <w:rsid w:val="00242012"/>
    <w:rsid w:val="00242218"/>
    <w:rsid w:val="002422D0"/>
    <w:rsid w:val="0024231C"/>
    <w:rsid w:val="002424AF"/>
    <w:rsid w:val="002424B6"/>
    <w:rsid w:val="002424E7"/>
    <w:rsid w:val="002424FF"/>
    <w:rsid w:val="0024269B"/>
    <w:rsid w:val="002428D5"/>
    <w:rsid w:val="00242924"/>
    <w:rsid w:val="0024295A"/>
    <w:rsid w:val="00242B16"/>
    <w:rsid w:val="00242CFB"/>
    <w:rsid w:val="00242F78"/>
    <w:rsid w:val="002432D9"/>
    <w:rsid w:val="00243517"/>
    <w:rsid w:val="00243540"/>
    <w:rsid w:val="002438BD"/>
    <w:rsid w:val="002439DC"/>
    <w:rsid w:val="002439FB"/>
    <w:rsid w:val="00243B06"/>
    <w:rsid w:val="00243BF1"/>
    <w:rsid w:val="00243C44"/>
    <w:rsid w:val="00243CFC"/>
    <w:rsid w:val="00243E5A"/>
    <w:rsid w:val="00243E61"/>
    <w:rsid w:val="00243EF7"/>
    <w:rsid w:val="00243F99"/>
    <w:rsid w:val="00244052"/>
    <w:rsid w:val="002441D2"/>
    <w:rsid w:val="002443C4"/>
    <w:rsid w:val="00244444"/>
    <w:rsid w:val="0024468B"/>
    <w:rsid w:val="00244A4E"/>
    <w:rsid w:val="00244B3F"/>
    <w:rsid w:val="00244BA0"/>
    <w:rsid w:val="00244D9E"/>
    <w:rsid w:val="00244DC8"/>
    <w:rsid w:val="00244F53"/>
    <w:rsid w:val="00245015"/>
    <w:rsid w:val="002451C8"/>
    <w:rsid w:val="002454CD"/>
    <w:rsid w:val="00245551"/>
    <w:rsid w:val="002457FE"/>
    <w:rsid w:val="002458BA"/>
    <w:rsid w:val="00245A1C"/>
    <w:rsid w:val="00245CD1"/>
    <w:rsid w:val="00245CDD"/>
    <w:rsid w:val="00245CE9"/>
    <w:rsid w:val="002461D3"/>
    <w:rsid w:val="002462C1"/>
    <w:rsid w:val="0024636C"/>
    <w:rsid w:val="0024659A"/>
    <w:rsid w:val="0024663B"/>
    <w:rsid w:val="002467D3"/>
    <w:rsid w:val="002468C4"/>
    <w:rsid w:val="00246975"/>
    <w:rsid w:val="002469B5"/>
    <w:rsid w:val="00246A35"/>
    <w:rsid w:val="00246B52"/>
    <w:rsid w:val="00246CB2"/>
    <w:rsid w:val="00246D9A"/>
    <w:rsid w:val="00246E42"/>
    <w:rsid w:val="00246F68"/>
    <w:rsid w:val="00247076"/>
    <w:rsid w:val="002470A9"/>
    <w:rsid w:val="002470D6"/>
    <w:rsid w:val="00247207"/>
    <w:rsid w:val="00247259"/>
    <w:rsid w:val="002475E5"/>
    <w:rsid w:val="002476B2"/>
    <w:rsid w:val="0024781D"/>
    <w:rsid w:val="00247925"/>
    <w:rsid w:val="00247959"/>
    <w:rsid w:val="0024795C"/>
    <w:rsid w:val="002479F1"/>
    <w:rsid w:val="00247D1F"/>
    <w:rsid w:val="002501AF"/>
    <w:rsid w:val="00250366"/>
    <w:rsid w:val="0025055D"/>
    <w:rsid w:val="00250653"/>
    <w:rsid w:val="00250915"/>
    <w:rsid w:val="00250B49"/>
    <w:rsid w:val="00250BCB"/>
    <w:rsid w:val="00250BD0"/>
    <w:rsid w:val="00250C91"/>
    <w:rsid w:val="00250DB9"/>
    <w:rsid w:val="00250E9E"/>
    <w:rsid w:val="00250F82"/>
    <w:rsid w:val="00250FA8"/>
    <w:rsid w:val="00250FD3"/>
    <w:rsid w:val="00251006"/>
    <w:rsid w:val="00251196"/>
    <w:rsid w:val="00251236"/>
    <w:rsid w:val="0025130A"/>
    <w:rsid w:val="00251322"/>
    <w:rsid w:val="00251356"/>
    <w:rsid w:val="002514C7"/>
    <w:rsid w:val="0025155F"/>
    <w:rsid w:val="002516B4"/>
    <w:rsid w:val="002517E0"/>
    <w:rsid w:val="002518A7"/>
    <w:rsid w:val="002518F5"/>
    <w:rsid w:val="00251A6E"/>
    <w:rsid w:val="00251DB0"/>
    <w:rsid w:val="00251E76"/>
    <w:rsid w:val="00251F23"/>
    <w:rsid w:val="00252119"/>
    <w:rsid w:val="00252143"/>
    <w:rsid w:val="0025221C"/>
    <w:rsid w:val="00252370"/>
    <w:rsid w:val="00252399"/>
    <w:rsid w:val="0025243F"/>
    <w:rsid w:val="002524D5"/>
    <w:rsid w:val="002524EA"/>
    <w:rsid w:val="0025279A"/>
    <w:rsid w:val="002527FD"/>
    <w:rsid w:val="00252871"/>
    <w:rsid w:val="0025289A"/>
    <w:rsid w:val="00252A73"/>
    <w:rsid w:val="00252A8F"/>
    <w:rsid w:val="00252BFF"/>
    <w:rsid w:val="00252C2B"/>
    <w:rsid w:val="0025312C"/>
    <w:rsid w:val="00253139"/>
    <w:rsid w:val="00253467"/>
    <w:rsid w:val="002534E9"/>
    <w:rsid w:val="002534F6"/>
    <w:rsid w:val="0025362D"/>
    <w:rsid w:val="00253885"/>
    <w:rsid w:val="00253A03"/>
    <w:rsid w:val="00253B1D"/>
    <w:rsid w:val="00253B40"/>
    <w:rsid w:val="00253D5D"/>
    <w:rsid w:val="00253E56"/>
    <w:rsid w:val="00253EFC"/>
    <w:rsid w:val="002540DC"/>
    <w:rsid w:val="00254242"/>
    <w:rsid w:val="0025440D"/>
    <w:rsid w:val="002545F8"/>
    <w:rsid w:val="0025483D"/>
    <w:rsid w:val="00254B04"/>
    <w:rsid w:val="00254B79"/>
    <w:rsid w:val="00254C47"/>
    <w:rsid w:val="00254DCF"/>
    <w:rsid w:val="00254F54"/>
    <w:rsid w:val="002551F0"/>
    <w:rsid w:val="0025534B"/>
    <w:rsid w:val="00255362"/>
    <w:rsid w:val="0025551A"/>
    <w:rsid w:val="00255592"/>
    <w:rsid w:val="002555BB"/>
    <w:rsid w:val="00255610"/>
    <w:rsid w:val="0025582B"/>
    <w:rsid w:val="002558A0"/>
    <w:rsid w:val="002558BC"/>
    <w:rsid w:val="00255AEC"/>
    <w:rsid w:val="00255B2B"/>
    <w:rsid w:val="00255BB7"/>
    <w:rsid w:val="00255E12"/>
    <w:rsid w:val="00255E66"/>
    <w:rsid w:val="002561E7"/>
    <w:rsid w:val="0025628B"/>
    <w:rsid w:val="002562CA"/>
    <w:rsid w:val="00256328"/>
    <w:rsid w:val="002564A5"/>
    <w:rsid w:val="002564E0"/>
    <w:rsid w:val="002565B2"/>
    <w:rsid w:val="002565BE"/>
    <w:rsid w:val="0025665C"/>
    <w:rsid w:val="00256698"/>
    <w:rsid w:val="002566BA"/>
    <w:rsid w:val="002567C4"/>
    <w:rsid w:val="002567EA"/>
    <w:rsid w:val="00256933"/>
    <w:rsid w:val="00256945"/>
    <w:rsid w:val="00256D18"/>
    <w:rsid w:val="00256DDE"/>
    <w:rsid w:val="00256E69"/>
    <w:rsid w:val="00256E84"/>
    <w:rsid w:val="00256FE5"/>
    <w:rsid w:val="002571C3"/>
    <w:rsid w:val="002573F8"/>
    <w:rsid w:val="002574D8"/>
    <w:rsid w:val="00257541"/>
    <w:rsid w:val="00257630"/>
    <w:rsid w:val="0025776D"/>
    <w:rsid w:val="00257785"/>
    <w:rsid w:val="002578C3"/>
    <w:rsid w:val="00257A37"/>
    <w:rsid w:val="00257A39"/>
    <w:rsid w:val="00257A4C"/>
    <w:rsid w:val="00257AC4"/>
    <w:rsid w:val="00257BBE"/>
    <w:rsid w:val="00257BD5"/>
    <w:rsid w:val="00257C48"/>
    <w:rsid w:val="00257D49"/>
    <w:rsid w:val="00257E96"/>
    <w:rsid w:val="00257EFB"/>
    <w:rsid w:val="00260168"/>
    <w:rsid w:val="0026018C"/>
    <w:rsid w:val="002605EA"/>
    <w:rsid w:val="00260634"/>
    <w:rsid w:val="002608CA"/>
    <w:rsid w:val="00260B20"/>
    <w:rsid w:val="00260C6F"/>
    <w:rsid w:val="00260D61"/>
    <w:rsid w:val="00260E28"/>
    <w:rsid w:val="00260F75"/>
    <w:rsid w:val="00260FBE"/>
    <w:rsid w:val="002610EA"/>
    <w:rsid w:val="002611F3"/>
    <w:rsid w:val="0026177C"/>
    <w:rsid w:val="0026185A"/>
    <w:rsid w:val="00261A1C"/>
    <w:rsid w:val="00261A79"/>
    <w:rsid w:val="00261B6F"/>
    <w:rsid w:val="00261BC3"/>
    <w:rsid w:val="00261BEE"/>
    <w:rsid w:val="00261BF4"/>
    <w:rsid w:val="00261C3A"/>
    <w:rsid w:val="00261D62"/>
    <w:rsid w:val="00261EAC"/>
    <w:rsid w:val="00261EBD"/>
    <w:rsid w:val="00261EEF"/>
    <w:rsid w:val="00261F5B"/>
    <w:rsid w:val="002620AA"/>
    <w:rsid w:val="002620F5"/>
    <w:rsid w:val="0026245E"/>
    <w:rsid w:val="00262482"/>
    <w:rsid w:val="00262518"/>
    <w:rsid w:val="00262741"/>
    <w:rsid w:val="00262848"/>
    <w:rsid w:val="00262A1A"/>
    <w:rsid w:val="00262A87"/>
    <w:rsid w:val="00262BD2"/>
    <w:rsid w:val="00262C88"/>
    <w:rsid w:val="00262D0D"/>
    <w:rsid w:val="00262E1F"/>
    <w:rsid w:val="00262E84"/>
    <w:rsid w:val="00262FCF"/>
    <w:rsid w:val="002630EC"/>
    <w:rsid w:val="00263275"/>
    <w:rsid w:val="0026329D"/>
    <w:rsid w:val="002632F8"/>
    <w:rsid w:val="00263488"/>
    <w:rsid w:val="002635C6"/>
    <w:rsid w:val="0026372E"/>
    <w:rsid w:val="002637BC"/>
    <w:rsid w:val="00263AD2"/>
    <w:rsid w:val="00263B93"/>
    <w:rsid w:val="00263DF0"/>
    <w:rsid w:val="002640C5"/>
    <w:rsid w:val="00264159"/>
    <w:rsid w:val="00264219"/>
    <w:rsid w:val="002642D3"/>
    <w:rsid w:val="0026467E"/>
    <w:rsid w:val="00264787"/>
    <w:rsid w:val="002648B4"/>
    <w:rsid w:val="00264A96"/>
    <w:rsid w:val="00264B57"/>
    <w:rsid w:val="00264B82"/>
    <w:rsid w:val="00264B8C"/>
    <w:rsid w:val="00264D26"/>
    <w:rsid w:val="00264D8D"/>
    <w:rsid w:val="00264DDE"/>
    <w:rsid w:val="00265043"/>
    <w:rsid w:val="002651E6"/>
    <w:rsid w:val="0026520A"/>
    <w:rsid w:val="00265248"/>
    <w:rsid w:val="002652C4"/>
    <w:rsid w:val="002653F7"/>
    <w:rsid w:val="00265440"/>
    <w:rsid w:val="00265547"/>
    <w:rsid w:val="00265658"/>
    <w:rsid w:val="002657B4"/>
    <w:rsid w:val="00265808"/>
    <w:rsid w:val="00265865"/>
    <w:rsid w:val="0026593B"/>
    <w:rsid w:val="002659A8"/>
    <w:rsid w:val="002659C0"/>
    <w:rsid w:val="002659D2"/>
    <w:rsid w:val="00265B58"/>
    <w:rsid w:val="00265BB2"/>
    <w:rsid w:val="00265D74"/>
    <w:rsid w:val="00265DB1"/>
    <w:rsid w:val="00265EE1"/>
    <w:rsid w:val="00265F1F"/>
    <w:rsid w:val="00265F6B"/>
    <w:rsid w:val="00265FE2"/>
    <w:rsid w:val="0026600A"/>
    <w:rsid w:val="002660A3"/>
    <w:rsid w:val="002660AF"/>
    <w:rsid w:val="002660CC"/>
    <w:rsid w:val="00266101"/>
    <w:rsid w:val="0026616E"/>
    <w:rsid w:val="0026632D"/>
    <w:rsid w:val="00266394"/>
    <w:rsid w:val="00266463"/>
    <w:rsid w:val="00266584"/>
    <w:rsid w:val="002665F4"/>
    <w:rsid w:val="002667E4"/>
    <w:rsid w:val="00266935"/>
    <w:rsid w:val="00266AC3"/>
    <w:rsid w:val="00266B5D"/>
    <w:rsid w:val="00266F20"/>
    <w:rsid w:val="00267103"/>
    <w:rsid w:val="002671EC"/>
    <w:rsid w:val="00267264"/>
    <w:rsid w:val="002672DE"/>
    <w:rsid w:val="00267344"/>
    <w:rsid w:val="0026735D"/>
    <w:rsid w:val="002675A0"/>
    <w:rsid w:val="00267642"/>
    <w:rsid w:val="00267747"/>
    <w:rsid w:val="00267753"/>
    <w:rsid w:val="00267795"/>
    <w:rsid w:val="0026780F"/>
    <w:rsid w:val="00267903"/>
    <w:rsid w:val="002679D0"/>
    <w:rsid w:val="00267A56"/>
    <w:rsid w:val="00267AA0"/>
    <w:rsid w:val="00267AEA"/>
    <w:rsid w:val="00267BA0"/>
    <w:rsid w:val="00267BEF"/>
    <w:rsid w:val="00267E9C"/>
    <w:rsid w:val="002700E6"/>
    <w:rsid w:val="0027018B"/>
    <w:rsid w:val="002701A3"/>
    <w:rsid w:val="002704D1"/>
    <w:rsid w:val="002709B4"/>
    <w:rsid w:val="002709B7"/>
    <w:rsid w:val="002709D9"/>
    <w:rsid w:val="002709FC"/>
    <w:rsid w:val="00270A64"/>
    <w:rsid w:val="00270A90"/>
    <w:rsid w:val="00270F1F"/>
    <w:rsid w:val="00271177"/>
    <w:rsid w:val="00271196"/>
    <w:rsid w:val="002712D8"/>
    <w:rsid w:val="002716A3"/>
    <w:rsid w:val="00271D4E"/>
    <w:rsid w:val="00271E00"/>
    <w:rsid w:val="00271FE1"/>
    <w:rsid w:val="0027207A"/>
    <w:rsid w:val="00272135"/>
    <w:rsid w:val="00272318"/>
    <w:rsid w:val="0027269A"/>
    <w:rsid w:val="002726FB"/>
    <w:rsid w:val="0027270B"/>
    <w:rsid w:val="0027294B"/>
    <w:rsid w:val="0027294F"/>
    <w:rsid w:val="00272BF1"/>
    <w:rsid w:val="00272CC6"/>
    <w:rsid w:val="00272D5A"/>
    <w:rsid w:val="00272D75"/>
    <w:rsid w:val="00272DFF"/>
    <w:rsid w:val="00272E25"/>
    <w:rsid w:val="00272EB7"/>
    <w:rsid w:val="002730C6"/>
    <w:rsid w:val="0027310C"/>
    <w:rsid w:val="00273128"/>
    <w:rsid w:val="00273215"/>
    <w:rsid w:val="002733B8"/>
    <w:rsid w:val="00273482"/>
    <w:rsid w:val="0027352E"/>
    <w:rsid w:val="0027357B"/>
    <w:rsid w:val="002735B0"/>
    <w:rsid w:val="00273674"/>
    <w:rsid w:val="002737E1"/>
    <w:rsid w:val="0027393E"/>
    <w:rsid w:val="00273BEC"/>
    <w:rsid w:val="00273D6B"/>
    <w:rsid w:val="00273EB4"/>
    <w:rsid w:val="00273EB7"/>
    <w:rsid w:val="00274157"/>
    <w:rsid w:val="002741B9"/>
    <w:rsid w:val="0027431F"/>
    <w:rsid w:val="0027452B"/>
    <w:rsid w:val="00274585"/>
    <w:rsid w:val="00274682"/>
    <w:rsid w:val="00274722"/>
    <w:rsid w:val="00274A06"/>
    <w:rsid w:val="00274A95"/>
    <w:rsid w:val="00274E32"/>
    <w:rsid w:val="00274ECD"/>
    <w:rsid w:val="00275158"/>
    <w:rsid w:val="00275184"/>
    <w:rsid w:val="00275228"/>
    <w:rsid w:val="00275270"/>
    <w:rsid w:val="002752F1"/>
    <w:rsid w:val="00275411"/>
    <w:rsid w:val="0027543C"/>
    <w:rsid w:val="00275453"/>
    <w:rsid w:val="002754D5"/>
    <w:rsid w:val="00275866"/>
    <w:rsid w:val="002758C2"/>
    <w:rsid w:val="002759D4"/>
    <w:rsid w:val="00275B76"/>
    <w:rsid w:val="00275C5A"/>
    <w:rsid w:val="00275DCA"/>
    <w:rsid w:val="00275E79"/>
    <w:rsid w:val="00276209"/>
    <w:rsid w:val="0027642C"/>
    <w:rsid w:val="00276433"/>
    <w:rsid w:val="002764C6"/>
    <w:rsid w:val="002766B7"/>
    <w:rsid w:val="002766BC"/>
    <w:rsid w:val="0027678B"/>
    <w:rsid w:val="002767C7"/>
    <w:rsid w:val="00276A35"/>
    <w:rsid w:val="00276A4D"/>
    <w:rsid w:val="00276B1F"/>
    <w:rsid w:val="00276B83"/>
    <w:rsid w:val="00276CFF"/>
    <w:rsid w:val="00276D6D"/>
    <w:rsid w:val="00276DC7"/>
    <w:rsid w:val="00276E29"/>
    <w:rsid w:val="00276F17"/>
    <w:rsid w:val="00276F35"/>
    <w:rsid w:val="00276F9E"/>
    <w:rsid w:val="00277066"/>
    <w:rsid w:val="0027713B"/>
    <w:rsid w:val="002774DC"/>
    <w:rsid w:val="00277544"/>
    <w:rsid w:val="0027766D"/>
    <w:rsid w:val="0027776F"/>
    <w:rsid w:val="002777F7"/>
    <w:rsid w:val="00277ABE"/>
    <w:rsid w:val="00277D6A"/>
    <w:rsid w:val="00277D89"/>
    <w:rsid w:val="00277E6C"/>
    <w:rsid w:val="00277EB3"/>
    <w:rsid w:val="00280312"/>
    <w:rsid w:val="00280574"/>
    <w:rsid w:val="002806DA"/>
    <w:rsid w:val="00280894"/>
    <w:rsid w:val="00280ADF"/>
    <w:rsid w:val="00280C27"/>
    <w:rsid w:val="00280F2A"/>
    <w:rsid w:val="00281014"/>
    <w:rsid w:val="0028104F"/>
    <w:rsid w:val="00281255"/>
    <w:rsid w:val="002812A5"/>
    <w:rsid w:val="0028131F"/>
    <w:rsid w:val="002814A9"/>
    <w:rsid w:val="002815DF"/>
    <w:rsid w:val="00281643"/>
    <w:rsid w:val="00281648"/>
    <w:rsid w:val="002817DA"/>
    <w:rsid w:val="00281915"/>
    <w:rsid w:val="002819D2"/>
    <w:rsid w:val="00281A80"/>
    <w:rsid w:val="00281B2A"/>
    <w:rsid w:val="00281C7B"/>
    <w:rsid w:val="00281DD3"/>
    <w:rsid w:val="00282042"/>
    <w:rsid w:val="00282145"/>
    <w:rsid w:val="0028214A"/>
    <w:rsid w:val="00282199"/>
    <w:rsid w:val="002822FF"/>
    <w:rsid w:val="0028250B"/>
    <w:rsid w:val="00282582"/>
    <w:rsid w:val="00282595"/>
    <w:rsid w:val="00282726"/>
    <w:rsid w:val="00282858"/>
    <w:rsid w:val="0028298F"/>
    <w:rsid w:val="002829D6"/>
    <w:rsid w:val="00282B54"/>
    <w:rsid w:val="00282DEC"/>
    <w:rsid w:val="00282ED8"/>
    <w:rsid w:val="00282FBC"/>
    <w:rsid w:val="0028310D"/>
    <w:rsid w:val="00283121"/>
    <w:rsid w:val="00283289"/>
    <w:rsid w:val="002836CD"/>
    <w:rsid w:val="002836EF"/>
    <w:rsid w:val="002837DA"/>
    <w:rsid w:val="0028384B"/>
    <w:rsid w:val="002838FA"/>
    <w:rsid w:val="0028391B"/>
    <w:rsid w:val="00283B8E"/>
    <w:rsid w:val="00283BDA"/>
    <w:rsid w:val="00283C5E"/>
    <w:rsid w:val="00283C66"/>
    <w:rsid w:val="00283CF5"/>
    <w:rsid w:val="00283DD5"/>
    <w:rsid w:val="0028408D"/>
    <w:rsid w:val="002840FB"/>
    <w:rsid w:val="002841D4"/>
    <w:rsid w:val="0028422C"/>
    <w:rsid w:val="00284358"/>
    <w:rsid w:val="002843F8"/>
    <w:rsid w:val="0028442E"/>
    <w:rsid w:val="00284677"/>
    <w:rsid w:val="00284799"/>
    <w:rsid w:val="0028489B"/>
    <w:rsid w:val="002849D5"/>
    <w:rsid w:val="00284A2C"/>
    <w:rsid w:val="00284B81"/>
    <w:rsid w:val="00284F60"/>
    <w:rsid w:val="00285233"/>
    <w:rsid w:val="00285567"/>
    <w:rsid w:val="00285626"/>
    <w:rsid w:val="00285645"/>
    <w:rsid w:val="002856AB"/>
    <w:rsid w:val="002859E6"/>
    <w:rsid w:val="00285A78"/>
    <w:rsid w:val="00285B46"/>
    <w:rsid w:val="00285BCE"/>
    <w:rsid w:val="00285ECC"/>
    <w:rsid w:val="00285F28"/>
    <w:rsid w:val="00285FB7"/>
    <w:rsid w:val="002861DF"/>
    <w:rsid w:val="00286464"/>
    <w:rsid w:val="002864B2"/>
    <w:rsid w:val="0028659D"/>
    <w:rsid w:val="00286647"/>
    <w:rsid w:val="0028665D"/>
    <w:rsid w:val="002866A7"/>
    <w:rsid w:val="002867F8"/>
    <w:rsid w:val="0028688F"/>
    <w:rsid w:val="00286A6F"/>
    <w:rsid w:val="00286B84"/>
    <w:rsid w:val="00286DD9"/>
    <w:rsid w:val="00286EB8"/>
    <w:rsid w:val="00287000"/>
    <w:rsid w:val="002873D9"/>
    <w:rsid w:val="0028750A"/>
    <w:rsid w:val="00287858"/>
    <w:rsid w:val="00287D24"/>
    <w:rsid w:val="00287DEE"/>
    <w:rsid w:val="00287DF9"/>
    <w:rsid w:val="00287E78"/>
    <w:rsid w:val="00287E7F"/>
    <w:rsid w:val="00287F25"/>
    <w:rsid w:val="00287F90"/>
    <w:rsid w:val="00287FDA"/>
    <w:rsid w:val="00290320"/>
    <w:rsid w:val="00290445"/>
    <w:rsid w:val="002904DE"/>
    <w:rsid w:val="0029050A"/>
    <w:rsid w:val="002905FA"/>
    <w:rsid w:val="002907A5"/>
    <w:rsid w:val="00290881"/>
    <w:rsid w:val="00290969"/>
    <w:rsid w:val="00290AA0"/>
    <w:rsid w:val="00290B5F"/>
    <w:rsid w:val="00290BA4"/>
    <w:rsid w:val="00290DD7"/>
    <w:rsid w:val="00290E94"/>
    <w:rsid w:val="00291277"/>
    <w:rsid w:val="002912F7"/>
    <w:rsid w:val="0029132F"/>
    <w:rsid w:val="00291355"/>
    <w:rsid w:val="0029140E"/>
    <w:rsid w:val="002914C0"/>
    <w:rsid w:val="002915EF"/>
    <w:rsid w:val="0029181C"/>
    <w:rsid w:val="002919D0"/>
    <w:rsid w:val="00291A7F"/>
    <w:rsid w:val="00291B57"/>
    <w:rsid w:val="00291BD4"/>
    <w:rsid w:val="00292026"/>
    <w:rsid w:val="0029215D"/>
    <w:rsid w:val="00292260"/>
    <w:rsid w:val="00292268"/>
    <w:rsid w:val="00292298"/>
    <w:rsid w:val="002923B2"/>
    <w:rsid w:val="00292463"/>
    <w:rsid w:val="002924F9"/>
    <w:rsid w:val="0029252E"/>
    <w:rsid w:val="00292691"/>
    <w:rsid w:val="002926E5"/>
    <w:rsid w:val="002926EA"/>
    <w:rsid w:val="00292B0A"/>
    <w:rsid w:val="00292C04"/>
    <w:rsid w:val="00292C80"/>
    <w:rsid w:val="00292CC3"/>
    <w:rsid w:val="00292F18"/>
    <w:rsid w:val="00292FA7"/>
    <w:rsid w:val="0029302F"/>
    <w:rsid w:val="00293095"/>
    <w:rsid w:val="00293129"/>
    <w:rsid w:val="00293139"/>
    <w:rsid w:val="002932C4"/>
    <w:rsid w:val="0029336B"/>
    <w:rsid w:val="00293595"/>
    <w:rsid w:val="002936D5"/>
    <w:rsid w:val="002936F0"/>
    <w:rsid w:val="0029374A"/>
    <w:rsid w:val="002939A8"/>
    <w:rsid w:val="00293BEC"/>
    <w:rsid w:val="00293C19"/>
    <w:rsid w:val="00293CDF"/>
    <w:rsid w:val="00293E67"/>
    <w:rsid w:val="00293EEC"/>
    <w:rsid w:val="00293F67"/>
    <w:rsid w:val="00293F80"/>
    <w:rsid w:val="00293F9C"/>
    <w:rsid w:val="00294025"/>
    <w:rsid w:val="0029408E"/>
    <w:rsid w:val="002940ED"/>
    <w:rsid w:val="002943A8"/>
    <w:rsid w:val="0029444E"/>
    <w:rsid w:val="00294653"/>
    <w:rsid w:val="00294916"/>
    <w:rsid w:val="00294964"/>
    <w:rsid w:val="00294B44"/>
    <w:rsid w:val="00294D0B"/>
    <w:rsid w:val="00294DB0"/>
    <w:rsid w:val="00294E12"/>
    <w:rsid w:val="00294E24"/>
    <w:rsid w:val="00294FDC"/>
    <w:rsid w:val="00295196"/>
    <w:rsid w:val="0029520E"/>
    <w:rsid w:val="002952E7"/>
    <w:rsid w:val="002953F1"/>
    <w:rsid w:val="0029549B"/>
    <w:rsid w:val="002954C4"/>
    <w:rsid w:val="00295567"/>
    <w:rsid w:val="0029582F"/>
    <w:rsid w:val="002959B4"/>
    <w:rsid w:val="00295A44"/>
    <w:rsid w:val="00295A82"/>
    <w:rsid w:val="00295AEF"/>
    <w:rsid w:val="00295B85"/>
    <w:rsid w:val="00295BE1"/>
    <w:rsid w:val="00295C65"/>
    <w:rsid w:val="00295C90"/>
    <w:rsid w:val="00295C94"/>
    <w:rsid w:val="00295DB6"/>
    <w:rsid w:val="00295DC5"/>
    <w:rsid w:val="00295E56"/>
    <w:rsid w:val="00295F4E"/>
    <w:rsid w:val="0029615E"/>
    <w:rsid w:val="0029620A"/>
    <w:rsid w:val="002962E6"/>
    <w:rsid w:val="00296688"/>
    <w:rsid w:val="002966CF"/>
    <w:rsid w:val="0029678C"/>
    <w:rsid w:val="00296871"/>
    <w:rsid w:val="00296A80"/>
    <w:rsid w:val="00296BC5"/>
    <w:rsid w:val="002972CB"/>
    <w:rsid w:val="00297444"/>
    <w:rsid w:val="00297496"/>
    <w:rsid w:val="002974B9"/>
    <w:rsid w:val="0029754D"/>
    <w:rsid w:val="002976D0"/>
    <w:rsid w:val="00297892"/>
    <w:rsid w:val="002978FE"/>
    <w:rsid w:val="00297A1E"/>
    <w:rsid w:val="00297BE8"/>
    <w:rsid w:val="00297C3D"/>
    <w:rsid w:val="00297E7A"/>
    <w:rsid w:val="002A0095"/>
    <w:rsid w:val="002A03E2"/>
    <w:rsid w:val="002A0451"/>
    <w:rsid w:val="002A04AA"/>
    <w:rsid w:val="002A04C1"/>
    <w:rsid w:val="002A0580"/>
    <w:rsid w:val="002A05CE"/>
    <w:rsid w:val="002A0881"/>
    <w:rsid w:val="002A0A5D"/>
    <w:rsid w:val="002A0CCC"/>
    <w:rsid w:val="002A0E91"/>
    <w:rsid w:val="002A113A"/>
    <w:rsid w:val="002A115D"/>
    <w:rsid w:val="002A123D"/>
    <w:rsid w:val="002A12E5"/>
    <w:rsid w:val="002A134E"/>
    <w:rsid w:val="002A14AB"/>
    <w:rsid w:val="002A1590"/>
    <w:rsid w:val="002A1826"/>
    <w:rsid w:val="002A1ABF"/>
    <w:rsid w:val="002A1C3F"/>
    <w:rsid w:val="002A1C6A"/>
    <w:rsid w:val="002A1CEE"/>
    <w:rsid w:val="002A1D6F"/>
    <w:rsid w:val="002A1DC1"/>
    <w:rsid w:val="002A2021"/>
    <w:rsid w:val="002A215F"/>
    <w:rsid w:val="002A216D"/>
    <w:rsid w:val="002A230D"/>
    <w:rsid w:val="002A238E"/>
    <w:rsid w:val="002A23B8"/>
    <w:rsid w:val="002A257C"/>
    <w:rsid w:val="002A2667"/>
    <w:rsid w:val="002A29C3"/>
    <w:rsid w:val="002A29D8"/>
    <w:rsid w:val="002A2ADE"/>
    <w:rsid w:val="002A2C73"/>
    <w:rsid w:val="002A2E39"/>
    <w:rsid w:val="002A2EFF"/>
    <w:rsid w:val="002A2F50"/>
    <w:rsid w:val="002A302E"/>
    <w:rsid w:val="002A3133"/>
    <w:rsid w:val="002A333D"/>
    <w:rsid w:val="002A333F"/>
    <w:rsid w:val="002A361D"/>
    <w:rsid w:val="002A3821"/>
    <w:rsid w:val="002A38E2"/>
    <w:rsid w:val="002A3C4B"/>
    <w:rsid w:val="002A3C56"/>
    <w:rsid w:val="002A3CF2"/>
    <w:rsid w:val="002A3D10"/>
    <w:rsid w:val="002A3E25"/>
    <w:rsid w:val="002A409C"/>
    <w:rsid w:val="002A43C1"/>
    <w:rsid w:val="002A444F"/>
    <w:rsid w:val="002A4533"/>
    <w:rsid w:val="002A4656"/>
    <w:rsid w:val="002A48B7"/>
    <w:rsid w:val="002A49C1"/>
    <w:rsid w:val="002A4BD8"/>
    <w:rsid w:val="002A4C04"/>
    <w:rsid w:val="002A4CBE"/>
    <w:rsid w:val="002A4E3D"/>
    <w:rsid w:val="002A511F"/>
    <w:rsid w:val="002A5262"/>
    <w:rsid w:val="002A52EE"/>
    <w:rsid w:val="002A552E"/>
    <w:rsid w:val="002A55FE"/>
    <w:rsid w:val="002A56A3"/>
    <w:rsid w:val="002A5708"/>
    <w:rsid w:val="002A59B6"/>
    <w:rsid w:val="002A5B44"/>
    <w:rsid w:val="002A5C3C"/>
    <w:rsid w:val="002A5C57"/>
    <w:rsid w:val="002A5D61"/>
    <w:rsid w:val="002A5D79"/>
    <w:rsid w:val="002A600C"/>
    <w:rsid w:val="002A611E"/>
    <w:rsid w:val="002A625E"/>
    <w:rsid w:val="002A64FA"/>
    <w:rsid w:val="002A6600"/>
    <w:rsid w:val="002A665C"/>
    <w:rsid w:val="002A66FC"/>
    <w:rsid w:val="002A6A7A"/>
    <w:rsid w:val="002A6AC6"/>
    <w:rsid w:val="002A6B49"/>
    <w:rsid w:val="002A6D7F"/>
    <w:rsid w:val="002A6F3E"/>
    <w:rsid w:val="002A7057"/>
    <w:rsid w:val="002A70F4"/>
    <w:rsid w:val="002A725F"/>
    <w:rsid w:val="002A7311"/>
    <w:rsid w:val="002A7366"/>
    <w:rsid w:val="002A7379"/>
    <w:rsid w:val="002A7385"/>
    <w:rsid w:val="002A73EF"/>
    <w:rsid w:val="002A74DC"/>
    <w:rsid w:val="002A76E1"/>
    <w:rsid w:val="002A76F4"/>
    <w:rsid w:val="002A77AC"/>
    <w:rsid w:val="002A7910"/>
    <w:rsid w:val="002A7943"/>
    <w:rsid w:val="002A79BE"/>
    <w:rsid w:val="002A7C88"/>
    <w:rsid w:val="002B01FD"/>
    <w:rsid w:val="002B024B"/>
    <w:rsid w:val="002B05A1"/>
    <w:rsid w:val="002B0658"/>
    <w:rsid w:val="002B069A"/>
    <w:rsid w:val="002B07A7"/>
    <w:rsid w:val="002B0849"/>
    <w:rsid w:val="002B0968"/>
    <w:rsid w:val="002B09A4"/>
    <w:rsid w:val="002B0A55"/>
    <w:rsid w:val="002B0A75"/>
    <w:rsid w:val="002B0A84"/>
    <w:rsid w:val="002B0AF4"/>
    <w:rsid w:val="002B0C0F"/>
    <w:rsid w:val="002B0C73"/>
    <w:rsid w:val="002B0D16"/>
    <w:rsid w:val="002B0D26"/>
    <w:rsid w:val="002B0D32"/>
    <w:rsid w:val="002B0D53"/>
    <w:rsid w:val="002B0D8F"/>
    <w:rsid w:val="002B0EE6"/>
    <w:rsid w:val="002B0EEE"/>
    <w:rsid w:val="002B13BA"/>
    <w:rsid w:val="002B15BA"/>
    <w:rsid w:val="002B163D"/>
    <w:rsid w:val="002B195C"/>
    <w:rsid w:val="002B1B21"/>
    <w:rsid w:val="002B1C1F"/>
    <w:rsid w:val="002B1CDD"/>
    <w:rsid w:val="002B1CE5"/>
    <w:rsid w:val="002B1F6E"/>
    <w:rsid w:val="002B21AD"/>
    <w:rsid w:val="002B21C0"/>
    <w:rsid w:val="002B2414"/>
    <w:rsid w:val="002B2426"/>
    <w:rsid w:val="002B2630"/>
    <w:rsid w:val="002B2775"/>
    <w:rsid w:val="002B27D8"/>
    <w:rsid w:val="002B2BEF"/>
    <w:rsid w:val="002B2D31"/>
    <w:rsid w:val="002B2DC2"/>
    <w:rsid w:val="002B2EB3"/>
    <w:rsid w:val="002B2FDB"/>
    <w:rsid w:val="002B302C"/>
    <w:rsid w:val="002B3102"/>
    <w:rsid w:val="002B3168"/>
    <w:rsid w:val="002B3304"/>
    <w:rsid w:val="002B3364"/>
    <w:rsid w:val="002B341B"/>
    <w:rsid w:val="002B35BE"/>
    <w:rsid w:val="002B35CC"/>
    <w:rsid w:val="002B3863"/>
    <w:rsid w:val="002B386E"/>
    <w:rsid w:val="002B38D2"/>
    <w:rsid w:val="002B38F1"/>
    <w:rsid w:val="002B39A0"/>
    <w:rsid w:val="002B3ABF"/>
    <w:rsid w:val="002B3B33"/>
    <w:rsid w:val="002B3EF6"/>
    <w:rsid w:val="002B3F4D"/>
    <w:rsid w:val="002B400B"/>
    <w:rsid w:val="002B40B4"/>
    <w:rsid w:val="002B40D2"/>
    <w:rsid w:val="002B4200"/>
    <w:rsid w:val="002B422F"/>
    <w:rsid w:val="002B424F"/>
    <w:rsid w:val="002B432F"/>
    <w:rsid w:val="002B4512"/>
    <w:rsid w:val="002B4588"/>
    <w:rsid w:val="002B47F3"/>
    <w:rsid w:val="002B4844"/>
    <w:rsid w:val="002B4882"/>
    <w:rsid w:val="002B4A27"/>
    <w:rsid w:val="002B4A74"/>
    <w:rsid w:val="002B4A79"/>
    <w:rsid w:val="002B4ACE"/>
    <w:rsid w:val="002B4D29"/>
    <w:rsid w:val="002B4DF3"/>
    <w:rsid w:val="002B4FAE"/>
    <w:rsid w:val="002B4FB7"/>
    <w:rsid w:val="002B5151"/>
    <w:rsid w:val="002B541D"/>
    <w:rsid w:val="002B562E"/>
    <w:rsid w:val="002B5670"/>
    <w:rsid w:val="002B5D12"/>
    <w:rsid w:val="002B5EAF"/>
    <w:rsid w:val="002B5EB0"/>
    <w:rsid w:val="002B5ED4"/>
    <w:rsid w:val="002B5F88"/>
    <w:rsid w:val="002B5FDF"/>
    <w:rsid w:val="002B600B"/>
    <w:rsid w:val="002B603E"/>
    <w:rsid w:val="002B60BB"/>
    <w:rsid w:val="002B62B3"/>
    <w:rsid w:val="002B6500"/>
    <w:rsid w:val="002B6545"/>
    <w:rsid w:val="002B6672"/>
    <w:rsid w:val="002B6705"/>
    <w:rsid w:val="002B6754"/>
    <w:rsid w:val="002B69D0"/>
    <w:rsid w:val="002B6ADB"/>
    <w:rsid w:val="002B6B48"/>
    <w:rsid w:val="002B6B84"/>
    <w:rsid w:val="002B6BCC"/>
    <w:rsid w:val="002B6C3B"/>
    <w:rsid w:val="002B6CCE"/>
    <w:rsid w:val="002B6E60"/>
    <w:rsid w:val="002B6F54"/>
    <w:rsid w:val="002B70E7"/>
    <w:rsid w:val="002B71CB"/>
    <w:rsid w:val="002B74A7"/>
    <w:rsid w:val="002B7664"/>
    <w:rsid w:val="002B7717"/>
    <w:rsid w:val="002B77E4"/>
    <w:rsid w:val="002B78AE"/>
    <w:rsid w:val="002B78FD"/>
    <w:rsid w:val="002B7B1D"/>
    <w:rsid w:val="002B7BA4"/>
    <w:rsid w:val="002B7CB1"/>
    <w:rsid w:val="002B7E4D"/>
    <w:rsid w:val="002B7F10"/>
    <w:rsid w:val="002B7F93"/>
    <w:rsid w:val="002C006B"/>
    <w:rsid w:val="002C01F4"/>
    <w:rsid w:val="002C027B"/>
    <w:rsid w:val="002C043E"/>
    <w:rsid w:val="002C044E"/>
    <w:rsid w:val="002C077C"/>
    <w:rsid w:val="002C0866"/>
    <w:rsid w:val="002C08C1"/>
    <w:rsid w:val="002C08FD"/>
    <w:rsid w:val="002C098F"/>
    <w:rsid w:val="002C09F5"/>
    <w:rsid w:val="002C0B32"/>
    <w:rsid w:val="002C0B4E"/>
    <w:rsid w:val="002C0BDD"/>
    <w:rsid w:val="002C0E14"/>
    <w:rsid w:val="002C0E55"/>
    <w:rsid w:val="002C1099"/>
    <w:rsid w:val="002C10C3"/>
    <w:rsid w:val="002C1120"/>
    <w:rsid w:val="002C127E"/>
    <w:rsid w:val="002C150C"/>
    <w:rsid w:val="002C15C9"/>
    <w:rsid w:val="002C1912"/>
    <w:rsid w:val="002C199C"/>
    <w:rsid w:val="002C1A26"/>
    <w:rsid w:val="002C1A88"/>
    <w:rsid w:val="002C1CDD"/>
    <w:rsid w:val="002C1D4E"/>
    <w:rsid w:val="002C1F5E"/>
    <w:rsid w:val="002C1F8F"/>
    <w:rsid w:val="002C1FD8"/>
    <w:rsid w:val="002C2137"/>
    <w:rsid w:val="002C2322"/>
    <w:rsid w:val="002C23C2"/>
    <w:rsid w:val="002C244E"/>
    <w:rsid w:val="002C24D9"/>
    <w:rsid w:val="002C2510"/>
    <w:rsid w:val="002C2775"/>
    <w:rsid w:val="002C27C1"/>
    <w:rsid w:val="002C281C"/>
    <w:rsid w:val="002C29B3"/>
    <w:rsid w:val="002C2A48"/>
    <w:rsid w:val="002C2CED"/>
    <w:rsid w:val="002C2E2C"/>
    <w:rsid w:val="002C2E58"/>
    <w:rsid w:val="002C2E6B"/>
    <w:rsid w:val="002C2EE4"/>
    <w:rsid w:val="002C2F0A"/>
    <w:rsid w:val="002C2FD6"/>
    <w:rsid w:val="002C329B"/>
    <w:rsid w:val="002C3572"/>
    <w:rsid w:val="002C36E3"/>
    <w:rsid w:val="002C391B"/>
    <w:rsid w:val="002C39C1"/>
    <w:rsid w:val="002C39DD"/>
    <w:rsid w:val="002C3BCD"/>
    <w:rsid w:val="002C43D5"/>
    <w:rsid w:val="002C4613"/>
    <w:rsid w:val="002C4938"/>
    <w:rsid w:val="002C4A9E"/>
    <w:rsid w:val="002C4EAF"/>
    <w:rsid w:val="002C5099"/>
    <w:rsid w:val="002C50A2"/>
    <w:rsid w:val="002C5154"/>
    <w:rsid w:val="002C517B"/>
    <w:rsid w:val="002C52E9"/>
    <w:rsid w:val="002C5376"/>
    <w:rsid w:val="002C54E2"/>
    <w:rsid w:val="002C576A"/>
    <w:rsid w:val="002C57DB"/>
    <w:rsid w:val="002C5889"/>
    <w:rsid w:val="002C595F"/>
    <w:rsid w:val="002C5BEC"/>
    <w:rsid w:val="002C5D98"/>
    <w:rsid w:val="002C5DCA"/>
    <w:rsid w:val="002C5FE6"/>
    <w:rsid w:val="002C6044"/>
    <w:rsid w:val="002C6072"/>
    <w:rsid w:val="002C607E"/>
    <w:rsid w:val="002C6135"/>
    <w:rsid w:val="002C6179"/>
    <w:rsid w:val="002C61D9"/>
    <w:rsid w:val="002C622F"/>
    <w:rsid w:val="002C63DC"/>
    <w:rsid w:val="002C6534"/>
    <w:rsid w:val="002C667A"/>
    <w:rsid w:val="002C6AB7"/>
    <w:rsid w:val="002C6AD5"/>
    <w:rsid w:val="002C6AED"/>
    <w:rsid w:val="002C6C0B"/>
    <w:rsid w:val="002C6CD1"/>
    <w:rsid w:val="002C6CDB"/>
    <w:rsid w:val="002C6D5D"/>
    <w:rsid w:val="002C6E6C"/>
    <w:rsid w:val="002C6F09"/>
    <w:rsid w:val="002C7040"/>
    <w:rsid w:val="002C716D"/>
    <w:rsid w:val="002C71CE"/>
    <w:rsid w:val="002C728C"/>
    <w:rsid w:val="002C72A7"/>
    <w:rsid w:val="002C7410"/>
    <w:rsid w:val="002C7566"/>
    <w:rsid w:val="002C76FF"/>
    <w:rsid w:val="002C7767"/>
    <w:rsid w:val="002C78E1"/>
    <w:rsid w:val="002C796A"/>
    <w:rsid w:val="002C79C7"/>
    <w:rsid w:val="002C7AC9"/>
    <w:rsid w:val="002C7AE5"/>
    <w:rsid w:val="002C7CF1"/>
    <w:rsid w:val="002D00B6"/>
    <w:rsid w:val="002D01E8"/>
    <w:rsid w:val="002D0427"/>
    <w:rsid w:val="002D042F"/>
    <w:rsid w:val="002D0543"/>
    <w:rsid w:val="002D06A3"/>
    <w:rsid w:val="002D0742"/>
    <w:rsid w:val="002D0861"/>
    <w:rsid w:val="002D08F8"/>
    <w:rsid w:val="002D0948"/>
    <w:rsid w:val="002D0964"/>
    <w:rsid w:val="002D0B47"/>
    <w:rsid w:val="002D0C99"/>
    <w:rsid w:val="002D0D3E"/>
    <w:rsid w:val="002D0E1C"/>
    <w:rsid w:val="002D0E82"/>
    <w:rsid w:val="002D0EE0"/>
    <w:rsid w:val="002D0EEC"/>
    <w:rsid w:val="002D1160"/>
    <w:rsid w:val="002D123A"/>
    <w:rsid w:val="002D1358"/>
    <w:rsid w:val="002D1458"/>
    <w:rsid w:val="002D155D"/>
    <w:rsid w:val="002D1A68"/>
    <w:rsid w:val="002D1A9C"/>
    <w:rsid w:val="002D1E4C"/>
    <w:rsid w:val="002D1EFA"/>
    <w:rsid w:val="002D2004"/>
    <w:rsid w:val="002D20A2"/>
    <w:rsid w:val="002D20A4"/>
    <w:rsid w:val="002D21A3"/>
    <w:rsid w:val="002D2250"/>
    <w:rsid w:val="002D22CD"/>
    <w:rsid w:val="002D23B4"/>
    <w:rsid w:val="002D23EF"/>
    <w:rsid w:val="002D2544"/>
    <w:rsid w:val="002D25EE"/>
    <w:rsid w:val="002D2630"/>
    <w:rsid w:val="002D26E5"/>
    <w:rsid w:val="002D2767"/>
    <w:rsid w:val="002D27A2"/>
    <w:rsid w:val="002D285C"/>
    <w:rsid w:val="002D28FA"/>
    <w:rsid w:val="002D2A64"/>
    <w:rsid w:val="002D2C20"/>
    <w:rsid w:val="002D2C8B"/>
    <w:rsid w:val="002D2F96"/>
    <w:rsid w:val="002D3067"/>
    <w:rsid w:val="002D3069"/>
    <w:rsid w:val="002D321F"/>
    <w:rsid w:val="002D3316"/>
    <w:rsid w:val="002D352E"/>
    <w:rsid w:val="002D36F3"/>
    <w:rsid w:val="002D3751"/>
    <w:rsid w:val="002D394A"/>
    <w:rsid w:val="002D3BA0"/>
    <w:rsid w:val="002D3DD7"/>
    <w:rsid w:val="002D3E1D"/>
    <w:rsid w:val="002D3ECF"/>
    <w:rsid w:val="002D3F29"/>
    <w:rsid w:val="002D40A9"/>
    <w:rsid w:val="002D4125"/>
    <w:rsid w:val="002D4269"/>
    <w:rsid w:val="002D4367"/>
    <w:rsid w:val="002D4450"/>
    <w:rsid w:val="002D44D9"/>
    <w:rsid w:val="002D45BB"/>
    <w:rsid w:val="002D4606"/>
    <w:rsid w:val="002D46C8"/>
    <w:rsid w:val="002D4911"/>
    <w:rsid w:val="002D491D"/>
    <w:rsid w:val="002D49ED"/>
    <w:rsid w:val="002D4A34"/>
    <w:rsid w:val="002D4BBB"/>
    <w:rsid w:val="002D4CEB"/>
    <w:rsid w:val="002D4CF7"/>
    <w:rsid w:val="002D4E64"/>
    <w:rsid w:val="002D4EA1"/>
    <w:rsid w:val="002D5314"/>
    <w:rsid w:val="002D53D8"/>
    <w:rsid w:val="002D5512"/>
    <w:rsid w:val="002D553A"/>
    <w:rsid w:val="002D559D"/>
    <w:rsid w:val="002D577C"/>
    <w:rsid w:val="002D579D"/>
    <w:rsid w:val="002D586B"/>
    <w:rsid w:val="002D58FA"/>
    <w:rsid w:val="002D597F"/>
    <w:rsid w:val="002D59CB"/>
    <w:rsid w:val="002D5D1B"/>
    <w:rsid w:val="002D5D5E"/>
    <w:rsid w:val="002D5DED"/>
    <w:rsid w:val="002D5EC5"/>
    <w:rsid w:val="002D5F09"/>
    <w:rsid w:val="002D5F4D"/>
    <w:rsid w:val="002D5FAC"/>
    <w:rsid w:val="002D6183"/>
    <w:rsid w:val="002D62D7"/>
    <w:rsid w:val="002D6340"/>
    <w:rsid w:val="002D6403"/>
    <w:rsid w:val="002D65C8"/>
    <w:rsid w:val="002D6679"/>
    <w:rsid w:val="002D67DE"/>
    <w:rsid w:val="002D6AFD"/>
    <w:rsid w:val="002D6C8D"/>
    <w:rsid w:val="002D6C9F"/>
    <w:rsid w:val="002D6CBF"/>
    <w:rsid w:val="002D6CD1"/>
    <w:rsid w:val="002D6DF5"/>
    <w:rsid w:val="002D6E3F"/>
    <w:rsid w:val="002D6FD4"/>
    <w:rsid w:val="002D701D"/>
    <w:rsid w:val="002D70E1"/>
    <w:rsid w:val="002D73F3"/>
    <w:rsid w:val="002D7406"/>
    <w:rsid w:val="002D7608"/>
    <w:rsid w:val="002D76FC"/>
    <w:rsid w:val="002D7717"/>
    <w:rsid w:val="002D7743"/>
    <w:rsid w:val="002D7832"/>
    <w:rsid w:val="002D7858"/>
    <w:rsid w:val="002D78B4"/>
    <w:rsid w:val="002D79D3"/>
    <w:rsid w:val="002D7BC3"/>
    <w:rsid w:val="002D7BD3"/>
    <w:rsid w:val="002D7C25"/>
    <w:rsid w:val="002D7E75"/>
    <w:rsid w:val="002D7FA2"/>
    <w:rsid w:val="002E01F0"/>
    <w:rsid w:val="002E03AA"/>
    <w:rsid w:val="002E0691"/>
    <w:rsid w:val="002E07CB"/>
    <w:rsid w:val="002E0856"/>
    <w:rsid w:val="002E09BD"/>
    <w:rsid w:val="002E0A77"/>
    <w:rsid w:val="002E0A97"/>
    <w:rsid w:val="002E0AC0"/>
    <w:rsid w:val="002E0BC8"/>
    <w:rsid w:val="002E0CB3"/>
    <w:rsid w:val="002E0D8E"/>
    <w:rsid w:val="002E0E90"/>
    <w:rsid w:val="002E1071"/>
    <w:rsid w:val="002E1101"/>
    <w:rsid w:val="002E117D"/>
    <w:rsid w:val="002E12AE"/>
    <w:rsid w:val="002E1354"/>
    <w:rsid w:val="002E139E"/>
    <w:rsid w:val="002E13EC"/>
    <w:rsid w:val="002E143E"/>
    <w:rsid w:val="002E1511"/>
    <w:rsid w:val="002E1589"/>
    <w:rsid w:val="002E158C"/>
    <w:rsid w:val="002E15B9"/>
    <w:rsid w:val="002E16F8"/>
    <w:rsid w:val="002E172A"/>
    <w:rsid w:val="002E175E"/>
    <w:rsid w:val="002E181B"/>
    <w:rsid w:val="002E1907"/>
    <w:rsid w:val="002E190B"/>
    <w:rsid w:val="002E193D"/>
    <w:rsid w:val="002E1B4D"/>
    <w:rsid w:val="002E1C0D"/>
    <w:rsid w:val="002E1D4A"/>
    <w:rsid w:val="002E1F6C"/>
    <w:rsid w:val="002E1FE6"/>
    <w:rsid w:val="002E2158"/>
    <w:rsid w:val="002E21B7"/>
    <w:rsid w:val="002E21F2"/>
    <w:rsid w:val="002E2391"/>
    <w:rsid w:val="002E23BB"/>
    <w:rsid w:val="002E23DB"/>
    <w:rsid w:val="002E2443"/>
    <w:rsid w:val="002E24BB"/>
    <w:rsid w:val="002E25AE"/>
    <w:rsid w:val="002E2622"/>
    <w:rsid w:val="002E2678"/>
    <w:rsid w:val="002E2968"/>
    <w:rsid w:val="002E29C7"/>
    <w:rsid w:val="002E2A97"/>
    <w:rsid w:val="002E2C8C"/>
    <w:rsid w:val="002E2F41"/>
    <w:rsid w:val="002E2F4D"/>
    <w:rsid w:val="002E3024"/>
    <w:rsid w:val="002E30EE"/>
    <w:rsid w:val="002E316A"/>
    <w:rsid w:val="002E37A9"/>
    <w:rsid w:val="002E3C75"/>
    <w:rsid w:val="002E3DB7"/>
    <w:rsid w:val="002E3E25"/>
    <w:rsid w:val="002E4031"/>
    <w:rsid w:val="002E4386"/>
    <w:rsid w:val="002E44E9"/>
    <w:rsid w:val="002E4511"/>
    <w:rsid w:val="002E4796"/>
    <w:rsid w:val="002E4871"/>
    <w:rsid w:val="002E48AE"/>
    <w:rsid w:val="002E4A77"/>
    <w:rsid w:val="002E4B07"/>
    <w:rsid w:val="002E4B28"/>
    <w:rsid w:val="002E4C9B"/>
    <w:rsid w:val="002E4F02"/>
    <w:rsid w:val="002E4F97"/>
    <w:rsid w:val="002E5045"/>
    <w:rsid w:val="002E508B"/>
    <w:rsid w:val="002E5145"/>
    <w:rsid w:val="002E5280"/>
    <w:rsid w:val="002E52CA"/>
    <w:rsid w:val="002E530C"/>
    <w:rsid w:val="002E53CD"/>
    <w:rsid w:val="002E5411"/>
    <w:rsid w:val="002E5538"/>
    <w:rsid w:val="002E559D"/>
    <w:rsid w:val="002E584B"/>
    <w:rsid w:val="002E587F"/>
    <w:rsid w:val="002E5A56"/>
    <w:rsid w:val="002E5BE6"/>
    <w:rsid w:val="002E5D36"/>
    <w:rsid w:val="002E5D5E"/>
    <w:rsid w:val="002E5E2C"/>
    <w:rsid w:val="002E60B7"/>
    <w:rsid w:val="002E61A5"/>
    <w:rsid w:val="002E61CE"/>
    <w:rsid w:val="002E6318"/>
    <w:rsid w:val="002E63F8"/>
    <w:rsid w:val="002E6451"/>
    <w:rsid w:val="002E64C6"/>
    <w:rsid w:val="002E6636"/>
    <w:rsid w:val="002E679E"/>
    <w:rsid w:val="002E67FC"/>
    <w:rsid w:val="002E68E6"/>
    <w:rsid w:val="002E6A1D"/>
    <w:rsid w:val="002E6C2A"/>
    <w:rsid w:val="002E6DB5"/>
    <w:rsid w:val="002E6DCE"/>
    <w:rsid w:val="002E6DD5"/>
    <w:rsid w:val="002E6F0E"/>
    <w:rsid w:val="002E71D9"/>
    <w:rsid w:val="002E758D"/>
    <w:rsid w:val="002E76F1"/>
    <w:rsid w:val="002E7722"/>
    <w:rsid w:val="002E775E"/>
    <w:rsid w:val="002E77D4"/>
    <w:rsid w:val="002E7878"/>
    <w:rsid w:val="002E7A02"/>
    <w:rsid w:val="002E7CA7"/>
    <w:rsid w:val="002E7D93"/>
    <w:rsid w:val="002E7DB1"/>
    <w:rsid w:val="002E7DEE"/>
    <w:rsid w:val="002E7E45"/>
    <w:rsid w:val="002F0297"/>
    <w:rsid w:val="002F02EB"/>
    <w:rsid w:val="002F0400"/>
    <w:rsid w:val="002F0506"/>
    <w:rsid w:val="002F058E"/>
    <w:rsid w:val="002F07BA"/>
    <w:rsid w:val="002F08FE"/>
    <w:rsid w:val="002F0903"/>
    <w:rsid w:val="002F0AE4"/>
    <w:rsid w:val="002F0C67"/>
    <w:rsid w:val="002F0DA9"/>
    <w:rsid w:val="002F1014"/>
    <w:rsid w:val="002F1048"/>
    <w:rsid w:val="002F1192"/>
    <w:rsid w:val="002F134B"/>
    <w:rsid w:val="002F1367"/>
    <w:rsid w:val="002F1672"/>
    <w:rsid w:val="002F17F3"/>
    <w:rsid w:val="002F17F4"/>
    <w:rsid w:val="002F1821"/>
    <w:rsid w:val="002F1974"/>
    <w:rsid w:val="002F1992"/>
    <w:rsid w:val="002F1A4A"/>
    <w:rsid w:val="002F1A7E"/>
    <w:rsid w:val="002F1A7F"/>
    <w:rsid w:val="002F1B4E"/>
    <w:rsid w:val="002F1E3B"/>
    <w:rsid w:val="002F1FC2"/>
    <w:rsid w:val="002F2413"/>
    <w:rsid w:val="002F25B5"/>
    <w:rsid w:val="002F2653"/>
    <w:rsid w:val="002F268F"/>
    <w:rsid w:val="002F2704"/>
    <w:rsid w:val="002F2788"/>
    <w:rsid w:val="002F298A"/>
    <w:rsid w:val="002F29C9"/>
    <w:rsid w:val="002F2B46"/>
    <w:rsid w:val="002F2D95"/>
    <w:rsid w:val="002F3067"/>
    <w:rsid w:val="002F30AC"/>
    <w:rsid w:val="002F3247"/>
    <w:rsid w:val="002F32EE"/>
    <w:rsid w:val="002F33B1"/>
    <w:rsid w:val="002F33E1"/>
    <w:rsid w:val="002F34CD"/>
    <w:rsid w:val="002F3596"/>
    <w:rsid w:val="002F3667"/>
    <w:rsid w:val="002F3789"/>
    <w:rsid w:val="002F3871"/>
    <w:rsid w:val="002F3941"/>
    <w:rsid w:val="002F3B64"/>
    <w:rsid w:val="002F3BCB"/>
    <w:rsid w:val="002F3C3B"/>
    <w:rsid w:val="002F3C9D"/>
    <w:rsid w:val="002F3E28"/>
    <w:rsid w:val="002F3EDF"/>
    <w:rsid w:val="002F3F02"/>
    <w:rsid w:val="002F3F34"/>
    <w:rsid w:val="002F3FC8"/>
    <w:rsid w:val="002F408F"/>
    <w:rsid w:val="002F42AD"/>
    <w:rsid w:val="002F4423"/>
    <w:rsid w:val="002F4433"/>
    <w:rsid w:val="002F458C"/>
    <w:rsid w:val="002F466D"/>
    <w:rsid w:val="002F46DA"/>
    <w:rsid w:val="002F496E"/>
    <w:rsid w:val="002F49F8"/>
    <w:rsid w:val="002F4A73"/>
    <w:rsid w:val="002F4D0D"/>
    <w:rsid w:val="002F4D8B"/>
    <w:rsid w:val="002F4F34"/>
    <w:rsid w:val="002F508A"/>
    <w:rsid w:val="002F5278"/>
    <w:rsid w:val="002F52CD"/>
    <w:rsid w:val="002F52D0"/>
    <w:rsid w:val="002F5300"/>
    <w:rsid w:val="002F5375"/>
    <w:rsid w:val="002F54A1"/>
    <w:rsid w:val="002F54EE"/>
    <w:rsid w:val="002F55DE"/>
    <w:rsid w:val="002F55F1"/>
    <w:rsid w:val="002F5652"/>
    <w:rsid w:val="002F5747"/>
    <w:rsid w:val="002F5DDC"/>
    <w:rsid w:val="002F601D"/>
    <w:rsid w:val="002F604A"/>
    <w:rsid w:val="002F6088"/>
    <w:rsid w:val="002F60AC"/>
    <w:rsid w:val="002F625D"/>
    <w:rsid w:val="002F62F2"/>
    <w:rsid w:val="002F63AA"/>
    <w:rsid w:val="002F643C"/>
    <w:rsid w:val="002F64BC"/>
    <w:rsid w:val="002F6898"/>
    <w:rsid w:val="002F6C23"/>
    <w:rsid w:val="002F6C25"/>
    <w:rsid w:val="002F6C40"/>
    <w:rsid w:val="002F6D42"/>
    <w:rsid w:val="002F6DB1"/>
    <w:rsid w:val="002F6F5F"/>
    <w:rsid w:val="002F6FD1"/>
    <w:rsid w:val="002F70E0"/>
    <w:rsid w:val="002F7184"/>
    <w:rsid w:val="002F71C0"/>
    <w:rsid w:val="002F71F6"/>
    <w:rsid w:val="002F72D0"/>
    <w:rsid w:val="002F74F1"/>
    <w:rsid w:val="002F755B"/>
    <w:rsid w:val="002F7644"/>
    <w:rsid w:val="002F76A8"/>
    <w:rsid w:val="002F78D5"/>
    <w:rsid w:val="002F7CF7"/>
    <w:rsid w:val="002F7D04"/>
    <w:rsid w:val="002F7E0F"/>
    <w:rsid w:val="002F7F8B"/>
    <w:rsid w:val="002F7FC7"/>
    <w:rsid w:val="0030002C"/>
    <w:rsid w:val="003002D7"/>
    <w:rsid w:val="00300439"/>
    <w:rsid w:val="003005A4"/>
    <w:rsid w:val="00300623"/>
    <w:rsid w:val="0030064C"/>
    <w:rsid w:val="003008A1"/>
    <w:rsid w:val="003008B0"/>
    <w:rsid w:val="003009F3"/>
    <w:rsid w:val="00300A20"/>
    <w:rsid w:val="00300AC3"/>
    <w:rsid w:val="00300BEE"/>
    <w:rsid w:val="00300ED6"/>
    <w:rsid w:val="00300F91"/>
    <w:rsid w:val="00300FD6"/>
    <w:rsid w:val="00300FEB"/>
    <w:rsid w:val="00301017"/>
    <w:rsid w:val="00301167"/>
    <w:rsid w:val="0030118C"/>
    <w:rsid w:val="003011DC"/>
    <w:rsid w:val="003011E2"/>
    <w:rsid w:val="0030134C"/>
    <w:rsid w:val="00301495"/>
    <w:rsid w:val="0030155F"/>
    <w:rsid w:val="0030162B"/>
    <w:rsid w:val="00301695"/>
    <w:rsid w:val="00301733"/>
    <w:rsid w:val="003017FA"/>
    <w:rsid w:val="003019D9"/>
    <w:rsid w:val="003019FD"/>
    <w:rsid w:val="00301F5B"/>
    <w:rsid w:val="0030203E"/>
    <w:rsid w:val="003021A1"/>
    <w:rsid w:val="003021F2"/>
    <w:rsid w:val="00302373"/>
    <w:rsid w:val="003023B9"/>
    <w:rsid w:val="003024AC"/>
    <w:rsid w:val="00302526"/>
    <w:rsid w:val="00302616"/>
    <w:rsid w:val="003026AB"/>
    <w:rsid w:val="00302724"/>
    <w:rsid w:val="0030278D"/>
    <w:rsid w:val="003029F8"/>
    <w:rsid w:val="00302A13"/>
    <w:rsid w:val="00302A6A"/>
    <w:rsid w:val="00302C6F"/>
    <w:rsid w:val="00302DF8"/>
    <w:rsid w:val="003031AB"/>
    <w:rsid w:val="0030325F"/>
    <w:rsid w:val="003032B8"/>
    <w:rsid w:val="003033BA"/>
    <w:rsid w:val="00303533"/>
    <w:rsid w:val="0030360C"/>
    <w:rsid w:val="0030378D"/>
    <w:rsid w:val="0030392E"/>
    <w:rsid w:val="003039A9"/>
    <w:rsid w:val="00303B4F"/>
    <w:rsid w:val="00303BFA"/>
    <w:rsid w:val="00303EBD"/>
    <w:rsid w:val="0030420B"/>
    <w:rsid w:val="003046FB"/>
    <w:rsid w:val="003047B5"/>
    <w:rsid w:val="003048F9"/>
    <w:rsid w:val="00304C50"/>
    <w:rsid w:val="00304D5F"/>
    <w:rsid w:val="00304D78"/>
    <w:rsid w:val="00304E15"/>
    <w:rsid w:val="00305334"/>
    <w:rsid w:val="003054A3"/>
    <w:rsid w:val="0030555C"/>
    <w:rsid w:val="003056BE"/>
    <w:rsid w:val="00305705"/>
    <w:rsid w:val="0030582B"/>
    <w:rsid w:val="0030587B"/>
    <w:rsid w:val="003058F7"/>
    <w:rsid w:val="00305C21"/>
    <w:rsid w:val="00305DC1"/>
    <w:rsid w:val="00305DD0"/>
    <w:rsid w:val="003062DC"/>
    <w:rsid w:val="00306483"/>
    <w:rsid w:val="003064D0"/>
    <w:rsid w:val="003065D0"/>
    <w:rsid w:val="00306717"/>
    <w:rsid w:val="00306A00"/>
    <w:rsid w:val="00306A34"/>
    <w:rsid w:val="00306B22"/>
    <w:rsid w:val="00306BAB"/>
    <w:rsid w:val="00306BBB"/>
    <w:rsid w:val="00306D98"/>
    <w:rsid w:val="00306DAD"/>
    <w:rsid w:val="00306DC9"/>
    <w:rsid w:val="00306E7E"/>
    <w:rsid w:val="00306EDA"/>
    <w:rsid w:val="00306F1E"/>
    <w:rsid w:val="00306FD0"/>
    <w:rsid w:val="00307061"/>
    <w:rsid w:val="0030708F"/>
    <w:rsid w:val="003070CC"/>
    <w:rsid w:val="003071A6"/>
    <w:rsid w:val="00307394"/>
    <w:rsid w:val="003075B5"/>
    <w:rsid w:val="00307624"/>
    <w:rsid w:val="0030777C"/>
    <w:rsid w:val="0030786C"/>
    <w:rsid w:val="00307B13"/>
    <w:rsid w:val="00307B85"/>
    <w:rsid w:val="00307BAA"/>
    <w:rsid w:val="00307D23"/>
    <w:rsid w:val="00307D34"/>
    <w:rsid w:val="00307DD3"/>
    <w:rsid w:val="00307F95"/>
    <w:rsid w:val="00310092"/>
    <w:rsid w:val="003101CB"/>
    <w:rsid w:val="00310251"/>
    <w:rsid w:val="0031031A"/>
    <w:rsid w:val="0031045B"/>
    <w:rsid w:val="00310511"/>
    <w:rsid w:val="003105A8"/>
    <w:rsid w:val="00310813"/>
    <w:rsid w:val="00310916"/>
    <w:rsid w:val="00310981"/>
    <w:rsid w:val="00310A13"/>
    <w:rsid w:val="00310A78"/>
    <w:rsid w:val="00310AC6"/>
    <w:rsid w:val="00310AD0"/>
    <w:rsid w:val="00310B03"/>
    <w:rsid w:val="00310C93"/>
    <w:rsid w:val="00310CD0"/>
    <w:rsid w:val="00310CF4"/>
    <w:rsid w:val="00310EAF"/>
    <w:rsid w:val="00311085"/>
    <w:rsid w:val="003111F4"/>
    <w:rsid w:val="0031129A"/>
    <w:rsid w:val="003113A3"/>
    <w:rsid w:val="003114CE"/>
    <w:rsid w:val="0031158C"/>
    <w:rsid w:val="0031170F"/>
    <w:rsid w:val="00311780"/>
    <w:rsid w:val="003117A8"/>
    <w:rsid w:val="003118A3"/>
    <w:rsid w:val="003118BA"/>
    <w:rsid w:val="003118EC"/>
    <w:rsid w:val="003118F6"/>
    <w:rsid w:val="00311987"/>
    <w:rsid w:val="003119FE"/>
    <w:rsid w:val="00311D9B"/>
    <w:rsid w:val="00311E19"/>
    <w:rsid w:val="00311FBE"/>
    <w:rsid w:val="00311FE6"/>
    <w:rsid w:val="0031209C"/>
    <w:rsid w:val="00312119"/>
    <w:rsid w:val="003122D5"/>
    <w:rsid w:val="003124D9"/>
    <w:rsid w:val="0031251A"/>
    <w:rsid w:val="00312521"/>
    <w:rsid w:val="00312565"/>
    <w:rsid w:val="00312594"/>
    <w:rsid w:val="003126D8"/>
    <w:rsid w:val="00312A6F"/>
    <w:rsid w:val="00312B0E"/>
    <w:rsid w:val="00312B65"/>
    <w:rsid w:val="00312DAA"/>
    <w:rsid w:val="00312EA8"/>
    <w:rsid w:val="003132A2"/>
    <w:rsid w:val="00313341"/>
    <w:rsid w:val="003133C6"/>
    <w:rsid w:val="003133CE"/>
    <w:rsid w:val="00313465"/>
    <w:rsid w:val="003136AE"/>
    <w:rsid w:val="00313904"/>
    <w:rsid w:val="00313A05"/>
    <w:rsid w:val="00313A75"/>
    <w:rsid w:val="00313A80"/>
    <w:rsid w:val="00313B0F"/>
    <w:rsid w:val="00313DFD"/>
    <w:rsid w:val="00313F8E"/>
    <w:rsid w:val="00314016"/>
    <w:rsid w:val="0031456E"/>
    <w:rsid w:val="003145A0"/>
    <w:rsid w:val="003146B4"/>
    <w:rsid w:val="00314705"/>
    <w:rsid w:val="003147F1"/>
    <w:rsid w:val="00314A8A"/>
    <w:rsid w:val="00314A90"/>
    <w:rsid w:val="00314D52"/>
    <w:rsid w:val="00314DC1"/>
    <w:rsid w:val="00314E7A"/>
    <w:rsid w:val="003151E0"/>
    <w:rsid w:val="00315498"/>
    <w:rsid w:val="0031561F"/>
    <w:rsid w:val="00315AB2"/>
    <w:rsid w:val="00315C12"/>
    <w:rsid w:val="00315C1D"/>
    <w:rsid w:val="00315C70"/>
    <w:rsid w:val="00315D0E"/>
    <w:rsid w:val="00315EA4"/>
    <w:rsid w:val="00316396"/>
    <w:rsid w:val="00316474"/>
    <w:rsid w:val="00316526"/>
    <w:rsid w:val="003167C8"/>
    <w:rsid w:val="00316923"/>
    <w:rsid w:val="00316C27"/>
    <w:rsid w:val="00316DB6"/>
    <w:rsid w:val="00316DE7"/>
    <w:rsid w:val="0031730A"/>
    <w:rsid w:val="00317333"/>
    <w:rsid w:val="00317472"/>
    <w:rsid w:val="003176BA"/>
    <w:rsid w:val="0031772E"/>
    <w:rsid w:val="00317AD6"/>
    <w:rsid w:val="00317C3A"/>
    <w:rsid w:val="00317D61"/>
    <w:rsid w:val="003200F3"/>
    <w:rsid w:val="00320245"/>
    <w:rsid w:val="003202CB"/>
    <w:rsid w:val="003202F5"/>
    <w:rsid w:val="00320376"/>
    <w:rsid w:val="003203B5"/>
    <w:rsid w:val="00320448"/>
    <w:rsid w:val="00320466"/>
    <w:rsid w:val="0032076B"/>
    <w:rsid w:val="0032078C"/>
    <w:rsid w:val="00320844"/>
    <w:rsid w:val="00320970"/>
    <w:rsid w:val="003209B9"/>
    <w:rsid w:val="00320E22"/>
    <w:rsid w:val="00320E2A"/>
    <w:rsid w:val="00320EDE"/>
    <w:rsid w:val="00321005"/>
    <w:rsid w:val="00321039"/>
    <w:rsid w:val="00321105"/>
    <w:rsid w:val="003211CC"/>
    <w:rsid w:val="003212DC"/>
    <w:rsid w:val="00321305"/>
    <w:rsid w:val="0032134D"/>
    <w:rsid w:val="003214EF"/>
    <w:rsid w:val="003215EE"/>
    <w:rsid w:val="00321625"/>
    <w:rsid w:val="00321916"/>
    <w:rsid w:val="00321AC7"/>
    <w:rsid w:val="00321BD0"/>
    <w:rsid w:val="00321BE0"/>
    <w:rsid w:val="00321D79"/>
    <w:rsid w:val="003220B1"/>
    <w:rsid w:val="00322102"/>
    <w:rsid w:val="00322107"/>
    <w:rsid w:val="00322179"/>
    <w:rsid w:val="00322252"/>
    <w:rsid w:val="0032232A"/>
    <w:rsid w:val="00322355"/>
    <w:rsid w:val="003223E8"/>
    <w:rsid w:val="0032251C"/>
    <w:rsid w:val="0032259E"/>
    <w:rsid w:val="00322635"/>
    <w:rsid w:val="00322642"/>
    <w:rsid w:val="003226AF"/>
    <w:rsid w:val="00322766"/>
    <w:rsid w:val="00322846"/>
    <w:rsid w:val="00322915"/>
    <w:rsid w:val="003229EE"/>
    <w:rsid w:val="00322B5B"/>
    <w:rsid w:val="00322B67"/>
    <w:rsid w:val="00322C76"/>
    <w:rsid w:val="00322F5F"/>
    <w:rsid w:val="00323081"/>
    <w:rsid w:val="0032313A"/>
    <w:rsid w:val="003231DB"/>
    <w:rsid w:val="0032321F"/>
    <w:rsid w:val="0032333B"/>
    <w:rsid w:val="0032333F"/>
    <w:rsid w:val="00323415"/>
    <w:rsid w:val="00323476"/>
    <w:rsid w:val="00323560"/>
    <w:rsid w:val="0032367B"/>
    <w:rsid w:val="003236AE"/>
    <w:rsid w:val="00323737"/>
    <w:rsid w:val="0032388B"/>
    <w:rsid w:val="003238A1"/>
    <w:rsid w:val="00323D28"/>
    <w:rsid w:val="00323D69"/>
    <w:rsid w:val="00323EF8"/>
    <w:rsid w:val="003240EF"/>
    <w:rsid w:val="00324192"/>
    <w:rsid w:val="0032436E"/>
    <w:rsid w:val="00324443"/>
    <w:rsid w:val="003248F1"/>
    <w:rsid w:val="0032496A"/>
    <w:rsid w:val="00324B21"/>
    <w:rsid w:val="00324B92"/>
    <w:rsid w:val="00324C2F"/>
    <w:rsid w:val="00324CD1"/>
    <w:rsid w:val="00324CDA"/>
    <w:rsid w:val="00324CFF"/>
    <w:rsid w:val="00324D2A"/>
    <w:rsid w:val="00324F8B"/>
    <w:rsid w:val="003252B8"/>
    <w:rsid w:val="0032553E"/>
    <w:rsid w:val="00325630"/>
    <w:rsid w:val="003257CE"/>
    <w:rsid w:val="00325A23"/>
    <w:rsid w:val="00325CCB"/>
    <w:rsid w:val="00325D45"/>
    <w:rsid w:val="00325F9A"/>
    <w:rsid w:val="0032613A"/>
    <w:rsid w:val="003261C6"/>
    <w:rsid w:val="003261FD"/>
    <w:rsid w:val="00326317"/>
    <w:rsid w:val="003263E4"/>
    <w:rsid w:val="003263ED"/>
    <w:rsid w:val="0032640F"/>
    <w:rsid w:val="00326956"/>
    <w:rsid w:val="00326A45"/>
    <w:rsid w:val="00326B71"/>
    <w:rsid w:val="00326D1E"/>
    <w:rsid w:val="00326DA7"/>
    <w:rsid w:val="00326E69"/>
    <w:rsid w:val="00326F26"/>
    <w:rsid w:val="00326FE5"/>
    <w:rsid w:val="00327036"/>
    <w:rsid w:val="003270E4"/>
    <w:rsid w:val="00327162"/>
    <w:rsid w:val="003271AA"/>
    <w:rsid w:val="003271BE"/>
    <w:rsid w:val="003272B5"/>
    <w:rsid w:val="0032738B"/>
    <w:rsid w:val="0032742D"/>
    <w:rsid w:val="0032746F"/>
    <w:rsid w:val="003277A1"/>
    <w:rsid w:val="0032787E"/>
    <w:rsid w:val="003279C3"/>
    <w:rsid w:val="00327A0B"/>
    <w:rsid w:val="00327A7A"/>
    <w:rsid w:val="00327B8B"/>
    <w:rsid w:val="00327BF1"/>
    <w:rsid w:val="00327C72"/>
    <w:rsid w:val="00327EDD"/>
    <w:rsid w:val="00327EF4"/>
    <w:rsid w:val="0033007E"/>
    <w:rsid w:val="00330217"/>
    <w:rsid w:val="00330398"/>
    <w:rsid w:val="003304B1"/>
    <w:rsid w:val="003305FB"/>
    <w:rsid w:val="0033075F"/>
    <w:rsid w:val="0033089E"/>
    <w:rsid w:val="00330A57"/>
    <w:rsid w:val="00330D45"/>
    <w:rsid w:val="00330D82"/>
    <w:rsid w:val="00330DAA"/>
    <w:rsid w:val="00330DB7"/>
    <w:rsid w:val="00330E8B"/>
    <w:rsid w:val="00330F5C"/>
    <w:rsid w:val="00330F8E"/>
    <w:rsid w:val="003311CF"/>
    <w:rsid w:val="00331335"/>
    <w:rsid w:val="00331483"/>
    <w:rsid w:val="00331567"/>
    <w:rsid w:val="0033157E"/>
    <w:rsid w:val="00331590"/>
    <w:rsid w:val="0033188E"/>
    <w:rsid w:val="0033197F"/>
    <w:rsid w:val="0033199E"/>
    <w:rsid w:val="00331A9A"/>
    <w:rsid w:val="00331C28"/>
    <w:rsid w:val="00331ECC"/>
    <w:rsid w:val="0033224F"/>
    <w:rsid w:val="003322AA"/>
    <w:rsid w:val="0033231B"/>
    <w:rsid w:val="00332343"/>
    <w:rsid w:val="00332344"/>
    <w:rsid w:val="003324C5"/>
    <w:rsid w:val="00332538"/>
    <w:rsid w:val="00332702"/>
    <w:rsid w:val="00332892"/>
    <w:rsid w:val="003328E0"/>
    <w:rsid w:val="0033293D"/>
    <w:rsid w:val="0033298B"/>
    <w:rsid w:val="00332B74"/>
    <w:rsid w:val="00332C09"/>
    <w:rsid w:val="00332C24"/>
    <w:rsid w:val="00332C47"/>
    <w:rsid w:val="00332E61"/>
    <w:rsid w:val="00332EC1"/>
    <w:rsid w:val="00332EE8"/>
    <w:rsid w:val="00332FC1"/>
    <w:rsid w:val="003331A6"/>
    <w:rsid w:val="003334FB"/>
    <w:rsid w:val="003335F8"/>
    <w:rsid w:val="003337FA"/>
    <w:rsid w:val="0033381F"/>
    <w:rsid w:val="00333868"/>
    <w:rsid w:val="003338B2"/>
    <w:rsid w:val="00333B18"/>
    <w:rsid w:val="00333B52"/>
    <w:rsid w:val="00333BAA"/>
    <w:rsid w:val="00333C0D"/>
    <w:rsid w:val="00333C48"/>
    <w:rsid w:val="00333CB9"/>
    <w:rsid w:val="00333CBE"/>
    <w:rsid w:val="00333F5D"/>
    <w:rsid w:val="00333FF9"/>
    <w:rsid w:val="00334080"/>
    <w:rsid w:val="00334180"/>
    <w:rsid w:val="003341B7"/>
    <w:rsid w:val="003341E1"/>
    <w:rsid w:val="003342C2"/>
    <w:rsid w:val="0033431B"/>
    <w:rsid w:val="003343BC"/>
    <w:rsid w:val="00334620"/>
    <w:rsid w:val="00334630"/>
    <w:rsid w:val="0033466F"/>
    <w:rsid w:val="003346FA"/>
    <w:rsid w:val="003347C7"/>
    <w:rsid w:val="0033483E"/>
    <w:rsid w:val="0033483F"/>
    <w:rsid w:val="00334AE1"/>
    <w:rsid w:val="00334C92"/>
    <w:rsid w:val="00334CBB"/>
    <w:rsid w:val="00334D06"/>
    <w:rsid w:val="00334D5E"/>
    <w:rsid w:val="00334DFD"/>
    <w:rsid w:val="00334E5C"/>
    <w:rsid w:val="00334EA9"/>
    <w:rsid w:val="00334F71"/>
    <w:rsid w:val="003350A3"/>
    <w:rsid w:val="00335160"/>
    <w:rsid w:val="0033518C"/>
    <w:rsid w:val="003353A1"/>
    <w:rsid w:val="003353DF"/>
    <w:rsid w:val="003354AD"/>
    <w:rsid w:val="00335533"/>
    <w:rsid w:val="0033575E"/>
    <w:rsid w:val="003358EA"/>
    <w:rsid w:val="00335996"/>
    <w:rsid w:val="00335D13"/>
    <w:rsid w:val="00335E49"/>
    <w:rsid w:val="00335E50"/>
    <w:rsid w:val="00335F66"/>
    <w:rsid w:val="00336144"/>
    <w:rsid w:val="003361E2"/>
    <w:rsid w:val="003363B5"/>
    <w:rsid w:val="0033642E"/>
    <w:rsid w:val="00336538"/>
    <w:rsid w:val="0033669A"/>
    <w:rsid w:val="003366C9"/>
    <w:rsid w:val="00336712"/>
    <w:rsid w:val="0033687B"/>
    <w:rsid w:val="0033687C"/>
    <w:rsid w:val="003368A0"/>
    <w:rsid w:val="00336A4C"/>
    <w:rsid w:val="00336CD9"/>
    <w:rsid w:val="00336DDE"/>
    <w:rsid w:val="00336FAF"/>
    <w:rsid w:val="0033705D"/>
    <w:rsid w:val="003371B0"/>
    <w:rsid w:val="0033723D"/>
    <w:rsid w:val="00337496"/>
    <w:rsid w:val="003374BC"/>
    <w:rsid w:val="003374C9"/>
    <w:rsid w:val="003375AD"/>
    <w:rsid w:val="00337691"/>
    <w:rsid w:val="003376BD"/>
    <w:rsid w:val="00337701"/>
    <w:rsid w:val="00337885"/>
    <w:rsid w:val="003378A8"/>
    <w:rsid w:val="003378C7"/>
    <w:rsid w:val="00337911"/>
    <w:rsid w:val="00337BD4"/>
    <w:rsid w:val="00337C13"/>
    <w:rsid w:val="00337E02"/>
    <w:rsid w:val="00337ED6"/>
    <w:rsid w:val="0034021F"/>
    <w:rsid w:val="00340249"/>
    <w:rsid w:val="00340282"/>
    <w:rsid w:val="0034049F"/>
    <w:rsid w:val="00340580"/>
    <w:rsid w:val="00340819"/>
    <w:rsid w:val="00340882"/>
    <w:rsid w:val="00340907"/>
    <w:rsid w:val="00340B30"/>
    <w:rsid w:val="00340B75"/>
    <w:rsid w:val="00340CF3"/>
    <w:rsid w:val="00340DF1"/>
    <w:rsid w:val="00340F36"/>
    <w:rsid w:val="00340F65"/>
    <w:rsid w:val="0034106B"/>
    <w:rsid w:val="00341151"/>
    <w:rsid w:val="00341251"/>
    <w:rsid w:val="00341430"/>
    <w:rsid w:val="00341604"/>
    <w:rsid w:val="003418B2"/>
    <w:rsid w:val="003419CD"/>
    <w:rsid w:val="003419E5"/>
    <w:rsid w:val="00341A31"/>
    <w:rsid w:val="00341AA7"/>
    <w:rsid w:val="00341B51"/>
    <w:rsid w:val="00341B6F"/>
    <w:rsid w:val="00341BC5"/>
    <w:rsid w:val="00341BF2"/>
    <w:rsid w:val="00341C4A"/>
    <w:rsid w:val="00342105"/>
    <w:rsid w:val="0034221E"/>
    <w:rsid w:val="0034234F"/>
    <w:rsid w:val="00342368"/>
    <w:rsid w:val="003424D6"/>
    <w:rsid w:val="003424D7"/>
    <w:rsid w:val="003426C8"/>
    <w:rsid w:val="00342775"/>
    <w:rsid w:val="00342815"/>
    <w:rsid w:val="00342939"/>
    <w:rsid w:val="00342AAD"/>
    <w:rsid w:val="00342B34"/>
    <w:rsid w:val="00342CE9"/>
    <w:rsid w:val="00342D57"/>
    <w:rsid w:val="00342ED5"/>
    <w:rsid w:val="00343003"/>
    <w:rsid w:val="003434D8"/>
    <w:rsid w:val="00343726"/>
    <w:rsid w:val="0034379E"/>
    <w:rsid w:val="00343898"/>
    <w:rsid w:val="003438D7"/>
    <w:rsid w:val="00343981"/>
    <w:rsid w:val="003439B8"/>
    <w:rsid w:val="00343C51"/>
    <w:rsid w:val="00343D93"/>
    <w:rsid w:val="00343EF2"/>
    <w:rsid w:val="003441C8"/>
    <w:rsid w:val="0034425A"/>
    <w:rsid w:val="0034429C"/>
    <w:rsid w:val="0034456F"/>
    <w:rsid w:val="0034461C"/>
    <w:rsid w:val="0034464C"/>
    <w:rsid w:val="0034467E"/>
    <w:rsid w:val="003447F8"/>
    <w:rsid w:val="003448D7"/>
    <w:rsid w:val="0034499E"/>
    <w:rsid w:val="00344A55"/>
    <w:rsid w:val="00344A99"/>
    <w:rsid w:val="00344B62"/>
    <w:rsid w:val="00344BAE"/>
    <w:rsid w:val="00344DF9"/>
    <w:rsid w:val="0034502F"/>
    <w:rsid w:val="003450BA"/>
    <w:rsid w:val="00345188"/>
    <w:rsid w:val="003451EE"/>
    <w:rsid w:val="00345235"/>
    <w:rsid w:val="00345393"/>
    <w:rsid w:val="003453A3"/>
    <w:rsid w:val="003454B6"/>
    <w:rsid w:val="0034555B"/>
    <w:rsid w:val="00345599"/>
    <w:rsid w:val="003457DA"/>
    <w:rsid w:val="00345909"/>
    <w:rsid w:val="00345917"/>
    <w:rsid w:val="0034599A"/>
    <w:rsid w:val="00345AA9"/>
    <w:rsid w:val="00345AC2"/>
    <w:rsid w:val="00345BDE"/>
    <w:rsid w:val="00345CF3"/>
    <w:rsid w:val="00345D5E"/>
    <w:rsid w:val="00345D6E"/>
    <w:rsid w:val="00346116"/>
    <w:rsid w:val="00346120"/>
    <w:rsid w:val="0034613E"/>
    <w:rsid w:val="003461D1"/>
    <w:rsid w:val="00346237"/>
    <w:rsid w:val="0034644A"/>
    <w:rsid w:val="0034646A"/>
    <w:rsid w:val="003464D1"/>
    <w:rsid w:val="00346578"/>
    <w:rsid w:val="003465BC"/>
    <w:rsid w:val="003468A4"/>
    <w:rsid w:val="003468B9"/>
    <w:rsid w:val="003468F1"/>
    <w:rsid w:val="003469D3"/>
    <w:rsid w:val="00346A66"/>
    <w:rsid w:val="00346A83"/>
    <w:rsid w:val="00346C59"/>
    <w:rsid w:val="00346C6B"/>
    <w:rsid w:val="00346FFA"/>
    <w:rsid w:val="003470AF"/>
    <w:rsid w:val="0034721F"/>
    <w:rsid w:val="003474F1"/>
    <w:rsid w:val="00347745"/>
    <w:rsid w:val="003477D3"/>
    <w:rsid w:val="00347830"/>
    <w:rsid w:val="0034796D"/>
    <w:rsid w:val="00347AB2"/>
    <w:rsid w:val="00347B63"/>
    <w:rsid w:val="00347FE3"/>
    <w:rsid w:val="003501AC"/>
    <w:rsid w:val="0035060A"/>
    <w:rsid w:val="0035061C"/>
    <w:rsid w:val="003507D6"/>
    <w:rsid w:val="0035082D"/>
    <w:rsid w:val="00350852"/>
    <w:rsid w:val="00350A27"/>
    <w:rsid w:val="00350B85"/>
    <w:rsid w:val="00350BDE"/>
    <w:rsid w:val="00350BFC"/>
    <w:rsid w:val="00350D3A"/>
    <w:rsid w:val="00350DBA"/>
    <w:rsid w:val="00350DDE"/>
    <w:rsid w:val="00351023"/>
    <w:rsid w:val="00351098"/>
    <w:rsid w:val="0035111F"/>
    <w:rsid w:val="003511E4"/>
    <w:rsid w:val="0035121C"/>
    <w:rsid w:val="003513A0"/>
    <w:rsid w:val="00351581"/>
    <w:rsid w:val="00351672"/>
    <w:rsid w:val="00351694"/>
    <w:rsid w:val="003517F9"/>
    <w:rsid w:val="00351843"/>
    <w:rsid w:val="0035186C"/>
    <w:rsid w:val="003519C5"/>
    <w:rsid w:val="00351B3A"/>
    <w:rsid w:val="00351BA9"/>
    <w:rsid w:val="0035249B"/>
    <w:rsid w:val="00352531"/>
    <w:rsid w:val="0035263B"/>
    <w:rsid w:val="003526AD"/>
    <w:rsid w:val="00352900"/>
    <w:rsid w:val="003529A8"/>
    <w:rsid w:val="003529D3"/>
    <w:rsid w:val="003529F0"/>
    <w:rsid w:val="003529F9"/>
    <w:rsid w:val="00352AAA"/>
    <w:rsid w:val="00352ABB"/>
    <w:rsid w:val="00352B78"/>
    <w:rsid w:val="00352C0D"/>
    <w:rsid w:val="00352FD1"/>
    <w:rsid w:val="003530D1"/>
    <w:rsid w:val="0035318F"/>
    <w:rsid w:val="003531A7"/>
    <w:rsid w:val="0035321C"/>
    <w:rsid w:val="003532AD"/>
    <w:rsid w:val="003532B9"/>
    <w:rsid w:val="003535C5"/>
    <w:rsid w:val="003536C5"/>
    <w:rsid w:val="00353731"/>
    <w:rsid w:val="00353773"/>
    <w:rsid w:val="00353787"/>
    <w:rsid w:val="003537C2"/>
    <w:rsid w:val="00353A58"/>
    <w:rsid w:val="00353B7D"/>
    <w:rsid w:val="00353CBC"/>
    <w:rsid w:val="00353F2E"/>
    <w:rsid w:val="00354032"/>
    <w:rsid w:val="003541FF"/>
    <w:rsid w:val="00354359"/>
    <w:rsid w:val="00354616"/>
    <w:rsid w:val="00354B64"/>
    <w:rsid w:val="00354C58"/>
    <w:rsid w:val="00354D95"/>
    <w:rsid w:val="00354DE4"/>
    <w:rsid w:val="00354EBA"/>
    <w:rsid w:val="00354EED"/>
    <w:rsid w:val="00354F64"/>
    <w:rsid w:val="0035504A"/>
    <w:rsid w:val="0035515E"/>
    <w:rsid w:val="00355284"/>
    <w:rsid w:val="0035549F"/>
    <w:rsid w:val="003554FC"/>
    <w:rsid w:val="00355645"/>
    <w:rsid w:val="003556E3"/>
    <w:rsid w:val="003557F7"/>
    <w:rsid w:val="00355909"/>
    <w:rsid w:val="003559DA"/>
    <w:rsid w:val="00355B2C"/>
    <w:rsid w:val="00355D3E"/>
    <w:rsid w:val="00355E55"/>
    <w:rsid w:val="00355F74"/>
    <w:rsid w:val="003561E1"/>
    <w:rsid w:val="00356201"/>
    <w:rsid w:val="0035620E"/>
    <w:rsid w:val="00356238"/>
    <w:rsid w:val="0035631A"/>
    <w:rsid w:val="00356482"/>
    <w:rsid w:val="00356640"/>
    <w:rsid w:val="003566C8"/>
    <w:rsid w:val="0035671D"/>
    <w:rsid w:val="0035699B"/>
    <w:rsid w:val="003569F6"/>
    <w:rsid w:val="003569F7"/>
    <w:rsid w:val="00356AC5"/>
    <w:rsid w:val="00356AE0"/>
    <w:rsid w:val="00356B33"/>
    <w:rsid w:val="00356C01"/>
    <w:rsid w:val="00356C29"/>
    <w:rsid w:val="00356CA5"/>
    <w:rsid w:val="00356CFA"/>
    <w:rsid w:val="00356D1E"/>
    <w:rsid w:val="00356DBC"/>
    <w:rsid w:val="003572DD"/>
    <w:rsid w:val="00357348"/>
    <w:rsid w:val="003573E7"/>
    <w:rsid w:val="003575BD"/>
    <w:rsid w:val="003575BE"/>
    <w:rsid w:val="00357825"/>
    <w:rsid w:val="00357949"/>
    <w:rsid w:val="00357A1D"/>
    <w:rsid w:val="00357AAC"/>
    <w:rsid w:val="00357DBD"/>
    <w:rsid w:val="00357DDC"/>
    <w:rsid w:val="00357E07"/>
    <w:rsid w:val="003600FD"/>
    <w:rsid w:val="0036032E"/>
    <w:rsid w:val="00360345"/>
    <w:rsid w:val="00360369"/>
    <w:rsid w:val="003603E8"/>
    <w:rsid w:val="00360426"/>
    <w:rsid w:val="003605D8"/>
    <w:rsid w:val="00360693"/>
    <w:rsid w:val="00360939"/>
    <w:rsid w:val="00360AF2"/>
    <w:rsid w:val="00360B39"/>
    <w:rsid w:val="00360CAA"/>
    <w:rsid w:val="00360D73"/>
    <w:rsid w:val="00360DD4"/>
    <w:rsid w:val="00360E46"/>
    <w:rsid w:val="00360FF1"/>
    <w:rsid w:val="003610F9"/>
    <w:rsid w:val="00361135"/>
    <w:rsid w:val="00361321"/>
    <w:rsid w:val="00361343"/>
    <w:rsid w:val="003613E7"/>
    <w:rsid w:val="003614D5"/>
    <w:rsid w:val="003615C2"/>
    <w:rsid w:val="0036169A"/>
    <w:rsid w:val="00361819"/>
    <w:rsid w:val="003619E9"/>
    <w:rsid w:val="00361A05"/>
    <w:rsid w:val="00361C08"/>
    <w:rsid w:val="00361CCD"/>
    <w:rsid w:val="00361D58"/>
    <w:rsid w:val="00361E31"/>
    <w:rsid w:val="00361E38"/>
    <w:rsid w:val="00361EAC"/>
    <w:rsid w:val="00361F2D"/>
    <w:rsid w:val="00361F67"/>
    <w:rsid w:val="00362147"/>
    <w:rsid w:val="003624C4"/>
    <w:rsid w:val="003628E1"/>
    <w:rsid w:val="003628EB"/>
    <w:rsid w:val="00362B61"/>
    <w:rsid w:val="00362B6B"/>
    <w:rsid w:val="00362DCF"/>
    <w:rsid w:val="00362EFA"/>
    <w:rsid w:val="00362FE7"/>
    <w:rsid w:val="003630B1"/>
    <w:rsid w:val="00363245"/>
    <w:rsid w:val="00363254"/>
    <w:rsid w:val="0036329F"/>
    <w:rsid w:val="0036330A"/>
    <w:rsid w:val="00363456"/>
    <w:rsid w:val="003635FD"/>
    <w:rsid w:val="003639F0"/>
    <w:rsid w:val="00363A18"/>
    <w:rsid w:val="00363AE8"/>
    <w:rsid w:val="00363B00"/>
    <w:rsid w:val="00363CDB"/>
    <w:rsid w:val="00363E0E"/>
    <w:rsid w:val="00363ECB"/>
    <w:rsid w:val="003641F1"/>
    <w:rsid w:val="00364282"/>
    <w:rsid w:val="00364299"/>
    <w:rsid w:val="00364302"/>
    <w:rsid w:val="00364353"/>
    <w:rsid w:val="003643FB"/>
    <w:rsid w:val="00364422"/>
    <w:rsid w:val="00364546"/>
    <w:rsid w:val="00364648"/>
    <w:rsid w:val="003646D8"/>
    <w:rsid w:val="003647DF"/>
    <w:rsid w:val="00364830"/>
    <w:rsid w:val="00364879"/>
    <w:rsid w:val="00364922"/>
    <w:rsid w:val="003649EA"/>
    <w:rsid w:val="00364A5C"/>
    <w:rsid w:val="00364B32"/>
    <w:rsid w:val="00364C61"/>
    <w:rsid w:val="00364C9A"/>
    <w:rsid w:val="00364D65"/>
    <w:rsid w:val="00364EE0"/>
    <w:rsid w:val="0036508E"/>
    <w:rsid w:val="003650BA"/>
    <w:rsid w:val="003653EF"/>
    <w:rsid w:val="0036546D"/>
    <w:rsid w:val="003654AC"/>
    <w:rsid w:val="003654B7"/>
    <w:rsid w:val="003654B8"/>
    <w:rsid w:val="00365616"/>
    <w:rsid w:val="003656DF"/>
    <w:rsid w:val="00365743"/>
    <w:rsid w:val="00365868"/>
    <w:rsid w:val="0036586E"/>
    <w:rsid w:val="00365881"/>
    <w:rsid w:val="00365B5E"/>
    <w:rsid w:val="00365B72"/>
    <w:rsid w:val="00365C8E"/>
    <w:rsid w:val="00365CD8"/>
    <w:rsid w:val="00365DAA"/>
    <w:rsid w:val="00365F7A"/>
    <w:rsid w:val="00366018"/>
    <w:rsid w:val="0036604F"/>
    <w:rsid w:val="00366061"/>
    <w:rsid w:val="0036613A"/>
    <w:rsid w:val="00366162"/>
    <w:rsid w:val="0036621C"/>
    <w:rsid w:val="00366228"/>
    <w:rsid w:val="00366315"/>
    <w:rsid w:val="00366329"/>
    <w:rsid w:val="00366371"/>
    <w:rsid w:val="00366442"/>
    <w:rsid w:val="0036648E"/>
    <w:rsid w:val="0036664F"/>
    <w:rsid w:val="003668A3"/>
    <w:rsid w:val="003668DA"/>
    <w:rsid w:val="0036690E"/>
    <w:rsid w:val="00366A14"/>
    <w:rsid w:val="00366B24"/>
    <w:rsid w:val="00366D64"/>
    <w:rsid w:val="00366D88"/>
    <w:rsid w:val="00367000"/>
    <w:rsid w:val="003670AC"/>
    <w:rsid w:val="0036747F"/>
    <w:rsid w:val="00367522"/>
    <w:rsid w:val="003677EE"/>
    <w:rsid w:val="00367921"/>
    <w:rsid w:val="00367A27"/>
    <w:rsid w:val="00367ACC"/>
    <w:rsid w:val="00367C3B"/>
    <w:rsid w:val="00367D1F"/>
    <w:rsid w:val="00367E4F"/>
    <w:rsid w:val="00367EEF"/>
    <w:rsid w:val="00367FBF"/>
    <w:rsid w:val="0037004B"/>
    <w:rsid w:val="00370140"/>
    <w:rsid w:val="003701AF"/>
    <w:rsid w:val="003701C5"/>
    <w:rsid w:val="00370517"/>
    <w:rsid w:val="0037054D"/>
    <w:rsid w:val="003705A7"/>
    <w:rsid w:val="0037089F"/>
    <w:rsid w:val="0037092D"/>
    <w:rsid w:val="00370930"/>
    <w:rsid w:val="00370944"/>
    <w:rsid w:val="00370A37"/>
    <w:rsid w:val="00370B99"/>
    <w:rsid w:val="00370E99"/>
    <w:rsid w:val="00370EA5"/>
    <w:rsid w:val="00370ECA"/>
    <w:rsid w:val="00370FB5"/>
    <w:rsid w:val="003710CF"/>
    <w:rsid w:val="00371136"/>
    <w:rsid w:val="00371181"/>
    <w:rsid w:val="003712F6"/>
    <w:rsid w:val="003716B3"/>
    <w:rsid w:val="00371778"/>
    <w:rsid w:val="00371A7C"/>
    <w:rsid w:val="00371D1D"/>
    <w:rsid w:val="00371D3C"/>
    <w:rsid w:val="00371E2F"/>
    <w:rsid w:val="00371E79"/>
    <w:rsid w:val="00371F25"/>
    <w:rsid w:val="00372082"/>
    <w:rsid w:val="00372261"/>
    <w:rsid w:val="0037235E"/>
    <w:rsid w:val="003723CE"/>
    <w:rsid w:val="003724DF"/>
    <w:rsid w:val="003725AD"/>
    <w:rsid w:val="003725DE"/>
    <w:rsid w:val="00372705"/>
    <w:rsid w:val="00372771"/>
    <w:rsid w:val="003728EA"/>
    <w:rsid w:val="00372A46"/>
    <w:rsid w:val="00372E1B"/>
    <w:rsid w:val="00372EFA"/>
    <w:rsid w:val="00372F5E"/>
    <w:rsid w:val="00372FE6"/>
    <w:rsid w:val="00373046"/>
    <w:rsid w:val="00373143"/>
    <w:rsid w:val="0037327A"/>
    <w:rsid w:val="0037358A"/>
    <w:rsid w:val="003737F1"/>
    <w:rsid w:val="003738C0"/>
    <w:rsid w:val="003738F3"/>
    <w:rsid w:val="003739A4"/>
    <w:rsid w:val="003739F9"/>
    <w:rsid w:val="00373B7C"/>
    <w:rsid w:val="00373C9B"/>
    <w:rsid w:val="00373DCB"/>
    <w:rsid w:val="00373E0C"/>
    <w:rsid w:val="00373FB4"/>
    <w:rsid w:val="003740C6"/>
    <w:rsid w:val="0037411E"/>
    <w:rsid w:val="00374131"/>
    <w:rsid w:val="0037418F"/>
    <w:rsid w:val="0037419F"/>
    <w:rsid w:val="00374349"/>
    <w:rsid w:val="0037458C"/>
    <w:rsid w:val="003745C1"/>
    <w:rsid w:val="003745C7"/>
    <w:rsid w:val="0037462C"/>
    <w:rsid w:val="00374634"/>
    <w:rsid w:val="0037488F"/>
    <w:rsid w:val="003748A7"/>
    <w:rsid w:val="003748D2"/>
    <w:rsid w:val="00374CCE"/>
    <w:rsid w:val="00374CDE"/>
    <w:rsid w:val="00374D23"/>
    <w:rsid w:val="00374F75"/>
    <w:rsid w:val="00374FAF"/>
    <w:rsid w:val="003750F6"/>
    <w:rsid w:val="003752A3"/>
    <w:rsid w:val="00375545"/>
    <w:rsid w:val="00375629"/>
    <w:rsid w:val="00375775"/>
    <w:rsid w:val="00375807"/>
    <w:rsid w:val="00375922"/>
    <w:rsid w:val="00375948"/>
    <w:rsid w:val="00375C51"/>
    <w:rsid w:val="00375CB0"/>
    <w:rsid w:val="00375DF0"/>
    <w:rsid w:val="00375EDE"/>
    <w:rsid w:val="00376076"/>
    <w:rsid w:val="00376087"/>
    <w:rsid w:val="003760FC"/>
    <w:rsid w:val="0037614C"/>
    <w:rsid w:val="003761FA"/>
    <w:rsid w:val="003763DE"/>
    <w:rsid w:val="00376530"/>
    <w:rsid w:val="00376715"/>
    <w:rsid w:val="00376787"/>
    <w:rsid w:val="0037690C"/>
    <w:rsid w:val="0037695F"/>
    <w:rsid w:val="00376BE5"/>
    <w:rsid w:val="00376BEE"/>
    <w:rsid w:val="00376DF3"/>
    <w:rsid w:val="00376E97"/>
    <w:rsid w:val="00376F84"/>
    <w:rsid w:val="00377096"/>
    <w:rsid w:val="00377288"/>
    <w:rsid w:val="003772DD"/>
    <w:rsid w:val="0037747F"/>
    <w:rsid w:val="0037748C"/>
    <w:rsid w:val="003774C0"/>
    <w:rsid w:val="003776DF"/>
    <w:rsid w:val="00377755"/>
    <w:rsid w:val="003778E9"/>
    <w:rsid w:val="00377A79"/>
    <w:rsid w:val="00377B2C"/>
    <w:rsid w:val="00377BC1"/>
    <w:rsid w:val="00377E35"/>
    <w:rsid w:val="0038020E"/>
    <w:rsid w:val="003802C4"/>
    <w:rsid w:val="0038041F"/>
    <w:rsid w:val="0038058A"/>
    <w:rsid w:val="0038093F"/>
    <w:rsid w:val="003809C8"/>
    <w:rsid w:val="003809DE"/>
    <w:rsid w:val="00380A53"/>
    <w:rsid w:val="00380A76"/>
    <w:rsid w:val="00380BBF"/>
    <w:rsid w:val="00380EC5"/>
    <w:rsid w:val="00380F06"/>
    <w:rsid w:val="003810F3"/>
    <w:rsid w:val="003811F5"/>
    <w:rsid w:val="00381213"/>
    <w:rsid w:val="003813AD"/>
    <w:rsid w:val="00381418"/>
    <w:rsid w:val="00381429"/>
    <w:rsid w:val="003814BE"/>
    <w:rsid w:val="0038150C"/>
    <w:rsid w:val="00381587"/>
    <w:rsid w:val="00381D66"/>
    <w:rsid w:val="00381E33"/>
    <w:rsid w:val="00381EEC"/>
    <w:rsid w:val="00381FD8"/>
    <w:rsid w:val="003820DA"/>
    <w:rsid w:val="0038214C"/>
    <w:rsid w:val="00382277"/>
    <w:rsid w:val="003822F5"/>
    <w:rsid w:val="0038244A"/>
    <w:rsid w:val="00382694"/>
    <w:rsid w:val="003826C7"/>
    <w:rsid w:val="0038276A"/>
    <w:rsid w:val="00382B23"/>
    <w:rsid w:val="00382B46"/>
    <w:rsid w:val="00382B7F"/>
    <w:rsid w:val="00382BFA"/>
    <w:rsid w:val="00382C97"/>
    <w:rsid w:val="00382E19"/>
    <w:rsid w:val="00382E5C"/>
    <w:rsid w:val="00382F24"/>
    <w:rsid w:val="00383331"/>
    <w:rsid w:val="0038355C"/>
    <w:rsid w:val="0038365C"/>
    <w:rsid w:val="0038369B"/>
    <w:rsid w:val="00383800"/>
    <w:rsid w:val="00383806"/>
    <w:rsid w:val="00383826"/>
    <w:rsid w:val="003839A6"/>
    <w:rsid w:val="00383A86"/>
    <w:rsid w:val="00383AEB"/>
    <w:rsid w:val="00383B73"/>
    <w:rsid w:val="00383B78"/>
    <w:rsid w:val="00383D6D"/>
    <w:rsid w:val="00383E32"/>
    <w:rsid w:val="00383E76"/>
    <w:rsid w:val="00383F34"/>
    <w:rsid w:val="00383F75"/>
    <w:rsid w:val="00383F94"/>
    <w:rsid w:val="003840A1"/>
    <w:rsid w:val="0038410F"/>
    <w:rsid w:val="003841D0"/>
    <w:rsid w:val="003843CA"/>
    <w:rsid w:val="0038452A"/>
    <w:rsid w:val="00384881"/>
    <w:rsid w:val="003848CF"/>
    <w:rsid w:val="003849C4"/>
    <w:rsid w:val="003849CB"/>
    <w:rsid w:val="00384CBC"/>
    <w:rsid w:val="00384D06"/>
    <w:rsid w:val="00384E50"/>
    <w:rsid w:val="00384E77"/>
    <w:rsid w:val="00384EB4"/>
    <w:rsid w:val="00384F09"/>
    <w:rsid w:val="003850B7"/>
    <w:rsid w:val="003851CA"/>
    <w:rsid w:val="0038525E"/>
    <w:rsid w:val="00385397"/>
    <w:rsid w:val="003853F5"/>
    <w:rsid w:val="00385571"/>
    <w:rsid w:val="00385768"/>
    <w:rsid w:val="003858E3"/>
    <w:rsid w:val="00385955"/>
    <w:rsid w:val="00385968"/>
    <w:rsid w:val="0038599D"/>
    <w:rsid w:val="00385A42"/>
    <w:rsid w:val="00385A9D"/>
    <w:rsid w:val="00385C56"/>
    <w:rsid w:val="00385FFC"/>
    <w:rsid w:val="0038614F"/>
    <w:rsid w:val="0038618B"/>
    <w:rsid w:val="00386357"/>
    <w:rsid w:val="00386385"/>
    <w:rsid w:val="003863C0"/>
    <w:rsid w:val="003863C4"/>
    <w:rsid w:val="003866BE"/>
    <w:rsid w:val="0038671D"/>
    <w:rsid w:val="00386741"/>
    <w:rsid w:val="0038697B"/>
    <w:rsid w:val="00386B6D"/>
    <w:rsid w:val="00386BC9"/>
    <w:rsid w:val="00386BE0"/>
    <w:rsid w:val="00386CEC"/>
    <w:rsid w:val="00386D0E"/>
    <w:rsid w:val="00386EBD"/>
    <w:rsid w:val="00386F63"/>
    <w:rsid w:val="00387121"/>
    <w:rsid w:val="0038715C"/>
    <w:rsid w:val="00387343"/>
    <w:rsid w:val="0038745A"/>
    <w:rsid w:val="0038755F"/>
    <w:rsid w:val="003875AF"/>
    <w:rsid w:val="0038765E"/>
    <w:rsid w:val="00387715"/>
    <w:rsid w:val="003877B9"/>
    <w:rsid w:val="0038783C"/>
    <w:rsid w:val="00387916"/>
    <w:rsid w:val="00387987"/>
    <w:rsid w:val="00387A69"/>
    <w:rsid w:val="00387B04"/>
    <w:rsid w:val="00387B6A"/>
    <w:rsid w:val="00387FF9"/>
    <w:rsid w:val="00390079"/>
    <w:rsid w:val="003900BF"/>
    <w:rsid w:val="003902A9"/>
    <w:rsid w:val="003902B1"/>
    <w:rsid w:val="003903B2"/>
    <w:rsid w:val="003903B8"/>
    <w:rsid w:val="00390518"/>
    <w:rsid w:val="0039051D"/>
    <w:rsid w:val="00390593"/>
    <w:rsid w:val="003907F8"/>
    <w:rsid w:val="003908E7"/>
    <w:rsid w:val="0039093A"/>
    <w:rsid w:val="00390A92"/>
    <w:rsid w:val="00390B30"/>
    <w:rsid w:val="00390B7D"/>
    <w:rsid w:val="00390D54"/>
    <w:rsid w:val="00390D59"/>
    <w:rsid w:val="003910C8"/>
    <w:rsid w:val="00391183"/>
    <w:rsid w:val="0039127D"/>
    <w:rsid w:val="00391442"/>
    <w:rsid w:val="003916ED"/>
    <w:rsid w:val="0039179C"/>
    <w:rsid w:val="003918F5"/>
    <w:rsid w:val="003919D3"/>
    <w:rsid w:val="00391AC1"/>
    <w:rsid w:val="00391C22"/>
    <w:rsid w:val="00391F16"/>
    <w:rsid w:val="00392083"/>
    <w:rsid w:val="0039211C"/>
    <w:rsid w:val="0039216C"/>
    <w:rsid w:val="0039217F"/>
    <w:rsid w:val="003921E5"/>
    <w:rsid w:val="0039234C"/>
    <w:rsid w:val="00392483"/>
    <w:rsid w:val="003925DB"/>
    <w:rsid w:val="0039267F"/>
    <w:rsid w:val="0039271D"/>
    <w:rsid w:val="00392BBA"/>
    <w:rsid w:val="00392C2A"/>
    <w:rsid w:val="00392CF2"/>
    <w:rsid w:val="00392DA6"/>
    <w:rsid w:val="00392DAB"/>
    <w:rsid w:val="00392DB8"/>
    <w:rsid w:val="00392DCF"/>
    <w:rsid w:val="00392E34"/>
    <w:rsid w:val="00392EC8"/>
    <w:rsid w:val="00392FC5"/>
    <w:rsid w:val="0039322F"/>
    <w:rsid w:val="00393422"/>
    <w:rsid w:val="00393625"/>
    <w:rsid w:val="00393660"/>
    <w:rsid w:val="00393882"/>
    <w:rsid w:val="003939FA"/>
    <w:rsid w:val="00393B25"/>
    <w:rsid w:val="00393B39"/>
    <w:rsid w:val="00393B43"/>
    <w:rsid w:val="00393B47"/>
    <w:rsid w:val="00393DE7"/>
    <w:rsid w:val="00393FB6"/>
    <w:rsid w:val="003940B7"/>
    <w:rsid w:val="0039430F"/>
    <w:rsid w:val="003943A9"/>
    <w:rsid w:val="003943F3"/>
    <w:rsid w:val="0039450A"/>
    <w:rsid w:val="00394570"/>
    <w:rsid w:val="003946CB"/>
    <w:rsid w:val="003947AA"/>
    <w:rsid w:val="0039496C"/>
    <w:rsid w:val="00394995"/>
    <w:rsid w:val="003949FD"/>
    <w:rsid w:val="00394A90"/>
    <w:rsid w:val="00394B1E"/>
    <w:rsid w:val="00394B55"/>
    <w:rsid w:val="00394BC0"/>
    <w:rsid w:val="00394CD6"/>
    <w:rsid w:val="00394DB7"/>
    <w:rsid w:val="00394DD1"/>
    <w:rsid w:val="00394F09"/>
    <w:rsid w:val="00394FF9"/>
    <w:rsid w:val="003950F6"/>
    <w:rsid w:val="00395108"/>
    <w:rsid w:val="0039514F"/>
    <w:rsid w:val="00395184"/>
    <w:rsid w:val="0039520E"/>
    <w:rsid w:val="00395683"/>
    <w:rsid w:val="00395696"/>
    <w:rsid w:val="003956DE"/>
    <w:rsid w:val="00395843"/>
    <w:rsid w:val="00395935"/>
    <w:rsid w:val="00395A15"/>
    <w:rsid w:val="00395B14"/>
    <w:rsid w:val="00395B5A"/>
    <w:rsid w:val="00395BEB"/>
    <w:rsid w:val="00395D7E"/>
    <w:rsid w:val="00395DC9"/>
    <w:rsid w:val="00395DE0"/>
    <w:rsid w:val="003960CD"/>
    <w:rsid w:val="0039648E"/>
    <w:rsid w:val="003965CC"/>
    <w:rsid w:val="003965FD"/>
    <w:rsid w:val="003967E7"/>
    <w:rsid w:val="00396896"/>
    <w:rsid w:val="003968AC"/>
    <w:rsid w:val="003968F1"/>
    <w:rsid w:val="00396CD6"/>
    <w:rsid w:val="00396E01"/>
    <w:rsid w:val="00396EF4"/>
    <w:rsid w:val="00396FD0"/>
    <w:rsid w:val="00397047"/>
    <w:rsid w:val="0039708B"/>
    <w:rsid w:val="003971E2"/>
    <w:rsid w:val="003971E3"/>
    <w:rsid w:val="003973E8"/>
    <w:rsid w:val="00397426"/>
    <w:rsid w:val="0039759D"/>
    <w:rsid w:val="003977C4"/>
    <w:rsid w:val="003978E2"/>
    <w:rsid w:val="00397946"/>
    <w:rsid w:val="00397C84"/>
    <w:rsid w:val="00397F1B"/>
    <w:rsid w:val="003A0061"/>
    <w:rsid w:val="003A0394"/>
    <w:rsid w:val="003A042E"/>
    <w:rsid w:val="003A0884"/>
    <w:rsid w:val="003A0BD0"/>
    <w:rsid w:val="003A0D58"/>
    <w:rsid w:val="003A0D6C"/>
    <w:rsid w:val="003A0E41"/>
    <w:rsid w:val="003A0EC5"/>
    <w:rsid w:val="003A0F97"/>
    <w:rsid w:val="003A0FD0"/>
    <w:rsid w:val="003A11AB"/>
    <w:rsid w:val="003A12DC"/>
    <w:rsid w:val="003A140B"/>
    <w:rsid w:val="003A1428"/>
    <w:rsid w:val="003A180C"/>
    <w:rsid w:val="003A1828"/>
    <w:rsid w:val="003A1A7A"/>
    <w:rsid w:val="003A1AAC"/>
    <w:rsid w:val="003A1ADF"/>
    <w:rsid w:val="003A1BC1"/>
    <w:rsid w:val="003A20FE"/>
    <w:rsid w:val="003A21A4"/>
    <w:rsid w:val="003A22F1"/>
    <w:rsid w:val="003A2326"/>
    <w:rsid w:val="003A2392"/>
    <w:rsid w:val="003A249F"/>
    <w:rsid w:val="003A24EF"/>
    <w:rsid w:val="003A250B"/>
    <w:rsid w:val="003A27AD"/>
    <w:rsid w:val="003A2831"/>
    <w:rsid w:val="003A287D"/>
    <w:rsid w:val="003A297B"/>
    <w:rsid w:val="003A29B3"/>
    <w:rsid w:val="003A29E2"/>
    <w:rsid w:val="003A2A1E"/>
    <w:rsid w:val="003A2A76"/>
    <w:rsid w:val="003A2B84"/>
    <w:rsid w:val="003A2C32"/>
    <w:rsid w:val="003A2C85"/>
    <w:rsid w:val="003A2D71"/>
    <w:rsid w:val="003A2DC1"/>
    <w:rsid w:val="003A2E78"/>
    <w:rsid w:val="003A30CD"/>
    <w:rsid w:val="003A31E9"/>
    <w:rsid w:val="003A3234"/>
    <w:rsid w:val="003A3244"/>
    <w:rsid w:val="003A324A"/>
    <w:rsid w:val="003A32E7"/>
    <w:rsid w:val="003A33B2"/>
    <w:rsid w:val="003A346A"/>
    <w:rsid w:val="003A350C"/>
    <w:rsid w:val="003A36DB"/>
    <w:rsid w:val="003A3806"/>
    <w:rsid w:val="003A3A30"/>
    <w:rsid w:val="003A3A5B"/>
    <w:rsid w:val="003A3ADE"/>
    <w:rsid w:val="003A3C68"/>
    <w:rsid w:val="003A3CB6"/>
    <w:rsid w:val="003A3ED1"/>
    <w:rsid w:val="003A3EF0"/>
    <w:rsid w:val="003A419A"/>
    <w:rsid w:val="003A41D8"/>
    <w:rsid w:val="003A41E1"/>
    <w:rsid w:val="003A44DB"/>
    <w:rsid w:val="003A456B"/>
    <w:rsid w:val="003A477E"/>
    <w:rsid w:val="003A49C4"/>
    <w:rsid w:val="003A4B08"/>
    <w:rsid w:val="003A4BC2"/>
    <w:rsid w:val="003A4BCE"/>
    <w:rsid w:val="003A4C14"/>
    <w:rsid w:val="003A4C4E"/>
    <w:rsid w:val="003A4E3C"/>
    <w:rsid w:val="003A4F2C"/>
    <w:rsid w:val="003A4FD2"/>
    <w:rsid w:val="003A502C"/>
    <w:rsid w:val="003A5474"/>
    <w:rsid w:val="003A5499"/>
    <w:rsid w:val="003A54F7"/>
    <w:rsid w:val="003A550F"/>
    <w:rsid w:val="003A5AB9"/>
    <w:rsid w:val="003A5AEA"/>
    <w:rsid w:val="003A5B93"/>
    <w:rsid w:val="003A5C8F"/>
    <w:rsid w:val="003A5CCC"/>
    <w:rsid w:val="003A5E19"/>
    <w:rsid w:val="003A5EBB"/>
    <w:rsid w:val="003A5ECF"/>
    <w:rsid w:val="003A605A"/>
    <w:rsid w:val="003A6181"/>
    <w:rsid w:val="003A6281"/>
    <w:rsid w:val="003A6322"/>
    <w:rsid w:val="003A6768"/>
    <w:rsid w:val="003A67F5"/>
    <w:rsid w:val="003A686F"/>
    <w:rsid w:val="003A694D"/>
    <w:rsid w:val="003A6B25"/>
    <w:rsid w:val="003A6B3F"/>
    <w:rsid w:val="003A6D06"/>
    <w:rsid w:val="003A6D0C"/>
    <w:rsid w:val="003A6D1A"/>
    <w:rsid w:val="003A70E3"/>
    <w:rsid w:val="003A72A7"/>
    <w:rsid w:val="003A72F7"/>
    <w:rsid w:val="003A7322"/>
    <w:rsid w:val="003A73B6"/>
    <w:rsid w:val="003A7595"/>
    <w:rsid w:val="003A76A4"/>
    <w:rsid w:val="003A772B"/>
    <w:rsid w:val="003A7742"/>
    <w:rsid w:val="003A77FA"/>
    <w:rsid w:val="003A78EA"/>
    <w:rsid w:val="003A7908"/>
    <w:rsid w:val="003A795C"/>
    <w:rsid w:val="003A7D23"/>
    <w:rsid w:val="003A7EAF"/>
    <w:rsid w:val="003A7FD9"/>
    <w:rsid w:val="003B0044"/>
    <w:rsid w:val="003B0123"/>
    <w:rsid w:val="003B0152"/>
    <w:rsid w:val="003B0211"/>
    <w:rsid w:val="003B0301"/>
    <w:rsid w:val="003B0337"/>
    <w:rsid w:val="003B0694"/>
    <w:rsid w:val="003B0874"/>
    <w:rsid w:val="003B08C7"/>
    <w:rsid w:val="003B0B5D"/>
    <w:rsid w:val="003B0D31"/>
    <w:rsid w:val="003B0F36"/>
    <w:rsid w:val="003B0F85"/>
    <w:rsid w:val="003B11EB"/>
    <w:rsid w:val="003B122E"/>
    <w:rsid w:val="003B14E2"/>
    <w:rsid w:val="003B1599"/>
    <w:rsid w:val="003B1658"/>
    <w:rsid w:val="003B1751"/>
    <w:rsid w:val="003B1758"/>
    <w:rsid w:val="003B1829"/>
    <w:rsid w:val="003B198B"/>
    <w:rsid w:val="003B198E"/>
    <w:rsid w:val="003B1A93"/>
    <w:rsid w:val="003B1E0E"/>
    <w:rsid w:val="003B2109"/>
    <w:rsid w:val="003B210B"/>
    <w:rsid w:val="003B2126"/>
    <w:rsid w:val="003B21CB"/>
    <w:rsid w:val="003B22CB"/>
    <w:rsid w:val="003B23A4"/>
    <w:rsid w:val="003B24AF"/>
    <w:rsid w:val="003B2680"/>
    <w:rsid w:val="003B26E0"/>
    <w:rsid w:val="003B283B"/>
    <w:rsid w:val="003B2858"/>
    <w:rsid w:val="003B2A84"/>
    <w:rsid w:val="003B2E3D"/>
    <w:rsid w:val="003B3071"/>
    <w:rsid w:val="003B3097"/>
    <w:rsid w:val="003B32FE"/>
    <w:rsid w:val="003B3658"/>
    <w:rsid w:val="003B381B"/>
    <w:rsid w:val="003B3971"/>
    <w:rsid w:val="003B3BE7"/>
    <w:rsid w:val="003B3F96"/>
    <w:rsid w:val="003B4090"/>
    <w:rsid w:val="003B44B9"/>
    <w:rsid w:val="003B4679"/>
    <w:rsid w:val="003B46C8"/>
    <w:rsid w:val="003B46EC"/>
    <w:rsid w:val="003B48CD"/>
    <w:rsid w:val="003B490E"/>
    <w:rsid w:val="003B4A8D"/>
    <w:rsid w:val="003B4AA6"/>
    <w:rsid w:val="003B4B86"/>
    <w:rsid w:val="003B4D18"/>
    <w:rsid w:val="003B4DED"/>
    <w:rsid w:val="003B4E23"/>
    <w:rsid w:val="003B4E6B"/>
    <w:rsid w:val="003B51D5"/>
    <w:rsid w:val="003B5361"/>
    <w:rsid w:val="003B5421"/>
    <w:rsid w:val="003B5502"/>
    <w:rsid w:val="003B55D1"/>
    <w:rsid w:val="003B55D4"/>
    <w:rsid w:val="003B55D8"/>
    <w:rsid w:val="003B56B8"/>
    <w:rsid w:val="003B5778"/>
    <w:rsid w:val="003B57FE"/>
    <w:rsid w:val="003B5A34"/>
    <w:rsid w:val="003B5A85"/>
    <w:rsid w:val="003B5B61"/>
    <w:rsid w:val="003B5DF5"/>
    <w:rsid w:val="003B60BE"/>
    <w:rsid w:val="003B60C7"/>
    <w:rsid w:val="003B6111"/>
    <w:rsid w:val="003B6138"/>
    <w:rsid w:val="003B613E"/>
    <w:rsid w:val="003B623C"/>
    <w:rsid w:val="003B629C"/>
    <w:rsid w:val="003B62C2"/>
    <w:rsid w:val="003B6442"/>
    <w:rsid w:val="003B66E0"/>
    <w:rsid w:val="003B6710"/>
    <w:rsid w:val="003B68D0"/>
    <w:rsid w:val="003B69EB"/>
    <w:rsid w:val="003B6A38"/>
    <w:rsid w:val="003B6B6D"/>
    <w:rsid w:val="003B6BA7"/>
    <w:rsid w:val="003B6F83"/>
    <w:rsid w:val="003B6F87"/>
    <w:rsid w:val="003B6F8B"/>
    <w:rsid w:val="003B7072"/>
    <w:rsid w:val="003B736F"/>
    <w:rsid w:val="003B74FA"/>
    <w:rsid w:val="003B7550"/>
    <w:rsid w:val="003B756B"/>
    <w:rsid w:val="003B76DF"/>
    <w:rsid w:val="003B7871"/>
    <w:rsid w:val="003B7992"/>
    <w:rsid w:val="003B7A6E"/>
    <w:rsid w:val="003B7B4B"/>
    <w:rsid w:val="003B7D32"/>
    <w:rsid w:val="003B7D69"/>
    <w:rsid w:val="003B7E0F"/>
    <w:rsid w:val="003B7E18"/>
    <w:rsid w:val="003C04D8"/>
    <w:rsid w:val="003C05BE"/>
    <w:rsid w:val="003C094D"/>
    <w:rsid w:val="003C0B3D"/>
    <w:rsid w:val="003C0B91"/>
    <w:rsid w:val="003C0CED"/>
    <w:rsid w:val="003C0D43"/>
    <w:rsid w:val="003C0E4D"/>
    <w:rsid w:val="003C0F6D"/>
    <w:rsid w:val="003C109C"/>
    <w:rsid w:val="003C10CB"/>
    <w:rsid w:val="003C1177"/>
    <w:rsid w:val="003C11BF"/>
    <w:rsid w:val="003C12F9"/>
    <w:rsid w:val="003C1316"/>
    <w:rsid w:val="003C14D0"/>
    <w:rsid w:val="003C1654"/>
    <w:rsid w:val="003C19B0"/>
    <w:rsid w:val="003C1A90"/>
    <w:rsid w:val="003C1BAF"/>
    <w:rsid w:val="003C1BEA"/>
    <w:rsid w:val="003C1F90"/>
    <w:rsid w:val="003C2028"/>
    <w:rsid w:val="003C2340"/>
    <w:rsid w:val="003C2392"/>
    <w:rsid w:val="003C2428"/>
    <w:rsid w:val="003C2882"/>
    <w:rsid w:val="003C28B8"/>
    <w:rsid w:val="003C2AB3"/>
    <w:rsid w:val="003C2C41"/>
    <w:rsid w:val="003C2CCD"/>
    <w:rsid w:val="003C2EBE"/>
    <w:rsid w:val="003C2F5C"/>
    <w:rsid w:val="003C2F94"/>
    <w:rsid w:val="003C2FAD"/>
    <w:rsid w:val="003C2FCA"/>
    <w:rsid w:val="003C3384"/>
    <w:rsid w:val="003C34A6"/>
    <w:rsid w:val="003C35A5"/>
    <w:rsid w:val="003C3742"/>
    <w:rsid w:val="003C3873"/>
    <w:rsid w:val="003C3894"/>
    <w:rsid w:val="003C3994"/>
    <w:rsid w:val="003C3C26"/>
    <w:rsid w:val="003C3D5D"/>
    <w:rsid w:val="003C3E98"/>
    <w:rsid w:val="003C3F7D"/>
    <w:rsid w:val="003C4006"/>
    <w:rsid w:val="003C427F"/>
    <w:rsid w:val="003C4433"/>
    <w:rsid w:val="003C4508"/>
    <w:rsid w:val="003C466A"/>
    <w:rsid w:val="003C474F"/>
    <w:rsid w:val="003C479B"/>
    <w:rsid w:val="003C47AA"/>
    <w:rsid w:val="003C499A"/>
    <w:rsid w:val="003C4BED"/>
    <w:rsid w:val="003C4E2D"/>
    <w:rsid w:val="003C4FF7"/>
    <w:rsid w:val="003C5246"/>
    <w:rsid w:val="003C527A"/>
    <w:rsid w:val="003C52D4"/>
    <w:rsid w:val="003C5349"/>
    <w:rsid w:val="003C53AC"/>
    <w:rsid w:val="003C53D9"/>
    <w:rsid w:val="003C5496"/>
    <w:rsid w:val="003C5497"/>
    <w:rsid w:val="003C5516"/>
    <w:rsid w:val="003C5527"/>
    <w:rsid w:val="003C5542"/>
    <w:rsid w:val="003C58F6"/>
    <w:rsid w:val="003C5985"/>
    <w:rsid w:val="003C59FB"/>
    <w:rsid w:val="003C5AC0"/>
    <w:rsid w:val="003C5C57"/>
    <w:rsid w:val="003C5C7F"/>
    <w:rsid w:val="003C5CA0"/>
    <w:rsid w:val="003C5D77"/>
    <w:rsid w:val="003C5E73"/>
    <w:rsid w:val="003C60F3"/>
    <w:rsid w:val="003C62B3"/>
    <w:rsid w:val="003C662F"/>
    <w:rsid w:val="003C67FE"/>
    <w:rsid w:val="003C6915"/>
    <w:rsid w:val="003C699C"/>
    <w:rsid w:val="003C69E9"/>
    <w:rsid w:val="003C6AE9"/>
    <w:rsid w:val="003C6CA2"/>
    <w:rsid w:val="003C6E2B"/>
    <w:rsid w:val="003C6E62"/>
    <w:rsid w:val="003C6EEB"/>
    <w:rsid w:val="003C6EEF"/>
    <w:rsid w:val="003C7276"/>
    <w:rsid w:val="003C73D4"/>
    <w:rsid w:val="003C7444"/>
    <w:rsid w:val="003C75B4"/>
    <w:rsid w:val="003C75C4"/>
    <w:rsid w:val="003C779E"/>
    <w:rsid w:val="003C7833"/>
    <w:rsid w:val="003C7866"/>
    <w:rsid w:val="003C79AB"/>
    <w:rsid w:val="003C7AAB"/>
    <w:rsid w:val="003C7BD0"/>
    <w:rsid w:val="003C7BD7"/>
    <w:rsid w:val="003C7C15"/>
    <w:rsid w:val="003C7C5E"/>
    <w:rsid w:val="003C7D19"/>
    <w:rsid w:val="003C7D2F"/>
    <w:rsid w:val="003C7E99"/>
    <w:rsid w:val="003C7EF1"/>
    <w:rsid w:val="003C7FF6"/>
    <w:rsid w:val="003C7FFB"/>
    <w:rsid w:val="003D021A"/>
    <w:rsid w:val="003D0283"/>
    <w:rsid w:val="003D029C"/>
    <w:rsid w:val="003D038B"/>
    <w:rsid w:val="003D041E"/>
    <w:rsid w:val="003D0435"/>
    <w:rsid w:val="003D0986"/>
    <w:rsid w:val="003D0BC2"/>
    <w:rsid w:val="003D0C5A"/>
    <w:rsid w:val="003D0C7F"/>
    <w:rsid w:val="003D0F7C"/>
    <w:rsid w:val="003D1021"/>
    <w:rsid w:val="003D1039"/>
    <w:rsid w:val="003D1200"/>
    <w:rsid w:val="003D12E6"/>
    <w:rsid w:val="003D12F6"/>
    <w:rsid w:val="003D13CF"/>
    <w:rsid w:val="003D1427"/>
    <w:rsid w:val="003D15B3"/>
    <w:rsid w:val="003D15F7"/>
    <w:rsid w:val="003D16B3"/>
    <w:rsid w:val="003D174A"/>
    <w:rsid w:val="003D1828"/>
    <w:rsid w:val="003D1929"/>
    <w:rsid w:val="003D1BA8"/>
    <w:rsid w:val="003D1C08"/>
    <w:rsid w:val="003D1C09"/>
    <w:rsid w:val="003D1DE4"/>
    <w:rsid w:val="003D1DF9"/>
    <w:rsid w:val="003D1E9A"/>
    <w:rsid w:val="003D1F1A"/>
    <w:rsid w:val="003D2021"/>
    <w:rsid w:val="003D2123"/>
    <w:rsid w:val="003D215A"/>
    <w:rsid w:val="003D2190"/>
    <w:rsid w:val="003D2323"/>
    <w:rsid w:val="003D23B7"/>
    <w:rsid w:val="003D23B9"/>
    <w:rsid w:val="003D2422"/>
    <w:rsid w:val="003D2449"/>
    <w:rsid w:val="003D2525"/>
    <w:rsid w:val="003D2C40"/>
    <w:rsid w:val="003D2C64"/>
    <w:rsid w:val="003D2F52"/>
    <w:rsid w:val="003D310B"/>
    <w:rsid w:val="003D3361"/>
    <w:rsid w:val="003D3500"/>
    <w:rsid w:val="003D36B1"/>
    <w:rsid w:val="003D3724"/>
    <w:rsid w:val="003D39A1"/>
    <w:rsid w:val="003D3B04"/>
    <w:rsid w:val="003D3BDE"/>
    <w:rsid w:val="003D3C27"/>
    <w:rsid w:val="003D3D3F"/>
    <w:rsid w:val="003D3EED"/>
    <w:rsid w:val="003D3F44"/>
    <w:rsid w:val="003D3FBF"/>
    <w:rsid w:val="003D3FC7"/>
    <w:rsid w:val="003D40D9"/>
    <w:rsid w:val="003D4107"/>
    <w:rsid w:val="003D41AA"/>
    <w:rsid w:val="003D4257"/>
    <w:rsid w:val="003D4297"/>
    <w:rsid w:val="003D42D3"/>
    <w:rsid w:val="003D4509"/>
    <w:rsid w:val="003D4998"/>
    <w:rsid w:val="003D49FD"/>
    <w:rsid w:val="003D4A28"/>
    <w:rsid w:val="003D4A30"/>
    <w:rsid w:val="003D4D10"/>
    <w:rsid w:val="003D4FF7"/>
    <w:rsid w:val="003D505D"/>
    <w:rsid w:val="003D508F"/>
    <w:rsid w:val="003D50AF"/>
    <w:rsid w:val="003D5156"/>
    <w:rsid w:val="003D5200"/>
    <w:rsid w:val="003D5403"/>
    <w:rsid w:val="003D541D"/>
    <w:rsid w:val="003D5452"/>
    <w:rsid w:val="003D54B1"/>
    <w:rsid w:val="003D54FD"/>
    <w:rsid w:val="003D5548"/>
    <w:rsid w:val="003D56C0"/>
    <w:rsid w:val="003D584A"/>
    <w:rsid w:val="003D5B1C"/>
    <w:rsid w:val="003D5B34"/>
    <w:rsid w:val="003D5C24"/>
    <w:rsid w:val="003D5CEE"/>
    <w:rsid w:val="003D5D99"/>
    <w:rsid w:val="003D5DF0"/>
    <w:rsid w:val="003D5EEF"/>
    <w:rsid w:val="003D6042"/>
    <w:rsid w:val="003D606D"/>
    <w:rsid w:val="003D61BB"/>
    <w:rsid w:val="003D62C1"/>
    <w:rsid w:val="003D6351"/>
    <w:rsid w:val="003D63A5"/>
    <w:rsid w:val="003D654A"/>
    <w:rsid w:val="003D664B"/>
    <w:rsid w:val="003D6651"/>
    <w:rsid w:val="003D67FF"/>
    <w:rsid w:val="003D6A12"/>
    <w:rsid w:val="003D6A2D"/>
    <w:rsid w:val="003D6CD6"/>
    <w:rsid w:val="003D703E"/>
    <w:rsid w:val="003D7262"/>
    <w:rsid w:val="003D735F"/>
    <w:rsid w:val="003D7452"/>
    <w:rsid w:val="003D74A9"/>
    <w:rsid w:val="003D74AD"/>
    <w:rsid w:val="003D7549"/>
    <w:rsid w:val="003D75F8"/>
    <w:rsid w:val="003D77BA"/>
    <w:rsid w:val="003D783C"/>
    <w:rsid w:val="003D79BB"/>
    <w:rsid w:val="003D7B97"/>
    <w:rsid w:val="003D7BCA"/>
    <w:rsid w:val="003D7C98"/>
    <w:rsid w:val="003D7CCD"/>
    <w:rsid w:val="003D7D9D"/>
    <w:rsid w:val="003D7EAC"/>
    <w:rsid w:val="003D7FC1"/>
    <w:rsid w:val="003D7FD9"/>
    <w:rsid w:val="003E0070"/>
    <w:rsid w:val="003E0123"/>
    <w:rsid w:val="003E0348"/>
    <w:rsid w:val="003E0353"/>
    <w:rsid w:val="003E049E"/>
    <w:rsid w:val="003E0543"/>
    <w:rsid w:val="003E0702"/>
    <w:rsid w:val="003E0754"/>
    <w:rsid w:val="003E08AF"/>
    <w:rsid w:val="003E08C0"/>
    <w:rsid w:val="003E0917"/>
    <w:rsid w:val="003E0A3F"/>
    <w:rsid w:val="003E0B63"/>
    <w:rsid w:val="003E0BE2"/>
    <w:rsid w:val="003E0C7B"/>
    <w:rsid w:val="003E0D5A"/>
    <w:rsid w:val="003E0DF0"/>
    <w:rsid w:val="003E0F1E"/>
    <w:rsid w:val="003E0F48"/>
    <w:rsid w:val="003E100E"/>
    <w:rsid w:val="003E10CC"/>
    <w:rsid w:val="003E113D"/>
    <w:rsid w:val="003E114D"/>
    <w:rsid w:val="003E12FC"/>
    <w:rsid w:val="003E1596"/>
    <w:rsid w:val="003E159E"/>
    <w:rsid w:val="003E1713"/>
    <w:rsid w:val="003E1782"/>
    <w:rsid w:val="003E180F"/>
    <w:rsid w:val="003E1816"/>
    <w:rsid w:val="003E1824"/>
    <w:rsid w:val="003E19A1"/>
    <w:rsid w:val="003E19FB"/>
    <w:rsid w:val="003E1A4A"/>
    <w:rsid w:val="003E1AA3"/>
    <w:rsid w:val="003E1BE0"/>
    <w:rsid w:val="003E1DE1"/>
    <w:rsid w:val="003E1E32"/>
    <w:rsid w:val="003E1E46"/>
    <w:rsid w:val="003E1E8F"/>
    <w:rsid w:val="003E1EE3"/>
    <w:rsid w:val="003E2006"/>
    <w:rsid w:val="003E20E8"/>
    <w:rsid w:val="003E24EB"/>
    <w:rsid w:val="003E250F"/>
    <w:rsid w:val="003E2616"/>
    <w:rsid w:val="003E265F"/>
    <w:rsid w:val="003E271D"/>
    <w:rsid w:val="003E27E0"/>
    <w:rsid w:val="003E2C42"/>
    <w:rsid w:val="003E2CB9"/>
    <w:rsid w:val="003E2DE0"/>
    <w:rsid w:val="003E2F9B"/>
    <w:rsid w:val="003E2FD5"/>
    <w:rsid w:val="003E34C8"/>
    <w:rsid w:val="003E35F2"/>
    <w:rsid w:val="003E35F7"/>
    <w:rsid w:val="003E361A"/>
    <w:rsid w:val="003E36CA"/>
    <w:rsid w:val="003E36DA"/>
    <w:rsid w:val="003E3719"/>
    <w:rsid w:val="003E37CE"/>
    <w:rsid w:val="003E3BD5"/>
    <w:rsid w:val="003E3C52"/>
    <w:rsid w:val="003E3DEF"/>
    <w:rsid w:val="003E3F79"/>
    <w:rsid w:val="003E4046"/>
    <w:rsid w:val="003E411B"/>
    <w:rsid w:val="003E41DF"/>
    <w:rsid w:val="003E4211"/>
    <w:rsid w:val="003E45D1"/>
    <w:rsid w:val="003E4692"/>
    <w:rsid w:val="003E46AF"/>
    <w:rsid w:val="003E46E2"/>
    <w:rsid w:val="003E474B"/>
    <w:rsid w:val="003E4994"/>
    <w:rsid w:val="003E4B3F"/>
    <w:rsid w:val="003E4FBA"/>
    <w:rsid w:val="003E50B4"/>
    <w:rsid w:val="003E50E8"/>
    <w:rsid w:val="003E5140"/>
    <w:rsid w:val="003E522D"/>
    <w:rsid w:val="003E529D"/>
    <w:rsid w:val="003E52C5"/>
    <w:rsid w:val="003E52D8"/>
    <w:rsid w:val="003E536E"/>
    <w:rsid w:val="003E539C"/>
    <w:rsid w:val="003E54A6"/>
    <w:rsid w:val="003E5603"/>
    <w:rsid w:val="003E56F4"/>
    <w:rsid w:val="003E5919"/>
    <w:rsid w:val="003E59EE"/>
    <w:rsid w:val="003E5A81"/>
    <w:rsid w:val="003E5C51"/>
    <w:rsid w:val="003E5D58"/>
    <w:rsid w:val="003E5E65"/>
    <w:rsid w:val="003E6165"/>
    <w:rsid w:val="003E6181"/>
    <w:rsid w:val="003E61D5"/>
    <w:rsid w:val="003E628E"/>
    <w:rsid w:val="003E6612"/>
    <w:rsid w:val="003E66FA"/>
    <w:rsid w:val="003E670D"/>
    <w:rsid w:val="003E6985"/>
    <w:rsid w:val="003E6D17"/>
    <w:rsid w:val="003E6D3F"/>
    <w:rsid w:val="003E6DBF"/>
    <w:rsid w:val="003E6DE1"/>
    <w:rsid w:val="003E6F42"/>
    <w:rsid w:val="003E6F4F"/>
    <w:rsid w:val="003E717D"/>
    <w:rsid w:val="003E7306"/>
    <w:rsid w:val="003E7326"/>
    <w:rsid w:val="003E749E"/>
    <w:rsid w:val="003E74E5"/>
    <w:rsid w:val="003E75B3"/>
    <w:rsid w:val="003E7719"/>
    <w:rsid w:val="003E77AC"/>
    <w:rsid w:val="003E7824"/>
    <w:rsid w:val="003E7894"/>
    <w:rsid w:val="003E78E7"/>
    <w:rsid w:val="003E797C"/>
    <w:rsid w:val="003E7A00"/>
    <w:rsid w:val="003E7F2F"/>
    <w:rsid w:val="003F0019"/>
    <w:rsid w:val="003F0205"/>
    <w:rsid w:val="003F0262"/>
    <w:rsid w:val="003F029A"/>
    <w:rsid w:val="003F0479"/>
    <w:rsid w:val="003F0637"/>
    <w:rsid w:val="003F0699"/>
    <w:rsid w:val="003F081F"/>
    <w:rsid w:val="003F095D"/>
    <w:rsid w:val="003F0972"/>
    <w:rsid w:val="003F09A1"/>
    <w:rsid w:val="003F0A20"/>
    <w:rsid w:val="003F0B5A"/>
    <w:rsid w:val="003F0BC1"/>
    <w:rsid w:val="003F0BC5"/>
    <w:rsid w:val="003F0C86"/>
    <w:rsid w:val="003F0E01"/>
    <w:rsid w:val="003F0F9B"/>
    <w:rsid w:val="003F1430"/>
    <w:rsid w:val="003F1885"/>
    <w:rsid w:val="003F18A3"/>
    <w:rsid w:val="003F1904"/>
    <w:rsid w:val="003F194E"/>
    <w:rsid w:val="003F19F7"/>
    <w:rsid w:val="003F1A00"/>
    <w:rsid w:val="003F1B38"/>
    <w:rsid w:val="003F1C0B"/>
    <w:rsid w:val="003F1FB9"/>
    <w:rsid w:val="003F203C"/>
    <w:rsid w:val="003F2098"/>
    <w:rsid w:val="003F20DD"/>
    <w:rsid w:val="003F2425"/>
    <w:rsid w:val="003F243B"/>
    <w:rsid w:val="003F25FE"/>
    <w:rsid w:val="003F264E"/>
    <w:rsid w:val="003F266F"/>
    <w:rsid w:val="003F27CE"/>
    <w:rsid w:val="003F28E7"/>
    <w:rsid w:val="003F2BB2"/>
    <w:rsid w:val="003F2BC9"/>
    <w:rsid w:val="003F2D6B"/>
    <w:rsid w:val="003F2EDA"/>
    <w:rsid w:val="003F2F7E"/>
    <w:rsid w:val="003F30AA"/>
    <w:rsid w:val="003F326D"/>
    <w:rsid w:val="003F35B8"/>
    <w:rsid w:val="003F36CF"/>
    <w:rsid w:val="003F3824"/>
    <w:rsid w:val="003F3A5A"/>
    <w:rsid w:val="003F3B14"/>
    <w:rsid w:val="003F3CF1"/>
    <w:rsid w:val="003F3EDA"/>
    <w:rsid w:val="003F40A2"/>
    <w:rsid w:val="003F4156"/>
    <w:rsid w:val="003F42F8"/>
    <w:rsid w:val="003F4357"/>
    <w:rsid w:val="003F43CC"/>
    <w:rsid w:val="003F492A"/>
    <w:rsid w:val="003F4BB6"/>
    <w:rsid w:val="003F4BE7"/>
    <w:rsid w:val="003F4BFB"/>
    <w:rsid w:val="003F4CE0"/>
    <w:rsid w:val="003F4F9D"/>
    <w:rsid w:val="003F4FB1"/>
    <w:rsid w:val="003F526E"/>
    <w:rsid w:val="003F5315"/>
    <w:rsid w:val="003F5339"/>
    <w:rsid w:val="003F5485"/>
    <w:rsid w:val="003F554D"/>
    <w:rsid w:val="003F559B"/>
    <w:rsid w:val="003F56CA"/>
    <w:rsid w:val="003F5774"/>
    <w:rsid w:val="003F57A7"/>
    <w:rsid w:val="003F57DD"/>
    <w:rsid w:val="003F5915"/>
    <w:rsid w:val="003F598E"/>
    <w:rsid w:val="003F5ADF"/>
    <w:rsid w:val="003F5BCB"/>
    <w:rsid w:val="003F5D16"/>
    <w:rsid w:val="003F5DA6"/>
    <w:rsid w:val="003F5F54"/>
    <w:rsid w:val="003F5F6B"/>
    <w:rsid w:val="003F6116"/>
    <w:rsid w:val="003F6165"/>
    <w:rsid w:val="003F629F"/>
    <w:rsid w:val="003F635C"/>
    <w:rsid w:val="003F63C4"/>
    <w:rsid w:val="003F6453"/>
    <w:rsid w:val="003F64AC"/>
    <w:rsid w:val="003F66A5"/>
    <w:rsid w:val="003F6862"/>
    <w:rsid w:val="003F6A5F"/>
    <w:rsid w:val="003F6A9E"/>
    <w:rsid w:val="003F6DE7"/>
    <w:rsid w:val="003F6E4C"/>
    <w:rsid w:val="003F6EFD"/>
    <w:rsid w:val="003F6F87"/>
    <w:rsid w:val="003F6FC1"/>
    <w:rsid w:val="003F70B9"/>
    <w:rsid w:val="003F71B2"/>
    <w:rsid w:val="003F71E1"/>
    <w:rsid w:val="003F723A"/>
    <w:rsid w:val="003F73DA"/>
    <w:rsid w:val="003F7458"/>
    <w:rsid w:val="003F786E"/>
    <w:rsid w:val="003F7AFC"/>
    <w:rsid w:val="003F7BE9"/>
    <w:rsid w:val="003F7CE0"/>
    <w:rsid w:val="003F7F1E"/>
    <w:rsid w:val="0040007E"/>
    <w:rsid w:val="00400092"/>
    <w:rsid w:val="004000F3"/>
    <w:rsid w:val="0040011B"/>
    <w:rsid w:val="00400429"/>
    <w:rsid w:val="00400436"/>
    <w:rsid w:val="00400457"/>
    <w:rsid w:val="0040053D"/>
    <w:rsid w:val="004005F0"/>
    <w:rsid w:val="004007EA"/>
    <w:rsid w:val="004008DF"/>
    <w:rsid w:val="00400B08"/>
    <w:rsid w:val="00400B29"/>
    <w:rsid w:val="00400B49"/>
    <w:rsid w:val="00400C06"/>
    <w:rsid w:val="00400C6A"/>
    <w:rsid w:val="00400F1A"/>
    <w:rsid w:val="004010D2"/>
    <w:rsid w:val="0040112A"/>
    <w:rsid w:val="00401287"/>
    <w:rsid w:val="004012AA"/>
    <w:rsid w:val="004012C6"/>
    <w:rsid w:val="004013C6"/>
    <w:rsid w:val="0040156F"/>
    <w:rsid w:val="00401597"/>
    <w:rsid w:val="00401816"/>
    <w:rsid w:val="00401AE9"/>
    <w:rsid w:val="00401C48"/>
    <w:rsid w:val="00401D84"/>
    <w:rsid w:val="00401E5C"/>
    <w:rsid w:val="00401F47"/>
    <w:rsid w:val="004020B5"/>
    <w:rsid w:val="0040214D"/>
    <w:rsid w:val="004021F7"/>
    <w:rsid w:val="00402308"/>
    <w:rsid w:val="0040234B"/>
    <w:rsid w:val="00402427"/>
    <w:rsid w:val="0040259C"/>
    <w:rsid w:val="00402603"/>
    <w:rsid w:val="004026E7"/>
    <w:rsid w:val="00402812"/>
    <w:rsid w:val="0040284B"/>
    <w:rsid w:val="00402909"/>
    <w:rsid w:val="00402966"/>
    <w:rsid w:val="00402B6B"/>
    <w:rsid w:val="00402C84"/>
    <w:rsid w:val="00402D1B"/>
    <w:rsid w:val="00402EEA"/>
    <w:rsid w:val="00402FB2"/>
    <w:rsid w:val="0040330B"/>
    <w:rsid w:val="00403382"/>
    <w:rsid w:val="00403469"/>
    <w:rsid w:val="00403646"/>
    <w:rsid w:val="00403834"/>
    <w:rsid w:val="00403886"/>
    <w:rsid w:val="00403A93"/>
    <w:rsid w:val="00403FEC"/>
    <w:rsid w:val="00404207"/>
    <w:rsid w:val="004042A9"/>
    <w:rsid w:val="004043FB"/>
    <w:rsid w:val="0040446E"/>
    <w:rsid w:val="0040456F"/>
    <w:rsid w:val="004046E2"/>
    <w:rsid w:val="00404715"/>
    <w:rsid w:val="00404785"/>
    <w:rsid w:val="004047FD"/>
    <w:rsid w:val="004048C9"/>
    <w:rsid w:val="004048CD"/>
    <w:rsid w:val="0040496D"/>
    <w:rsid w:val="00404987"/>
    <w:rsid w:val="00404A10"/>
    <w:rsid w:val="00404BB8"/>
    <w:rsid w:val="00404BF7"/>
    <w:rsid w:val="00404C1E"/>
    <w:rsid w:val="00404DDC"/>
    <w:rsid w:val="00404F42"/>
    <w:rsid w:val="00404F83"/>
    <w:rsid w:val="0040503B"/>
    <w:rsid w:val="0040504B"/>
    <w:rsid w:val="004051C0"/>
    <w:rsid w:val="00405366"/>
    <w:rsid w:val="00405524"/>
    <w:rsid w:val="0040557B"/>
    <w:rsid w:val="004059F4"/>
    <w:rsid w:val="00405AB0"/>
    <w:rsid w:val="00405B4B"/>
    <w:rsid w:val="00405C46"/>
    <w:rsid w:val="00405D98"/>
    <w:rsid w:val="00405DAD"/>
    <w:rsid w:val="00406053"/>
    <w:rsid w:val="00406214"/>
    <w:rsid w:val="004066CF"/>
    <w:rsid w:val="00406757"/>
    <w:rsid w:val="0040676D"/>
    <w:rsid w:val="00406797"/>
    <w:rsid w:val="004068BC"/>
    <w:rsid w:val="0040697F"/>
    <w:rsid w:val="00406A1D"/>
    <w:rsid w:val="00406CC2"/>
    <w:rsid w:val="00406DDF"/>
    <w:rsid w:val="00406E29"/>
    <w:rsid w:val="00407055"/>
    <w:rsid w:val="004070D0"/>
    <w:rsid w:val="00407165"/>
    <w:rsid w:val="00407316"/>
    <w:rsid w:val="004074AD"/>
    <w:rsid w:val="004075C3"/>
    <w:rsid w:val="00407640"/>
    <w:rsid w:val="00407788"/>
    <w:rsid w:val="00407944"/>
    <w:rsid w:val="004079AD"/>
    <w:rsid w:val="00407A10"/>
    <w:rsid w:val="00407C03"/>
    <w:rsid w:val="00407D9A"/>
    <w:rsid w:val="00407DAB"/>
    <w:rsid w:val="00407E36"/>
    <w:rsid w:val="00407EAB"/>
    <w:rsid w:val="00407FD2"/>
    <w:rsid w:val="00407FE5"/>
    <w:rsid w:val="00410010"/>
    <w:rsid w:val="00410023"/>
    <w:rsid w:val="0041002B"/>
    <w:rsid w:val="004101B0"/>
    <w:rsid w:val="004101EC"/>
    <w:rsid w:val="00410326"/>
    <w:rsid w:val="0041038B"/>
    <w:rsid w:val="004103B0"/>
    <w:rsid w:val="00410708"/>
    <w:rsid w:val="0041081A"/>
    <w:rsid w:val="00410824"/>
    <w:rsid w:val="004109D7"/>
    <w:rsid w:val="00410A29"/>
    <w:rsid w:val="00410B8E"/>
    <w:rsid w:val="00410BA1"/>
    <w:rsid w:val="00410EC7"/>
    <w:rsid w:val="00410FFA"/>
    <w:rsid w:val="00411156"/>
    <w:rsid w:val="004112D2"/>
    <w:rsid w:val="004112F4"/>
    <w:rsid w:val="00411305"/>
    <w:rsid w:val="0041150C"/>
    <w:rsid w:val="00411724"/>
    <w:rsid w:val="004118B6"/>
    <w:rsid w:val="004119C5"/>
    <w:rsid w:val="00411B09"/>
    <w:rsid w:val="00411B39"/>
    <w:rsid w:val="00411B5D"/>
    <w:rsid w:val="00411BDB"/>
    <w:rsid w:val="00411CC1"/>
    <w:rsid w:val="00412139"/>
    <w:rsid w:val="004127A7"/>
    <w:rsid w:val="0041286C"/>
    <w:rsid w:val="00412C73"/>
    <w:rsid w:val="00412DC0"/>
    <w:rsid w:val="00412F08"/>
    <w:rsid w:val="004130C4"/>
    <w:rsid w:val="0041337F"/>
    <w:rsid w:val="004134B9"/>
    <w:rsid w:val="004136F6"/>
    <w:rsid w:val="00413803"/>
    <w:rsid w:val="00413A0B"/>
    <w:rsid w:val="00413A1E"/>
    <w:rsid w:val="00413B17"/>
    <w:rsid w:val="00413B8C"/>
    <w:rsid w:val="00413DC0"/>
    <w:rsid w:val="00413DE8"/>
    <w:rsid w:val="00413F78"/>
    <w:rsid w:val="00414069"/>
    <w:rsid w:val="00414092"/>
    <w:rsid w:val="004141BF"/>
    <w:rsid w:val="0041428D"/>
    <w:rsid w:val="00414476"/>
    <w:rsid w:val="004144A4"/>
    <w:rsid w:val="004147C5"/>
    <w:rsid w:val="004147EC"/>
    <w:rsid w:val="004148A9"/>
    <w:rsid w:val="00414A5B"/>
    <w:rsid w:val="00414A87"/>
    <w:rsid w:val="00414C2E"/>
    <w:rsid w:val="00414C84"/>
    <w:rsid w:val="00414D79"/>
    <w:rsid w:val="00414E72"/>
    <w:rsid w:val="00414E76"/>
    <w:rsid w:val="00414F42"/>
    <w:rsid w:val="00415178"/>
    <w:rsid w:val="004151CF"/>
    <w:rsid w:val="00415248"/>
    <w:rsid w:val="00415273"/>
    <w:rsid w:val="0041529E"/>
    <w:rsid w:val="004159C1"/>
    <w:rsid w:val="00415A4A"/>
    <w:rsid w:val="00415BE0"/>
    <w:rsid w:val="00415C5C"/>
    <w:rsid w:val="00415C95"/>
    <w:rsid w:val="00415D94"/>
    <w:rsid w:val="00415ED4"/>
    <w:rsid w:val="00416162"/>
    <w:rsid w:val="0041625C"/>
    <w:rsid w:val="00416300"/>
    <w:rsid w:val="00416322"/>
    <w:rsid w:val="00416364"/>
    <w:rsid w:val="004163BA"/>
    <w:rsid w:val="0041679D"/>
    <w:rsid w:val="004167BD"/>
    <w:rsid w:val="0041699D"/>
    <w:rsid w:val="00416A5C"/>
    <w:rsid w:val="00416B58"/>
    <w:rsid w:val="00416C23"/>
    <w:rsid w:val="00416F13"/>
    <w:rsid w:val="00416FFC"/>
    <w:rsid w:val="00417040"/>
    <w:rsid w:val="00417218"/>
    <w:rsid w:val="004172B3"/>
    <w:rsid w:val="004173AB"/>
    <w:rsid w:val="004179B3"/>
    <w:rsid w:val="00417AC9"/>
    <w:rsid w:val="00417B65"/>
    <w:rsid w:val="00417BED"/>
    <w:rsid w:val="00417C2C"/>
    <w:rsid w:val="00417CD4"/>
    <w:rsid w:val="00417CFD"/>
    <w:rsid w:val="00417D45"/>
    <w:rsid w:val="00417EE0"/>
    <w:rsid w:val="00417F20"/>
    <w:rsid w:val="00417FFA"/>
    <w:rsid w:val="00420021"/>
    <w:rsid w:val="004201FE"/>
    <w:rsid w:val="004203A4"/>
    <w:rsid w:val="0042047F"/>
    <w:rsid w:val="004204EF"/>
    <w:rsid w:val="00420946"/>
    <w:rsid w:val="00420973"/>
    <w:rsid w:val="004209B3"/>
    <w:rsid w:val="00420AA6"/>
    <w:rsid w:val="00420B1A"/>
    <w:rsid w:val="00420B9B"/>
    <w:rsid w:val="00420B9F"/>
    <w:rsid w:val="00420E5E"/>
    <w:rsid w:val="00420E92"/>
    <w:rsid w:val="00420FDD"/>
    <w:rsid w:val="00421253"/>
    <w:rsid w:val="0042136A"/>
    <w:rsid w:val="004213ED"/>
    <w:rsid w:val="004214A0"/>
    <w:rsid w:val="0042162F"/>
    <w:rsid w:val="0042163B"/>
    <w:rsid w:val="0042192C"/>
    <w:rsid w:val="00421AC3"/>
    <w:rsid w:val="00421B55"/>
    <w:rsid w:val="00421F04"/>
    <w:rsid w:val="004220AB"/>
    <w:rsid w:val="00422260"/>
    <w:rsid w:val="004222CC"/>
    <w:rsid w:val="0042231D"/>
    <w:rsid w:val="004223A2"/>
    <w:rsid w:val="004224D2"/>
    <w:rsid w:val="00422675"/>
    <w:rsid w:val="004226AE"/>
    <w:rsid w:val="004226D8"/>
    <w:rsid w:val="004226FF"/>
    <w:rsid w:val="004227B1"/>
    <w:rsid w:val="004227C0"/>
    <w:rsid w:val="00422986"/>
    <w:rsid w:val="00422D25"/>
    <w:rsid w:val="00422DFD"/>
    <w:rsid w:val="00423296"/>
    <w:rsid w:val="004232E4"/>
    <w:rsid w:val="004232FC"/>
    <w:rsid w:val="00423411"/>
    <w:rsid w:val="0042353A"/>
    <w:rsid w:val="004236D2"/>
    <w:rsid w:val="00423886"/>
    <w:rsid w:val="00423938"/>
    <w:rsid w:val="00423B50"/>
    <w:rsid w:val="00423DA3"/>
    <w:rsid w:val="004240A7"/>
    <w:rsid w:val="0042413F"/>
    <w:rsid w:val="004241FB"/>
    <w:rsid w:val="00424263"/>
    <w:rsid w:val="00424277"/>
    <w:rsid w:val="0042451B"/>
    <w:rsid w:val="004245AC"/>
    <w:rsid w:val="004245B8"/>
    <w:rsid w:val="004245F0"/>
    <w:rsid w:val="00424643"/>
    <w:rsid w:val="004246A3"/>
    <w:rsid w:val="00424726"/>
    <w:rsid w:val="00424856"/>
    <w:rsid w:val="004248C6"/>
    <w:rsid w:val="00424907"/>
    <w:rsid w:val="00424A88"/>
    <w:rsid w:val="00424B5E"/>
    <w:rsid w:val="00424BEF"/>
    <w:rsid w:val="00424CFA"/>
    <w:rsid w:val="00424E80"/>
    <w:rsid w:val="00424E9F"/>
    <w:rsid w:val="00424F15"/>
    <w:rsid w:val="00425186"/>
    <w:rsid w:val="0042525B"/>
    <w:rsid w:val="004252CA"/>
    <w:rsid w:val="00425330"/>
    <w:rsid w:val="00425355"/>
    <w:rsid w:val="0042548B"/>
    <w:rsid w:val="00425667"/>
    <w:rsid w:val="004256F5"/>
    <w:rsid w:val="004259F9"/>
    <w:rsid w:val="00425B72"/>
    <w:rsid w:val="00425B91"/>
    <w:rsid w:val="00425D73"/>
    <w:rsid w:val="00425D74"/>
    <w:rsid w:val="00425F8D"/>
    <w:rsid w:val="00425F98"/>
    <w:rsid w:val="00426045"/>
    <w:rsid w:val="004261C4"/>
    <w:rsid w:val="004262A3"/>
    <w:rsid w:val="00426368"/>
    <w:rsid w:val="004264A2"/>
    <w:rsid w:val="00426527"/>
    <w:rsid w:val="0042677C"/>
    <w:rsid w:val="0042686B"/>
    <w:rsid w:val="00426A8C"/>
    <w:rsid w:val="00426BF6"/>
    <w:rsid w:val="00426C49"/>
    <w:rsid w:val="00426C9A"/>
    <w:rsid w:val="0042703D"/>
    <w:rsid w:val="004271EF"/>
    <w:rsid w:val="0042733B"/>
    <w:rsid w:val="004273E8"/>
    <w:rsid w:val="00427545"/>
    <w:rsid w:val="0042758B"/>
    <w:rsid w:val="00427600"/>
    <w:rsid w:val="00427663"/>
    <w:rsid w:val="00427706"/>
    <w:rsid w:val="00427748"/>
    <w:rsid w:val="00427B35"/>
    <w:rsid w:val="00427B5E"/>
    <w:rsid w:val="00427BD0"/>
    <w:rsid w:val="00427C75"/>
    <w:rsid w:val="00427E10"/>
    <w:rsid w:val="00430129"/>
    <w:rsid w:val="004301B3"/>
    <w:rsid w:val="00430264"/>
    <w:rsid w:val="00430267"/>
    <w:rsid w:val="004303B7"/>
    <w:rsid w:val="004303CD"/>
    <w:rsid w:val="00430520"/>
    <w:rsid w:val="004306A9"/>
    <w:rsid w:val="00430759"/>
    <w:rsid w:val="0043091D"/>
    <w:rsid w:val="0043093C"/>
    <w:rsid w:val="004309D7"/>
    <w:rsid w:val="00430A1D"/>
    <w:rsid w:val="00430A42"/>
    <w:rsid w:val="00430B9A"/>
    <w:rsid w:val="00430FA7"/>
    <w:rsid w:val="00431110"/>
    <w:rsid w:val="0043115F"/>
    <w:rsid w:val="00431214"/>
    <w:rsid w:val="004313CF"/>
    <w:rsid w:val="004313DC"/>
    <w:rsid w:val="00431559"/>
    <w:rsid w:val="0043167C"/>
    <w:rsid w:val="004316C9"/>
    <w:rsid w:val="0043175E"/>
    <w:rsid w:val="00431795"/>
    <w:rsid w:val="00431834"/>
    <w:rsid w:val="00431843"/>
    <w:rsid w:val="004318E9"/>
    <w:rsid w:val="00431926"/>
    <w:rsid w:val="00431934"/>
    <w:rsid w:val="004319F8"/>
    <w:rsid w:val="00431BC6"/>
    <w:rsid w:val="00431E55"/>
    <w:rsid w:val="00431EAD"/>
    <w:rsid w:val="00431FAB"/>
    <w:rsid w:val="004320BA"/>
    <w:rsid w:val="0043216F"/>
    <w:rsid w:val="004321F6"/>
    <w:rsid w:val="0043234C"/>
    <w:rsid w:val="0043238E"/>
    <w:rsid w:val="00432394"/>
    <w:rsid w:val="004323C7"/>
    <w:rsid w:val="0043249C"/>
    <w:rsid w:val="00432702"/>
    <w:rsid w:val="0043271D"/>
    <w:rsid w:val="00432768"/>
    <w:rsid w:val="004327DB"/>
    <w:rsid w:val="004327F0"/>
    <w:rsid w:val="00432975"/>
    <w:rsid w:val="00432D84"/>
    <w:rsid w:val="00433044"/>
    <w:rsid w:val="004331CC"/>
    <w:rsid w:val="0043332F"/>
    <w:rsid w:val="004334D2"/>
    <w:rsid w:val="00433607"/>
    <w:rsid w:val="00433630"/>
    <w:rsid w:val="00433764"/>
    <w:rsid w:val="0043377C"/>
    <w:rsid w:val="004339A4"/>
    <w:rsid w:val="00433A99"/>
    <w:rsid w:val="00433B70"/>
    <w:rsid w:val="00433BC7"/>
    <w:rsid w:val="00433BFB"/>
    <w:rsid w:val="00433C25"/>
    <w:rsid w:val="00433D32"/>
    <w:rsid w:val="00433D78"/>
    <w:rsid w:val="00434088"/>
    <w:rsid w:val="004340F4"/>
    <w:rsid w:val="00434230"/>
    <w:rsid w:val="0043433F"/>
    <w:rsid w:val="004344BE"/>
    <w:rsid w:val="004345F8"/>
    <w:rsid w:val="004348FC"/>
    <w:rsid w:val="00434AEA"/>
    <w:rsid w:val="00434D37"/>
    <w:rsid w:val="00434E36"/>
    <w:rsid w:val="0043514F"/>
    <w:rsid w:val="004351D5"/>
    <w:rsid w:val="0043520E"/>
    <w:rsid w:val="004352B1"/>
    <w:rsid w:val="004352D9"/>
    <w:rsid w:val="00435309"/>
    <w:rsid w:val="00435AEF"/>
    <w:rsid w:val="00435C89"/>
    <w:rsid w:val="00435CB7"/>
    <w:rsid w:val="00435D7F"/>
    <w:rsid w:val="00435D8D"/>
    <w:rsid w:val="00435ED7"/>
    <w:rsid w:val="004362A1"/>
    <w:rsid w:val="004362B2"/>
    <w:rsid w:val="00436345"/>
    <w:rsid w:val="0043637B"/>
    <w:rsid w:val="004364E4"/>
    <w:rsid w:val="004365BB"/>
    <w:rsid w:val="004366A4"/>
    <w:rsid w:val="00436874"/>
    <w:rsid w:val="0043694C"/>
    <w:rsid w:val="004369CC"/>
    <w:rsid w:val="00436B25"/>
    <w:rsid w:val="00436BBA"/>
    <w:rsid w:val="00436BCA"/>
    <w:rsid w:val="00436E07"/>
    <w:rsid w:val="00437123"/>
    <w:rsid w:val="00437124"/>
    <w:rsid w:val="0043724A"/>
    <w:rsid w:val="004374AE"/>
    <w:rsid w:val="004375B9"/>
    <w:rsid w:val="004376BE"/>
    <w:rsid w:val="00437985"/>
    <w:rsid w:val="00437A9B"/>
    <w:rsid w:val="00437B5B"/>
    <w:rsid w:val="00437D24"/>
    <w:rsid w:val="00437EFB"/>
    <w:rsid w:val="00437EFD"/>
    <w:rsid w:val="00437F34"/>
    <w:rsid w:val="0044009D"/>
    <w:rsid w:val="004400C9"/>
    <w:rsid w:val="00440207"/>
    <w:rsid w:val="0044028A"/>
    <w:rsid w:val="0044035B"/>
    <w:rsid w:val="004403F3"/>
    <w:rsid w:val="00440450"/>
    <w:rsid w:val="0044050C"/>
    <w:rsid w:val="00440882"/>
    <w:rsid w:val="00440D46"/>
    <w:rsid w:val="004410B2"/>
    <w:rsid w:val="004411C3"/>
    <w:rsid w:val="004414A7"/>
    <w:rsid w:val="004416E2"/>
    <w:rsid w:val="00441766"/>
    <w:rsid w:val="004417CF"/>
    <w:rsid w:val="004418D0"/>
    <w:rsid w:val="0044193B"/>
    <w:rsid w:val="00441B21"/>
    <w:rsid w:val="00441B90"/>
    <w:rsid w:val="00441C15"/>
    <w:rsid w:val="00441CEA"/>
    <w:rsid w:val="00441DED"/>
    <w:rsid w:val="00441E05"/>
    <w:rsid w:val="00441E15"/>
    <w:rsid w:val="00441E4A"/>
    <w:rsid w:val="00442000"/>
    <w:rsid w:val="004421BD"/>
    <w:rsid w:val="00442424"/>
    <w:rsid w:val="0044255D"/>
    <w:rsid w:val="0044260A"/>
    <w:rsid w:val="004428D0"/>
    <w:rsid w:val="00442A93"/>
    <w:rsid w:val="00442D9D"/>
    <w:rsid w:val="00442FA1"/>
    <w:rsid w:val="00443088"/>
    <w:rsid w:val="004431AC"/>
    <w:rsid w:val="004431DF"/>
    <w:rsid w:val="0044333B"/>
    <w:rsid w:val="0044352E"/>
    <w:rsid w:val="0044353A"/>
    <w:rsid w:val="00443628"/>
    <w:rsid w:val="00443632"/>
    <w:rsid w:val="00443797"/>
    <w:rsid w:val="004438EF"/>
    <w:rsid w:val="00443960"/>
    <w:rsid w:val="00443B12"/>
    <w:rsid w:val="00443D0E"/>
    <w:rsid w:val="00443D3E"/>
    <w:rsid w:val="00443D62"/>
    <w:rsid w:val="00443E05"/>
    <w:rsid w:val="004440BE"/>
    <w:rsid w:val="004440FE"/>
    <w:rsid w:val="00444185"/>
    <w:rsid w:val="00444188"/>
    <w:rsid w:val="004443A7"/>
    <w:rsid w:val="0044442C"/>
    <w:rsid w:val="00444631"/>
    <w:rsid w:val="00444A11"/>
    <w:rsid w:val="00444A8C"/>
    <w:rsid w:val="00444AEE"/>
    <w:rsid w:val="00444B9F"/>
    <w:rsid w:val="00444BE6"/>
    <w:rsid w:val="00444D95"/>
    <w:rsid w:val="00444F19"/>
    <w:rsid w:val="00444FC8"/>
    <w:rsid w:val="00445339"/>
    <w:rsid w:val="004453A7"/>
    <w:rsid w:val="0044563C"/>
    <w:rsid w:val="00445941"/>
    <w:rsid w:val="00445D87"/>
    <w:rsid w:val="0044609B"/>
    <w:rsid w:val="004460AD"/>
    <w:rsid w:val="004460FB"/>
    <w:rsid w:val="0044616F"/>
    <w:rsid w:val="004462FC"/>
    <w:rsid w:val="004463F9"/>
    <w:rsid w:val="004464EB"/>
    <w:rsid w:val="00446560"/>
    <w:rsid w:val="004465BB"/>
    <w:rsid w:val="0044660B"/>
    <w:rsid w:val="00446615"/>
    <w:rsid w:val="0044664D"/>
    <w:rsid w:val="004466BA"/>
    <w:rsid w:val="0044673B"/>
    <w:rsid w:val="0044679E"/>
    <w:rsid w:val="00446873"/>
    <w:rsid w:val="00446BD5"/>
    <w:rsid w:val="00446C1D"/>
    <w:rsid w:val="00446EE5"/>
    <w:rsid w:val="00446FEF"/>
    <w:rsid w:val="0044736F"/>
    <w:rsid w:val="00447542"/>
    <w:rsid w:val="00447606"/>
    <w:rsid w:val="0044779C"/>
    <w:rsid w:val="00447B99"/>
    <w:rsid w:val="00447D02"/>
    <w:rsid w:val="00447D26"/>
    <w:rsid w:val="00447DFC"/>
    <w:rsid w:val="00447ED0"/>
    <w:rsid w:val="00447F2A"/>
    <w:rsid w:val="00450047"/>
    <w:rsid w:val="00450070"/>
    <w:rsid w:val="0045010B"/>
    <w:rsid w:val="00450379"/>
    <w:rsid w:val="0045048D"/>
    <w:rsid w:val="004504B6"/>
    <w:rsid w:val="00450DD5"/>
    <w:rsid w:val="00450F71"/>
    <w:rsid w:val="0045119C"/>
    <w:rsid w:val="004511B8"/>
    <w:rsid w:val="0045129B"/>
    <w:rsid w:val="00451465"/>
    <w:rsid w:val="004516FB"/>
    <w:rsid w:val="00451A7D"/>
    <w:rsid w:val="00451B01"/>
    <w:rsid w:val="00451CBA"/>
    <w:rsid w:val="00451E80"/>
    <w:rsid w:val="00451FFA"/>
    <w:rsid w:val="00452026"/>
    <w:rsid w:val="004521E8"/>
    <w:rsid w:val="00452259"/>
    <w:rsid w:val="004522B1"/>
    <w:rsid w:val="00452461"/>
    <w:rsid w:val="0045258F"/>
    <w:rsid w:val="004525C3"/>
    <w:rsid w:val="004525C5"/>
    <w:rsid w:val="00452886"/>
    <w:rsid w:val="00452929"/>
    <w:rsid w:val="004529CB"/>
    <w:rsid w:val="004529D3"/>
    <w:rsid w:val="00452A02"/>
    <w:rsid w:val="00452A28"/>
    <w:rsid w:val="00452D2F"/>
    <w:rsid w:val="00452D55"/>
    <w:rsid w:val="00452EDB"/>
    <w:rsid w:val="00452F88"/>
    <w:rsid w:val="004530A8"/>
    <w:rsid w:val="004530DE"/>
    <w:rsid w:val="0045317A"/>
    <w:rsid w:val="004531BF"/>
    <w:rsid w:val="0045326D"/>
    <w:rsid w:val="0045345A"/>
    <w:rsid w:val="00453679"/>
    <w:rsid w:val="004537BF"/>
    <w:rsid w:val="00453857"/>
    <w:rsid w:val="00453ACE"/>
    <w:rsid w:val="00453BE0"/>
    <w:rsid w:val="00453BEA"/>
    <w:rsid w:val="00453C9F"/>
    <w:rsid w:val="00453DB2"/>
    <w:rsid w:val="00453FC1"/>
    <w:rsid w:val="00454045"/>
    <w:rsid w:val="00454194"/>
    <w:rsid w:val="004541EA"/>
    <w:rsid w:val="004542FF"/>
    <w:rsid w:val="00454585"/>
    <w:rsid w:val="0045476C"/>
    <w:rsid w:val="00454879"/>
    <w:rsid w:val="00454B1C"/>
    <w:rsid w:val="00454B79"/>
    <w:rsid w:val="00454D60"/>
    <w:rsid w:val="00454E3E"/>
    <w:rsid w:val="00454E90"/>
    <w:rsid w:val="00454EB3"/>
    <w:rsid w:val="00454F21"/>
    <w:rsid w:val="00454F2D"/>
    <w:rsid w:val="00455157"/>
    <w:rsid w:val="0045515F"/>
    <w:rsid w:val="0045518F"/>
    <w:rsid w:val="00455347"/>
    <w:rsid w:val="0045535D"/>
    <w:rsid w:val="0045537F"/>
    <w:rsid w:val="0045547D"/>
    <w:rsid w:val="00455522"/>
    <w:rsid w:val="0045582F"/>
    <w:rsid w:val="00455929"/>
    <w:rsid w:val="004559D8"/>
    <w:rsid w:val="00455C20"/>
    <w:rsid w:val="00455D45"/>
    <w:rsid w:val="00455E92"/>
    <w:rsid w:val="00455F31"/>
    <w:rsid w:val="00455F46"/>
    <w:rsid w:val="00456889"/>
    <w:rsid w:val="00456A4A"/>
    <w:rsid w:val="00456C20"/>
    <w:rsid w:val="00456C4D"/>
    <w:rsid w:val="00456DC0"/>
    <w:rsid w:val="00456E50"/>
    <w:rsid w:val="00456E53"/>
    <w:rsid w:val="00456EFC"/>
    <w:rsid w:val="00456F0B"/>
    <w:rsid w:val="00457069"/>
    <w:rsid w:val="004570F2"/>
    <w:rsid w:val="004571FA"/>
    <w:rsid w:val="00457228"/>
    <w:rsid w:val="00457288"/>
    <w:rsid w:val="0045738E"/>
    <w:rsid w:val="00457455"/>
    <w:rsid w:val="004574D7"/>
    <w:rsid w:val="00457A73"/>
    <w:rsid w:val="00457A80"/>
    <w:rsid w:val="00457B07"/>
    <w:rsid w:val="0046003F"/>
    <w:rsid w:val="00460041"/>
    <w:rsid w:val="00460099"/>
    <w:rsid w:val="004600AC"/>
    <w:rsid w:val="0046021F"/>
    <w:rsid w:val="004604A5"/>
    <w:rsid w:val="00460530"/>
    <w:rsid w:val="00460540"/>
    <w:rsid w:val="004605D9"/>
    <w:rsid w:val="00460618"/>
    <w:rsid w:val="004607E4"/>
    <w:rsid w:val="004608C1"/>
    <w:rsid w:val="004608E8"/>
    <w:rsid w:val="00460A6A"/>
    <w:rsid w:val="00460B2B"/>
    <w:rsid w:val="00460B98"/>
    <w:rsid w:val="00460E38"/>
    <w:rsid w:val="00460F7D"/>
    <w:rsid w:val="004611A6"/>
    <w:rsid w:val="0046124E"/>
    <w:rsid w:val="0046142D"/>
    <w:rsid w:val="00461706"/>
    <w:rsid w:val="00461793"/>
    <w:rsid w:val="004617ED"/>
    <w:rsid w:val="00461839"/>
    <w:rsid w:val="004619E2"/>
    <w:rsid w:val="00461A0E"/>
    <w:rsid w:val="00461A69"/>
    <w:rsid w:val="00461A83"/>
    <w:rsid w:val="00461A8D"/>
    <w:rsid w:val="00461B68"/>
    <w:rsid w:val="00461C34"/>
    <w:rsid w:val="00461E57"/>
    <w:rsid w:val="00461F08"/>
    <w:rsid w:val="0046215F"/>
    <w:rsid w:val="004624FC"/>
    <w:rsid w:val="00462532"/>
    <w:rsid w:val="00462603"/>
    <w:rsid w:val="004626AA"/>
    <w:rsid w:val="00462744"/>
    <w:rsid w:val="00462765"/>
    <w:rsid w:val="00462904"/>
    <w:rsid w:val="00462980"/>
    <w:rsid w:val="00462982"/>
    <w:rsid w:val="00462A2C"/>
    <w:rsid w:val="00462B11"/>
    <w:rsid w:val="00462C4C"/>
    <w:rsid w:val="00462CA7"/>
    <w:rsid w:val="00462ECA"/>
    <w:rsid w:val="0046307B"/>
    <w:rsid w:val="0046310C"/>
    <w:rsid w:val="004631DE"/>
    <w:rsid w:val="004632F9"/>
    <w:rsid w:val="00463359"/>
    <w:rsid w:val="00463416"/>
    <w:rsid w:val="00463442"/>
    <w:rsid w:val="0046351F"/>
    <w:rsid w:val="00463729"/>
    <w:rsid w:val="00463852"/>
    <w:rsid w:val="004638E4"/>
    <w:rsid w:val="0046392C"/>
    <w:rsid w:val="00463936"/>
    <w:rsid w:val="004639A5"/>
    <w:rsid w:val="004639B4"/>
    <w:rsid w:val="00463BBE"/>
    <w:rsid w:val="00463C9C"/>
    <w:rsid w:val="00463DDB"/>
    <w:rsid w:val="00463E17"/>
    <w:rsid w:val="00463E99"/>
    <w:rsid w:val="00464104"/>
    <w:rsid w:val="00464465"/>
    <w:rsid w:val="00464595"/>
    <w:rsid w:val="00464616"/>
    <w:rsid w:val="004648B1"/>
    <w:rsid w:val="00464A11"/>
    <w:rsid w:val="00464A62"/>
    <w:rsid w:val="00464B29"/>
    <w:rsid w:val="00464DB0"/>
    <w:rsid w:val="00464E88"/>
    <w:rsid w:val="00464E9D"/>
    <w:rsid w:val="00464ED6"/>
    <w:rsid w:val="00464F85"/>
    <w:rsid w:val="004651E2"/>
    <w:rsid w:val="004652DB"/>
    <w:rsid w:val="0046547D"/>
    <w:rsid w:val="004655DF"/>
    <w:rsid w:val="00465677"/>
    <w:rsid w:val="004657DF"/>
    <w:rsid w:val="004658B5"/>
    <w:rsid w:val="004658FF"/>
    <w:rsid w:val="00465918"/>
    <w:rsid w:val="0046597B"/>
    <w:rsid w:val="00465CFA"/>
    <w:rsid w:val="00465D95"/>
    <w:rsid w:val="00465DF4"/>
    <w:rsid w:val="00465E28"/>
    <w:rsid w:val="00465FA7"/>
    <w:rsid w:val="00466361"/>
    <w:rsid w:val="004664C0"/>
    <w:rsid w:val="0046655B"/>
    <w:rsid w:val="00466602"/>
    <w:rsid w:val="004666D6"/>
    <w:rsid w:val="00466880"/>
    <w:rsid w:val="00466988"/>
    <w:rsid w:val="00466A50"/>
    <w:rsid w:val="00466B4E"/>
    <w:rsid w:val="00466C11"/>
    <w:rsid w:val="00466D4C"/>
    <w:rsid w:val="00467035"/>
    <w:rsid w:val="004671BF"/>
    <w:rsid w:val="004673B2"/>
    <w:rsid w:val="004674FF"/>
    <w:rsid w:val="0046753D"/>
    <w:rsid w:val="00467618"/>
    <w:rsid w:val="004677FD"/>
    <w:rsid w:val="00467807"/>
    <w:rsid w:val="00467869"/>
    <w:rsid w:val="004678DE"/>
    <w:rsid w:val="004678E6"/>
    <w:rsid w:val="00467936"/>
    <w:rsid w:val="00467A5E"/>
    <w:rsid w:val="00467A8B"/>
    <w:rsid w:val="00467C17"/>
    <w:rsid w:val="00467C18"/>
    <w:rsid w:val="00467D59"/>
    <w:rsid w:val="00467D8E"/>
    <w:rsid w:val="00467E62"/>
    <w:rsid w:val="00467F6A"/>
    <w:rsid w:val="00467F70"/>
    <w:rsid w:val="00467FAD"/>
    <w:rsid w:val="0047007B"/>
    <w:rsid w:val="004700F9"/>
    <w:rsid w:val="004701A4"/>
    <w:rsid w:val="00470214"/>
    <w:rsid w:val="00470335"/>
    <w:rsid w:val="0047064E"/>
    <w:rsid w:val="00470778"/>
    <w:rsid w:val="00470B47"/>
    <w:rsid w:val="00470D47"/>
    <w:rsid w:val="00470D5E"/>
    <w:rsid w:val="00471004"/>
    <w:rsid w:val="0047102F"/>
    <w:rsid w:val="00471047"/>
    <w:rsid w:val="004710E8"/>
    <w:rsid w:val="00471327"/>
    <w:rsid w:val="004713B1"/>
    <w:rsid w:val="004714C1"/>
    <w:rsid w:val="0047160C"/>
    <w:rsid w:val="0047165D"/>
    <w:rsid w:val="0047174A"/>
    <w:rsid w:val="004717C6"/>
    <w:rsid w:val="00471ACC"/>
    <w:rsid w:val="00471B11"/>
    <w:rsid w:val="00471CCF"/>
    <w:rsid w:val="00471EA5"/>
    <w:rsid w:val="00471FE5"/>
    <w:rsid w:val="004721A5"/>
    <w:rsid w:val="00472224"/>
    <w:rsid w:val="00472295"/>
    <w:rsid w:val="004722A2"/>
    <w:rsid w:val="004722A5"/>
    <w:rsid w:val="004723FD"/>
    <w:rsid w:val="00472434"/>
    <w:rsid w:val="004724B7"/>
    <w:rsid w:val="004724EB"/>
    <w:rsid w:val="00472755"/>
    <w:rsid w:val="0047289E"/>
    <w:rsid w:val="00472945"/>
    <w:rsid w:val="00472A79"/>
    <w:rsid w:val="00472B18"/>
    <w:rsid w:val="00472BAA"/>
    <w:rsid w:val="00472D88"/>
    <w:rsid w:val="00472DBD"/>
    <w:rsid w:val="00472F55"/>
    <w:rsid w:val="00472F6E"/>
    <w:rsid w:val="004730A3"/>
    <w:rsid w:val="004730CF"/>
    <w:rsid w:val="00473171"/>
    <w:rsid w:val="004731E5"/>
    <w:rsid w:val="004731FA"/>
    <w:rsid w:val="00473209"/>
    <w:rsid w:val="004732C8"/>
    <w:rsid w:val="00473406"/>
    <w:rsid w:val="00473542"/>
    <w:rsid w:val="00473588"/>
    <w:rsid w:val="004736EF"/>
    <w:rsid w:val="00473A4F"/>
    <w:rsid w:val="00473AE7"/>
    <w:rsid w:val="00473C6F"/>
    <w:rsid w:val="00473C7D"/>
    <w:rsid w:val="00473CCC"/>
    <w:rsid w:val="00473D41"/>
    <w:rsid w:val="00473DBD"/>
    <w:rsid w:val="00473E46"/>
    <w:rsid w:val="00473E8B"/>
    <w:rsid w:val="00473F19"/>
    <w:rsid w:val="00474053"/>
    <w:rsid w:val="00474117"/>
    <w:rsid w:val="00474142"/>
    <w:rsid w:val="00474172"/>
    <w:rsid w:val="00474240"/>
    <w:rsid w:val="0047426B"/>
    <w:rsid w:val="004742D0"/>
    <w:rsid w:val="004743C9"/>
    <w:rsid w:val="00474487"/>
    <w:rsid w:val="004744A7"/>
    <w:rsid w:val="004746C0"/>
    <w:rsid w:val="004747D8"/>
    <w:rsid w:val="00474892"/>
    <w:rsid w:val="004749EF"/>
    <w:rsid w:val="00474A4F"/>
    <w:rsid w:val="00474AD9"/>
    <w:rsid w:val="00474B7E"/>
    <w:rsid w:val="00474E92"/>
    <w:rsid w:val="00474E9D"/>
    <w:rsid w:val="00474EA4"/>
    <w:rsid w:val="004750AE"/>
    <w:rsid w:val="004750FF"/>
    <w:rsid w:val="00475125"/>
    <w:rsid w:val="00475534"/>
    <w:rsid w:val="00475562"/>
    <w:rsid w:val="00475582"/>
    <w:rsid w:val="004756A2"/>
    <w:rsid w:val="00475864"/>
    <w:rsid w:val="004758A6"/>
    <w:rsid w:val="004759BE"/>
    <w:rsid w:val="00475CB3"/>
    <w:rsid w:val="00475D4D"/>
    <w:rsid w:val="00475E22"/>
    <w:rsid w:val="00475EF6"/>
    <w:rsid w:val="00475F7F"/>
    <w:rsid w:val="00476213"/>
    <w:rsid w:val="004762C3"/>
    <w:rsid w:val="00476336"/>
    <w:rsid w:val="00476384"/>
    <w:rsid w:val="00476473"/>
    <w:rsid w:val="00476542"/>
    <w:rsid w:val="00476651"/>
    <w:rsid w:val="004767C1"/>
    <w:rsid w:val="00476847"/>
    <w:rsid w:val="00476850"/>
    <w:rsid w:val="004768C7"/>
    <w:rsid w:val="00476901"/>
    <w:rsid w:val="00476C7C"/>
    <w:rsid w:val="00476F4B"/>
    <w:rsid w:val="00476FD0"/>
    <w:rsid w:val="00477114"/>
    <w:rsid w:val="00477227"/>
    <w:rsid w:val="00477228"/>
    <w:rsid w:val="00477234"/>
    <w:rsid w:val="0047726A"/>
    <w:rsid w:val="004774B3"/>
    <w:rsid w:val="004776A4"/>
    <w:rsid w:val="00477862"/>
    <w:rsid w:val="0047792C"/>
    <w:rsid w:val="004779F6"/>
    <w:rsid w:val="00477B09"/>
    <w:rsid w:val="00477BB8"/>
    <w:rsid w:val="00477CC7"/>
    <w:rsid w:val="0048007A"/>
    <w:rsid w:val="004800E6"/>
    <w:rsid w:val="00480274"/>
    <w:rsid w:val="00480299"/>
    <w:rsid w:val="0048032C"/>
    <w:rsid w:val="0048046E"/>
    <w:rsid w:val="004804FC"/>
    <w:rsid w:val="004805A6"/>
    <w:rsid w:val="004806C7"/>
    <w:rsid w:val="00480726"/>
    <w:rsid w:val="00480790"/>
    <w:rsid w:val="0048088E"/>
    <w:rsid w:val="00480898"/>
    <w:rsid w:val="00480A34"/>
    <w:rsid w:val="00480B8A"/>
    <w:rsid w:val="00480D1F"/>
    <w:rsid w:val="00480E96"/>
    <w:rsid w:val="00480F2B"/>
    <w:rsid w:val="004811AF"/>
    <w:rsid w:val="00481242"/>
    <w:rsid w:val="0048128F"/>
    <w:rsid w:val="00481561"/>
    <w:rsid w:val="0048161C"/>
    <w:rsid w:val="004816A4"/>
    <w:rsid w:val="004816AF"/>
    <w:rsid w:val="004816E2"/>
    <w:rsid w:val="00481807"/>
    <w:rsid w:val="0048180B"/>
    <w:rsid w:val="00481820"/>
    <w:rsid w:val="004818F5"/>
    <w:rsid w:val="00481AF3"/>
    <w:rsid w:val="00481C1F"/>
    <w:rsid w:val="00481C4B"/>
    <w:rsid w:val="00481E49"/>
    <w:rsid w:val="00481EDB"/>
    <w:rsid w:val="00481FD8"/>
    <w:rsid w:val="0048201C"/>
    <w:rsid w:val="00482434"/>
    <w:rsid w:val="0048246D"/>
    <w:rsid w:val="00482720"/>
    <w:rsid w:val="0048275E"/>
    <w:rsid w:val="0048277E"/>
    <w:rsid w:val="004828C2"/>
    <w:rsid w:val="004829C2"/>
    <w:rsid w:val="00482AA8"/>
    <w:rsid w:val="00482B55"/>
    <w:rsid w:val="00482BBC"/>
    <w:rsid w:val="00482BDE"/>
    <w:rsid w:val="00482CC6"/>
    <w:rsid w:val="00482D60"/>
    <w:rsid w:val="00482DD0"/>
    <w:rsid w:val="004831B5"/>
    <w:rsid w:val="00483287"/>
    <w:rsid w:val="0048344B"/>
    <w:rsid w:val="004835E7"/>
    <w:rsid w:val="004836D9"/>
    <w:rsid w:val="004837BF"/>
    <w:rsid w:val="00483A2C"/>
    <w:rsid w:val="00483BBB"/>
    <w:rsid w:val="00483D1A"/>
    <w:rsid w:val="00483FFC"/>
    <w:rsid w:val="0048404D"/>
    <w:rsid w:val="0048407B"/>
    <w:rsid w:val="00484228"/>
    <w:rsid w:val="00484237"/>
    <w:rsid w:val="00484706"/>
    <w:rsid w:val="004847D8"/>
    <w:rsid w:val="00484802"/>
    <w:rsid w:val="004848DA"/>
    <w:rsid w:val="0048490A"/>
    <w:rsid w:val="00484A7E"/>
    <w:rsid w:val="00484B82"/>
    <w:rsid w:val="00484C77"/>
    <w:rsid w:val="00484D0E"/>
    <w:rsid w:val="004850C4"/>
    <w:rsid w:val="0048520F"/>
    <w:rsid w:val="00485243"/>
    <w:rsid w:val="004853F7"/>
    <w:rsid w:val="00485557"/>
    <w:rsid w:val="004858AD"/>
    <w:rsid w:val="00485923"/>
    <w:rsid w:val="004859A6"/>
    <w:rsid w:val="004859E1"/>
    <w:rsid w:val="00485A5D"/>
    <w:rsid w:val="00485AF2"/>
    <w:rsid w:val="00485D21"/>
    <w:rsid w:val="00485DC7"/>
    <w:rsid w:val="00485FD1"/>
    <w:rsid w:val="004860ED"/>
    <w:rsid w:val="0048613B"/>
    <w:rsid w:val="0048620D"/>
    <w:rsid w:val="0048648F"/>
    <w:rsid w:val="004865A1"/>
    <w:rsid w:val="00486653"/>
    <w:rsid w:val="0048666D"/>
    <w:rsid w:val="00486715"/>
    <w:rsid w:val="004867C0"/>
    <w:rsid w:val="004867E2"/>
    <w:rsid w:val="004867E5"/>
    <w:rsid w:val="004868EF"/>
    <w:rsid w:val="00486A61"/>
    <w:rsid w:val="00486B15"/>
    <w:rsid w:val="00486B4A"/>
    <w:rsid w:val="00486CFB"/>
    <w:rsid w:val="00486DF0"/>
    <w:rsid w:val="00486E04"/>
    <w:rsid w:val="00486F1B"/>
    <w:rsid w:val="00486F75"/>
    <w:rsid w:val="004873E9"/>
    <w:rsid w:val="004873FD"/>
    <w:rsid w:val="004874E8"/>
    <w:rsid w:val="00487558"/>
    <w:rsid w:val="0048762E"/>
    <w:rsid w:val="00487638"/>
    <w:rsid w:val="0048778D"/>
    <w:rsid w:val="004877E4"/>
    <w:rsid w:val="0048780C"/>
    <w:rsid w:val="00487816"/>
    <w:rsid w:val="00487952"/>
    <w:rsid w:val="00487AD9"/>
    <w:rsid w:val="00487C53"/>
    <w:rsid w:val="00487E5A"/>
    <w:rsid w:val="004904B1"/>
    <w:rsid w:val="0049052B"/>
    <w:rsid w:val="00490611"/>
    <w:rsid w:val="00490715"/>
    <w:rsid w:val="00490A4C"/>
    <w:rsid w:val="00490B17"/>
    <w:rsid w:val="00490B36"/>
    <w:rsid w:val="00490B92"/>
    <w:rsid w:val="00490C2C"/>
    <w:rsid w:val="00490D0B"/>
    <w:rsid w:val="00490E02"/>
    <w:rsid w:val="004911B5"/>
    <w:rsid w:val="00491294"/>
    <w:rsid w:val="00491472"/>
    <w:rsid w:val="004914D8"/>
    <w:rsid w:val="004916AE"/>
    <w:rsid w:val="00491B3A"/>
    <w:rsid w:val="00491C79"/>
    <w:rsid w:val="00491D4C"/>
    <w:rsid w:val="00491ECE"/>
    <w:rsid w:val="00491F34"/>
    <w:rsid w:val="00491F57"/>
    <w:rsid w:val="00491FF3"/>
    <w:rsid w:val="004920BC"/>
    <w:rsid w:val="004921E9"/>
    <w:rsid w:val="004922F3"/>
    <w:rsid w:val="004926AD"/>
    <w:rsid w:val="00492741"/>
    <w:rsid w:val="0049280A"/>
    <w:rsid w:val="00492AB7"/>
    <w:rsid w:val="00492CCF"/>
    <w:rsid w:val="00492CFD"/>
    <w:rsid w:val="00492D0A"/>
    <w:rsid w:val="00492D2F"/>
    <w:rsid w:val="00492F3F"/>
    <w:rsid w:val="0049306C"/>
    <w:rsid w:val="004930DD"/>
    <w:rsid w:val="004931FF"/>
    <w:rsid w:val="00493311"/>
    <w:rsid w:val="0049355D"/>
    <w:rsid w:val="004935D0"/>
    <w:rsid w:val="00493731"/>
    <w:rsid w:val="0049383D"/>
    <w:rsid w:val="004939C1"/>
    <w:rsid w:val="00493A68"/>
    <w:rsid w:val="00493ADA"/>
    <w:rsid w:val="00493CB2"/>
    <w:rsid w:val="00493CC6"/>
    <w:rsid w:val="00493E8C"/>
    <w:rsid w:val="00493EE4"/>
    <w:rsid w:val="00493FC7"/>
    <w:rsid w:val="0049405A"/>
    <w:rsid w:val="00494172"/>
    <w:rsid w:val="00494207"/>
    <w:rsid w:val="0049420B"/>
    <w:rsid w:val="0049447F"/>
    <w:rsid w:val="00494538"/>
    <w:rsid w:val="004945A5"/>
    <w:rsid w:val="004946A4"/>
    <w:rsid w:val="004947D9"/>
    <w:rsid w:val="00494889"/>
    <w:rsid w:val="0049489A"/>
    <w:rsid w:val="004948FF"/>
    <w:rsid w:val="00494D83"/>
    <w:rsid w:val="00494DCF"/>
    <w:rsid w:val="00494DD5"/>
    <w:rsid w:val="00494F59"/>
    <w:rsid w:val="00494F64"/>
    <w:rsid w:val="0049506F"/>
    <w:rsid w:val="00495139"/>
    <w:rsid w:val="0049518C"/>
    <w:rsid w:val="0049538F"/>
    <w:rsid w:val="004953D2"/>
    <w:rsid w:val="0049546D"/>
    <w:rsid w:val="004954C0"/>
    <w:rsid w:val="004955B4"/>
    <w:rsid w:val="004957CA"/>
    <w:rsid w:val="004958CF"/>
    <w:rsid w:val="004958E1"/>
    <w:rsid w:val="004958F4"/>
    <w:rsid w:val="00495992"/>
    <w:rsid w:val="00495A59"/>
    <w:rsid w:val="00495AEE"/>
    <w:rsid w:val="00495B99"/>
    <w:rsid w:val="00495BFB"/>
    <w:rsid w:val="00495D65"/>
    <w:rsid w:val="00495DAA"/>
    <w:rsid w:val="00495E05"/>
    <w:rsid w:val="00495E30"/>
    <w:rsid w:val="0049627D"/>
    <w:rsid w:val="004962D2"/>
    <w:rsid w:val="004964E4"/>
    <w:rsid w:val="004966CD"/>
    <w:rsid w:val="0049698A"/>
    <w:rsid w:val="0049699E"/>
    <w:rsid w:val="004969A1"/>
    <w:rsid w:val="00496A2D"/>
    <w:rsid w:val="00496AF0"/>
    <w:rsid w:val="00496B36"/>
    <w:rsid w:val="00496C60"/>
    <w:rsid w:val="00496CF5"/>
    <w:rsid w:val="00496D22"/>
    <w:rsid w:val="00496D5A"/>
    <w:rsid w:val="00496D70"/>
    <w:rsid w:val="00497055"/>
    <w:rsid w:val="004970FB"/>
    <w:rsid w:val="004971B6"/>
    <w:rsid w:val="0049731D"/>
    <w:rsid w:val="00497585"/>
    <w:rsid w:val="00497592"/>
    <w:rsid w:val="004975A3"/>
    <w:rsid w:val="0049762A"/>
    <w:rsid w:val="00497701"/>
    <w:rsid w:val="004979D9"/>
    <w:rsid w:val="00497A0B"/>
    <w:rsid w:val="00497D82"/>
    <w:rsid w:val="00497F55"/>
    <w:rsid w:val="00497FCA"/>
    <w:rsid w:val="004A0135"/>
    <w:rsid w:val="004A02CF"/>
    <w:rsid w:val="004A03E8"/>
    <w:rsid w:val="004A0523"/>
    <w:rsid w:val="004A0995"/>
    <w:rsid w:val="004A0AF4"/>
    <w:rsid w:val="004A0C3D"/>
    <w:rsid w:val="004A0CE8"/>
    <w:rsid w:val="004A0DA1"/>
    <w:rsid w:val="004A0DC0"/>
    <w:rsid w:val="004A10DE"/>
    <w:rsid w:val="004A1187"/>
    <w:rsid w:val="004A126C"/>
    <w:rsid w:val="004A1336"/>
    <w:rsid w:val="004A13D6"/>
    <w:rsid w:val="004A13DB"/>
    <w:rsid w:val="004A16AF"/>
    <w:rsid w:val="004A16C1"/>
    <w:rsid w:val="004A16D9"/>
    <w:rsid w:val="004A178E"/>
    <w:rsid w:val="004A18E4"/>
    <w:rsid w:val="004A19A7"/>
    <w:rsid w:val="004A1B8B"/>
    <w:rsid w:val="004A1C20"/>
    <w:rsid w:val="004A1C8C"/>
    <w:rsid w:val="004A20C9"/>
    <w:rsid w:val="004A2169"/>
    <w:rsid w:val="004A24F9"/>
    <w:rsid w:val="004A290A"/>
    <w:rsid w:val="004A291D"/>
    <w:rsid w:val="004A292B"/>
    <w:rsid w:val="004A2A36"/>
    <w:rsid w:val="004A2B8E"/>
    <w:rsid w:val="004A2E1B"/>
    <w:rsid w:val="004A2E94"/>
    <w:rsid w:val="004A2F98"/>
    <w:rsid w:val="004A315C"/>
    <w:rsid w:val="004A3366"/>
    <w:rsid w:val="004A3392"/>
    <w:rsid w:val="004A346B"/>
    <w:rsid w:val="004A34B7"/>
    <w:rsid w:val="004A3705"/>
    <w:rsid w:val="004A394E"/>
    <w:rsid w:val="004A3960"/>
    <w:rsid w:val="004A3999"/>
    <w:rsid w:val="004A39AA"/>
    <w:rsid w:val="004A39BC"/>
    <w:rsid w:val="004A3D2A"/>
    <w:rsid w:val="004A3E65"/>
    <w:rsid w:val="004A3E6A"/>
    <w:rsid w:val="004A3F08"/>
    <w:rsid w:val="004A3F5B"/>
    <w:rsid w:val="004A40D7"/>
    <w:rsid w:val="004A4286"/>
    <w:rsid w:val="004A451E"/>
    <w:rsid w:val="004A452A"/>
    <w:rsid w:val="004A4604"/>
    <w:rsid w:val="004A4645"/>
    <w:rsid w:val="004A465A"/>
    <w:rsid w:val="004A4723"/>
    <w:rsid w:val="004A479E"/>
    <w:rsid w:val="004A494F"/>
    <w:rsid w:val="004A4A09"/>
    <w:rsid w:val="004A4AA4"/>
    <w:rsid w:val="004A4AD0"/>
    <w:rsid w:val="004A4C79"/>
    <w:rsid w:val="004A4F75"/>
    <w:rsid w:val="004A512F"/>
    <w:rsid w:val="004A520F"/>
    <w:rsid w:val="004A52E9"/>
    <w:rsid w:val="004A5504"/>
    <w:rsid w:val="004A55A2"/>
    <w:rsid w:val="004A5657"/>
    <w:rsid w:val="004A566A"/>
    <w:rsid w:val="004A59A2"/>
    <w:rsid w:val="004A59D6"/>
    <w:rsid w:val="004A59EA"/>
    <w:rsid w:val="004A5A5A"/>
    <w:rsid w:val="004A5A77"/>
    <w:rsid w:val="004A5C6F"/>
    <w:rsid w:val="004A5EAA"/>
    <w:rsid w:val="004A6040"/>
    <w:rsid w:val="004A6111"/>
    <w:rsid w:val="004A651F"/>
    <w:rsid w:val="004A654F"/>
    <w:rsid w:val="004A6597"/>
    <w:rsid w:val="004A6676"/>
    <w:rsid w:val="004A66A3"/>
    <w:rsid w:val="004A6852"/>
    <w:rsid w:val="004A699E"/>
    <w:rsid w:val="004A69F7"/>
    <w:rsid w:val="004A6D58"/>
    <w:rsid w:val="004A6D71"/>
    <w:rsid w:val="004A6DC4"/>
    <w:rsid w:val="004A6E72"/>
    <w:rsid w:val="004A70D4"/>
    <w:rsid w:val="004A71BD"/>
    <w:rsid w:val="004A727D"/>
    <w:rsid w:val="004A7356"/>
    <w:rsid w:val="004A7462"/>
    <w:rsid w:val="004A7848"/>
    <w:rsid w:val="004A793B"/>
    <w:rsid w:val="004A7971"/>
    <w:rsid w:val="004A7AC9"/>
    <w:rsid w:val="004A7CB2"/>
    <w:rsid w:val="004A7EF9"/>
    <w:rsid w:val="004A7FFA"/>
    <w:rsid w:val="004B0059"/>
    <w:rsid w:val="004B00A9"/>
    <w:rsid w:val="004B00D8"/>
    <w:rsid w:val="004B010C"/>
    <w:rsid w:val="004B019A"/>
    <w:rsid w:val="004B0258"/>
    <w:rsid w:val="004B0310"/>
    <w:rsid w:val="004B0378"/>
    <w:rsid w:val="004B0509"/>
    <w:rsid w:val="004B0694"/>
    <w:rsid w:val="004B06CA"/>
    <w:rsid w:val="004B0742"/>
    <w:rsid w:val="004B07A4"/>
    <w:rsid w:val="004B08E4"/>
    <w:rsid w:val="004B08FA"/>
    <w:rsid w:val="004B094B"/>
    <w:rsid w:val="004B0A25"/>
    <w:rsid w:val="004B0B0B"/>
    <w:rsid w:val="004B0BBD"/>
    <w:rsid w:val="004B0C7D"/>
    <w:rsid w:val="004B0D10"/>
    <w:rsid w:val="004B0DF1"/>
    <w:rsid w:val="004B126C"/>
    <w:rsid w:val="004B13D3"/>
    <w:rsid w:val="004B1591"/>
    <w:rsid w:val="004B1A54"/>
    <w:rsid w:val="004B1A58"/>
    <w:rsid w:val="004B1ADE"/>
    <w:rsid w:val="004B1B3C"/>
    <w:rsid w:val="004B1C15"/>
    <w:rsid w:val="004B1CB4"/>
    <w:rsid w:val="004B1CBB"/>
    <w:rsid w:val="004B1D04"/>
    <w:rsid w:val="004B1FDF"/>
    <w:rsid w:val="004B208C"/>
    <w:rsid w:val="004B2169"/>
    <w:rsid w:val="004B217F"/>
    <w:rsid w:val="004B2224"/>
    <w:rsid w:val="004B2396"/>
    <w:rsid w:val="004B2436"/>
    <w:rsid w:val="004B26B3"/>
    <w:rsid w:val="004B288D"/>
    <w:rsid w:val="004B2AB4"/>
    <w:rsid w:val="004B2CFB"/>
    <w:rsid w:val="004B2F18"/>
    <w:rsid w:val="004B3209"/>
    <w:rsid w:val="004B3377"/>
    <w:rsid w:val="004B33AD"/>
    <w:rsid w:val="004B352D"/>
    <w:rsid w:val="004B35C8"/>
    <w:rsid w:val="004B378C"/>
    <w:rsid w:val="004B37C0"/>
    <w:rsid w:val="004B39BD"/>
    <w:rsid w:val="004B3C69"/>
    <w:rsid w:val="004B3D42"/>
    <w:rsid w:val="004B3DDB"/>
    <w:rsid w:val="004B4115"/>
    <w:rsid w:val="004B4206"/>
    <w:rsid w:val="004B4243"/>
    <w:rsid w:val="004B438C"/>
    <w:rsid w:val="004B44FD"/>
    <w:rsid w:val="004B45AC"/>
    <w:rsid w:val="004B46F5"/>
    <w:rsid w:val="004B49BF"/>
    <w:rsid w:val="004B4B21"/>
    <w:rsid w:val="004B4B3A"/>
    <w:rsid w:val="004B4C26"/>
    <w:rsid w:val="004B4EF8"/>
    <w:rsid w:val="004B4F12"/>
    <w:rsid w:val="004B518F"/>
    <w:rsid w:val="004B528A"/>
    <w:rsid w:val="004B534A"/>
    <w:rsid w:val="004B53CD"/>
    <w:rsid w:val="004B549C"/>
    <w:rsid w:val="004B5657"/>
    <w:rsid w:val="004B5839"/>
    <w:rsid w:val="004B5852"/>
    <w:rsid w:val="004B5972"/>
    <w:rsid w:val="004B59D1"/>
    <w:rsid w:val="004B5B56"/>
    <w:rsid w:val="004B5CFC"/>
    <w:rsid w:val="004B5E35"/>
    <w:rsid w:val="004B6021"/>
    <w:rsid w:val="004B602E"/>
    <w:rsid w:val="004B609D"/>
    <w:rsid w:val="004B60F3"/>
    <w:rsid w:val="004B6239"/>
    <w:rsid w:val="004B633C"/>
    <w:rsid w:val="004B64CC"/>
    <w:rsid w:val="004B64D8"/>
    <w:rsid w:val="004B654F"/>
    <w:rsid w:val="004B65D2"/>
    <w:rsid w:val="004B65ED"/>
    <w:rsid w:val="004B660A"/>
    <w:rsid w:val="004B66F8"/>
    <w:rsid w:val="004B67EA"/>
    <w:rsid w:val="004B68F7"/>
    <w:rsid w:val="004B6925"/>
    <w:rsid w:val="004B6B30"/>
    <w:rsid w:val="004B6BE3"/>
    <w:rsid w:val="004B6DE1"/>
    <w:rsid w:val="004B6F79"/>
    <w:rsid w:val="004B7052"/>
    <w:rsid w:val="004B70F5"/>
    <w:rsid w:val="004B719D"/>
    <w:rsid w:val="004B71F3"/>
    <w:rsid w:val="004B727D"/>
    <w:rsid w:val="004B7286"/>
    <w:rsid w:val="004B763B"/>
    <w:rsid w:val="004B76E0"/>
    <w:rsid w:val="004B774D"/>
    <w:rsid w:val="004B7752"/>
    <w:rsid w:val="004B77CB"/>
    <w:rsid w:val="004B7A21"/>
    <w:rsid w:val="004B7A32"/>
    <w:rsid w:val="004B7A71"/>
    <w:rsid w:val="004B7C80"/>
    <w:rsid w:val="004B7D65"/>
    <w:rsid w:val="004B7D8B"/>
    <w:rsid w:val="004B7EBA"/>
    <w:rsid w:val="004B7F26"/>
    <w:rsid w:val="004B7F67"/>
    <w:rsid w:val="004C02A1"/>
    <w:rsid w:val="004C03B4"/>
    <w:rsid w:val="004C03C6"/>
    <w:rsid w:val="004C04BA"/>
    <w:rsid w:val="004C04BB"/>
    <w:rsid w:val="004C073F"/>
    <w:rsid w:val="004C0790"/>
    <w:rsid w:val="004C07B4"/>
    <w:rsid w:val="004C08F6"/>
    <w:rsid w:val="004C0920"/>
    <w:rsid w:val="004C0A13"/>
    <w:rsid w:val="004C0B99"/>
    <w:rsid w:val="004C0BC7"/>
    <w:rsid w:val="004C0C2C"/>
    <w:rsid w:val="004C0C8D"/>
    <w:rsid w:val="004C0EBD"/>
    <w:rsid w:val="004C12E3"/>
    <w:rsid w:val="004C139B"/>
    <w:rsid w:val="004C1485"/>
    <w:rsid w:val="004C14DA"/>
    <w:rsid w:val="004C14EA"/>
    <w:rsid w:val="004C152E"/>
    <w:rsid w:val="004C17ED"/>
    <w:rsid w:val="004C180F"/>
    <w:rsid w:val="004C183F"/>
    <w:rsid w:val="004C1AE1"/>
    <w:rsid w:val="004C1B9C"/>
    <w:rsid w:val="004C1FFF"/>
    <w:rsid w:val="004C2012"/>
    <w:rsid w:val="004C2050"/>
    <w:rsid w:val="004C20F1"/>
    <w:rsid w:val="004C22EC"/>
    <w:rsid w:val="004C2479"/>
    <w:rsid w:val="004C24F9"/>
    <w:rsid w:val="004C253A"/>
    <w:rsid w:val="004C2A5D"/>
    <w:rsid w:val="004C2A95"/>
    <w:rsid w:val="004C2AC2"/>
    <w:rsid w:val="004C2BC0"/>
    <w:rsid w:val="004C2EC4"/>
    <w:rsid w:val="004C327F"/>
    <w:rsid w:val="004C3395"/>
    <w:rsid w:val="004C344D"/>
    <w:rsid w:val="004C34CC"/>
    <w:rsid w:val="004C359D"/>
    <w:rsid w:val="004C3646"/>
    <w:rsid w:val="004C389A"/>
    <w:rsid w:val="004C3944"/>
    <w:rsid w:val="004C3B02"/>
    <w:rsid w:val="004C3CDE"/>
    <w:rsid w:val="004C4007"/>
    <w:rsid w:val="004C4008"/>
    <w:rsid w:val="004C41AB"/>
    <w:rsid w:val="004C4231"/>
    <w:rsid w:val="004C42C8"/>
    <w:rsid w:val="004C4351"/>
    <w:rsid w:val="004C4460"/>
    <w:rsid w:val="004C4643"/>
    <w:rsid w:val="004C46C9"/>
    <w:rsid w:val="004C46D2"/>
    <w:rsid w:val="004C48B0"/>
    <w:rsid w:val="004C499A"/>
    <w:rsid w:val="004C4AED"/>
    <w:rsid w:val="004C4BD7"/>
    <w:rsid w:val="004C4D81"/>
    <w:rsid w:val="004C4DFF"/>
    <w:rsid w:val="004C4EC9"/>
    <w:rsid w:val="004C5157"/>
    <w:rsid w:val="004C5345"/>
    <w:rsid w:val="004C539F"/>
    <w:rsid w:val="004C5605"/>
    <w:rsid w:val="004C56A9"/>
    <w:rsid w:val="004C56F4"/>
    <w:rsid w:val="004C5962"/>
    <w:rsid w:val="004C5B54"/>
    <w:rsid w:val="004C5C8C"/>
    <w:rsid w:val="004C5CEB"/>
    <w:rsid w:val="004C5D79"/>
    <w:rsid w:val="004C5E08"/>
    <w:rsid w:val="004C5E60"/>
    <w:rsid w:val="004C5FDF"/>
    <w:rsid w:val="004C60A0"/>
    <w:rsid w:val="004C60E8"/>
    <w:rsid w:val="004C618B"/>
    <w:rsid w:val="004C61BF"/>
    <w:rsid w:val="004C63C7"/>
    <w:rsid w:val="004C6519"/>
    <w:rsid w:val="004C657C"/>
    <w:rsid w:val="004C6866"/>
    <w:rsid w:val="004C6994"/>
    <w:rsid w:val="004C6B90"/>
    <w:rsid w:val="004C6BAC"/>
    <w:rsid w:val="004C6C6B"/>
    <w:rsid w:val="004C6D41"/>
    <w:rsid w:val="004C6F29"/>
    <w:rsid w:val="004C7145"/>
    <w:rsid w:val="004C732F"/>
    <w:rsid w:val="004C7480"/>
    <w:rsid w:val="004C78B4"/>
    <w:rsid w:val="004C7966"/>
    <w:rsid w:val="004C7C8E"/>
    <w:rsid w:val="004C7D75"/>
    <w:rsid w:val="004C7F14"/>
    <w:rsid w:val="004D00CD"/>
    <w:rsid w:val="004D0153"/>
    <w:rsid w:val="004D01BE"/>
    <w:rsid w:val="004D01E3"/>
    <w:rsid w:val="004D026E"/>
    <w:rsid w:val="004D02B7"/>
    <w:rsid w:val="004D03D3"/>
    <w:rsid w:val="004D0456"/>
    <w:rsid w:val="004D0526"/>
    <w:rsid w:val="004D081E"/>
    <w:rsid w:val="004D090C"/>
    <w:rsid w:val="004D0929"/>
    <w:rsid w:val="004D0AAB"/>
    <w:rsid w:val="004D0AD3"/>
    <w:rsid w:val="004D0BB5"/>
    <w:rsid w:val="004D0D09"/>
    <w:rsid w:val="004D10A9"/>
    <w:rsid w:val="004D129D"/>
    <w:rsid w:val="004D1500"/>
    <w:rsid w:val="004D158D"/>
    <w:rsid w:val="004D15AB"/>
    <w:rsid w:val="004D1664"/>
    <w:rsid w:val="004D19DD"/>
    <w:rsid w:val="004D1BB1"/>
    <w:rsid w:val="004D2078"/>
    <w:rsid w:val="004D2082"/>
    <w:rsid w:val="004D21B5"/>
    <w:rsid w:val="004D2205"/>
    <w:rsid w:val="004D2239"/>
    <w:rsid w:val="004D237A"/>
    <w:rsid w:val="004D271D"/>
    <w:rsid w:val="004D27E4"/>
    <w:rsid w:val="004D2864"/>
    <w:rsid w:val="004D286C"/>
    <w:rsid w:val="004D2970"/>
    <w:rsid w:val="004D2C2D"/>
    <w:rsid w:val="004D2D9A"/>
    <w:rsid w:val="004D2DBC"/>
    <w:rsid w:val="004D2EAA"/>
    <w:rsid w:val="004D2EE0"/>
    <w:rsid w:val="004D2FE6"/>
    <w:rsid w:val="004D326B"/>
    <w:rsid w:val="004D3447"/>
    <w:rsid w:val="004D34F6"/>
    <w:rsid w:val="004D35B7"/>
    <w:rsid w:val="004D3649"/>
    <w:rsid w:val="004D37FA"/>
    <w:rsid w:val="004D381D"/>
    <w:rsid w:val="004D3A63"/>
    <w:rsid w:val="004D3A7E"/>
    <w:rsid w:val="004D3B2C"/>
    <w:rsid w:val="004D3BAF"/>
    <w:rsid w:val="004D3BE1"/>
    <w:rsid w:val="004D3F11"/>
    <w:rsid w:val="004D40A0"/>
    <w:rsid w:val="004D435C"/>
    <w:rsid w:val="004D4487"/>
    <w:rsid w:val="004D44A6"/>
    <w:rsid w:val="004D45AD"/>
    <w:rsid w:val="004D4635"/>
    <w:rsid w:val="004D48D1"/>
    <w:rsid w:val="004D49BB"/>
    <w:rsid w:val="004D4B37"/>
    <w:rsid w:val="004D4CE5"/>
    <w:rsid w:val="004D4EB6"/>
    <w:rsid w:val="004D4F08"/>
    <w:rsid w:val="004D4F82"/>
    <w:rsid w:val="004D4FB6"/>
    <w:rsid w:val="004D5006"/>
    <w:rsid w:val="004D5064"/>
    <w:rsid w:val="004D511A"/>
    <w:rsid w:val="004D5691"/>
    <w:rsid w:val="004D5794"/>
    <w:rsid w:val="004D57E4"/>
    <w:rsid w:val="004D5A09"/>
    <w:rsid w:val="004D5A8C"/>
    <w:rsid w:val="004D5C02"/>
    <w:rsid w:val="004D5F0F"/>
    <w:rsid w:val="004D617C"/>
    <w:rsid w:val="004D61BC"/>
    <w:rsid w:val="004D6219"/>
    <w:rsid w:val="004D6329"/>
    <w:rsid w:val="004D63A5"/>
    <w:rsid w:val="004D63F3"/>
    <w:rsid w:val="004D6582"/>
    <w:rsid w:val="004D667B"/>
    <w:rsid w:val="004D6735"/>
    <w:rsid w:val="004D68E1"/>
    <w:rsid w:val="004D69B5"/>
    <w:rsid w:val="004D6A32"/>
    <w:rsid w:val="004D6BFE"/>
    <w:rsid w:val="004D6C90"/>
    <w:rsid w:val="004D6F2E"/>
    <w:rsid w:val="004D7093"/>
    <w:rsid w:val="004D70A1"/>
    <w:rsid w:val="004D7227"/>
    <w:rsid w:val="004D72D9"/>
    <w:rsid w:val="004D73BC"/>
    <w:rsid w:val="004D74A8"/>
    <w:rsid w:val="004D7705"/>
    <w:rsid w:val="004D7A11"/>
    <w:rsid w:val="004D7B5E"/>
    <w:rsid w:val="004D7D2C"/>
    <w:rsid w:val="004D7E67"/>
    <w:rsid w:val="004E0081"/>
    <w:rsid w:val="004E00BA"/>
    <w:rsid w:val="004E012B"/>
    <w:rsid w:val="004E035F"/>
    <w:rsid w:val="004E04F1"/>
    <w:rsid w:val="004E0522"/>
    <w:rsid w:val="004E073F"/>
    <w:rsid w:val="004E0CE0"/>
    <w:rsid w:val="004E0E7F"/>
    <w:rsid w:val="004E0EB8"/>
    <w:rsid w:val="004E0EDD"/>
    <w:rsid w:val="004E0F72"/>
    <w:rsid w:val="004E107D"/>
    <w:rsid w:val="004E11C4"/>
    <w:rsid w:val="004E12DD"/>
    <w:rsid w:val="004E14CE"/>
    <w:rsid w:val="004E15C7"/>
    <w:rsid w:val="004E15D9"/>
    <w:rsid w:val="004E1659"/>
    <w:rsid w:val="004E1740"/>
    <w:rsid w:val="004E1864"/>
    <w:rsid w:val="004E18E7"/>
    <w:rsid w:val="004E18E9"/>
    <w:rsid w:val="004E1962"/>
    <w:rsid w:val="004E197E"/>
    <w:rsid w:val="004E1B05"/>
    <w:rsid w:val="004E1B19"/>
    <w:rsid w:val="004E1B23"/>
    <w:rsid w:val="004E1B76"/>
    <w:rsid w:val="004E1BA2"/>
    <w:rsid w:val="004E1D7E"/>
    <w:rsid w:val="004E1E02"/>
    <w:rsid w:val="004E1EA6"/>
    <w:rsid w:val="004E1F4B"/>
    <w:rsid w:val="004E2177"/>
    <w:rsid w:val="004E225B"/>
    <w:rsid w:val="004E228C"/>
    <w:rsid w:val="004E22AF"/>
    <w:rsid w:val="004E235F"/>
    <w:rsid w:val="004E245C"/>
    <w:rsid w:val="004E27D8"/>
    <w:rsid w:val="004E289B"/>
    <w:rsid w:val="004E2ADC"/>
    <w:rsid w:val="004E2B21"/>
    <w:rsid w:val="004E2C3B"/>
    <w:rsid w:val="004E2CA4"/>
    <w:rsid w:val="004E2E46"/>
    <w:rsid w:val="004E3181"/>
    <w:rsid w:val="004E3241"/>
    <w:rsid w:val="004E32D1"/>
    <w:rsid w:val="004E332C"/>
    <w:rsid w:val="004E3558"/>
    <w:rsid w:val="004E35B3"/>
    <w:rsid w:val="004E35D4"/>
    <w:rsid w:val="004E3641"/>
    <w:rsid w:val="004E3872"/>
    <w:rsid w:val="004E38A6"/>
    <w:rsid w:val="004E3978"/>
    <w:rsid w:val="004E3BBC"/>
    <w:rsid w:val="004E3BBE"/>
    <w:rsid w:val="004E3ECE"/>
    <w:rsid w:val="004E3F19"/>
    <w:rsid w:val="004E4112"/>
    <w:rsid w:val="004E422C"/>
    <w:rsid w:val="004E4290"/>
    <w:rsid w:val="004E42BF"/>
    <w:rsid w:val="004E43B2"/>
    <w:rsid w:val="004E43F8"/>
    <w:rsid w:val="004E45FF"/>
    <w:rsid w:val="004E489A"/>
    <w:rsid w:val="004E4A3D"/>
    <w:rsid w:val="004E4A9D"/>
    <w:rsid w:val="004E4BA0"/>
    <w:rsid w:val="004E4C30"/>
    <w:rsid w:val="004E4CF5"/>
    <w:rsid w:val="004E4D66"/>
    <w:rsid w:val="004E4EA3"/>
    <w:rsid w:val="004E4FA4"/>
    <w:rsid w:val="004E508F"/>
    <w:rsid w:val="004E5134"/>
    <w:rsid w:val="004E51FE"/>
    <w:rsid w:val="004E5364"/>
    <w:rsid w:val="004E537B"/>
    <w:rsid w:val="004E5384"/>
    <w:rsid w:val="004E549B"/>
    <w:rsid w:val="004E5572"/>
    <w:rsid w:val="004E5650"/>
    <w:rsid w:val="004E56C9"/>
    <w:rsid w:val="004E56E4"/>
    <w:rsid w:val="004E5742"/>
    <w:rsid w:val="004E5822"/>
    <w:rsid w:val="004E5A4F"/>
    <w:rsid w:val="004E5B3D"/>
    <w:rsid w:val="004E5E54"/>
    <w:rsid w:val="004E5FB1"/>
    <w:rsid w:val="004E60C9"/>
    <w:rsid w:val="004E6116"/>
    <w:rsid w:val="004E6144"/>
    <w:rsid w:val="004E6164"/>
    <w:rsid w:val="004E62E6"/>
    <w:rsid w:val="004E62E7"/>
    <w:rsid w:val="004E63E2"/>
    <w:rsid w:val="004E6407"/>
    <w:rsid w:val="004E665A"/>
    <w:rsid w:val="004E66D1"/>
    <w:rsid w:val="004E66DE"/>
    <w:rsid w:val="004E6817"/>
    <w:rsid w:val="004E69D2"/>
    <w:rsid w:val="004E6B06"/>
    <w:rsid w:val="004E6B77"/>
    <w:rsid w:val="004E6BA5"/>
    <w:rsid w:val="004E6C5B"/>
    <w:rsid w:val="004E6EBA"/>
    <w:rsid w:val="004E7074"/>
    <w:rsid w:val="004E70FC"/>
    <w:rsid w:val="004E7397"/>
    <w:rsid w:val="004E73C7"/>
    <w:rsid w:val="004E7467"/>
    <w:rsid w:val="004E7952"/>
    <w:rsid w:val="004E7953"/>
    <w:rsid w:val="004E7A15"/>
    <w:rsid w:val="004E7B57"/>
    <w:rsid w:val="004E7BF5"/>
    <w:rsid w:val="004E7C8F"/>
    <w:rsid w:val="004E7CC8"/>
    <w:rsid w:val="004E7F04"/>
    <w:rsid w:val="004E7F63"/>
    <w:rsid w:val="004E7FB8"/>
    <w:rsid w:val="004F01B6"/>
    <w:rsid w:val="004F0441"/>
    <w:rsid w:val="004F0496"/>
    <w:rsid w:val="004F04F5"/>
    <w:rsid w:val="004F0505"/>
    <w:rsid w:val="004F0609"/>
    <w:rsid w:val="004F08AC"/>
    <w:rsid w:val="004F0A62"/>
    <w:rsid w:val="004F0B08"/>
    <w:rsid w:val="004F0C32"/>
    <w:rsid w:val="004F0C52"/>
    <w:rsid w:val="004F0CE4"/>
    <w:rsid w:val="004F0F58"/>
    <w:rsid w:val="004F1257"/>
    <w:rsid w:val="004F1375"/>
    <w:rsid w:val="004F1721"/>
    <w:rsid w:val="004F174B"/>
    <w:rsid w:val="004F1889"/>
    <w:rsid w:val="004F189B"/>
    <w:rsid w:val="004F1A38"/>
    <w:rsid w:val="004F1C4F"/>
    <w:rsid w:val="004F1D02"/>
    <w:rsid w:val="004F1D1A"/>
    <w:rsid w:val="004F1E19"/>
    <w:rsid w:val="004F1E1F"/>
    <w:rsid w:val="004F1EF2"/>
    <w:rsid w:val="004F20F2"/>
    <w:rsid w:val="004F2275"/>
    <w:rsid w:val="004F23B7"/>
    <w:rsid w:val="004F2473"/>
    <w:rsid w:val="004F2486"/>
    <w:rsid w:val="004F25B4"/>
    <w:rsid w:val="004F2661"/>
    <w:rsid w:val="004F2679"/>
    <w:rsid w:val="004F26BE"/>
    <w:rsid w:val="004F287C"/>
    <w:rsid w:val="004F29A6"/>
    <w:rsid w:val="004F29DF"/>
    <w:rsid w:val="004F2A33"/>
    <w:rsid w:val="004F2C97"/>
    <w:rsid w:val="004F2CC0"/>
    <w:rsid w:val="004F2F21"/>
    <w:rsid w:val="004F2F4A"/>
    <w:rsid w:val="004F2F4C"/>
    <w:rsid w:val="004F300C"/>
    <w:rsid w:val="004F306A"/>
    <w:rsid w:val="004F321F"/>
    <w:rsid w:val="004F328E"/>
    <w:rsid w:val="004F338E"/>
    <w:rsid w:val="004F33A1"/>
    <w:rsid w:val="004F347E"/>
    <w:rsid w:val="004F348B"/>
    <w:rsid w:val="004F35BF"/>
    <w:rsid w:val="004F37D3"/>
    <w:rsid w:val="004F3830"/>
    <w:rsid w:val="004F3B29"/>
    <w:rsid w:val="004F3C20"/>
    <w:rsid w:val="004F3D23"/>
    <w:rsid w:val="004F3DE5"/>
    <w:rsid w:val="004F3EC5"/>
    <w:rsid w:val="004F3ED7"/>
    <w:rsid w:val="004F3FEE"/>
    <w:rsid w:val="004F4036"/>
    <w:rsid w:val="004F4080"/>
    <w:rsid w:val="004F4195"/>
    <w:rsid w:val="004F4289"/>
    <w:rsid w:val="004F44E8"/>
    <w:rsid w:val="004F4548"/>
    <w:rsid w:val="004F45BE"/>
    <w:rsid w:val="004F46E4"/>
    <w:rsid w:val="004F4723"/>
    <w:rsid w:val="004F490B"/>
    <w:rsid w:val="004F4926"/>
    <w:rsid w:val="004F4B05"/>
    <w:rsid w:val="004F4B67"/>
    <w:rsid w:val="004F4BED"/>
    <w:rsid w:val="004F4C0E"/>
    <w:rsid w:val="004F4CBF"/>
    <w:rsid w:val="004F4D26"/>
    <w:rsid w:val="004F4D3B"/>
    <w:rsid w:val="004F4D76"/>
    <w:rsid w:val="004F4E0F"/>
    <w:rsid w:val="004F4F55"/>
    <w:rsid w:val="004F511F"/>
    <w:rsid w:val="004F5354"/>
    <w:rsid w:val="004F5374"/>
    <w:rsid w:val="004F54B4"/>
    <w:rsid w:val="004F5637"/>
    <w:rsid w:val="004F595B"/>
    <w:rsid w:val="004F5977"/>
    <w:rsid w:val="004F5A09"/>
    <w:rsid w:val="004F5B69"/>
    <w:rsid w:val="004F5BDC"/>
    <w:rsid w:val="004F5DE3"/>
    <w:rsid w:val="004F6092"/>
    <w:rsid w:val="004F609C"/>
    <w:rsid w:val="004F6262"/>
    <w:rsid w:val="004F650A"/>
    <w:rsid w:val="004F6580"/>
    <w:rsid w:val="004F65BA"/>
    <w:rsid w:val="004F6642"/>
    <w:rsid w:val="004F66A6"/>
    <w:rsid w:val="004F673B"/>
    <w:rsid w:val="004F6913"/>
    <w:rsid w:val="004F6B40"/>
    <w:rsid w:val="004F6B59"/>
    <w:rsid w:val="004F6B77"/>
    <w:rsid w:val="004F6C1D"/>
    <w:rsid w:val="004F6CAF"/>
    <w:rsid w:val="004F7053"/>
    <w:rsid w:val="004F71A2"/>
    <w:rsid w:val="004F71DC"/>
    <w:rsid w:val="004F7364"/>
    <w:rsid w:val="004F73AE"/>
    <w:rsid w:val="004F7460"/>
    <w:rsid w:val="004F7865"/>
    <w:rsid w:val="004F78E7"/>
    <w:rsid w:val="004F7915"/>
    <w:rsid w:val="004F79BD"/>
    <w:rsid w:val="004F7B27"/>
    <w:rsid w:val="004F7B8F"/>
    <w:rsid w:val="004F7C10"/>
    <w:rsid w:val="004F7C19"/>
    <w:rsid w:val="004F7C31"/>
    <w:rsid w:val="004F7E5C"/>
    <w:rsid w:val="004F7ED6"/>
    <w:rsid w:val="004F7EE7"/>
    <w:rsid w:val="00500086"/>
    <w:rsid w:val="00500407"/>
    <w:rsid w:val="0050043C"/>
    <w:rsid w:val="005004A0"/>
    <w:rsid w:val="005005EE"/>
    <w:rsid w:val="00500638"/>
    <w:rsid w:val="0050075F"/>
    <w:rsid w:val="0050096B"/>
    <w:rsid w:val="00500CE6"/>
    <w:rsid w:val="00500E10"/>
    <w:rsid w:val="00500E28"/>
    <w:rsid w:val="00500FF3"/>
    <w:rsid w:val="00501101"/>
    <w:rsid w:val="00501137"/>
    <w:rsid w:val="00501319"/>
    <w:rsid w:val="005013F6"/>
    <w:rsid w:val="005014D4"/>
    <w:rsid w:val="00501541"/>
    <w:rsid w:val="005016B0"/>
    <w:rsid w:val="0050174E"/>
    <w:rsid w:val="00501854"/>
    <w:rsid w:val="00501A60"/>
    <w:rsid w:val="00501B53"/>
    <w:rsid w:val="00501C40"/>
    <w:rsid w:val="00501D0F"/>
    <w:rsid w:val="00501E6E"/>
    <w:rsid w:val="00501EAE"/>
    <w:rsid w:val="00501F12"/>
    <w:rsid w:val="00501F38"/>
    <w:rsid w:val="00502029"/>
    <w:rsid w:val="00502056"/>
    <w:rsid w:val="00502066"/>
    <w:rsid w:val="00502093"/>
    <w:rsid w:val="0050219B"/>
    <w:rsid w:val="005021C9"/>
    <w:rsid w:val="0050239A"/>
    <w:rsid w:val="005023C7"/>
    <w:rsid w:val="005025B9"/>
    <w:rsid w:val="0050267D"/>
    <w:rsid w:val="00502762"/>
    <w:rsid w:val="005029BD"/>
    <w:rsid w:val="00502A7A"/>
    <w:rsid w:val="00502A7D"/>
    <w:rsid w:val="00502B1B"/>
    <w:rsid w:val="00502EFF"/>
    <w:rsid w:val="00503209"/>
    <w:rsid w:val="005032A6"/>
    <w:rsid w:val="0050340D"/>
    <w:rsid w:val="005034B0"/>
    <w:rsid w:val="00503514"/>
    <w:rsid w:val="0050353F"/>
    <w:rsid w:val="005036B8"/>
    <w:rsid w:val="0050376D"/>
    <w:rsid w:val="0050378C"/>
    <w:rsid w:val="0050385B"/>
    <w:rsid w:val="005038C4"/>
    <w:rsid w:val="00503A30"/>
    <w:rsid w:val="00503C37"/>
    <w:rsid w:val="00503C73"/>
    <w:rsid w:val="00503CFD"/>
    <w:rsid w:val="00503DAF"/>
    <w:rsid w:val="00503F17"/>
    <w:rsid w:val="00503F3A"/>
    <w:rsid w:val="00504026"/>
    <w:rsid w:val="0050402B"/>
    <w:rsid w:val="0050405C"/>
    <w:rsid w:val="005042A0"/>
    <w:rsid w:val="0050431B"/>
    <w:rsid w:val="005044B3"/>
    <w:rsid w:val="005044D5"/>
    <w:rsid w:val="0050469C"/>
    <w:rsid w:val="005046E0"/>
    <w:rsid w:val="00504812"/>
    <w:rsid w:val="00504929"/>
    <w:rsid w:val="00504ACE"/>
    <w:rsid w:val="00504C15"/>
    <w:rsid w:val="00504E29"/>
    <w:rsid w:val="00504FA0"/>
    <w:rsid w:val="0050510A"/>
    <w:rsid w:val="00505737"/>
    <w:rsid w:val="00505761"/>
    <w:rsid w:val="00505782"/>
    <w:rsid w:val="00505A28"/>
    <w:rsid w:val="00505AA3"/>
    <w:rsid w:val="00505B71"/>
    <w:rsid w:val="00505B74"/>
    <w:rsid w:val="00505C7A"/>
    <w:rsid w:val="00505CEA"/>
    <w:rsid w:val="00505D8B"/>
    <w:rsid w:val="00505F11"/>
    <w:rsid w:val="0050610E"/>
    <w:rsid w:val="00506143"/>
    <w:rsid w:val="005064D3"/>
    <w:rsid w:val="00506518"/>
    <w:rsid w:val="0050657C"/>
    <w:rsid w:val="00506717"/>
    <w:rsid w:val="0050681A"/>
    <w:rsid w:val="005068ED"/>
    <w:rsid w:val="00506928"/>
    <w:rsid w:val="005069DC"/>
    <w:rsid w:val="00506A6F"/>
    <w:rsid w:val="00506B26"/>
    <w:rsid w:val="00506F3B"/>
    <w:rsid w:val="0050705E"/>
    <w:rsid w:val="0050709E"/>
    <w:rsid w:val="00507157"/>
    <w:rsid w:val="00507198"/>
    <w:rsid w:val="0050721C"/>
    <w:rsid w:val="005072AF"/>
    <w:rsid w:val="0050731C"/>
    <w:rsid w:val="0050737F"/>
    <w:rsid w:val="005075FA"/>
    <w:rsid w:val="00507696"/>
    <w:rsid w:val="005077EF"/>
    <w:rsid w:val="005078AA"/>
    <w:rsid w:val="00507964"/>
    <w:rsid w:val="00507A1F"/>
    <w:rsid w:val="00507A94"/>
    <w:rsid w:val="00507AAD"/>
    <w:rsid w:val="00507ABA"/>
    <w:rsid w:val="00507AC6"/>
    <w:rsid w:val="00507D26"/>
    <w:rsid w:val="00507E88"/>
    <w:rsid w:val="00507F24"/>
    <w:rsid w:val="005100A0"/>
    <w:rsid w:val="00510253"/>
    <w:rsid w:val="0051025B"/>
    <w:rsid w:val="005104D8"/>
    <w:rsid w:val="0051072B"/>
    <w:rsid w:val="0051080C"/>
    <w:rsid w:val="00510993"/>
    <w:rsid w:val="00510C72"/>
    <w:rsid w:val="00510C88"/>
    <w:rsid w:val="00510FAF"/>
    <w:rsid w:val="00510FE2"/>
    <w:rsid w:val="0051102C"/>
    <w:rsid w:val="005111FA"/>
    <w:rsid w:val="005112BE"/>
    <w:rsid w:val="00511369"/>
    <w:rsid w:val="00511509"/>
    <w:rsid w:val="0051154F"/>
    <w:rsid w:val="00511601"/>
    <w:rsid w:val="00511785"/>
    <w:rsid w:val="005117CE"/>
    <w:rsid w:val="005118FA"/>
    <w:rsid w:val="00511954"/>
    <w:rsid w:val="00511AA4"/>
    <w:rsid w:val="00511AD5"/>
    <w:rsid w:val="00511AFF"/>
    <w:rsid w:val="00511B9F"/>
    <w:rsid w:val="00511BCD"/>
    <w:rsid w:val="00511C0E"/>
    <w:rsid w:val="00511D66"/>
    <w:rsid w:val="00511DC7"/>
    <w:rsid w:val="00512071"/>
    <w:rsid w:val="0051231F"/>
    <w:rsid w:val="0051241C"/>
    <w:rsid w:val="0051242E"/>
    <w:rsid w:val="00512437"/>
    <w:rsid w:val="005124DF"/>
    <w:rsid w:val="005127D9"/>
    <w:rsid w:val="0051282E"/>
    <w:rsid w:val="005129A3"/>
    <w:rsid w:val="005129BA"/>
    <w:rsid w:val="00512A49"/>
    <w:rsid w:val="00512AC5"/>
    <w:rsid w:val="00512D12"/>
    <w:rsid w:val="00512E3F"/>
    <w:rsid w:val="00512E64"/>
    <w:rsid w:val="00512F0F"/>
    <w:rsid w:val="00512F68"/>
    <w:rsid w:val="00513061"/>
    <w:rsid w:val="00513287"/>
    <w:rsid w:val="0051328E"/>
    <w:rsid w:val="00513560"/>
    <w:rsid w:val="005136E9"/>
    <w:rsid w:val="00513CBA"/>
    <w:rsid w:val="00513CDB"/>
    <w:rsid w:val="0051411F"/>
    <w:rsid w:val="005142C5"/>
    <w:rsid w:val="00514406"/>
    <w:rsid w:val="00514420"/>
    <w:rsid w:val="00514719"/>
    <w:rsid w:val="00514803"/>
    <w:rsid w:val="00514917"/>
    <w:rsid w:val="00514924"/>
    <w:rsid w:val="00514963"/>
    <w:rsid w:val="00514978"/>
    <w:rsid w:val="00514CA6"/>
    <w:rsid w:val="00514CAF"/>
    <w:rsid w:val="00514D82"/>
    <w:rsid w:val="0051501B"/>
    <w:rsid w:val="00515028"/>
    <w:rsid w:val="005150E5"/>
    <w:rsid w:val="00515115"/>
    <w:rsid w:val="005152B5"/>
    <w:rsid w:val="0051543F"/>
    <w:rsid w:val="00515464"/>
    <w:rsid w:val="005155C2"/>
    <w:rsid w:val="005155E8"/>
    <w:rsid w:val="00515639"/>
    <w:rsid w:val="0051581F"/>
    <w:rsid w:val="00515886"/>
    <w:rsid w:val="005159CA"/>
    <w:rsid w:val="00515A44"/>
    <w:rsid w:val="00515C58"/>
    <w:rsid w:val="00515C71"/>
    <w:rsid w:val="00515C7B"/>
    <w:rsid w:val="00515C7D"/>
    <w:rsid w:val="0051616B"/>
    <w:rsid w:val="00516218"/>
    <w:rsid w:val="00516292"/>
    <w:rsid w:val="005162E5"/>
    <w:rsid w:val="005162EB"/>
    <w:rsid w:val="005162EC"/>
    <w:rsid w:val="005164F9"/>
    <w:rsid w:val="00516602"/>
    <w:rsid w:val="005166C0"/>
    <w:rsid w:val="00516706"/>
    <w:rsid w:val="0051685E"/>
    <w:rsid w:val="005168E7"/>
    <w:rsid w:val="005168EB"/>
    <w:rsid w:val="00516936"/>
    <w:rsid w:val="00516BB4"/>
    <w:rsid w:val="00516D9D"/>
    <w:rsid w:val="00516F0E"/>
    <w:rsid w:val="00517038"/>
    <w:rsid w:val="005170DC"/>
    <w:rsid w:val="00517198"/>
    <w:rsid w:val="005173EB"/>
    <w:rsid w:val="00517645"/>
    <w:rsid w:val="005177B9"/>
    <w:rsid w:val="0051786E"/>
    <w:rsid w:val="00517877"/>
    <w:rsid w:val="005178A9"/>
    <w:rsid w:val="005179D7"/>
    <w:rsid w:val="00517A3B"/>
    <w:rsid w:val="00517A5C"/>
    <w:rsid w:val="00517BF4"/>
    <w:rsid w:val="00517D50"/>
    <w:rsid w:val="00517FE4"/>
    <w:rsid w:val="005200D8"/>
    <w:rsid w:val="00520194"/>
    <w:rsid w:val="00520319"/>
    <w:rsid w:val="0052049D"/>
    <w:rsid w:val="00520556"/>
    <w:rsid w:val="005206BC"/>
    <w:rsid w:val="005207AB"/>
    <w:rsid w:val="005208D0"/>
    <w:rsid w:val="00520A63"/>
    <w:rsid w:val="00520B51"/>
    <w:rsid w:val="00520BA3"/>
    <w:rsid w:val="00520EBB"/>
    <w:rsid w:val="00520EF9"/>
    <w:rsid w:val="00520F25"/>
    <w:rsid w:val="00520FD6"/>
    <w:rsid w:val="0052103E"/>
    <w:rsid w:val="0052123C"/>
    <w:rsid w:val="00521319"/>
    <w:rsid w:val="0052132B"/>
    <w:rsid w:val="00521532"/>
    <w:rsid w:val="005216C4"/>
    <w:rsid w:val="005219B2"/>
    <w:rsid w:val="005219C1"/>
    <w:rsid w:val="00521A16"/>
    <w:rsid w:val="00521A50"/>
    <w:rsid w:val="00521A8A"/>
    <w:rsid w:val="00521B70"/>
    <w:rsid w:val="00521B7B"/>
    <w:rsid w:val="00521CC6"/>
    <w:rsid w:val="00521DEF"/>
    <w:rsid w:val="00521E19"/>
    <w:rsid w:val="00521E24"/>
    <w:rsid w:val="00521E78"/>
    <w:rsid w:val="005220B3"/>
    <w:rsid w:val="005221F9"/>
    <w:rsid w:val="005222DD"/>
    <w:rsid w:val="00522518"/>
    <w:rsid w:val="00522696"/>
    <w:rsid w:val="005226D6"/>
    <w:rsid w:val="00522724"/>
    <w:rsid w:val="005228D2"/>
    <w:rsid w:val="00522BC8"/>
    <w:rsid w:val="00522D7A"/>
    <w:rsid w:val="00522DE3"/>
    <w:rsid w:val="0052361F"/>
    <w:rsid w:val="00523689"/>
    <w:rsid w:val="0052373E"/>
    <w:rsid w:val="005238FA"/>
    <w:rsid w:val="00523B03"/>
    <w:rsid w:val="00523C28"/>
    <w:rsid w:val="00523D90"/>
    <w:rsid w:val="00523DAB"/>
    <w:rsid w:val="00523E4A"/>
    <w:rsid w:val="005242FB"/>
    <w:rsid w:val="00524322"/>
    <w:rsid w:val="0052442E"/>
    <w:rsid w:val="005244C7"/>
    <w:rsid w:val="00524539"/>
    <w:rsid w:val="00524601"/>
    <w:rsid w:val="0052483B"/>
    <w:rsid w:val="0052486C"/>
    <w:rsid w:val="005248C2"/>
    <w:rsid w:val="0052492C"/>
    <w:rsid w:val="00524981"/>
    <w:rsid w:val="00524A69"/>
    <w:rsid w:val="00524AC1"/>
    <w:rsid w:val="00524B23"/>
    <w:rsid w:val="00524C9D"/>
    <w:rsid w:val="005250C4"/>
    <w:rsid w:val="005251C3"/>
    <w:rsid w:val="00525278"/>
    <w:rsid w:val="005254ED"/>
    <w:rsid w:val="00525615"/>
    <w:rsid w:val="00525AEA"/>
    <w:rsid w:val="00525AFE"/>
    <w:rsid w:val="00525B5C"/>
    <w:rsid w:val="00525D48"/>
    <w:rsid w:val="00525D98"/>
    <w:rsid w:val="00525DB2"/>
    <w:rsid w:val="00525EDD"/>
    <w:rsid w:val="00525EFF"/>
    <w:rsid w:val="00525F13"/>
    <w:rsid w:val="00525F1C"/>
    <w:rsid w:val="00526188"/>
    <w:rsid w:val="0052624A"/>
    <w:rsid w:val="005265C1"/>
    <w:rsid w:val="0052664B"/>
    <w:rsid w:val="0052666D"/>
    <w:rsid w:val="00526A65"/>
    <w:rsid w:val="005271AF"/>
    <w:rsid w:val="00527330"/>
    <w:rsid w:val="005273AF"/>
    <w:rsid w:val="005273D6"/>
    <w:rsid w:val="005275F5"/>
    <w:rsid w:val="00527853"/>
    <w:rsid w:val="005278D2"/>
    <w:rsid w:val="00527C4A"/>
    <w:rsid w:val="00527CF1"/>
    <w:rsid w:val="00527D87"/>
    <w:rsid w:val="00527F89"/>
    <w:rsid w:val="0053034A"/>
    <w:rsid w:val="005304AF"/>
    <w:rsid w:val="005304BA"/>
    <w:rsid w:val="005305CF"/>
    <w:rsid w:val="0053074E"/>
    <w:rsid w:val="005308CC"/>
    <w:rsid w:val="00530906"/>
    <w:rsid w:val="0053093A"/>
    <w:rsid w:val="00530986"/>
    <w:rsid w:val="00530D1C"/>
    <w:rsid w:val="00530F10"/>
    <w:rsid w:val="00530F3A"/>
    <w:rsid w:val="005310F7"/>
    <w:rsid w:val="005311F2"/>
    <w:rsid w:val="005312EA"/>
    <w:rsid w:val="00531334"/>
    <w:rsid w:val="00531417"/>
    <w:rsid w:val="00531638"/>
    <w:rsid w:val="00531699"/>
    <w:rsid w:val="0053176B"/>
    <w:rsid w:val="00531979"/>
    <w:rsid w:val="00531A82"/>
    <w:rsid w:val="00531B72"/>
    <w:rsid w:val="00531D0E"/>
    <w:rsid w:val="00531DC0"/>
    <w:rsid w:val="00531E5B"/>
    <w:rsid w:val="00531F51"/>
    <w:rsid w:val="00532059"/>
    <w:rsid w:val="00532187"/>
    <w:rsid w:val="005321AF"/>
    <w:rsid w:val="005321C1"/>
    <w:rsid w:val="0053240A"/>
    <w:rsid w:val="00532650"/>
    <w:rsid w:val="005327D8"/>
    <w:rsid w:val="0053286F"/>
    <w:rsid w:val="00532ABC"/>
    <w:rsid w:val="00532D70"/>
    <w:rsid w:val="00532D80"/>
    <w:rsid w:val="00532E73"/>
    <w:rsid w:val="00532EEC"/>
    <w:rsid w:val="00532FBF"/>
    <w:rsid w:val="00533199"/>
    <w:rsid w:val="00533526"/>
    <w:rsid w:val="0053374F"/>
    <w:rsid w:val="00533A8A"/>
    <w:rsid w:val="00533C2E"/>
    <w:rsid w:val="00533C5F"/>
    <w:rsid w:val="00533DAA"/>
    <w:rsid w:val="005341B2"/>
    <w:rsid w:val="005341B3"/>
    <w:rsid w:val="0053422C"/>
    <w:rsid w:val="00534292"/>
    <w:rsid w:val="0053431F"/>
    <w:rsid w:val="00534330"/>
    <w:rsid w:val="00534533"/>
    <w:rsid w:val="00534562"/>
    <w:rsid w:val="005347A3"/>
    <w:rsid w:val="00534A45"/>
    <w:rsid w:val="00534BAF"/>
    <w:rsid w:val="00534C23"/>
    <w:rsid w:val="00534F51"/>
    <w:rsid w:val="00534F86"/>
    <w:rsid w:val="00535068"/>
    <w:rsid w:val="005351C0"/>
    <w:rsid w:val="00535234"/>
    <w:rsid w:val="0053532F"/>
    <w:rsid w:val="0053580D"/>
    <w:rsid w:val="00535848"/>
    <w:rsid w:val="00535935"/>
    <w:rsid w:val="00535B0F"/>
    <w:rsid w:val="00535CB6"/>
    <w:rsid w:val="00535D2E"/>
    <w:rsid w:val="00535D81"/>
    <w:rsid w:val="00535DCD"/>
    <w:rsid w:val="00535DD1"/>
    <w:rsid w:val="00535EB1"/>
    <w:rsid w:val="00536071"/>
    <w:rsid w:val="0053607D"/>
    <w:rsid w:val="00536106"/>
    <w:rsid w:val="00536192"/>
    <w:rsid w:val="005363B8"/>
    <w:rsid w:val="00536469"/>
    <w:rsid w:val="00536510"/>
    <w:rsid w:val="00536611"/>
    <w:rsid w:val="0053673F"/>
    <w:rsid w:val="005367A6"/>
    <w:rsid w:val="005367C6"/>
    <w:rsid w:val="005367F0"/>
    <w:rsid w:val="00536BC9"/>
    <w:rsid w:val="00536C89"/>
    <w:rsid w:val="00536C8D"/>
    <w:rsid w:val="00536DAC"/>
    <w:rsid w:val="00536DD0"/>
    <w:rsid w:val="00536E6A"/>
    <w:rsid w:val="00536ECB"/>
    <w:rsid w:val="00536F42"/>
    <w:rsid w:val="00536FBF"/>
    <w:rsid w:val="0053700F"/>
    <w:rsid w:val="00537182"/>
    <w:rsid w:val="00537357"/>
    <w:rsid w:val="00537580"/>
    <w:rsid w:val="005376B8"/>
    <w:rsid w:val="0053797D"/>
    <w:rsid w:val="00537A53"/>
    <w:rsid w:val="00537BF5"/>
    <w:rsid w:val="00537CF5"/>
    <w:rsid w:val="00537E05"/>
    <w:rsid w:val="00537E42"/>
    <w:rsid w:val="00537E9E"/>
    <w:rsid w:val="00537FC8"/>
    <w:rsid w:val="00540021"/>
    <w:rsid w:val="005405BC"/>
    <w:rsid w:val="005406EF"/>
    <w:rsid w:val="005408F3"/>
    <w:rsid w:val="00540934"/>
    <w:rsid w:val="005409B3"/>
    <w:rsid w:val="005409EB"/>
    <w:rsid w:val="00540A17"/>
    <w:rsid w:val="00540E11"/>
    <w:rsid w:val="00541082"/>
    <w:rsid w:val="005410F5"/>
    <w:rsid w:val="00541178"/>
    <w:rsid w:val="0054117D"/>
    <w:rsid w:val="0054130C"/>
    <w:rsid w:val="00541322"/>
    <w:rsid w:val="005414AC"/>
    <w:rsid w:val="005416FA"/>
    <w:rsid w:val="00541C0E"/>
    <w:rsid w:val="00541CB8"/>
    <w:rsid w:val="00541D2D"/>
    <w:rsid w:val="00541DC5"/>
    <w:rsid w:val="00541DEE"/>
    <w:rsid w:val="00541EA6"/>
    <w:rsid w:val="00541EDD"/>
    <w:rsid w:val="00541F25"/>
    <w:rsid w:val="0054208A"/>
    <w:rsid w:val="00542096"/>
    <w:rsid w:val="00542394"/>
    <w:rsid w:val="005423EB"/>
    <w:rsid w:val="005424F9"/>
    <w:rsid w:val="0054267B"/>
    <w:rsid w:val="005426A5"/>
    <w:rsid w:val="00542743"/>
    <w:rsid w:val="005428A7"/>
    <w:rsid w:val="005428DD"/>
    <w:rsid w:val="00542B39"/>
    <w:rsid w:val="00542C2D"/>
    <w:rsid w:val="00542DD6"/>
    <w:rsid w:val="00543170"/>
    <w:rsid w:val="00543171"/>
    <w:rsid w:val="00543257"/>
    <w:rsid w:val="005433C5"/>
    <w:rsid w:val="005437D7"/>
    <w:rsid w:val="00543982"/>
    <w:rsid w:val="005439B4"/>
    <w:rsid w:val="00543A14"/>
    <w:rsid w:val="00543C71"/>
    <w:rsid w:val="00543DC3"/>
    <w:rsid w:val="00543EA0"/>
    <w:rsid w:val="00543F4A"/>
    <w:rsid w:val="00543FC6"/>
    <w:rsid w:val="005440E5"/>
    <w:rsid w:val="00544107"/>
    <w:rsid w:val="005441DD"/>
    <w:rsid w:val="00544220"/>
    <w:rsid w:val="00544290"/>
    <w:rsid w:val="005442E8"/>
    <w:rsid w:val="00544415"/>
    <w:rsid w:val="00544500"/>
    <w:rsid w:val="00544554"/>
    <w:rsid w:val="0054461E"/>
    <w:rsid w:val="00544724"/>
    <w:rsid w:val="005447C6"/>
    <w:rsid w:val="0054480D"/>
    <w:rsid w:val="00544835"/>
    <w:rsid w:val="00544B12"/>
    <w:rsid w:val="00544B8E"/>
    <w:rsid w:val="00544C59"/>
    <w:rsid w:val="00544D7C"/>
    <w:rsid w:val="00545026"/>
    <w:rsid w:val="005451B4"/>
    <w:rsid w:val="00545458"/>
    <w:rsid w:val="005456D9"/>
    <w:rsid w:val="00545965"/>
    <w:rsid w:val="00545AFE"/>
    <w:rsid w:val="00545E3F"/>
    <w:rsid w:val="00546278"/>
    <w:rsid w:val="0054632E"/>
    <w:rsid w:val="005466B0"/>
    <w:rsid w:val="005466C0"/>
    <w:rsid w:val="0054690C"/>
    <w:rsid w:val="0054695F"/>
    <w:rsid w:val="00546B34"/>
    <w:rsid w:val="00546BB7"/>
    <w:rsid w:val="00546CDD"/>
    <w:rsid w:val="00546E03"/>
    <w:rsid w:val="00546FA3"/>
    <w:rsid w:val="005470AD"/>
    <w:rsid w:val="00547140"/>
    <w:rsid w:val="005472AC"/>
    <w:rsid w:val="0054742B"/>
    <w:rsid w:val="005474D4"/>
    <w:rsid w:val="005475E9"/>
    <w:rsid w:val="00547699"/>
    <w:rsid w:val="005478A6"/>
    <w:rsid w:val="005478BD"/>
    <w:rsid w:val="005479E3"/>
    <w:rsid w:val="00547DDC"/>
    <w:rsid w:val="00550106"/>
    <w:rsid w:val="00550244"/>
    <w:rsid w:val="005502C0"/>
    <w:rsid w:val="0055032B"/>
    <w:rsid w:val="00550370"/>
    <w:rsid w:val="0055050F"/>
    <w:rsid w:val="00550512"/>
    <w:rsid w:val="00550664"/>
    <w:rsid w:val="0055068E"/>
    <w:rsid w:val="0055078E"/>
    <w:rsid w:val="00550814"/>
    <w:rsid w:val="0055083D"/>
    <w:rsid w:val="00550B6E"/>
    <w:rsid w:val="00550BDC"/>
    <w:rsid w:val="00550C4A"/>
    <w:rsid w:val="00550DA0"/>
    <w:rsid w:val="00550DD2"/>
    <w:rsid w:val="00550E4A"/>
    <w:rsid w:val="00550F94"/>
    <w:rsid w:val="00551037"/>
    <w:rsid w:val="00551084"/>
    <w:rsid w:val="00551106"/>
    <w:rsid w:val="0055112F"/>
    <w:rsid w:val="0055124F"/>
    <w:rsid w:val="0055128E"/>
    <w:rsid w:val="005514E3"/>
    <w:rsid w:val="0055155D"/>
    <w:rsid w:val="0055157E"/>
    <w:rsid w:val="005516CB"/>
    <w:rsid w:val="005516E6"/>
    <w:rsid w:val="0055171B"/>
    <w:rsid w:val="00551759"/>
    <w:rsid w:val="00551985"/>
    <w:rsid w:val="005519DF"/>
    <w:rsid w:val="005519FB"/>
    <w:rsid w:val="00551A3D"/>
    <w:rsid w:val="00551D16"/>
    <w:rsid w:val="00551D30"/>
    <w:rsid w:val="00552287"/>
    <w:rsid w:val="00552500"/>
    <w:rsid w:val="00552569"/>
    <w:rsid w:val="00552636"/>
    <w:rsid w:val="0055276F"/>
    <w:rsid w:val="00552796"/>
    <w:rsid w:val="0055291A"/>
    <w:rsid w:val="005529C3"/>
    <w:rsid w:val="00552BD3"/>
    <w:rsid w:val="00552C2A"/>
    <w:rsid w:val="00552D9C"/>
    <w:rsid w:val="00552DD2"/>
    <w:rsid w:val="00552FDC"/>
    <w:rsid w:val="005532A0"/>
    <w:rsid w:val="00553560"/>
    <w:rsid w:val="00553768"/>
    <w:rsid w:val="00553CB5"/>
    <w:rsid w:val="00553DCE"/>
    <w:rsid w:val="00553F1D"/>
    <w:rsid w:val="00553F3F"/>
    <w:rsid w:val="005541F1"/>
    <w:rsid w:val="005542C9"/>
    <w:rsid w:val="005542E6"/>
    <w:rsid w:val="005543A2"/>
    <w:rsid w:val="00554629"/>
    <w:rsid w:val="0055465F"/>
    <w:rsid w:val="005546A9"/>
    <w:rsid w:val="005549AD"/>
    <w:rsid w:val="00554AA6"/>
    <w:rsid w:val="00554C2D"/>
    <w:rsid w:val="00554D13"/>
    <w:rsid w:val="00554DD9"/>
    <w:rsid w:val="00554FE9"/>
    <w:rsid w:val="0055505C"/>
    <w:rsid w:val="00555109"/>
    <w:rsid w:val="0055519A"/>
    <w:rsid w:val="005551B9"/>
    <w:rsid w:val="0055542E"/>
    <w:rsid w:val="00555482"/>
    <w:rsid w:val="00555534"/>
    <w:rsid w:val="00555650"/>
    <w:rsid w:val="0055572D"/>
    <w:rsid w:val="005557D8"/>
    <w:rsid w:val="0055584E"/>
    <w:rsid w:val="00555AE9"/>
    <w:rsid w:val="00555C05"/>
    <w:rsid w:val="00555E6C"/>
    <w:rsid w:val="00555E9A"/>
    <w:rsid w:val="00555F49"/>
    <w:rsid w:val="00555F82"/>
    <w:rsid w:val="0055619B"/>
    <w:rsid w:val="0055630E"/>
    <w:rsid w:val="00556335"/>
    <w:rsid w:val="00556372"/>
    <w:rsid w:val="00556525"/>
    <w:rsid w:val="00556582"/>
    <w:rsid w:val="0055663C"/>
    <w:rsid w:val="005566A4"/>
    <w:rsid w:val="00556787"/>
    <w:rsid w:val="0055697B"/>
    <w:rsid w:val="00556AD8"/>
    <w:rsid w:val="00556B35"/>
    <w:rsid w:val="00556BB6"/>
    <w:rsid w:val="00556C2F"/>
    <w:rsid w:val="00556D75"/>
    <w:rsid w:val="00556E0A"/>
    <w:rsid w:val="00556FEE"/>
    <w:rsid w:val="00556FF2"/>
    <w:rsid w:val="00557033"/>
    <w:rsid w:val="00557103"/>
    <w:rsid w:val="005571E4"/>
    <w:rsid w:val="00557379"/>
    <w:rsid w:val="0055741A"/>
    <w:rsid w:val="00557486"/>
    <w:rsid w:val="005575A3"/>
    <w:rsid w:val="005578FD"/>
    <w:rsid w:val="00557921"/>
    <w:rsid w:val="00557A07"/>
    <w:rsid w:val="00557AA8"/>
    <w:rsid w:val="00557E71"/>
    <w:rsid w:val="00557ED9"/>
    <w:rsid w:val="00557F10"/>
    <w:rsid w:val="00557FD1"/>
    <w:rsid w:val="00557FFC"/>
    <w:rsid w:val="005600ED"/>
    <w:rsid w:val="005601F8"/>
    <w:rsid w:val="00560672"/>
    <w:rsid w:val="005606D8"/>
    <w:rsid w:val="0056073C"/>
    <w:rsid w:val="0056074B"/>
    <w:rsid w:val="00560ABC"/>
    <w:rsid w:val="00560B17"/>
    <w:rsid w:val="00560C0E"/>
    <w:rsid w:val="0056102E"/>
    <w:rsid w:val="005610E6"/>
    <w:rsid w:val="005611B7"/>
    <w:rsid w:val="005612EB"/>
    <w:rsid w:val="00561336"/>
    <w:rsid w:val="005613D5"/>
    <w:rsid w:val="00561611"/>
    <w:rsid w:val="005617FE"/>
    <w:rsid w:val="00561878"/>
    <w:rsid w:val="00561888"/>
    <w:rsid w:val="005618D4"/>
    <w:rsid w:val="0056198B"/>
    <w:rsid w:val="005619D9"/>
    <w:rsid w:val="00561AF0"/>
    <w:rsid w:val="00561D13"/>
    <w:rsid w:val="0056207F"/>
    <w:rsid w:val="00562212"/>
    <w:rsid w:val="00562315"/>
    <w:rsid w:val="005623B7"/>
    <w:rsid w:val="0056243F"/>
    <w:rsid w:val="005624AC"/>
    <w:rsid w:val="00562514"/>
    <w:rsid w:val="005626AD"/>
    <w:rsid w:val="0056295D"/>
    <w:rsid w:val="00562AF9"/>
    <w:rsid w:val="00562B98"/>
    <w:rsid w:val="00562CBD"/>
    <w:rsid w:val="00562E25"/>
    <w:rsid w:val="00562EDC"/>
    <w:rsid w:val="00563006"/>
    <w:rsid w:val="00563028"/>
    <w:rsid w:val="0056303A"/>
    <w:rsid w:val="00563049"/>
    <w:rsid w:val="00563316"/>
    <w:rsid w:val="0056341E"/>
    <w:rsid w:val="0056347D"/>
    <w:rsid w:val="005634A1"/>
    <w:rsid w:val="00563533"/>
    <w:rsid w:val="005636A8"/>
    <w:rsid w:val="00563800"/>
    <w:rsid w:val="00563C89"/>
    <w:rsid w:val="00563CAF"/>
    <w:rsid w:val="00563CBE"/>
    <w:rsid w:val="00563CF4"/>
    <w:rsid w:val="00563D90"/>
    <w:rsid w:val="00563D9B"/>
    <w:rsid w:val="00563E0F"/>
    <w:rsid w:val="00563E76"/>
    <w:rsid w:val="00563F29"/>
    <w:rsid w:val="00563FC7"/>
    <w:rsid w:val="00564004"/>
    <w:rsid w:val="0056406D"/>
    <w:rsid w:val="005640C1"/>
    <w:rsid w:val="0056413D"/>
    <w:rsid w:val="005641F1"/>
    <w:rsid w:val="00564236"/>
    <w:rsid w:val="005642CA"/>
    <w:rsid w:val="005642F7"/>
    <w:rsid w:val="005644C4"/>
    <w:rsid w:val="005646B8"/>
    <w:rsid w:val="00564842"/>
    <w:rsid w:val="00564867"/>
    <w:rsid w:val="005648A8"/>
    <w:rsid w:val="00564E5C"/>
    <w:rsid w:val="00564E94"/>
    <w:rsid w:val="00564EAD"/>
    <w:rsid w:val="00564EBC"/>
    <w:rsid w:val="00564F25"/>
    <w:rsid w:val="00565083"/>
    <w:rsid w:val="005653C4"/>
    <w:rsid w:val="00565515"/>
    <w:rsid w:val="00565536"/>
    <w:rsid w:val="0056563B"/>
    <w:rsid w:val="00565766"/>
    <w:rsid w:val="00565932"/>
    <w:rsid w:val="00565A26"/>
    <w:rsid w:val="00565B28"/>
    <w:rsid w:val="00565C79"/>
    <w:rsid w:val="00565DAC"/>
    <w:rsid w:val="00565DF0"/>
    <w:rsid w:val="00565F43"/>
    <w:rsid w:val="00566251"/>
    <w:rsid w:val="00566427"/>
    <w:rsid w:val="005667A9"/>
    <w:rsid w:val="00566837"/>
    <w:rsid w:val="00566843"/>
    <w:rsid w:val="005668B8"/>
    <w:rsid w:val="0056696F"/>
    <w:rsid w:val="00566C10"/>
    <w:rsid w:val="00566E06"/>
    <w:rsid w:val="00566ED6"/>
    <w:rsid w:val="00567787"/>
    <w:rsid w:val="005677C6"/>
    <w:rsid w:val="00567A81"/>
    <w:rsid w:val="00567B2E"/>
    <w:rsid w:val="00567B6C"/>
    <w:rsid w:val="00567C27"/>
    <w:rsid w:val="00567D06"/>
    <w:rsid w:val="00567D55"/>
    <w:rsid w:val="00567D68"/>
    <w:rsid w:val="00567D6A"/>
    <w:rsid w:val="00567D7E"/>
    <w:rsid w:val="00567E27"/>
    <w:rsid w:val="00567E4A"/>
    <w:rsid w:val="005701FD"/>
    <w:rsid w:val="00570204"/>
    <w:rsid w:val="00570285"/>
    <w:rsid w:val="0057028C"/>
    <w:rsid w:val="0057031F"/>
    <w:rsid w:val="0057056F"/>
    <w:rsid w:val="005706AF"/>
    <w:rsid w:val="005707FB"/>
    <w:rsid w:val="00570849"/>
    <w:rsid w:val="00570B0A"/>
    <w:rsid w:val="00570B6C"/>
    <w:rsid w:val="00570BD5"/>
    <w:rsid w:val="00570D38"/>
    <w:rsid w:val="00570FB7"/>
    <w:rsid w:val="00571271"/>
    <w:rsid w:val="005715B2"/>
    <w:rsid w:val="0057168E"/>
    <w:rsid w:val="0057189F"/>
    <w:rsid w:val="00571B02"/>
    <w:rsid w:val="00571C8B"/>
    <w:rsid w:val="00571D97"/>
    <w:rsid w:val="00571E55"/>
    <w:rsid w:val="00571ECF"/>
    <w:rsid w:val="00572007"/>
    <w:rsid w:val="00572220"/>
    <w:rsid w:val="00572269"/>
    <w:rsid w:val="0057244A"/>
    <w:rsid w:val="00572479"/>
    <w:rsid w:val="005724FF"/>
    <w:rsid w:val="005726A4"/>
    <w:rsid w:val="00572781"/>
    <w:rsid w:val="00572942"/>
    <w:rsid w:val="00572B2A"/>
    <w:rsid w:val="00572BE5"/>
    <w:rsid w:val="00572C6E"/>
    <w:rsid w:val="00572DFC"/>
    <w:rsid w:val="00572E1C"/>
    <w:rsid w:val="00572EF1"/>
    <w:rsid w:val="00572F26"/>
    <w:rsid w:val="005730F1"/>
    <w:rsid w:val="005731E0"/>
    <w:rsid w:val="00573285"/>
    <w:rsid w:val="005733B3"/>
    <w:rsid w:val="005733E8"/>
    <w:rsid w:val="005734AC"/>
    <w:rsid w:val="0057363B"/>
    <w:rsid w:val="005739B6"/>
    <w:rsid w:val="00573B47"/>
    <w:rsid w:val="0057402E"/>
    <w:rsid w:val="00574261"/>
    <w:rsid w:val="0057429C"/>
    <w:rsid w:val="00574359"/>
    <w:rsid w:val="0057438B"/>
    <w:rsid w:val="00574506"/>
    <w:rsid w:val="00574523"/>
    <w:rsid w:val="005745B8"/>
    <w:rsid w:val="00574661"/>
    <w:rsid w:val="00574668"/>
    <w:rsid w:val="0057469A"/>
    <w:rsid w:val="0057473F"/>
    <w:rsid w:val="005747CB"/>
    <w:rsid w:val="005747E6"/>
    <w:rsid w:val="0057481D"/>
    <w:rsid w:val="00574882"/>
    <w:rsid w:val="00574E8A"/>
    <w:rsid w:val="00574E99"/>
    <w:rsid w:val="00574EFD"/>
    <w:rsid w:val="005750C5"/>
    <w:rsid w:val="00575152"/>
    <w:rsid w:val="005751B7"/>
    <w:rsid w:val="00575243"/>
    <w:rsid w:val="005752DE"/>
    <w:rsid w:val="0057535F"/>
    <w:rsid w:val="00575565"/>
    <w:rsid w:val="0057569F"/>
    <w:rsid w:val="0057579D"/>
    <w:rsid w:val="005758E5"/>
    <w:rsid w:val="00575939"/>
    <w:rsid w:val="0057597B"/>
    <w:rsid w:val="00575BDD"/>
    <w:rsid w:val="00575D60"/>
    <w:rsid w:val="00575D8D"/>
    <w:rsid w:val="00575E2D"/>
    <w:rsid w:val="00575FDA"/>
    <w:rsid w:val="00576216"/>
    <w:rsid w:val="005762D5"/>
    <w:rsid w:val="005762EE"/>
    <w:rsid w:val="005764E8"/>
    <w:rsid w:val="00576568"/>
    <w:rsid w:val="0057658D"/>
    <w:rsid w:val="00576604"/>
    <w:rsid w:val="0057684F"/>
    <w:rsid w:val="00576886"/>
    <w:rsid w:val="005768F5"/>
    <w:rsid w:val="00576972"/>
    <w:rsid w:val="00576AC3"/>
    <w:rsid w:val="00576C4E"/>
    <w:rsid w:val="00576DA3"/>
    <w:rsid w:val="00576F95"/>
    <w:rsid w:val="00577066"/>
    <w:rsid w:val="00577248"/>
    <w:rsid w:val="0057730F"/>
    <w:rsid w:val="00577313"/>
    <w:rsid w:val="005773F1"/>
    <w:rsid w:val="005773F8"/>
    <w:rsid w:val="0057755C"/>
    <w:rsid w:val="005779A9"/>
    <w:rsid w:val="00577D2F"/>
    <w:rsid w:val="00577E41"/>
    <w:rsid w:val="00577ED9"/>
    <w:rsid w:val="00577F14"/>
    <w:rsid w:val="005801C1"/>
    <w:rsid w:val="00580201"/>
    <w:rsid w:val="00580488"/>
    <w:rsid w:val="00580583"/>
    <w:rsid w:val="005805A6"/>
    <w:rsid w:val="00580660"/>
    <w:rsid w:val="005808F0"/>
    <w:rsid w:val="00580D11"/>
    <w:rsid w:val="00580D55"/>
    <w:rsid w:val="00580E6D"/>
    <w:rsid w:val="00580EC9"/>
    <w:rsid w:val="00580FAF"/>
    <w:rsid w:val="0058136F"/>
    <w:rsid w:val="0058144F"/>
    <w:rsid w:val="00581470"/>
    <w:rsid w:val="005815D8"/>
    <w:rsid w:val="0058166C"/>
    <w:rsid w:val="005816A2"/>
    <w:rsid w:val="0058178E"/>
    <w:rsid w:val="00581A26"/>
    <w:rsid w:val="00581BE0"/>
    <w:rsid w:val="00581D65"/>
    <w:rsid w:val="00581DFE"/>
    <w:rsid w:val="005821BC"/>
    <w:rsid w:val="005822F4"/>
    <w:rsid w:val="0058243B"/>
    <w:rsid w:val="00582481"/>
    <w:rsid w:val="00582530"/>
    <w:rsid w:val="00582845"/>
    <w:rsid w:val="00582933"/>
    <w:rsid w:val="00582A7D"/>
    <w:rsid w:val="00582B69"/>
    <w:rsid w:val="00582BE9"/>
    <w:rsid w:val="00582C4A"/>
    <w:rsid w:val="00582E52"/>
    <w:rsid w:val="00582E7E"/>
    <w:rsid w:val="00582FC5"/>
    <w:rsid w:val="005830DE"/>
    <w:rsid w:val="005831F2"/>
    <w:rsid w:val="00583249"/>
    <w:rsid w:val="00583456"/>
    <w:rsid w:val="0058345D"/>
    <w:rsid w:val="0058348B"/>
    <w:rsid w:val="00583610"/>
    <w:rsid w:val="00583699"/>
    <w:rsid w:val="00583845"/>
    <w:rsid w:val="005838D4"/>
    <w:rsid w:val="005838F9"/>
    <w:rsid w:val="0058396F"/>
    <w:rsid w:val="00583E94"/>
    <w:rsid w:val="00583EB8"/>
    <w:rsid w:val="0058409E"/>
    <w:rsid w:val="005842B2"/>
    <w:rsid w:val="00584529"/>
    <w:rsid w:val="0058480E"/>
    <w:rsid w:val="00584846"/>
    <w:rsid w:val="00584875"/>
    <w:rsid w:val="005848EB"/>
    <w:rsid w:val="00584A84"/>
    <w:rsid w:val="00584C94"/>
    <w:rsid w:val="00584CF1"/>
    <w:rsid w:val="00584D12"/>
    <w:rsid w:val="00584E52"/>
    <w:rsid w:val="005852C9"/>
    <w:rsid w:val="005852EC"/>
    <w:rsid w:val="005853E9"/>
    <w:rsid w:val="005853F3"/>
    <w:rsid w:val="00585478"/>
    <w:rsid w:val="0058556C"/>
    <w:rsid w:val="005855BB"/>
    <w:rsid w:val="00585607"/>
    <w:rsid w:val="00585637"/>
    <w:rsid w:val="0058584C"/>
    <w:rsid w:val="0058588F"/>
    <w:rsid w:val="0058597E"/>
    <w:rsid w:val="00585BEC"/>
    <w:rsid w:val="00585CDD"/>
    <w:rsid w:val="00585E1B"/>
    <w:rsid w:val="00585F8D"/>
    <w:rsid w:val="00586176"/>
    <w:rsid w:val="00586271"/>
    <w:rsid w:val="0058634F"/>
    <w:rsid w:val="00586489"/>
    <w:rsid w:val="005864B9"/>
    <w:rsid w:val="005866C6"/>
    <w:rsid w:val="00586755"/>
    <w:rsid w:val="005868C2"/>
    <w:rsid w:val="00586906"/>
    <w:rsid w:val="00586977"/>
    <w:rsid w:val="00586B6F"/>
    <w:rsid w:val="00586F0F"/>
    <w:rsid w:val="00586FF3"/>
    <w:rsid w:val="00587058"/>
    <w:rsid w:val="0058721F"/>
    <w:rsid w:val="00587290"/>
    <w:rsid w:val="005872C6"/>
    <w:rsid w:val="00587650"/>
    <w:rsid w:val="005877D5"/>
    <w:rsid w:val="00587800"/>
    <w:rsid w:val="00587890"/>
    <w:rsid w:val="005879FD"/>
    <w:rsid w:val="00587C0D"/>
    <w:rsid w:val="00587CD1"/>
    <w:rsid w:val="00590311"/>
    <w:rsid w:val="0059037C"/>
    <w:rsid w:val="0059050E"/>
    <w:rsid w:val="005905AD"/>
    <w:rsid w:val="005906C2"/>
    <w:rsid w:val="005908AE"/>
    <w:rsid w:val="00590A4C"/>
    <w:rsid w:val="00590BAA"/>
    <w:rsid w:val="00590BAB"/>
    <w:rsid w:val="00590DE8"/>
    <w:rsid w:val="00590EA6"/>
    <w:rsid w:val="00590EF9"/>
    <w:rsid w:val="00590FEE"/>
    <w:rsid w:val="00590FEF"/>
    <w:rsid w:val="00591009"/>
    <w:rsid w:val="005910FC"/>
    <w:rsid w:val="0059132C"/>
    <w:rsid w:val="005913CB"/>
    <w:rsid w:val="0059161D"/>
    <w:rsid w:val="0059169E"/>
    <w:rsid w:val="005916A0"/>
    <w:rsid w:val="00591727"/>
    <w:rsid w:val="00591883"/>
    <w:rsid w:val="00591957"/>
    <w:rsid w:val="005919E5"/>
    <w:rsid w:val="00591B03"/>
    <w:rsid w:val="00591C7C"/>
    <w:rsid w:val="00591D8C"/>
    <w:rsid w:val="00592133"/>
    <w:rsid w:val="005922D1"/>
    <w:rsid w:val="00592419"/>
    <w:rsid w:val="00592490"/>
    <w:rsid w:val="005924A4"/>
    <w:rsid w:val="005924AF"/>
    <w:rsid w:val="0059253A"/>
    <w:rsid w:val="0059275C"/>
    <w:rsid w:val="005927A0"/>
    <w:rsid w:val="005927D7"/>
    <w:rsid w:val="00592887"/>
    <w:rsid w:val="0059295C"/>
    <w:rsid w:val="005929EC"/>
    <w:rsid w:val="00592A05"/>
    <w:rsid w:val="00592A21"/>
    <w:rsid w:val="00592BF1"/>
    <w:rsid w:val="00592F78"/>
    <w:rsid w:val="00592F89"/>
    <w:rsid w:val="00593161"/>
    <w:rsid w:val="00593257"/>
    <w:rsid w:val="0059328F"/>
    <w:rsid w:val="00593329"/>
    <w:rsid w:val="0059333F"/>
    <w:rsid w:val="005934AE"/>
    <w:rsid w:val="00593506"/>
    <w:rsid w:val="00593994"/>
    <w:rsid w:val="00593B13"/>
    <w:rsid w:val="00593BED"/>
    <w:rsid w:val="00593C23"/>
    <w:rsid w:val="00593C73"/>
    <w:rsid w:val="00593F33"/>
    <w:rsid w:val="0059433B"/>
    <w:rsid w:val="005947E9"/>
    <w:rsid w:val="005949AC"/>
    <w:rsid w:val="005949EF"/>
    <w:rsid w:val="00594A88"/>
    <w:rsid w:val="00594A89"/>
    <w:rsid w:val="00594C60"/>
    <w:rsid w:val="00594CB9"/>
    <w:rsid w:val="00594D6B"/>
    <w:rsid w:val="00594E43"/>
    <w:rsid w:val="00594ED7"/>
    <w:rsid w:val="005950E8"/>
    <w:rsid w:val="00595193"/>
    <w:rsid w:val="0059534A"/>
    <w:rsid w:val="00595406"/>
    <w:rsid w:val="00595552"/>
    <w:rsid w:val="0059562C"/>
    <w:rsid w:val="00595969"/>
    <w:rsid w:val="005959A8"/>
    <w:rsid w:val="00595A34"/>
    <w:rsid w:val="00595AE0"/>
    <w:rsid w:val="00595C6D"/>
    <w:rsid w:val="00595F69"/>
    <w:rsid w:val="00595FB3"/>
    <w:rsid w:val="00595FD5"/>
    <w:rsid w:val="00596535"/>
    <w:rsid w:val="0059673C"/>
    <w:rsid w:val="0059675D"/>
    <w:rsid w:val="005967B1"/>
    <w:rsid w:val="00596D07"/>
    <w:rsid w:val="00596E9B"/>
    <w:rsid w:val="00597186"/>
    <w:rsid w:val="0059721D"/>
    <w:rsid w:val="00597438"/>
    <w:rsid w:val="00597507"/>
    <w:rsid w:val="005976DE"/>
    <w:rsid w:val="005977AA"/>
    <w:rsid w:val="005977AE"/>
    <w:rsid w:val="005977C8"/>
    <w:rsid w:val="005979C4"/>
    <w:rsid w:val="00597A27"/>
    <w:rsid w:val="00597A43"/>
    <w:rsid w:val="00597BF9"/>
    <w:rsid w:val="00597D6E"/>
    <w:rsid w:val="00597DBE"/>
    <w:rsid w:val="00597DE0"/>
    <w:rsid w:val="00597F59"/>
    <w:rsid w:val="005A013E"/>
    <w:rsid w:val="005A01C4"/>
    <w:rsid w:val="005A042B"/>
    <w:rsid w:val="005A0558"/>
    <w:rsid w:val="005A0569"/>
    <w:rsid w:val="005A0653"/>
    <w:rsid w:val="005A0761"/>
    <w:rsid w:val="005A0807"/>
    <w:rsid w:val="005A0922"/>
    <w:rsid w:val="005A0C11"/>
    <w:rsid w:val="005A0C4C"/>
    <w:rsid w:val="005A0DA6"/>
    <w:rsid w:val="005A12AC"/>
    <w:rsid w:val="005A1300"/>
    <w:rsid w:val="005A1514"/>
    <w:rsid w:val="005A154F"/>
    <w:rsid w:val="005A1587"/>
    <w:rsid w:val="005A17ED"/>
    <w:rsid w:val="005A1AF4"/>
    <w:rsid w:val="005A1B75"/>
    <w:rsid w:val="005A1B8F"/>
    <w:rsid w:val="005A1B95"/>
    <w:rsid w:val="005A1BB3"/>
    <w:rsid w:val="005A1CDF"/>
    <w:rsid w:val="005A1D2C"/>
    <w:rsid w:val="005A1D76"/>
    <w:rsid w:val="005A1D7C"/>
    <w:rsid w:val="005A1EAF"/>
    <w:rsid w:val="005A2174"/>
    <w:rsid w:val="005A23CB"/>
    <w:rsid w:val="005A245E"/>
    <w:rsid w:val="005A24DB"/>
    <w:rsid w:val="005A2585"/>
    <w:rsid w:val="005A2843"/>
    <w:rsid w:val="005A28A4"/>
    <w:rsid w:val="005A292E"/>
    <w:rsid w:val="005A295C"/>
    <w:rsid w:val="005A29F4"/>
    <w:rsid w:val="005A2C9E"/>
    <w:rsid w:val="005A309A"/>
    <w:rsid w:val="005A31C6"/>
    <w:rsid w:val="005A3221"/>
    <w:rsid w:val="005A3479"/>
    <w:rsid w:val="005A373D"/>
    <w:rsid w:val="005A3CD6"/>
    <w:rsid w:val="005A3DB6"/>
    <w:rsid w:val="005A3DCE"/>
    <w:rsid w:val="005A3E1C"/>
    <w:rsid w:val="005A3E2C"/>
    <w:rsid w:val="005A3E45"/>
    <w:rsid w:val="005A447A"/>
    <w:rsid w:val="005A46E0"/>
    <w:rsid w:val="005A47B9"/>
    <w:rsid w:val="005A4885"/>
    <w:rsid w:val="005A4BF7"/>
    <w:rsid w:val="005A4D20"/>
    <w:rsid w:val="005A4E30"/>
    <w:rsid w:val="005A4F54"/>
    <w:rsid w:val="005A504E"/>
    <w:rsid w:val="005A5334"/>
    <w:rsid w:val="005A538D"/>
    <w:rsid w:val="005A544B"/>
    <w:rsid w:val="005A552F"/>
    <w:rsid w:val="005A56D3"/>
    <w:rsid w:val="005A576D"/>
    <w:rsid w:val="005A5770"/>
    <w:rsid w:val="005A5799"/>
    <w:rsid w:val="005A58D6"/>
    <w:rsid w:val="005A58FF"/>
    <w:rsid w:val="005A59DC"/>
    <w:rsid w:val="005A5A6A"/>
    <w:rsid w:val="005A5B76"/>
    <w:rsid w:val="005A5BF6"/>
    <w:rsid w:val="005A5D5E"/>
    <w:rsid w:val="005A5DF9"/>
    <w:rsid w:val="005A5E6A"/>
    <w:rsid w:val="005A5F15"/>
    <w:rsid w:val="005A6025"/>
    <w:rsid w:val="005A6687"/>
    <w:rsid w:val="005A6768"/>
    <w:rsid w:val="005A6837"/>
    <w:rsid w:val="005A68B3"/>
    <w:rsid w:val="005A68F8"/>
    <w:rsid w:val="005A6A2C"/>
    <w:rsid w:val="005A6AAC"/>
    <w:rsid w:val="005A6BD9"/>
    <w:rsid w:val="005A6D0F"/>
    <w:rsid w:val="005A6E26"/>
    <w:rsid w:val="005A6EB8"/>
    <w:rsid w:val="005A6F1A"/>
    <w:rsid w:val="005A6F58"/>
    <w:rsid w:val="005A700E"/>
    <w:rsid w:val="005A70A4"/>
    <w:rsid w:val="005A71C0"/>
    <w:rsid w:val="005A72E3"/>
    <w:rsid w:val="005A7331"/>
    <w:rsid w:val="005A736D"/>
    <w:rsid w:val="005A737F"/>
    <w:rsid w:val="005A7419"/>
    <w:rsid w:val="005A76F9"/>
    <w:rsid w:val="005A770A"/>
    <w:rsid w:val="005A77E3"/>
    <w:rsid w:val="005A7A26"/>
    <w:rsid w:val="005A7AE5"/>
    <w:rsid w:val="005A7B38"/>
    <w:rsid w:val="005A7B41"/>
    <w:rsid w:val="005A7B4E"/>
    <w:rsid w:val="005A7BD6"/>
    <w:rsid w:val="005A7F7E"/>
    <w:rsid w:val="005A7F7F"/>
    <w:rsid w:val="005B0172"/>
    <w:rsid w:val="005B0204"/>
    <w:rsid w:val="005B02F8"/>
    <w:rsid w:val="005B04F2"/>
    <w:rsid w:val="005B0589"/>
    <w:rsid w:val="005B0627"/>
    <w:rsid w:val="005B0636"/>
    <w:rsid w:val="005B06AC"/>
    <w:rsid w:val="005B06C2"/>
    <w:rsid w:val="005B0753"/>
    <w:rsid w:val="005B07E9"/>
    <w:rsid w:val="005B0A08"/>
    <w:rsid w:val="005B0A0E"/>
    <w:rsid w:val="005B0B58"/>
    <w:rsid w:val="005B0BB8"/>
    <w:rsid w:val="005B0C51"/>
    <w:rsid w:val="005B0CA8"/>
    <w:rsid w:val="005B0DC8"/>
    <w:rsid w:val="005B0DD5"/>
    <w:rsid w:val="005B106C"/>
    <w:rsid w:val="005B10B4"/>
    <w:rsid w:val="005B1132"/>
    <w:rsid w:val="005B1427"/>
    <w:rsid w:val="005B157D"/>
    <w:rsid w:val="005B16F6"/>
    <w:rsid w:val="005B176A"/>
    <w:rsid w:val="005B18F7"/>
    <w:rsid w:val="005B1A2E"/>
    <w:rsid w:val="005B1C8B"/>
    <w:rsid w:val="005B1EF9"/>
    <w:rsid w:val="005B207F"/>
    <w:rsid w:val="005B221E"/>
    <w:rsid w:val="005B2368"/>
    <w:rsid w:val="005B2382"/>
    <w:rsid w:val="005B23A9"/>
    <w:rsid w:val="005B2523"/>
    <w:rsid w:val="005B267E"/>
    <w:rsid w:val="005B2895"/>
    <w:rsid w:val="005B290F"/>
    <w:rsid w:val="005B2A6A"/>
    <w:rsid w:val="005B2D2F"/>
    <w:rsid w:val="005B2DCB"/>
    <w:rsid w:val="005B2F44"/>
    <w:rsid w:val="005B2FEC"/>
    <w:rsid w:val="005B304E"/>
    <w:rsid w:val="005B31B1"/>
    <w:rsid w:val="005B31C0"/>
    <w:rsid w:val="005B331C"/>
    <w:rsid w:val="005B336F"/>
    <w:rsid w:val="005B33CB"/>
    <w:rsid w:val="005B33E8"/>
    <w:rsid w:val="005B34C8"/>
    <w:rsid w:val="005B35A8"/>
    <w:rsid w:val="005B364C"/>
    <w:rsid w:val="005B3865"/>
    <w:rsid w:val="005B39E6"/>
    <w:rsid w:val="005B3CB2"/>
    <w:rsid w:val="005B3E0B"/>
    <w:rsid w:val="005B3E61"/>
    <w:rsid w:val="005B3EAE"/>
    <w:rsid w:val="005B3F8E"/>
    <w:rsid w:val="005B3FFA"/>
    <w:rsid w:val="005B4016"/>
    <w:rsid w:val="005B402F"/>
    <w:rsid w:val="005B433C"/>
    <w:rsid w:val="005B4375"/>
    <w:rsid w:val="005B4497"/>
    <w:rsid w:val="005B44BD"/>
    <w:rsid w:val="005B459B"/>
    <w:rsid w:val="005B46B0"/>
    <w:rsid w:val="005B46D6"/>
    <w:rsid w:val="005B4B6C"/>
    <w:rsid w:val="005B4C44"/>
    <w:rsid w:val="005B4D66"/>
    <w:rsid w:val="005B4DB8"/>
    <w:rsid w:val="005B4E53"/>
    <w:rsid w:val="005B4E70"/>
    <w:rsid w:val="005B4E88"/>
    <w:rsid w:val="005B504D"/>
    <w:rsid w:val="005B50FF"/>
    <w:rsid w:val="005B513F"/>
    <w:rsid w:val="005B5140"/>
    <w:rsid w:val="005B516B"/>
    <w:rsid w:val="005B528A"/>
    <w:rsid w:val="005B5364"/>
    <w:rsid w:val="005B5432"/>
    <w:rsid w:val="005B55C8"/>
    <w:rsid w:val="005B561C"/>
    <w:rsid w:val="005B5626"/>
    <w:rsid w:val="005B5661"/>
    <w:rsid w:val="005B5857"/>
    <w:rsid w:val="005B594A"/>
    <w:rsid w:val="005B59CD"/>
    <w:rsid w:val="005B5A06"/>
    <w:rsid w:val="005B5A7B"/>
    <w:rsid w:val="005B5C6C"/>
    <w:rsid w:val="005B5CA0"/>
    <w:rsid w:val="005B5D8D"/>
    <w:rsid w:val="005B5DBF"/>
    <w:rsid w:val="005B5F6B"/>
    <w:rsid w:val="005B6063"/>
    <w:rsid w:val="005B6129"/>
    <w:rsid w:val="005B63B9"/>
    <w:rsid w:val="005B63D8"/>
    <w:rsid w:val="005B6583"/>
    <w:rsid w:val="005B660A"/>
    <w:rsid w:val="005B67CF"/>
    <w:rsid w:val="005B68EE"/>
    <w:rsid w:val="005B6948"/>
    <w:rsid w:val="005B6ABC"/>
    <w:rsid w:val="005B6BDE"/>
    <w:rsid w:val="005B6C42"/>
    <w:rsid w:val="005B6FB7"/>
    <w:rsid w:val="005B7033"/>
    <w:rsid w:val="005B71BA"/>
    <w:rsid w:val="005B729D"/>
    <w:rsid w:val="005B730B"/>
    <w:rsid w:val="005B7427"/>
    <w:rsid w:val="005B7688"/>
    <w:rsid w:val="005B78CD"/>
    <w:rsid w:val="005B7CD9"/>
    <w:rsid w:val="005B7DDE"/>
    <w:rsid w:val="005B7ED3"/>
    <w:rsid w:val="005C0002"/>
    <w:rsid w:val="005C0431"/>
    <w:rsid w:val="005C05CA"/>
    <w:rsid w:val="005C06D8"/>
    <w:rsid w:val="005C0920"/>
    <w:rsid w:val="005C0C8F"/>
    <w:rsid w:val="005C0CF6"/>
    <w:rsid w:val="005C0DDB"/>
    <w:rsid w:val="005C1341"/>
    <w:rsid w:val="005C13B7"/>
    <w:rsid w:val="005C1579"/>
    <w:rsid w:val="005C15F7"/>
    <w:rsid w:val="005C1626"/>
    <w:rsid w:val="005C1637"/>
    <w:rsid w:val="005C16E8"/>
    <w:rsid w:val="005C18BD"/>
    <w:rsid w:val="005C1917"/>
    <w:rsid w:val="005C1923"/>
    <w:rsid w:val="005C19C4"/>
    <w:rsid w:val="005C1B3A"/>
    <w:rsid w:val="005C1B61"/>
    <w:rsid w:val="005C1B83"/>
    <w:rsid w:val="005C1E31"/>
    <w:rsid w:val="005C20A2"/>
    <w:rsid w:val="005C2228"/>
    <w:rsid w:val="005C240E"/>
    <w:rsid w:val="005C251C"/>
    <w:rsid w:val="005C25FF"/>
    <w:rsid w:val="005C26AE"/>
    <w:rsid w:val="005C27DE"/>
    <w:rsid w:val="005C29BF"/>
    <w:rsid w:val="005C29D9"/>
    <w:rsid w:val="005C2A4C"/>
    <w:rsid w:val="005C2C8C"/>
    <w:rsid w:val="005C2D21"/>
    <w:rsid w:val="005C2D55"/>
    <w:rsid w:val="005C2D5D"/>
    <w:rsid w:val="005C2E8D"/>
    <w:rsid w:val="005C2FD6"/>
    <w:rsid w:val="005C3158"/>
    <w:rsid w:val="005C3171"/>
    <w:rsid w:val="005C32EF"/>
    <w:rsid w:val="005C3341"/>
    <w:rsid w:val="005C3428"/>
    <w:rsid w:val="005C346B"/>
    <w:rsid w:val="005C37B2"/>
    <w:rsid w:val="005C37EE"/>
    <w:rsid w:val="005C39BE"/>
    <w:rsid w:val="005C3A9D"/>
    <w:rsid w:val="005C3C16"/>
    <w:rsid w:val="005C3C21"/>
    <w:rsid w:val="005C3C72"/>
    <w:rsid w:val="005C3D82"/>
    <w:rsid w:val="005C3DFE"/>
    <w:rsid w:val="005C3FDB"/>
    <w:rsid w:val="005C3FFD"/>
    <w:rsid w:val="005C402B"/>
    <w:rsid w:val="005C4111"/>
    <w:rsid w:val="005C4169"/>
    <w:rsid w:val="005C4220"/>
    <w:rsid w:val="005C46CB"/>
    <w:rsid w:val="005C46F5"/>
    <w:rsid w:val="005C4754"/>
    <w:rsid w:val="005C4783"/>
    <w:rsid w:val="005C4840"/>
    <w:rsid w:val="005C4866"/>
    <w:rsid w:val="005C48E0"/>
    <w:rsid w:val="005C4920"/>
    <w:rsid w:val="005C4C33"/>
    <w:rsid w:val="005C4C3B"/>
    <w:rsid w:val="005C4D67"/>
    <w:rsid w:val="005C4ECF"/>
    <w:rsid w:val="005C4F0E"/>
    <w:rsid w:val="005C4F55"/>
    <w:rsid w:val="005C5264"/>
    <w:rsid w:val="005C52E8"/>
    <w:rsid w:val="005C5300"/>
    <w:rsid w:val="005C5910"/>
    <w:rsid w:val="005C5985"/>
    <w:rsid w:val="005C5A8D"/>
    <w:rsid w:val="005C5ABC"/>
    <w:rsid w:val="005C5B10"/>
    <w:rsid w:val="005C5D06"/>
    <w:rsid w:val="005C5EB7"/>
    <w:rsid w:val="005C5F14"/>
    <w:rsid w:val="005C5FD7"/>
    <w:rsid w:val="005C5FE2"/>
    <w:rsid w:val="005C60D7"/>
    <w:rsid w:val="005C6232"/>
    <w:rsid w:val="005C634F"/>
    <w:rsid w:val="005C6393"/>
    <w:rsid w:val="005C641C"/>
    <w:rsid w:val="005C64AA"/>
    <w:rsid w:val="005C695D"/>
    <w:rsid w:val="005C6AAE"/>
    <w:rsid w:val="005C6AFE"/>
    <w:rsid w:val="005C6CCD"/>
    <w:rsid w:val="005C6E8A"/>
    <w:rsid w:val="005C6F13"/>
    <w:rsid w:val="005C70E0"/>
    <w:rsid w:val="005C72B8"/>
    <w:rsid w:val="005C756E"/>
    <w:rsid w:val="005C758C"/>
    <w:rsid w:val="005C75D0"/>
    <w:rsid w:val="005C76C1"/>
    <w:rsid w:val="005C784E"/>
    <w:rsid w:val="005C7895"/>
    <w:rsid w:val="005C78FC"/>
    <w:rsid w:val="005C7A85"/>
    <w:rsid w:val="005C7DE0"/>
    <w:rsid w:val="005C7E58"/>
    <w:rsid w:val="005C7ED0"/>
    <w:rsid w:val="005C7EE7"/>
    <w:rsid w:val="005C7EE9"/>
    <w:rsid w:val="005D0008"/>
    <w:rsid w:val="005D044D"/>
    <w:rsid w:val="005D047D"/>
    <w:rsid w:val="005D0688"/>
    <w:rsid w:val="005D06DF"/>
    <w:rsid w:val="005D07E5"/>
    <w:rsid w:val="005D07F3"/>
    <w:rsid w:val="005D0ABD"/>
    <w:rsid w:val="005D0C93"/>
    <w:rsid w:val="005D0D00"/>
    <w:rsid w:val="005D0E50"/>
    <w:rsid w:val="005D1126"/>
    <w:rsid w:val="005D11EE"/>
    <w:rsid w:val="005D1364"/>
    <w:rsid w:val="005D1384"/>
    <w:rsid w:val="005D15D0"/>
    <w:rsid w:val="005D1696"/>
    <w:rsid w:val="005D16D9"/>
    <w:rsid w:val="005D16E4"/>
    <w:rsid w:val="005D1778"/>
    <w:rsid w:val="005D18AD"/>
    <w:rsid w:val="005D1A63"/>
    <w:rsid w:val="005D1C4D"/>
    <w:rsid w:val="005D1D1E"/>
    <w:rsid w:val="005D1F6F"/>
    <w:rsid w:val="005D212B"/>
    <w:rsid w:val="005D23E9"/>
    <w:rsid w:val="005D2581"/>
    <w:rsid w:val="005D2615"/>
    <w:rsid w:val="005D26AC"/>
    <w:rsid w:val="005D26B4"/>
    <w:rsid w:val="005D28A6"/>
    <w:rsid w:val="005D2A12"/>
    <w:rsid w:val="005D2A1A"/>
    <w:rsid w:val="005D2B78"/>
    <w:rsid w:val="005D2B99"/>
    <w:rsid w:val="005D2C0A"/>
    <w:rsid w:val="005D2D83"/>
    <w:rsid w:val="005D309D"/>
    <w:rsid w:val="005D3142"/>
    <w:rsid w:val="005D32B0"/>
    <w:rsid w:val="005D32B3"/>
    <w:rsid w:val="005D33EF"/>
    <w:rsid w:val="005D34AA"/>
    <w:rsid w:val="005D358B"/>
    <w:rsid w:val="005D35F7"/>
    <w:rsid w:val="005D3894"/>
    <w:rsid w:val="005D39F9"/>
    <w:rsid w:val="005D39FB"/>
    <w:rsid w:val="005D39FF"/>
    <w:rsid w:val="005D3A34"/>
    <w:rsid w:val="005D3A9C"/>
    <w:rsid w:val="005D3AA9"/>
    <w:rsid w:val="005D3B11"/>
    <w:rsid w:val="005D3B95"/>
    <w:rsid w:val="005D3C53"/>
    <w:rsid w:val="005D3CB7"/>
    <w:rsid w:val="005D3D13"/>
    <w:rsid w:val="005D3E1B"/>
    <w:rsid w:val="005D3FA7"/>
    <w:rsid w:val="005D405E"/>
    <w:rsid w:val="005D4275"/>
    <w:rsid w:val="005D42FA"/>
    <w:rsid w:val="005D447D"/>
    <w:rsid w:val="005D49AE"/>
    <w:rsid w:val="005D49BF"/>
    <w:rsid w:val="005D4A60"/>
    <w:rsid w:val="005D4B60"/>
    <w:rsid w:val="005D5253"/>
    <w:rsid w:val="005D53E1"/>
    <w:rsid w:val="005D55D4"/>
    <w:rsid w:val="005D5A72"/>
    <w:rsid w:val="005D5BB3"/>
    <w:rsid w:val="005D5BEF"/>
    <w:rsid w:val="005D5C02"/>
    <w:rsid w:val="005D5C38"/>
    <w:rsid w:val="005D5CF0"/>
    <w:rsid w:val="005D5E47"/>
    <w:rsid w:val="005D5E71"/>
    <w:rsid w:val="005D607E"/>
    <w:rsid w:val="005D621E"/>
    <w:rsid w:val="005D62AF"/>
    <w:rsid w:val="005D62B4"/>
    <w:rsid w:val="005D64C7"/>
    <w:rsid w:val="005D64FA"/>
    <w:rsid w:val="005D6514"/>
    <w:rsid w:val="005D6528"/>
    <w:rsid w:val="005D687A"/>
    <w:rsid w:val="005D689A"/>
    <w:rsid w:val="005D6A03"/>
    <w:rsid w:val="005D6A3A"/>
    <w:rsid w:val="005D6D54"/>
    <w:rsid w:val="005D6DB7"/>
    <w:rsid w:val="005D6E3F"/>
    <w:rsid w:val="005D6E8A"/>
    <w:rsid w:val="005D6F41"/>
    <w:rsid w:val="005D6F68"/>
    <w:rsid w:val="005D7136"/>
    <w:rsid w:val="005D717F"/>
    <w:rsid w:val="005D720D"/>
    <w:rsid w:val="005D7278"/>
    <w:rsid w:val="005D727A"/>
    <w:rsid w:val="005D72FD"/>
    <w:rsid w:val="005D7387"/>
    <w:rsid w:val="005D761C"/>
    <w:rsid w:val="005D789E"/>
    <w:rsid w:val="005D796D"/>
    <w:rsid w:val="005D79C0"/>
    <w:rsid w:val="005D7C74"/>
    <w:rsid w:val="005D7DFD"/>
    <w:rsid w:val="005D7F3C"/>
    <w:rsid w:val="005E001C"/>
    <w:rsid w:val="005E05D0"/>
    <w:rsid w:val="005E073C"/>
    <w:rsid w:val="005E08FD"/>
    <w:rsid w:val="005E093B"/>
    <w:rsid w:val="005E0CE3"/>
    <w:rsid w:val="005E0D37"/>
    <w:rsid w:val="005E0DD5"/>
    <w:rsid w:val="005E0E14"/>
    <w:rsid w:val="005E0EBD"/>
    <w:rsid w:val="005E0FBA"/>
    <w:rsid w:val="005E127A"/>
    <w:rsid w:val="005E12FB"/>
    <w:rsid w:val="005E14BA"/>
    <w:rsid w:val="005E14F5"/>
    <w:rsid w:val="005E153E"/>
    <w:rsid w:val="005E1719"/>
    <w:rsid w:val="005E17C2"/>
    <w:rsid w:val="005E1827"/>
    <w:rsid w:val="005E189C"/>
    <w:rsid w:val="005E18D3"/>
    <w:rsid w:val="005E1915"/>
    <w:rsid w:val="005E1995"/>
    <w:rsid w:val="005E19C3"/>
    <w:rsid w:val="005E1A85"/>
    <w:rsid w:val="005E1B17"/>
    <w:rsid w:val="005E1B24"/>
    <w:rsid w:val="005E1DA1"/>
    <w:rsid w:val="005E1E84"/>
    <w:rsid w:val="005E1E9F"/>
    <w:rsid w:val="005E2078"/>
    <w:rsid w:val="005E20FB"/>
    <w:rsid w:val="005E22CE"/>
    <w:rsid w:val="005E279B"/>
    <w:rsid w:val="005E2842"/>
    <w:rsid w:val="005E29A3"/>
    <w:rsid w:val="005E2A23"/>
    <w:rsid w:val="005E2B1C"/>
    <w:rsid w:val="005E2BBC"/>
    <w:rsid w:val="005E2CF0"/>
    <w:rsid w:val="005E2D1B"/>
    <w:rsid w:val="005E2E1D"/>
    <w:rsid w:val="005E305A"/>
    <w:rsid w:val="005E30DD"/>
    <w:rsid w:val="005E3202"/>
    <w:rsid w:val="005E327D"/>
    <w:rsid w:val="005E367C"/>
    <w:rsid w:val="005E36BA"/>
    <w:rsid w:val="005E37C0"/>
    <w:rsid w:val="005E382E"/>
    <w:rsid w:val="005E391C"/>
    <w:rsid w:val="005E3981"/>
    <w:rsid w:val="005E3996"/>
    <w:rsid w:val="005E3A87"/>
    <w:rsid w:val="005E3BDA"/>
    <w:rsid w:val="005E3C15"/>
    <w:rsid w:val="005E3E12"/>
    <w:rsid w:val="005E4034"/>
    <w:rsid w:val="005E407A"/>
    <w:rsid w:val="005E4103"/>
    <w:rsid w:val="005E42A0"/>
    <w:rsid w:val="005E43A4"/>
    <w:rsid w:val="005E43D5"/>
    <w:rsid w:val="005E46E0"/>
    <w:rsid w:val="005E4769"/>
    <w:rsid w:val="005E47E7"/>
    <w:rsid w:val="005E4961"/>
    <w:rsid w:val="005E4A84"/>
    <w:rsid w:val="005E4AB5"/>
    <w:rsid w:val="005E4AD6"/>
    <w:rsid w:val="005E4CD9"/>
    <w:rsid w:val="005E4E48"/>
    <w:rsid w:val="005E4F76"/>
    <w:rsid w:val="005E5141"/>
    <w:rsid w:val="005E5267"/>
    <w:rsid w:val="005E52C7"/>
    <w:rsid w:val="005E5300"/>
    <w:rsid w:val="005E53D0"/>
    <w:rsid w:val="005E544D"/>
    <w:rsid w:val="005E54CD"/>
    <w:rsid w:val="005E5655"/>
    <w:rsid w:val="005E589A"/>
    <w:rsid w:val="005E5A76"/>
    <w:rsid w:val="005E5A81"/>
    <w:rsid w:val="005E5C2B"/>
    <w:rsid w:val="005E5C78"/>
    <w:rsid w:val="005E5C96"/>
    <w:rsid w:val="005E5DB2"/>
    <w:rsid w:val="005E5DBE"/>
    <w:rsid w:val="005E5E0F"/>
    <w:rsid w:val="005E6011"/>
    <w:rsid w:val="005E65BA"/>
    <w:rsid w:val="005E65BD"/>
    <w:rsid w:val="005E6724"/>
    <w:rsid w:val="005E6A0C"/>
    <w:rsid w:val="005E6A75"/>
    <w:rsid w:val="005E6CBC"/>
    <w:rsid w:val="005E6CEE"/>
    <w:rsid w:val="005E6D0D"/>
    <w:rsid w:val="005E6D73"/>
    <w:rsid w:val="005E6DE1"/>
    <w:rsid w:val="005E6EE2"/>
    <w:rsid w:val="005E71FD"/>
    <w:rsid w:val="005E72FF"/>
    <w:rsid w:val="005E73C0"/>
    <w:rsid w:val="005E73EE"/>
    <w:rsid w:val="005E767D"/>
    <w:rsid w:val="005E7717"/>
    <w:rsid w:val="005E77DD"/>
    <w:rsid w:val="005E78B3"/>
    <w:rsid w:val="005E78B7"/>
    <w:rsid w:val="005E78C3"/>
    <w:rsid w:val="005E7A90"/>
    <w:rsid w:val="005E7AAB"/>
    <w:rsid w:val="005E7AEE"/>
    <w:rsid w:val="005E7DB9"/>
    <w:rsid w:val="005E7E39"/>
    <w:rsid w:val="005E7F65"/>
    <w:rsid w:val="005F0210"/>
    <w:rsid w:val="005F025C"/>
    <w:rsid w:val="005F0493"/>
    <w:rsid w:val="005F054B"/>
    <w:rsid w:val="005F074B"/>
    <w:rsid w:val="005F07ED"/>
    <w:rsid w:val="005F0843"/>
    <w:rsid w:val="005F084B"/>
    <w:rsid w:val="005F08B3"/>
    <w:rsid w:val="005F08CA"/>
    <w:rsid w:val="005F0977"/>
    <w:rsid w:val="005F0ADC"/>
    <w:rsid w:val="005F0CCA"/>
    <w:rsid w:val="005F0D1B"/>
    <w:rsid w:val="005F0D20"/>
    <w:rsid w:val="005F0E4B"/>
    <w:rsid w:val="005F0EF1"/>
    <w:rsid w:val="005F0F15"/>
    <w:rsid w:val="005F10A2"/>
    <w:rsid w:val="005F110B"/>
    <w:rsid w:val="005F1419"/>
    <w:rsid w:val="005F148E"/>
    <w:rsid w:val="005F1638"/>
    <w:rsid w:val="005F16C5"/>
    <w:rsid w:val="005F16DF"/>
    <w:rsid w:val="005F19B1"/>
    <w:rsid w:val="005F1A50"/>
    <w:rsid w:val="005F1DB5"/>
    <w:rsid w:val="005F1DBE"/>
    <w:rsid w:val="005F2407"/>
    <w:rsid w:val="005F2592"/>
    <w:rsid w:val="005F25C4"/>
    <w:rsid w:val="005F25DB"/>
    <w:rsid w:val="005F263B"/>
    <w:rsid w:val="005F26D2"/>
    <w:rsid w:val="005F2706"/>
    <w:rsid w:val="005F2965"/>
    <w:rsid w:val="005F2A64"/>
    <w:rsid w:val="005F2B0A"/>
    <w:rsid w:val="005F2B56"/>
    <w:rsid w:val="005F2C52"/>
    <w:rsid w:val="005F2CE1"/>
    <w:rsid w:val="005F2DDF"/>
    <w:rsid w:val="005F2EB6"/>
    <w:rsid w:val="005F31EB"/>
    <w:rsid w:val="005F3240"/>
    <w:rsid w:val="005F3786"/>
    <w:rsid w:val="005F3847"/>
    <w:rsid w:val="005F385E"/>
    <w:rsid w:val="005F3904"/>
    <w:rsid w:val="005F392D"/>
    <w:rsid w:val="005F39D5"/>
    <w:rsid w:val="005F3D12"/>
    <w:rsid w:val="005F3DC4"/>
    <w:rsid w:val="005F3E00"/>
    <w:rsid w:val="005F4024"/>
    <w:rsid w:val="005F4061"/>
    <w:rsid w:val="005F413B"/>
    <w:rsid w:val="005F4217"/>
    <w:rsid w:val="005F4414"/>
    <w:rsid w:val="005F4542"/>
    <w:rsid w:val="005F45C2"/>
    <w:rsid w:val="005F499D"/>
    <w:rsid w:val="005F4AC0"/>
    <w:rsid w:val="005F4B9B"/>
    <w:rsid w:val="005F4F68"/>
    <w:rsid w:val="005F4F7B"/>
    <w:rsid w:val="005F4FF8"/>
    <w:rsid w:val="005F518D"/>
    <w:rsid w:val="005F53FC"/>
    <w:rsid w:val="005F54D2"/>
    <w:rsid w:val="005F5573"/>
    <w:rsid w:val="005F55B0"/>
    <w:rsid w:val="005F5881"/>
    <w:rsid w:val="005F58F2"/>
    <w:rsid w:val="005F5963"/>
    <w:rsid w:val="005F5A88"/>
    <w:rsid w:val="005F5B39"/>
    <w:rsid w:val="005F5B3E"/>
    <w:rsid w:val="005F5BBF"/>
    <w:rsid w:val="005F5CF6"/>
    <w:rsid w:val="005F5D84"/>
    <w:rsid w:val="005F60C0"/>
    <w:rsid w:val="005F60D3"/>
    <w:rsid w:val="005F60FE"/>
    <w:rsid w:val="005F622A"/>
    <w:rsid w:val="005F6359"/>
    <w:rsid w:val="005F63B8"/>
    <w:rsid w:val="005F6577"/>
    <w:rsid w:val="005F6589"/>
    <w:rsid w:val="005F666D"/>
    <w:rsid w:val="005F670E"/>
    <w:rsid w:val="005F6A8F"/>
    <w:rsid w:val="005F6B86"/>
    <w:rsid w:val="005F6BB7"/>
    <w:rsid w:val="005F6CF9"/>
    <w:rsid w:val="005F6D26"/>
    <w:rsid w:val="005F6F15"/>
    <w:rsid w:val="005F7362"/>
    <w:rsid w:val="005F74BC"/>
    <w:rsid w:val="005F7588"/>
    <w:rsid w:val="005F75FB"/>
    <w:rsid w:val="005F768F"/>
    <w:rsid w:val="005F79BE"/>
    <w:rsid w:val="005F7A8A"/>
    <w:rsid w:val="005F7B14"/>
    <w:rsid w:val="005F7CCD"/>
    <w:rsid w:val="005F7EA4"/>
    <w:rsid w:val="005F7FE6"/>
    <w:rsid w:val="006000C1"/>
    <w:rsid w:val="00600269"/>
    <w:rsid w:val="0060035E"/>
    <w:rsid w:val="00600497"/>
    <w:rsid w:val="006008D1"/>
    <w:rsid w:val="00600978"/>
    <w:rsid w:val="00600B82"/>
    <w:rsid w:val="00600C98"/>
    <w:rsid w:val="00601156"/>
    <w:rsid w:val="00601168"/>
    <w:rsid w:val="006011E2"/>
    <w:rsid w:val="006011E5"/>
    <w:rsid w:val="00601432"/>
    <w:rsid w:val="006015A9"/>
    <w:rsid w:val="00601698"/>
    <w:rsid w:val="00601764"/>
    <w:rsid w:val="0060179A"/>
    <w:rsid w:val="006017DF"/>
    <w:rsid w:val="00601890"/>
    <w:rsid w:val="00601A80"/>
    <w:rsid w:val="00601B04"/>
    <w:rsid w:val="00601B75"/>
    <w:rsid w:val="00601C39"/>
    <w:rsid w:val="00601E22"/>
    <w:rsid w:val="00601F04"/>
    <w:rsid w:val="006020E5"/>
    <w:rsid w:val="0060211B"/>
    <w:rsid w:val="0060212E"/>
    <w:rsid w:val="00602470"/>
    <w:rsid w:val="006025CA"/>
    <w:rsid w:val="0060273E"/>
    <w:rsid w:val="006028D3"/>
    <w:rsid w:val="0060291C"/>
    <w:rsid w:val="00602A93"/>
    <w:rsid w:val="00602AF0"/>
    <w:rsid w:val="00603109"/>
    <w:rsid w:val="00603175"/>
    <w:rsid w:val="006034B0"/>
    <w:rsid w:val="006036F1"/>
    <w:rsid w:val="0060370A"/>
    <w:rsid w:val="0060386C"/>
    <w:rsid w:val="00603AFC"/>
    <w:rsid w:val="00603B00"/>
    <w:rsid w:val="00603B0A"/>
    <w:rsid w:val="00603B6E"/>
    <w:rsid w:val="00603DB9"/>
    <w:rsid w:val="00603DF1"/>
    <w:rsid w:val="00603EE9"/>
    <w:rsid w:val="00603F12"/>
    <w:rsid w:val="0060401E"/>
    <w:rsid w:val="006042B9"/>
    <w:rsid w:val="006042F3"/>
    <w:rsid w:val="006043FF"/>
    <w:rsid w:val="0060464B"/>
    <w:rsid w:val="00604796"/>
    <w:rsid w:val="0060491F"/>
    <w:rsid w:val="00604977"/>
    <w:rsid w:val="006049D6"/>
    <w:rsid w:val="00604AA6"/>
    <w:rsid w:val="00604AB3"/>
    <w:rsid w:val="00604BD5"/>
    <w:rsid w:val="00604C06"/>
    <w:rsid w:val="00604EC7"/>
    <w:rsid w:val="00605096"/>
    <w:rsid w:val="00605137"/>
    <w:rsid w:val="006051E5"/>
    <w:rsid w:val="00605285"/>
    <w:rsid w:val="006052AE"/>
    <w:rsid w:val="006053E2"/>
    <w:rsid w:val="00605484"/>
    <w:rsid w:val="0060558B"/>
    <w:rsid w:val="006055A6"/>
    <w:rsid w:val="00605694"/>
    <w:rsid w:val="00605707"/>
    <w:rsid w:val="006059DC"/>
    <w:rsid w:val="00605AAE"/>
    <w:rsid w:val="00605B45"/>
    <w:rsid w:val="00605C76"/>
    <w:rsid w:val="00605D5F"/>
    <w:rsid w:val="00605F45"/>
    <w:rsid w:val="0060628E"/>
    <w:rsid w:val="00606310"/>
    <w:rsid w:val="00606326"/>
    <w:rsid w:val="006063CA"/>
    <w:rsid w:val="00606428"/>
    <w:rsid w:val="0060650E"/>
    <w:rsid w:val="006065CB"/>
    <w:rsid w:val="00606674"/>
    <w:rsid w:val="00606811"/>
    <w:rsid w:val="006068DC"/>
    <w:rsid w:val="006068E7"/>
    <w:rsid w:val="006069E2"/>
    <w:rsid w:val="00606A3C"/>
    <w:rsid w:val="00606B16"/>
    <w:rsid w:val="00606D04"/>
    <w:rsid w:val="00606D60"/>
    <w:rsid w:val="00606EFD"/>
    <w:rsid w:val="00606F74"/>
    <w:rsid w:val="00606FBA"/>
    <w:rsid w:val="00607032"/>
    <w:rsid w:val="00607270"/>
    <w:rsid w:val="00607300"/>
    <w:rsid w:val="00607384"/>
    <w:rsid w:val="006073AB"/>
    <w:rsid w:val="00607605"/>
    <w:rsid w:val="00607669"/>
    <w:rsid w:val="006076F4"/>
    <w:rsid w:val="00607837"/>
    <w:rsid w:val="00607853"/>
    <w:rsid w:val="0060797E"/>
    <w:rsid w:val="00607A90"/>
    <w:rsid w:val="00607AFD"/>
    <w:rsid w:val="00607DBA"/>
    <w:rsid w:val="00607F6F"/>
    <w:rsid w:val="00607FDD"/>
    <w:rsid w:val="006102BC"/>
    <w:rsid w:val="006103E7"/>
    <w:rsid w:val="00610568"/>
    <w:rsid w:val="006105DB"/>
    <w:rsid w:val="00610CC6"/>
    <w:rsid w:val="00610D65"/>
    <w:rsid w:val="00610D80"/>
    <w:rsid w:val="00610D97"/>
    <w:rsid w:val="00610E97"/>
    <w:rsid w:val="00610FA5"/>
    <w:rsid w:val="00610FC2"/>
    <w:rsid w:val="00611297"/>
    <w:rsid w:val="006113C7"/>
    <w:rsid w:val="006114DF"/>
    <w:rsid w:val="0061152A"/>
    <w:rsid w:val="0061169A"/>
    <w:rsid w:val="0061175F"/>
    <w:rsid w:val="0061178F"/>
    <w:rsid w:val="00611A58"/>
    <w:rsid w:val="00611AB8"/>
    <w:rsid w:val="00611B12"/>
    <w:rsid w:val="00611CE0"/>
    <w:rsid w:val="00611E1B"/>
    <w:rsid w:val="00611E8D"/>
    <w:rsid w:val="006121B8"/>
    <w:rsid w:val="006124ED"/>
    <w:rsid w:val="00612514"/>
    <w:rsid w:val="006126A5"/>
    <w:rsid w:val="006128E0"/>
    <w:rsid w:val="00612939"/>
    <w:rsid w:val="006129B9"/>
    <w:rsid w:val="006129BA"/>
    <w:rsid w:val="006129E3"/>
    <w:rsid w:val="00612A64"/>
    <w:rsid w:val="00612CD7"/>
    <w:rsid w:val="00612EFF"/>
    <w:rsid w:val="00612F97"/>
    <w:rsid w:val="006130E8"/>
    <w:rsid w:val="006132E7"/>
    <w:rsid w:val="0061345D"/>
    <w:rsid w:val="00613514"/>
    <w:rsid w:val="0061357B"/>
    <w:rsid w:val="00613596"/>
    <w:rsid w:val="0061376B"/>
    <w:rsid w:val="00613943"/>
    <w:rsid w:val="00613C0F"/>
    <w:rsid w:val="00613CA4"/>
    <w:rsid w:val="00613F0F"/>
    <w:rsid w:val="00613F40"/>
    <w:rsid w:val="0061403A"/>
    <w:rsid w:val="006142A2"/>
    <w:rsid w:val="00614326"/>
    <w:rsid w:val="00614385"/>
    <w:rsid w:val="006143DA"/>
    <w:rsid w:val="006144A0"/>
    <w:rsid w:val="006147B5"/>
    <w:rsid w:val="00614984"/>
    <w:rsid w:val="00614AA6"/>
    <w:rsid w:val="00614C6A"/>
    <w:rsid w:val="00614D5A"/>
    <w:rsid w:val="00614FBB"/>
    <w:rsid w:val="00615154"/>
    <w:rsid w:val="006153EE"/>
    <w:rsid w:val="00615420"/>
    <w:rsid w:val="00615433"/>
    <w:rsid w:val="0061549B"/>
    <w:rsid w:val="006154D7"/>
    <w:rsid w:val="00615B17"/>
    <w:rsid w:val="00615B33"/>
    <w:rsid w:val="00615BEC"/>
    <w:rsid w:val="00615CC3"/>
    <w:rsid w:val="00615CEA"/>
    <w:rsid w:val="00615F10"/>
    <w:rsid w:val="00615F7E"/>
    <w:rsid w:val="00616028"/>
    <w:rsid w:val="0061606B"/>
    <w:rsid w:val="006166D5"/>
    <w:rsid w:val="00616753"/>
    <w:rsid w:val="00616802"/>
    <w:rsid w:val="0061694A"/>
    <w:rsid w:val="00616C1E"/>
    <w:rsid w:val="00616C4B"/>
    <w:rsid w:val="00617056"/>
    <w:rsid w:val="00617276"/>
    <w:rsid w:val="006173C5"/>
    <w:rsid w:val="006173D0"/>
    <w:rsid w:val="0061751E"/>
    <w:rsid w:val="00617543"/>
    <w:rsid w:val="00617621"/>
    <w:rsid w:val="0061769C"/>
    <w:rsid w:val="00617754"/>
    <w:rsid w:val="00617939"/>
    <w:rsid w:val="0061797E"/>
    <w:rsid w:val="00617AD1"/>
    <w:rsid w:val="00617D6F"/>
    <w:rsid w:val="00617DAE"/>
    <w:rsid w:val="00617E11"/>
    <w:rsid w:val="00617E12"/>
    <w:rsid w:val="00617FB3"/>
    <w:rsid w:val="00617FDC"/>
    <w:rsid w:val="00620024"/>
    <w:rsid w:val="0062008A"/>
    <w:rsid w:val="0062026A"/>
    <w:rsid w:val="00620421"/>
    <w:rsid w:val="0062047E"/>
    <w:rsid w:val="00620519"/>
    <w:rsid w:val="0062072B"/>
    <w:rsid w:val="0062098F"/>
    <w:rsid w:val="006209AC"/>
    <w:rsid w:val="00620C25"/>
    <w:rsid w:val="00620C75"/>
    <w:rsid w:val="00620C9E"/>
    <w:rsid w:val="00620F01"/>
    <w:rsid w:val="0062104D"/>
    <w:rsid w:val="0062118E"/>
    <w:rsid w:val="006211A0"/>
    <w:rsid w:val="006212A5"/>
    <w:rsid w:val="006213B8"/>
    <w:rsid w:val="00621477"/>
    <w:rsid w:val="0062161F"/>
    <w:rsid w:val="00621693"/>
    <w:rsid w:val="006218A7"/>
    <w:rsid w:val="0062191A"/>
    <w:rsid w:val="0062199D"/>
    <w:rsid w:val="006219DD"/>
    <w:rsid w:val="00621AC0"/>
    <w:rsid w:val="00621ADA"/>
    <w:rsid w:val="00621AE8"/>
    <w:rsid w:val="00621D8D"/>
    <w:rsid w:val="006221D4"/>
    <w:rsid w:val="0062227C"/>
    <w:rsid w:val="006223B5"/>
    <w:rsid w:val="0062255C"/>
    <w:rsid w:val="00622654"/>
    <w:rsid w:val="0062274F"/>
    <w:rsid w:val="0062277B"/>
    <w:rsid w:val="00622791"/>
    <w:rsid w:val="006228BD"/>
    <w:rsid w:val="006229E2"/>
    <w:rsid w:val="00622A1B"/>
    <w:rsid w:val="00622AF8"/>
    <w:rsid w:val="00622BD8"/>
    <w:rsid w:val="00622C5E"/>
    <w:rsid w:val="00622E53"/>
    <w:rsid w:val="00622F30"/>
    <w:rsid w:val="006230D1"/>
    <w:rsid w:val="006231BE"/>
    <w:rsid w:val="006232C7"/>
    <w:rsid w:val="00623340"/>
    <w:rsid w:val="0062343E"/>
    <w:rsid w:val="006234AB"/>
    <w:rsid w:val="006234D8"/>
    <w:rsid w:val="00623538"/>
    <w:rsid w:val="006236C4"/>
    <w:rsid w:val="00623A71"/>
    <w:rsid w:val="00623AC5"/>
    <w:rsid w:val="00623AF7"/>
    <w:rsid w:val="00623F7B"/>
    <w:rsid w:val="006240B0"/>
    <w:rsid w:val="00624181"/>
    <w:rsid w:val="006247AD"/>
    <w:rsid w:val="00624841"/>
    <w:rsid w:val="00624A24"/>
    <w:rsid w:val="00624A69"/>
    <w:rsid w:val="00624ABA"/>
    <w:rsid w:val="00624B56"/>
    <w:rsid w:val="00624BD4"/>
    <w:rsid w:val="00624D31"/>
    <w:rsid w:val="00624E8F"/>
    <w:rsid w:val="00624FAF"/>
    <w:rsid w:val="00625103"/>
    <w:rsid w:val="0062531D"/>
    <w:rsid w:val="00625463"/>
    <w:rsid w:val="0062573F"/>
    <w:rsid w:val="006259D7"/>
    <w:rsid w:val="00625A3A"/>
    <w:rsid w:val="00625A4D"/>
    <w:rsid w:val="00625B56"/>
    <w:rsid w:val="00625B84"/>
    <w:rsid w:val="00625C2D"/>
    <w:rsid w:val="00625E67"/>
    <w:rsid w:val="006260D0"/>
    <w:rsid w:val="006261E8"/>
    <w:rsid w:val="00626228"/>
    <w:rsid w:val="00626263"/>
    <w:rsid w:val="006263A8"/>
    <w:rsid w:val="0062644E"/>
    <w:rsid w:val="00626635"/>
    <w:rsid w:val="006266E7"/>
    <w:rsid w:val="006267EB"/>
    <w:rsid w:val="00626B50"/>
    <w:rsid w:val="00626C54"/>
    <w:rsid w:val="00626E29"/>
    <w:rsid w:val="006270C5"/>
    <w:rsid w:val="006270D7"/>
    <w:rsid w:val="0062713F"/>
    <w:rsid w:val="00627164"/>
    <w:rsid w:val="0062727C"/>
    <w:rsid w:val="006273DE"/>
    <w:rsid w:val="00627432"/>
    <w:rsid w:val="00627471"/>
    <w:rsid w:val="006274A6"/>
    <w:rsid w:val="006274CA"/>
    <w:rsid w:val="006275F9"/>
    <w:rsid w:val="00627648"/>
    <w:rsid w:val="006276AB"/>
    <w:rsid w:val="00627A09"/>
    <w:rsid w:val="00627B08"/>
    <w:rsid w:val="00627C44"/>
    <w:rsid w:val="00627DD2"/>
    <w:rsid w:val="00627E40"/>
    <w:rsid w:val="00627F51"/>
    <w:rsid w:val="00627F8D"/>
    <w:rsid w:val="00627FC9"/>
    <w:rsid w:val="00627FF2"/>
    <w:rsid w:val="00630190"/>
    <w:rsid w:val="006301C7"/>
    <w:rsid w:val="00630231"/>
    <w:rsid w:val="006303BE"/>
    <w:rsid w:val="006303CC"/>
    <w:rsid w:val="006305DE"/>
    <w:rsid w:val="006308A2"/>
    <w:rsid w:val="0063093C"/>
    <w:rsid w:val="00630959"/>
    <w:rsid w:val="00630A25"/>
    <w:rsid w:val="00630AA1"/>
    <w:rsid w:val="00630AF8"/>
    <w:rsid w:val="00630B03"/>
    <w:rsid w:val="00630DD0"/>
    <w:rsid w:val="00630E00"/>
    <w:rsid w:val="00630E20"/>
    <w:rsid w:val="00630EEC"/>
    <w:rsid w:val="00630F1A"/>
    <w:rsid w:val="00630F84"/>
    <w:rsid w:val="006311A5"/>
    <w:rsid w:val="0063120C"/>
    <w:rsid w:val="00631350"/>
    <w:rsid w:val="0063142F"/>
    <w:rsid w:val="006314A1"/>
    <w:rsid w:val="0063158F"/>
    <w:rsid w:val="006315F7"/>
    <w:rsid w:val="00631713"/>
    <w:rsid w:val="00631A62"/>
    <w:rsid w:val="00631BC5"/>
    <w:rsid w:val="00631D6B"/>
    <w:rsid w:val="00631E28"/>
    <w:rsid w:val="00631F07"/>
    <w:rsid w:val="00631F18"/>
    <w:rsid w:val="00631F4F"/>
    <w:rsid w:val="00632183"/>
    <w:rsid w:val="006321ED"/>
    <w:rsid w:val="006322D4"/>
    <w:rsid w:val="0063234B"/>
    <w:rsid w:val="00632569"/>
    <w:rsid w:val="006325FA"/>
    <w:rsid w:val="0063262E"/>
    <w:rsid w:val="006327AD"/>
    <w:rsid w:val="006328D9"/>
    <w:rsid w:val="006329DC"/>
    <w:rsid w:val="006329E6"/>
    <w:rsid w:val="00632A70"/>
    <w:rsid w:val="00632C1B"/>
    <w:rsid w:val="00632DCB"/>
    <w:rsid w:val="00632F05"/>
    <w:rsid w:val="00633031"/>
    <w:rsid w:val="006330A1"/>
    <w:rsid w:val="006330AE"/>
    <w:rsid w:val="0063317D"/>
    <w:rsid w:val="0063350C"/>
    <w:rsid w:val="006335A2"/>
    <w:rsid w:val="006335C6"/>
    <w:rsid w:val="00633845"/>
    <w:rsid w:val="006339ED"/>
    <w:rsid w:val="00633AD2"/>
    <w:rsid w:val="00633AFB"/>
    <w:rsid w:val="00633D2E"/>
    <w:rsid w:val="00633F6E"/>
    <w:rsid w:val="00633FBA"/>
    <w:rsid w:val="00634176"/>
    <w:rsid w:val="0063430A"/>
    <w:rsid w:val="00634435"/>
    <w:rsid w:val="006344E5"/>
    <w:rsid w:val="006344F5"/>
    <w:rsid w:val="0063479F"/>
    <w:rsid w:val="0063483C"/>
    <w:rsid w:val="0063496F"/>
    <w:rsid w:val="00634A41"/>
    <w:rsid w:val="00634B26"/>
    <w:rsid w:val="00634BD5"/>
    <w:rsid w:val="00634BFF"/>
    <w:rsid w:val="00634CE3"/>
    <w:rsid w:val="00634CF4"/>
    <w:rsid w:val="00634D57"/>
    <w:rsid w:val="00634DEC"/>
    <w:rsid w:val="00634E45"/>
    <w:rsid w:val="006350AE"/>
    <w:rsid w:val="00635123"/>
    <w:rsid w:val="0063515F"/>
    <w:rsid w:val="006353F0"/>
    <w:rsid w:val="00635528"/>
    <w:rsid w:val="006357A8"/>
    <w:rsid w:val="006357B5"/>
    <w:rsid w:val="006358A0"/>
    <w:rsid w:val="00635909"/>
    <w:rsid w:val="006359DA"/>
    <w:rsid w:val="00635AD0"/>
    <w:rsid w:val="00635B74"/>
    <w:rsid w:val="00635B8E"/>
    <w:rsid w:val="00635F68"/>
    <w:rsid w:val="00635FED"/>
    <w:rsid w:val="006362BC"/>
    <w:rsid w:val="006364A1"/>
    <w:rsid w:val="0063650B"/>
    <w:rsid w:val="00636519"/>
    <w:rsid w:val="00636529"/>
    <w:rsid w:val="00636563"/>
    <w:rsid w:val="0063665E"/>
    <w:rsid w:val="0063678E"/>
    <w:rsid w:val="0063689D"/>
    <w:rsid w:val="006368A0"/>
    <w:rsid w:val="006369AE"/>
    <w:rsid w:val="00636AD7"/>
    <w:rsid w:val="00636BB7"/>
    <w:rsid w:val="00636BBA"/>
    <w:rsid w:val="00636E3A"/>
    <w:rsid w:val="00636ED6"/>
    <w:rsid w:val="00636F7A"/>
    <w:rsid w:val="00636FD6"/>
    <w:rsid w:val="00637253"/>
    <w:rsid w:val="0063726A"/>
    <w:rsid w:val="0063733A"/>
    <w:rsid w:val="0063737D"/>
    <w:rsid w:val="006374AD"/>
    <w:rsid w:val="00637603"/>
    <w:rsid w:val="006376F6"/>
    <w:rsid w:val="0063785C"/>
    <w:rsid w:val="006379A6"/>
    <w:rsid w:val="006379D6"/>
    <w:rsid w:val="00637BFD"/>
    <w:rsid w:val="00637C5C"/>
    <w:rsid w:val="00637C88"/>
    <w:rsid w:val="00637DAC"/>
    <w:rsid w:val="00637F9E"/>
    <w:rsid w:val="0064008E"/>
    <w:rsid w:val="0064046A"/>
    <w:rsid w:val="006404C0"/>
    <w:rsid w:val="006405D1"/>
    <w:rsid w:val="00640678"/>
    <w:rsid w:val="006406C6"/>
    <w:rsid w:val="006409CE"/>
    <w:rsid w:val="00640ABC"/>
    <w:rsid w:val="00640B81"/>
    <w:rsid w:val="00640D1C"/>
    <w:rsid w:val="00640E04"/>
    <w:rsid w:val="00640F10"/>
    <w:rsid w:val="00640F9A"/>
    <w:rsid w:val="00641006"/>
    <w:rsid w:val="006410C8"/>
    <w:rsid w:val="0064119F"/>
    <w:rsid w:val="00641324"/>
    <w:rsid w:val="006414B5"/>
    <w:rsid w:val="00641576"/>
    <w:rsid w:val="00641853"/>
    <w:rsid w:val="006419F7"/>
    <w:rsid w:val="00641AD2"/>
    <w:rsid w:val="00641BCF"/>
    <w:rsid w:val="00641C17"/>
    <w:rsid w:val="00641C4E"/>
    <w:rsid w:val="00641C61"/>
    <w:rsid w:val="00641CB8"/>
    <w:rsid w:val="00641DDE"/>
    <w:rsid w:val="00641FB3"/>
    <w:rsid w:val="00642081"/>
    <w:rsid w:val="006421CF"/>
    <w:rsid w:val="0064221C"/>
    <w:rsid w:val="006422AD"/>
    <w:rsid w:val="0064245E"/>
    <w:rsid w:val="00642AF3"/>
    <w:rsid w:val="00642B9F"/>
    <w:rsid w:val="00642CC6"/>
    <w:rsid w:val="00642D8B"/>
    <w:rsid w:val="00642F4D"/>
    <w:rsid w:val="0064320E"/>
    <w:rsid w:val="0064332B"/>
    <w:rsid w:val="00643656"/>
    <w:rsid w:val="00643831"/>
    <w:rsid w:val="006438BD"/>
    <w:rsid w:val="00643B02"/>
    <w:rsid w:val="00643C77"/>
    <w:rsid w:val="00643E1C"/>
    <w:rsid w:val="00643E27"/>
    <w:rsid w:val="00643F62"/>
    <w:rsid w:val="00643F7D"/>
    <w:rsid w:val="00643FA1"/>
    <w:rsid w:val="0064407A"/>
    <w:rsid w:val="00644240"/>
    <w:rsid w:val="00644250"/>
    <w:rsid w:val="0064434C"/>
    <w:rsid w:val="00644375"/>
    <w:rsid w:val="006443DF"/>
    <w:rsid w:val="00644440"/>
    <w:rsid w:val="00644455"/>
    <w:rsid w:val="00644470"/>
    <w:rsid w:val="0064453D"/>
    <w:rsid w:val="006446C7"/>
    <w:rsid w:val="00644803"/>
    <w:rsid w:val="00644900"/>
    <w:rsid w:val="0064490E"/>
    <w:rsid w:val="0064491B"/>
    <w:rsid w:val="00644935"/>
    <w:rsid w:val="006449D9"/>
    <w:rsid w:val="00644B29"/>
    <w:rsid w:val="00644E0E"/>
    <w:rsid w:val="00644E1E"/>
    <w:rsid w:val="00644E80"/>
    <w:rsid w:val="00644F2F"/>
    <w:rsid w:val="00644F7B"/>
    <w:rsid w:val="00645121"/>
    <w:rsid w:val="0064513B"/>
    <w:rsid w:val="006451AD"/>
    <w:rsid w:val="006451CA"/>
    <w:rsid w:val="006452ED"/>
    <w:rsid w:val="00645378"/>
    <w:rsid w:val="0064552E"/>
    <w:rsid w:val="00645594"/>
    <w:rsid w:val="00645596"/>
    <w:rsid w:val="006455D7"/>
    <w:rsid w:val="00645611"/>
    <w:rsid w:val="006457A2"/>
    <w:rsid w:val="00645972"/>
    <w:rsid w:val="00645A67"/>
    <w:rsid w:val="00645AE0"/>
    <w:rsid w:val="00645B32"/>
    <w:rsid w:val="00645BAC"/>
    <w:rsid w:val="00645BE7"/>
    <w:rsid w:val="00645C0A"/>
    <w:rsid w:val="00645CE1"/>
    <w:rsid w:val="00645D0A"/>
    <w:rsid w:val="00645F83"/>
    <w:rsid w:val="0064614D"/>
    <w:rsid w:val="006462C4"/>
    <w:rsid w:val="006463C2"/>
    <w:rsid w:val="0064641C"/>
    <w:rsid w:val="0064650C"/>
    <w:rsid w:val="006467B3"/>
    <w:rsid w:val="0064684F"/>
    <w:rsid w:val="0064688F"/>
    <w:rsid w:val="006469FC"/>
    <w:rsid w:val="00646E2D"/>
    <w:rsid w:val="00646EFF"/>
    <w:rsid w:val="006470E8"/>
    <w:rsid w:val="006471C7"/>
    <w:rsid w:val="006471CC"/>
    <w:rsid w:val="006471CE"/>
    <w:rsid w:val="006472F3"/>
    <w:rsid w:val="006472FE"/>
    <w:rsid w:val="00647351"/>
    <w:rsid w:val="0064745C"/>
    <w:rsid w:val="00647562"/>
    <w:rsid w:val="006475F4"/>
    <w:rsid w:val="006475FC"/>
    <w:rsid w:val="006476E6"/>
    <w:rsid w:val="0064783E"/>
    <w:rsid w:val="00647934"/>
    <w:rsid w:val="00647952"/>
    <w:rsid w:val="00647A29"/>
    <w:rsid w:val="00647A2F"/>
    <w:rsid w:val="00647CA7"/>
    <w:rsid w:val="00647E15"/>
    <w:rsid w:val="00647F85"/>
    <w:rsid w:val="00647F9C"/>
    <w:rsid w:val="00650024"/>
    <w:rsid w:val="00650773"/>
    <w:rsid w:val="0065079F"/>
    <w:rsid w:val="0065090B"/>
    <w:rsid w:val="00650B29"/>
    <w:rsid w:val="00650BFC"/>
    <w:rsid w:val="00650DDB"/>
    <w:rsid w:val="00650F02"/>
    <w:rsid w:val="006510F0"/>
    <w:rsid w:val="0065125E"/>
    <w:rsid w:val="006512AF"/>
    <w:rsid w:val="00651368"/>
    <w:rsid w:val="00651773"/>
    <w:rsid w:val="006517D1"/>
    <w:rsid w:val="006518F6"/>
    <w:rsid w:val="00651975"/>
    <w:rsid w:val="00651D06"/>
    <w:rsid w:val="00651E57"/>
    <w:rsid w:val="00651E82"/>
    <w:rsid w:val="00651FDE"/>
    <w:rsid w:val="00651FFA"/>
    <w:rsid w:val="006520C9"/>
    <w:rsid w:val="0065214E"/>
    <w:rsid w:val="0065227A"/>
    <w:rsid w:val="006522AA"/>
    <w:rsid w:val="00652357"/>
    <w:rsid w:val="0065239E"/>
    <w:rsid w:val="006524F4"/>
    <w:rsid w:val="00652595"/>
    <w:rsid w:val="006525D0"/>
    <w:rsid w:val="00652602"/>
    <w:rsid w:val="006528FF"/>
    <w:rsid w:val="00652941"/>
    <w:rsid w:val="0065295A"/>
    <w:rsid w:val="00652977"/>
    <w:rsid w:val="0065297F"/>
    <w:rsid w:val="00652982"/>
    <w:rsid w:val="00652A28"/>
    <w:rsid w:val="00652D0F"/>
    <w:rsid w:val="00652D97"/>
    <w:rsid w:val="00652E53"/>
    <w:rsid w:val="00652FED"/>
    <w:rsid w:val="00653044"/>
    <w:rsid w:val="006534DA"/>
    <w:rsid w:val="00653707"/>
    <w:rsid w:val="0065379F"/>
    <w:rsid w:val="00653A6F"/>
    <w:rsid w:val="00653C73"/>
    <w:rsid w:val="006540F2"/>
    <w:rsid w:val="00654139"/>
    <w:rsid w:val="00654287"/>
    <w:rsid w:val="00654301"/>
    <w:rsid w:val="006543C8"/>
    <w:rsid w:val="0065451E"/>
    <w:rsid w:val="00654691"/>
    <w:rsid w:val="006546A2"/>
    <w:rsid w:val="00654958"/>
    <w:rsid w:val="00655102"/>
    <w:rsid w:val="006552DD"/>
    <w:rsid w:val="00655316"/>
    <w:rsid w:val="0065535E"/>
    <w:rsid w:val="00655491"/>
    <w:rsid w:val="00655584"/>
    <w:rsid w:val="006556C0"/>
    <w:rsid w:val="00655934"/>
    <w:rsid w:val="00655977"/>
    <w:rsid w:val="00655A89"/>
    <w:rsid w:val="00655B62"/>
    <w:rsid w:val="00655E74"/>
    <w:rsid w:val="00655F8D"/>
    <w:rsid w:val="00656069"/>
    <w:rsid w:val="00656188"/>
    <w:rsid w:val="00656235"/>
    <w:rsid w:val="00656364"/>
    <w:rsid w:val="006563E5"/>
    <w:rsid w:val="0065677D"/>
    <w:rsid w:val="006567E8"/>
    <w:rsid w:val="0065685F"/>
    <w:rsid w:val="00656902"/>
    <w:rsid w:val="006569D7"/>
    <w:rsid w:val="00656AFA"/>
    <w:rsid w:val="00656D67"/>
    <w:rsid w:val="00656F24"/>
    <w:rsid w:val="00656F48"/>
    <w:rsid w:val="00656FA8"/>
    <w:rsid w:val="00656FC7"/>
    <w:rsid w:val="0065709B"/>
    <w:rsid w:val="0065715A"/>
    <w:rsid w:val="00657369"/>
    <w:rsid w:val="006573CC"/>
    <w:rsid w:val="006573DC"/>
    <w:rsid w:val="00657435"/>
    <w:rsid w:val="00657563"/>
    <w:rsid w:val="006575EF"/>
    <w:rsid w:val="00657605"/>
    <w:rsid w:val="006576B7"/>
    <w:rsid w:val="00657CB7"/>
    <w:rsid w:val="00657D70"/>
    <w:rsid w:val="00657F0B"/>
    <w:rsid w:val="0066005E"/>
    <w:rsid w:val="00660164"/>
    <w:rsid w:val="00660293"/>
    <w:rsid w:val="0066033A"/>
    <w:rsid w:val="006604DA"/>
    <w:rsid w:val="00660734"/>
    <w:rsid w:val="00660966"/>
    <w:rsid w:val="00660A2A"/>
    <w:rsid w:val="00660ABF"/>
    <w:rsid w:val="00660D0F"/>
    <w:rsid w:val="00660DBB"/>
    <w:rsid w:val="00660EC8"/>
    <w:rsid w:val="00660FC0"/>
    <w:rsid w:val="006610C4"/>
    <w:rsid w:val="006610F1"/>
    <w:rsid w:val="00661102"/>
    <w:rsid w:val="0066137E"/>
    <w:rsid w:val="006613E9"/>
    <w:rsid w:val="0066161C"/>
    <w:rsid w:val="00661628"/>
    <w:rsid w:val="00661825"/>
    <w:rsid w:val="0066185F"/>
    <w:rsid w:val="006618A3"/>
    <w:rsid w:val="006618C9"/>
    <w:rsid w:val="0066198B"/>
    <w:rsid w:val="00661A58"/>
    <w:rsid w:val="00661B5B"/>
    <w:rsid w:val="00661C6B"/>
    <w:rsid w:val="00661CE0"/>
    <w:rsid w:val="00661D7D"/>
    <w:rsid w:val="006620DF"/>
    <w:rsid w:val="0066215C"/>
    <w:rsid w:val="00662174"/>
    <w:rsid w:val="006622DA"/>
    <w:rsid w:val="0066233E"/>
    <w:rsid w:val="00662364"/>
    <w:rsid w:val="006623CB"/>
    <w:rsid w:val="006623D7"/>
    <w:rsid w:val="00662700"/>
    <w:rsid w:val="00662713"/>
    <w:rsid w:val="00662B02"/>
    <w:rsid w:val="00662C8A"/>
    <w:rsid w:val="00662D3E"/>
    <w:rsid w:val="00662E0A"/>
    <w:rsid w:val="00662FED"/>
    <w:rsid w:val="0066303D"/>
    <w:rsid w:val="0066304D"/>
    <w:rsid w:val="006630D8"/>
    <w:rsid w:val="006631BF"/>
    <w:rsid w:val="00663529"/>
    <w:rsid w:val="0066359A"/>
    <w:rsid w:val="0066380F"/>
    <w:rsid w:val="00663A2D"/>
    <w:rsid w:val="00663AB4"/>
    <w:rsid w:val="00663AF4"/>
    <w:rsid w:val="00663BC7"/>
    <w:rsid w:val="00663C1A"/>
    <w:rsid w:val="00663C63"/>
    <w:rsid w:val="00663C78"/>
    <w:rsid w:val="00663EEA"/>
    <w:rsid w:val="00663F8E"/>
    <w:rsid w:val="006642FB"/>
    <w:rsid w:val="006644B6"/>
    <w:rsid w:val="00664712"/>
    <w:rsid w:val="006648FC"/>
    <w:rsid w:val="00664936"/>
    <w:rsid w:val="00664A5E"/>
    <w:rsid w:val="00664B9C"/>
    <w:rsid w:val="00664BC4"/>
    <w:rsid w:val="00664C91"/>
    <w:rsid w:val="00664FAD"/>
    <w:rsid w:val="00664FB5"/>
    <w:rsid w:val="00665052"/>
    <w:rsid w:val="00665128"/>
    <w:rsid w:val="006653BC"/>
    <w:rsid w:val="0066540F"/>
    <w:rsid w:val="00665776"/>
    <w:rsid w:val="00665829"/>
    <w:rsid w:val="006659CF"/>
    <w:rsid w:val="00665AE9"/>
    <w:rsid w:val="00665B42"/>
    <w:rsid w:val="00665BAD"/>
    <w:rsid w:val="00665D33"/>
    <w:rsid w:val="00665D85"/>
    <w:rsid w:val="00665EDC"/>
    <w:rsid w:val="00665F90"/>
    <w:rsid w:val="00665FAD"/>
    <w:rsid w:val="0066618F"/>
    <w:rsid w:val="006662A2"/>
    <w:rsid w:val="00666339"/>
    <w:rsid w:val="006665F3"/>
    <w:rsid w:val="006666AD"/>
    <w:rsid w:val="00666711"/>
    <w:rsid w:val="006669B8"/>
    <w:rsid w:val="00666A91"/>
    <w:rsid w:val="00666AD5"/>
    <w:rsid w:val="00666B33"/>
    <w:rsid w:val="00666ECD"/>
    <w:rsid w:val="00667126"/>
    <w:rsid w:val="0066737E"/>
    <w:rsid w:val="006674C2"/>
    <w:rsid w:val="00667639"/>
    <w:rsid w:val="006676A3"/>
    <w:rsid w:val="00667752"/>
    <w:rsid w:val="00667A00"/>
    <w:rsid w:val="00667A10"/>
    <w:rsid w:val="00667B32"/>
    <w:rsid w:val="00667BE3"/>
    <w:rsid w:val="00667E3D"/>
    <w:rsid w:val="00667EC2"/>
    <w:rsid w:val="006704A3"/>
    <w:rsid w:val="0067050D"/>
    <w:rsid w:val="00670625"/>
    <w:rsid w:val="00670992"/>
    <w:rsid w:val="00670A6F"/>
    <w:rsid w:val="00670D5D"/>
    <w:rsid w:val="00670E24"/>
    <w:rsid w:val="00670EA5"/>
    <w:rsid w:val="00671004"/>
    <w:rsid w:val="006710C6"/>
    <w:rsid w:val="00671497"/>
    <w:rsid w:val="0067156F"/>
    <w:rsid w:val="0067159B"/>
    <w:rsid w:val="0067182E"/>
    <w:rsid w:val="00671843"/>
    <w:rsid w:val="00671845"/>
    <w:rsid w:val="00671923"/>
    <w:rsid w:val="006719B0"/>
    <w:rsid w:val="00671A1B"/>
    <w:rsid w:val="00671AA1"/>
    <w:rsid w:val="00671AC2"/>
    <w:rsid w:val="00671BF9"/>
    <w:rsid w:val="00671D5B"/>
    <w:rsid w:val="006721E1"/>
    <w:rsid w:val="00672442"/>
    <w:rsid w:val="00672490"/>
    <w:rsid w:val="00672531"/>
    <w:rsid w:val="0067259B"/>
    <w:rsid w:val="00672646"/>
    <w:rsid w:val="00672669"/>
    <w:rsid w:val="00672921"/>
    <w:rsid w:val="006729D6"/>
    <w:rsid w:val="00672B24"/>
    <w:rsid w:val="00672B57"/>
    <w:rsid w:val="00672B66"/>
    <w:rsid w:val="00672BBB"/>
    <w:rsid w:val="00672E44"/>
    <w:rsid w:val="00672E9A"/>
    <w:rsid w:val="00672F89"/>
    <w:rsid w:val="006730AE"/>
    <w:rsid w:val="00673219"/>
    <w:rsid w:val="006732B3"/>
    <w:rsid w:val="006735BD"/>
    <w:rsid w:val="0067368C"/>
    <w:rsid w:val="00673723"/>
    <w:rsid w:val="006737E6"/>
    <w:rsid w:val="00673953"/>
    <w:rsid w:val="00673AB8"/>
    <w:rsid w:val="00673B7C"/>
    <w:rsid w:val="00673C2E"/>
    <w:rsid w:val="00673D1F"/>
    <w:rsid w:val="00673E7E"/>
    <w:rsid w:val="00673FBF"/>
    <w:rsid w:val="00674090"/>
    <w:rsid w:val="00674187"/>
    <w:rsid w:val="006742FE"/>
    <w:rsid w:val="00674448"/>
    <w:rsid w:val="0067459B"/>
    <w:rsid w:val="0067473C"/>
    <w:rsid w:val="006748CB"/>
    <w:rsid w:val="00674921"/>
    <w:rsid w:val="006749A5"/>
    <w:rsid w:val="00674A59"/>
    <w:rsid w:val="00674A71"/>
    <w:rsid w:val="00674BA3"/>
    <w:rsid w:val="00674E21"/>
    <w:rsid w:val="00674E42"/>
    <w:rsid w:val="00674E7B"/>
    <w:rsid w:val="00674FED"/>
    <w:rsid w:val="00675355"/>
    <w:rsid w:val="006753DE"/>
    <w:rsid w:val="006753EA"/>
    <w:rsid w:val="00675460"/>
    <w:rsid w:val="00675506"/>
    <w:rsid w:val="006755B5"/>
    <w:rsid w:val="00675647"/>
    <w:rsid w:val="0067576C"/>
    <w:rsid w:val="0067596C"/>
    <w:rsid w:val="00675992"/>
    <w:rsid w:val="006759A6"/>
    <w:rsid w:val="00675CC8"/>
    <w:rsid w:val="00675E05"/>
    <w:rsid w:val="00675E9B"/>
    <w:rsid w:val="00675F74"/>
    <w:rsid w:val="00676067"/>
    <w:rsid w:val="00676139"/>
    <w:rsid w:val="00676180"/>
    <w:rsid w:val="00676224"/>
    <w:rsid w:val="00676273"/>
    <w:rsid w:val="006764BC"/>
    <w:rsid w:val="00676563"/>
    <w:rsid w:val="00676623"/>
    <w:rsid w:val="006766A0"/>
    <w:rsid w:val="0067680A"/>
    <w:rsid w:val="0067683B"/>
    <w:rsid w:val="006769C1"/>
    <w:rsid w:val="006769EE"/>
    <w:rsid w:val="00676C33"/>
    <w:rsid w:val="00676C87"/>
    <w:rsid w:val="00676CAD"/>
    <w:rsid w:val="00676DD5"/>
    <w:rsid w:val="00676E8B"/>
    <w:rsid w:val="00676FE0"/>
    <w:rsid w:val="00676FFC"/>
    <w:rsid w:val="006770DE"/>
    <w:rsid w:val="0067753E"/>
    <w:rsid w:val="00677573"/>
    <w:rsid w:val="006775E1"/>
    <w:rsid w:val="00677897"/>
    <w:rsid w:val="00677947"/>
    <w:rsid w:val="00677A27"/>
    <w:rsid w:val="00677D1C"/>
    <w:rsid w:val="006800FD"/>
    <w:rsid w:val="00680335"/>
    <w:rsid w:val="00680570"/>
    <w:rsid w:val="006805BE"/>
    <w:rsid w:val="00680765"/>
    <w:rsid w:val="00680884"/>
    <w:rsid w:val="0068092C"/>
    <w:rsid w:val="00680B21"/>
    <w:rsid w:val="00680BD5"/>
    <w:rsid w:val="00680D55"/>
    <w:rsid w:val="00680D7B"/>
    <w:rsid w:val="00680F51"/>
    <w:rsid w:val="00681139"/>
    <w:rsid w:val="00681163"/>
    <w:rsid w:val="006812FE"/>
    <w:rsid w:val="0068130D"/>
    <w:rsid w:val="00681369"/>
    <w:rsid w:val="006813F8"/>
    <w:rsid w:val="00681478"/>
    <w:rsid w:val="0068148E"/>
    <w:rsid w:val="00681494"/>
    <w:rsid w:val="006814D5"/>
    <w:rsid w:val="006817B7"/>
    <w:rsid w:val="006817C3"/>
    <w:rsid w:val="0068190D"/>
    <w:rsid w:val="00681AFF"/>
    <w:rsid w:val="00681F73"/>
    <w:rsid w:val="00682112"/>
    <w:rsid w:val="00682295"/>
    <w:rsid w:val="006823D5"/>
    <w:rsid w:val="0068255C"/>
    <w:rsid w:val="006827C2"/>
    <w:rsid w:val="0068288B"/>
    <w:rsid w:val="006828A0"/>
    <w:rsid w:val="00682967"/>
    <w:rsid w:val="006829A0"/>
    <w:rsid w:val="00682A9E"/>
    <w:rsid w:val="00682B20"/>
    <w:rsid w:val="00682BA6"/>
    <w:rsid w:val="00682C38"/>
    <w:rsid w:val="00682D5A"/>
    <w:rsid w:val="00682D88"/>
    <w:rsid w:val="00682F52"/>
    <w:rsid w:val="0068308B"/>
    <w:rsid w:val="006830C2"/>
    <w:rsid w:val="00683279"/>
    <w:rsid w:val="00683465"/>
    <w:rsid w:val="0068351C"/>
    <w:rsid w:val="006835A5"/>
    <w:rsid w:val="006835A8"/>
    <w:rsid w:val="00683727"/>
    <w:rsid w:val="0068386A"/>
    <w:rsid w:val="006838B3"/>
    <w:rsid w:val="006839F6"/>
    <w:rsid w:val="00683A13"/>
    <w:rsid w:val="00683ADF"/>
    <w:rsid w:val="00683BD5"/>
    <w:rsid w:val="00683C12"/>
    <w:rsid w:val="00683C35"/>
    <w:rsid w:val="00683CDE"/>
    <w:rsid w:val="00683D91"/>
    <w:rsid w:val="00683DE6"/>
    <w:rsid w:val="00683DF8"/>
    <w:rsid w:val="0068409F"/>
    <w:rsid w:val="0068413A"/>
    <w:rsid w:val="00684346"/>
    <w:rsid w:val="00684991"/>
    <w:rsid w:val="006849AE"/>
    <w:rsid w:val="00684A7A"/>
    <w:rsid w:val="00684CF2"/>
    <w:rsid w:val="00685169"/>
    <w:rsid w:val="00685640"/>
    <w:rsid w:val="0068565A"/>
    <w:rsid w:val="0068572C"/>
    <w:rsid w:val="00685742"/>
    <w:rsid w:val="00685884"/>
    <w:rsid w:val="00685924"/>
    <w:rsid w:val="00685AEB"/>
    <w:rsid w:val="00685CDD"/>
    <w:rsid w:val="00686413"/>
    <w:rsid w:val="00686479"/>
    <w:rsid w:val="00686740"/>
    <w:rsid w:val="00686957"/>
    <w:rsid w:val="00686B14"/>
    <w:rsid w:val="00686BDD"/>
    <w:rsid w:val="00686D7B"/>
    <w:rsid w:val="00686EF9"/>
    <w:rsid w:val="006870D5"/>
    <w:rsid w:val="006872BA"/>
    <w:rsid w:val="00687502"/>
    <w:rsid w:val="00687B1B"/>
    <w:rsid w:val="00687C26"/>
    <w:rsid w:val="00687D17"/>
    <w:rsid w:val="00687DF0"/>
    <w:rsid w:val="00687E45"/>
    <w:rsid w:val="00687FB5"/>
    <w:rsid w:val="006900A9"/>
    <w:rsid w:val="006902CA"/>
    <w:rsid w:val="006905E0"/>
    <w:rsid w:val="00690795"/>
    <w:rsid w:val="00690958"/>
    <w:rsid w:val="00690A81"/>
    <w:rsid w:val="00690B13"/>
    <w:rsid w:val="00690B1D"/>
    <w:rsid w:val="00690DDA"/>
    <w:rsid w:val="0069127A"/>
    <w:rsid w:val="00691282"/>
    <w:rsid w:val="00691284"/>
    <w:rsid w:val="006912E2"/>
    <w:rsid w:val="0069144C"/>
    <w:rsid w:val="006915E0"/>
    <w:rsid w:val="00691648"/>
    <w:rsid w:val="0069164E"/>
    <w:rsid w:val="006916A4"/>
    <w:rsid w:val="006917D7"/>
    <w:rsid w:val="006917E9"/>
    <w:rsid w:val="006918A8"/>
    <w:rsid w:val="0069192D"/>
    <w:rsid w:val="00691AEA"/>
    <w:rsid w:val="00691C95"/>
    <w:rsid w:val="00691DD5"/>
    <w:rsid w:val="00691E92"/>
    <w:rsid w:val="00691FAF"/>
    <w:rsid w:val="0069214E"/>
    <w:rsid w:val="00692185"/>
    <w:rsid w:val="00692221"/>
    <w:rsid w:val="00692342"/>
    <w:rsid w:val="006923EE"/>
    <w:rsid w:val="00692515"/>
    <w:rsid w:val="00692595"/>
    <w:rsid w:val="006925C0"/>
    <w:rsid w:val="006925DA"/>
    <w:rsid w:val="00692614"/>
    <w:rsid w:val="0069262A"/>
    <w:rsid w:val="00692735"/>
    <w:rsid w:val="00692770"/>
    <w:rsid w:val="0069280D"/>
    <w:rsid w:val="00692900"/>
    <w:rsid w:val="00692A8B"/>
    <w:rsid w:val="00692A8D"/>
    <w:rsid w:val="00692AD8"/>
    <w:rsid w:val="00692CF0"/>
    <w:rsid w:val="00692DF2"/>
    <w:rsid w:val="00692E99"/>
    <w:rsid w:val="00692FF9"/>
    <w:rsid w:val="006930E6"/>
    <w:rsid w:val="006932A8"/>
    <w:rsid w:val="0069337C"/>
    <w:rsid w:val="0069355C"/>
    <w:rsid w:val="00693646"/>
    <w:rsid w:val="00693A4F"/>
    <w:rsid w:val="00693AF3"/>
    <w:rsid w:val="00693B7C"/>
    <w:rsid w:val="00693D0C"/>
    <w:rsid w:val="00693DCE"/>
    <w:rsid w:val="00693DF3"/>
    <w:rsid w:val="00693F09"/>
    <w:rsid w:val="00693F8C"/>
    <w:rsid w:val="0069434C"/>
    <w:rsid w:val="0069471F"/>
    <w:rsid w:val="00694772"/>
    <w:rsid w:val="0069478E"/>
    <w:rsid w:val="006948C5"/>
    <w:rsid w:val="00694C7F"/>
    <w:rsid w:val="00694D5E"/>
    <w:rsid w:val="00694E2D"/>
    <w:rsid w:val="00694E55"/>
    <w:rsid w:val="00694F44"/>
    <w:rsid w:val="00695041"/>
    <w:rsid w:val="006950E0"/>
    <w:rsid w:val="00695163"/>
    <w:rsid w:val="006952A7"/>
    <w:rsid w:val="006953C5"/>
    <w:rsid w:val="006953DB"/>
    <w:rsid w:val="0069547D"/>
    <w:rsid w:val="006955B4"/>
    <w:rsid w:val="00695944"/>
    <w:rsid w:val="00695A7A"/>
    <w:rsid w:val="00695AE9"/>
    <w:rsid w:val="00695D90"/>
    <w:rsid w:val="006962B3"/>
    <w:rsid w:val="00696446"/>
    <w:rsid w:val="006964AA"/>
    <w:rsid w:val="00696647"/>
    <w:rsid w:val="006966BA"/>
    <w:rsid w:val="006966CE"/>
    <w:rsid w:val="006966FE"/>
    <w:rsid w:val="006968C0"/>
    <w:rsid w:val="00696944"/>
    <w:rsid w:val="00696985"/>
    <w:rsid w:val="00696A82"/>
    <w:rsid w:val="00696BAF"/>
    <w:rsid w:val="00696E5A"/>
    <w:rsid w:val="00696EF9"/>
    <w:rsid w:val="00696EFF"/>
    <w:rsid w:val="00696F51"/>
    <w:rsid w:val="0069716E"/>
    <w:rsid w:val="0069726B"/>
    <w:rsid w:val="0069739B"/>
    <w:rsid w:val="006975B0"/>
    <w:rsid w:val="0069788B"/>
    <w:rsid w:val="00697894"/>
    <w:rsid w:val="006979A5"/>
    <w:rsid w:val="00697AE8"/>
    <w:rsid w:val="00697B06"/>
    <w:rsid w:val="00697D37"/>
    <w:rsid w:val="00697D5F"/>
    <w:rsid w:val="00697DB4"/>
    <w:rsid w:val="00697FE7"/>
    <w:rsid w:val="006A0003"/>
    <w:rsid w:val="006A0019"/>
    <w:rsid w:val="006A016F"/>
    <w:rsid w:val="006A03B2"/>
    <w:rsid w:val="006A041B"/>
    <w:rsid w:val="006A06C7"/>
    <w:rsid w:val="006A0717"/>
    <w:rsid w:val="006A097E"/>
    <w:rsid w:val="006A0A6C"/>
    <w:rsid w:val="006A0B85"/>
    <w:rsid w:val="006A0C91"/>
    <w:rsid w:val="006A0DA0"/>
    <w:rsid w:val="006A0DF7"/>
    <w:rsid w:val="006A0E16"/>
    <w:rsid w:val="006A0F19"/>
    <w:rsid w:val="006A0FAA"/>
    <w:rsid w:val="006A1002"/>
    <w:rsid w:val="006A1144"/>
    <w:rsid w:val="006A119E"/>
    <w:rsid w:val="006A157F"/>
    <w:rsid w:val="006A168E"/>
    <w:rsid w:val="006A1D6C"/>
    <w:rsid w:val="006A1F87"/>
    <w:rsid w:val="006A207D"/>
    <w:rsid w:val="006A21FD"/>
    <w:rsid w:val="006A23D6"/>
    <w:rsid w:val="006A2A72"/>
    <w:rsid w:val="006A2B80"/>
    <w:rsid w:val="006A2BEE"/>
    <w:rsid w:val="006A2CB5"/>
    <w:rsid w:val="006A2D23"/>
    <w:rsid w:val="006A2D2B"/>
    <w:rsid w:val="006A309A"/>
    <w:rsid w:val="006A3162"/>
    <w:rsid w:val="006A31C3"/>
    <w:rsid w:val="006A31CA"/>
    <w:rsid w:val="006A3341"/>
    <w:rsid w:val="006A36E2"/>
    <w:rsid w:val="006A3712"/>
    <w:rsid w:val="006A372A"/>
    <w:rsid w:val="006A3773"/>
    <w:rsid w:val="006A386F"/>
    <w:rsid w:val="006A399A"/>
    <w:rsid w:val="006A3C34"/>
    <w:rsid w:val="006A3D0B"/>
    <w:rsid w:val="006A3E41"/>
    <w:rsid w:val="006A3F50"/>
    <w:rsid w:val="006A4321"/>
    <w:rsid w:val="006A4356"/>
    <w:rsid w:val="006A43D9"/>
    <w:rsid w:val="006A43F5"/>
    <w:rsid w:val="006A476B"/>
    <w:rsid w:val="006A4856"/>
    <w:rsid w:val="006A48DB"/>
    <w:rsid w:val="006A490B"/>
    <w:rsid w:val="006A496F"/>
    <w:rsid w:val="006A4B79"/>
    <w:rsid w:val="006A4BF8"/>
    <w:rsid w:val="006A4C40"/>
    <w:rsid w:val="006A4EB9"/>
    <w:rsid w:val="006A5123"/>
    <w:rsid w:val="006A5279"/>
    <w:rsid w:val="006A53C9"/>
    <w:rsid w:val="006A54E3"/>
    <w:rsid w:val="006A550E"/>
    <w:rsid w:val="006A559F"/>
    <w:rsid w:val="006A56EA"/>
    <w:rsid w:val="006A56F7"/>
    <w:rsid w:val="006A57C5"/>
    <w:rsid w:val="006A5955"/>
    <w:rsid w:val="006A598B"/>
    <w:rsid w:val="006A5D49"/>
    <w:rsid w:val="006A626B"/>
    <w:rsid w:val="006A645C"/>
    <w:rsid w:val="006A662E"/>
    <w:rsid w:val="006A66A7"/>
    <w:rsid w:val="006A67AB"/>
    <w:rsid w:val="006A6984"/>
    <w:rsid w:val="006A69D4"/>
    <w:rsid w:val="006A6B99"/>
    <w:rsid w:val="006A6C69"/>
    <w:rsid w:val="006A6D56"/>
    <w:rsid w:val="006A6DF9"/>
    <w:rsid w:val="006A6EA4"/>
    <w:rsid w:val="006A70E1"/>
    <w:rsid w:val="006A712F"/>
    <w:rsid w:val="006A750B"/>
    <w:rsid w:val="006A7528"/>
    <w:rsid w:val="006A780C"/>
    <w:rsid w:val="006A7960"/>
    <w:rsid w:val="006A7997"/>
    <w:rsid w:val="006A79B8"/>
    <w:rsid w:val="006A7A55"/>
    <w:rsid w:val="006A7A56"/>
    <w:rsid w:val="006A7AC4"/>
    <w:rsid w:val="006A7B20"/>
    <w:rsid w:val="006A7BC4"/>
    <w:rsid w:val="006A7C2B"/>
    <w:rsid w:val="006A7D3C"/>
    <w:rsid w:val="006A7E2F"/>
    <w:rsid w:val="006A7E5F"/>
    <w:rsid w:val="006A7E7C"/>
    <w:rsid w:val="006A7FBF"/>
    <w:rsid w:val="006B003C"/>
    <w:rsid w:val="006B00BF"/>
    <w:rsid w:val="006B02EC"/>
    <w:rsid w:val="006B0445"/>
    <w:rsid w:val="006B06CA"/>
    <w:rsid w:val="006B06E8"/>
    <w:rsid w:val="006B083D"/>
    <w:rsid w:val="006B097B"/>
    <w:rsid w:val="006B09A6"/>
    <w:rsid w:val="006B0B44"/>
    <w:rsid w:val="006B0D52"/>
    <w:rsid w:val="006B0F06"/>
    <w:rsid w:val="006B0FBD"/>
    <w:rsid w:val="006B101F"/>
    <w:rsid w:val="006B10C3"/>
    <w:rsid w:val="006B111B"/>
    <w:rsid w:val="006B11A7"/>
    <w:rsid w:val="006B13DC"/>
    <w:rsid w:val="006B168F"/>
    <w:rsid w:val="006B16A2"/>
    <w:rsid w:val="006B170B"/>
    <w:rsid w:val="006B1716"/>
    <w:rsid w:val="006B1783"/>
    <w:rsid w:val="006B17AF"/>
    <w:rsid w:val="006B1949"/>
    <w:rsid w:val="006B1A4F"/>
    <w:rsid w:val="006B1AC6"/>
    <w:rsid w:val="006B1B4A"/>
    <w:rsid w:val="006B1CD3"/>
    <w:rsid w:val="006B1E23"/>
    <w:rsid w:val="006B1E31"/>
    <w:rsid w:val="006B1E8E"/>
    <w:rsid w:val="006B1F44"/>
    <w:rsid w:val="006B1F52"/>
    <w:rsid w:val="006B229D"/>
    <w:rsid w:val="006B2325"/>
    <w:rsid w:val="006B2351"/>
    <w:rsid w:val="006B23C1"/>
    <w:rsid w:val="006B244C"/>
    <w:rsid w:val="006B254E"/>
    <w:rsid w:val="006B259F"/>
    <w:rsid w:val="006B261B"/>
    <w:rsid w:val="006B289F"/>
    <w:rsid w:val="006B294C"/>
    <w:rsid w:val="006B2977"/>
    <w:rsid w:val="006B2A6A"/>
    <w:rsid w:val="006B2A71"/>
    <w:rsid w:val="006B2AF1"/>
    <w:rsid w:val="006B2C90"/>
    <w:rsid w:val="006B2D79"/>
    <w:rsid w:val="006B2EB7"/>
    <w:rsid w:val="006B2EFA"/>
    <w:rsid w:val="006B35E6"/>
    <w:rsid w:val="006B3614"/>
    <w:rsid w:val="006B361F"/>
    <w:rsid w:val="006B363B"/>
    <w:rsid w:val="006B36AF"/>
    <w:rsid w:val="006B3720"/>
    <w:rsid w:val="006B3B03"/>
    <w:rsid w:val="006B3BFD"/>
    <w:rsid w:val="006B3CB9"/>
    <w:rsid w:val="006B3D43"/>
    <w:rsid w:val="006B3DDF"/>
    <w:rsid w:val="006B3E36"/>
    <w:rsid w:val="006B4339"/>
    <w:rsid w:val="006B45E2"/>
    <w:rsid w:val="006B465A"/>
    <w:rsid w:val="006B481C"/>
    <w:rsid w:val="006B4886"/>
    <w:rsid w:val="006B4A23"/>
    <w:rsid w:val="006B4CA7"/>
    <w:rsid w:val="006B5148"/>
    <w:rsid w:val="006B5318"/>
    <w:rsid w:val="006B533D"/>
    <w:rsid w:val="006B54B1"/>
    <w:rsid w:val="006B55F2"/>
    <w:rsid w:val="006B5676"/>
    <w:rsid w:val="006B58D6"/>
    <w:rsid w:val="006B5923"/>
    <w:rsid w:val="006B5960"/>
    <w:rsid w:val="006B5BCA"/>
    <w:rsid w:val="006B5CC4"/>
    <w:rsid w:val="006B5D1F"/>
    <w:rsid w:val="006B5D6C"/>
    <w:rsid w:val="006B5D7B"/>
    <w:rsid w:val="006B5D81"/>
    <w:rsid w:val="006B5E6B"/>
    <w:rsid w:val="006B5EA7"/>
    <w:rsid w:val="006B5EDC"/>
    <w:rsid w:val="006B5F36"/>
    <w:rsid w:val="006B60E2"/>
    <w:rsid w:val="006B64FE"/>
    <w:rsid w:val="006B6642"/>
    <w:rsid w:val="006B678F"/>
    <w:rsid w:val="006B67B9"/>
    <w:rsid w:val="006B680D"/>
    <w:rsid w:val="006B6A07"/>
    <w:rsid w:val="006B6CC6"/>
    <w:rsid w:val="006B6DD0"/>
    <w:rsid w:val="006B6E21"/>
    <w:rsid w:val="006B6E9F"/>
    <w:rsid w:val="006B6FB6"/>
    <w:rsid w:val="006B7007"/>
    <w:rsid w:val="006B733F"/>
    <w:rsid w:val="006B73B5"/>
    <w:rsid w:val="006B74A4"/>
    <w:rsid w:val="006B7520"/>
    <w:rsid w:val="006B76BF"/>
    <w:rsid w:val="006B76DA"/>
    <w:rsid w:val="006B7712"/>
    <w:rsid w:val="006B77F9"/>
    <w:rsid w:val="006B7909"/>
    <w:rsid w:val="006B7A33"/>
    <w:rsid w:val="006B7A4D"/>
    <w:rsid w:val="006B7A8E"/>
    <w:rsid w:val="006B7AC3"/>
    <w:rsid w:val="006B7C0B"/>
    <w:rsid w:val="006B7CC1"/>
    <w:rsid w:val="006B7EAF"/>
    <w:rsid w:val="006B7F70"/>
    <w:rsid w:val="006C01BC"/>
    <w:rsid w:val="006C0392"/>
    <w:rsid w:val="006C0399"/>
    <w:rsid w:val="006C03E6"/>
    <w:rsid w:val="006C048B"/>
    <w:rsid w:val="006C04B2"/>
    <w:rsid w:val="006C05BA"/>
    <w:rsid w:val="006C064C"/>
    <w:rsid w:val="006C07C4"/>
    <w:rsid w:val="006C085B"/>
    <w:rsid w:val="006C0A28"/>
    <w:rsid w:val="006C0A4C"/>
    <w:rsid w:val="006C0B15"/>
    <w:rsid w:val="006C0BD0"/>
    <w:rsid w:val="006C0D35"/>
    <w:rsid w:val="006C0E32"/>
    <w:rsid w:val="006C1089"/>
    <w:rsid w:val="006C11AF"/>
    <w:rsid w:val="006C126F"/>
    <w:rsid w:val="006C13A0"/>
    <w:rsid w:val="006C13A8"/>
    <w:rsid w:val="006C151C"/>
    <w:rsid w:val="006C16AC"/>
    <w:rsid w:val="006C1768"/>
    <w:rsid w:val="006C1953"/>
    <w:rsid w:val="006C196F"/>
    <w:rsid w:val="006C1AC0"/>
    <w:rsid w:val="006C1B3A"/>
    <w:rsid w:val="006C1B57"/>
    <w:rsid w:val="006C1BE0"/>
    <w:rsid w:val="006C1BEE"/>
    <w:rsid w:val="006C1CB8"/>
    <w:rsid w:val="006C1D3A"/>
    <w:rsid w:val="006C1DAD"/>
    <w:rsid w:val="006C1EC5"/>
    <w:rsid w:val="006C2083"/>
    <w:rsid w:val="006C20F3"/>
    <w:rsid w:val="006C213E"/>
    <w:rsid w:val="006C22FD"/>
    <w:rsid w:val="006C25AB"/>
    <w:rsid w:val="006C27D0"/>
    <w:rsid w:val="006C2857"/>
    <w:rsid w:val="006C2860"/>
    <w:rsid w:val="006C2928"/>
    <w:rsid w:val="006C2992"/>
    <w:rsid w:val="006C29A3"/>
    <w:rsid w:val="006C2A8E"/>
    <w:rsid w:val="006C2BB2"/>
    <w:rsid w:val="006C3167"/>
    <w:rsid w:val="006C3255"/>
    <w:rsid w:val="006C3544"/>
    <w:rsid w:val="006C35ED"/>
    <w:rsid w:val="006C3620"/>
    <w:rsid w:val="006C370E"/>
    <w:rsid w:val="006C3A05"/>
    <w:rsid w:val="006C3A61"/>
    <w:rsid w:val="006C3BA4"/>
    <w:rsid w:val="006C3F26"/>
    <w:rsid w:val="006C40AB"/>
    <w:rsid w:val="006C4135"/>
    <w:rsid w:val="006C424E"/>
    <w:rsid w:val="006C4266"/>
    <w:rsid w:val="006C4407"/>
    <w:rsid w:val="006C4672"/>
    <w:rsid w:val="006C4939"/>
    <w:rsid w:val="006C4AC2"/>
    <w:rsid w:val="006C4B88"/>
    <w:rsid w:val="006C4C5E"/>
    <w:rsid w:val="006C4C74"/>
    <w:rsid w:val="006C4FC8"/>
    <w:rsid w:val="006C50B9"/>
    <w:rsid w:val="006C51B1"/>
    <w:rsid w:val="006C54A8"/>
    <w:rsid w:val="006C54B6"/>
    <w:rsid w:val="006C5889"/>
    <w:rsid w:val="006C5A0C"/>
    <w:rsid w:val="006C5B34"/>
    <w:rsid w:val="006C5CAF"/>
    <w:rsid w:val="006C5D88"/>
    <w:rsid w:val="006C5E8D"/>
    <w:rsid w:val="006C5EBF"/>
    <w:rsid w:val="006C61B1"/>
    <w:rsid w:val="006C6218"/>
    <w:rsid w:val="006C6491"/>
    <w:rsid w:val="006C6667"/>
    <w:rsid w:val="006C66EC"/>
    <w:rsid w:val="006C6719"/>
    <w:rsid w:val="006C694B"/>
    <w:rsid w:val="006C6AE2"/>
    <w:rsid w:val="006C6BAC"/>
    <w:rsid w:val="006C6C8B"/>
    <w:rsid w:val="006C6CAB"/>
    <w:rsid w:val="006C6D6D"/>
    <w:rsid w:val="006C6E5C"/>
    <w:rsid w:val="006C6F9D"/>
    <w:rsid w:val="006C7006"/>
    <w:rsid w:val="006C704A"/>
    <w:rsid w:val="006C7123"/>
    <w:rsid w:val="006C71A1"/>
    <w:rsid w:val="006C7306"/>
    <w:rsid w:val="006C7333"/>
    <w:rsid w:val="006C7429"/>
    <w:rsid w:val="006C7557"/>
    <w:rsid w:val="006C769C"/>
    <w:rsid w:val="006C77C9"/>
    <w:rsid w:val="006C790E"/>
    <w:rsid w:val="006C79EF"/>
    <w:rsid w:val="006C7E3B"/>
    <w:rsid w:val="006C7ED6"/>
    <w:rsid w:val="006C7FE8"/>
    <w:rsid w:val="006D04E9"/>
    <w:rsid w:val="006D056A"/>
    <w:rsid w:val="006D064A"/>
    <w:rsid w:val="006D066D"/>
    <w:rsid w:val="006D0992"/>
    <w:rsid w:val="006D0A34"/>
    <w:rsid w:val="006D0A51"/>
    <w:rsid w:val="006D0AE2"/>
    <w:rsid w:val="006D0C36"/>
    <w:rsid w:val="006D0D17"/>
    <w:rsid w:val="006D0D1F"/>
    <w:rsid w:val="006D0D5C"/>
    <w:rsid w:val="006D0EE8"/>
    <w:rsid w:val="006D0F84"/>
    <w:rsid w:val="006D0F89"/>
    <w:rsid w:val="006D105B"/>
    <w:rsid w:val="006D1149"/>
    <w:rsid w:val="006D1231"/>
    <w:rsid w:val="006D12F1"/>
    <w:rsid w:val="006D14DA"/>
    <w:rsid w:val="006D172B"/>
    <w:rsid w:val="006D175C"/>
    <w:rsid w:val="006D17FD"/>
    <w:rsid w:val="006D197B"/>
    <w:rsid w:val="006D1A14"/>
    <w:rsid w:val="006D1A7A"/>
    <w:rsid w:val="006D1CA4"/>
    <w:rsid w:val="006D1D64"/>
    <w:rsid w:val="006D1F8E"/>
    <w:rsid w:val="006D1F8F"/>
    <w:rsid w:val="006D2045"/>
    <w:rsid w:val="006D215E"/>
    <w:rsid w:val="006D218F"/>
    <w:rsid w:val="006D2349"/>
    <w:rsid w:val="006D23B5"/>
    <w:rsid w:val="006D2436"/>
    <w:rsid w:val="006D2458"/>
    <w:rsid w:val="006D25E8"/>
    <w:rsid w:val="006D26A7"/>
    <w:rsid w:val="006D2714"/>
    <w:rsid w:val="006D28BD"/>
    <w:rsid w:val="006D2A02"/>
    <w:rsid w:val="006D2AA1"/>
    <w:rsid w:val="006D2C8F"/>
    <w:rsid w:val="006D2E52"/>
    <w:rsid w:val="006D2E6E"/>
    <w:rsid w:val="006D2F70"/>
    <w:rsid w:val="006D3011"/>
    <w:rsid w:val="006D3144"/>
    <w:rsid w:val="006D3177"/>
    <w:rsid w:val="006D3267"/>
    <w:rsid w:val="006D32C3"/>
    <w:rsid w:val="006D33C8"/>
    <w:rsid w:val="006D33EB"/>
    <w:rsid w:val="006D3799"/>
    <w:rsid w:val="006D37DB"/>
    <w:rsid w:val="006D3C7D"/>
    <w:rsid w:val="006D3CE2"/>
    <w:rsid w:val="006D3CFF"/>
    <w:rsid w:val="006D3F1C"/>
    <w:rsid w:val="006D425A"/>
    <w:rsid w:val="006D45BF"/>
    <w:rsid w:val="006D4659"/>
    <w:rsid w:val="006D48B3"/>
    <w:rsid w:val="006D4957"/>
    <w:rsid w:val="006D4BDF"/>
    <w:rsid w:val="006D4D84"/>
    <w:rsid w:val="006D510F"/>
    <w:rsid w:val="006D52D1"/>
    <w:rsid w:val="006D54A8"/>
    <w:rsid w:val="006D5535"/>
    <w:rsid w:val="006D572A"/>
    <w:rsid w:val="006D577C"/>
    <w:rsid w:val="006D5A84"/>
    <w:rsid w:val="006D5D5F"/>
    <w:rsid w:val="006D5E86"/>
    <w:rsid w:val="006D5E89"/>
    <w:rsid w:val="006D5F94"/>
    <w:rsid w:val="006D605B"/>
    <w:rsid w:val="006D62DD"/>
    <w:rsid w:val="006D63CE"/>
    <w:rsid w:val="006D6408"/>
    <w:rsid w:val="006D645E"/>
    <w:rsid w:val="006D6478"/>
    <w:rsid w:val="006D6656"/>
    <w:rsid w:val="006D67A0"/>
    <w:rsid w:val="006D68FB"/>
    <w:rsid w:val="006D6AB1"/>
    <w:rsid w:val="006D6D9B"/>
    <w:rsid w:val="006D6E9A"/>
    <w:rsid w:val="006D6F6A"/>
    <w:rsid w:val="006D6F7C"/>
    <w:rsid w:val="006D6F81"/>
    <w:rsid w:val="006D7173"/>
    <w:rsid w:val="006D724B"/>
    <w:rsid w:val="006D7253"/>
    <w:rsid w:val="006D72E9"/>
    <w:rsid w:val="006D7392"/>
    <w:rsid w:val="006D742C"/>
    <w:rsid w:val="006D74B5"/>
    <w:rsid w:val="006D7552"/>
    <w:rsid w:val="006D759B"/>
    <w:rsid w:val="006D7719"/>
    <w:rsid w:val="006D7828"/>
    <w:rsid w:val="006D7924"/>
    <w:rsid w:val="006D7AD0"/>
    <w:rsid w:val="006D7AD5"/>
    <w:rsid w:val="006D7B72"/>
    <w:rsid w:val="006D7C84"/>
    <w:rsid w:val="006D7E51"/>
    <w:rsid w:val="006D7EAD"/>
    <w:rsid w:val="006E003E"/>
    <w:rsid w:val="006E0189"/>
    <w:rsid w:val="006E01FB"/>
    <w:rsid w:val="006E0280"/>
    <w:rsid w:val="006E02AB"/>
    <w:rsid w:val="006E03CD"/>
    <w:rsid w:val="006E041C"/>
    <w:rsid w:val="006E0459"/>
    <w:rsid w:val="006E0670"/>
    <w:rsid w:val="006E0751"/>
    <w:rsid w:val="006E0787"/>
    <w:rsid w:val="006E0901"/>
    <w:rsid w:val="006E099C"/>
    <w:rsid w:val="006E0ADE"/>
    <w:rsid w:val="006E0BE4"/>
    <w:rsid w:val="006E0D6F"/>
    <w:rsid w:val="006E0DFF"/>
    <w:rsid w:val="006E0F2B"/>
    <w:rsid w:val="006E0FD7"/>
    <w:rsid w:val="006E111E"/>
    <w:rsid w:val="006E12A7"/>
    <w:rsid w:val="006E1338"/>
    <w:rsid w:val="006E1371"/>
    <w:rsid w:val="006E14C3"/>
    <w:rsid w:val="006E1541"/>
    <w:rsid w:val="006E155D"/>
    <w:rsid w:val="006E164C"/>
    <w:rsid w:val="006E1660"/>
    <w:rsid w:val="006E18E5"/>
    <w:rsid w:val="006E190A"/>
    <w:rsid w:val="006E1944"/>
    <w:rsid w:val="006E19C8"/>
    <w:rsid w:val="006E1A30"/>
    <w:rsid w:val="006E1B8E"/>
    <w:rsid w:val="006E1CB3"/>
    <w:rsid w:val="006E1E25"/>
    <w:rsid w:val="006E1F40"/>
    <w:rsid w:val="006E200B"/>
    <w:rsid w:val="006E2036"/>
    <w:rsid w:val="006E2193"/>
    <w:rsid w:val="006E22AA"/>
    <w:rsid w:val="006E2342"/>
    <w:rsid w:val="006E2348"/>
    <w:rsid w:val="006E2506"/>
    <w:rsid w:val="006E26F4"/>
    <w:rsid w:val="006E27A2"/>
    <w:rsid w:val="006E2868"/>
    <w:rsid w:val="006E2874"/>
    <w:rsid w:val="006E2A10"/>
    <w:rsid w:val="006E2C3A"/>
    <w:rsid w:val="006E2D1F"/>
    <w:rsid w:val="006E2F1E"/>
    <w:rsid w:val="006E2FB7"/>
    <w:rsid w:val="006E305E"/>
    <w:rsid w:val="006E3138"/>
    <w:rsid w:val="006E31FB"/>
    <w:rsid w:val="006E330C"/>
    <w:rsid w:val="006E33BA"/>
    <w:rsid w:val="006E353E"/>
    <w:rsid w:val="006E35C5"/>
    <w:rsid w:val="006E3821"/>
    <w:rsid w:val="006E386B"/>
    <w:rsid w:val="006E3C07"/>
    <w:rsid w:val="006E3CB7"/>
    <w:rsid w:val="006E3DB4"/>
    <w:rsid w:val="006E3FF6"/>
    <w:rsid w:val="006E409E"/>
    <w:rsid w:val="006E4657"/>
    <w:rsid w:val="006E4AA7"/>
    <w:rsid w:val="006E4B92"/>
    <w:rsid w:val="006E4CC5"/>
    <w:rsid w:val="006E4F59"/>
    <w:rsid w:val="006E50A3"/>
    <w:rsid w:val="006E517D"/>
    <w:rsid w:val="006E5290"/>
    <w:rsid w:val="006E52EF"/>
    <w:rsid w:val="006E542C"/>
    <w:rsid w:val="006E549D"/>
    <w:rsid w:val="006E5587"/>
    <w:rsid w:val="006E56CB"/>
    <w:rsid w:val="006E5727"/>
    <w:rsid w:val="006E572C"/>
    <w:rsid w:val="006E574A"/>
    <w:rsid w:val="006E5765"/>
    <w:rsid w:val="006E576D"/>
    <w:rsid w:val="006E5772"/>
    <w:rsid w:val="006E5B98"/>
    <w:rsid w:val="006E5C2D"/>
    <w:rsid w:val="006E5E0C"/>
    <w:rsid w:val="006E5E1A"/>
    <w:rsid w:val="006E5EA6"/>
    <w:rsid w:val="006E5EAE"/>
    <w:rsid w:val="006E5EE0"/>
    <w:rsid w:val="006E601E"/>
    <w:rsid w:val="006E605A"/>
    <w:rsid w:val="006E622E"/>
    <w:rsid w:val="006E6231"/>
    <w:rsid w:val="006E629F"/>
    <w:rsid w:val="006E63D6"/>
    <w:rsid w:val="006E66FC"/>
    <w:rsid w:val="006E680B"/>
    <w:rsid w:val="006E6919"/>
    <w:rsid w:val="006E6B97"/>
    <w:rsid w:val="006E6BEE"/>
    <w:rsid w:val="006E6CE4"/>
    <w:rsid w:val="006E6CFA"/>
    <w:rsid w:val="006E7093"/>
    <w:rsid w:val="006E7239"/>
    <w:rsid w:val="006E7260"/>
    <w:rsid w:val="006E7599"/>
    <w:rsid w:val="006E75A3"/>
    <w:rsid w:val="006E7745"/>
    <w:rsid w:val="006E78C4"/>
    <w:rsid w:val="006E79CC"/>
    <w:rsid w:val="006E7A5E"/>
    <w:rsid w:val="006E7A9B"/>
    <w:rsid w:val="006E7CA8"/>
    <w:rsid w:val="006E7CAD"/>
    <w:rsid w:val="006E7DF3"/>
    <w:rsid w:val="006E7E56"/>
    <w:rsid w:val="006E7EA3"/>
    <w:rsid w:val="006E7F08"/>
    <w:rsid w:val="006E7F13"/>
    <w:rsid w:val="006E7F9F"/>
    <w:rsid w:val="006F00CC"/>
    <w:rsid w:val="006F00D0"/>
    <w:rsid w:val="006F018E"/>
    <w:rsid w:val="006F029B"/>
    <w:rsid w:val="006F02E2"/>
    <w:rsid w:val="006F031F"/>
    <w:rsid w:val="006F0449"/>
    <w:rsid w:val="006F0618"/>
    <w:rsid w:val="006F0983"/>
    <w:rsid w:val="006F0A29"/>
    <w:rsid w:val="006F0A89"/>
    <w:rsid w:val="006F0BF5"/>
    <w:rsid w:val="006F0D6E"/>
    <w:rsid w:val="006F0F36"/>
    <w:rsid w:val="006F0F5D"/>
    <w:rsid w:val="006F0FDB"/>
    <w:rsid w:val="006F11E8"/>
    <w:rsid w:val="006F13EA"/>
    <w:rsid w:val="006F16A1"/>
    <w:rsid w:val="006F19A1"/>
    <w:rsid w:val="006F1B1B"/>
    <w:rsid w:val="006F1D4B"/>
    <w:rsid w:val="006F1E65"/>
    <w:rsid w:val="006F1E6C"/>
    <w:rsid w:val="006F1EE4"/>
    <w:rsid w:val="006F1F49"/>
    <w:rsid w:val="006F1F7A"/>
    <w:rsid w:val="006F1FC8"/>
    <w:rsid w:val="006F1FF2"/>
    <w:rsid w:val="006F208E"/>
    <w:rsid w:val="006F2494"/>
    <w:rsid w:val="006F24BD"/>
    <w:rsid w:val="006F2518"/>
    <w:rsid w:val="006F277A"/>
    <w:rsid w:val="006F2836"/>
    <w:rsid w:val="006F28B8"/>
    <w:rsid w:val="006F2A8B"/>
    <w:rsid w:val="006F2AF4"/>
    <w:rsid w:val="006F2E90"/>
    <w:rsid w:val="006F2EF1"/>
    <w:rsid w:val="006F2F02"/>
    <w:rsid w:val="006F2F05"/>
    <w:rsid w:val="006F2F8B"/>
    <w:rsid w:val="006F3049"/>
    <w:rsid w:val="006F306C"/>
    <w:rsid w:val="006F3264"/>
    <w:rsid w:val="006F3424"/>
    <w:rsid w:val="006F34A4"/>
    <w:rsid w:val="006F3612"/>
    <w:rsid w:val="006F3613"/>
    <w:rsid w:val="006F3670"/>
    <w:rsid w:val="006F36DC"/>
    <w:rsid w:val="006F3771"/>
    <w:rsid w:val="006F3812"/>
    <w:rsid w:val="006F3982"/>
    <w:rsid w:val="006F3A2A"/>
    <w:rsid w:val="006F3B3A"/>
    <w:rsid w:val="006F3BC5"/>
    <w:rsid w:val="006F3CAD"/>
    <w:rsid w:val="006F3CFE"/>
    <w:rsid w:val="006F3F07"/>
    <w:rsid w:val="006F4203"/>
    <w:rsid w:val="006F4352"/>
    <w:rsid w:val="006F449D"/>
    <w:rsid w:val="006F4596"/>
    <w:rsid w:val="006F4668"/>
    <w:rsid w:val="006F4910"/>
    <w:rsid w:val="006F4A01"/>
    <w:rsid w:val="006F4BCC"/>
    <w:rsid w:val="006F4E04"/>
    <w:rsid w:val="006F4E2C"/>
    <w:rsid w:val="006F4F5D"/>
    <w:rsid w:val="006F5232"/>
    <w:rsid w:val="006F5372"/>
    <w:rsid w:val="006F540E"/>
    <w:rsid w:val="006F541D"/>
    <w:rsid w:val="006F54AB"/>
    <w:rsid w:val="006F550D"/>
    <w:rsid w:val="006F553C"/>
    <w:rsid w:val="006F5568"/>
    <w:rsid w:val="006F5604"/>
    <w:rsid w:val="006F5720"/>
    <w:rsid w:val="006F58B0"/>
    <w:rsid w:val="006F597A"/>
    <w:rsid w:val="006F5B1F"/>
    <w:rsid w:val="006F5B70"/>
    <w:rsid w:val="006F5CDF"/>
    <w:rsid w:val="006F5EBB"/>
    <w:rsid w:val="006F6095"/>
    <w:rsid w:val="006F6130"/>
    <w:rsid w:val="006F6179"/>
    <w:rsid w:val="006F61BD"/>
    <w:rsid w:val="006F61E0"/>
    <w:rsid w:val="006F61E6"/>
    <w:rsid w:val="006F63A5"/>
    <w:rsid w:val="006F6603"/>
    <w:rsid w:val="006F6633"/>
    <w:rsid w:val="006F6B13"/>
    <w:rsid w:val="006F6B9A"/>
    <w:rsid w:val="006F6D24"/>
    <w:rsid w:val="006F6D80"/>
    <w:rsid w:val="006F6EFD"/>
    <w:rsid w:val="006F6F36"/>
    <w:rsid w:val="006F7062"/>
    <w:rsid w:val="006F7094"/>
    <w:rsid w:val="006F713B"/>
    <w:rsid w:val="006F736F"/>
    <w:rsid w:val="006F75EF"/>
    <w:rsid w:val="006F771B"/>
    <w:rsid w:val="006F777C"/>
    <w:rsid w:val="006F7894"/>
    <w:rsid w:val="006F7993"/>
    <w:rsid w:val="006F7A01"/>
    <w:rsid w:val="006F7C68"/>
    <w:rsid w:val="006F7CB5"/>
    <w:rsid w:val="006F7F6D"/>
    <w:rsid w:val="006F7FC9"/>
    <w:rsid w:val="0070013B"/>
    <w:rsid w:val="00700222"/>
    <w:rsid w:val="007002B7"/>
    <w:rsid w:val="00700368"/>
    <w:rsid w:val="00700372"/>
    <w:rsid w:val="00700393"/>
    <w:rsid w:val="007005B7"/>
    <w:rsid w:val="007005C4"/>
    <w:rsid w:val="00700681"/>
    <w:rsid w:val="00700890"/>
    <w:rsid w:val="00700950"/>
    <w:rsid w:val="0070099C"/>
    <w:rsid w:val="00700B33"/>
    <w:rsid w:val="00700BB3"/>
    <w:rsid w:val="00700C1B"/>
    <w:rsid w:val="00700D66"/>
    <w:rsid w:val="00700E9D"/>
    <w:rsid w:val="007010AD"/>
    <w:rsid w:val="007010E2"/>
    <w:rsid w:val="00701226"/>
    <w:rsid w:val="007012E8"/>
    <w:rsid w:val="00701320"/>
    <w:rsid w:val="007013EC"/>
    <w:rsid w:val="00701409"/>
    <w:rsid w:val="0070142B"/>
    <w:rsid w:val="00701487"/>
    <w:rsid w:val="007016A2"/>
    <w:rsid w:val="0070173E"/>
    <w:rsid w:val="00701960"/>
    <w:rsid w:val="00701CD3"/>
    <w:rsid w:val="00701CE9"/>
    <w:rsid w:val="00701DD2"/>
    <w:rsid w:val="00701E91"/>
    <w:rsid w:val="00701ED9"/>
    <w:rsid w:val="0070200C"/>
    <w:rsid w:val="00702171"/>
    <w:rsid w:val="00702172"/>
    <w:rsid w:val="00702262"/>
    <w:rsid w:val="00702325"/>
    <w:rsid w:val="0070244F"/>
    <w:rsid w:val="00702558"/>
    <w:rsid w:val="007025BC"/>
    <w:rsid w:val="0070275C"/>
    <w:rsid w:val="0070276E"/>
    <w:rsid w:val="00702885"/>
    <w:rsid w:val="007029AC"/>
    <w:rsid w:val="00702A2A"/>
    <w:rsid w:val="00702A4A"/>
    <w:rsid w:val="00702B38"/>
    <w:rsid w:val="00702BEB"/>
    <w:rsid w:val="00702C51"/>
    <w:rsid w:val="00702CBD"/>
    <w:rsid w:val="00702D47"/>
    <w:rsid w:val="00702E23"/>
    <w:rsid w:val="00702E73"/>
    <w:rsid w:val="00702F8F"/>
    <w:rsid w:val="007031E3"/>
    <w:rsid w:val="007032AE"/>
    <w:rsid w:val="007032E9"/>
    <w:rsid w:val="007032EF"/>
    <w:rsid w:val="00703319"/>
    <w:rsid w:val="00703346"/>
    <w:rsid w:val="00703522"/>
    <w:rsid w:val="007037AC"/>
    <w:rsid w:val="0070388F"/>
    <w:rsid w:val="00703975"/>
    <w:rsid w:val="00703A63"/>
    <w:rsid w:val="00703AD1"/>
    <w:rsid w:val="00703B33"/>
    <w:rsid w:val="00703CB6"/>
    <w:rsid w:val="00703ECA"/>
    <w:rsid w:val="0070412A"/>
    <w:rsid w:val="0070429F"/>
    <w:rsid w:val="007043BB"/>
    <w:rsid w:val="007043BF"/>
    <w:rsid w:val="007045DD"/>
    <w:rsid w:val="007045EB"/>
    <w:rsid w:val="0070472B"/>
    <w:rsid w:val="007047B9"/>
    <w:rsid w:val="00704A30"/>
    <w:rsid w:val="00704AE5"/>
    <w:rsid w:val="00704B5C"/>
    <w:rsid w:val="00704D1B"/>
    <w:rsid w:val="00704D38"/>
    <w:rsid w:val="00704EC9"/>
    <w:rsid w:val="00705089"/>
    <w:rsid w:val="007050C8"/>
    <w:rsid w:val="007050DE"/>
    <w:rsid w:val="0070531B"/>
    <w:rsid w:val="0070539E"/>
    <w:rsid w:val="00705711"/>
    <w:rsid w:val="00705928"/>
    <w:rsid w:val="00705B8C"/>
    <w:rsid w:val="00705BBE"/>
    <w:rsid w:val="00705CB2"/>
    <w:rsid w:val="00705D01"/>
    <w:rsid w:val="00705D94"/>
    <w:rsid w:val="00705DF4"/>
    <w:rsid w:val="00705EF6"/>
    <w:rsid w:val="00705F19"/>
    <w:rsid w:val="00706036"/>
    <w:rsid w:val="00706188"/>
    <w:rsid w:val="00706355"/>
    <w:rsid w:val="007064A3"/>
    <w:rsid w:val="007064BA"/>
    <w:rsid w:val="0070655A"/>
    <w:rsid w:val="007065EA"/>
    <w:rsid w:val="007067E3"/>
    <w:rsid w:val="00706866"/>
    <w:rsid w:val="007068F4"/>
    <w:rsid w:val="0070690E"/>
    <w:rsid w:val="00706B70"/>
    <w:rsid w:val="00706BA2"/>
    <w:rsid w:val="00706C02"/>
    <w:rsid w:val="00706F81"/>
    <w:rsid w:val="00707165"/>
    <w:rsid w:val="0070738A"/>
    <w:rsid w:val="007075C1"/>
    <w:rsid w:val="0070775B"/>
    <w:rsid w:val="007079A7"/>
    <w:rsid w:val="007079FC"/>
    <w:rsid w:val="00707DF2"/>
    <w:rsid w:val="00710249"/>
    <w:rsid w:val="0071024C"/>
    <w:rsid w:val="007102D7"/>
    <w:rsid w:val="00710360"/>
    <w:rsid w:val="00710429"/>
    <w:rsid w:val="007104B9"/>
    <w:rsid w:val="0071063B"/>
    <w:rsid w:val="00710938"/>
    <w:rsid w:val="007109D6"/>
    <w:rsid w:val="00710A13"/>
    <w:rsid w:val="00710AC1"/>
    <w:rsid w:val="00710B7F"/>
    <w:rsid w:val="00710CFE"/>
    <w:rsid w:val="00710EEA"/>
    <w:rsid w:val="00711065"/>
    <w:rsid w:val="0071110D"/>
    <w:rsid w:val="0071126E"/>
    <w:rsid w:val="00711419"/>
    <w:rsid w:val="007114E5"/>
    <w:rsid w:val="00711641"/>
    <w:rsid w:val="0071164C"/>
    <w:rsid w:val="0071166C"/>
    <w:rsid w:val="007117C7"/>
    <w:rsid w:val="00711887"/>
    <w:rsid w:val="00711A36"/>
    <w:rsid w:val="00711A4F"/>
    <w:rsid w:val="00711B29"/>
    <w:rsid w:val="00711C02"/>
    <w:rsid w:val="00711C2C"/>
    <w:rsid w:val="00711F29"/>
    <w:rsid w:val="00712338"/>
    <w:rsid w:val="0071238D"/>
    <w:rsid w:val="007124F9"/>
    <w:rsid w:val="00712594"/>
    <w:rsid w:val="007125D3"/>
    <w:rsid w:val="00712A3D"/>
    <w:rsid w:val="00712D25"/>
    <w:rsid w:val="00712DB0"/>
    <w:rsid w:val="00712EC4"/>
    <w:rsid w:val="00712FF7"/>
    <w:rsid w:val="00713020"/>
    <w:rsid w:val="00713038"/>
    <w:rsid w:val="0071315F"/>
    <w:rsid w:val="00713369"/>
    <w:rsid w:val="007135FE"/>
    <w:rsid w:val="00713802"/>
    <w:rsid w:val="00713899"/>
    <w:rsid w:val="007138E3"/>
    <w:rsid w:val="00713AE3"/>
    <w:rsid w:val="00713B84"/>
    <w:rsid w:val="00713C86"/>
    <w:rsid w:val="00713DB5"/>
    <w:rsid w:val="00713E43"/>
    <w:rsid w:val="00713E8D"/>
    <w:rsid w:val="00714054"/>
    <w:rsid w:val="00714087"/>
    <w:rsid w:val="007140D5"/>
    <w:rsid w:val="007141A6"/>
    <w:rsid w:val="00714682"/>
    <w:rsid w:val="007146D2"/>
    <w:rsid w:val="0071476C"/>
    <w:rsid w:val="0071488C"/>
    <w:rsid w:val="007148D5"/>
    <w:rsid w:val="0071491C"/>
    <w:rsid w:val="007149FF"/>
    <w:rsid w:val="00714A85"/>
    <w:rsid w:val="00714C26"/>
    <w:rsid w:val="00714D85"/>
    <w:rsid w:val="00714E07"/>
    <w:rsid w:val="00714E28"/>
    <w:rsid w:val="00714F72"/>
    <w:rsid w:val="00715078"/>
    <w:rsid w:val="0071511F"/>
    <w:rsid w:val="00715160"/>
    <w:rsid w:val="007151A7"/>
    <w:rsid w:val="0071529C"/>
    <w:rsid w:val="007153F0"/>
    <w:rsid w:val="0071557B"/>
    <w:rsid w:val="00715648"/>
    <w:rsid w:val="007157B3"/>
    <w:rsid w:val="007159A8"/>
    <w:rsid w:val="00715BBA"/>
    <w:rsid w:val="00715CDE"/>
    <w:rsid w:val="00715DFA"/>
    <w:rsid w:val="00715EF6"/>
    <w:rsid w:val="00716056"/>
    <w:rsid w:val="00716147"/>
    <w:rsid w:val="007161F2"/>
    <w:rsid w:val="00716267"/>
    <w:rsid w:val="00716326"/>
    <w:rsid w:val="00716413"/>
    <w:rsid w:val="00716618"/>
    <w:rsid w:val="00716666"/>
    <w:rsid w:val="007168BF"/>
    <w:rsid w:val="007168C7"/>
    <w:rsid w:val="00716A25"/>
    <w:rsid w:val="00716AEF"/>
    <w:rsid w:val="00716B9B"/>
    <w:rsid w:val="00716C78"/>
    <w:rsid w:val="00716F04"/>
    <w:rsid w:val="00717051"/>
    <w:rsid w:val="007170DA"/>
    <w:rsid w:val="007172AD"/>
    <w:rsid w:val="00717390"/>
    <w:rsid w:val="00717530"/>
    <w:rsid w:val="00717546"/>
    <w:rsid w:val="0071758F"/>
    <w:rsid w:val="00717624"/>
    <w:rsid w:val="007176E6"/>
    <w:rsid w:val="00717AE9"/>
    <w:rsid w:val="00717AF5"/>
    <w:rsid w:val="00717E5B"/>
    <w:rsid w:val="00717F00"/>
    <w:rsid w:val="00720040"/>
    <w:rsid w:val="00720052"/>
    <w:rsid w:val="0072015D"/>
    <w:rsid w:val="007202CC"/>
    <w:rsid w:val="007204CD"/>
    <w:rsid w:val="0072052A"/>
    <w:rsid w:val="0072065F"/>
    <w:rsid w:val="00720676"/>
    <w:rsid w:val="007206F9"/>
    <w:rsid w:val="00720801"/>
    <w:rsid w:val="00720902"/>
    <w:rsid w:val="00720956"/>
    <w:rsid w:val="00720ABD"/>
    <w:rsid w:val="00720B8E"/>
    <w:rsid w:val="00720BE1"/>
    <w:rsid w:val="00720F3C"/>
    <w:rsid w:val="00720FC2"/>
    <w:rsid w:val="00720FE6"/>
    <w:rsid w:val="00721153"/>
    <w:rsid w:val="00721394"/>
    <w:rsid w:val="007214BE"/>
    <w:rsid w:val="0072152C"/>
    <w:rsid w:val="00721793"/>
    <w:rsid w:val="007217DE"/>
    <w:rsid w:val="00721D36"/>
    <w:rsid w:val="00721DBB"/>
    <w:rsid w:val="00721E9B"/>
    <w:rsid w:val="00722119"/>
    <w:rsid w:val="007221C6"/>
    <w:rsid w:val="007221F4"/>
    <w:rsid w:val="0072232F"/>
    <w:rsid w:val="00722409"/>
    <w:rsid w:val="007224EC"/>
    <w:rsid w:val="00722616"/>
    <w:rsid w:val="007226EF"/>
    <w:rsid w:val="00722716"/>
    <w:rsid w:val="0072282F"/>
    <w:rsid w:val="0072285A"/>
    <w:rsid w:val="0072295B"/>
    <w:rsid w:val="00722AE6"/>
    <w:rsid w:val="00722B1B"/>
    <w:rsid w:val="00722CAF"/>
    <w:rsid w:val="0072309D"/>
    <w:rsid w:val="007230DE"/>
    <w:rsid w:val="00723313"/>
    <w:rsid w:val="0072337B"/>
    <w:rsid w:val="007233F0"/>
    <w:rsid w:val="007234E3"/>
    <w:rsid w:val="00723519"/>
    <w:rsid w:val="00723554"/>
    <w:rsid w:val="0072358A"/>
    <w:rsid w:val="007235C4"/>
    <w:rsid w:val="00723613"/>
    <w:rsid w:val="00723642"/>
    <w:rsid w:val="00723670"/>
    <w:rsid w:val="00723708"/>
    <w:rsid w:val="00723716"/>
    <w:rsid w:val="00723812"/>
    <w:rsid w:val="007238A7"/>
    <w:rsid w:val="00723952"/>
    <w:rsid w:val="00723AE4"/>
    <w:rsid w:val="00723C1F"/>
    <w:rsid w:val="00723C87"/>
    <w:rsid w:val="00723C89"/>
    <w:rsid w:val="00723F7E"/>
    <w:rsid w:val="0072416F"/>
    <w:rsid w:val="007241F2"/>
    <w:rsid w:val="007243A3"/>
    <w:rsid w:val="007243F4"/>
    <w:rsid w:val="00724410"/>
    <w:rsid w:val="00724561"/>
    <w:rsid w:val="00724752"/>
    <w:rsid w:val="007247AA"/>
    <w:rsid w:val="007247C3"/>
    <w:rsid w:val="00724C45"/>
    <w:rsid w:val="00724CD4"/>
    <w:rsid w:val="00724E49"/>
    <w:rsid w:val="00724F7A"/>
    <w:rsid w:val="007250A6"/>
    <w:rsid w:val="0072510E"/>
    <w:rsid w:val="007251BD"/>
    <w:rsid w:val="0072539F"/>
    <w:rsid w:val="007253C3"/>
    <w:rsid w:val="007253E8"/>
    <w:rsid w:val="00725581"/>
    <w:rsid w:val="007255F4"/>
    <w:rsid w:val="007256CC"/>
    <w:rsid w:val="0072574E"/>
    <w:rsid w:val="007257C3"/>
    <w:rsid w:val="0072595D"/>
    <w:rsid w:val="00725A31"/>
    <w:rsid w:val="00725A72"/>
    <w:rsid w:val="00725AE6"/>
    <w:rsid w:val="00725C7F"/>
    <w:rsid w:val="00725CD3"/>
    <w:rsid w:val="00725CFA"/>
    <w:rsid w:val="00725EB4"/>
    <w:rsid w:val="00725EFB"/>
    <w:rsid w:val="00725F57"/>
    <w:rsid w:val="00725FA5"/>
    <w:rsid w:val="00725FC0"/>
    <w:rsid w:val="00726128"/>
    <w:rsid w:val="00726136"/>
    <w:rsid w:val="007262B5"/>
    <w:rsid w:val="00726324"/>
    <w:rsid w:val="00726487"/>
    <w:rsid w:val="007264CA"/>
    <w:rsid w:val="007264F2"/>
    <w:rsid w:val="00726713"/>
    <w:rsid w:val="007269B2"/>
    <w:rsid w:val="007269E1"/>
    <w:rsid w:val="00726BDE"/>
    <w:rsid w:val="00726DC0"/>
    <w:rsid w:val="0072700D"/>
    <w:rsid w:val="007270A9"/>
    <w:rsid w:val="007270AC"/>
    <w:rsid w:val="00727518"/>
    <w:rsid w:val="007275DE"/>
    <w:rsid w:val="0072769A"/>
    <w:rsid w:val="0072792E"/>
    <w:rsid w:val="00727A2E"/>
    <w:rsid w:val="00727A8A"/>
    <w:rsid w:val="00727BE1"/>
    <w:rsid w:val="00727C94"/>
    <w:rsid w:val="00727CD2"/>
    <w:rsid w:val="00727EB0"/>
    <w:rsid w:val="00727F7A"/>
    <w:rsid w:val="00727F92"/>
    <w:rsid w:val="00730231"/>
    <w:rsid w:val="0073046D"/>
    <w:rsid w:val="00730646"/>
    <w:rsid w:val="007306C8"/>
    <w:rsid w:val="007308F5"/>
    <w:rsid w:val="00730995"/>
    <w:rsid w:val="00730A2E"/>
    <w:rsid w:val="00730B86"/>
    <w:rsid w:val="00730BBA"/>
    <w:rsid w:val="00730BDC"/>
    <w:rsid w:val="00730C46"/>
    <w:rsid w:val="00730CE4"/>
    <w:rsid w:val="00730D22"/>
    <w:rsid w:val="00730D9D"/>
    <w:rsid w:val="00730E51"/>
    <w:rsid w:val="00731236"/>
    <w:rsid w:val="00731248"/>
    <w:rsid w:val="00731304"/>
    <w:rsid w:val="0073130E"/>
    <w:rsid w:val="007314C1"/>
    <w:rsid w:val="00731594"/>
    <w:rsid w:val="007317DD"/>
    <w:rsid w:val="0073186C"/>
    <w:rsid w:val="00731B0A"/>
    <w:rsid w:val="00731BF2"/>
    <w:rsid w:val="00731D2F"/>
    <w:rsid w:val="00731D61"/>
    <w:rsid w:val="00731EAE"/>
    <w:rsid w:val="007321F9"/>
    <w:rsid w:val="007324A0"/>
    <w:rsid w:val="0073252D"/>
    <w:rsid w:val="0073255B"/>
    <w:rsid w:val="0073259D"/>
    <w:rsid w:val="007325C6"/>
    <w:rsid w:val="007327F4"/>
    <w:rsid w:val="007329F0"/>
    <w:rsid w:val="00732D94"/>
    <w:rsid w:val="00732F57"/>
    <w:rsid w:val="00732F7D"/>
    <w:rsid w:val="00732FA5"/>
    <w:rsid w:val="00733073"/>
    <w:rsid w:val="00733221"/>
    <w:rsid w:val="007332B3"/>
    <w:rsid w:val="00733338"/>
    <w:rsid w:val="00733397"/>
    <w:rsid w:val="007333B1"/>
    <w:rsid w:val="0073342A"/>
    <w:rsid w:val="0073345B"/>
    <w:rsid w:val="0073359E"/>
    <w:rsid w:val="0073363A"/>
    <w:rsid w:val="007337BF"/>
    <w:rsid w:val="00733A34"/>
    <w:rsid w:val="00733AD7"/>
    <w:rsid w:val="00733B14"/>
    <w:rsid w:val="00733B3C"/>
    <w:rsid w:val="00733B8D"/>
    <w:rsid w:val="00733C2C"/>
    <w:rsid w:val="00733C3F"/>
    <w:rsid w:val="00733D38"/>
    <w:rsid w:val="00733D66"/>
    <w:rsid w:val="00733E92"/>
    <w:rsid w:val="00733F94"/>
    <w:rsid w:val="00734293"/>
    <w:rsid w:val="00734510"/>
    <w:rsid w:val="00734549"/>
    <w:rsid w:val="007345E5"/>
    <w:rsid w:val="007346E7"/>
    <w:rsid w:val="0073482A"/>
    <w:rsid w:val="0073482E"/>
    <w:rsid w:val="00734889"/>
    <w:rsid w:val="00734934"/>
    <w:rsid w:val="007349A6"/>
    <w:rsid w:val="007349B4"/>
    <w:rsid w:val="00734A8B"/>
    <w:rsid w:val="00734B25"/>
    <w:rsid w:val="00734B48"/>
    <w:rsid w:val="00734CC5"/>
    <w:rsid w:val="00734E4A"/>
    <w:rsid w:val="00735033"/>
    <w:rsid w:val="0073507F"/>
    <w:rsid w:val="007350CC"/>
    <w:rsid w:val="0073510B"/>
    <w:rsid w:val="00735130"/>
    <w:rsid w:val="007352ED"/>
    <w:rsid w:val="00735328"/>
    <w:rsid w:val="0073543B"/>
    <w:rsid w:val="007355C9"/>
    <w:rsid w:val="00735655"/>
    <w:rsid w:val="007356FB"/>
    <w:rsid w:val="00735764"/>
    <w:rsid w:val="00735A4A"/>
    <w:rsid w:val="00735AB6"/>
    <w:rsid w:val="00735CA6"/>
    <w:rsid w:val="00735DE6"/>
    <w:rsid w:val="00735E82"/>
    <w:rsid w:val="00735F2F"/>
    <w:rsid w:val="00735F32"/>
    <w:rsid w:val="00736145"/>
    <w:rsid w:val="00736648"/>
    <w:rsid w:val="0073685B"/>
    <w:rsid w:val="00736A97"/>
    <w:rsid w:val="00736BA1"/>
    <w:rsid w:val="00736ECA"/>
    <w:rsid w:val="007370F4"/>
    <w:rsid w:val="007372E2"/>
    <w:rsid w:val="0073730B"/>
    <w:rsid w:val="007373D3"/>
    <w:rsid w:val="0073743D"/>
    <w:rsid w:val="00737515"/>
    <w:rsid w:val="00737634"/>
    <w:rsid w:val="00737668"/>
    <w:rsid w:val="0073770B"/>
    <w:rsid w:val="007377ED"/>
    <w:rsid w:val="007377FE"/>
    <w:rsid w:val="0073789D"/>
    <w:rsid w:val="007378AC"/>
    <w:rsid w:val="007378CA"/>
    <w:rsid w:val="0073797C"/>
    <w:rsid w:val="00737AC3"/>
    <w:rsid w:val="00737B20"/>
    <w:rsid w:val="00737B30"/>
    <w:rsid w:val="00737C5C"/>
    <w:rsid w:val="00737D75"/>
    <w:rsid w:val="00737D78"/>
    <w:rsid w:val="00737EBA"/>
    <w:rsid w:val="00737EBC"/>
    <w:rsid w:val="00737F9C"/>
    <w:rsid w:val="00740058"/>
    <w:rsid w:val="00740133"/>
    <w:rsid w:val="007404D7"/>
    <w:rsid w:val="0074068D"/>
    <w:rsid w:val="0074082D"/>
    <w:rsid w:val="007408FB"/>
    <w:rsid w:val="00740905"/>
    <w:rsid w:val="00740978"/>
    <w:rsid w:val="00740980"/>
    <w:rsid w:val="00740991"/>
    <w:rsid w:val="00740C6E"/>
    <w:rsid w:val="00740CBA"/>
    <w:rsid w:val="00740D71"/>
    <w:rsid w:val="00740D9A"/>
    <w:rsid w:val="00740F18"/>
    <w:rsid w:val="00741003"/>
    <w:rsid w:val="007410DD"/>
    <w:rsid w:val="00741180"/>
    <w:rsid w:val="00741448"/>
    <w:rsid w:val="00741459"/>
    <w:rsid w:val="007414A8"/>
    <w:rsid w:val="0074157E"/>
    <w:rsid w:val="007419C9"/>
    <w:rsid w:val="00741B6F"/>
    <w:rsid w:val="00741C89"/>
    <w:rsid w:val="00741E36"/>
    <w:rsid w:val="00741E99"/>
    <w:rsid w:val="00741EC7"/>
    <w:rsid w:val="00741FB4"/>
    <w:rsid w:val="00742046"/>
    <w:rsid w:val="0074212E"/>
    <w:rsid w:val="007421A9"/>
    <w:rsid w:val="007421AB"/>
    <w:rsid w:val="007421AD"/>
    <w:rsid w:val="007421D4"/>
    <w:rsid w:val="007421E9"/>
    <w:rsid w:val="0074224A"/>
    <w:rsid w:val="007422C2"/>
    <w:rsid w:val="007422CE"/>
    <w:rsid w:val="0074234F"/>
    <w:rsid w:val="00742353"/>
    <w:rsid w:val="00742445"/>
    <w:rsid w:val="007425DE"/>
    <w:rsid w:val="0074260C"/>
    <w:rsid w:val="00742742"/>
    <w:rsid w:val="0074275E"/>
    <w:rsid w:val="00742AA9"/>
    <w:rsid w:val="00742DA0"/>
    <w:rsid w:val="00742ED4"/>
    <w:rsid w:val="00742EED"/>
    <w:rsid w:val="0074302A"/>
    <w:rsid w:val="00743190"/>
    <w:rsid w:val="0074322B"/>
    <w:rsid w:val="00743346"/>
    <w:rsid w:val="00743458"/>
    <w:rsid w:val="00743543"/>
    <w:rsid w:val="0074355E"/>
    <w:rsid w:val="007435A0"/>
    <w:rsid w:val="007435AD"/>
    <w:rsid w:val="00743857"/>
    <w:rsid w:val="00743B2C"/>
    <w:rsid w:val="00743C0B"/>
    <w:rsid w:val="00743E70"/>
    <w:rsid w:val="007441CE"/>
    <w:rsid w:val="0074424B"/>
    <w:rsid w:val="00744371"/>
    <w:rsid w:val="00744387"/>
    <w:rsid w:val="007443AD"/>
    <w:rsid w:val="00744604"/>
    <w:rsid w:val="00744673"/>
    <w:rsid w:val="0074475E"/>
    <w:rsid w:val="007447AE"/>
    <w:rsid w:val="007447DA"/>
    <w:rsid w:val="0074487B"/>
    <w:rsid w:val="007449BF"/>
    <w:rsid w:val="00744A32"/>
    <w:rsid w:val="00744A7B"/>
    <w:rsid w:val="00744AB1"/>
    <w:rsid w:val="00744AE0"/>
    <w:rsid w:val="00744C7B"/>
    <w:rsid w:val="00744E39"/>
    <w:rsid w:val="0074501A"/>
    <w:rsid w:val="00745025"/>
    <w:rsid w:val="0074544E"/>
    <w:rsid w:val="00745994"/>
    <w:rsid w:val="00745B05"/>
    <w:rsid w:val="00745F94"/>
    <w:rsid w:val="00746079"/>
    <w:rsid w:val="00746091"/>
    <w:rsid w:val="007460FA"/>
    <w:rsid w:val="00746110"/>
    <w:rsid w:val="0074615B"/>
    <w:rsid w:val="007462A2"/>
    <w:rsid w:val="007463FE"/>
    <w:rsid w:val="00746473"/>
    <w:rsid w:val="007466D3"/>
    <w:rsid w:val="00746706"/>
    <w:rsid w:val="00746843"/>
    <w:rsid w:val="00746A32"/>
    <w:rsid w:val="00746A99"/>
    <w:rsid w:val="00746BC0"/>
    <w:rsid w:val="00746D37"/>
    <w:rsid w:val="00746DA1"/>
    <w:rsid w:val="0074702E"/>
    <w:rsid w:val="0074705A"/>
    <w:rsid w:val="007470FA"/>
    <w:rsid w:val="0074733F"/>
    <w:rsid w:val="0074744E"/>
    <w:rsid w:val="00747473"/>
    <w:rsid w:val="007476B9"/>
    <w:rsid w:val="0074794E"/>
    <w:rsid w:val="00747B0B"/>
    <w:rsid w:val="00747C2A"/>
    <w:rsid w:val="00747D74"/>
    <w:rsid w:val="00747DDB"/>
    <w:rsid w:val="00747E84"/>
    <w:rsid w:val="00747E9B"/>
    <w:rsid w:val="0075003F"/>
    <w:rsid w:val="0075007D"/>
    <w:rsid w:val="007500D3"/>
    <w:rsid w:val="007500FA"/>
    <w:rsid w:val="00750164"/>
    <w:rsid w:val="007501AF"/>
    <w:rsid w:val="00750230"/>
    <w:rsid w:val="00750361"/>
    <w:rsid w:val="007503B9"/>
    <w:rsid w:val="007504B3"/>
    <w:rsid w:val="007506B5"/>
    <w:rsid w:val="007508AA"/>
    <w:rsid w:val="007509CE"/>
    <w:rsid w:val="00750ADC"/>
    <w:rsid w:val="00750AE6"/>
    <w:rsid w:val="00750B5C"/>
    <w:rsid w:val="00750CE3"/>
    <w:rsid w:val="00750D99"/>
    <w:rsid w:val="007510B4"/>
    <w:rsid w:val="00751173"/>
    <w:rsid w:val="007511D8"/>
    <w:rsid w:val="0075156B"/>
    <w:rsid w:val="00751955"/>
    <w:rsid w:val="00751B74"/>
    <w:rsid w:val="00751C5B"/>
    <w:rsid w:val="00751C9C"/>
    <w:rsid w:val="00751D47"/>
    <w:rsid w:val="00751EBB"/>
    <w:rsid w:val="00751F67"/>
    <w:rsid w:val="00751FA9"/>
    <w:rsid w:val="00752043"/>
    <w:rsid w:val="00752072"/>
    <w:rsid w:val="00752142"/>
    <w:rsid w:val="0075234F"/>
    <w:rsid w:val="007523F9"/>
    <w:rsid w:val="0075243C"/>
    <w:rsid w:val="00752646"/>
    <w:rsid w:val="0075281A"/>
    <w:rsid w:val="00752AB9"/>
    <w:rsid w:val="00752B9E"/>
    <w:rsid w:val="00752BD5"/>
    <w:rsid w:val="00752D4C"/>
    <w:rsid w:val="00752DD5"/>
    <w:rsid w:val="00752E5B"/>
    <w:rsid w:val="00752EA8"/>
    <w:rsid w:val="00752EDE"/>
    <w:rsid w:val="00752F50"/>
    <w:rsid w:val="00752F91"/>
    <w:rsid w:val="0075306A"/>
    <w:rsid w:val="00753296"/>
    <w:rsid w:val="0075329D"/>
    <w:rsid w:val="007532A7"/>
    <w:rsid w:val="0075333F"/>
    <w:rsid w:val="00753574"/>
    <w:rsid w:val="0075357E"/>
    <w:rsid w:val="007535B2"/>
    <w:rsid w:val="007535DA"/>
    <w:rsid w:val="00753753"/>
    <w:rsid w:val="00753822"/>
    <w:rsid w:val="00753AC2"/>
    <w:rsid w:val="00753B01"/>
    <w:rsid w:val="00753B29"/>
    <w:rsid w:val="00753DFA"/>
    <w:rsid w:val="00754095"/>
    <w:rsid w:val="00754096"/>
    <w:rsid w:val="00754239"/>
    <w:rsid w:val="00754746"/>
    <w:rsid w:val="0075480C"/>
    <w:rsid w:val="007548B0"/>
    <w:rsid w:val="00754BAB"/>
    <w:rsid w:val="00754EC5"/>
    <w:rsid w:val="00754FFE"/>
    <w:rsid w:val="007550F3"/>
    <w:rsid w:val="0075510C"/>
    <w:rsid w:val="00755141"/>
    <w:rsid w:val="007551ED"/>
    <w:rsid w:val="00755263"/>
    <w:rsid w:val="00755494"/>
    <w:rsid w:val="0075555A"/>
    <w:rsid w:val="00755640"/>
    <w:rsid w:val="007556AF"/>
    <w:rsid w:val="007556FE"/>
    <w:rsid w:val="007557B8"/>
    <w:rsid w:val="0075582A"/>
    <w:rsid w:val="007558D3"/>
    <w:rsid w:val="00755962"/>
    <w:rsid w:val="00755990"/>
    <w:rsid w:val="00755F77"/>
    <w:rsid w:val="0075604F"/>
    <w:rsid w:val="007560CA"/>
    <w:rsid w:val="00756391"/>
    <w:rsid w:val="00756632"/>
    <w:rsid w:val="00756649"/>
    <w:rsid w:val="007566E6"/>
    <w:rsid w:val="0075678D"/>
    <w:rsid w:val="0075684D"/>
    <w:rsid w:val="00756A46"/>
    <w:rsid w:val="00756B91"/>
    <w:rsid w:val="00756D96"/>
    <w:rsid w:val="00757037"/>
    <w:rsid w:val="00757149"/>
    <w:rsid w:val="0075716F"/>
    <w:rsid w:val="00757389"/>
    <w:rsid w:val="007573E8"/>
    <w:rsid w:val="0075765E"/>
    <w:rsid w:val="0075768E"/>
    <w:rsid w:val="007577DB"/>
    <w:rsid w:val="00757A68"/>
    <w:rsid w:val="00757B05"/>
    <w:rsid w:val="00757E6E"/>
    <w:rsid w:val="00757E90"/>
    <w:rsid w:val="0076005F"/>
    <w:rsid w:val="0076020D"/>
    <w:rsid w:val="00760283"/>
    <w:rsid w:val="007606BD"/>
    <w:rsid w:val="007607AC"/>
    <w:rsid w:val="00760838"/>
    <w:rsid w:val="00760897"/>
    <w:rsid w:val="00760BC6"/>
    <w:rsid w:val="00760C4E"/>
    <w:rsid w:val="00760D25"/>
    <w:rsid w:val="00760F9E"/>
    <w:rsid w:val="0076105C"/>
    <w:rsid w:val="00761435"/>
    <w:rsid w:val="0076145A"/>
    <w:rsid w:val="0076169A"/>
    <w:rsid w:val="007616E6"/>
    <w:rsid w:val="00761723"/>
    <w:rsid w:val="00761923"/>
    <w:rsid w:val="00761973"/>
    <w:rsid w:val="00761A6A"/>
    <w:rsid w:val="00761A6C"/>
    <w:rsid w:val="00761C01"/>
    <w:rsid w:val="0076210D"/>
    <w:rsid w:val="00762286"/>
    <w:rsid w:val="007622E9"/>
    <w:rsid w:val="007623B5"/>
    <w:rsid w:val="0076257E"/>
    <w:rsid w:val="0076265F"/>
    <w:rsid w:val="007627BC"/>
    <w:rsid w:val="007627BE"/>
    <w:rsid w:val="007629E5"/>
    <w:rsid w:val="00762CB3"/>
    <w:rsid w:val="00762E77"/>
    <w:rsid w:val="00762EAF"/>
    <w:rsid w:val="00762FEF"/>
    <w:rsid w:val="0076311E"/>
    <w:rsid w:val="0076324C"/>
    <w:rsid w:val="0076336E"/>
    <w:rsid w:val="00763632"/>
    <w:rsid w:val="00763755"/>
    <w:rsid w:val="0076396D"/>
    <w:rsid w:val="007639A0"/>
    <w:rsid w:val="00763AA3"/>
    <w:rsid w:val="00763B01"/>
    <w:rsid w:val="00763B5A"/>
    <w:rsid w:val="00763C51"/>
    <w:rsid w:val="00763CB3"/>
    <w:rsid w:val="00763CE6"/>
    <w:rsid w:val="00763F25"/>
    <w:rsid w:val="00764031"/>
    <w:rsid w:val="0076404C"/>
    <w:rsid w:val="00764156"/>
    <w:rsid w:val="007641C5"/>
    <w:rsid w:val="007643DB"/>
    <w:rsid w:val="007643E3"/>
    <w:rsid w:val="0076451A"/>
    <w:rsid w:val="00764665"/>
    <w:rsid w:val="007647C8"/>
    <w:rsid w:val="007648FB"/>
    <w:rsid w:val="007649BB"/>
    <w:rsid w:val="00764D18"/>
    <w:rsid w:val="00764D6C"/>
    <w:rsid w:val="00764F03"/>
    <w:rsid w:val="0076500D"/>
    <w:rsid w:val="007652B7"/>
    <w:rsid w:val="007659B2"/>
    <w:rsid w:val="007659D7"/>
    <w:rsid w:val="00765A11"/>
    <w:rsid w:val="00765AE2"/>
    <w:rsid w:val="00765B1A"/>
    <w:rsid w:val="00765B3F"/>
    <w:rsid w:val="00765CBB"/>
    <w:rsid w:val="00765CE1"/>
    <w:rsid w:val="00765D91"/>
    <w:rsid w:val="00765DC1"/>
    <w:rsid w:val="00765F37"/>
    <w:rsid w:val="007661C9"/>
    <w:rsid w:val="007661DF"/>
    <w:rsid w:val="00766217"/>
    <w:rsid w:val="007665A6"/>
    <w:rsid w:val="00766690"/>
    <w:rsid w:val="007666BA"/>
    <w:rsid w:val="007666FF"/>
    <w:rsid w:val="007667EB"/>
    <w:rsid w:val="007669A5"/>
    <w:rsid w:val="007669DF"/>
    <w:rsid w:val="00766A2E"/>
    <w:rsid w:val="00766B8E"/>
    <w:rsid w:val="00766BB6"/>
    <w:rsid w:val="00766C61"/>
    <w:rsid w:val="00766D13"/>
    <w:rsid w:val="007672FE"/>
    <w:rsid w:val="00767333"/>
    <w:rsid w:val="007674C9"/>
    <w:rsid w:val="00767817"/>
    <w:rsid w:val="00767878"/>
    <w:rsid w:val="00767899"/>
    <w:rsid w:val="00767991"/>
    <w:rsid w:val="00767AD6"/>
    <w:rsid w:val="00767D00"/>
    <w:rsid w:val="00767D5B"/>
    <w:rsid w:val="00767E1E"/>
    <w:rsid w:val="00767E41"/>
    <w:rsid w:val="00767E5F"/>
    <w:rsid w:val="00767EB7"/>
    <w:rsid w:val="007700F3"/>
    <w:rsid w:val="007701B7"/>
    <w:rsid w:val="00770268"/>
    <w:rsid w:val="007705B8"/>
    <w:rsid w:val="007708E5"/>
    <w:rsid w:val="00770910"/>
    <w:rsid w:val="00770A1F"/>
    <w:rsid w:val="00770A43"/>
    <w:rsid w:val="00770AE3"/>
    <w:rsid w:val="00770BD5"/>
    <w:rsid w:val="00770CA0"/>
    <w:rsid w:val="00770D44"/>
    <w:rsid w:val="00770F54"/>
    <w:rsid w:val="00771368"/>
    <w:rsid w:val="0077138E"/>
    <w:rsid w:val="007713C4"/>
    <w:rsid w:val="007715B0"/>
    <w:rsid w:val="007715C7"/>
    <w:rsid w:val="00771698"/>
    <w:rsid w:val="0077171E"/>
    <w:rsid w:val="007717D6"/>
    <w:rsid w:val="007717E8"/>
    <w:rsid w:val="00771891"/>
    <w:rsid w:val="0077196D"/>
    <w:rsid w:val="00771AF7"/>
    <w:rsid w:val="00771B7A"/>
    <w:rsid w:val="00771C87"/>
    <w:rsid w:val="00771DFF"/>
    <w:rsid w:val="0077202B"/>
    <w:rsid w:val="00772115"/>
    <w:rsid w:val="0077217C"/>
    <w:rsid w:val="0077227A"/>
    <w:rsid w:val="00772448"/>
    <w:rsid w:val="007724DD"/>
    <w:rsid w:val="007726F7"/>
    <w:rsid w:val="007727FB"/>
    <w:rsid w:val="00772822"/>
    <w:rsid w:val="00772841"/>
    <w:rsid w:val="0077298B"/>
    <w:rsid w:val="00772AA8"/>
    <w:rsid w:val="00772C25"/>
    <w:rsid w:val="00772D27"/>
    <w:rsid w:val="00772E99"/>
    <w:rsid w:val="00772F7F"/>
    <w:rsid w:val="00772FA1"/>
    <w:rsid w:val="00773009"/>
    <w:rsid w:val="0077305C"/>
    <w:rsid w:val="007731FD"/>
    <w:rsid w:val="00773204"/>
    <w:rsid w:val="0077321B"/>
    <w:rsid w:val="007732B4"/>
    <w:rsid w:val="00773367"/>
    <w:rsid w:val="00773517"/>
    <w:rsid w:val="007735EE"/>
    <w:rsid w:val="00773655"/>
    <w:rsid w:val="00773962"/>
    <w:rsid w:val="00773A65"/>
    <w:rsid w:val="00773E2E"/>
    <w:rsid w:val="00773F4B"/>
    <w:rsid w:val="00773FC3"/>
    <w:rsid w:val="0077405F"/>
    <w:rsid w:val="00774070"/>
    <w:rsid w:val="0077416A"/>
    <w:rsid w:val="007744A8"/>
    <w:rsid w:val="007744EC"/>
    <w:rsid w:val="007745C0"/>
    <w:rsid w:val="0077472D"/>
    <w:rsid w:val="00774780"/>
    <w:rsid w:val="0077484B"/>
    <w:rsid w:val="0077496C"/>
    <w:rsid w:val="00774ABB"/>
    <w:rsid w:val="00774C12"/>
    <w:rsid w:val="00774CBD"/>
    <w:rsid w:val="00774E21"/>
    <w:rsid w:val="00774E91"/>
    <w:rsid w:val="00774ED5"/>
    <w:rsid w:val="00774F7F"/>
    <w:rsid w:val="00774F9A"/>
    <w:rsid w:val="00774FED"/>
    <w:rsid w:val="00775000"/>
    <w:rsid w:val="007750C5"/>
    <w:rsid w:val="00775309"/>
    <w:rsid w:val="00775353"/>
    <w:rsid w:val="007753F4"/>
    <w:rsid w:val="00775529"/>
    <w:rsid w:val="00775770"/>
    <w:rsid w:val="0077583A"/>
    <w:rsid w:val="007758EC"/>
    <w:rsid w:val="0077592F"/>
    <w:rsid w:val="00775985"/>
    <w:rsid w:val="00775AEF"/>
    <w:rsid w:val="00775BBA"/>
    <w:rsid w:val="00775CE9"/>
    <w:rsid w:val="00775DAE"/>
    <w:rsid w:val="00775F4F"/>
    <w:rsid w:val="00776164"/>
    <w:rsid w:val="007761CE"/>
    <w:rsid w:val="007761F1"/>
    <w:rsid w:val="007762CE"/>
    <w:rsid w:val="007762F8"/>
    <w:rsid w:val="007763CF"/>
    <w:rsid w:val="00776526"/>
    <w:rsid w:val="007767E7"/>
    <w:rsid w:val="0077686B"/>
    <w:rsid w:val="007768BE"/>
    <w:rsid w:val="007769EE"/>
    <w:rsid w:val="00776A29"/>
    <w:rsid w:val="00776A53"/>
    <w:rsid w:val="00776A8F"/>
    <w:rsid w:val="00776C34"/>
    <w:rsid w:val="00776C3B"/>
    <w:rsid w:val="00776DB9"/>
    <w:rsid w:val="00776F13"/>
    <w:rsid w:val="00776F9F"/>
    <w:rsid w:val="00777335"/>
    <w:rsid w:val="00777522"/>
    <w:rsid w:val="00777610"/>
    <w:rsid w:val="007778EC"/>
    <w:rsid w:val="00777A00"/>
    <w:rsid w:val="00777B2D"/>
    <w:rsid w:val="00777BD5"/>
    <w:rsid w:val="0078010D"/>
    <w:rsid w:val="0078016C"/>
    <w:rsid w:val="007801F9"/>
    <w:rsid w:val="007803BE"/>
    <w:rsid w:val="007806A2"/>
    <w:rsid w:val="0078085B"/>
    <w:rsid w:val="0078092A"/>
    <w:rsid w:val="00780A42"/>
    <w:rsid w:val="00780A5C"/>
    <w:rsid w:val="00780A9B"/>
    <w:rsid w:val="00780BE2"/>
    <w:rsid w:val="00780BEF"/>
    <w:rsid w:val="00780FBB"/>
    <w:rsid w:val="00781057"/>
    <w:rsid w:val="007810E9"/>
    <w:rsid w:val="007811FB"/>
    <w:rsid w:val="007816AD"/>
    <w:rsid w:val="007816DF"/>
    <w:rsid w:val="00781AF8"/>
    <w:rsid w:val="00781CA8"/>
    <w:rsid w:val="00781FA2"/>
    <w:rsid w:val="00782059"/>
    <w:rsid w:val="007820E9"/>
    <w:rsid w:val="007821CC"/>
    <w:rsid w:val="007821EB"/>
    <w:rsid w:val="00782244"/>
    <w:rsid w:val="00782258"/>
    <w:rsid w:val="00782272"/>
    <w:rsid w:val="007822C3"/>
    <w:rsid w:val="0078239B"/>
    <w:rsid w:val="0078243D"/>
    <w:rsid w:val="0078245A"/>
    <w:rsid w:val="0078276A"/>
    <w:rsid w:val="00782793"/>
    <w:rsid w:val="00782981"/>
    <w:rsid w:val="007829C8"/>
    <w:rsid w:val="00782B5D"/>
    <w:rsid w:val="00782BFE"/>
    <w:rsid w:val="00782DA0"/>
    <w:rsid w:val="00782E7C"/>
    <w:rsid w:val="00782F2B"/>
    <w:rsid w:val="00783027"/>
    <w:rsid w:val="007830DC"/>
    <w:rsid w:val="0078325F"/>
    <w:rsid w:val="00783732"/>
    <w:rsid w:val="0078380B"/>
    <w:rsid w:val="00783CC9"/>
    <w:rsid w:val="00783D5E"/>
    <w:rsid w:val="00783E7D"/>
    <w:rsid w:val="00783EBC"/>
    <w:rsid w:val="00783EC8"/>
    <w:rsid w:val="00783FC2"/>
    <w:rsid w:val="0078417F"/>
    <w:rsid w:val="00784227"/>
    <w:rsid w:val="0078428B"/>
    <w:rsid w:val="0078428D"/>
    <w:rsid w:val="00784312"/>
    <w:rsid w:val="007843F2"/>
    <w:rsid w:val="00784409"/>
    <w:rsid w:val="00784454"/>
    <w:rsid w:val="007845E4"/>
    <w:rsid w:val="0078462A"/>
    <w:rsid w:val="0078468D"/>
    <w:rsid w:val="007846B0"/>
    <w:rsid w:val="007846FA"/>
    <w:rsid w:val="00784844"/>
    <w:rsid w:val="00784851"/>
    <w:rsid w:val="0078494F"/>
    <w:rsid w:val="0078497D"/>
    <w:rsid w:val="00784A4B"/>
    <w:rsid w:val="00784AD9"/>
    <w:rsid w:val="00784ADA"/>
    <w:rsid w:val="00784B00"/>
    <w:rsid w:val="00784C55"/>
    <w:rsid w:val="00784D16"/>
    <w:rsid w:val="00785006"/>
    <w:rsid w:val="00785149"/>
    <w:rsid w:val="007851C6"/>
    <w:rsid w:val="0078537B"/>
    <w:rsid w:val="0078557E"/>
    <w:rsid w:val="00785648"/>
    <w:rsid w:val="0078578A"/>
    <w:rsid w:val="00785793"/>
    <w:rsid w:val="0078585B"/>
    <w:rsid w:val="00785929"/>
    <w:rsid w:val="00785A9F"/>
    <w:rsid w:val="00785B41"/>
    <w:rsid w:val="00785B6D"/>
    <w:rsid w:val="00785BB6"/>
    <w:rsid w:val="00785E2C"/>
    <w:rsid w:val="00785E94"/>
    <w:rsid w:val="00786065"/>
    <w:rsid w:val="00786156"/>
    <w:rsid w:val="007862FA"/>
    <w:rsid w:val="0078630E"/>
    <w:rsid w:val="00786713"/>
    <w:rsid w:val="00786733"/>
    <w:rsid w:val="0078677B"/>
    <w:rsid w:val="0078683C"/>
    <w:rsid w:val="00786926"/>
    <w:rsid w:val="00786F2F"/>
    <w:rsid w:val="00786F59"/>
    <w:rsid w:val="00786F68"/>
    <w:rsid w:val="00786FD1"/>
    <w:rsid w:val="00787070"/>
    <w:rsid w:val="007870D3"/>
    <w:rsid w:val="0078710C"/>
    <w:rsid w:val="00787117"/>
    <w:rsid w:val="00787153"/>
    <w:rsid w:val="0078739D"/>
    <w:rsid w:val="007873C2"/>
    <w:rsid w:val="00787880"/>
    <w:rsid w:val="00787C07"/>
    <w:rsid w:val="00787CC9"/>
    <w:rsid w:val="00787D0B"/>
    <w:rsid w:val="00787D1A"/>
    <w:rsid w:val="00790033"/>
    <w:rsid w:val="007903D6"/>
    <w:rsid w:val="007906D7"/>
    <w:rsid w:val="00790732"/>
    <w:rsid w:val="0079079D"/>
    <w:rsid w:val="007907DC"/>
    <w:rsid w:val="007908B7"/>
    <w:rsid w:val="007909D1"/>
    <w:rsid w:val="00790BB9"/>
    <w:rsid w:val="00790E34"/>
    <w:rsid w:val="00790E87"/>
    <w:rsid w:val="00790EA1"/>
    <w:rsid w:val="00790F0A"/>
    <w:rsid w:val="0079101B"/>
    <w:rsid w:val="00791126"/>
    <w:rsid w:val="00791202"/>
    <w:rsid w:val="00791253"/>
    <w:rsid w:val="00791352"/>
    <w:rsid w:val="00791364"/>
    <w:rsid w:val="007914F3"/>
    <w:rsid w:val="00791593"/>
    <w:rsid w:val="0079161C"/>
    <w:rsid w:val="0079171A"/>
    <w:rsid w:val="00791845"/>
    <w:rsid w:val="0079197A"/>
    <w:rsid w:val="00791B0D"/>
    <w:rsid w:val="00791BEF"/>
    <w:rsid w:val="00791C1C"/>
    <w:rsid w:val="0079216D"/>
    <w:rsid w:val="007921F1"/>
    <w:rsid w:val="007925DF"/>
    <w:rsid w:val="0079265C"/>
    <w:rsid w:val="00792666"/>
    <w:rsid w:val="00792717"/>
    <w:rsid w:val="007929A1"/>
    <w:rsid w:val="00792A00"/>
    <w:rsid w:val="00792A57"/>
    <w:rsid w:val="00792C00"/>
    <w:rsid w:val="00792D2A"/>
    <w:rsid w:val="00792DD7"/>
    <w:rsid w:val="00793118"/>
    <w:rsid w:val="00793226"/>
    <w:rsid w:val="00793408"/>
    <w:rsid w:val="007934F5"/>
    <w:rsid w:val="00793A00"/>
    <w:rsid w:val="00793AAB"/>
    <w:rsid w:val="00793B4E"/>
    <w:rsid w:val="00793B6D"/>
    <w:rsid w:val="00793C08"/>
    <w:rsid w:val="00793CD8"/>
    <w:rsid w:val="00793E65"/>
    <w:rsid w:val="00793F48"/>
    <w:rsid w:val="00793FB2"/>
    <w:rsid w:val="00793FCB"/>
    <w:rsid w:val="007941E6"/>
    <w:rsid w:val="00794413"/>
    <w:rsid w:val="0079460D"/>
    <w:rsid w:val="00794669"/>
    <w:rsid w:val="0079468B"/>
    <w:rsid w:val="007947C5"/>
    <w:rsid w:val="00794BB8"/>
    <w:rsid w:val="00794BDF"/>
    <w:rsid w:val="00794C52"/>
    <w:rsid w:val="00795077"/>
    <w:rsid w:val="00795360"/>
    <w:rsid w:val="00795519"/>
    <w:rsid w:val="007956C0"/>
    <w:rsid w:val="00795834"/>
    <w:rsid w:val="00795B28"/>
    <w:rsid w:val="00795BC9"/>
    <w:rsid w:val="00795BEA"/>
    <w:rsid w:val="00795C77"/>
    <w:rsid w:val="00795C9E"/>
    <w:rsid w:val="00795FA2"/>
    <w:rsid w:val="00795FE7"/>
    <w:rsid w:val="007960C1"/>
    <w:rsid w:val="00796191"/>
    <w:rsid w:val="0079629D"/>
    <w:rsid w:val="0079630B"/>
    <w:rsid w:val="0079646E"/>
    <w:rsid w:val="00796492"/>
    <w:rsid w:val="0079667E"/>
    <w:rsid w:val="0079685E"/>
    <w:rsid w:val="00796930"/>
    <w:rsid w:val="00796AA5"/>
    <w:rsid w:val="00796B14"/>
    <w:rsid w:val="00796B87"/>
    <w:rsid w:val="00796DB8"/>
    <w:rsid w:val="00796EAF"/>
    <w:rsid w:val="00796FAB"/>
    <w:rsid w:val="007970A9"/>
    <w:rsid w:val="007970C0"/>
    <w:rsid w:val="0079713E"/>
    <w:rsid w:val="007972BB"/>
    <w:rsid w:val="00797347"/>
    <w:rsid w:val="00797428"/>
    <w:rsid w:val="007975B5"/>
    <w:rsid w:val="0079784C"/>
    <w:rsid w:val="007978AE"/>
    <w:rsid w:val="00797A29"/>
    <w:rsid w:val="00797A3B"/>
    <w:rsid w:val="00797E77"/>
    <w:rsid w:val="007A01C9"/>
    <w:rsid w:val="007A04C2"/>
    <w:rsid w:val="007A064F"/>
    <w:rsid w:val="007A0770"/>
    <w:rsid w:val="007A08AA"/>
    <w:rsid w:val="007A0A12"/>
    <w:rsid w:val="007A0B56"/>
    <w:rsid w:val="007A0B5E"/>
    <w:rsid w:val="007A0C48"/>
    <w:rsid w:val="007A0CCC"/>
    <w:rsid w:val="007A0DE7"/>
    <w:rsid w:val="007A0F26"/>
    <w:rsid w:val="007A0F99"/>
    <w:rsid w:val="007A0FE7"/>
    <w:rsid w:val="007A132D"/>
    <w:rsid w:val="007A1345"/>
    <w:rsid w:val="007A16CB"/>
    <w:rsid w:val="007A1D6B"/>
    <w:rsid w:val="007A1DD9"/>
    <w:rsid w:val="007A1DF4"/>
    <w:rsid w:val="007A1FC9"/>
    <w:rsid w:val="007A20D8"/>
    <w:rsid w:val="007A2103"/>
    <w:rsid w:val="007A21A8"/>
    <w:rsid w:val="007A22F0"/>
    <w:rsid w:val="007A23E1"/>
    <w:rsid w:val="007A25E7"/>
    <w:rsid w:val="007A2835"/>
    <w:rsid w:val="007A2DB8"/>
    <w:rsid w:val="007A2DDB"/>
    <w:rsid w:val="007A2E3B"/>
    <w:rsid w:val="007A344B"/>
    <w:rsid w:val="007A38B1"/>
    <w:rsid w:val="007A3999"/>
    <w:rsid w:val="007A3A3D"/>
    <w:rsid w:val="007A3A83"/>
    <w:rsid w:val="007A3C61"/>
    <w:rsid w:val="007A3E00"/>
    <w:rsid w:val="007A3E02"/>
    <w:rsid w:val="007A3E4D"/>
    <w:rsid w:val="007A3E9D"/>
    <w:rsid w:val="007A4017"/>
    <w:rsid w:val="007A401D"/>
    <w:rsid w:val="007A408C"/>
    <w:rsid w:val="007A416D"/>
    <w:rsid w:val="007A437B"/>
    <w:rsid w:val="007A48BF"/>
    <w:rsid w:val="007A49C6"/>
    <w:rsid w:val="007A4A2A"/>
    <w:rsid w:val="007A4A70"/>
    <w:rsid w:val="007A4AD7"/>
    <w:rsid w:val="007A4C33"/>
    <w:rsid w:val="007A4DF6"/>
    <w:rsid w:val="007A51D9"/>
    <w:rsid w:val="007A5218"/>
    <w:rsid w:val="007A54C5"/>
    <w:rsid w:val="007A5546"/>
    <w:rsid w:val="007A55E4"/>
    <w:rsid w:val="007A5813"/>
    <w:rsid w:val="007A59CD"/>
    <w:rsid w:val="007A5AC6"/>
    <w:rsid w:val="007A5B66"/>
    <w:rsid w:val="007A5D67"/>
    <w:rsid w:val="007A5DF9"/>
    <w:rsid w:val="007A5F45"/>
    <w:rsid w:val="007A5F60"/>
    <w:rsid w:val="007A5FC2"/>
    <w:rsid w:val="007A6190"/>
    <w:rsid w:val="007A61E6"/>
    <w:rsid w:val="007A623C"/>
    <w:rsid w:val="007A62EA"/>
    <w:rsid w:val="007A63E6"/>
    <w:rsid w:val="007A664B"/>
    <w:rsid w:val="007A6769"/>
    <w:rsid w:val="007A68A1"/>
    <w:rsid w:val="007A69E1"/>
    <w:rsid w:val="007A6AFD"/>
    <w:rsid w:val="007A6CB8"/>
    <w:rsid w:val="007A6CC1"/>
    <w:rsid w:val="007A6DD0"/>
    <w:rsid w:val="007A6FFC"/>
    <w:rsid w:val="007A7081"/>
    <w:rsid w:val="007A709D"/>
    <w:rsid w:val="007A70BA"/>
    <w:rsid w:val="007A7227"/>
    <w:rsid w:val="007A7426"/>
    <w:rsid w:val="007A7463"/>
    <w:rsid w:val="007A74A1"/>
    <w:rsid w:val="007A74A3"/>
    <w:rsid w:val="007A74CB"/>
    <w:rsid w:val="007A75B4"/>
    <w:rsid w:val="007A7746"/>
    <w:rsid w:val="007A780D"/>
    <w:rsid w:val="007A78AC"/>
    <w:rsid w:val="007A79C6"/>
    <w:rsid w:val="007A7AEF"/>
    <w:rsid w:val="007A7B04"/>
    <w:rsid w:val="007A7B13"/>
    <w:rsid w:val="007A7CBA"/>
    <w:rsid w:val="007A7EC1"/>
    <w:rsid w:val="007A7F47"/>
    <w:rsid w:val="007B008A"/>
    <w:rsid w:val="007B0106"/>
    <w:rsid w:val="007B014B"/>
    <w:rsid w:val="007B0429"/>
    <w:rsid w:val="007B0606"/>
    <w:rsid w:val="007B0815"/>
    <w:rsid w:val="007B08FC"/>
    <w:rsid w:val="007B09A0"/>
    <w:rsid w:val="007B09BF"/>
    <w:rsid w:val="007B0AB1"/>
    <w:rsid w:val="007B0BE0"/>
    <w:rsid w:val="007B0BE4"/>
    <w:rsid w:val="007B0D68"/>
    <w:rsid w:val="007B0DDC"/>
    <w:rsid w:val="007B0E26"/>
    <w:rsid w:val="007B0E84"/>
    <w:rsid w:val="007B0E85"/>
    <w:rsid w:val="007B0F33"/>
    <w:rsid w:val="007B1364"/>
    <w:rsid w:val="007B1371"/>
    <w:rsid w:val="007B1437"/>
    <w:rsid w:val="007B1663"/>
    <w:rsid w:val="007B183D"/>
    <w:rsid w:val="007B1883"/>
    <w:rsid w:val="007B18AD"/>
    <w:rsid w:val="007B1B69"/>
    <w:rsid w:val="007B1E05"/>
    <w:rsid w:val="007B1EFA"/>
    <w:rsid w:val="007B1F19"/>
    <w:rsid w:val="007B1FEE"/>
    <w:rsid w:val="007B209A"/>
    <w:rsid w:val="007B23FB"/>
    <w:rsid w:val="007B2405"/>
    <w:rsid w:val="007B251D"/>
    <w:rsid w:val="007B2634"/>
    <w:rsid w:val="007B2654"/>
    <w:rsid w:val="007B2773"/>
    <w:rsid w:val="007B280C"/>
    <w:rsid w:val="007B2883"/>
    <w:rsid w:val="007B28FB"/>
    <w:rsid w:val="007B2A75"/>
    <w:rsid w:val="007B2A7F"/>
    <w:rsid w:val="007B2B1F"/>
    <w:rsid w:val="007B2CF5"/>
    <w:rsid w:val="007B2D5D"/>
    <w:rsid w:val="007B2EE1"/>
    <w:rsid w:val="007B31B8"/>
    <w:rsid w:val="007B31DB"/>
    <w:rsid w:val="007B31E2"/>
    <w:rsid w:val="007B31E5"/>
    <w:rsid w:val="007B3324"/>
    <w:rsid w:val="007B33F3"/>
    <w:rsid w:val="007B34A5"/>
    <w:rsid w:val="007B3533"/>
    <w:rsid w:val="007B37E9"/>
    <w:rsid w:val="007B3950"/>
    <w:rsid w:val="007B3992"/>
    <w:rsid w:val="007B3C43"/>
    <w:rsid w:val="007B3CB6"/>
    <w:rsid w:val="007B3D68"/>
    <w:rsid w:val="007B3F73"/>
    <w:rsid w:val="007B41A1"/>
    <w:rsid w:val="007B4342"/>
    <w:rsid w:val="007B436A"/>
    <w:rsid w:val="007B438E"/>
    <w:rsid w:val="007B454F"/>
    <w:rsid w:val="007B45E7"/>
    <w:rsid w:val="007B461F"/>
    <w:rsid w:val="007B4675"/>
    <w:rsid w:val="007B467F"/>
    <w:rsid w:val="007B469F"/>
    <w:rsid w:val="007B46AF"/>
    <w:rsid w:val="007B499B"/>
    <w:rsid w:val="007B49A9"/>
    <w:rsid w:val="007B4C05"/>
    <w:rsid w:val="007B4E4D"/>
    <w:rsid w:val="007B4F3F"/>
    <w:rsid w:val="007B4F58"/>
    <w:rsid w:val="007B5187"/>
    <w:rsid w:val="007B528D"/>
    <w:rsid w:val="007B5458"/>
    <w:rsid w:val="007B5461"/>
    <w:rsid w:val="007B5493"/>
    <w:rsid w:val="007B54AF"/>
    <w:rsid w:val="007B55AC"/>
    <w:rsid w:val="007B56DA"/>
    <w:rsid w:val="007B56F5"/>
    <w:rsid w:val="007B5718"/>
    <w:rsid w:val="007B5A1A"/>
    <w:rsid w:val="007B5A84"/>
    <w:rsid w:val="007B5B2E"/>
    <w:rsid w:val="007B5BB8"/>
    <w:rsid w:val="007B5C99"/>
    <w:rsid w:val="007B5E75"/>
    <w:rsid w:val="007B5FE0"/>
    <w:rsid w:val="007B5FE8"/>
    <w:rsid w:val="007B60A1"/>
    <w:rsid w:val="007B60D3"/>
    <w:rsid w:val="007B60FF"/>
    <w:rsid w:val="007B610F"/>
    <w:rsid w:val="007B631E"/>
    <w:rsid w:val="007B6379"/>
    <w:rsid w:val="007B63CA"/>
    <w:rsid w:val="007B645C"/>
    <w:rsid w:val="007B664E"/>
    <w:rsid w:val="007B66E8"/>
    <w:rsid w:val="007B6A34"/>
    <w:rsid w:val="007B6C06"/>
    <w:rsid w:val="007B6D3B"/>
    <w:rsid w:val="007B6F00"/>
    <w:rsid w:val="007B6FA4"/>
    <w:rsid w:val="007B71D5"/>
    <w:rsid w:val="007B733C"/>
    <w:rsid w:val="007B73AD"/>
    <w:rsid w:val="007B7410"/>
    <w:rsid w:val="007B7438"/>
    <w:rsid w:val="007B756B"/>
    <w:rsid w:val="007B75A7"/>
    <w:rsid w:val="007B75DC"/>
    <w:rsid w:val="007B7610"/>
    <w:rsid w:val="007B7722"/>
    <w:rsid w:val="007B77D1"/>
    <w:rsid w:val="007B78DA"/>
    <w:rsid w:val="007B7A52"/>
    <w:rsid w:val="007B7D25"/>
    <w:rsid w:val="007B7E52"/>
    <w:rsid w:val="007B7FB1"/>
    <w:rsid w:val="007C017C"/>
    <w:rsid w:val="007C0298"/>
    <w:rsid w:val="007C061F"/>
    <w:rsid w:val="007C07C7"/>
    <w:rsid w:val="007C0949"/>
    <w:rsid w:val="007C0A1F"/>
    <w:rsid w:val="007C0AC9"/>
    <w:rsid w:val="007C0AFF"/>
    <w:rsid w:val="007C0B2D"/>
    <w:rsid w:val="007C0DF9"/>
    <w:rsid w:val="007C0E27"/>
    <w:rsid w:val="007C0EEE"/>
    <w:rsid w:val="007C1020"/>
    <w:rsid w:val="007C10FE"/>
    <w:rsid w:val="007C1262"/>
    <w:rsid w:val="007C1396"/>
    <w:rsid w:val="007C139F"/>
    <w:rsid w:val="007C1439"/>
    <w:rsid w:val="007C14F4"/>
    <w:rsid w:val="007C157F"/>
    <w:rsid w:val="007C1791"/>
    <w:rsid w:val="007C1CA2"/>
    <w:rsid w:val="007C1CD9"/>
    <w:rsid w:val="007C1D80"/>
    <w:rsid w:val="007C1EA2"/>
    <w:rsid w:val="007C1EF2"/>
    <w:rsid w:val="007C1F1C"/>
    <w:rsid w:val="007C1F5E"/>
    <w:rsid w:val="007C1F89"/>
    <w:rsid w:val="007C2178"/>
    <w:rsid w:val="007C2437"/>
    <w:rsid w:val="007C24CE"/>
    <w:rsid w:val="007C25D3"/>
    <w:rsid w:val="007C2675"/>
    <w:rsid w:val="007C2765"/>
    <w:rsid w:val="007C284C"/>
    <w:rsid w:val="007C28AB"/>
    <w:rsid w:val="007C28DC"/>
    <w:rsid w:val="007C2A69"/>
    <w:rsid w:val="007C2A76"/>
    <w:rsid w:val="007C2BC6"/>
    <w:rsid w:val="007C2C43"/>
    <w:rsid w:val="007C2CE1"/>
    <w:rsid w:val="007C2D78"/>
    <w:rsid w:val="007C2DCC"/>
    <w:rsid w:val="007C2EEF"/>
    <w:rsid w:val="007C2F8C"/>
    <w:rsid w:val="007C31FF"/>
    <w:rsid w:val="007C32EF"/>
    <w:rsid w:val="007C3308"/>
    <w:rsid w:val="007C3399"/>
    <w:rsid w:val="007C348B"/>
    <w:rsid w:val="007C34A5"/>
    <w:rsid w:val="007C361D"/>
    <w:rsid w:val="007C3776"/>
    <w:rsid w:val="007C39D6"/>
    <w:rsid w:val="007C3AF7"/>
    <w:rsid w:val="007C3E16"/>
    <w:rsid w:val="007C4087"/>
    <w:rsid w:val="007C408F"/>
    <w:rsid w:val="007C40A6"/>
    <w:rsid w:val="007C4227"/>
    <w:rsid w:val="007C436B"/>
    <w:rsid w:val="007C4493"/>
    <w:rsid w:val="007C4697"/>
    <w:rsid w:val="007C46DA"/>
    <w:rsid w:val="007C4705"/>
    <w:rsid w:val="007C47BA"/>
    <w:rsid w:val="007C4824"/>
    <w:rsid w:val="007C4863"/>
    <w:rsid w:val="007C49CD"/>
    <w:rsid w:val="007C4B84"/>
    <w:rsid w:val="007C4D07"/>
    <w:rsid w:val="007C4E8B"/>
    <w:rsid w:val="007C4F72"/>
    <w:rsid w:val="007C4FED"/>
    <w:rsid w:val="007C509F"/>
    <w:rsid w:val="007C5276"/>
    <w:rsid w:val="007C5291"/>
    <w:rsid w:val="007C52A6"/>
    <w:rsid w:val="007C56CE"/>
    <w:rsid w:val="007C578B"/>
    <w:rsid w:val="007C5874"/>
    <w:rsid w:val="007C5A06"/>
    <w:rsid w:val="007C5ACC"/>
    <w:rsid w:val="007C5B6B"/>
    <w:rsid w:val="007C5CE4"/>
    <w:rsid w:val="007C5D41"/>
    <w:rsid w:val="007C5D76"/>
    <w:rsid w:val="007C5DBE"/>
    <w:rsid w:val="007C5E58"/>
    <w:rsid w:val="007C5E59"/>
    <w:rsid w:val="007C5E73"/>
    <w:rsid w:val="007C5E93"/>
    <w:rsid w:val="007C5FB1"/>
    <w:rsid w:val="007C612B"/>
    <w:rsid w:val="007C61FE"/>
    <w:rsid w:val="007C629F"/>
    <w:rsid w:val="007C62C3"/>
    <w:rsid w:val="007C6539"/>
    <w:rsid w:val="007C6613"/>
    <w:rsid w:val="007C6665"/>
    <w:rsid w:val="007C66DB"/>
    <w:rsid w:val="007C68E4"/>
    <w:rsid w:val="007C691C"/>
    <w:rsid w:val="007C6960"/>
    <w:rsid w:val="007C698A"/>
    <w:rsid w:val="007C6BD4"/>
    <w:rsid w:val="007C6C19"/>
    <w:rsid w:val="007C6D0E"/>
    <w:rsid w:val="007C6E41"/>
    <w:rsid w:val="007C6F28"/>
    <w:rsid w:val="007C6F5B"/>
    <w:rsid w:val="007C70FF"/>
    <w:rsid w:val="007C714B"/>
    <w:rsid w:val="007C71AB"/>
    <w:rsid w:val="007C7310"/>
    <w:rsid w:val="007C735D"/>
    <w:rsid w:val="007C746F"/>
    <w:rsid w:val="007C753C"/>
    <w:rsid w:val="007C75BF"/>
    <w:rsid w:val="007C75CD"/>
    <w:rsid w:val="007C7625"/>
    <w:rsid w:val="007C7640"/>
    <w:rsid w:val="007C767D"/>
    <w:rsid w:val="007C798C"/>
    <w:rsid w:val="007C7ADD"/>
    <w:rsid w:val="007C7B46"/>
    <w:rsid w:val="007C7BAB"/>
    <w:rsid w:val="007C7BC3"/>
    <w:rsid w:val="007C7C25"/>
    <w:rsid w:val="007C7F08"/>
    <w:rsid w:val="007C7F76"/>
    <w:rsid w:val="007C7FD4"/>
    <w:rsid w:val="007C7FE1"/>
    <w:rsid w:val="007D004F"/>
    <w:rsid w:val="007D0069"/>
    <w:rsid w:val="007D0088"/>
    <w:rsid w:val="007D0196"/>
    <w:rsid w:val="007D0262"/>
    <w:rsid w:val="007D035F"/>
    <w:rsid w:val="007D06B2"/>
    <w:rsid w:val="007D08DD"/>
    <w:rsid w:val="007D0974"/>
    <w:rsid w:val="007D0986"/>
    <w:rsid w:val="007D0998"/>
    <w:rsid w:val="007D09A1"/>
    <w:rsid w:val="007D0B38"/>
    <w:rsid w:val="007D0BEF"/>
    <w:rsid w:val="007D0DCA"/>
    <w:rsid w:val="007D0F4A"/>
    <w:rsid w:val="007D0F60"/>
    <w:rsid w:val="007D0FB4"/>
    <w:rsid w:val="007D0FD0"/>
    <w:rsid w:val="007D1073"/>
    <w:rsid w:val="007D129C"/>
    <w:rsid w:val="007D12CE"/>
    <w:rsid w:val="007D1441"/>
    <w:rsid w:val="007D1884"/>
    <w:rsid w:val="007D197C"/>
    <w:rsid w:val="007D1AE5"/>
    <w:rsid w:val="007D1BF1"/>
    <w:rsid w:val="007D1C3D"/>
    <w:rsid w:val="007D1D55"/>
    <w:rsid w:val="007D1DC8"/>
    <w:rsid w:val="007D1EA4"/>
    <w:rsid w:val="007D1F50"/>
    <w:rsid w:val="007D1FC7"/>
    <w:rsid w:val="007D2180"/>
    <w:rsid w:val="007D24B5"/>
    <w:rsid w:val="007D251A"/>
    <w:rsid w:val="007D2579"/>
    <w:rsid w:val="007D26CD"/>
    <w:rsid w:val="007D26F5"/>
    <w:rsid w:val="007D27A9"/>
    <w:rsid w:val="007D27C8"/>
    <w:rsid w:val="007D286C"/>
    <w:rsid w:val="007D29BD"/>
    <w:rsid w:val="007D2B33"/>
    <w:rsid w:val="007D2B77"/>
    <w:rsid w:val="007D2CFE"/>
    <w:rsid w:val="007D2E6B"/>
    <w:rsid w:val="007D2E77"/>
    <w:rsid w:val="007D2ED1"/>
    <w:rsid w:val="007D2F40"/>
    <w:rsid w:val="007D3220"/>
    <w:rsid w:val="007D357B"/>
    <w:rsid w:val="007D361F"/>
    <w:rsid w:val="007D3638"/>
    <w:rsid w:val="007D3715"/>
    <w:rsid w:val="007D395B"/>
    <w:rsid w:val="007D39B7"/>
    <w:rsid w:val="007D39E4"/>
    <w:rsid w:val="007D3A4A"/>
    <w:rsid w:val="007D3AC2"/>
    <w:rsid w:val="007D3B6E"/>
    <w:rsid w:val="007D3D9A"/>
    <w:rsid w:val="007D3E7F"/>
    <w:rsid w:val="007D3F4B"/>
    <w:rsid w:val="007D404D"/>
    <w:rsid w:val="007D404E"/>
    <w:rsid w:val="007D4389"/>
    <w:rsid w:val="007D446A"/>
    <w:rsid w:val="007D45B1"/>
    <w:rsid w:val="007D45E5"/>
    <w:rsid w:val="007D4698"/>
    <w:rsid w:val="007D473D"/>
    <w:rsid w:val="007D47AC"/>
    <w:rsid w:val="007D4858"/>
    <w:rsid w:val="007D493F"/>
    <w:rsid w:val="007D4A50"/>
    <w:rsid w:val="007D4D51"/>
    <w:rsid w:val="007D4EEA"/>
    <w:rsid w:val="007D4F3B"/>
    <w:rsid w:val="007D514C"/>
    <w:rsid w:val="007D5440"/>
    <w:rsid w:val="007D55B7"/>
    <w:rsid w:val="007D5DF2"/>
    <w:rsid w:val="007D5F4C"/>
    <w:rsid w:val="007D6050"/>
    <w:rsid w:val="007D6057"/>
    <w:rsid w:val="007D619A"/>
    <w:rsid w:val="007D61F7"/>
    <w:rsid w:val="007D6340"/>
    <w:rsid w:val="007D6427"/>
    <w:rsid w:val="007D649B"/>
    <w:rsid w:val="007D6588"/>
    <w:rsid w:val="007D67E4"/>
    <w:rsid w:val="007D6829"/>
    <w:rsid w:val="007D6976"/>
    <w:rsid w:val="007D69EB"/>
    <w:rsid w:val="007D69F4"/>
    <w:rsid w:val="007D6AE6"/>
    <w:rsid w:val="007D6AFA"/>
    <w:rsid w:val="007D6C19"/>
    <w:rsid w:val="007D6D1D"/>
    <w:rsid w:val="007D6EB4"/>
    <w:rsid w:val="007D6F06"/>
    <w:rsid w:val="007D6F0D"/>
    <w:rsid w:val="007D6F5E"/>
    <w:rsid w:val="007D6FC2"/>
    <w:rsid w:val="007D754E"/>
    <w:rsid w:val="007D771F"/>
    <w:rsid w:val="007D778A"/>
    <w:rsid w:val="007D79C2"/>
    <w:rsid w:val="007D7A84"/>
    <w:rsid w:val="007D7C57"/>
    <w:rsid w:val="007D7D3C"/>
    <w:rsid w:val="007D7D56"/>
    <w:rsid w:val="007D7DB3"/>
    <w:rsid w:val="007E000C"/>
    <w:rsid w:val="007E00A1"/>
    <w:rsid w:val="007E02A8"/>
    <w:rsid w:val="007E04EF"/>
    <w:rsid w:val="007E0750"/>
    <w:rsid w:val="007E081D"/>
    <w:rsid w:val="007E0A5E"/>
    <w:rsid w:val="007E0AC0"/>
    <w:rsid w:val="007E0C41"/>
    <w:rsid w:val="007E0DAE"/>
    <w:rsid w:val="007E0EF0"/>
    <w:rsid w:val="007E0F2E"/>
    <w:rsid w:val="007E0FCF"/>
    <w:rsid w:val="007E1102"/>
    <w:rsid w:val="007E1189"/>
    <w:rsid w:val="007E128F"/>
    <w:rsid w:val="007E151A"/>
    <w:rsid w:val="007E1536"/>
    <w:rsid w:val="007E1AB1"/>
    <w:rsid w:val="007E1B53"/>
    <w:rsid w:val="007E1BFA"/>
    <w:rsid w:val="007E1E20"/>
    <w:rsid w:val="007E1E52"/>
    <w:rsid w:val="007E1EEB"/>
    <w:rsid w:val="007E2001"/>
    <w:rsid w:val="007E216A"/>
    <w:rsid w:val="007E2342"/>
    <w:rsid w:val="007E2768"/>
    <w:rsid w:val="007E28B8"/>
    <w:rsid w:val="007E2976"/>
    <w:rsid w:val="007E2C88"/>
    <w:rsid w:val="007E2CAB"/>
    <w:rsid w:val="007E2F02"/>
    <w:rsid w:val="007E2F53"/>
    <w:rsid w:val="007E310D"/>
    <w:rsid w:val="007E329B"/>
    <w:rsid w:val="007E32AB"/>
    <w:rsid w:val="007E333E"/>
    <w:rsid w:val="007E3561"/>
    <w:rsid w:val="007E37B4"/>
    <w:rsid w:val="007E3800"/>
    <w:rsid w:val="007E3A1D"/>
    <w:rsid w:val="007E3DE9"/>
    <w:rsid w:val="007E3E21"/>
    <w:rsid w:val="007E3FCC"/>
    <w:rsid w:val="007E4151"/>
    <w:rsid w:val="007E41CE"/>
    <w:rsid w:val="007E4428"/>
    <w:rsid w:val="007E442E"/>
    <w:rsid w:val="007E4660"/>
    <w:rsid w:val="007E478F"/>
    <w:rsid w:val="007E47B3"/>
    <w:rsid w:val="007E4841"/>
    <w:rsid w:val="007E4874"/>
    <w:rsid w:val="007E489F"/>
    <w:rsid w:val="007E4ACD"/>
    <w:rsid w:val="007E4C69"/>
    <w:rsid w:val="007E4C9B"/>
    <w:rsid w:val="007E4D2C"/>
    <w:rsid w:val="007E4DF7"/>
    <w:rsid w:val="007E4E0E"/>
    <w:rsid w:val="007E4E1A"/>
    <w:rsid w:val="007E4E43"/>
    <w:rsid w:val="007E4E49"/>
    <w:rsid w:val="007E4EAE"/>
    <w:rsid w:val="007E4F2E"/>
    <w:rsid w:val="007E4FF7"/>
    <w:rsid w:val="007E504E"/>
    <w:rsid w:val="007E508E"/>
    <w:rsid w:val="007E5353"/>
    <w:rsid w:val="007E548D"/>
    <w:rsid w:val="007E5972"/>
    <w:rsid w:val="007E5A1A"/>
    <w:rsid w:val="007E5C19"/>
    <w:rsid w:val="007E6189"/>
    <w:rsid w:val="007E6210"/>
    <w:rsid w:val="007E648A"/>
    <w:rsid w:val="007E6542"/>
    <w:rsid w:val="007E669A"/>
    <w:rsid w:val="007E6B21"/>
    <w:rsid w:val="007E6BE8"/>
    <w:rsid w:val="007E7175"/>
    <w:rsid w:val="007E749D"/>
    <w:rsid w:val="007E74AE"/>
    <w:rsid w:val="007E7520"/>
    <w:rsid w:val="007E758C"/>
    <w:rsid w:val="007E76AB"/>
    <w:rsid w:val="007E7737"/>
    <w:rsid w:val="007E7971"/>
    <w:rsid w:val="007E7C42"/>
    <w:rsid w:val="007E7C80"/>
    <w:rsid w:val="007E7CE6"/>
    <w:rsid w:val="007E7FC4"/>
    <w:rsid w:val="007F0065"/>
    <w:rsid w:val="007F012C"/>
    <w:rsid w:val="007F03E6"/>
    <w:rsid w:val="007F03EE"/>
    <w:rsid w:val="007F0531"/>
    <w:rsid w:val="007F0812"/>
    <w:rsid w:val="007F0849"/>
    <w:rsid w:val="007F0860"/>
    <w:rsid w:val="007F088A"/>
    <w:rsid w:val="007F0AAC"/>
    <w:rsid w:val="007F0B73"/>
    <w:rsid w:val="007F0C19"/>
    <w:rsid w:val="007F0C84"/>
    <w:rsid w:val="007F0EFD"/>
    <w:rsid w:val="007F1017"/>
    <w:rsid w:val="007F115F"/>
    <w:rsid w:val="007F11ED"/>
    <w:rsid w:val="007F127D"/>
    <w:rsid w:val="007F13F8"/>
    <w:rsid w:val="007F14F1"/>
    <w:rsid w:val="007F1511"/>
    <w:rsid w:val="007F1532"/>
    <w:rsid w:val="007F1722"/>
    <w:rsid w:val="007F1753"/>
    <w:rsid w:val="007F17BA"/>
    <w:rsid w:val="007F17CC"/>
    <w:rsid w:val="007F1AEB"/>
    <w:rsid w:val="007F1B78"/>
    <w:rsid w:val="007F1C56"/>
    <w:rsid w:val="007F1CD7"/>
    <w:rsid w:val="007F1E8D"/>
    <w:rsid w:val="007F1F6A"/>
    <w:rsid w:val="007F1FAE"/>
    <w:rsid w:val="007F1FB5"/>
    <w:rsid w:val="007F2157"/>
    <w:rsid w:val="007F2175"/>
    <w:rsid w:val="007F2325"/>
    <w:rsid w:val="007F2331"/>
    <w:rsid w:val="007F2381"/>
    <w:rsid w:val="007F23E5"/>
    <w:rsid w:val="007F244B"/>
    <w:rsid w:val="007F265F"/>
    <w:rsid w:val="007F2B25"/>
    <w:rsid w:val="007F2CEE"/>
    <w:rsid w:val="007F2EC2"/>
    <w:rsid w:val="007F2EF9"/>
    <w:rsid w:val="007F2FAB"/>
    <w:rsid w:val="007F305B"/>
    <w:rsid w:val="007F3070"/>
    <w:rsid w:val="007F318D"/>
    <w:rsid w:val="007F32B0"/>
    <w:rsid w:val="007F32FB"/>
    <w:rsid w:val="007F33C2"/>
    <w:rsid w:val="007F362A"/>
    <w:rsid w:val="007F37FC"/>
    <w:rsid w:val="007F382B"/>
    <w:rsid w:val="007F384B"/>
    <w:rsid w:val="007F3A2F"/>
    <w:rsid w:val="007F3AA0"/>
    <w:rsid w:val="007F3AA2"/>
    <w:rsid w:val="007F3CB5"/>
    <w:rsid w:val="007F3CE5"/>
    <w:rsid w:val="007F3F76"/>
    <w:rsid w:val="007F3F89"/>
    <w:rsid w:val="007F4108"/>
    <w:rsid w:val="007F4582"/>
    <w:rsid w:val="007F46BB"/>
    <w:rsid w:val="007F4835"/>
    <w:rsid w:val="007F487E"/>
    <w:rsid w:val="007F4941"/>
    <w:rsid w:val="007F4A3F"/>
    <w:rsid w:val="007F4A61"/>
    <w:rsid w:val="007F4D43"/>
    <w:rsid w:val="007F4ECB"/>
    <w:rsid w:val="007F5226"/>
    <w:rsid w:val="007F5255"/>
    <w:rsid w:val="007F534C"/>
    <w:rsid w:val="007F5398"/>
    <w:rsid w:val="007F547F"/>
    <w:rsid w:val="007F548B"/>
    <w:rsid w:val="007F5514"/>
    <w:rsid w:val="007F5515"/>
    <w:rsid w:val="007F5528"/>
    <w:rsid w:val="007F55A2"/>
    <w:rsid w:val="007F56CC"/>
    <w:rsid w:val="007F5877"/>
    <w:rsid w:val="007F5918"/>
    <w:rsid w:val="007F5A23"/>
    <w:rsid w:val="007F5D6C"/>
    <w:rsid w:val="007F5E4C"/>
    <w:rsid w:val="007F5FC2"/>
    <w:rsid w:val="007F6011"/>
    <w:rsid w:val="007F618A"/>
    <w:rsid w:val="007F61BF"/>
    <w:rsid w:val="007F61C2"/>
    <w:rsid w:val="007F6261"/>
    <w:rsid w:val="007F62E4"/>
    <w:rsid w:val="007F632B"/>
    <w:rsid w:val="007F633E"/>
    <w:rsid w:val="007F662C"/>
    <w:rsid w:val="007F6653"/>
    <w:rsid w:val="007F6822"/>
    <w:rsid w:val="007F688B"/>
    <w:rsid w:val="007F68EA"/>
    <w:rsid w:val="007F6FE8"/>
    <w:rsid w:val="007F6FF6"/>
    <w:rsid w:val="007F7090"/>
    <w:rsid w:val="007F70CE"/>
    <w:rsid w:val="007F736A"/>
    <w:rsid w:val="007F7464"/>
    <w:rsid w:val="007F74A8"/>
    <w:rsid w:val="007F74AE"/>
    <w:rsid w:val="007F751A"/>
    <w:rsid w:val="007F7734"/>
    <w:rsid w:val="007F788C"/>
    <w:rsid w:val="007F7988"/>
    <w:rsid w:val="007F79AD"/>
    <w:rsid w:val="007F7B0F"/>
    <w:rsid w:val="007F7BA1"/>
    <w:rsid w:val="007F7CCB"/>
    <w:rsid w:val="007F7EA1"/>
    <w:rsid w:val="0080007C"/>
    <w:rsid w:val="008000C3"/>
    <w:rsid w:val="0080015A"/>
    <w:rsid w:val="008001AE"/>
    <w:rsid w:val="00800211"/>
    <w:rsid w:val="00800451"/>
    <w:rsid w:val="008006D6"/>
    <w:rsid w:val="00800740"/>
    <w:rsid w:val="0080091E"/>
    <w:rsid w:val="0080096F"/>
    <w:rsid w:val="00800A33"/>
    <w:rsid w:val="00800E5C"/>
    <w:rsid w:val="00800FF3"/>
    <w:rsid w:val="00801030"/>
    <w:rsid w:val="00801208"/>
    <w:rsid w:val="00801298"/>
    <w:rsid w:val="00801398"/>
    <w:rsid w:val="00801493"/>
    <w:rsid w:val="008014CB"/>
    <w:rsid w:val="008015D1"/>
    <w:rsid w:val="008015ED"/>
    <w:rsid w:val="008016E4"/>
    <w:rsid w:val="00801791"/>
    <w:rsid w:val="00801903"/>
    <w:rsid w:val="00801952"/>
    <w:rsid w:val="00801A6C"/>
    <w:rsid w:val="00801C9C"/>
    <w:rsid w:val="00801E36"/>
    <w:rsid w:val="00801FA4"/>
    <w:rsid w:val="008022C2"/>
    <w:rsid w:val="0080239C"/>
    <w:rsid w:val="008023DF"/>
    <w:rsid w:val="00802512"/>
    <w:rsid w:val="0080255F"/>
    <w:rsid w:val="0080257D"/>
    <w:rsid w:val="008025CD"/>
    <w:rsid w:val="0080260B"/>
    <w:rsid w:val="008026A7"/>
    <w:rsid w:val="008026AA"/>
    <w:rsid w:val="008026C4"/>
    <w:rsid w:val="00802733"/>
    <w:rsid w:val="008028C3"/>
    <w:rsid w:val="00802958"/>
    <w:rsid w:val="008029B2"/>
    <w:rsid w:val="00802A8B"/>
    <w:rsid w:val="00802D28"/>
    <w:rsid w:val="00802EF6"/>
    <w:rsid w:val="00802F0C"/>
    <w:rsid w:val="00802F3E"/>
    <w:rsid w:val="00802F80"/>
    <w:rsid w:val="00803003"/>
    <w:rsid w:val="00803017"/>
    <w:rsid w:val="00803037"/>
    <w:rsid w:val="0080303B"/>
    <w:rsid w:val="0080309E"/>
    <w:rsid w:val="00803226"/>
    <w:rsid w:val="0080345F"/>
    <w:rsid w:val="008034EE"/>
    <w:rsid w:val="00803556"/>
    <w:rsid w:val="008035E2"/>
    <w:rsid w:val="00803AC0"/>
    <w:rsid w:val="00803B9C"/>
    <w:rsid w:val="00803FE6"/>
    <w:rsid w:val="008040CE"/>
    <w:rsid w:val="008041B4"/>
    <w:rsid w:val="008042E0"/>
    <w:rsid w:val="0080450E"/>
    <w:rsid w:val="0080452F"/>
    <w:rsid w:val="00804638"/>
    <w:rsid w:val="008046A1"/>
    <w:rsid w:val="00804866"/>
    <w:rsid w:val="00804900"/>
    <w:rsid w:val="00804AC9"/>
    <w:rsid w:val="00804B41"/>
    <w:rsid w:val="00804C42"/>
    <w:rsid w:val="00804D38"/>
    <w:rsid w:val="00804DEE"/>
    <w:rsid w:val="00804FF8"/>
    <w:rsid w:val="008050F9"/>
    <w:rsid w:val="008050FB"/>
    <w:rsid w:val="00805142"/>
    <w:rsid w:val="008051EF"/>
    <w:rsid w:val="00805266"/>
    <w:rsid w:val="0080566B"/>
    <w:rsid w:val="00805673"/>
    <w:rsid w:val="008056AF"/>
    <w:rsid w:val="008058B4"/>
    <w:rsid w:val="00805F79"/>
    <w:rsid w:val="00805FCE"/>
    <w:rsid w:val="008061C3"/>
    <w:rsid w:val="0080642F"/>
    <w:rsid w:val="0080649C"/>
    <w:rsid w:val="008067E1"/>
    <w:rsid w:val="0080680E"/>
    <w:rsid w:val="00806876"/>
    <w:rsid w:val="00806995"/>
    <w:rsid w:val="008069CE"/>
    <w:rsid w:val="00806A8F"/>
    <w:rsid w:val="00806BA4"/>
    <w:rsid w:val="00806C53"/>
    <w:rsid w:val="00806C6E"/>
    <w:rsid w:val="00806CC6"/>
    <w:rsid w:val="00806D2C"/>
    <w:rsid w:val="00806DC5"/>
    <w:rsid w:val="00806ED2"/>
    <w:rsid w:val="00806FB5"/>
    <w:rsid w:val="00806FF3"/>
    <w:rsid w:val="008070A6"/>
    <w:rsid w:val="0080716E"/>
    <w:rsid w:val="00807201"/>
    <w:rsid w:val="00807204"/>
    <w:rsid w:val="00807336"/>
    <w:rsid w:val="00807435"/>
    <w:rsid w:val="0080744F"/>
    <w:rsid w:val="008074B5"/>
    <w:rsid w:val="008076E1"/>
    <w:rsid w:val="008078ED"/>
    <w:rsid w:val="00807A8B"/>
    <w:rsid w:val="00807BB1"/>
    <w:rsid w:val="00807CDF"/>
    <w:rsid w:val="0081027D"/>
    <w:rsid w:val="00810506"/>
    <w:rsid w:val="0081067E"/>
    <w:rsid w:val="008108B5"/>
    <w:rsid w:val="00810970"/>
    <w:rsid w:val="00810B8C"/>
    <w:rsid w:val="00810CD8"/>
    <w:rsid w:val="00810CF2"/>
    <w:rsid w:val="00810DFD"/>
    <w:rsid w:val="00811219"/>
    <w:rsid w:val="0081130D"/>
    <w:rsid w:val="00811383"/>
    <w:rsid w:val="008113D9"/>
    <w:rsid w:val="00811563"/>
    <w:rsid w:val="0081176D"/>
    <w:rsid w:val="008117E9"/>
    <w:rsid w:val="00811926"/>
    <w:rsid w:val="00811A54"/>
    <w:rsid w:val="00811D89"/>
    <w:rsid w:val="00811DDB"/>
    <w:rsid w:val="008120F0"/>
    <w:rsid w:val="00812149"/>
    <w:rsid w:val="008121E4"/>
    <w:rsid w:val="008121F2"/>
    <w:rsid w:val="00812632"/>
    <w:rsid w:val="008126E0"/>
    <w:rsid w:val="0081279C"/>
    <w:rsid w:val="008127CF"/>
    <w:rsid w:val="00812B38"/>
    <w:rsid w:val="00812C42"/>
    <w:rsid w:val="00812CAC"/>
    <w:rsid w:val="00812F8D"/>
    <w:rsid w:val="008131CE"/>
    <w:rsid w:val="008132A3"/>
    <w:rsid w:val="008132B4"/>
    <w:rsid w:val="00813434"/>
    <w:rsid w:val="0081346B"/>
    <w:rsid w:val="0081360A"/>
    <w:rsid w:val="008138A2"/>
    <w:rsid w:val="00813953"/>
    <w:rsid w:val="008139C9"/>
    <w:rsid w:val="00813D4B"/>
    <w:rsid w:val="00813E37"/>
    <w:rsid w:val="00813F82"/>
    <w:rsid w:val="00814203"/>
    <w:rsid w:val="0081421E"/>
    <w:rsid w:val="00814220"/>
    <w:rsid w:val="008143CC"/>
    <w:rsid w:val="00814490"/>
    <w:rsid w:val="008144C6"/>
    <w:rsid w:val="00814633"/>
    <w:rsid w:val="008147C9"/>
    <w:rsid w:val="00814886"/>
    <w:rsid w:val="008148E7"/>
    <w:rsid w:val="00814921"/>
    <w:rsid w:val="00814C4F"/>
    <w:rsid w:val="00814E16"/>
    <w:rsid w:val="00814E7F"/>
    <w:rsid w:val="008151E3"/>
    <w:rsid w:val="008152D2"/>
    <w:rsid w:val="008153B2"/>
    <w:rsid w:val="0081547D"/>
    <w:rsid w:val="008156CB"/>
    <w:rsid w:val="008156DB"/>
    <w:rsid w:val="008157D0"/>
    <w:rsid w:val="008159E0"/>
    <w:rsid w:val="008159F7"/>
    <w:rsid w:val="00815A40"/>
    <w:rsid w:val="00815C53"/>
    <w:rsid w:val="00815CB9"/>
    <w:rsid w:val="00815D22"/>
    <w:rsid w:val="00815D8F"/>
    <w:rsid w:val="0081606E"/>
    <w:rsid w:val="0081609E"/>
    <w:rsid w:val="0081610B"/>
    <w:rsid w:val="00816361"/>
    <w:rsid w:val="00816447"/>
    <w:rsid w:val="00816548"/>
    <w:rsid w:val="008165A1"/>
    <w:rsid w:val="008166EF"/>
    <w:rsid w:val="00816713"/>
    <w:rsid w:val="008167AC"/>
    <w:rsid w:val="008167CF"/>
    <w:rsid w:val="00816821"/>
    <w:rsid w:val="008168D3"/>
    <w:rsid w:val="0081696B"/>
    <w:rsid w:val="00816972"/>
    <w:rsid w:val="00816A29"/>
    <w:rsid w:val="00816A8F"/>
    <w:rsid w:val="00816AAF"/>
    <w:rsid w:val="00816AE6"/>
    <w:rsid w:val="00816B47"/>
    <w:rsid w:val="00816B5B"/>
    <w:rsid w:val="00816B85"/>
    <w:rsid w:val="00816E39"/>
    <w:rsid w:val="00816E6E"/>
    <w:rsid w:val="00816F1E"/>
    <w:rsid w:val="00816FEF"/>
    <w:rsid w:val="0081711E"/>
    <w:rsid w:val="008171A0"/>
    <w:rsid w:val="008172B5"/>
    <w:rsid w:val="00817562"/>
    <w:rsid w:val="00817743"/>
    <w:rsid w:val="008177B4"/>
    <w:rsid w:val="00817A3F"/>
    <w:rsid w:val="00817B9C"/>
    <w:rsid w:val="00817BB3"/>
    <w:rsid w:val="00817C99"/>
    <w:rsid w:val="00817D85"/>
    <w:rsid w:val="00817E30"/>
    <w:rsid w:val="00817E45"/>
    <w:rsid w:val="00820001"/>
    <w:rsid w:val="008201E4"/>
    <w:rsid w:val="0082032A"/>
    <w:rsid w:val="00820333"/>
    <w:rsid w:val="008203E8"/>
    <w:rsid w:val="0082041C"/>
    <w:rsid w:val="008207A6"/>
    <w:rsid w:val="008207F6"/>
    <w:rsid w:val="00820813"/>
    <w:rsid w:val="00820A8C"/>
    <w:rsid w:val="00820AAD"/>
    <w:rsid w:val="00820B18"/>
    <w:rsid w:val="00820B24"/>
    <w:rsid w:val="00820B43"/>
    <w:rsid w:val="00820BA1"/>
    <w:rsid w:val="00820C14"/>
    <w:rsid w:val="00820F8F"/>
    <w:rsid w:val="0082110E"/>
    <w:rsid w:val="00821382"/>
    <w:rsid w:val="00821392"/>
    <w:rsid w:val="0082145A"/>
    <w:rsid w:val="008214AE"/>
    <w:rsid w:val="008215FB"/>
    <w:rsid w:val="008216D9"/>
    <w:rsid w:val="008217CB"/>
    <w:rsid w:val="00821885"/>
    <w:rsid w:val="00821924"/>
    <w:rsid w:val="00821A4C"/>
    <w:rsid w:val="00821A74"/>
    <w:rsid w:val="00821BD3"/>
    <w:rsid w:val="00821BD9"/>
    <w:rsid w:val="00821CD4"/>
    <w:rsid w:val="00821DC2"/>
    <w:rsid w:val="00821DEB"/>
    <w:rsid w:val="008220A7"/>
    <w:rsid w:val="008220CC"/>
    <w:rsid w:val="0082220C"/>
    <w:rsid w:val="00822215"/>
    <w:rsid w:val="0082221B"/>
    <w:rsid w:val="00822331"/>
    <w:rsid w:val="0082233E"/>
    <w:rsid w:val="008223CB"/>
    <w:rsid w:val="008223D5"/>
    <w:rsid w:val="00822400"/>
    <w:rsid w:val="0082249E"/>
    <w:rsid w:val="008226A4"/>
    <w:rsid w:val="008227F1"/>
    <w:rsid w:val="00822872"/>
    <w:rsid w:val="00822890"/>
    <w:rsid w:val="0082291E"/>
    <w:rsid w:val="00822965"/>
    <w:rsid w:val="00822A82"/>
    <w:rsid w:val="00822AB3"/>
    <w:rsid w:val="00822B02"/>
    <w:rsid w:val="00822B1D"/>
    <w:rsid w:val="00822C14"/>
    <w:rsid w:val="00822CDF"/>
    <w:rsid w:val="00822D27"/>
    <w:rsid w:val="00822DAD"/>
    <w:rsid w:val="00822F37"/>
    <w:rsid w:val="00822F81"/>
    <w:rsid w:val="00822FDF"/>
    <w:rsid w:val="00822FF7"/>
    <w:rsid w:val="00823082"/>
    <w:rsid w:val="00823116"/>
    <w:rsid w:val="00823174"/>
    <w:rsid w:val="008231D7"/>
    <w:rsid w:val="00823243"/>
    <w:rsid w:val="008232A9"/>
    <w:rsid w:val="008232F8"/>
    <w:rsid w:val="0082330F"/>
    <w:rsid w:val="008233B2"/>
    <w:rsid w:val="0082361F"/>
    <w:rsid w:val="008236CC"/>
    <w:rsid w:val="00823ACF"/>
    <w:rsid w:val="00823B11"/>
    <w:rsid w:val="00823D28"/>
    <w:rsid w:val="00823DB7"/>
    <w:rsid w:val="00823E87"/>
    <w:rsid w:val="008240DD"/>
    <w:rsid w:val="00824239"/>
    <w:rsid w:val="0082429B"/>
    <w:rsid w:val="008243B4"/>
    <w:rsid w:val="008244FD"/>
    <w:rsid w:val="00824611"/>
    <w:rsid w:val="0082474D"/>
    <w:rsid w:val="00824858"/>
    <w:rsid w:val="0082486C"/>
    <w:rsid w:val="008248CC"/>
    <w:rsid w:val="00824912"/>
    <w:rsid w:val="00824A17"/>
    <w:rsid w:val="00824A58"/>
    <w:rsid w:val="00824A88"/>
    <w:rsid w:val="00824BBD"/>
    <w:rsid w:val="00824C28"/>
    <w:rsid w:val="00824CE9"/>
    <w:rsid w:val="00824D8E"/>
    <w:rsid w:val="00824DF8"/>
    <w:rsid w:val="0082503E"/>
    <w:rsid w:val="0082508E"/>
    <w:rsid w:val="008251EE"/>
    <w:rsid w:val="00825396"/>
    <w:rsid w:val="00825449"/>
    <w:rsid w:val="00825514"/>
    <w:rsid w:val="0082554D"/>
    <w:rsid w:val="0082563C"/>
    <w:rsid w:val="00825751"/>
    <w:rsid w:val="008258CB"/>
    <w:rsid w:val="00825B84"/>
    <w:rsid w:val="00825E60"/>
    <w:rsid w:val="00825EDA"/>
    <w:rsid w:val="00825F35"/>
    <w:rsid w:val="00826138"/>
    <w:rsid w:val="00826267"/>
    <w:rsid w:val="008262F4"/>
    <w:rsid w:val="008264B4"/>
    <w:rsid w:val="008264EB"/>
    <w:rsid w:val="00826643"/>
    <w:rsid w:val="0082686F"/>
    <w:rsid w:val="008268CE"/>
    <w:rsid w:val="0082695E"/>
    <w:rsid w:val="00826AF8"/>
    <w:rsid w:val="00826C73"/>
    <w:rsid w:val="00826C99"/>
    <w:rsid w:val="00826CFE"/>
    <w:rsid w:val="0082708E"/>
    <w:rsid w:val="008270B0"/>
    <w:rsid w:val="0082718B"/>
    <w:rsid w:val="008271B9"/>
    <w:rsid w:val="0082752B"/>
    <w:rsid w:val="0082766E"/>
    <w:rsid w:val="008276DD"/>
    <w:rsid w:val="008276E9"/>
    <w:rsid w:val="00827736"/>
    <w:rsid w:val="0082773E"/>
    <w:rsid w:val="00827934"/>
    <w:rsid w:val="00827968"/>
    <w:rsid w:val="00827A01"/>
    <w:rsid w:val="00827A9D"/>
    <w:rsid w:val="00827B69"/>
    <w:rsid w:val="00827BCA"/>
    <w:rsid w:val="00827C23"/>
    <w:rsid w:val="00827CA0"/>
    <w:rsid w:val="00827DBF"/>
    <w:rsid w:val="00827EE0"/>
    <w:rsid w:val="00827F79"/>
    <w:rsid w:val="00827FAE"/>
    <w:rsid w:val="00827FFE"/>
    <w:rsid w:val="0083014F"/>
    <w:rsid w:val="00830778"/>
    <w:rsid w:val="008307D0"/>
    <w:rsid w:val="00830803"/>
    <w:rsid w:val="00830834"/>
    <w:rsid w:val="008308C9"/>
    <w:rsid w:val="008309F0"/>
    <w:rsid w:val="00830A74"/>
    <w:rsid w:val="00830D8B"/>
    <w:rsid w:val="00830D8E"/>
    <w:rsid w:val="00831063"/>
    <w:rsid w:val="008312BD"/>
    <w:rsid w:val="00831308"/>
    <w:rsid w:val="008313E3"/>
    <w:rsid w:val="0083147B"/>
    <w:rsid w:val="0083149C"/>
    <w:rsid w:val="00831757"/>
    <w:rsid w:val="00831896"/>
    <w:rsid w:val="0083195A"/>
    <w:rsid w:val="00831A57"/>
    <w:rsid w:val="00831E73"/>
    <w:rsid w:val="00831F54"/>
    <w:rsid w:val="00832022"/>
    <w:rsid w:val="00832093"/>
    <w:rsid w:val="008322ED"/>
    <w:rsid w:val="00832424"/>
    <w:rsid w:val="00832651"/>
    <w:rsid w:val="00832659"/>
    <w:rsid w:val="00832769"/>
    <w:rsid w:val="00832838"/>
    <w:rsid w:val="0083283A"/>
    <w:rsid w:val="00832875"/>
    <w:rsid w:val="0083287B"/>
    <w:rsid w:val="008328C9"/>
    <w:rsid w:val="0083290F"/>
    <w:rsid w:val="008329A8"/>
    <w:rsid w:val="00832B1F"/>
    <w:rsid w:val="00832C06"/>
    <w:rsid w:val="00832D10"/>
    <w:rsid w:val="00832DAE"/>
    <w:rsid w:val="00833050"/>
    <w:rsid w:val="008330DD"/>
    <w:rsid w:val="0083332A"/>
    <w:rsid w:val="008334DE"/>
    <w:rsid w:val="008335BA"/>
    <w:rsid w:val="00833B05"/>
    <w:rsid w:val="00833C5E"/>
    <w:rsid w:val="00833CDB"/>
    <w:rsid w:val="00833E71"/>
    <w:rsid w:val="00833EEB"/>
    <w:rsid w:val="00833F05"/>
    <w:rsid w:val="00834108"/>
    <w:rsid w:val="008343A7"/>
    <w:rsid w:val="008343D0"/>
    <w:rsid w:val="0083440F"/>
    <w:rsid w:val="00834495"/>
    <w:rsid w:val="00834499"/>
    <w:rsid w:val="0083459F"/>
    <w:rsid w:val="008345D7"/>
    <w:rsid w:val="00834680"/>
    <w:rsid w:val="00834700"/>
    <w:rsid w:val="00834732"/>
    <w:rsid w:val="00834B91"/>
    <w:rsid w:val="00834C98"/>
    <w:rsid w:val="00834CFC"/>
    <w:rsid w:val="00834D28"/>
    <w:rsid w:val="00834EB3"/>
    <w:rsid w:val="00834EC8"/>
    <w:rsid w:val="00835122"/>
    <w:rsid w:val="00835172"/>
    <w:rsid w:val="008351CC"/>
    <w:rsid w:val="008351CF"/>
    <w:rsid w:val="0083549E"/>
    <w:rsid w:val="008354EF"/>
    <w:rsid w:val="008355A8"/>
    <w:rsid w:val="00835654"/>
    <w:rsid w:val="008356AF"/>
    <w:rsid w:val="00835701"/>
    <w:rsid w:val="00835709"/>
    <w:rsid w:val="0083584F"/>
    <w:rsid w:val="00835910"/>
    <w:rsid w:val="00835BD1"/>
    <w:rsid w:val="00835C1C"/>
    <w:rsid w:val="00835CB2"/>
    <w:rsid w:val="00835CB9"/>
    <w:rsid w:val="00835D1F"/>
    <w:rsid w:val="00835DBC"/>
    <w:rsid w:val="00835ECF"/>
    <w:rsid w:val="00835F47"/>
    <w:rsid w:val="00836005"/>
    <w:rsid w:val="00836239"/>
    <w:rsid w:val="00836285"/>
    <w:rsid w:val="008362B4"/>
    <w:rsid w:val="00836315"/>
    <w:rsid w:val="0083637B"/>
    <w:rsid w:val="0083646E"/>
    <w:rsid w:val="00836586"/>
    <w:rsid w:val="008365B7"/>
    <w:rsid w:val="008367DC"/>
    <w:rsid w:val="00836B32"/>
    <w:rsid w:val="00836CB5"/>
    <w:rsid w:val="00836E1A"/>
    <w:rsid w:val="00836E91"/>
    <w:rsid w:val="00836F24"/>
    <w:rsid w:val="00836F37"/>
    <w:rsid w:val="00836FCE"/>
    <w:rsid w:val="00837088"/>
    <w:rsid w:val="008370AC"/>
    <w:rsid w:val="00837111"/>
    <w:rsid w:val="00837143"/>
    <w:rsid w:val="0083726E"/>
    <w:rsid w:val="00837287"/>
    <w:rsid w:val="00837487"/>
    <w:rsid w:val="008374DA"/>
    <w:rsid w:val="0083751A"/>
    <w:rsid w:val="00837724"/>
    <w:rsid w:val="0083773A"/>
    <w:rsid w:val="0083784E"/>
    <w:rsid w:val="00837852"/>
    <w:rsid w:val="0083788B"/>
    <w:rsid w:val="00837A45"/>
    <w:rsid w:val="00837A98"/>
    <w:rsid w:val="00837D84"/>
    <w:rsid w:val="00837DC1"/>
    <w:rsid w:val="00837EC4"/>
    <w:rsid w:val="008400F2"/>
    <w:rsid w:val="00840186"/>
    <w:rsid w:val="00840208"/>
    <w:rsid w:val="00840330"/>
    <w:rsid w:val="00840368"/>
    <w:rsid w:val="00840375"/>
    <w:rsid w:val="00840380"/>
    <w:rsid w:val="0084046C"/>
    <w:rsid w:val="0084056D"/>
    <w:rsid w:val="0084070C"/>
    <w:rsid w:val="008407D4"/>
    <w:rsid w:val="00840859"/>
    <w:rsid w:val="008408F4"/>
    <w:rsid w:val="0084094F"/>
    <w:rsid w:val="008409DB"/>
    <w:rsid w:val="00840A11"/>
    <w:rsid w:val="00840A94"/>
    <w:rsid w:val="00840C40"/>
    <w:rsid w:val="00840C9B"/>
    <w:rsid w:val="00840CA2"/>
    <w:rsid w:val="00840CD9"/>
    <w:rsid w:val="00840DAE"/>
    <w:rsid w:val="00840DD5"/>
    <w:rsid w:val="008410A4"/>
    <w:rsid w:val="0084130E"/>
    <w:rsid w:val="00841393"/>
    <w:rsid w:val="0084146B"/>
    <w:rsid w:val="0084162B"/>
    <w:rsid w:val="008418EB"/>
    <w:rsid w:val="00841AC9"/>
    <w:rsid w:val="00841B41"/>
    <w:rsid w:val="00841B56"/>
    <w:rsid w:val="00841C68"/>
    <w:rsid w:val="00841D26"/>
    <w:rsid w:val="00841D59"/>
    <w:rsid w:val="00841D94"/>
    <w:rsid w:val="00841DA8"/>
    <w:rsid w:val="00841E29"/>
    <w:rsid w:val="00841F26"/>
    <w:rsid w:val="00842002"/>
    <w:rsid w:val="0084203C"/>
    <w:rsid w:val="00842137"/>
    <w:rsid w:val="008421D2"/>
    <w:rsid w:val="00842487"/>
    <w:rsid w:val="008424B7"/>
    <w:rsid w:val="008426C2"/>
    <w:rsid w:val="00842830"/>
    <w:rsid w:val="00842847"/>
    <w:rsid w:val="00842B34"/>
    <w:rsid w:val="00842B71"/>
    <w:rsid w:val="00842C7D"/>
    <w:rsid w:val="00842F66"/>
    <w:rsid w:val="008431EF"/>
    <w:rsid w:val="0084338C"/>
    <w:rsid w:val="008433C2"/>
    <w:rsid w:val="008433C3"/>
    <w:rsid w:val="008433ED"/>
    <w:rsid w:val="00843683"/>
    <w:rsid w:val="0084374F"/>
    <w:rsid w:val="008437D7"/>
    <w:rsid w:val="00843B54"/>
    <w:rsid w:val="00843B8F"/>
    <w:rsid w:val="00843E68"/>
    <w:rsid w:val="00843E7A"/>
    <w:rsid w:val="008440FF"/>
    <w:rsid w:val="00844277"/>
    <w:rsid w:val="0084434A"/>
    <w:rsid w:val="00844365"/>
    <w:rsid w:val="008443F3"/>
    <w:rsid w:val="00844494"/>
    <w:rsid w:val="008444F1"/>
    <w:rsid w:val="00844555"/>
    <w:rsid w:val="00844637"/>
    <w:rsid w:val="00844730"/>
    <w:rsid w:val="008447F0"/>
    <w:rsid w:val="00844869"/>
    <w:rsid w:val="00844A22"/>
    <w:rsid w:val="00844A33"/>
    <w:rsid w:val="00844A88"/>
    <w:rsid w:val="00844AA4"/>
    <w:rsid w:val="00844C0E"/>
    <w:rsid w:val="00844CAC"/>
    <w:rsid w:val="00844D30"/>
    <w:rsid w:val="00844ECB"/>
    <w:rsid w:val="00845122"/>
    <w:rsid w:val="00845326"/>
    <w:rsid w:val="008453CD"/>
    <w:rsid w:val="0084541A"/>
    <w:rsid w:val="0084549A"/>
    <w:rsid w:val="0084549D"/>
    <w:rsid w:val="00845584"/>
    <w:rsid w:val="00845887"/>
    <w:rsid w:val="0084591E"/>
    <w:rsid w:val="00845C92"/>
    <w:rsid w:val="0084615E"/>
    <w:rsid w:val="008461A7"/>
    <w:rsid w:val="008461EF"/>
    <w:rsid w:val="0084636C"/>
    <w:rsid w:val="00846372"/>
    <w:rsid w:val="00846375"/>
    <w:rsid w:val="00846492"/>
    <w:rsid w:val="00846795"/>
    <w:rsid w:val="00846864"/>
    <w:rsid w:val="00846B42"/>
    <w:rsid w:val="00846B9C"/>
    <w:rsid w:val="00846CD0"/>
    <w:rsid w:val="00846CDD"/>
    <w:rsid w:val="00846F80"/>
    <w:rsid w:val="008470CB"/>
    <w:rsid w:val="008471B7"/>
    <w:rsid w:val="00847208"/>
    <w:rsid w:val="008472C3"/>
    <w:rsid w:val="008473AB"/>
    <w:rsid w:val="008473EE"/>
    <w:rsid w:val="0084740C"/>
    <w:rsid w:val="0084769D"/>
    <w:rsid w:val="00847703"/>
    <w:rsid w:val="0084774B"/>
    <w:rsid w:val="00847AC7"/>
    <w:rsid w:val="00847CD9"/>
    <w:rsid w:val="00847CE2"/>
    <w:rsid w:val="00847D06"/>
    <w:rsid w:val="00847D90"/>
    <w:rsid w:val="00847DF5"/>
    <w:rsid w:val="008501FE"/>
    <w:rsid w:val="00850245"/>
    <w:rsid w:val="0085027F"/>
    <w:rsid w:val="00850360"/>
    <w:rsid w:val="00850379"/>
    <w:rsid w:val="0085046E"/>
    <w:rsid w:val="0085075A"/>
    <w:rsid w:val="008507EA"/>
    <w:rsid w:val="0085083C"/>
    <w:rsid w:val="0085087E"/>
    <w:rsid w:val="0085091B"/>
    <w:rsid w:val="008509A9"/>
    <w:rsid w:val="00850A61"/>
    <w:rsid w:val="00850B2D"/>
    <w:rsid w:val="00850D4D"/>
    <w:rsid w:val="00850E4D"/>
    <w:rsid w:val="00850F0C"/>
    <w:rsid w:val="00851030"/>
    <w:rsid w:val="008511E9"/>
    <w:rsid w:val="008511F8"/>
    <w:rsid w:val="0085122E"/>
    <w:rsid w:val="0085123E"/>
    <w:rsid w:val="008513C2"/>
    <w:rsid w:val="00851520"/>
    <w:rsid w:val="0085187D"/>
    <w:rsid w:val="00851B71"/>
    <w:rsid w:val="00851C14"/>
    <w:rsid w:val="00851C6B"/>
    <w:rsid w:val="00851D0F"/>
    <w:rsid w:val="00851D7A"/>
    <w:rsid w:val="00851E38"/>
    <w:rsid w:val="00851E95"/>
    <w:rsid w:val="00852034"/>
    <w:rsid w:val="008522F1"/>
    <w:rsid w:val="008526BB"/>
    <w:rsid w:val="00852884"/>
    <w:rsid w:val="008528AD"/>
    <w:rsid w:val="00852A03"/>
    <w:rsid w:val="00852AA3"/>
    <w:rsid w:val="00852CB8"/>
    <w:rsid w:val="00852D09"/>
    <w:rsid w:val="00852D0A"/>
    <w:rsid w:val="00852FCC"/>
    <w:rsid w:val="0085309D"/>
    <w:rsid w:val="00853146"/>
    <w:rsid w:val="008532C9"/>
    <w:rsid w:val="0085377F"/>
    <w:rsid w:val="0085380D"/>
    <w:rsid w:val="00853817"/>
    <w:rsid w:val="0085399A"/>
    <w:rsid w:val="00853A18"/>
    <w:rsid w:val="00853A2E"/>
    <w:rsid w:val="00853D61"/>
    <w:rsid w:val="00853EBF"/>
    <w:rsid w:val="00853F3F"/>
    <w:rsid w:val="0085414D"/>
    <w:rsid w:val="008542C2"/>
    <w:rsid w:val="00854360"/>
    <w:rsid w:val="00854396"/>
    <w:rsid w:val="00854640"/>
    <w:rsid w:val="00854853"/>
    <w:rsid w:val="00854960"/>
    <w:rsid w:val="00854F65"/>
    <w:rsid w:val="00855014"/>
    <w:rsid w:val="0085503E"/>
    <w:rsid w:val="00855155"/>
    <w:rsid w:val="008551A8"/>
    <w:rsid w:val="008552F9"/>
    <w:rsid w:val="00855301"/>
    <w:rsid w:val="00855349"/>
    <w:rsid w:val="008554B1"/>
    <w:rsid w:val="00855763"/>
    <w:rsid w:val="00855930"/>
    <w:rsid w:val="00855949"/>
    <w:rsid w:val="00855A1E"/>
    <w:rsid w:val="00855A23"/>
    <w:rsid w:val="00855B8D"/>
    <w:rsid w:val="00855DE1"/>
    <w:rsid w:val="00855E80"/>
    <w:rsid w:val="00855E96"/>
    <w:rsid w:val="00855F18"/>
    <w:rsid w:val="00856000"/>
    <w:rsid w:val="008560AB"/>
    <w:rsid w:val="008562F8"/>
    <w:rsid w:val="008563CD"/>
    <w:rsid w:val="00856443"/>
    <w:rsid w:val="00856445"/>
    <w:rsid w:val="0085660B"/>
    <w:rsid w:val="00856614"/>
    <w:rsid w:val="0085687C"/>
    <w:rsid w:val="00856897"/>
    <w:rsid w:val="008568B9"/>
    <w:rsid w:val="0085692D"/>
    <w:rsid w:val="00856A7B"/>
    <w:rsid w:val="00856BA5"/>
    <w:rsid w:val="00856E9A"/>
    <w:rsid w:val="008570A4"/>
    <w:rsid w:val="008570F2"/>
    <w:rsid w:val="008571F1"/>
    <w:rsid w:val="0085725A"/>
    <w:rsid w:val="00857575"/>
    <w:rsid w:val="008575E6"/>
    <w:rsid w:val="00857636"/>
    <w:rsid w:val="0085771B"/>
    <w:rsid w:val="0085781D"/>
    <w:rsid w:val="00857896"/>
    <w:rsid w:val="00857AA9"/>
    <w:rsid w:val="00857E11"/>
    <w:rsid w:val="00857EBF"/>
    <w:rsid w:val="0085CA0F"/>
    <w:rsid w:val="00860139"/>
    <w:rsid w:val="0086017B"/>
    <w:rsid w:val="00860205"/>
    <w:rsid w:val="0086024B"/>
    <w:rsid w:val="008603A7"/>
    <w:rsid w:val="008603F9"/>
    <w:rsid w:val="0086075D"/>
    <w:rsid w:val="00860913"/>
    <w:rsid w:val="00860919"/>
    <w:rsid w:val="00860DBB"/>
    <w:rsid w:val="008612F4"/>
    <w:rsid w:val="008615D6"/>
    <w:rsid w:val="00861857"/>
    <w:rsid w:val="00861908"/>
    <w:rsid w:val="00861938"/>
    <w:rsid w:val="00861999"/>
    <w:rsid w:val="00861A23"/>
    <w:rsid w:val="00861BAF"/>
    <w:rsid w:val="00861D07"/>
    <w:rsid w:val="00861D4D"/>
    <w:rsid w:val="00861DC2"/>
    <w:rsid w:val="00861E1F"/>
    <w:rsid w:val="00861E3A"/>
    <w:rsid w:val="00862031"/>
    <w:rsid w:val="00862304"/>
    <w:rsid w:val="00862337"/>
    <w:rsid w:val="00862375"/>
    <w:rsid w:val="008623A8"/>
    <w:rsid w:val="00862469"/>
    <w:rsid w:val="008624E3"/>
    <w:rsid w:val="00862502"/>
    <w:rsid w:val="008628BD"/>
    <w:rsid w:val="00862B7B"/>
    <w:rsid w:val="00862C80"/>
    <w:rsid w:val="00862CC1"/>
    <w:rsid w:val="00862F02"/>
    <w:rsid w:val="00862F39"/>
    <w:rsid w:val="00862F54"/>
    <w:rsid w:val="00862F6D"/>
    <w:rsid w:val="00862F8C"/>
    <w:rsid w:val="00863043"/>
    <w:rsid w:val="008630DC"/>
    <w:rsid w:val="008633F0"/>
    <w:rsid w:val="00863572"/>
    <w:rsid w:val="008635F1"/>
    <w:rsid w:val="008636AF"/>
    <w:rsid w:val="00863824"/>
    <w:rsid w:val="00863978"/>
    <w:rsid w:val="00863A35"/>
    <w:rsid w:val="00863BDD"/>
    <w:rsid w:val="00863C01"/>
    <w:rsid w:val="00864053"/>
    <w:rsid w:val="00864070"/>
    <w:rsid w:val="00864081"/>
    <w:rsid w:val="008640D5"/>
    <w:rsid w:val="00864116"/>
    <w:rsid w:val="00864281"/>
    <w:rsid w:val="008642A7"/>
    <w:rsid w:val="0086493F"/>
    <w:rsid w:val="00864AA4"/>
    <w:rsid w:val="00864AE4"/>
    <w:rsid w:val="00864B5B"/>
    <w:rsid w:val="00864BE6"/>
    <w:rsid w:val="00864C3B"/>
    <w:rsid w:val="00864F1F"/>
    <w:rsid w:val="00864F57"/>
    <w:rsid w:val="00865041"/>
    <w:rsid w:val="0086505A"/>
    <w:rsid w:val="00865146"/>
    <w:rsid w:val="0086516B"/>
    <w:rsid w:val="0086522B"/>
    <w:rsid w:val="00865251"/>
    <w:rsid w:val="00865269"/>
    <w:rsid w:val="00865395"/>
    <w:rsid w:val="008655E7"/>
    <w:rsid w:val="00865782"/>
    <w:rsid w:val="008658C8"/>
    <w:rsid w:val="0086591D"/>
    <w:rsid w:val="0086598F"/>
    <w:rsid w:val="00865A76"/>
    <w:rsid w:val="00865E92"/>
    <w:rsid w:val="00865EA8"/>
    <w:rsid w:val="00866002"/>
    <w:rsid w:val="008660D4"/>
    <w:rsid w:val="0086625D"/>
    <w:rsid w:val="0086645D"/>
    <w:rsid w:val="00866529"/>
    <w:rsid w:val="008666D8"/>
    <w:rsid w:val="0086675A"/>
    <w:rsid w:val="0086677F"/>
    <w:rsid w:val="0086697A"/>
    <w:rsid w:val="00866B92"/>
    <w:rsid w:val="00866C5F"/>
    <w:rsid w:val="00866DEB"/>
    <w:rsid w:val="00866DF4"/>
    <w:rsid w:val="00866F24"/>
    <w:rsid w:val="00866FCF"/>
    <w:rsid w:val="00867055"/>
    <w:rsid w:val="00867190"/>
    <w:rsid w:val="008671D1"/>
    <w:rsid w:val="0086726F"/>
    <w:rsid w:val="00867599"/>
    <w:rsid w:val="008677D9"/>
    <w:rsid w:val="008678C5"/>
    <w:rsid w:val="008679D7"/>
    <w:rsid w:val="00867A27"/>
    <w:rsid w:val="00867D02"/>
    <w:rsid w:val="00867F26"/>
    <w:rsid w:val="00870246"/>
    <w:rsid w:val="00870265"/>
    <w:rsid w:val="00870270"/>
    <w:rsid w:val="008702D7"/>
    <w:rsid w:val="00870456"/>
    <w:rsid w:val="00870615"/>
    <w:rsid w:val="00870680"/>
    <w:rsid w:val="0087070D"/>
    <w:rsid w:val="008709F8"/>
    <w:rsid w:val="00870B43"/>
    <w:rsid w:val="00870B8A"/>
    <w:rsid w:val="00870D87"/>
    <w:rsid w:val="00870D9B"/>
    <w:rsid w:val="00870DD0"/>
    <w:rsid w:val="00870ED1"/>
    <w:rsid w:val="00870FE0"/>
    <w:rsid w:val="0087108C"/>
    <w:rsid w:val="0087112B"/>
    <w:rsid w:val="008711A9"/>
    <w:rsid w:val="008712A3"/>
    <w:rsid w:val="008713E8"/>
    <w:rsid w:val="0087143F"/>
    <w:rsid w:val="008714C2"/>
    <w:rsid w:val="0087169C"/>
    <w:rsid w:val="00871700"/>
    <w:rsid w:val="00871973"/>
    <w:rsid w:val="008719A3"/>
    <w:rsid w:val="00871C12"/>
    <w:rsid w:val="00871CE1"/>
    <w:rsid w:val="00871DCE"/>
    <w:rsid w:val="00871DED"/>
    <w:rsid w:val="00871F39"/>
    <w:rsid w:val="00871F46"/>
    <w:rsid w:val="00871FA9"/>
    <w:rsid w:val="00871FAE"/>
    <w:rsid w:val="00872091"/>
    <w:rsid w:val="00872112"/>
    <w:rsid w:val="0087222E"/>
    <w:rsid w:val="00872280"/>
    <w:rsid w:val="008722B9"/>
    <w:rsid w:val="00872411"/>
    <w:rsid w:val="00872624"/>
    <w:rsid w:val="00872647"/>
    <w:rsid w:val="008726DF"/>
    <w:rsid w:val="0087270A"/>
    <w:rsid w:val="008727B3"/>
    <w:rsid w:val="008728E9"/>
    <w:rsid w:val="00872900"/>
    <w:rsid w:val="00872C97"/>
    <w:rsid w:val="00872CB6"/>
    <w:rsid w:val="00872DBB"/>
    <w:rsid w:val="008730BB"/>
    <w:rsid w:val="00873326"/>
    <w:rsid w:val="00873359"/>
    <w:rsid w:val="00873369"/>
    <w:rsid w:val="00873491"/>
    <w:rsid w:val="0087355B"/>
    <w:rsid w:val="00873698"/>
    <w:rsid w:val="008736ED"/>
    <w:rsid w:val="00873880"/>
    <w:rsid w:val="00873888"/>
    <w:rsid w:val="008739F1"/>
    <w:rsid w:val="00873C84"/>
    <w:rsid w:val="00873CD9"/>
    <w:rsid w:val="00873D93"/>
    <w:rsid w:val="00873DD2"/>
    <w:rsid w:val="00873E27"/>
    <w:rsid w:val="00873F8E"/>
    <w:rsid w:val="0087401E"/>
    <w:rsid w:val="00874119"/>
    <w:rsid w:val="008742C3"/>
    <w:rsid w:val="008743B6"/>
    <w:rsid w:val="008744CB"/>
    <w:rsid w:val="00874565"/>
    <w:rsid w:val="008747E9"/>
    <w:rsid w:val="0087489E"/>
    <w:rsid w:val="00874A2A"/>
    <w:rsid w:val="00874AEC"/>
    <w:rsid w:val="00874AFC"/>
    <w:rsid w:val="00874B94"/>
    <w:rsid w:val="00874BAD"/>
    <w:rsid w:val="00874C80"/>
    <w:rsid w:val="00874C83"/>
    <w:rsid w:val="00874EC4"/>
    <w:rsid w:val="00875211"/>
    <w:rsid w:val="00875288"/>
    <w:rsid w:val="00875490"/>
    <w:rsid w:val="008754A9"/>
    <w:rsid w:val="00875502"/>
    <w:rsid w:val="00875666"/>
    <w:rsid w:val="00875726"/>
    <w:rsid w:val="00875877"/>
    <w:rsid w:val="008759A1"/>
    <w:rsid w:val="00875A53"/>
    <w:rsid w:val="00875A87"/>
    <w:rsid w:val="00875B94"/>
    <w:rsid w:val="00875D11"/>
    <w:rsid w:val="00875D26"/>
    <w:rsid w:val="00875F60"/>
    <w:rsid w:val="00875FA9"/>
    <w:rsid w:val="008761C6"/>
    <w:rsid w:val="00876280"/>
    <w:rsid w:val="00876292"/>
    <w:rsid w:val="00876390"/>
    <w:rsid w:val="00876419"/>
    <w:rsid w:val="00876452"/>
    <w:rsid w:val="008766E6"/>
    <w:rsid w:val="008767E2"/>
    <w:rsid w:val="0087684B"/>
    <w:rsid w:val="00876C6F"/>
    <w:rsid w:val="00876CD0"/>
    <w:rsid w:val="00876CE0"/>
    <w:rsid w:val="00876DC1"/>
    <w:rsid w:val="00876EF7"/>
    <w:rsid w:val="00877081"/>
    <w:rsid w:val="00877143"/>
    <w:rsid w:val="008771C2"/>
    <w:rsid w:val="00877228"/>
    <w:rsid w:val="00877445"/>
    <w:rsid w:val="00877759"/>
    <w:rsid w:val="008778CB"/>
    <w:rsid w:val="00877956"/>
    <w:rsid w:val="00877989"/>
    <w:rsid w:val="00877D0D"/>
    <w:rsid w:val="00877D59"/>
    <w:rsid w:val="00877F99"/>
    <w:rsid w:val="00877F9C"/>
    <w:rsid w:val="0088001D"/>
    <w:rsid w:val="0088013A"/>
    <w:rsid w:val="008801D2"/>
    <w:rsid w:val="008804D2"/>
    <w:rsid w:val="008804E8"/>
    <w:rsid w:val="008805D0"/>
    <w:rsid w:val="00880654"/>
    <w:rsid w:val="00880670"/>
    <w:rsid w:val="008808E5"/>
    <w:rsid w:val="00880B88"/>
    <w:rsid w:val="00880C21"/>
    <w:rsid w:val="008812B3"/>
    <w:rsid w:val="0088134E"/>
    <w:rsid w:val="008813B5"/>
    <w:rsid w:val="008813CF"/>
    <w:rsid w:val="0088151C"/>
    <w:rsid w:val="008815FE"/>
    <w:rsid w:val="008818D1"/>
    <w:rsid w:val="008818E0"/>
    <w:rsid w:val="0088193A"/>
    <w:rsid w:val="00881A3C"/>
    <w:rsid w:val="00881B48"/>
    <w:rsid w:val="00881C17"/>
    <w:rsid w:val="00881CD9"/>
    <w:rsid w:val="0088214B"/>
    <w:rsid w:val="00882174"/>
    <w:rsid w:val="00882198"/>
    <w:rsid w:val="008821A2"/>
    <w:rsid w:val="008821D0"/>
    <w:rsid w:val="008821F4"/>
    <w:rsid w:val="00882238"/>
    <w:rsid w:val="00882504"/>
    <w:rsid w:val="008826A9"/>
    <w:rsid w:val="00882701"/>
    <w:rsid w:val="00882837"/>
    <w:rsid w:val="00882874"/>
    <w:rsid w:val="0088295C"/>
    <w:rsid w:val="00882967"/>
    <w:rsid w:val="00882A37"/>
    <w:rsid w:val="00882ACA"/>
    <w:rsid w:val="00882CA0"/>
    <w:rsid w:val="00882D30"/>
    <w:rsid w:val="00882DA1"/>
    <w:rsid w:val="00882DA2"/>
    <w:rsid w:val="00882DE6"/>
    <w:rsid w:val="00882E3C"/>
    <w:rsid w:val="00882F21"/>
    <w:rsid w:val="00882F7C"/>
    <w:rsid w:val="00882FAE"/>
    <w:rsid w:val="00882FC3"/>
    <w:rsid w:val="0088308A"/>
    <w:rsid w:val="008831F6"/>
    <w:rsid w:val="008832A0"/>
    <w:rsid w:val="0088348C"/>
    <w:rsid w:val="00883696"/>
    <w:rsid w:val="008836CC"/>
    <w:rsid w:val="00883729"/>
    <w:rsid w:val="00883787"/>
    <w:rsid w:val="008839E2"/>
    <w:rsid w:val="008839E9"/>
    <w:rsid w:val="00883BE0"/>
    <w:rsid w:val="00883C60"/>
    <w:rsid w:val="00883D4E"/>
    <w:rsid w:val="00883EDA"/>
    <w:rsid w:val="0088415E"/>
    <w:rsid w:val="0088429D"/>
    <w:rsid w:val="008842B8"/>
    <w:rsid w:val="00884397"/>
    <w:rsid w:val="00884404"/>
    <w:rsid w:val="0088442E"/>
    <w:rsid w:val="008844DE"/>
    <w:rsid w:val="0088454F"/>
    <w:rsid w:val="0088467C"/>
    <w:rsid w:val="0088474D"/>
    <w:rsid w:val="008847E0"/>
    <w:rsid w:val="008847F7"/>
    <w:rsid w:val="00884809"/>
    <w:rsid w:val="00884852"/>
    <w:rsid w:val="00884907"/>
    <w:rsid w:val="00884CC4"/>
    <w:rsid w:val="00884DBB"/>
    <w:rsid w:val="00884E48"/>
    <w:rsid w:val="00885086"/>
    <w:rsid w:val="008850A4"/>
    <w:rsid w:val="0088510E"/>
    <w:rsid w:val="00885126"/>
    <w:rsid w:val="00885390"/>
    <w:rsid w:val="008854B6"/>
    <w:rsid w:val="008855E4"/>
    <w:rsid w:val="008856D6"/>
    <w:rsid w:val="0088570D"/>
    <w:rsid w:val="00885904"/>
    <w:rsid w:val="00885B10"/>
    <w:rsid w:val="00885B95"/>
    <w:rsid w:val="00885E66"/>
    <w:rsid w:val="00885E75"/>
    <w:rsid w:val="00885EBB"/>
    <w:rsid w:val="00885F64"/>
    <w:rsid w:val="00885F7F"/>
    <w:rsid w:val="00885FD1"/>
    <w:rsid w:val="00886079"/>
    <w:rsid w:val="0088638D"/>
    <w:rsid w:val="008867BC"/>
    <w:rsid w:val="00886921"/>
    <w:rsid w:val="00886A81"/>
    <w:rsid w:val="00886A8D"/>
    <w:rsid w:val="00886B4B"/>
    <w:rsid w:val="00886B56"/>
    <w:rsid w:val="00886C13"/>
    <w:rsid w:val="00886CBB"/>
    <w:rsid w:val="00886CD2"/>
    <w:rsid w:val="00886CE9"/>
    <w:rsid w:val="00886CF3"/>
    <w:rsid w:val="0088705A"/>
    <w:rsid w:val="0088712E"/>
    <w:rsid w:val="00887553"/>
    <w:rsid w:val="008876F7"/>
    <w:rsid w:val="00887821"/>
    <w:rsid w:val="00887828"/>
    <w:rsid w:val="00887879"/>
    <w:rsid w:val="00887966"/>
    <w:rsid w:val="00887A45"/>
    <w:rsid w:val="00887BB2"/>
    <w:rsid w:val="00887BBC"/>
    <w:rsid w:val="00887C95"/>
    <w:rsid w:val="00887CB2"/>
    <w:rsid w:val="00887D2A"/>
    <w:rsid w:val="00887E24"/>
    <w:rsid w:val="00887F67"/>
    <w:rsid w:val="008900AE"/>
    <w:rsid w:val="008900C6"/>
    <w:rsid w:val="008901AE"/>
    <w:rsid w:val="008901F5"/>
    <w:rsid w:val="0089024C"/>
    <w:rsid w:val="008904F2"/>
    <w:rsid w:val="0089069A"/>
    <w:rsid w:val="00890771"/>
    <w:rsid w:val="008907D6"/>
    <w:rsid w:val="00890A0D"/>
    <w:rsid w:val="00890ADB"/>
    <w:rsid w:val="00890B76"/>
    <w:rsid w:val="00890D16"/>
    <w:rsid w:val="00890DD9"/>
    <w:rsid w:val="00890E27"/>
    <w:rsid w:val="00890E2A"/>
    <w:rsid w:val="00890FB9"/>
    <w:rsid w:val="008911A1"/>
    <w:rsid w:val="008911D2"/>
    <w:rsid w:val="008912E5"/>
    <w:rsid w:val="008913C9"/>
    <w:rsid w:val="008914D3"/>
    <w:rsid w:val="008915D5"/>
    <w:rsid w:val="008915F4"/>
    <w:rsid w:val="00891639"/>
    <w:rsid w:val="00891741"/>
    <w:rsid w:val="008918D0"/>
    <w:rsid w:val="0089195C"/>
    <w:rsid w:val="00891976"/>
    <w:rsid w:val="00891A6B"/>
    <w:rsid w:val="00891AEB"/>
    <w:rsid w:val="00891B1A"/>
    <w:rsid w:val="00891BA1"/>
    <w:rsid w:val="00891C1F"/>
    <w:rsid w:val="00891E6F"/>
    <w:rsid w:val="00891EFB"/>
    <w:rsid w:val="00892063"/>
    <w:rsid w:val="00892200"/>
    <w:rsid w:val="00892247"/>
    <w:rsid w:val="0089224F"/>
    <w:rsid w:val="00892277"/>
    <w:rsid w:val="0089229E"/>
    <w:rsid w:val="00892597"/>
    <w:rsid w:val="008925B7"/>
    <w:rsid w:val="008925F6"/>
    <w:rsid w:val="008926D7"/>
    <w:rsid w:val="0089275D"/>
    <w:rsid w:val="008928F3"/>
    <w:rsid w:val="00892A36"/>
    <w:rsid w:val="00892A4B"/>
    <w:rsid w:val="00892BEC"/>
    <w:rsid w:val="00892DC4"/>
    <w:rsid w:val="008930EE"/>
    <w:rsid w:val="008930F8"/>
    <w:rsid w:val="00893239"/>
    <w:rsid w:val="0089341C"/>
    <w:rsid w:val="008934C2"/>
    <w:rsid w:val="0089350F"/>
    <w:rsid w:val="0089362C"/>
    <w:rsid w:val="008936E8"/>
    <w:rsid w:val="0089372A"/>
    <w:rsid w:val="00893785"/>
    <w:rsid w:val="00893855"/>
    <w:rsid w:val="00893978"/>
    <w:rsid w:val="00893A8E"/>
    <w:rsid w:val="00893C67"/>
    <w:rsid w:val="00893D73"/>
    <w:rsid w:val="00893D75"/>
    <w:rsid w:val="00893E2F"/>
    <w:rsid w:val="00893E86"/>
    <w:rsid w:val="00893FB9"/>
    <w:rsid w:val="00893FE4"/>
    <w:rsid w:val="0089404B"/>
    <w:rsid w:val="00894085"/>
    <w:rsid w:val="0089420E"/>
    <w:rsid w:val="008942CF"/>
    <w:rsid w:val="0089433D"/>
    <w:rsid w:val="0089445F"/>
    <w:rsid w:val="00894489"/>
    <w:rsid w:val="008945A8"/>
    <w:rsid w:val="008945E4"/>
    <w:rsid w:val="0089460F"/>
    <w:rsid w:val="00894637"/>
    <w:rsid w:val="00894652"/>
    <w:rsid w:val="00894756"/>
    <w:rsid w:val="008949BC"/>
    <w:rsid w:val="00894A67"/>
    <w:rsid w:val="00894AD1"/>
    <w:rsid w:val="00894B12"/>
    <w:rsid w:val="00894C1E"/>
    <w:rsid w:val="00894C8B"/>
    <w:rsid w:val="00894CD6"/>
    <w:rsid w:val="00894EA3"/>
    <w:rsid w:val="00894EC0"/>
    <w:rsid w:val="00894EF6"/>
    <w:rsid w:val="00895242"/>
    <w:rsid w:val="008952FE"/>
    <w:rsid w:val="00895411"/>
    <w:rsid w:val="008957B4"/>
    <w:rsid w:val="008959E0"/>
    <w:rsid w:val="008959F4"/>
    <w:rsid w:val="00895A01"/>
    <w:rsid w:val="00895A96"/>
    <w:rsid w:val="00895B4E"/>
    <w:rsid w:val="00895D80"/>
    <w:rsid w:val="00896110"/>
    <w:rsid w:val="00896124"/>
    <w:rsid w:val="00896243"/>
    <w:rsid w:val="008963A5"/>
    <w:rsid w:val="00896514"/>
    <w:rsid w:val="008967A4"/>
    <w:rsid w:val="0089680D"/>
    <w:rsid w:val="00896857"/>
    <w:rsid w:val="00896907"/>
    <w:rsid w:val="00896985"/>
    <w:rsid w:val="00896A1D"/>
    <w:rsid w:val="00896AA6"/>
    <w:rsid w:val="00896AC0"/>
    <w:rsid w:val="00896CD8"/>
    <w:rsid w:val="00896D5D"/>
    <w:rsid w:val="00896D9D"/>
    <w:rsid w:val="00896E52"/>
    <w:rsid w:val="00896EAF"/>
    <w:rsid w:val="00896FCB"/>
    <w:rsid w:val="00897062"/>
    <w:rsid w:val="0089710E"/>
    <w:rsid w:val="0089724D"/>
    <w:rsid w:val="0089728A"/>
    <w:rsid w:val="0089764B"/>
    <w:rsid w:val="0089771D"/>
    <w:rsid w:val="008977F7"/>
    <w:rsid w:val="008978A6"/>
    <w:rsid w:val="00897989"/>
    <w:rsid w:val="00897B9B"/>
    <w:rsid w:val="00897C1E"/>
    <w:rsid w:val="00897EEE"/>
    <w:rsid w:val="008A01D9"/>
    <w:rsid w:val="008A01DA"/>
    <w:rsid w:val="008A0223"/>
    <w:rsid w:val="008A023C"/>
    <w:rsid w:val="008A0278"/>
    <w:rsid w:val="008A02DF"/>
    <w:rsid w:val="008A05BA"/>
    <w:rsid w:val="008A06D5"/>
    <w:rsid w:val="008A0761"/>
    <w:rsid w:val="008A083C"/>
    <w:rsid w:val="008A0848"/>
    <w:rsid w:val="008A08EC"/>
    <w:rsid w:val="008A0CE8"/>
    <w:rsid w:val="008A0D31"/>
    <w:rsid w:val="008A1034"/>
    <w:rsid w:val="008A1271"/>
    <w:rsid w:val="008A12F0"/>
    <w:rsid w:val="008A139E"/>
    <w:rsid w:val="008A13AB"/>
    <w:rsid w:val="008A1531"/>
    <w:rsid w:val="008A15F5"/>
    <w:rsid w:val="008A164B"/>
    <w:rsid w:val="008A1915"/>
    <w:rsid w:val="008A193C"/>
    <w:rsid w:val="008A19FE"/>
    <w:rsid w:val="008A1A56"/>
    <w:rsid w:val="008A1AFF"/>
    <w:rsid w:val="008A1BD1"/>
    <w:rsid w:val="008A1D33"/>
    <w:rsid w:val="008A1D5D"/>
    <w:rsid w:val="008A1E4C"/>
    <w:rsid w:val="008A1F34"/>
    <w:rsid w:val="008A2079"/>
    <w:rsid w:val="008A21B5"/>
    <w:rsid w:val="008A2244"/>
    <w:rsid w:val="008A2412"/>
    <w:rsid w:val="008A2434"/>
    <w:rsid w:val="008A2464"/>
    <w:rsid w:val="008A24BC"/>
    <w:rsid w:val="008A2508"/>
    <w:rsid w:val="008A2849"/>
    <w:rsid w:val="008A285F"/>
    <w:rsid w:val="008A288E"/>
    <w:rsid w:val="008A289C"/>
    <w:rsid w:val="008A2943"/>
    <w:rsid w:val="008A294C"/>
    <w:rsid w:val="008A2A7B"/>
    <w:rsid w:val="008A2B11"/>
    <w:rsid w:val="008A2B45"/>
    <w:rsid w:val="008A2BCF"/>
    <w:rsid w:val="008A2F62"/>
    <w:rsid w:val="008A311D"/>
    <w:rsid w:val="008A3158"/>
    <w:rsid w:val="008A3363"/>
    <w:rsid w:val="008A3371"/>
    <w:rsid w:val="008A3495"/>
    <w:rsid w:val="008A3590"/>
    <w:rsid w:val="008A3715"/>
    <w:rsid w:val="008A3787"/>
    <w:rsid w:val="008A379F"/>
    <w:rsid w:val="008A3A46"/>
    <w:rsid w:val="008A3A99"/>
    <w:rsid w:val="008A3B3A"/>
    <w:rsid w:val="008A3C31"/>
    <w:rsid w:val="008A3C3E"/>
    <w:rsid w:val="008A3D2E"/>
    <w:rsid w:val="008A3F4A"/>
    <w:rsid w:val="008A4010"/>
    <w:rsid w:val="008A4354"/>
    <w:rsid w:val="008A4384"/>
    <w:rsid w:val="008A43A1"/>
    <w:rsid w:val="008A441F"/>
    <w:rsid w:val="008A442C"/>
    <w:rsid w:val="008A45A2"/>
    <w:rsid w:val="008A45E8"/>
    <w:rsid w:val="008A465E"/>
    <w:rsid w:val="008A47B6"/>
    <w:rsid w:val="008A48FE"/>
    <w:rsid w:val="008A4A1A"/>
    <w:rsid w:val="008A4A47"/>
    <w:rsid w:val="008A4BE1"/>
    <w:rsid w:val="008A4F0A"/>
    <w:rsid w:val="008A4F0C"/>
    <w:rsid w:val="008A50EE"/>
    <w:rsid w:val="008A5299"/>
    <w:rsid w:val="008A5320"/>
    <w:rsid w:val="008A5398"/>
    <w:rsid w:val="008A5551"/>
    <w:rsid w:val="008A5755"/>
    <w:rsid w:val="008A5A88"/>
    <w:rsid w:val="008A5CE8"/>
    <w:rsid w:val="008A5D14"/>
    <w:rsid w:val="008A5D79"/>
    <w:rsid w:val="008A5EA8"/>
    <w:rsid w:val="008A5ECF"/>
    <w:rsid w:val="008A5FFF"/>
    <w:rsid w:val="008A6108"/>
    <w:rsid w:val="008A624D"/>
    <w:rsid w:val="008A62CE"/>
    <w:rsid w:val="008A630C"/>
    <w:rsid w:val="008A63AE"/>
    <w:rsid w:val="008A63F2"/>
    <w:rsid w:val="008A6439"/>
    <w:rsid w:val="008A65B8"/>
    <w:rsid w:val="008A6615"/>
    <w:rsid w:val="008A66DA"/>
    <w:rsid w:val="008A6706"/>
    <w:rsid w:val="008A672A"/>
    <w:rsid w:val="008A673C"/>
    <w:rsid w:val="008A6904"/>
    <w:rsid w:val="008A6B03"/>
    <w:rsid w:val="008A6BB1"/>
    <w:rsid w:val="008A6C7C"/>
    <w:rsid w:val="008A6DA9"/>
    <w:rsid w:val="008A6E00"/>
    <w:rsid w:val="008A6E74"/>
    <w:rsid w:val="008A718C"/>
    <w:rsid w:val="008A73A0"/>
    <w:rsid w:val="008A73CA"/>
    <w:rsid w:val="008A73F4"/>
    <w:rsid w:val="008A7465"/>
    <w:rsid w:val="008A747F"/>
    <w:rsid w:val="008A75B9"/>
    <w:rsid w:val="008A7722"/>
    <w:rsid w:val="008A79DE"/>
    <w:rsid w:val="008A7BC2"/>
    <w:rsid w:val="008A7C55"/>
    <w:rsid w:val="008A7E2B"/>
    <w:rsid w:val="008A7E84"/>
    <w:rsid w:val="008A7EEE"/>
    <w:rsid w:val="008B0042"/>
    <w:rsid w:val="008B0130"/>
    <w:rsid w:val="008B015C"/>
    <w:rsid w:val="008B018A"/>
    <w:rsid w:val="008B01C8"/>
    <w:rsid w:val="008B0265"/>
    <w:rsid w:val="008B0304"/>
    <w:rsid w:val="008B077F"/>
    <w:rsid w:val="008B093D"/>
    <w:rsid w:val="008B09BE"/>
    <w:rsid w:val="008B0A3F"/>
    <w:rsid w:val="008B0A75"/>
    <w:rsid w:val="008B0ADB"/>
    <w:rsid w:val="008B0C09"/>
    <w:rsid w:val="008B0D0F"/>
    <w:rsid w:val="008B0D47"/>
    <w:rsid w:val="008B0DF0"/>
    <w:rsid w:val="008B0EA0"/>
    <w:rsid w:val="008B0ECB"/>
    <w:rsid w:val="008B129E"/>
    <w:rsid w:val="008B1340"/>
    <w:rsid w:val="008B1757"/>
    <w:rsid w:val="008B1930"/>
    <w:rsid w:val="008B1B10"/>
    <w:rsid w:val="008B1C33"/>
    <w:rsid w:val="008B1C8D"/>
    <w:rsid w:val="008B1CCE"/>
    <w:rsid w:val="008B1D8F"/>
    <w:rsid w:val="008B1E64"/>
    <w:rsid w:val="008B21DE"/>
    <w:rsid w:val="008B2268"/>
    <w:rsid w:val="008B22F0"/>
    <w:rsid w:val="008B2393"/>
    <w:rsid w:val="008B24B5"/>
    <w:rsid w:val="008B2527"/>
    <w:rsid w:val="008B2607"/>
    <w:rsid w:val="008B2663"/>
    <w:rsid w:val="008B2671"/>
    <w:rsid w:val="008B2AF3"/>
    <w:rsid w:val="008B2BC3"/>
    <w:rsid w:val="008B2C50"/>
    <w:rsid w:val="008B2CBB"/>
    <w:rsid w:val="008B2DB1"/>
    <w:rsid w:val="008B2E61"/>
    <w:rsid w:val="008B2F35"/>
    <w:rsid w:val="008B31CB"/>
    <w:rsid w:val="008B320D"/>
    <w:rsid w:val="008B3262"/>
    <w:rsid w:val="008B34D3"/>
    <w:rsid w:val="008B34F3"/>
    <w:rsid w:val="008B36C6"/>
    <w:rsid w:val="008B3714"/>
    <w:rsid w:val="008B3899"/>
    <w:rsid w:val="008B38EF"/>
    <w:rsid w:val="008B38F5"/>
    <w:rsid w:val="008B3ABE"/>
    <w:rsid w:val="008B3B52"/>
    <w:rsid w:val="008B3BAF"/>
    <w:rsid w:val="008B3C8D"/>
    <w:rsid w:val="008B3C99"/>
    <w:rsid w:val="008B3E27"/>
    <w:rsid w:val="008B3E97"/>
    <w:rsid w:val="008B3F65"/>
    <w:rsid w:val="008B3FE6"/>
    <w:rsid w:val="008B40CC"/>
    <w:rsid w:val="008B4198"/>
    <w:rsid w:val="008B41E0"/>
    <w:rsid w:val="008B4232"/>
    <w:rsid w:val="008B4324"/>
    <w:rsid w:val="008B443D"/>
    <w:rsid w:val="008B483B"/>
    <w:rsid w:val="008B4A23"/>
    <w:rsid w:val="008B4B6F"/>
    <w:rsid w:val="008B4B77"/>
    <w:rsid w:val="008B4B81"/>
    <w:rsid w:val="008B5119"/>
    <w:rsid w:val="008B5169"/>
    <w:rsid w:val="008B5184"/>
    <w:rsid w:val="008B5199"/>
    <w:rsid w:val="008B536E"/>
    <w:rsid w:val="008B548E"/>
    <w:rsid w:val="008B549B"/>
    <w:rsid w:val="008B551C"/>
    <w:rsid w:val="008B55B6"/>
    <w:rsid w:val="008B55D9"/>
    <w:rsid w:val="008B55EF"/>
    <w:rsid w:val="008B56B3"/>
    <w:rsid w:val="008B596A"/>
    <w:rsid w:val="008B5A04"/>
    <w:rsid w:val="008B5DE7"/>
    <w:rsid w:val="008B5F83"/>
    <w:rsid w:val="008B6216"/>
    <w:rsid w:val="008B62CA"/>
    <w:rsid w:val="008B640C"/>
    <w:rsid w:val="008B6470"/>
    <w:rsid w:val="008B6557"/>
    <w:rsid w:val="008B6670"/>
    <w:rsid w:val="008B68F6"/>
    <w:rsid w:val="008B6AC6"/>
    <w:rsid w:val="008B6BB7"/>
    <w:rsid w:val="008B6D09"/>
    <w:rsid w:val="008B6EE7"/>
    <w:rsid w:val="008B6EF9"/>
    <w:rsid w:val="008B724B"/>
    <w:rsid w:val="008B7395"/>
    <w:rsid w:val="008B748E"/>
    <w:rsid w:val="008B76F7"/>
    <w:rsid w:val="008B7768"/>
    <w:rsid w:val="008B7828"/>
    <w:rsid w:val="008B788A"/>
    <w:rsid w:val="008B7992"/>
    <w:rsid w:val="008B799C"/>
    <w:rsid w:val="008B7A09"/>
    <w:rsid w:val="008B7A2B"/>
    <w:rsid w:val="008B7A71"/>
    <w:rsid w:val="008B7AB1"/>
    <w:rsid w:val="008B7B3C"/>
    <w:rsid w:val="008B7B54"/>
    <w:rsid w:val="008B7BAD"/>
    <w:rsid w:val="008B7BCB"/>
    <w:rsid w:val="008B7BFB"/>
    <w:rsid w:val="008B7C3C"/>
    <w:rsid w:val="008B7CA1"/>
    <w:rsid w:val="008B7D0C"/>
    <w:rsid w:val="008B7D7E"/>
    <w:rsid w:val="008B7E7D"/>
    <w:rsid w:val="008C0099"/>
    <w:rsid w:val="008C00B6"/>
    <w:rsid w:val="008C00D4"/>
    <w:rsid w:val="008C00ED"/>
    <w:rsid w:val="008C0260"/>
    <w:rsid w:val="008C029B"/>
    <w:rsid w:val="008C03E1"/>
    <w:rsid w:val="008C04C8"/>
    <w:rsid w:val="008C09B4"/>
    <w:rsid w:val="008C0DD3"/>
    <w:rsid w:val="008C0E14"/>
    <w:rsid w:val="008C0E5E"/>
    <w:rsid w:val="008C0FB7"/>
    <w:rsid w:val="008C1057"/>
    <w:rsid w:val="008C10A5"/>
    <w:rsid w:val="008C1307"/>
    <w:rsid w:val="008C143C"/>
    <w:rsid w:val="008C15A2"/>
    <w:rsid w:val="008C15D0"/>
    <w:rsid w:val="008C163A"/>
    <w:rsid w:val="008C16EE"/>
    <w:rsid w:val="008C1948"/>
    <w:rsid w:val="008C1A25"/>
    <w:rsid w:val="008C1BDE"/>
    <w:rsid w:val="008C1D51"/>
    <w:rsid w:val="008C1E23"/>
    <w:rsid w:val="008C1E58"/>
    <w:rsid w:val="008C1F34"/>
    <w:rsid w:val="008C1F36"/>
    <w:rsid w:val="008C1F8A"/>
    <w:rsid w:val="008C2089"/>
    <w:rsid w:val="008C242D"/>
    <w:rsid w:val="008C2551"/>
    <w:rsid w:val="008C2569"/>
    <w:rsid w:val="008C2735"/>
    <w:rsid w:val="008C2882"/>
    <w:rsid w:val="008C2A25"/>
    <w:rsid w:val="008C2AFA"/>
    <w:rsid w:val="008C2B40"/>
    <w:rsid w:val="008C2C94"/>
    <w:rsid w:val="008C2E5E"/>
    <w:rsid w:val="008C2F91"/>
    <w:rsid w:val="008C3016"/>
    <w:rsid w:val="008C32FA"/>
    <w:rsid w:val="008C3363"/>
    <w:rsid w:val="008C346B"/>
    <w:rsid w:val="008C353B"/>
    <w:rsid w:val="008C3542"/>
    <w:rsid w:val="008C357E"/>
    <w:rsid w:val="008C3710"/>
    <w:rsid w:val="008C38F0"/>
    <w:rsid w:val="008C3BC7"/>
    <w:rsid w:val="008C3C23"/>
    <w:rsid w:val="008C3C2D"/>
    <w:rsid w:val="008C4004"/>
    <w:rsid w:val="008C40D5"/>
    <w:rsid w:val="008C410F"/>
    <w:rsid w:val="008C44B8"/>
    <w:rsid w:val="008C4528"/>
    <w:rsid w:val="008C4595"/>
    <w:rsid w:val="008C45BF"/>
    <w:rsid w:val="008C49BB"/>
    <w:rsid w:val="008C49DD"/>
    <w:rsid w:val="008C4A60"/>
    <w:rsid w:val="008C4C03"/>
    <w:rsid w:val="008C4D13"/>
    <w:rsid w:val="008C4D32"/>
    <w:rsid w:val="008C4D55"/>
    <w:rsid w:val="008C4DCF"/>
    <w:rsid w:val="008C4E35"/>
    <w:rsid w:val="008C50F9"/>
    <w:rsid w:val="008C516B"/>
    <w:rsid w:val="008C5234"/>
    <w:rsid w:val="008C524F"/>
    <w:rsid w:val="008C52DE"/>
    <w:rsid w:val="008C5422"/>
    <w:rsid w:val="008C545B"/>
    <w:rsid w:val="008C54A6"/>
    <w:rsid w:val="008C551F"/>
    <w:rsid w:val="008C5610"/>
    <w:rsid w:val="008C5739"/>
    <w:rsid w:val="008C588E"/>
    <w:rsid w:val="008C5A2C"/>
    <w:rsid w:val="008C5B7B"/>
    <w:rsid w:val="008C5E61"/>
    <w:rsid w:val="008C6103"/>
    <w:rsid w:val="008C610B"/>
    <w:rsid w:val="008C63B0"/>
    <w:rsid w:val="008C63E5"/>
    <w:rsid w:val="008C64BB"/>
    <w:rsid w:val="008C651A"/>
    <w:rsid w:val="008C6586"/>
    <w:rsid w:val="008C678A"/>
    <w:rsid w:val="008C6B88"/>
    <w:rsid w:val="008C6BF5"/>
    <w:rsid w:val="008C6FF8"/>
    <w:rsid w:val="008C700F"/>
    <w:rsid w:val="008C7017"/>
    <w:rsid w:val="008C704D"/>
    <w:rsid w:val="008C7164"/>
    <w:rsid w:val="008C71A8"/>
    <w:rsid w:val="008C7247"/>
    <w:rsid w:val="008C7282"/>
    <w:rsid w:val="008C7320"/>
    <w:rsid w:val="008C7446"/>
    <w:rsid w:val="008C762E"/>
    <w:rsid w:val="008C7736"/>
    <w:rsid w:val="008C7778"/>
    <w:rsid w:val="008C7897"/>
    <w:rsid w:val="008C7A29"/>
    <w:rsid w:val="008C7A94"/>
    <w:rsid w:val="008C7B5A"/>
    <w:rsid w:val="008C7D1B"/>
    <w:rsid w:val="008C7D1F"/>
    <w:rsid w:val="008C7DE0"/>
    <w:rsid w:val="008C7E0C"/>
    <w:rsid w:val="008C7E48"/>
    <w:rsid w:val="008C7EAE"/>
    <w:rsid w:val="008C7ECB"/>
    <w:rsid w:val="008D0040"/>
    <w:rsid w:val="008D0078"/>
    <w:rsid w:val="008D00F7"/>
    <w:rsid w:val="008D0278"/>
    <w:rsid w:val="008D04EA"/>
    <w:rsid w:val="008D09DC"/>
    <w:rsid w:val="008D0C99"/>
    <w:rsid w:val="008D0CD1"/>
    <w:rsid w:val="008D0CF9"/>
    <w:rsid w:val="008D0D89"/>
    <w:rsid w:val="008D0DB9"/>
    <w:rsid w:val="008D0F09"/>
    <w:rsid w:val="008D0F5B"/>
    <w:rsid w:val="008D1034"/>
    <w:rsid w:val="008D10CD"/>
    <w:rsid w:val="008D111B"/>
    <w:rsid w:val="008D11B5"/>
    <w:rsid w:val="008D11BD"/>
    <w:rsid w:val="008D11E2"/>
    <w:rsid w:val="008D1248"/>
    <w:rsid w:val="008D12A4"/>
    <w:rsid w:val="008D12CC"/>
    <w:rsid w:val="008D132C"/>
    <w:rsid w:val="008D135C"/>
    <w:rsid w:val="008D14A3"/>
    <w:rsid w:val="008D158C"/>
    <w:rsid w:val="008D178F"/>
    <w:rsid w:val="008D1940"/>
    <w:rsid w:val="008D1992"/>
    <w:rsid w:val="008D1A07"/>
    <w:rsid w:val="008D1B83"/>
    <w:rsid w:val="008D1C20"/>
    <w:rsid w:val="008D1C39"/>
    <w:rsid w:val="008D1D31"/>
    <w:rsid w:val="008D1E62"/>
    <w:rsid w:val="008D1F5A"/>
    <w:rsid w:val="008D1FE8"/>
    <w:rsid w:val="008D201E"/>
    <w:rsid w:val="008D2127"/>
    <w:rsid w:val="008D2411"/>
    <w:rsid w:val="008D2484"/>
    <w:rsid w:val="008D2595"/>
    <w:rsid w:val="008D275C"/>
    <w:rsid w:val="008D28F7"/>
    <w:rsid w:val="008D29E1"/>
    <w:rsid w:val="008D2AAD"/>
    <w:rsid w:val="008D2DF2"/>
    <w:rsid w:val="008D2F5B"/>
    <w:rsid w:val="008D2FC7"/>
    <w:rsid w:val="008D3207"/>
    <w:rsid w:val="008D324D"/>
    <w:rsid w:val="008D32AD"/>
    <w:rsid w:val="008D32FB"/>
    <w:rsid w:val="008D3B86"/>
    <w:rsid w:val="008D3BD5"/>
    <w:rsid w:val="008D3DA2"/>
    <w:rsid w:val="008D3F1C"/>
    <w:rsid w:val="008D4119"/>
    <w:rsid w:val="008D42E7"/>
    <w:rsid w:val="008D43FD"/>
    <w:rsid w:val="008D4419"/>
    <w:rsid w:val="008D469D"/>
    <w:rsid w:val="008D4755"/>
    <w:rsid w:val="008D4826"/>
    <w:rsid w:val="008D48D2"/>
    <w:rsid w:val="008D49BE"/>
    <w:rsid w:val="008D4A81"/>
    <w:rsid w:val="008D4B0B"/>
    <w:rsid w:val="008D4B3E"/>
    <w:rsid w:val="008D4C3D"/>
    <w:rsid w:val="008D4CCD"/>
    <w:rsid w:val="008D4EF1"/>
    <w:rsid w:val="008D50AA"/>
    <w:rsid w:val="008D512B"/>
    <w:rsid w:val="008D512F"/>
    <w:rsid w:val="008D52EC"/>
    <w:rsid w:val="008D52EE"/>
    <w:rsid w:val="008D545F"/>
    <w:rsid w:val="008D5602"/>
    <w:rsid w:val="008D59F7"/>
    <w:rsid w:val="008D5AE0"/>
    <w:rsid w:val="008D5B31"/>
    <w:rsid w:val="008D5BA8"/>
    <w:rsid w:val="008D5C06"/>
    <w:rsid w:val="008D5DD6"/>
    <w:rsid w:val="008D5E55"/>
    <w:rsid w:val="008D5F3A"/>
    <w:rsid w:val="008D6054"/>
    <w:rsid w:val="008D60AF"/>
    <w:rsid w:val="008D6103"/>
    <w:rsid w:val="008D6445"/>
    <w:rsid w:val="008D64C2"/>
    <w:rsid w:val="008D6690"/>
    <w:rsid w:val="008D66F3"/>
    <w:rsid w:val="008D6706"/>
    <w:rsid w:val="008D6781"/>
    <w:rsid w:val="008D679B"/>
    <w:rsid w:val="008D6A44"/>
    <w:rsid w:val="008D6A6E"/>
    <w:rsid w:val="008D6AAE"/>
    <w:rsid w:val="008D6B3E"/>
    <w:rsid w:val="008D6B67"/>
    <w:rsid w:val="008D6CAF"/>
    <w:rsid w:val="008D6CED"/>
    <w:rsid w:val="008D6F7E"/>
    <w:rsid w:val="008D6FB8"/>
    <w:rsid w:val="008D707A"/>
    <w:rsid w:val="008D71CE"/>
    <w:rsid w:val="008D7305"/>
    <w:rsid w:val="008D7419"/>
    <w:rsid w:val="008D743C"/>
    <w:rsid w:val="008D75A4"/>
    <w:rsid w:val="008D75DF"/>
    <w:rsid w:val="008D7606"/>
    <w:rsid w:val="008D763C"/>
    <w:rsid w:val="008D769F"/>
    <w:rsid w:val="008D7732"/>
    <w:rsid w:val="008D781F"/>
    <w:rsid w:val="008D783B"/>
    <w:rsid w:val="008D7A34"/>
    <w:rsid w:val="008D7BF2"/>
    <w:rsid w:val="008D7C54"/>
    <w:rsid w:val="008D7D8C"/>
    <w:rsid w:val="008D7FDD"/>
    <w:rsid w:val="008E015E"/>
    <w:rsid w:val="008E023A"/>
    <w:rsid w:val="008E03A1"/>
    <w:rsid w:val="008E03D8"/>
    <w:rsid w:val="008E044D"/>
    <w:rsid w:val="008E055F"/>
    <w:rsid w:val="008E05AA"/>
    <w:rsid w:val="008E05BA"/>
    <w:rsid w:val="008E072D"/>
    <w:rsid w:val="008E085B"/>
    <w:rsid w:val="008E0A84"/>
    <w:rsid w:val="008E0AB2"/>
    <w:rsid w:val="008E0B30"/>
    <w:rsid w:val="008E0D3C"/>
    <w:rsid w:val="008E10A9"/>
    <w:rsid w:val="008E114C"/>
    <w:rsid w:val="008E11E1"/>
    <w:rsid w:val="008E126B"/>
    <w:rsid w:val="008E12EE"/>
    <w:rsid w:val="008E1535"/>
    <w:rsid w:val="008E153C"/>
    <w:rsid w:val="008E1548"/>
    <w:rsid w:val="008E1574"/>
    <w:rsid w:val="008E16D1"/>
    <w:rsid w:val="008E1B9E"/>
    <w:rsid w:val="008E1BED"/>
    <w:rsid w:val="008E1CA4"/>
    <w:rsid w:val="008E1D1A"/>
    <w:rsid w:val="008E1E29"/>
    <w:rsid w:val="008E1F47"/>
    <w:rsid w:val="008E1FFC"/>
    <w:rsid w:val="008E20EA"/>
    <w:rsid w:val="008E2138"/>
    <w:rsid w:val="008E2519"/>
    <w:rsid w:val="008E268F"/>
    <w:rsid w:val="008E2732"/>
    <w:rsid w:val="008E286E"/>
    <w:rsid w:val="008E2978"/>
    <w:rsid w:val="008E2997"/>
    <w:rsid w:val="008E2BBB"/>
    <w:rsid w:val="008E2BCE"/>
    <w:rsid w:val="008E2C0C"/>
    <w:rsid w:val="008E2CAF"/>
    <w:rsid w:val="008E2D89"/>
    <w:rsid w:val="008E2FAB"/>
    <w:rsid w:val="008E30B6"/>
    <w:rsid w:val="008E3164"/>
    <w:rsid w:val="008E320B"/>
    <w:rsid w:val="008E3227"/>
    <w:rsid w:val="008E3229"/>
    <w:rsid w:val="008E3453"/>
    <w:rsid w:val="008E3477"/>
    <w:rsid w:val="008E35CE"/>
    <w:rsid w:val="008E371B"/>
    <w:rsid w:val="008E37E8"/>
    <w:rsid w:val="008E382F"/>
    <w:rsid w:val="008E3A77"/>
    <w:rsid w:val="008E3A7B"/>
    <w:rsid w:val="008E3B7D"/>
    <w:rsid w:val="008E3B8E"/>
    <w:rsid w:val="008E3BE4"/>
    <w:rsid w:val="008E3F23"/>
    <w:rsid w:val="008E42D6"/>
    <w:rsid w:val="008E4517"/>
    <w:rsid w:val="008E4610"/>
    <w:rsid w:val="008E4623"/>
    <w:rsid w:val="008E47ED"/>
    <w:rsid w:val="008E488C"/>
    <w:rsid w:val="008E49C8"/>
    <w:rsid w:val="008E4AF1"/>
    <w:rsid w:val="008E4CD2"/>
    <w:rsid w:val="008E4D71"/>
    <w:rsid w:val="008E4E3B"/>
    <w:rsid w:val="008E5045"/>
    <w:rsid w:val="008E5085"/>
    <w:rsid w:val="008E511A"/>
    <w:rsid w:val="008E55AB"/>
    <w:rsid w:val="008E56A4"/>
    <w:rsid w:val="008E573A"/>
    <w:rsid w:val="008E5A43"/>
    <w:rsid w:val="008E5A77"/>
    <w:rsid w:val="008E5AA4"/>
    <w:rsid w:val="008E5BD8"/>
    <w:rsid w:val="008E5C3A"/>
    <w:rsid w:val="008E5CB1"/>
    <w:rsid w:val="008E5E18"/>
    <w:rsid w:val="008E5EAF"/>
    <w:rsid w:val="008E5F92"/>
    <w:rsid w:val="008E5FBF"/>
    <w:rsid w:val="008E5FC9"/>
    <w:rsid w:val="008E6217"/>
    <w:rsid w:val="008E6271"/>
    <w:rsid w:val="008E63D1"/>
    <w:rsid w:val="008E642C"/>
    <w:rsid w:val="008E642E"/>
    <w:rsid w:val="008E64D8"/>
    <w:rsid w:val="008E64FA"/>
    <w:rsid w:val="008E6667"/>
    <w:rsid w:val="008E6746"/>
    <w:rsid w:val="008E67D6"/>
    <w:rsid w:val="008E690D"/>
    <w:rsid w:val="008E6A55"/>
    <w:rsid w:val="008E6B09"/>
    <w:rsid w:val="008E6BE3"/>
    <w:rsid w:val="008E7076"/>
    <w:rsid w:val="008E70A2"/>
    <w:rsid w:val="008E726A"/>
    <w:rsid w:val="008E72B9"/>
    <w:rsid w:val="008E72C4"/>
    <w:rsid w:val="008E75DD"/>
    <w:rsid w:val="008E77A8"/>
    <w:rsid w:val="008E77E6"/>
    <w:rsid w:val="008E787D"/>
    <w:rsid w:val="008E798C"/>
    <w:rsid w:val="008E79CA"/>
    <w:rsid w:val="008E7B7C"/>
    <w:rsid w:val="008E7BC1"/>
    <w:rsid w:val="008E7D64"/>
    <w:rsid w:val="008E7E4E"/>
    <w:rsid w:val="008F008E"/>
    <w:rsid w:val="008F0101"/>
    <w:rsid w:val="008F0339"/>
    <w:rsid w:val="008F0363"/>
    <w:rsid w:val="008F0405"/>
    <w:rsid w:val="008F049C"/>
    <w:rsid w:val="008F051D"/>
    <w:rsid w:val="008F06EA"/>
    <w:rsid w:val="008F072F"/>
    <w:rsid w:val="008F073A"/>
    <w:rsid w:val="008F0766"/>
    <w:rsid w:val="008F0B1B"/>
    <w:rsid w:val="008F0C7D"/>
    <w:rsid w:val="008F0CD4"/>
    <w:rsid w:val="008F0D5F"/>
    <w:rsid w:val="008F0DFD"/>
    <w:rsid w:val="008F0E3F"/>
    <w:rsid w:val="008F0E69"/>
    <w:rsid w:val="008F120A"/>
    <w:rsid w:val="008F14F1"/>
    <w:rsid w:val="008F16C9"/>
    <w:rsid w:val="008F1740"/>
    <w:rsid w:val="008F1789"/>
    <w:rsid w:val="008F17F7"/>
    <w:rsid w:val="008F190B"/>
    <w:rsid w:val="008F1AAD"/>
    <w:rsid w:val="008F1AF4"/>
    <w:rsid w:val="008F1B30"/>
    <w:rsid w:val="008F1BD8"/>
    <w:rsid w:val="008F1C39"/>
    <w:rsid w:val="008F1F69"/>
    <w:rsid w:val="008F20C7"/>
    <w:rsid w:val="008F20CB"/>
    <w:rsid w:val="008F2175"/>
    <w:rsid w:val="008F2226"/>
    <w:rsid w:val="008F2672"/>
    <w:rsid w:val="008F27E0"/>
    <w:rsid w:val="008F2A1C"/>
    <w:rsid w:val="008F2B11"/>
    <w:rsid w:val="008F2C84"/>
    <w:rsid w:val="008F2DF0"/>
    <w:rsid w:val="008F2EBD"/>
    <w:rsid w:val="008F308C"/>
    <w:rsid w:val="008F3447"/>
    <w:rsid w:val="008F345D"/>
    <w:rsid w:val="008F3467"/>
    <w:rsid w:val="008F3547"/>
    <w:rsid w:val="008F35DD"/>
    <w:rsid w:val="008F3A17"/>
    <w:rsid w:val="008F3AF7"/>
    <w:rsid w:val="008F3CF5"/>
    <w:rsid w:val="008F3D0C"/>
    <w:rsid w:val="008F3DF7"/>
    <w:rsid w:val="008F3E2C"/>
    <w:rsid w:val="008F40E9"/>
    <w:rsid w:val="008F410B"/>
    <w:rsid w:val="008F4144"/>
    <w:rsid w:val="008F423A"/>
    <w:rsid w:val="008F42B3"/>
    <w:rsid w:val="008F4612"/>
    <w:rsid w:val="008F48EB"/>
    <w:rsid w:val="008F496D"/>
    <w:rsid w:val="008F49FD"/>
    <w:rsid w:val="008F4B7F"/>
    <w:rsid w:val="008F4E44"/>
    <w:rsid w:val="008F4EAB"/>
    <w:rsid w:val="008F4F0B"/>
    <w:rsid w:val="008F520E"/>
    <w:rsid w:val="008F5495"/>
    <w:rsid w:val="008F5545"/>
    <w:rsid w:val="008F5583"/>
    <w:rsid w:val="008F56F0"/>
    <w:rsid w:val="008F57C5"/>
    <w:rsid w:val="008F57D5"/>
    <w:rsid w:val="008F58CE"/>
    <w:rsid w:val="008F5A40"/>
    <w:rsid w:val="008F5B5E"/>
    <w:rsid w:val="008F6014"/>
    <w:rsid w:val="008F621E"/>
    <w:rsid w:val="008F6223"/>
    <w:rsid w:val="008F62B6"/>
    <w:rsid w:val="008F631F"/>
    <w:rsid w:val="008F6561"/>
    <w:rsid w:val="008F65B5"/>
    <w:rsid w:val="008F662D"/>
    <w:rsid w:val="008F670B"/>
    <w:rsid w:val="008F6745"/>
    <w:rsid w:val="008F6A42"/>
    <w:rsid w:val="008F6C3B"/>
    <w:rsid w:val="008F6C8F"/>
    <w:rsid w:val="008F6CC0"/>
    <w:rsid w:val="008F6D96"/>
    <w:rsid w:val="008F6EB2"/>
    <w:rsid w:val="008F6FAC"/>
    <w:rsid w:val="008F7199"/>
    <w:rsid w:val="008F7233"/>
    <w:rsid w:val="008F72DD"/>
    <w:rsid w:val="008F7380"/>
    <w:rsid w:val="008F738C"/>
    <w:rsid w:val="008F739B"/>
    <w:rsid w:val="008F757A"/>
    <w:rsid w:val="008F75AE"/>
    <w:rsid w:val="008F764E"/>
    <w:rsid w:val="008F776F"/>
    <w:rsid w:val="008F7926"/>
    <w:rsid w:val="008F7A65"/>
    <w:rsid w:val="008F7A74"/>
    <w:rsid w:val="008F7AB1"/>
    <w:rsid w:val="008F7B47"/>
    <w:rsid w:val="008F7C82"/>
    <w:rsid w:val="008F7F5B"/>
    <w:rsid w:val="008F7FD4"/>
    <w:rsid w:val="009000D2"/>
    <w:rsid w:val="009000FD"/>
    <w:rsid w:val="0090044C"/>
    <w:rsid w:val="00900492"/>
    <w:rsid w:val="0090062D"/>
    <w:rsid w:val="009006C7"/>
    <w:rsid w:val="00900765"/>
    <w:rsid w:val="00900798"/>
    <w:rsid w:val="0090083B"/>
    <w:rsid w:val="0090086B"/>
    <w:rsid w:val="0090090B"/>
    <w:rsid w:val="00900922"/>
    <w:rsid w:val="00900AE6"/>
    <w:rsid w:val="00900B37"/>
    <w:rsid w:val="00900B49"/>
    <w:rsid w:val="00900C2C"/>
    <w:rsid w:val="00900D65"/>
    <w:rsid w:val="00900DBA"/>
    <w:rsid w:val="00900F12"/>
    <w:rsid w:val="00901092"/>
    <w:rsid w:val="00901116"/>
    <w:rsid w:val="0090123A"/>
    <w:rsid w:val="00901303"/>
    <w:rsid w:val="009016D0"/>
    <w:rsid w:val="00901820"/>
    <w:rsid w:val="009018DF"/>
    <w:rsid w:val="00901BEB"/>
    <w:rsid w:val="00901CBE"/>
    <w:rsid w:val="00901DED"/>
    <w:rsid w:val="00901E0E"/>
    <w:rsid w:val="00901F83"/>
    <w:rsid w:val="009021A0"/>
    <w:rsid w:val="00902218"/>
    <w:rsid w:val="00902229"/>
    <w:rsid w:val="00902536"/>
    <w:rsid w:val="00902695"/>
    <w:rsid w:val="00902D5D"/>
    <w:rsid w:val="00902D74"/>
    <w:rsid w:val="00902DBE"/>
    <w:rsid w:val="00902E8F"/>
    <w:rsid w:val="00902EEB"/>
    <w:rsid w:val="00902F3A"/>
    <w:rsid w:val="009031CC"/>
    <w:rsid w:val="0090322F"/>
    <w:rsid w:val="00903302"/>
    <w:rsid w:val="009033A0"/>
    <w:rsid w:val="009033A6"/>
    <w:rsid w:val="009033AB"/>
    <w:rsid w:val="009033BA"/>
    <w:rsid w:val="00903424"/>
    <w:rsid w:val="00903502"/>
    <w:rsid w:val="0090356E"/>
    <w:rsid w:val="009038B8"/>
    <w:rsid w:val="00903A87"/>
    <w:rsid w:val="00903AE2"/>
    <w:rsid w:val="00903CB2"/>
    <w:rsid w:val="00903DC7"/>
    <w:rsid w:val="00903E1A"/>
    <w:rsid w:val="00903F31"/>
    <w:rsid w:val="009041D5"/>
    <w:rsid w:val="00904420"/>
    <w:rsid w:val="00904626"/>
    <w:rsid w:val="00904679"/>
    <w:rsid w:val="0090469C"/>
    <w:rsid w:val="009046C4"/>
    <w:rsid w:val="00904774"/>
    <w:rsid w:val="00904942"/>
    <w:rsid w:val="00904A28"/>
    <w:rsid w:val="00904D72"/>
    <w:rsid w:val="00904DCA"/>
    <w:rsid w:val="0090511A"/>
    <w:rsid w:val="009051E3"/>
    <w:rsid w:val="0090534E"/>
    <w:rsid w:val="00905361"/>
    <w:rsid w:val="009055DC"/>
    <w:rsid w:val="009056EF"/>
    <w:rsid w:val="00905798"/>
    <w:rsid w:val="00905A6C"/>
    <w:rsid w:val="00905AA1"/>
    <w:rsid w:val="00905D4B"/>
    <w:rsid w:val="00905D53"/>
    <w:rsid w:val="00905EB7"/>
    <w:rsid w:val="00905EDD"/>
    <w:rsid w:val="00905EE9"/>
    <w:rsid w:val="00906242"/>
    <w:rsid w:val="009062A5"/>
    <w:rsid w:val="009063E5"/>
    <w:rsid w:val="00906596"/>
    <w:rsid w:val="009067B6"/>
    <w:rsid w:val="009067C9"/>
    <w:rsid w:val="0090687A"/>
    <w:rsid w:val="009068EF"/>
    <w:rsid w:val="00906A84"/>
    <w:rsid w:val="00906BF3"/>
    <w:rsid w:val="00906EB3"/>
    <w:rsid w:val="00906F80"/>
    <w:rsid w:val="00906F82"/>
    <w:rsid w:val="0090715C"/>
    <w:rsid w:val="009071CC"/>
    <w:rsid w:val="00907260"/>
    <w:rsid w:val="0090750D"/>
    <w:rsid w:val="0090768C"/>
    <w:rsid w:val="00907699"/>
    <w:rsid w:val="009076BF"/>
    <w:rsid w:val="00907ABF"/>
    <w:rsid w:val="00907B5C"/>
    <w:rsid w:val="00907C57"/>
    <w:rsid w:val="00907C72"/>
    <w:rsid w:val="00907CA5"/>
    <w:rsid w:val="00907CB4"/>
    <w:rsid w:val="00907D79"/>
    <w:rsid w:val="00907F67"/>
    <w:rsid w:val="00907F8F"/>
    <w:rsid w:val="009100D5"/>
    <w:rsid w:val="00910197"/>
    <w:rsid w:val="009101C3"/>
    <w:rsid w:val="009102C8"/>
    <w:rsid w:val="009104D1"/>
    <w:rsid w:val="00910571"/>
    <w:rsid w:val="00910707"/>
    <w:rsid w:val="009107AC"/>
    <w:rsid w:val="009107BC"/>
    <w:rsid w:val="00910872"/>
    <w:rsid w:val="009109F1"/>
    <w:rsid w:val="00910BD2"/>
    <w:rsid w:val="00910C8F"/>
    <w:rsid w:val="00910C94"/>
    <w:rsid w:val="00910D99"/>
    <w:rsid w:val="00910EB9"/>
    <w:rsid w:val="00910FA7"/>
    <w:rsid w:val="00911050"/>
    <w:rsid w:val="0091110A"/>
    <w:rsid w:val="0091124A"/>
    <w:rsid w:val="00911267"/>
    <w:rsid w:val="00911272"/>
    <w:rsid w:val="00911339"/>
    <w:rsid w:val="0091138C"/>
    <w:rsid w:val="00911625"/>
    <w:rsid w:val="00911677"/>
    <w:rsid w:val="00911846"/>
    <w:rsid w:val="00911A34"/>
    <w:rsid w:val="00911B85"/>
    <w:rsid w:val="00911BDF"/>
    <w:rsid w:val="00911E4F"/>
    <w:rsid w:val="00911E8C"/>
    <w:rsid w:val="00911F5A"/>
    <w:rsid w:val="00911FCF"/>
    <w:rsid w:val="0091228C"/>
    <w:rsid w:val="009123EF"/>
    <w:rsid w:val="0091243D"/>
    <w:rsid w:val="00912565"/>
    <w:rsid w:val="0091264D"/>
    <w:rsid w:val="00912676"/>
    <w:rsid w:val="009127BF"/>
    <w:rsid w:val="0091287F"/>
    <w:rsid w:val="00912970"/>
    <w:rsid w:val="00912BF9"/>
    <w:rsid w:val="00912D96"/>
    <w:rsid w:val="00912D97"/>
    <w:rsid w:val="00912EFE"/>
    <w:rsid w:val="00913117"/>
    <w:rsid w:val="00913245"/>
    <w:rsid w:val="009133AF"/>
    <w:rsid w:val="0091348A"/>
    <w:rsid w:val="009135B7"/>
    <w:rsid w:val="009135D6"/>
    <w:rsid w:val="009135F6"/>
    <w:rsid w:val="0091364F"/>
    <w:rsid w:val="0091372A"/>
    <w:rsid w:val="009137DD"/>
    <w:rsid w:val="0091395E"/>
    <w:rsid w:val="00913961"/>
    <w:rsid w:val="009139BA"/>
    <w:rsid w:val="00913AAB"/>
    <w:rsid w:val="00913B04"/>
    <w:rsid w:val="00913B90"/>
    <w:rsid w:val="00913D57"/>
    <w:rsid w:val="00913EB3"/>
    <w:rsid w:val="009141ED"/>
    <w:rsid w:val="00914209"/>
    <w:rsid w:val="00914261"/>
    <w:rsid w:val="009142A3"/>
    <w:rsid w:val="009142FA"/>
    <w:rsid w:val="00914426"/>
    <w:rsid w:val="009144E3"/>
    <w:rsid w:val="00914621"/>
    <w:rsid w:val="009146D7"/>
    <w:rsid w:val="009149C4"/>
    <w:rsid w:val="00914BB7"/>
    <w:rsid w:val="00914BE9"/>
    <w:rsid w:val="00914C77"/>
    <w:rsid w:val="00914E13"/>
    <w:rsid w:val="00914FF5"/>
    <w:rsid w:val="00915027"/>
    <w:rsid w:val="00915072"/>
    <w:rsid w:val="00915082"/>
    <w:rsid w:val="0091508D"/>
    <w:rsid w:val="0091515D"/>
    <w:rsid w:val="00915322"/>
    <w:rsid w:val="00915683"/>
    <w:rsid w:val="009157A5"/>
    <w:rsid w:val="009157A8"/>
    <w:rsid w:val="00915812"/>
    <w:rsid w:val="00915963"/>
    <w:rsid w:val="00915C34"/>
    <w:rsid w:val="00915CDB"/>
    <w:rsid w:val="00915D34"/>
    <w:rsid w:val="00915E3C"/>
    <w:rsid w:val="00915ED3"/>
    <w:rsid w:val="00915EEA"/>
    <w:rsid w:val="0091605A"/>
    <w:rsid w:val="0091613E"/>
    <w:rsid w:val="009162D3"/>
    <w:rsid w:val="009164D6"/>
    <w:rsid w:val="00916709"/>
    <w:rsid w:val="0091690D"/>
    <w:rsid w:val="00916930"/>
    <w:rsid w:val="00916B3C"/>
    <w:rsid w:val="00916BB3"/>
    <w:rsid w:val="00916BD6"/>
    <w:rsid w:val="00916FB9"/>
    <w:rsid w:val="00917066"/>
    <w:rsid w:val="00917200"/>
    <w:rsid w:val="009173CB"/>
    <w:rsid w:val="009174AA"/>
    <w:rsid w:val="009175E0"/>
    <w:rsid w:val="009177CB"/>
    <w:rsid w:val="009177FF"/>
    <w:rsid w:val="009178C1"/>
    <w:rsid w:val="0091795E"/>
    <w:rsid w:val="00917B38"/>
    <w:rsid w:val="00917C05"/>
    <w:rsid w:val="00917C48"/>
    <w:rsid w:val="00917D12"/>
    <w:rsid w:val="00917E87"/>
    <w:rsid w:val="00917F86"/>
    <w:rsid w:val="00917FAF"/>
    <w:rsid w:val="009200C6"/>
    <w:rsid w:val="009201B1"/>
    <w:rsid w:val="0092029A"/>
    <w:rsid w:val="009202EE"/>
    <w:rsid w:val="009203ED"/>
    <w:rsid w:val="00920618"/>
    <w:rsid w:val="0092073D"/>
    <w:rsid w:val="00920AC3"/>
    <w:rsid w:val="00920C85"/>
    <w:rsid w:val="00920C99"/>
    <w:rsid w:val="00920D78"/>
    <w:rsid w:val="00920F5C"/>
    <w:rsid w:val="0092106F"/>
    <w:rsid w:val="009211B9"/>
    <w:rsid w:val="009211BF"/>
    <w:rsid w:val="0092120C"/>
    <w:rsid w:val="009214C2"/>
    <w:rsid w:val="00921596"/>
    <w:rsid w:val="00921788"/>
    <w:rsid w:val="00921ACB"/>
    <w:rsid w:val="00921CF6"/>
    <w:rsid w:val="00921E68"/>
    <w:rsid w:val="00921EDB"/>
    <w:rsid w:val="0092203B"/>
    <w:rsid w:val="0092206F"/>
    <w:rsid w:val="0092220B"/>
    <w:rsid w:val="0092222E"/>
    <w:rsid w:val="0092235C"/>
    <w:rsid w:val="00922430"/>
    <w:rsid w:val="00922642"/>
    <w:rsid w:val="009226CE"/>
    <w:rsid w:val="00922821"/>
    <w:rsid w:val="009228AF"/>
    <w:rsid w:val="00922A81"/>
    <w:rsid w:val="00922B73"/>
    <w:rsid w:val="00922B77"/>
    <w:rsid w:val="00922C5A"/>
    <w:rsid w:val="00922CDB"/>
    <w:rsid w:val="00922CF5"/>
    <w:rsid w:val="00922ECC"/>
    <w:rsid w:val="0092320B"/>
    <w:rsid w:val="009233D8"/>
    <w:rsid w:val="0092355B"/>
    <w:rsid w:val="0092369B"/>
    <w:rsid w:val="00923721"/>
    <w:rsid w:val="0092391C"/>
    <w:rsid w:val="009239BD"/>
    <w:rsid w:val="009239FF"/>
    <w:rsid w:val="00923A45"/>
    <w:rsid w:val="00923A57"/>
    <w:rsid w:val="00923A7D"/>
    <w:rsid w:val="00923BC2"/>
    <w:rsid w:val="00924096"/>
    <w:rsid w:val="009240BB"/>
    <w:rsid w:val="00924235"/>
    <w:rsid w:val="009242AD"/>
    <w:rsid w:val="009242C2"/>
    <w:rsid w:val="0092440A"/>
    <w:rsid w:val="00924440"/>
    <w:rsid w:val="00924632"/>
    <w:rsid w:val="0092478A"/>
    <w:rsid w:val="0092484C"/>
    <w:rsid w:val="009249BE"/>
    <w:rsid w:val="00924A6E"/>
    <w:rsid w:val="00924ABF"/>
    <w:rsid w:val="00925081"/>
    <w:rsid w:val="009250A1"/>
    <w:rsid w:val="0092550D"/>
    <w:rsid w:val="00925720"/>
    <w:rsid w:val="00925792"/>
    <w:rsid w:val="009258DC"/>
    <w:rsid w:val="00925BD9"/>
    <w:rsid w:val="00925C7B"/>
    <w:rsid w:val="00925F48"/>
    <w:rsid w:val="009262CD"/>
    <w:rsid w:val="00926375"/>
    <w:rsid w:val="009263CC"/>
    <w:rsid w:val="009264D6"/>
    <w:rsid w:val="009265E5"/>
    <w:rsid w:val="0092673C"/>
    <w:rsid w:val="009267A5"/>
    <w:rsid w:val="0092685F"/>
    <w:rsid w:val="0092691D"/>
    <w:rsid w:val="0092692B"/>
    <w:rsid w:val="00926947"/>
    <w:rsid w:val="00926992"/>
    <w:rsid w:val="009269E6"/>
    <w:rsid w:val="00926B8E"/>
    <w:rsid w:val="00926E17"/>
    <w:rsid w:val="00926F49"/>
    <w:rsid w:val="00926FEB"/>
    <w:rsid w:val="009271A4"/>
    <w:rsid w:val="00927351"/>
    <w:rsid w:val="009273D6"/>
    <w:rsid w:val="009274C7"/>
    <w:rsid w:val="009276E3"/>
    <w:rsid w:val="0092771A"/>
    <w:rsid w:val="00927728"/>
    <w:rsid w:val="0092774A"/>
    <w:rsid w:val="00927885"/>
    <w:rsid w:val="00927C16"/>
    <w:rsid w:val="00927D1F"/>
    <w:rsid w:val="00927F12"/>
    <w:rsid w:val="00927F1F"/>
    <w:rsid w:val="00927FBD"/>
    <w:rsid w:val="00927FD0"/>
    <w:rsid w:val="00930175"/>
    <w:rsid w:val="0093035B"/>
    <w:rsid w:val="009304D5"/>
    <w:rsid w:val="009305D1"/>
    <w:rsid w:val="00930A9C"/>
    <w:rsid w:val="00930AF7"/>
    <w:rsid w:val="00930B8C"/>
    <w:rsid w:val="00930CA6"/>
    <w:rsid w:val="00930E54"/>
    <w:rsid w:val="0093107D"/>
    <w:rsid w:val="00931178"/>
    <w:rsid w:val="00931347"/>
    <w:rsid w:val="009315D7"/>
    <w:rsid w:val="00931688"/>
    <w:rsid w:val="00931848"/>
    <w:rsid w:val="0093189B"/>
    <w:rsid w:val="00931D2B"/>
    <w:rsid w:val="00931F37"/>
    <w:rsid w:val="00932002"/>
    <w:rsid w:val="0093207C"/>
    <w:rsid w:val="009322F2"/>
    <w:rsid w:val="0093242E"/>
    <w:rsid w:val="009324DF"/>
    <w:rsid w:val="00932513"/>
    <w:rsid w:val="0093263C"/>
    <w:rsid w:val="00932689"/>
    <w:rsid w:val="0093280A"/>
    <w:rsid w:val="009328B3"/>
    <w:rsid w:val="00932990"/>
    <w:rsid w:val="00932C34"/>
    <w:rsid w:val="00932DE3"/>
    <w:rsid w:val="00932E91"/>
    <w:rsid w:val="00932F07"/>
    <w:rsid w:val="00933342"/>
    <w:rsid w:val="00933357"/>
    <w:rsid w:val="009333AB"/>
    <w:rsid w:val="00933498"/>
    <w:rsid w:val="00933708"/>
    <w:rsid w:val="0093386E"/>
    <w:rsid w:val="00933896"/>
    <w:rsid w:val="00933903"/>
    <w:rsid w:val="00933D09"/>
    <w:rsid w:val="00933E7F"/>
    <w:rsid w:val="00933F03"/>
    <w:rsid w:val="0093409F"/>
    <w:rsid w:val="009340AE"/>
    <w:rsid w:val="0093433B"/>
    <w:rsid w:val="009344A6"/>
    <w:rsid w:val="00934821"/>
    <w:rsid w:val="00934988"/>
    <w:rsid w:val="00934A31"/>
    <w:rsid w:val="00934AA0"/>
    <w:rsid w:val="00934C6A"/>
    <w:rsid w:val="00934CDA"/>
    <w:rsid w:val="00934F7A"/>
    <w:rsid w:val="00934FC4"/>
    <w:rsid w:val="009350B3"/>
    <w:rsid w:val="009351D2"/>
    <w:rsid w:val="0093524E"/>
    <w:rsid w:val="00935450"/>
    <w:rsid w:val="00935819"/>
    <w:rsid w:val="00935871"/>
    <w:rsid w:val="009359CA"/>
    <w:rsid w:val="009359ED"/>
    <w:rsid w:val="00935C71"/>
    <w:rsid w:val="00935DFD"/>
    <w:rsid w:val="00935EC5"/>
    <w:rsid w:val="009360BB"/>
    <w:rsid w:val="0093665C"/>
    <w:rsid w:val="00936729"/>
    <w:rsid w:val="009368AB"/>
    <w:rsid w:val="00936CC6"/>
    <w:rsid w:val="00936CF4"/>
    <w:rsid w:val="00936E4D"/>
    <w:rsid w:val="00936E62"/>
    <w:rsid w:val="00936FDD"/>
    <w:rsid w:val="00937025"/>
    <w:rsid w:val="00937088"/>
    <w:rsid w:val="00937089"/>
    <w:rsid w:val="009370D1"/>
    <w:rsid w:val="009371D4"/>
    <w:rsid w:val="00937413"/>
    <w:rsid w:val="00937664"/>
    <w:rsid w:val="00937805"/>
    <w:rsid w:val="009378A5"/>
    <w:rsid w:val="009379F3"/>
    <w:rsid w:val="00937BA6"/>
    <w:rsid w:val="00937C44"/>
    <w:rsid w:val="00937C4C"/>
    <w:rsid w:val="00937DA2"/>
    <w:rsid w:val="00937E32"/>
    <w:rsid w:val="00937E87"/>
    <w:rsid w:val="00937ED6"/>
    <w:rsid w:val="00940094"/>
    <w:rsid w:val="00940209"/>
    <w:rsid w:val="0094027E"/>
    <w:rsid w:val="00940290"/>
    <w:rsid w:val="0094045C"/>
    <w:rsid w:val="0094049D"/>
    <w:rsid w:val="009404D7"/>
    <w:rsid w:val="0094059F"/>
    <w:rsid w:val="009405B2"/>
    <w:rsid w:val="00940604"/>
    <w:rsid w:val="00940810"/>
    <w:rsid w:val="00940C74"/>
    <w:rsid w:val="00940D62"/>
    <w:rsid w:val="00940D75"/>
    <w:rsid w:val="00940EA1"/>
    <w:rsid w:val="00940FD9"/>
    <w:rsid w:val="00940FED"/>
    <w:rsid w:val="00941012"/>
    <w:rsid w:val="009411F6"/>
    <w:rsid w:val="00941262"/>
    <w:rsid w:val="00941293"/>
    <w:rsid w:val="009413AB"/>
    <w:rsid w:val="00941424"/>
    <w:rsid w:val="0094145C"/>
    <w:rsid w:val="009414B8"/>
    <w:rsid w:val="009415FE"/>
    <w:rsid w:val="0094166B"/>
    <w:rsid w:val="009416BA"/>
    <w:rsid w:val="009419AF"/>
    <w:rsid w:val="00941DEA"/>
    <w:rsid w:val="00942165"/>
    <w:rsid w:val="0094234E"/>
    <w:rsid w:val="009426B2"/>
    <w:rsid w:val="009426CF"/>
    <w:rsid w:val="009427D8"/>
    <w:rsid w:val="009428C8"/>
    <w:rsid w:val="00942900"/>
    <w:rsid w:val="00942928"/>
    <w:rsid w:val="00942984"/>
    <w:rsid w:val="00942992"/>
    <w:rsid w:val="009429F9"/>
    <w:rsid w:val="00942BDC"/>
    <w:rsid w:val="00942C23"/>
    <w:rsid w:val="00942C29"/>
    <w:rsid w:val="00942E7E"/>
    <w:rsid w:val="00943172"/>
    <w:rsid w:val="00943217"/>
    <w:rsid w:val="009432AA"/>
    <w:rsid w:val="0094336D"/>
    <w:rsid w:val="009435AB"/>
    <w:rsid w:val="009435F7"/>
    <w:rsid w:val="009436EB"/>
    <w:rsid w:val="0094377F"/>
    <w:rsid w:val="00943A7C"/>
    <w:rsid w:val="00943B23"/>
    <w:rsid w:val="00943D2D"/>
    <w:rsid w:val="00943D4D"/>
    <w:rsid w:val="00943D7F"/>
    <w:rsid w:val="00943E5D"/>
    <w:rsid w:val="00944026"/>
    <w:rsid w:val="0094410E"/>
    <w:rsid w:val="0094418B"/>
    <w:rsid w:val="009441C2"/>
    <w:rsid w:val="009444A4"/>
    <w:rsid w:val="009444BA"/>
    <w:rsid w:val="00944551"/>
    <w:rsid w:val="00944626"/>
    <w:rsid w:val="00944732"/>
    <w:rsid w:val="00944748"/>
    <w:rsid w:val="0094489A"/>
    <w:rsid w:val="00944D8F"/>
    <w:rsid w:val="00944F8A"/>
    <w:rsid w:val="00944FA9"/>
    <w:rsid w:val="0094513C"/>
    <w:rsid w:val="0094515A"/>
    <w:rsid w:val="0094526F"/>
    <w:rsid w:val="009452EE"/>
    <w:rsid w:val="0094539A"/>
    <w:rsid w:val="00945428"/>
    <w:rsid w:val="00945552"/>
    <w:rsid w:val="009458F2"/>
    <w:rsid w:val="009459F1"/>
    <w:rsid w:val="009459FB"/>
    <w:rsid w:val="00945A77"/>
    <w:rsid w:val="00945B02"/>
    <w:rsid w:val="00945B98"/>
    <w:rsid w:val="00945D21"/>
    <w:rsid w:val="00945D9A"/>
    <w:rsid w:val="00945DAD"/>
    <w:rsid w:val="00945E26"/>
    <w:rsid w:val="00945EB9"/>
    <w:rsid w:val="00945EEF"/>
    <w:rsid w:val="00946090"/>
    <w:rsid w:val="009461D4"/>
    <w:rsid w:val="00946219"/>
    <w:rsid w:val="009462F3"/>
    <w:rsid w:val="009463B6"/>
    <w:rsid w:val="00946443"/>
    <w:rsid w:val="00946557"/>
    <w:rsid w:val="009466B0"/>
    <w:rsid w:val="0094673A"/>
    <w:rsid w:val="0094674F"/>
    <w:rsid w:val="0094678A"/>
    <w:rsid w:val="009469C8"/>
    <w:rsid w:val="00946A5D"/>
    <w:rsid w:val="00946A74"/>
    <w:rsid w:val="00946B6E"/>
    <w:rsid w:val="00946BCA"/>
    <w:rsid w:val="00946BD3"/>
    <w:rsid w:val="00946DCA"/>
    <w:rsid w:val="00946F1B"/>
    <w:rsid w:val="00946F3B"/>
    <w:rsid w:val="009471FB"/>
    <w:rsid w:val="00947386"/>
    <w:rsid w:val="0094750D"/>
    <w:rsid w:val="0094779A"/>
    <w:rsid w:val="00947B61"/>
    <w:rsid w:val="00947BF0"/>
    <w:rsid w:val="00947C16"/>
    <w:rsid w:val="00947E50"/>
    <w:rsid w:val="00947E7E"/>
    <w:rsid w:val="00947F6D"/>
    <w:rsid w:val="009500E2"/>
    <w:rsid w:val="009500F0"/>
    <w:rsid w:val="00950161"/>
    <w:rsid w:val="0095032D"/>
    <w:rsid w:val="00950333"/>
    <w:rsid w:val="00950482"/>
    <w:rsid w:val="0095059C"/>
    <w:rsid w:val="00950786"/>
    <w:rsid w:val="009508A2"/>
    <w:rsid w:val="0095094F"/>
    <w:rsid w:val="0095098F"/>
    <w:rsid w:val="00950BA1"/>
    <w:rsid w:val="00950D24"/>
    <w:rsid w:val="00950EA8"/>
    <w:rsid w:val="00950F2F"/>
    <w:rsid w:val="00950F35"/>
    <w:rsid w:val="00950F6C"/>
    <w:rsid w:val="009510A2"/>
    <w:rsid w:val="009513E2"/>
    <w:rsid w:val="00951425"/>
    <w:rsid w:val="00951527"/>
    <w:rsid w:val="0095154D"/>
    <w:rsid w:val="009516D0"/>
    <w:rsid w:val="009518A8"/>
    <w:rsid w:val="0095198D"/>
    <w:rsid w:val="00951A30"/>
    <w:rsid w:val="00951A4E"/>
    <w:rsid w:val="00951A6C"/>
    <w:rsid w:val="00951B29"/>
    <w:rsid w:val="00951CCA"/>
    <w:rsid w:val="00951D2F"/>
    <w:rsid w:val="00951DBF"/>
    <w:rsid w:val="00951F4C"/>
    <w:rsid w:val="009521B5"/>
    <w:rsid w:val="009521DA"/>
    <w:rsid w:val="0095220B"/>
    <w:rsid w:val="00952227"/>
    <w:rsid w:val="00952330"/>
    <w:rsid w:val="0095246D"/>
    <w:rsid w:val="00952481"/>
    <w:rsid w:val="0095252C"/>
    <w:rsid w:val="0095255B"/>
    <w:rsid w:val="00952592"/>
    <w:rsid w:val="00952863"/>
    <w:rsid w:val="00952C1E"/>
    <w:rsid w:val="00952C8E"/>
    <w:rsid w:val="00952F5B"/>
    <w:rsid w:val="00952F7A"/>
    <w:rsid w:val="00952FD2"/>
    <w:rsid w:val="00952FDD"/>
    <w:rsid w:val="00953022"/>
    <w:rsid w:val="00953059"/>
    <w:rsid w:val="00953257"/>
    <w:rsid w:val="0095334C"/>
    <w:rsid w:val="00953396"/>
    <w:rsid w:val="009533ED"/>
    <w:rsid w:val="00953420"/>
    <w:rsid w:val="00953980"/>
    <w:rsid w:val="00953A72"/>
    <w:rsid w:val="00953C01"/>
    <w:rsid w:val="00953C9C"/>
    <w:rsid w:val="00953FD4"/>
    <w:rsid w:val="009541C4"/>
    <w:rsid w:val="009543B8"/>
    <w:rsid w:val="009543E7"/>
    <w:rsid w:val="009543F0"/>
    <w:rsid w:val="009544E5"/>
    <w:rsid w:val="00954535"/>
    <w:rsid w:val="009546F8"/>
    <w:rsid w:val="0095474C"/>
    <w:rsid w:val="009547A2"/>
    <w:rsid w:val="009547F2"/>
    <w:rsid w:val="00954905"/>
    <w:rsid w:val="00954A2F"/>
    <w:rsid w:val="00954AF4"/>
    <w:rsid w:val="00954DBF"/>
    <w:rsid w:val="00954DF0"/>
    <w:rsid w:val="00955089"/>
    <w:rsid w:val="009550AF"/>
    <w:rsid w:val="0095516C"/>
    <w:rsid w:val="00955218"/>
    <w:rsid w:val="00955248"/>
    <w:rsid w:val="009553CD"/>
    <w:rsid w:val="009553F6"/>
    <w:rsid w:val="00955C2D"/>
    <w:rsid w:val="00955F95"/>
    <w:rsid w:val="00956035"/>
    <w:rsid w:val="009561F3"/>
    <w:rsid w:val="009561F9"/>
    <w:rsid w:val="00956495"/>
    <w:rsid w:val="00956965"/>
    <w:rsid w:val="00956B33"/>
    <w:rsid w:val="00956E28"/>
    <w:rsid w:val="0095710F"/>
    <w:rsid w:val="0095722D"/>
    <w:rsid w:val="009572AB"/>
    <w:rsid w:val="0095737B"/>
    <w:rsid w:val="00957455"/>
    <w:rsid w:val="009575CE"/>
    <w:rsid w:val="009576C7"/>
    <w:rsid w:val="009577D2"/>
    <w:rsid w:val="009578DF"/>
    <w:rsid w:val="00957A9F"/>
    <w:rsid w:val="00957B60"/>
    <w:rsid w:val="00957D55"/>
    <w:rsid w:val="00957D92"/>
    <w:rsid w:val="00957DEB"/>
    <w:rsid w:val="00957E3B"/>
    <w:rsid w:val="00957EC5"/>
    <w:rsid w:val="00957F7F"/>
    <w:rsid w:val="0096051D"/>
    <w:rsid w:val="00960588"/>
    <w:rsid w:val="009607C9"/>
    <w:rsid w:val="0096086E"/>
    <w:rsid w:val="00960AFC"/>
    <w:rsid w:val="00960CA4"/>
    <w:rsid w:val="00960D9B"/>
    <w:rsid w:val="00960E6B"/>
    <w:rsid w:val="00960FC6"/>
    <w:rsid w:val="00961060"/>
    <w:rsid w:val="009610AA"/>
    <w:rsid w:val="009610DF"/>
    <w:rsid w:val="009611D6"/>
    <w:rsid w:val="009611DE"/>
    <w:rsid w:val="00961243"/>
    <w:rsid w:val="009613BD"/>
    <w:rsid w:val="009614E1"/>
    <w:rsid w:val="0096178E"/>
    <w:rsid w:val="009619A3"/>
    <w:rsid w:val="00961C62"/>
    <w:rsid w:val="00961CE0"/>
    <w:rsid w:val="00961E9B"/>
    <w:rsid w:val="00961F74"/>
    <w:rsid w:val="00961FAA"/>
    <w:rsid w:val="00962278"/>
    <w:rsid w:val="009622FD"/>
    <w:rsid w:val="0096235C"/>
    <w:rsid w:val="0096241D"/>
    <w:rsid w:val="00962426"/>
    <w:rsid w:val="00962443"/>
    <w:rsid w:val="0096262F"/>
    <w:rsid w:val="009626AE"/>
    <w:rsid w:val="009626C6"/>
    <w:rsid w:val="00962770"/>
    <w:rsid w:val="009627BD"/>
    <w:rsid w:val="009627EB"/>
    <w:rsid w:val="00962B5D"/>
    <w:rsid w:val="00962C5E"/>
    <w:rsid w:val="00962CB9"/>
    <w:rsid w:val="00962FA7"/>
    <w:rsid w:val="00962FD0"/>
    <w:rsid w:val="0096313D"/>
    <w:rsid w:val="009631EC"/>
    <w:rsid w:val="0096323C"/>
    <w:rsid w:val="00963447"/>
    <w:rsid w:val="0096356A"/>
    <w:rsid w:val="009637EC"/>
    <w:rsid w:val="00963886"/>
    <w:rsid w:val="0096391B"/>
    <w:rsid w:val="00963CAA"/>
    <w:rsid w:val="00963D59"/>
    <w:rsid w:val="00963F70"/>
    <w:rsid w:val="00963FA4"/>
    <w:rsid w:val="009642BA"/>
    <w:rsid w:val="00964312"/>
    <w:rsid w:val="0096436A"/>
    <w:rsid w:val="0096449C"/>
    <w:rsid w:val="009644C7"/>
    <w:rsid w:val="0096476A"/>
    <w:rsid w:val="009647BD"/>
    <w:rsid w:val="0096484B"/>
    <w:rsid w:val="0096486D"/>
    <w:rsid w:val="009648F1"/>
    <w:rsid w:val="00964ADA"/>
    <w:rsid w:val="00964B05"/>
    <w:rsid w:val="00964BBB"/>
    <w:rsid w:val="00964D91"/>
    <w:rsid w:val="00964EE3"/>
    <w:rsid w:val="00965245"/>
    <w:rsid w:val="00965814"/>
    <w:rsid w:val="0096592D"/>
    <w:rsid w:val="00965B1E"/>
    <w:rsid w:val="00965B8A"/>
    <w:rsid w:val="00965C0C"/>
    <w:rsid w:val="00965C16"/>
    <w:rsid w:val="00965D7D"/>
    <w:rsid w:val="00965D95"/>
    <w:rsid w:val="00965F36"/>
    <w:rsid w:val="00965FAC"/>
    <w:rsid w:val="009660E1"/>
    <w:rsid w:val="0096622E"/>
    <w:rsid w:val="00966267"/>
    <w:rsid w:val="00966380"/>
    <w:rsid w:val="009663EC"/>
    <w:rsid w:val="0096654C"/>
    <w:rsid w:val="009665FB"/>
    <w:rsid w:val="00966849"/>
    <w:rsid w:val="0096692D"/>
    <w:rsid w:val="00966933"/>
    <w:rsid w:val="009669A4"/>
    <w:rsid w:val="00966C8A"/>
    <w:rsid w:val="00967241"/>
    <w:rsid w:val="009676AB"/>
    <w:rsid w:val="0096785D"/>
    <w:rsid w:val="009678B0"/>
    <w:rsid w:val="00967B0F"/>
    <w:rsid w:val="00967D36"/>
    <w:rsid w:val="00967DC2"/>
    <w:rsid w:val="00967DFD"/>
    <w:rsid w:val="00967EE1"/>
    <w:rsid w:val="00967F15"/>
    <w:rsid w:val="00970090"/>
    <w:rsid w:val="0097023D"/>
    <w:rsid w:val="0097030A"/>
    <w:rsid w:val="00970481"/>
    <w:rsid w:val="00970698"/>
    <w:rsid w:val="0097071F"/>
    <w:rsid w:val="0097086D"/>
    <w:rsid w:val="009708EB"/>
    <w:rsid w:val="00970938"/>
    <w:rsid w:val="00970B1C"/>
    <w:rsid w:val="00970CC9"/>
    <w:rsid w:val="00970D97"/>
    <w:rsid w:val="00970E07"/>
    <w:rsid w:val="00970EB7"/>
    <w:rsid w:val="00970F12"/>
    <w:rsid w:val="00970F1A"/>
    <w:rsid w:val="00970F1B"/>
    <w:rsid w:val="00970FE5"/>
    <w:rsid w:val="00971298"/>
    <w:rsid w:val="0097154B"/>
    <w:rsid w:val="0097170D"/>
    <w:rsid w:val="009717AC"/>
    <w:rsid w:val="00971806"/>
    <w:rsid w:val="009719EC"/>
    <w:rsid w:val="00971A30"/>
    <w:rsid w:val="00971BC2"/>
    <w:rsid w:val="00971C4A"/>
    <w:rsid w:val="00971E43"/>
    <w:rsid w:val="00971EE0"/>
    <w:rsid w:val="009724DC"/>
    <w:rsid w:val="009724F7"/>
    <w:rsid w:val="00972560"/>
    <w:rsid w:val="0097261A"/>
    <w:rsid w:val="0097276A"/>
    <w:rsid w:val="009727E8"/>
    <w:rsid w:val="00972803"/>
    <w:rsid w:val="0097286E"/>
    <w:rsid w:val="009729EE"/>
    <w:rsid w:val="00972A16"/>
    <w:rsid w:val="00972AE2"/>
    <w:rsid w:val="00972BCF"/>
    <w:rsid w:val="00972BD2"/>
    <w:rsid w:val="00972E39"/>
    <w:rsid w:val="00972EE7"/>
    <w:rsid w:val="00972FD2"/>
    <w:rsid w:val="00973043"/>
    <w:rsid w:val="0097314D"/>
    <w:rsid w:val="009732C5"/>
    <w:rsid w:val="0097350F"/>
    <w:rsid w:val="00973536"/>
    <w:rsid w:val="00973554"/>
    <w:rsid w:val="009735C0"/>
    <w:rsid w:val="00973661"/>
    <w:rsid w:val="009738E2"/>
    <w:rsid w:val="00973A9E"/>
    <w:rsid w:val="00973ABF"/>
    <w:rsid w:val="00974086"/>
    <w:rsid w:val="009740C8"/>
    <w:rsid w:val="00974214"/>
    <w:rsid w:val="00974417"/>
    <w:rsid w:val="009744B2"/>
    <w:rsid w:val="009744CE"/>
    <w:rsid w:val="00974581"/>
    <w:rsid w:val="0097458A"/>
    <w:rsid w:val="00974745"/>
    <w:rsid w:val="00974823"/>
    <w:rsid w:val="00974C52"/>
    <w:rsid w:val="00974EBF"/>
    <w:rsid w:val="00974EC5"/>
    <w:rsid w:val="00974F25"/>
    <w:rsid w:val="009751C1"/>
    <w:rsid w:val="0097532B"/>
    <w:rsid w:val="0097535D"/>
    <w:rsid w:val="009753A8"/>
    <w:rsid w:val="009754B9"/>
    <w:rsid w:val="009755DD"/>
    <w:rsid w:val="00975653"/>
    <w:rsid w:val="009756C2"/>
    <w:rsid w:val="009757E2"/>
    <w:rsid w:val="009757FF"/>
    <w:rsid w:val="0097591C"/>
    <w:rsid w:val="00975974"/>
    <w:rsid w:val="00975A4C"/>
    <w:rsid w:val="00975B58"/>
    <w:rsid w:val="00975BD0"/>
    <w:rsid w:val="00975C49"/>
    <w:rsid w:val="009760A7"/>
    <w:rsid w:val="00976464"/>
    <w:rsid w:val="00976470"/>
    <w:rsid w:val="009764C8"/>
    <w:rsid w:val="009764E6"/>
    <w:rsid w:val="00976933"/>
    <w:rsid w:val="0097693D"/>
    <w:rsid w:val="00976A21"/>
    <w:rsid w:val="00976B92"/>
    <w:rsid w:val="00976BC3"/>
    <w:rsid w:val="00976BE7"/>
    <w:rsid w:val="00976CE2"/>
    <w:rsid w:val="00976DC4"/>
    <w:rsid w:val="00976DF6"/>
    <w:rsid w:val="00976E01"/>
    <w:rsid w:val="00976F9E"/>
    <w:rsid w:val="00976FE5"/>
    <w:rsid w:val="0097703E"/>
    <w:rsid w:val="009770A9"/>
    <w:rsid w:val="009770CC"/>
    <w:rsid w:val="009771BC"/>
    <w:rsid w:val="009771D1"/>
    <w:rsid w:val="009771D3"/>
    <w:rsid w:val="009772E4"/>
    <w:rsid w:val="00977359"/>
    <w:rsid w:val="009775D4"/>
    <w:rsid w:val="009776FE"/>
    <w:rsid w:val="0097770E"/>
    <w:rsid w:val="00977761"/>
    <w:rsid w:val="009779D9"/>
    <w:rsid w:val="00977A51"/>
    <w:rsid w:val="00977AA8"/>
    <w:rsid w:val="00977B05"/>
    <w:rsid w:val="00977EEF"/>
    <w:rsid w:val="00977F0D"/>
    <w:rsid w:val="0098041C"/>
    <w:rsid w:val="00980420"/>
    <w:rsid w:val="0098046C"/>
    <w:rsid w:val="0098047E"/>
    <w:rsid w:val="00980689"/>
    <w:rsid w:val="009807A6"/>
    <w:rsid w:val="00980A8D"/>
    <w:rsid w:val="00980D22"/>
    <w:rsid w:val="00980DE9"/>
    <w:rsid w:val="009811F1"/>
    <w:rsid w:val="0098140B"/>
    <w:rsid w:val="009814BB"/>
    <w:rsid w:val="00981657"/>
    <w:rsid w:val="00981685"/>
    <w:rsid w:val="00981739"/>
    <w:rsid w:val="00981750"/>
    <w:rsid w:val="00981BBD"/>
    <w:rsid w:val="00981C27"/>
    <w:rsid w:val="00981C62"/>
    <w:rsid w:val="00981C9E"/>
    <w:rsid w:val="00981CED"/>
    <w:rsid w:val="00982085"/>
    <w:rsid w:val="009820C0"/>
    <w:rsid w:val="00982119"/>
    <w:rsid w:val="0098222B"/>
    <w:rsid w:val="009823C4"/>
    <w:rsid w:val="009823CD"/>
    <w:rsid w:val="0098262F"/>
    <w:rsid w:val="009828F6"/>
    <w:rsid w:val="00982996"/>
    <w:rsid w:val="009829A8"/>
    <w:rsid w:val="00982C0E"/>
    <w:rsid w:val="00982CED"/>
    <w:rsid w:val="0098342E"/>
    <w:rsid w:val="009835F6"/>
    <w:rsid w:val="00983697"/>
    <w:rsid w:val="0098399B"/>
    <w:rsid w:val="00983AA5"/>
    <w:rsid w:val="00983C62"/>
    <w:rsid w:val="00983E57"/>
    <w:rsid w:val="00983EA8"/>
    <w:rsid w:val="00983FE0"/>
    <w:rsid w:val="009840E4"/>
    <w:rsid w:val="009841C3"/>
    <w:rsid w:val="009841F4"/>
    <w:rsid w:val="00984206"/>
    <w:rsid w:val="0098420F"/>
    <w:rsid w:val="009842FF"/>
    <w:rsid w:val="00984382"/>
    <w:rsid w:val="009843E1"/>
    <w:rsid w:val="00984459"/>
    <w:rsid w:val="0098450B"/>
    <w:rsid w:val="0098462A"/>
    <w:rsid w:val="00984BC4"/>
    <w:rsid w:val="00984C69"/>
    <w:rsid w:val="00984CAE"/>
    <w:rsid w:val="00984DC7"/>
    <w:rsid w:val="00984E53"/>
    <w:rsid w:val="00984E62"/>
    <w:rsid w:val="009850E1"/>
    <w:rsid w:val="0098528E"/>
    <w:rsid w:val="009853E0"/>
    <w:rsid w:val="0098544C"/>
    <w:rsid w:val="00985488"/>
    <w:rsid w:val="0098558B"/>
    <w:rsid w:val="009856D3"/>
    <w:rsid w:val="0098570E"/>
    <w:rsid w:val="00985A3D"/>
    <w:rsid w:val="00985A56"/>
    <w:rsid w:val="00985AEC"/>
    <w:rsid w:val="00985B2C"/>
    <w:rsid w:val="00985CEC"/>
    <w:rsid w:val="00985CF0"/>
    <w:rsid w:val="00985DE2"/>
    <w:rsid w:val="00985E1D"/>
    <w:rsid w:val="00985F95"/>
    <w:rsid w:val="0098610C"/>
    <w:rsid w:val="0098615C"/>
    <w:rsid w:val="009864E2"/>
    <w:rsid w:val="0098675D"/>
    <w:rsid w:val="0098675E"/>
    <w:rsid w:val="0098685A"/>
    <w:rsid w:val="00986944"/>
    <w:rsid w:val="00986AF6"/>
    <w:rsid w:val="00986C16"/>
    <w:rsid w:val="00986DCB"/>
    <w:rsid w:val="00986F7B"/>
    <w:rsid w:val="0098704C"/>
    <w:rsid w:val="00987161"/>
    <w:rsid w:val="009873D7"/>
    <w:rsid w:val="009873E1"/>
    <w:rsid w:val="00987473"/>
    <w:rsid w:val="0098748B"/>
    <w:rsid w:val="00987781"/>
    <w:rsid w:val="00987924"/>
    <w:rsid w:val="00987BA4"/>
    <w:rsid w:val="00987EA9"/>
    <w:rsid w:val="00990173"/>
    <w:rsid w:val="0099026A"/>
    <w:rsid w:val="009902A3"/>
    <w:rsid w:val="0099032F"/>
    <w:rsid w:val="0099087A"/>
    <w:rsid w:val="009908FD"/>
    <w:rsid w:val="0099095C"/>
    <w:rsid w:val="00990A3B"/>
    <w:rsid w:val="00990BA5"/>
    <w:rsid w:val="00990BCD"/>
    <w:rsid w:val="00990E1C"/>
    <w:rsid w:val="00990ED7"/>
    <w:rsid w:val="00990F6B"/>
    <w:rsid w:val="00991154"/>
    <w:rsid w:val="0099117E"/>
    <w:rsid w:val="009913F2"/>
    <w:rsid w:val="00991470"/>
    <w:rsid w:val="0099169F"/>
    <w:rsid w:val="009916F2"/>
    <w:rsid w:val="00991712"/>
    <w:rsid w:val="0099176F"/>
    <w:rsid w:val="009917A1"/>
    <w:rsid w:val="00991885"/>
    <w:rsid w:val="009918A2"/>
    <w:rsid w:val="009918A7"/>
    <w:rsid w:val="009918B6"/>
    <w:rsid w:val="009919E4"/>
    <w:rsid w:val="00991A5C"/>
    <w:rsid w:val="00991A69"/>
    <w:rsid w:val="00991ADB"/>
    <w:rsid w:val="00991B2E"/>
    <w:rsid w:val="00991BF7"/>
    <w:rsid w:val="00991DB7"/>
    <w:rsid w:val="00991DD2"/>
    <w:rsid w:val="00991EB3"/>
    <w:rsid w:val="00992039"/>
    <w:rsid w:val="00992265"/>
    <w:rsid w:val="0099234D"/>
    <w:rsid w:val="009926E0"/>
    <w:rsid w:val="0099275E"/>
    <w:rsid w:val="00992787"/>
    <w:rsid w:val="009928D3"/>
    <w:rsid w:val="00992A63"/>
    <w:rsid w:val="00992A67"/>
    <w:rsid w:val="00992D00"/>
    <w:rsid w:val="00992EC7"/>
    <w:rsid w:val="00993011"/>
    <w:rsid w:val="00993453"/>
    <w:rsid w:val="0099352E"/>
    <w:rsid w:val="009935E5"/>
    <w:rsid w:val="0099360B"/>
    <w:rsid w:val="00993A1F"/>
    <w:rsid w:val="00993B28"/>
    <w:rsid w:val="00993C32"/>
    <w:rsid w:val="0099407A"/>
    <w:rsid w:val="00994277"/>
    <w:rsid w:val="0099439C"/>
    <w:rsid w:val="009943F7"/>
    <w:rsid w:val="00994473"/>
    <w:rsid w:val="0099451E"/>
    <w:rsid w:val="00994677"/>
    <w:rsid w:val="009947D7"/>
    <w:rsid w:val="00994835"/>
    <w:rsid w:val="00994894"/>
    <w:rsid w:val="00994992"/>
    <w:rsid w:val="009949BF"/>
    <w:rsid w:val="00994A2A"/>
    <w:rsid w:val="00994B42"/>
    <w:rsid w:val="00994B90"/>
    <w:rsid w:val="00994F5A"/>
    <w:rsid w:val="00995010"/>
    <w:rsid w:val="0099503B"/>
    <w:rsid w:val="0099519E"/>
    <w:rsid w:val="009952C3"/>
    <w:rsid w:val="009954B4"/>
    <w:rsid w:val="009956AC"/>
    <w:rsid w:val="009956CA"/>
    <w:rsid w:val="009956D2"/>
    <w:rsid w:val="009956E7"/>
    <w:rsid w:val="009956E8"/>
    <w:rsid w:val="0099582D"/>
    <w:rsid w:val="00995B34"/>
    <w:rsid w:val="00995BA6"/>
    <w:rsid w:val="00995BCC"/>
    <w:rsid w:val="00995D94"/>
    <w:rsid w:val="00995E7F"/>
    <w:rsid w:val="00995F64"/>
    <w:rsid w:val="00996160"/>
    <w:rsid w:val="0099617E"/>
    <w:rsid w:val="00996231"/>
    <w:rsid w:val="00996815"/>
    <w:rsid w:val="009968E7"/>
    <w:rsid w:val="009969D9"/>
    <w:rsid w:val="00996A1E"/>
    <w:rsid w:val="00996B1A"/>
    <w:rsid w:val="00996BA0"/>
    <w:rsid w:val="00996BC8"/>
    <w:rsid w:val="00996CBC"/>
    <w:rsid w:val="00996D47"/>
    <w:rsid w:val="00996D49"/>
    <w:rsid w:val="00996E0D"/>
    <w:rsid w:val="00996F79"/>
    <w:rsid w:val="00996FD9"/>
    <w:rsid w:val="0099717A"/>
    <w:rsid w:val="00997356"/>
    <w:rsid w:val="009973B5"/>
    <w:rsid w:val="009974FE"/>
    <w:rsid w:val="00997523"/>
    <w:rsid w:val="00997658"/>
    <w:rsid w:val="00997A49"/>
    <w:rsid w:val="00997B80"/>
    <w:rsid w:val="00997B8B"/>
    <w:rsid w:val="00997C79"/>
    <w:rsid w:val="00997FB7"/>
    <w:rsid w:val="009A0092"/>
    <w:rsid w:val="009A0246"/>
    <w:rsid w:val="009A065A"/>
    <w:rsid w:val="009A069C"/>
    <w:rsid w:val="009A08D8"/>
    <w:rsid w:val="009A0936"/>
    <w:rsid w:val="009A09A0"/>
    <w:rsid w:val="009A0BAE"/>
    <w:rsid w:val="009A0CA8"/>
    <w:rsid w:val="009A0D9B"/>
    <w:rsid w:val="009A0DF4"/>
    <w:rsid w:val="009A1074"/>
    <w:rsid w:val="009A11CD"/>
    <w:rsid w:val="009A11E8"/>
    <w:rsid w:val="009A1221"/>
    <w:rsid w:val="009A14D4"/>
    <w:rsid w:val="009A14E9"/>
    <w:rsid w:val="009A17D4"/>
    <w:rsid w:val="009A18F6"/>
    <w:rsid w:val="009A1B6F"/>
    <w:rsid w:val="009A1D3F"/>
    <w:rsid w:val="009A1DCA"/>
    <w:rsid w:val="009A1ED3"/>
    <w:rsid w:val="009A1F6F"/>
    <w:rsid w:val="009A217E"/>
    <w:rsid w:val="009A2263"/>
    <w:rsid w:val="009A23EB"/>
    <w:rsid w:val="009A2459"/>
    <w:rsid w:val="009A250C"/>
    <w:rsid w:val="009A25AE"/>
    <w:rsid w:val="009A2C77"/>
    <w:rsid w:val="009A2CB0"/>
    <w:rsid w:val="009A2DCC"/>
    <w:rsid w:val="009A2E71"/>
    <w:rsid w:val="009A2F62"/>
    <w:rsid w:val="009A30B4"/>
    <w:rsid w:val="009A30CC"/>
    <w:rsid w:val="009A31F5"/>
    <w:rsid w:val="009A3237"/>
    <w:rsid w:val="009A3331"/>
    <w:rsid w:val="009A3595"/>
    <w:rsid w:val="009A390A"/>
    <w:rsid w:val="009A3B34"/>
    <w:rsid w:val="009A3BE3"/>
    <w:rsid w:val="009A3ECB"/>
    <w:rsid w:val="009A3F6C"/>
    <w:rsid w:val="009A42D7"/>
    <w:rsid w:val="009A442A"/>
    <w:rsid w:val="009A4499"/>
    <w:rsid w:val="009A449A"/>
    <w:rsid w:val="009A457B"/>
    <w:rsid w:val="009A4772"/>
    <w:rsid w:val="009A4936"/>
    <w:rsid w:val="009A4A96"/>
    <w:rsid w:val="009A4AE4"/>
    <w:rsid w:val="009A4CDF"/>
    <w:rsid w:val="009A4DF9"/>
    <w:rsid w:val="009A4F99"/>
    <w:rsid w:val="009A4FF3"/>
    <w:rsid w:val="009A50F1"/>
    <w:rsid w:val="009A524A"/>
    <w:rsid w:val="009A5361"/>
    <w:rsid w:val="009A539C"/>
    <w:rsid w:val="009A5421"/>
    <w:rsid w:val="009A54E9"/>
    <w:rsid w:val="009A54F0"/>
    <w:rsid w:val="009A555D"/>
    <w:rsid w:val="009A55C2"/>
    <w:rsid w:val="009A5890"/>
    <w:rsid w:val="009A5ABC"/>
    <w:rsid w:val="009A5BF2"/>
    <w:rsid w:val="009A5D31"/>
    <w:rsid w:val="009A5DB7"/>
    <w:rsid w:val="009A605B"/>
    <w:rsid w:val="009A60F4"/>
    <w:rsid w:val="009A63D1"/>
    <w:rsid w:val="009A64BF"/>
    <w:rsid w:val="009A6538"/>
    <w:rsid w:val="009A66B6"/>
    <w:rsid w:val="009A67A1"/>
    <w:rsid w:val="009A69F5"/>
    <w:rsid w:val="009A6A4B"/>
    <w:rsid w:val="009A6B41"/>
    <w:rsid w:val="009A6C15"/>
    <w:rsid w:val="009A6CE3"/>
    <w:rsid w:val="009A6F59"/>
    <w:rsid w:val="009A70AB"/>
    <w:rsid w:val="009A7135"/>
    <w:rsid w:val="009A7444"/>
    <w:rsid w:val="009A7594"/>
    <w:rsid w:val="009A75F7"/>
    <w:rsid w:val="009A7703"/>
    <w:rsid w:val="009A7741"/>
    <w:rsid w:val="009A774D"/>
    <w:rsid w:val="009A7795"/>
    <w:rsid w:val="009A78AD"/>
    <w:rsid w:val="009A7A14"/>
    <w:rsid w:val="009A7B46"/>
    <w:rsid w:val="009A7B48"/>
    <w:rsid w:val="009A7B8F"/>
    <w:rsid w:val="009A7B98"/>
    <w:rsid w:val="009A7CBC"/>
    <w:rsid w:val="009A7D62"/>
    <w:rsid w:val="009A7F10"/>
    <w:rsid w:val="009A7FE7"/>
    <w:rsid w:val="009B00FF"/>
    <w:rsid w:val="009B04FB"/>
    <w:rsid w:val="009B060E"/>
    <w:rsid w:val="009B0620"/>
    <w:rsid w:val="009B0622"/>
    <w:rsid w:val="009B0639"/>
    <w:rsid w:val="009B075C"/>
    <w:rsid w:val="009B07CC"/>
    <w:rsid w:val="009B08B2"/>
    <w:rsid w:val="009B08C6"/>
    <w:rsid w:val="009B099D"/>
    <w:rsid w:val="009B09EE"/>
    <w:rsid w:val="009B0D31"/>
    <w:rsid w:val="009B0F6E"/>
    <w:rsid w:val="009B1083"/>
    <w:rsid w:val="009B1133"/>
    <w:rsid w:val="009B12E6"/>
    <w:rsid w:val="009B1305"/>
    <w:rsid w:val="009B134A"/>
    <w:rsid w:val="009B14A3"/>
    <w:rsid w:val="009B1509"/>
    <w:rsid w:val="009B1731"/>
    <w:rsid w:val="009B17FE"/>
    <w:rsid w:val="009B1806"/>
    <w:rsid w:val="009B1863"/>
    <w:rsid w:val="009B1C04"/>
    <w:rsid w:val="009B1D67"/>
    <w:rsid w:val="009B1E10"/>
    <w:rsid w:val="009B1EE8"/>
    <w:rsid w:val="009B2044"/>
    <w:rsid w:val="009B21BD"/>
    <w:rsid w:val="009B21DA"/>
    <w:rsid w:val="009B21EB"/>
    <w:rsid w:val="009B227D"/>
    <w:rsid w:val="009B245A"/>
    <w:rsid w:val="009B25D6"/>
    <w:rsid w:val="009B2635"/>
    <w:rsid w:val="009B26C7"/>
    <w:rsid w:val="009B28A2"/>
    <w:rsid w:val="009B28C8"/>
    <w:rsid w:val="009B292F"/>
    <w:rsid w:val="009B2AED"/>
    <w:rsid w:val="009B2E26"/>
    <w:rsid w:val="009B2EC7"/>
    <w:rsid w:val="009B303C"/>
    <w:rsid w:val="009B307F"/>
    <w:rsid w:val="009B30AA"/>
    <w:rsid w:val="009B34AA"/>
    <w:rsid w:val="009B35BF"/>
    <w:rsid w:val="009B3CCA"/>
    <w:rsid w:val="009B3CF0"/>
    <w:rsid w:val="009B3E26"/>
    <w:rsid w:val="009B3E88"/>
    <w:rsid w:val="009B3EFE"/>
    <w:rsid w:val="009B41ED"/>
    <w:rsid w:val="009B4248"/>
    <w:rsid w:val="009B4315"/>
    <w:rsid w:val="009B431E"/>
    <w:rsid w:val="009B4383"/>
    <w:rsid w:val="009B43E4"/>
    <w:rsid w:val="009B4567"/>
    <w:rsid w:val="009B45E6"/>
    <w:rsid w:val="009B464D"/>
    <w:rsid w:val="009B47B9"/>
    <w:rsid w:val="009B48CA"/>
    <w:rsid w:val="009B48FA"/>
    <w:rsid w:val="009B493E"/>
    <w:rsid w:val="009B4BEA"/>
    <w:rsid w:val="009B4C5F"/>
    <w:rsid w:val="009B4D44"/>
    <w:rsid w:val="009B4DCB"/>
    <w:rsid w:val="009B4E6B"/>
    <w:rsid w:val="009B5028"/>
    <w:rsid w:val="009B50E7"/>
    <w:rsid w:val="009B513A"/>
    <w:rsid w:val="009B528A"/>
    <w:rsid w:val="009B5456"/>
    <w:rsid w:val="009B545F"/>
    <w:rsid w:val="009B553C"/>
    <w:rsid w:val="009B5653"/>
    <w:rsid w:val="009B579B"/>
    <w:rsid w:val="009B58C4"/>
    <w:rsid w:val="009B58E7"/>
    <w:rsid w:val="009B5A41"/>
    <w:rsid w:val="009B5D8A"/>
    <w:rsid w:val="009B5DC6"/>
    <w:rsid w:val="009B5E95"/>
    <w:rsid w:val="009B5EE3"/>
    <w:rsid w:val="009B600E"/>
    <w:rsid w:val="009B6134"/>
    <w:rsid w:val="009B6347"/>
    <w:rsid w:val="009B657B"/>
    <w:rsid w:val="009B664D"/>
    <w:rsid w:val="009B6902"/>
    <w:rsid w:val="009B692E"/>
    <w:rsid w:val="009B69FC"/>
    <w:rsid w:val="009B6CDF"/>
    <w:rsid w:val="009B6ED6"/>
    <w:rsid w:val="009B7104"/>
    <w:rsid w:val="009B735B"/>
    <w:rsid w:val="009B74C4"/>
    <w:rsid w:val="009B761E"/>
    <w:rsid w:val="009B7740"/>
    <w:rsid w:val="009B781A"/>
    <w:rsid w:val="009B7A85"/>
    <w:rsid w:val="009B7BA2"/>
    <w:rsid w:val="009B7C01"/>
    <w:rsid w:val="009B7DD5"/>
    <w:rsid w:val="009B7FA8"/>
    <w:rsid w:val="009C0093"/>
    <w:rsid w:val="009C0199"/>
    <w:rsid w:val="009C01C3"/>
    <w:rsid w:val="009C02DB"/>
    <w:rsid w:val="009C0402"/>
    <w:rsid w:val="009C04BD"/>
    <w:rsid w:val="009C0556"/>
    <w:rsid w:val="009C07E3"/>
    <w:rsid w:val="009C0948"/>
    <w:rsid w:val="009C097F"/>
    <w:rsid w:val="009C0ABF"/>
    <w:rsid w:val="009C0AE6"/>
    <w:rsid w:val="009C0CEF"/>
    <w:rsid w:val="009C0D70"/>
    <w:rsid w:val="009C0EBE"/>
    <w:rsid w:val="009C0FB0"/>
    <w:rsid w:val="009C10CD"/>
    <w:rsid w:val="009C1199"/>
    <w:rsid w:val="009C1271"/>
    <w:rsid w:val="009C1593"/>
    <w:rsid w:val="009C16C5"/>
    <w:rsid w:val="009C17E5"/>
    <w:rsid w:val="009C1826"/>
    <w:rsid w:val="009C1885"/>
    <w:rsid w:val="009C1A3E"/>
    <w:rsid w:val="009C1A83"/>
    <w:rsid w:val="009C1AEE"/>
    <w:rsid w:val="009C1B20"/>
    <w:rsid w:val="009C1D75"/>
    <w:rsid w:val="009C1FE4"/>
    <w:rsid w:val="009C208B"/>
    <w:rsid w:val="009C2351"/>
    <w:rsid w:val="009C23AB"/>
    <w:rsid w:val="009C2415"/>
    <w:rsid w:val="009C241E"/>
    <w:rsid w:val="009C2552"/>
    <w:rsid w:val="009C2644"/>
    <w:rsid w:val="009C2748"/>
    <w:rsid w:val="009C2974"/>
    <w:rsid w:val="009C2A45"/>
    <w:rsid w:val="009C2BC3"/>
    <w:rsid w:val="009C2C41"/>
    <w:rsid w:val="009C2C71"/>
    <w:rsid w:val="009C2CB0"/>
    <w:rsid w:val="009C301A"/>
    <w:rsid w:val="009C318A"/>
    <w:rsid w:val="009C319D"/>
    <w:rsid w:val="009C31C5"/>
    <w:rsid w:val="009C31E0"/>
    <w:rsid w:val="009C3245"/>
    <w:rsid w:val="009C324C"/>
    <w:rsid w:val="009C32C6"/>
    <w:rsid w:val="009C32EC"/>
    <w:rsid w:val="009C3325"/>
    <w:rsid w:val="009C3370"/>
    <w:rsid w:val="009C3409"/>
    <w:rsid w:val="009C342F"/>
    <w:rsid w:val="009C3448"/>
    <w:rsid w:val="009C348A"/>
    <w:rsid w:val="009C355B"/>
    <w:rsid w:val="009C35FA"/>
    <w:rsid w:val="009C36A8"/>
    <w:rsid w:val="009C36F8"/>
    <w:rsid w:val="009C3706"/>
    <w:rsid w:val="009C374A"/>
    <w:rsid w:val="009C3A3A"/>
    <w:rsid w:val="009C3CAF"/>
    <w:rsid w:val="009C3CCB"/>
    <w:rsid w:val="009C3F1E"/>
    <w:rsid w:val="009C410B"/>
    <w:rsid w:val="009C414B"/>
    <w:rsid w:val="009C4248"/>
    <w:rsid w:val="009C426B"/>
    <w:rsid w:val="009C44A9"/>
    <w:rsid w:val="009C44E6"/>
    <w:rsid w:val="009C45BF"/>
    <w:rsid w:val="009C4636"/>
    <w:rsid w:val="009C46C4"/>
    <w:rsid w:val="009C47FA"/>
    <w:rsid w:val="009C4937"/>
    <w:rsid w:val="009C4B15"/>
    <w:rsid w:val="009C4B30"/>
    <w:rsid w:val="009C4C53"/>
    <w:rsid w:val="009C4C61"/>
    <w:rsid w:val="009C4CFA"/>
    <w:rsid w:val="009C4EBF"/>
    <w:rsid w:val="009C4ECD"/>
    <w:rsid w:val="009C4F7A"/>
    <w:rsid w:val="009C4F9C"/>
    <w:rsid w:val="009C51C6"/>
    <w:rsid w:val="009C5278"/>
    <w:rsid w:val="009C5425"/>
    <w:rsid w:val="009C5557"/>
    <w:rsid w:val="009C5641"/>
    <w:rsid w:val="009C567A"/>
    <w:rsid w:val="009C5777"/>
    <w:rsid w:val="009C5834"/>
    <w:rsid w:val="009C5A5E"/>
    <w:rsid w:val="009C5B5D"/>
    <w:rsid w:val="009C5C0B"/>
    <w:rsid w:val="009C5F42"/>
    <w:rsid w:val="009C5FE4"/>
    <w:rsid w:val="009C60C4"/>
    <w:rsid w:val="009C6255"/>
    <w:rsid w:val="009C630D"/>
    <w:rsid w:val="009C648C"/>
    <w:rsid w:val="009C6645"/>
    <w:rsid w:val="009C669B"/>
    <w:rsid w:val="009C679B"/>
    <w:rsid w:val="009C6895"/>
    <w:rsid w:val="009C68B6"/>
    <w:rsid w:val="009C6924"/>
    <w:rsid w:val="009C6AB6"/>
    <w:rsid w:val="009C6AFD"/>
    <w:rsid w:val="009C6BB3"/>
    <w:rsid w:val="009C6BEC"/>
    <w:rsid w:val="009C6C47"/>
    <w:rsid w:val="009C6CEA"/>
    <w:rsid w:val="009C6E53"/>
    <w:rsid w:val="009C75EE"/>
    <w:rsid w:val="009C76EE"/>
    <w:rsid w:val="009C78CD"/>
    <w:rsid w:val="009C79E4"/>
    <w:rsid w:val="009C7A4A"/>
    <w:rsid w:val="009C7A8F"/>
    <w:rsid w:val="009C7B85"/>
    <w:rsid w:val="009C7CCE"/>
    <w:rsid w:val="009C7D20"/>
    <w:rsid w:val="009C7EA4"/>
    <w:rsid w:val="009C7F11"/>
    <w:rsid w:val="009C7F1F"/>
    <w:rsid w:val="009D020A"/>
    <w:rsid w:val="009D0254"/>
    <w:rsid w:val="009D0272"/>
    <w:rsid w:val="009D02C4"/>
    <w:rsid w:val="009D02DC"/>
    <w:rsid w:val="009D0490"/>
    <w:rsid w:val="009D04B5"/>
    <w:rsid w:val="009D0AB7"/>
    <w:rsid w:val="009D0C31"/>
    <w:rsid w:val="009D0D65"/>
    <w:rsid w:val="009D0D8D"/>
    <w:rsid w:val="009D0DCA"/>
    <w:rsid w:val="009D0E8A"/>
    <w:rsid w:val="009D0EDA"/>
    <w:rsid w:val="009D11C7"/>
    <w:rsid w:val="009D1283"/>
    <w:rsid w:val="009D13BB"/>
    <w:rsid w:val="009D1940"/>
    <w:rsid w:val="009D1A64"/>
    <w:rsid w:val="009D1D00"/>
    <w:rsid w:val="009D1DB5"/>
    <w:rsid w:val="009D1F0E"/>
    <w:rsid w:val="009D1F3A"/>
    <w:rsid w:val="009D212E"/>
    <w:rsid w:val="009D21EF"/>
    <w:rsid w:val="009D225C"/>
    <w:rsid w:val="009D23F5"/>
    <w:rsid w:val="009D24D9"/>
    <w:rsid w:val="009D25A4"/>
    <w:rsid w:val="009D25C0"/>
    <w:rsid w:val="009D260C"/>
    <w:rsid w:val="009D26AD"/>
    <w:rsid w:val="009D284D"/>
    <w:rsid w:val="009D285A"/>
    <w:rsid w:val="009D29FB"/>
    <w:rsid w:val="009D2A03"/>
    <w:rsid w:val="009D2CDF"/>
    <w:rsid w:val="009D2D2E"/>
    <w:rsid w:val="009D2E51"/>
    <w:rsid w:val="009D3138"/>
    <w:rsid w:val="009D3237"/>
    <w:rsid w:val="009D3379"/>
    <w:rsid w:val="009D3498"/>
    <w:rsid w:val="009D34A0"/>
    <w:rsid w:val="009D371A"/>
    <w:rsid w:val="009D3730"/>
    <w:rsid w:val="009D37B5"/>
    <w:rsid w:val="009D38B2"/>
    <w:rsid w:val="009D393B"/>
    <w:rsid w:val="009D3AE8"/>
    <w:rsid w:val="009D3C66"/>
    <w:rsid w:val="009D3DA4"/>
    <w:rsid w:val="009D3E68"/>
    <w:rsid w:val="009D3F1F"/>
    <w:rsid w:val="009D3FCE"/>
    <w:rsid w:val="009D425B"/>
    <w:rsid w:val="009D45B4"/>
    <w:rsid w:val="009D4607"/>
    <w:rsid w:val="009D4863"/>
    <w:rsid w:val="009D48B6"/>
    <w:rsid w:val="009D4A61"/>
    <w:rsid w:val="009D4C4C"/>
    <w:rsid w:val="009D4D04"/>
    <w:rsid w:val="009D4DD3"/>
    <w:rsid w:val="009D4DF2"/>
    <w:rsid w:val="009D4EAA"/>
    <w:rsid w:val="009D4EB0"/>
    <w:rsid w:val="009D4F0B"/>
    <w:rsid w:val="009D5439"/>
    <w:rsid w:val="009D54B7"/>
    <w:rsid w:val="009D56D2"/>
    <w:rsid w:val="009D59F0"/>
    <w:rsid w:val="009D5B91"/>
    <w:rsid w:val="009D5BA8"/>
    <w:rsid w:val="009D5D3B"/>
    <w:rsid w:val="009D5EC8"/>
    <w:rsid w:val="009D5F25"/>
    <w:rsid w:val="009D61B9"/>
    <w:rsid w:val="009D62D7"/>
    <w:rsid w:val="009D674F"/>
    <w:rsid w:val="009D67C9"/>
    <w:rsid w:val="009D67CA"/>
    <w:rsid w:val="009D6922"/>
    <w:rsid w:val="009D6AA5"/>
    <w:rsid w:val="009D6C8A"/>
    <w:rsid w:val="009D6D80"/>
    <w:rsid w:val="009D6E48"/>
    <w:rsid w:val="009D6E9C"/>
    <w:rsid w:val="009D7280"/>
    <w:rsid w:val="009D7454"/>
    <w:rsid w:val="009D7481"/>
    <w:rsid w:val="009D75E9"/>
    <w:rsid w:val="009D75FE"/>
    <w:rsid w:val="009D7600"/>
    <w:rsid w:val="009D7606"/>
    <w:rsid w:val="009D76A0"/>
    <w:rsid w:val="009D77E3"/>
    <w:rsid w:val="009D77F9"/>
    <w:rsid w:val="009D792E"/>
    <w:rsid w:val="009D79D7"/>
    <w:rsid w:val="009D7A02"/>
    <w:rsid w:val="009D7A2E"/>
    <w:rsid w:val="009D7ACF"/>
    <w:rsid w:val="009D7E1C"/>
    <w:rsid w:val="009D7FB7"/>
    <w:rsid w:val="009E005E"/>
    <w:rsid w:val="009E0077"/>
    <w:rsid w:val="009E00B8"/>
    <w:rsid w:val="009E013E"/>
    <w:rsid w:val="009E0191"/>
    <w:rsid w:val="009E01C1"/>
    <w:rsid w:val="009E026C"/>
    <w:rsid w:val="009E0512"/>
    <w:rsid w:val="009E0602"/>
    <w:rsid w:val="009E062A"/>
    <w:rsid w:val="009E079A"/>
    <w:rsid w:val="009E0809"/>
    <w:rsid w:val="009E0823"/>
    <w:rsid w:val="009E085E"/>
    <w:rsid w:val="009E0B82"/>
    <w:rsid w:val="009E0C0D"/>
    <w:rsid w:val="009E0DFE"/>
    <w:rsid w:val="009E0E34"/>
    <w:rsid w:val="009E1008"/>
    <w:rsid w:val="009E103D"/>
    <w:rsid w:val="009E111B"/>
    <w:rsid w:val="009E112B"/>
    <w:rsid w:val="009E11A5"/>
    <w:rsid w:val="009E139A"/>
    <w:rsid w:val="009E13E8"/>
    <w:rsid w:val="009E1469"/>
    <w:rsid w:val="009E1479"/>
    <w:rsid w:val="009E149B"/>
    <w:rsid w:val="009E15A5"/>
    <w:rsid w:val="009E160B"/>
    <w:rsid w:val="009E16F1"/>
    <w:rsid w:val="009E1713"/>
    <w:rsid w:val="009E1784"/>
    <w:rsid w:val="009E1A95"/>
    <w:rsid w:val="009E1CA1"/>
    <w:rsid w:val="009E1FDF"/>
    <w:rsid w:val="009E2098"/>
    <w:rsid w:val="009E215C"/>
    <w:rsid w:val="009E216D"/>
    <w:rsid w:val="009E23A5"/>
    <w:rsid w:val="009E2428"/>
    <w:rsid w:val="009E26A5"/>
    <w:rsid w:val="009E26C6"/>
    <w:rsid w:val="009E26E3"/>
    <w:rsid w:val="009E2706"/>
    <w:rsid w:val="009E282F"/>
    <w:rsid w:val="009E2898"/>
    <w:rsid w:val="009E2A3E"/>
    <w:rsid w:val="009E2A64"/>
    <w:rsid w:val="009E2C51"/>
    <w:rsid w:val="009E2C86"/>
    <w:rsid w:val="009E2D57"/>
    <w:rsid w:val="009E2DE2"/>
    <w:rsid w:val="009E2DFC"/>
    <w:rsid w:val="009E2E66"/>
    <w:rsid w:val="009E2EEF"/>
    <w:rsid w:val="009E302C"/>
    <w:rsid w:val="009E3049"/>
    <w:rsid w:val="009E30CD"/>
    <w:rsid w:val="009E31F6"/>
    <w:rsid w:val="009E342B"/>
    <w:rsid w:val="009E3468"/>
    <w:rsid w:val="009E34B7"/>
    <w:rsid w:val="009E34BA"/>
    <w:rsid w:val="009E359B"/>
    <w:rsid w:val="009E37DE"/>
    <w:rsid w:val="009E39D8"/>
    <w:rsid w:val="009E3A30"/>
    <w:rsid w:val="009E3E3F"/>
    <w:rsid w:val="009E3ED8"/>
    <w:rsid w:val="009E3F69"/>
    <w:rsid w:val="009E4077"/>
    <w:rsid w:val="009E40F9"/>
    <w:rsid w:val="009E417D"/>
    <w:rsid w:val="009E42A7"/>
    <w:rsid w:val="009E4512"/>
    <w:rsid w:val="009E473F"/>
    <w:rsid w:val="009E47BD"/>
    <w:rsid w:val="009E4B7B"/>
    <w:rsid w:val="009E4C07"/>
    <w:rsid w:val="009E4E3E"/>
    <w:rsid w:val="009E4E43"/>
    <w:rsid w:val="009E4EEE"/>
    <w:rsid w:val="009E50B3"/>
    <w:rsid w:val="009E50C9"/>
    <w:rsid w:val="009E5102"/>
    <w:rsid w:val="009E5133"/>
    <w:rsid w:val="009E5138"/>
    <w:rsid w:val="009E5145"/>
    <w:rsid w:val="009E51B4"/>
    <w:rsid w:val="009E52E2"/>
    <w:rsid w:val="009E52F0"/>
    <w:rsid w:val="009E5443"/>
    <w:rsid w:val="009E555A"/>
    <w:rsid w:val="009E55C8"/>
    <w:rsid w:val="009E5825"/>
    <w:rsid w:val="009E5A3B"/>
    <w:rsid w:val="009E5B54"/>
    <w:rsid w:val="009E5BF5"/>
    <w:rsid w:val="009E5F59"/>
    <w:rsid w:val="009E5F7B"/>
    <w:rsid w:val="009E6098"/>
    <w:rsid w:val="009E61CA"/>
    <w:rsid w:val="009E634E"/>
    <w:rsid w:val="009E6691"/>
    <w:rsid w:val="009E6A80"/>
    <w:rsid w:val="009E6C6A"/>
    <w:rsid w:val="009E6C85"/>
    <w:rsid w:val="009E6E8C"/>
    <w:rsid w:val="009E711A"/>
    <w:rsid w:val="009E71BA"/>
    <w:rsid w:val="009E71C7"/>
    <w:rsid w:val="009E727E"/>
    <w:rsid w:val="009E76AD"/>
    <w:rsid w:val="009E777F"/>
    <w:rsid w:val="009E783A"/>
    <w:rsid w:val="009E7A41"/>
    <w:rsid w:val="009E7AF7"/>
    <w:rsid w:val="009E7B66"/>
    <w:rsid w:val="009E7B7E"/>
    <w:rsid w:val="009E7BEE"/>
    <w:rsid w:val="009E7D67"/>
    <w:rsid w:val="009E7E6E"/>
    <w:rsid w:val="009E7ED0"/>
    <w:rsid w:val="009E7F29"/>
    <w:rsid w:val="009E7F55"/>
    <w:rsid w:val="009E7FB0"/>
    <w:rsid w:val="009F019A"/>
    <w:rsid w:val="009F0309"/>
    <w:rsid w:val="009F031C"/>
    <w:rsid w:val="009F04F5"/>
    <w:rsid w:val="009F060F"/>
    <w:rsid w:val="009F0808"/>
    <w:rsid w:val="009F0829"/>
    <w:rsid w:val="009F083E"/>
    <w:rsid w:val="009F0BA8"/>
    <w:rsid w:val="009F0C0F"/>
    <w:rsid w:val="009F115F"/>
    <w:rsid w:val="009F11B0"/>
    <w:rsid w:val="009F11D4"/>
    <w:rsid w:val="009F1346"/>
    <w:rsid w:val="009F145B"/>
    <w:rsid w:val="009F1943"/>
    <w:rsid w:val="009F1E05"/>
    <w:rsid w:val="009F1E41"/>
    <w:rsid w:val="009F1E51"/>
    <w:rsid w:val="009F1EB0"/>
    <w:rsid w:val="009F1F5E"/>
    <w:rsid w:val="009F1F65"/>
    <w:rsid w:val="009F2071"/>
    <w:rsid w:val="009F244C"/>
    <w:rsid w:val="009F24BF"/>
    <w:rsid w:val="009F256C"/>
    <w:rsid w:val="009F258E"/>
    <w:rsid w:val="009F28FB"/>
    <w:rsid w:val="009F298F"/>
    <w:rsid w:val="009F2A08"/>
    <w:rsid w:val="009F2C5F"/>
    <w:rsid w:val="009F2C98"/>
    <w:rsid w:val="009F2CED"/>
    <w:rsid w:val="009F2D6B"/>
    <w:rsid w:val="009F2F8F"/>
    <w:rsid w:val="009F3151"/>
    <w:rsid w:val="009F33CF"/>
    <w:rsid w:val="009F3409"/>
    <w:rsid w:val="009F3491"/>
    <w:rsid w:val="009F34BF"/>
    <w:rsid w:val="009F359E"/>
    <w:rsid w:val="009F3608"/>
    <w:rsid w:val="009F3684"/>
    <w:rsid w:val="009F380C"/>
    <w:rsid w:val="009F385D"/>
    <w:rsid w:val="009F3927"/>
    <w:rsid w:val="009F39D7"/>
    <w:rsid w:val="009F3AFD"/>
    <w:rsid w:val="009F3C1A"/>
    <w:rsid w:val="009F3E16"/>
    <w:rsid w:val="009F3F67"/>
    <w:rsid w:val="009F41E3"/>
    <w:rsid w:val="009F4207"/>
    <w:rsid w:val="009F43D7"/>
    <w:rsid w:val="009F4413"/>
    <w:rsid w:val="009F44C6"/>
    <w:rsid w:val="009F46D0"/>
    <w:rsid w:val="009F476D"/>
    <w:rsid w:val="009F4882"/>
    <w:rsid w:val="009F49FD"/>
    <w:rsid w:val="009F4B20"/>
    <w:rsid w:val="009F4C96"/>
    <w:rsid w:val="009F4DE2"/>
    <w:rsid w:val="009F50E7"/>
    <w:rsid w:val="009F5118"/>
    <w:rsid w:val="009F5478"/>
    <w:rsid w:val="009F5561"/>
    <w:rsid w:val="009F565D"/>
    <w:rsid w:val="009F57DA"/>
    <w:rsid w:val="009F5859"/>
    <w:rsid w:val="009F5A6F"/>
    <w:rsid w:val="009F5AE1"/>
    <w:rsid w:val="009F5D2F"/>
    <w:rsid w:val="009F5E42"/>
    <w:rsid w:val="009F5EC9"/>
    <w:rsid w:val="009F5FDB"/>
    <w:rsid w:val="009F6055"/>
    <w:rsid w:val="009F6120"/>
    <w:rsid w:val="009F6141"/>
    <w:rsid w:val="009F63B7"/>
    <w:rsid w:val="009F6463"/>
    <w:rsid w:val="009F655F"/>
    <w:rsid w:val="009F657A"/>
    <w:rsid w:val="009F6646"/>
    <w:rsid w:val="009F6732"/>
    <w:rsid w:val="009F673E"/>
    <w:rsid w:val="009F6919"/>
    <w:rsid w:val="009F6A63"/>
    <w:rsid w:val="009F6F5C"/>
    <w:rsid w:val="009F7007"/>
    <w:rsid w:val="009F7071"/>
    <w:rsid w:val="009F707D"/>
    <w:rsid w:val="009F71B7"/>
    <w:rsid w:val="009F72D7"/>
    <w:rsid w:val="009F744D"/>
    <w:rsid w:val="009F75F5"/>
    <w:rsid w:val="009F7666"/>
    <w:rsid w:val="009F7876"/>
    <w:rsid w:val="009F7955"/>
    <w:rsid w:val="009F7A3C"/>
    <w:rsid w:val="009F7C00"/>
    <w:rsid w:val="009F7C34"/>
    <w:rsid w:val="009F7C7E"/>
    <w:rsid w:val="009F7C8D"/>
    <w:rsid w:val="009F7C93"/>
    <w:rsid w:val="009F7CA5"/>
    <w:rsid w:val="009F7D74"/>
    <w:rsid w:val="009F7E63"/>
    <w:rsid w:val="009F7EF7"/>
    <w:rsid w:val="009F7FE7"/>
    <w:rsid w:val="00A0005F"/>
    <w:rsid w:val="00A001CA"/>
    <w:rsid w:val="00A002C8"/>
    <w:rsid w:val="00A002CD"/>
    <w:rsid w:val="00A003F4"/>
    <w:rsid w:val="00A00456"/>
    <w:rsid w:val="00A0045B"/>
    <w:rsid w:val="00A00516"/>
    <w:rsid w:val="00A0054B"/>
    <w:rsid w:val="00A005A5"/>
    <w:rsid w:val="00A00988"/>
    <w:rsid w:val="00A00D76"/>
    <w:rsid w:val="00A00DDB"/>
    <w:rsid w:val="00A00E2E"/>
    <w:rsid w:val="00A00E4C"/>
    <w:rsid w:val="00A0110E"/>
    <w:rsid w:val="00A01184"/>
    <w:rsid w:val="00A0128F"/>
    <w:rsid w:val="00A012D9"/>
    <w:rsid w:val="00A01347"/>
    <w:rsid w:val="00A01449"/>
    <w:rsid w:val="00A0185B"/>
    <w:rsid w:val="00A01864"/>
    <w:rsid w:val="00A01897"/>
    <w:rsid w:val="00A018CE"/>
    <w:rsid w:val="00A0191F"/>
    <w:rsid w:val="00A01AE0"/>
    <w:rsid w:val="00A01B59"/>
    <w:rsid w:val="00A01BD9"/>
    <w:rsid w:val="00A01BE3"/>
    <w:rsid w:val="00A01CA7"/>
    <w:rsid w:val="00A01D2C"/>
    <w:rsid w:val="00A01D57"/>
    <w:rsid w:val="00A01D58"/>
    <w:rsid w:val="00A01EA2"/>
    <w:rsid w:val="00A01EBF"/>
    <w:rsid w:val="00A01F93"/>
    <w:rsid w:val="00A02002"/>
    <w:rsid w:val="00A020BC"/>
    <w:rsid w:val="00A02234"/>
    <w:rsid w:val="00A023CB"/>
    <w:rsid w:val="00A0247C"/>
    <w:rsid w:val="00A02589"/>
    <w:rsid w:val="00A02704"/>
    <w:rsid w:val="00A02791"/>
    <w:rsid w:val="00A02800"/>
    <w:rsid w:val="00A0284E"/>
    <w:rsid w:val="00A028A4"/>
    <w:rsid w:val="00A02AD2"/>
    <w:rsid w:val="00A02B1D"/>
    <w:rsid w:val="00A02B7A"/>
    <w:rsid w:val="00A02C0C"/>
    <w:rsid w:val="00A02D0D"/>
    <w:rsid w:val="00A02F19"/>
    <w:rsid w:val="00A02FB3"/>
    <w:rsid w:val="00A030B0"/>
    <w:rsid w:val="00A03340"/>
    <w:rsid w:val="00A037C2"/>
    <w:rsid w:val="00A038A6"/>
    <w:rsid w:val="00A039BF"/>
    <w:rsid w:val="00A03AB8"/>
    <w:rsid w:val="00A03AEC"/>
    <w:rsid w:val="00A03C0C"/>
    <w:rsid w:val="00A03D43"/>
    <w:rsid w:val="00A04156"/>
    <w:rsid w:val="00A041CE"/>
    <w:rsid w:val="00A04380"/>
    <w:rsid w:val="00A04571"/>
    <w:rsid w:val="00A0468D"/>
    <w:rsid w:val="00A04786"/>
    <w:rsid w:val="00A047F0"/>
    <w:rsid w:val="00A0497A"/>
    <w:rsid w:val="00A049F6"/>
    <w:rsid w:val="00A04A03"/>
    <w:rsid w:val="00A04A60"/>
    <w:rsid w:val="00A04CF6"/>
    <w:rsid w:val="00A04DBE"/>
    <w:rsid w:val="00A04E6E"/>
    <w:rsid w:val="00A04F16"/>
    <w:rsid w:val="00A05183"/>
    <w:rsid w:val="00A051DE"/>
    <w:rsid w:val="00A052A4"/>
    <w:rsid w:val="00A052F5"/>
    <w:rsid w:val="00A05472"/>
    <w:rsid w:val="00A054E9"/>
    <w:rsid w:val="00A05633"/>
    <w:rsid w:val="00A05672"/>
    <w:rsid w:val="00A0571B"/>
    <w:rsid w:val="00A05790"/>
    <w:rsid w:val="00A0583E"/>
    <w:rsid w:val="00A05A2A"/>
    <w:rsid w:val="00A05AEE"/>
    <w:rsid w:val="00A05C32"/>
    <w:rsid w:val="00A05D12"/>
    <w:rsid w:val="00A05D3D"/>
    <w:rsid w:val="00A05E09"/>
    <w:rsid w:val="00A06054"/>
    <w:rsid w:val="00A061DF"/>
    <w:rsid w:val="00A06208"/>
    <w:rsid w:val="00A0636A"/>
    <w:rsid w:val="00A063CB"/>
    <w:rsid w:val="00A064A7"/>
    <w:rsid w:val="00A0653F"/>
    <w:rsid w:val="00A066C7"/>
    <w:rsid w:val="00A06870"/>
    <w:rsid w:val="00A068D2"/>
    <w:rsid w:val="00A06A62"/>
    <w:rsid w:val="00A06BC0"/>
    <w:rsid w:val="00A06D4C"/>
    <w:rsid w:val="00A071F7"/>
    <w:rsid w:val="00A0729E"/>
    <w:rsid w:val="00A07373"/>
    <w:rsid w:val="00A0743B"/>
    <w:rsid w:val="00A076B5"/>
    <w:rsid w:val="00A079D4"/>
    <w:rsid w:val="00A07A56"/>
    <w:rsid w:val="00A07B1B"/>
    <w:rsid w:val="00A07B45"/>
    <w:rsid w:val="00A07B99"/>
    <w:rsid w:val="00A07C11"/>
    <w:rsid w:val="00A07C38"/>
    <w:rsid w:val="00A07D14"/>
    <w:rsid w:val="00A100C3"/>
    <w:rsid w:val="00A101BA"/>
    <w:rsid w:val="00A102C4"/>
    <w:rsid w:val="00A10401"/>
    <w:rsid w:val="00A10480"/>
    <w:rsid w:val="00A10587"/>
    <w:rsid w:val="00A105F3"/>
    <w:rsid w:val="00A10800"/>
    <w:rsid w:val="00A10B0B"/>
    <w:rsid w:val="00A10B21"/>
    <w:rsid w:val="00A10BF0"/>
    <w:rsid w:val="00A10C6E"/>
    <w:rsid w:val="00A10E04"/>
    <w:rsid w:val="00A10F43"/>
    <w:rsid w:val="00A11441"/>
    <w:rsid w:val="00A11517"/>
    <w:rsid w:val="00A11526"/>
    <w:rsid w:val="00A11604"/>
    <w:rsid w:val="00A119B1"/>
    <w:rsid w:val="00A11A48"/>
    <w:rsid w:val="00A11B24"/>
    <w:rsid w:val="00A11B3D"/>
    <w:rsid w:val="00A11C05"/>
    <w:rsid w:val="00A11C8E"/>
    <w:rsid w:val="00A11C90"/>
    <w:rsid w:val="00A11CD0"/>
    <w:rsid w:val="00A11CE4"/>
    <w:rsid w:val="00A11CFC"/>
    <w:rsid w:val="00A11D0D"/>
    <w:rsid w:val="00A11D83"/>
    <w:rsid w:val="00A11FDD"/>
    <w:rsid w:val="00A12152"/>
    <w:rsid w:val="00A121AF"/>
    <w:rsid w:val="00A121B9"/>
    <w:rsid w:val="00A12381"/>
    <w:rsid w:val="00A125CB"/>
    <w:rsid w:val="00A1266F"/>
    <w:rsid w:val="00A1279B"/>
    <w:rsid w:val="00A127C9"/>
    <w:rsid w:val="00A1289A"/>
    <w:rsid w:val="00A12A05"/>
    <w:rsid w:val="00A12B45"/>
    <w:rsid w:val="00A12B91"/>
    <w:rsid w:val="00A12BA2"/>
    <w:rsid w:val="00A12BE4"/>
    <w:rsid w:val="00A12C6B"/>
    <w:rsid w:val="00A12CB2"/>
    <w:rsid w:val="00A12CB8"/>
    <w:rsid w:val="00A12D49"/>
    <w:rsid w:val="00A12EE5"/>
    <w:rsid w:val="00A13145"/>
    <w:rsid w:val="00A131E4"/>
    <w:rsid w:val="00A131F7"/>
    <w:rsid w:val="00A132B6"/>
    <w:rsid w:val="00A1333F"/>
    <w:rsid w:val="00A13628"/>
    <w:rsid w:val="00A13662"/>
    <w:rsid w:val="00A137DD"/>
    <w:rsid w:val="00A137F0"/>
    <w:rsid w:val="00A13826"/>
    <w:rsid w:val="00A138FF"/>
    <w:rsid w:val="00A13948"/>
    <w:rsid w:val="00A139E6"/>
    <w:rsid w:val="00A139F8"/>
    <w:rsid w:val="00A13D16"/>
    <w:rsid w:val="00A13D88"/>
    <w:rsid w:val="00A13E34"/>
    <w:rsid w:val="00A13E85"/>
    <w:rsid w:val="00A13FC5"/>
    <w:rsid w:val="00A14071"/>
    <w:rsid w:val="00A1408A"/>
    <w:rsid w:val="00A141F5"/>
    <w:rsid w:val="00A143D5"/>
    <w:rsid w:val="00A143E2"/>
    <w:rsid w:val="00A1457C"/>
    <w:rsid w:val="00A14664"/>
    <w:rsid w:val="00A1466D"/>
    <w:rsid w:val="00A146FD"/>
    <w:rsid w:val="00A149E0"/>
    <w:rsid w:val="00A149FE"/>
    <w:rsid w:val="00A14D7D"/>
    <w:rsid w:val="00A14E02"/>
    <w:rsid w:val="00A14E0A"/>
    <w:rsid w:val="00A14EEF"/>
    <w:rsid w:val="00A14F37"/>
    <w:rsid w:val="00A15040"/>
    <w:rsid w:val="00A1507C"/>
    <w:rsid w:val="00A151F5"/>
    <w:rsid w:val="00A15364"/>
    <w:rsid w:val="00A1555B"/>
    <w:rsid w:val="00A155C5"/>
    <w:rsid w:val="00A15600"/>
    <w:rsid w:val="00A15824"/>
    <w:rsid w:val="00A15912"/>
    <w:rsid w:val="00A15E45"/>
    <w:rsid w:val="00A15E46"/>
    <w:rsid w:val="00A15F4A"/>
    <w:rsid w:val="00A15FAA"/>
    <w:rsid w:val="00A1614E"/>
    <w:rsid w:val="00A161A4"/>
    <w:rsid w:val="00A16372"/>
    <w:rsid w:val="00A16375"/>
    <w:rsid w:val="00A163CC"/>
    <w:rsid w:val="00A164E3"/>
    <w:rsid w:val="00A166B7"/>
    <w:rsid w:val="00A16731"/>
    <w:rsid w:val="00A168B2"/>
    <w:rsid w:val="00A169D6"/>
    <w:rsid w:val="00A16A8D"/>
    <w:rsid w:val="00A16AD8"/>
    <w:rsid w:val="00A16BBB"/>
    <w:rsid w:val="00A16E68"/>
    <w:rsid w:val="00A16F64"/>
    <w:rsid w:val="00A1701C"/>
    <w:rsid w:val="00A1721F"/>
    <w:rsid w:val="00A172CE"/>
    <w:rsid w:val="00A17301"/>
    <w:rsid w:val="00A17516"/>
    <w:rsid w:val="00A17791"/>
    <w:rsid w:val="00A177A5"/>
    <w:rsid w:val="00A177D2"/>
    <w:rsid w:val="00A177EC"/>
    <w:rsid w:val="00A1783C"/>
    <w:rsid w:val="00A17A58"/>
    <w:rsid w:val="00A17AEC"/>
    <w:rsid w:val="00A17C2D"/>
    <w:rsid w:val="00A17C3B"/>
    <w:rsid w:val="00A17CCA"/>
    <w:rsid w:val="00A200E5"/>
    <w:rsid w:val="00A2010B"/>
    <w:rsid w:val="00A201BC"/>
    <w:rsid w:val="00A201F9"/>
    <w:rsid w:val="00A2021E"/>
    <w:rsid w:val="00A20227"/>
    <w:rsid w:val="00A2024B"/>
    <w:rsid w:val="00A2049D"/>
    <w:rsid w:val="00A204D0"/>
    <w:rsid w:val="00A205D8"/>
    <w:rsid w:val="00A20652"/>
    <w:rsid w:val="00A2088A"/>
    <w:rsid w:val="00A2095B"/>
    <w:rsid w:val="00A209B8"/>
    <w:rsid w:val="00A209F8"/>
    <w:rsid w:val="00A20C01"/>
    <w:rsid w:val="00A20F78"/>
    <w:rsid w:val="00A210F4"/>
    <w:rsid w:val="00A21230"/>
    <w:rsid w:val="00A21390"/>
    <w:rsid w:val="00A213C0"/>
    <w:rsid w:val="00A213E5"/>
    <w:rsid w:val="00A214C2"/>
    <w:rsid w:val="00A21627"/>
    <w:rsid w:val="00A216B8"/>
    <w:rsid w:val="00A2190F"/>
    <w:rsid w:val="00A21944"/>
    <w:rsid w:val="00A219C9"/>
    <w:rsid w:val="00A219FA"/>
    <w:rsid w:val="00A21A58"/>
    <w:rsid w:val="00A21ACE"/>
    <w:rsid w:val="00A21B31"/>
    <w:rsid w:val="00A21B3F"/>
    <w:rsid w:val="00A21B70"/>
    <w:rsid w:val="00A21C2E"/>
    <w:rsid w:val="00A21C95"/>
    <w:rsid w:val="00A21CF3"/>
    <w:rsid w:val="00A21D6E"/>
    <w:rsid w:val="00A22024"/>
    <w:rsid w:val="00A220E7"/>
    <w:rsid w:val="00A22158"/>
    <w:rsid w:val="00A22252"/>
    <w:rsid w:val="00A2226A"/>
    <w:rsid w:val="00A2252C"/>
    <w:rsid w:val="00A2265F"/>
    <w:rsid w:val="00A22752"/>
    <w:rsid w:val="00A2275E"/>
    <w:rsid w:val="00A228AD"/>
    <w:rsid w:val="00A2293A"/>
    <w:rsid w:val="00A22984"/>
    <w:rsid w:val="00A22CC2"/>
    <w:rsid w:val="00A22FA7"/>
    <w:rsid w:val="00A23110"/>
    <w:rsid w:val="00A231D4"/>
    <w:rsid w:val="00A2352A"/>
    <w:rsid w:val="00A236FC"/>
    <w:rsid w:val="00A23704"/>
    <w:rsid w:val="00A23835"/>
    <w:rsid w:val="00A23864"/>
    <w:rsid w:val="00A238D4"/>
    <w:rsid w:val="00A23B2C"/>
    <w:rsid w:val="00A23B58"/>
    <w:rsid w:val="00A23B6A"/>
    <w:rsid w:val="00A23B79"/>
    <w:rsid w:val="00A23DFF"/>
    <w:rsid w:val="00A24058"/>
    <w:rsid w:val="00A24177"/>
    <w:rsid w:val="00A241E1"/>
    <w:rsid w:val="00A24280"/>
    <w:rsid w:val="00A242D9"/>
    <w:rsid w:val="00A2438A"/>
    <w:rsid w:val="00A24407"/>
    <w:rsid w:val="00A24509"/>
    <w:rsid w:val="00A24813"/>
    <w:rsid w:val="00A24C31"/>
    <w:rsid w:val="00A24D03"/>
    <w:rsid w:val="00A24E99"/>
    <w:rsid w:val="00A24F56"/>
    <w:rsid w:val="00A24FA5"/>
    <w:rsid w:val="00A250F7"/>
    <w:rsid w:val="00A25230"/>
    <w:rsid w:val="00A253BE"/>
    <w:rsid w:val="00A253E4"/>
    <w:rsid w:val="00A25402"/>
    <w:rsid w:val="00A25493"/>
    <w:rsid w:val="00A254E9"/>
    <w:rsid w:val="00A255B3"/>
    <w:rsid w:val="00A25826"/>
    <w:rsid w:val="00A25AD3"/>
    <w:rsid w:val="00A25B02"/>
    <w:rsid w:val="00A25B14"/>
    <w:rsid w:val="00A25B17"/>
    <w:rsid w:val="00A25C18"/>
    <w:rsid w:val="00A25C37"/>
    <w:rsid w:val="00A25D45"/>
    <w:rsid w:val="00A25E00"/>
    <w:rsid w:val="00A25E5B"/>
    <w:rsid w:val="00A25EF7"/>
    <w:rsid w:val="00A25F2D"/>
    <w:rsid w:val="00A25FF9"/>
    <w:rsid w:val="00A2614D"/>
    <w:rsid w:val="00A262AA"/>
    <w:rsid w:val="00A26446"/>
    <w:rsid w:val="00A2664A"/>
    <w:rsid w:val="00A266C7"/>
    <w:rsid w:val="00A26B27"/>
    <w:rsid w:val="00A26CC3"/>
    <w:rsid w:val="00A26DDB"/>
    <w:rsid w:val="00A26E3D"/>
    <w:rsid w:val="00A26E5E"/>
    <w:rsid w:val="00A26EE8"/>
    <w:rsid w:val="00A2714B"/>
    <w:rsid w:val="00A27197"/>
    <w:rsid w:val="00A272B4"/>
    <w:rsid w:val="00A27306"/>
    <w:rsid w:val="00A2733C"/>
    <w:rsid w:val="00A27415"/>
    <w:rsid w:val="00A27440"/>
    <w:rsid w:val="00A27505"/>
    <w:rsid w:val="00A2752D"/>
    <w:rsid w:val="00A2755E"/>
    <w:rsid w:val="00A2760C"/>
    <w:rsid w:val="00A276A0"/>
    <w:rsid w:val="00A27717"/>
    <w:rsid w:val="00A2776B"/>
    <w:rsid w:val="00A2779C"/>
    <w:rsid w:val="00A2779D"/>
    <w:rsid w:val="00A277C7"/>
    <w:rsid w:val="00A27845"/>
    <w:rsid w:val="00A2791F"/>
    <w:rsid w:val="00A27A1F"/>
    <w:rsid w:val="00A27AEC"/>
    <w:rsid w:val="00A27E62"/>
    <w:rsid w:val="00A27F28"/>
    <w:rsid w:val="00A27F73"/>
    <w:rsid w:val="00A27FFC"/>
    <w:rsid w:val="00A300C1"/>
    <w:rsid w:val="00A30100"/>
    <w:rsid w:val="00A30188"/>
    <w:rsid w:val="00A3020B"/>
    <w:rsid w:val="00A3031A"/>
    <w:rsid w:val="00A30361"/>
    <w:rsid w:val="00A30417"/>
    <w:rsid w:val="00A304B7"/>
    <w:rsid w:val="00A30623"/>
    <w:rsid w:val="00A309CB"/>
    <w:rsid w:val="00A30A29"/>
    <w:rsid w:val="00A30A5B"/>
    <w:rsid w:val="00A30AD3"/>
    <w:rsid w:val="00A30ADC"/>
    <w:rsid w:val="00A30D27"/>
    <w:rsid w:val="00A30D7A"/>
    <w:rsid w:val="00A30DC0"/>
    <w:rsid w:val="00A30E11"/>
    <w:rsid w:val="00A30E2D"/>
    <w:rsid w:val="00A310D3"/>
    <w:rsid w:val="00A310E9"/>
    <w:rsid w:val="00A3110D"/>
    <w:rsid w:val="00A3114D"/>
    <w:rsid w:val="00A3122C"/>
    <w:rsid w:val="00A312E5"/>
    <w:rsid w:val="00A313A7"/>
    <w:rsid w:val="00A3142B"/>
    <w:rsid w:val="00A31461"/>
    <w:rsid w:val="00A315D2"/>
    <w:rsid w:val="00A315E2"/>
    <w:rsid w:val="00A317AD"/>
    <w:rsid w:val="00A317B4"/>
    <w:rsid w:val="00A317C3"/>
    <w:rsid w:val="00A317D7"/>
    <w:rsid w:val="00A319D0"/>
    <w:rsid w:val="00A31A48"/>
    <w:rsid w:val="00A31B05"/>
    <w:rsid w:val="00A31B39"/>
    <w:rsid w:val="00A31B70"/>
    <w:rsid w:val="00A31CE8"/>
    <w:rsid w:val="00A31DA7"/>
    <w:rsid w:val="00A31FD9"/>
    <w:rsid w:val="00A320DB"/>
    <w:rsid w:val="00A3211A"/>
    <w:rsid w:val="00A32271"/>
    <w:rsid w:val="00A3241B"/>
    <w:rsid w:val="00A32438"/>
    <w:rsid w:val="00A3271C"/>
    <w:rsid w:val="00A328DF"/>
    <w:rsid w:val="00A328F0"/>
    <w:rsid w:val="00A32A52"/>
    <w:rsid w:val="00A32BA5"/>
    <w:rsid w:val="00A32D0D"/>
    <w:rsid w:val="00A32FB1"/>
    <w:rsid w:val="00A331A1"/>
    <w:rsid w:val="00A33263"/>
    <w:rsid w:val="00A3333F"/>
    <w:rsid w:val="00A334A9"/>
    <w:rsid w:val="00A33509"/>
    <w:rsid w:val="00A336DC"/>
    <w:rsid w:val="00A33A41"/>
    <w:rsid w:val="00A33A4D"/>
    <w:rsid w:val="00A33AAE"/>
    <w:rsid w:val="00A33B5F"/>
    <w:rsid w:val="00A33BC7"/>
    <w:rsid w:val="00A33CA4"/>
    <w:rsid w:val="00A33D90"/>
    <w:rsid w:val="00A340A4"/>
    <w:rsid w:val="00A341D8"/>
    <w:rsid w:val="00A341EE"/>
    <w:rsid w:val="00A34292"/>
    <w:rsid w:val="00A34663"/>
    <w:rsid w:val="00A346A9"/>
    <w:rsid w:val="00A346CA"/>
    <w:rsid w:val="00A3472C"/>
    <w:rsid w:val="00A3488E"/>
    <w:rsid w:val="00A348A4"/>
    <w:rsid w:val="00A34AE6"/>
    <w:rsid w:val="00A34C96"/>
    <w:rsid w:val="00A34CDF"/>
    <w:rsid w:val="00A34D95"/>
    <w:rsid w:val="00A34DD9"/>
    <w:rsid w:val="00A34DE9"/>
    <w:rsid w:val="00A34EE3"/>
    <w:rsid w:val="00A35019"/>
    <w:rsid w:val="00A3503E"/>
    <w:rsid w:val="00A3507E"/>
    <w:rsid w:val="00A35088"/>
    <w:rsid w:val="00A3511C"/>
    <w:rsid w:val="00A35354"/>
    <w:rsid w:val="00A35492"/>
    <w:rsid w:val="00A354DE"/>
    <w:rsid w:val="00A35778"/>
    <w:rsid w:val="00A358CB"/>
    <w:rsid w:val="00A35B5A"/>
    <w:rsid w:val="00A35BDB"/>
    <w:rsid w:val="00A35CB3"/>
    <w:rsid w:val="00A35D16"/>
    <w:rsid w:val="00A35F1C"/>
    <w:rsid w:val="00A36203"/>
    <w:rsid w:val="00A3624C"/>
    <w:rsid w:val="00A3628A"/>
    <w:rsid w:val="00A36367"/>
    <w:rsid w:val="00A365F7"/>
    <w:rsid w:val="00A36623"/>
    <w:rsid w:val="00A368AB"/>
    <w:rsid w:val="00A36A04"/>
    <w:rsid w:val="00A36A66"/>
    <w:rsid w:val="00A36A6F"/>
    <w:rsid w:val="00A36AA8"/>
    <w:rsid w:val="00A36CEC"/>
    <w:rsid w:val="00A36F82"/>
    <w:rsid w:val="00A37257"/>
    <w:rsid w:val="00A3728C"/>
    <w:rsid w:val="00A372ED"/>
    <w:rsid w:val="00A3734F"/>
    <w:rsid w:val="00A37671"/>
    <w:rsid w:val="00A377B3"/>
    <w:rsid w:val="00A37826"/>
    <w:rsid w:val="00A37B0F"/>
    <w:rsid w:val="00A37BCD"/>
    <w:rsid w:val="00A37F90"/>
    <w:rsid w:val="00A37FB5"/>
    <w:rsid w:val="00A4033A"/>
    <w:rsid w:val="00A40577"/>
    <w:rsid w:val="00A40584"/>
    <w:rsid w:val="00A405C5"/>
    <w:rsid w:val="00A406A2"/>
    <w:rsid w:val="00A40793"/>
    <w:rsid w:val="00A408AE"/>
    <w:rsid w:val="00A4097A"/>
    <w:rsid w:val="00A40B10"/>
    <w:rsid w:val="00A40B7E"/>
    <w:rsid w:val="00A40C93"/>
    <w:rsid w:val="00A40DCE"/>
    <w:rsid w:val="00A40EC4"/>
    <w:rsid w:val="00A412B5"/>
    <w:rsid w:val="00A414D8"/>
    <w:rsid w:val="00A4167D"/>
    <w:rsid w:val="00A41689"/>
    <w:rsid w:val="00A416F8"/>
    <w:rsid w:val="00A41925"/>
    <w:rsid w:val="00A41930"/>
    <w:rsid w:val="00A4195F"/>
    <w:rsid w:val="00A41963"/>
    <w:rsid w:val="00A41AF6"/>
    <w:rsid w:val="00A41B1A"/>
    <w:rsid w:val="00A41B31"/>
    <w:rsid w:val="00A41B36"/>
    <w:rsid w:val="00A41E3D"/>
    <w:rsid w:val="00A41E8B"/>
    <w:rsid w:val="00A41EF5"/>
    <w:rsid w:val="00A41F16"/>
    <w:rsid w:val="00A4203D"/>
    <w:rsid w:val="00A42061"/>
    <w:rsid w:val="00A4244C"/>
    <w:rsid w:val="00A42467"/>
    <w:rsid w:val="00A4254F"/>
    <w:rsid w:val="00A42592"/>
    <w:rsid w:val="00A425F0"/>
    <w:rsid w:val="00A42609"/>
    <w:rsid w:val="00A426AB"/>
    <w:rsid w:val="00A4288F"/>
    <w:rsid w:val="00A42A77"/>
    <w:rsid w:val="00A42A85"/>
    <w:rsid w:val="00A42CA6"/>
    <w:rsid w:val="00A42F79"/>
    <w:rsid w:val="00A43165"/>
    <w:rsid w:val="00A43434"/>
    <w:rsid w:val="00A4352B"/>
    <w:rsid w:val="00A43650"/>
    <w:rsid w:val="00A43761"/>
    <w:rsid w:val="00A4376A"/>
    <w:rsid w:val="00A437A7"/>
    <w:rsid w:val="00A437BE"/>
    <w:rsid w:val="00A43924"/>
    <w:rsid w:val="00A43AE4"/>
    <w:rsid w:val="00A43AE8"/>
    <w:rsid w:val="00A43AF9"/>
    <w:rsid w:val="00A43C59"/>
    <w:rsid w:val="00A43CC3"/>
    <w:rsid w:val="00A44078"/>
    <w:rsid w:val="00A440AD"/>
    <w:rsid w:val="00A440F2"/>
    <w:rsid w:val="00A4415E"/>
    <w:rsid w:val="00A44198"/>
    <w:rsid w:val="00A442D1"/>
    <w:rsid w:val="00A4461E"/>
    <w:rsid w:val="00A4475C"/>
    <w:rsid w:val="00A4478F"/>
    <w:rsid w:val="00A44801"/>
    <w:rsid w:val="00A4481E"/>
    <w:rsid w:val="00A4497A"/>
    <w:rsid w:val="00A44B41"/>
    <w:rsid w:val="00A44C2F"/>
    <w:rsid w:val="00A44E34"/>
    <w:rsid w:val="00A450BE"/>
    <w:rsid w:val="00A4537D"/>
    <w:rsid w:val="00A45995"/>
    <w:rsid w:val="00A45C4D"/>
    <w:rsid w:val="00A45D5E"/>
    <w:rsid w:val="00A45E3F"/>
    <w:rsid w:val="00A45F77"/>
    <w:rsid w:val="00A45FB9"/>
    <w:rsid w:val="00A46045"/>
    <w:rsid w:val="00A46094"/>
    <w:rsid w:val="00A460E1"/>
    <w:rsid w:val="00A46171"/>
    <w:rsid w:val="00A461A5"/>
    <w:rsid w:val="00A46359"/>
    <w:rsid w:val="00A4637A"/>
    <w:rsid w:val="00A46499"/>
    <w:rsid w:val="00A46689"/>
    <w:rsid w:val="00A466DC"/>
    <w:rsid w:val="00A46972"/>
    <w:rsid w:val="00A46A7C"/>
    <w:rsid w:val="00A46C81"/>
    <w:rsid w:val="00A46D04"/>
    <w:rsid w:val="00A46DC7"/>
    <w:rsid w:val="00A46DCA"/>
    <w:rsid w:val="00A46DDE"/>
    <w:rsid w:val="00A46DEB"/>
    <w:rsid w:val="00A46E25"/>
    <w:rsid w:val="00A46E3A"/>
    <w:rsid w:val="00A46F1E"/>
    <w:rsid w:val="00A472AC"/>
    <w:rsid w:val="00A473CC"/>
    <w:rsid w:val="00A474B5"/>
    <w:rsid w:val="00A475AD"/>
    <w:rsid w:val="00A475C5"/>
    <w:rsid w:val="00A47608"/>
    <w:rsid w:val="00A47957"/>
    <w:rsid w:val="00A47A49"/>
    <w:rsid w:val="00A47BC5"/>
    <w:rsid w:val="00A47C20"/>
    <w:rsid w:val="00A47CAB"/>
    <w:rsid w:val="00A47EEA"/>
    <w:rsid w:val="00A47F30"/>
    <w:rsid w:val="00A50022"/>
    <w:rsid w:val="00A501A7"/>
    <w:rsid w:val="00A50278"/>
    <w:rsid w:val="00A504A2"/>
    <w:rsid w:val="00A504C2"/>
    <w:rsid w:val="00A50693"/>
    <w:rsid w:val="00A50766"/>
    <w:rsid w:val="00A50786"/>
    <w:rsid w:val="00A509A6"/>
    <w:rsid w:val="00A50A4F"/>
    <w:rsid w:val="00A50A51"/>
    <w:rsid w:val="00A50D89"/>
    <w:rsid w:val="00A50DE2"/>
    <w:rsid w:val="00A50E94"/>
    <w:rsid w:val="00A50ECD"/>
    <w:rsid w:val="00A5108D"/>
    <w:rsid w:val="00A51285"/>
    <w:rsid w:val="00A51443"/>
    <w:rsid w:val="00A51466"/>
    <w:rsid w:val="00A514AB"/>
    <w:rsid w:val="00A515B0"/>
    <w:rsid w:val="00A516E1"/>
    <w:rsid w:val="00A5173E"/>
    <w:rsid w:val="00A5187D"/>
    <w:rsid w:val="00A5188A"/>
    <w:rsid w:val="00A518F3"/>
    <w:rsid w:val="00A5191C"/>
    <w:rsid w:val="00A51A6A"/>
    <w:rsid w:val="00A51C6D"/>
    <w:rsid w:val="00A51CE9"/>
    <w:rsid w:val="00A5203D"/>
    <w:rsid w:val="00A520AA"/>
    <w:rsid w:val="00A52156"/>
    <w:rsid w:val="00A522E7"/>
    <w:rsid w:val="00A52313"/>
    <w:rsid w:val="00A52413"/>
    <w:rsid w:val="00A52455"/>
    <w:rsid w:val="00A52469"/>
    <w:rsid w:val="00A524B7"/>
    <w:rsid w:val="00A52652"/>
    <w:rsid w:val="00A52708"/>
    <w:rsid w:val="00A52729"/>
    <w:rsid w:val="00A5276E"/>
    <w:rsid w:val="00A5288B"/>
    <w:rsid w:val="00A52C16"/>
    <w:rsid w:val="00A52F0E"/>
    <w:rsid w:val="00A52F6D"/>
    <w:rsid w:val="00A52FD6"/>
    <w:rsid w:val="00A52FE1"/>
    <w:rsid w:val="00A5341A"/>
    <w:rsid w:val="00A53675"/>
    <w:rsid w:val="00A536AC"/>
    <w:rsid w:val="00A536D2"/>
    <w:rsid w:val="00A537F9"/>
    <w:rsid w:val="00A539D3"/>
    <w:rsid w:val="00A53C93"/>
    <w:rsid w:val="00A53DA5"/>
    <w:rsid w:val="00A53ECC"/>
    <w:rsid w:val="00A53F25"/>
    <w:rsid w:val="00A54126"/>
    <w:rsid w:val="00A54179"/>
    <w:rsid w:val="00A541D5"/>
    <w:rsid w:val="00A542EE"/>
    <w:rsid w:val="00A544A9"/>
    <w:rsid w:val="00A544AD"/>
    <w:rsid w:val="00A54546"/>
    <w:rsid w:val="00A545BC"/>
    <w:rsid w:val="00A548BD"/>
    <w:rsid w:val="00A548FB"/>
    <w:rsid w:val="00A54B94"/>
    <w:rsid w:val="00A54E6B"/>
    <w:rsid w:val="00A54F4A"/>
    <w:rsid w:val="00A55084"/>
    <w:rsid w:val="00A55094"/>
    <w:rsid w:val="00A550A1"/>
    <w:rsid w:val="00A5510A"/>
    <w:rsid w:val="00A55130"/>
    <w:rsid w:val="00A55268"/>
    <w:rsid w:val="00A55270"/>
    <w:rsid w:val="00A55777"/>
    <w:rsid w:val="00A557FB"/>
    <w:rsid w:val="00A5592E"/>
    <w:rsid w:val="00A55A4A"/>
    <w:rsid w:val="00A55A75"/>
    <w:rsid w:val="00A55B02"/>
    <w:rsid w:val="00A55B55"/>
    <w:rsid w:val="00A55CAB"/>
    <w:rsid w:val="00A55D00"/>
    <w:rsid w:val="00A55EDB"/>
    <w:rsid w:val="00A56171"/>
    <w:rsid w:val="00A561D2"/>
    <w:rsid w:val="00A5633D"/>
    <w:rsid w:val="00A564D7"/>
    <w:rsid w:val="00A56599"/>
    <w:rsid w:val="00A5662B"/>
    <w:rsid w:val="00A56703"/>
    <w:rsid w:val="00A56759"/>
    <w:rsid w:val="00A5697A"/>
    <w:rsid w:val="00A56AB1"/>
    <w:rsid w:val="00A56ACC"/>
    <w:rsid w:val="00A56B6A"/>
    <w:rsid w:val="00A56C78"/>
    <w:rsid w:val="00A56FE3"/>
    <w:rsid w:val="00A57069"/>
    <w:rsid w:val="00A570DD"/>
    <w:rsid w:val="00A57141"/>
    <w:rsid w:val="00A57161"/>
    <w:rsid w:val="00A5734F"/>
    <w:rsid w:val="00A57425"/>
    <w:rsid w:val="00A5753D"/>
    <w:rsid w:val="00A57779"/>
    <w:rsid w:val="00A577DD"/>
    <w:rsid w:val="00A578DC"/>
    <w:rsid w:val="00A57A91"/>
    <w:rsid w:val="00A57AFE"/>
    <w:rsid w:val="00A57C87"/>
    <w:rsid w:val="00A57C8A"/>
    <w:rsid w:val="00A57CAB"/>
    <w:rsid w:val="00A57D47"/>
    <w:rsid w:val="00A57D55"/>
    <w:rsid w:val="00A57DE7"/>
    <w:rsid w:val="00A57F07"/>
    <w:rsid w:val="00A57F1B"/>
    <w:rsid w:val="00A60140"/>
    <w:rsid w:val="00A602A3"/>
    <w:rsid w:val="00A602CF"/>
    <w:rsid w:val="00A6038E"/>
    <w:rsid w:val="00A603D5"/>
    <w:rsid w:val="00A603DD"/>
    <w:rsid w:val="00A604ED"/>
    <w:rsid w:val="00A607A3"/>
    <w:rsid w:val="00A60D25"/>
    <w:rsid w:val="00A60F92"/>
    <w:rsid w:val="00A6109A"/>
    <w:rsid w:val="00A61118"/>
    <w:rsid w:val="00A61156"/>
    <w:rsid w:val="00A61615"/>
    <w:rsid w:val="00A616F5"/>
    <w:rsid w:val="00A61745"/>
    <w:rsid w:val="00A617DA"/>
    <w:rsid w:val="00A61809"/>
    <w:rsid w:val="00A61824"/>
    <w:rsid w:val="00A619F9"/>
    <w:rsid w:val="00A61A13"/>
    <w:rsid w:val="00A61B2B"/>
    <w:rsid w:val="00A61C7D"/>
    <w:rsid w:val="00A61D75"/>
    <w:rsid w:val="00A61E08"/>
    <w:rsid w:val="00A620C4"/>
    <w:rsid w:val="00A620CD"/>
    <w:rsid w:val="00A6211D"/>
    <w:rsid w:val="00A62187"/>
    <w:rsid w:val="00A623DC"/>
    <w:rsid w:val="00A623E6"/>
    <w:rsid w:val="00A6241E"/>
    <w:rsid w:val="00A6253F"/>
    <w:rsid w:val="00A62667"/>
    <w:rsid w:val="00A62AA8"/>
    <w:rsid w:val="00A62AE3"/>
    <w:rsid w:val="00A62B2A"/>
    <w:rsid w:val="00A62C46"/>
    <w:rsid w:val="00A62D3A"/>
    <w:rsid w:val="00A62DF2"/>
    <w:rsid w:val="00A63245"/>
    <w:rsid w:val="00A63327"/>
    <w:rsid w:val="00A633B8"/>
    <w:rsid w:val="00A6384B"/>
    <w:rsid w:val="00A63A7A"/>
    <w:rsid w:val="00A63C2F"/>
    <w:rsid w:val="00A63D79"/>
    <w:rsid w:val="00A63D86"/>
    <w:rsid w:val="00A63DC2"/>
    <w:rsid w:val="00A63F0F"/>
    <w:rsid w:val="00A640E2"/>
    <w:rsid w:val="00A64127"/>
    <w:rsid w:val="00A6413A"/>
    <w:rsid w:val="00A64322"/>
    <w:rsid w:val="00A644A5"/>
    <w:rsid w:val="00A647DA"/>
    <w:rsid w:val="00A64804"/>
    <w:rsid w:val="00A648FC"/>
    <w:rsid w:val="00A64A17"/>
    <w:rsid w:val="00A64BF3"/>
    <w:rsid w:val="00A64D22"/>
    <w:rsid w:val="00A64D65"/>
    <w:rsid w:val="00A64E5A"/>
    <w:rsid w:val="00A64F41"/>
    <w:rsid w:val="00A64FE2"/>
    <w:rsid w:val="00A650A4"/>
    <w:rsid w:val="00A652DC"/>
    <w:rsid w:val="00A6531E"/>
    <w:rsid w:val="00A65440"/>
    <w:rsid w:val="00A655B1"/>
    <w:rsid w:val="00A6562B"/>
    <w:rsid w:val="00A656F3"/>
    <w:rsid w:val="00A657C0"/>
    <w:rsid w:val="00A65992"/>
    <w:rsid w:val="00A659D8"/>
    <w:rsid w:val="00A65B34"/>
    <w:rsid w:val="00A65B63"/>
    <w:rsid w:val="00A65C16"/>
    <w:rsid w:val="00A65F0E"/>
    <w:rsid w:val="00A66074"/>
    <w:rsid w:val="00A66181"/>
    <w:rsid w:val="00A66288"/>
    <w:rsid w:val="00A66370"/>
    <w:rsid w:val="00A6648C"/>
    <w:rsid w:val="00A66618"/>
    <w:rsid w:val="00A666E1"/>
    <w:rsid w:val="00A66771"/>
    <w:rsid w:val="00A66BC6"/>
    <w:rsid w:val="00A66CD9"/>
    <w:rsid w:val="00A66D1E"/>
    <w:rsid w:val="00A66D55"/>
    <w:rsid w:val="00A66E35"/>
    <w:rsid w:val="00A66E4F"/>
    <w:rsid w:val="00A66E71"/>
    <w:rsid w:val="00A67060"/>
    <w:rsid w:val="00A67136"/>
    <w:rsid w:val="00A67237"/>
    <w:rsid w:val="00A6725B"/>
    <w:rsid w:val="00A67545"/>
    <w:rsid w:val="00A675C4"/>
    <w:rsid w:val="00A676EF"/>
    <w:rsid w:val="00A67785"/>
    <w:rsid w:val="00A67892"/>
    <w:rsid w:val="00A678AF"/>
    <w:rsid w:val="00A678DA"/>
    <w:rsid w:val="00A67931"/>
    <w:rsid w:val="00A67949"/>
    <w:rsid w:val="00A67CFA"/>
    <w:rsid w:val="00A67D23"/>
    <w:rsid w:val="00A67D87"/>
    <w:rsid w:val="00A702A7"/>
    <w:rsid w:val="00A70488"/>
    <w:rsid w:val="00A70490"/>
    <w:rsid w:val="00A70555"/>
    <w:rsid w:val="00A7056D"/>
    <w:rsid w:val="00A70605"/>
    <w:rsid w:val="00A70730"/>
    <w:rsid w:val="00A7074A"/>
    <w:rsid w:val="00A70802"/>
    <w:rsid w:val="00A7082C"/>
    <w:rsid w:val="00A70BD7"/>
    <w:rsid w:val="00A70BE5"/>
    <w:rsid w:val="00A70CEE"/>
    <w:rsid w:val="00A70DC5"/>
    <w:rsid w:val="00A71072"/>
    <w:rsid w:val="00A71299"/>
    <w:rsid w:val="00A712BB"/>
    <w:rsid w:val="00A713EA"/>
    <w:rsid w:val="00A714AE"/>
    <w:rsid w:val="00A714E1"/>
    <w:rsid w:val="00A71564"/>
    <w:rsid w:val="00A71974"/>
    <w:rsid w:val="00A71CB6"/>
    <w:rsid w:val="00A71CB9"/>
    <w:rsid w:val="00A71E0A"/>
    <w:rsid w:val="00A71F3F"/>
    <w:rsid w:val="00A71FD8"/>
    <w:rsid w:val="00A721CD"/>
    <w:rsid w:val="00A72476"/>
    <w:rsid w:val="00A724CE"/>
    <w:rsid w:val="00A72526"/>
    <w:rsid w:val="00A7253A"/>
    <w:rsid w:val="00A728A9"/>
    <w:rsid w:val="00A72A99"/>
    <w:rsid w:val="00A72AB5"/>
    <w:rsid w:val="00A72B40"/>
    <w:rsid w:val="00A72BE4"/>
    <w:rsid w:val="00A72C7F"/>
    <w:rsid w:val="00A72C85"/>
    <w:rsid w:val="00A72D4D"/>
    <w:rsid w:val="00A72D58"/>
    <w:rsid w:val="00A72E68"/>
    <w:rsid w:val="00A72E8C"/>
    <w:rsid w:val="00A72FF2"/>
    <w:rsid w:val="00A730B3"/>
    <w:rsid w:val="00A7311F"/>
    <w:rsid w:val="00A73134"/>
    <w:rsid w:val="00A73169"/>
    <w:rsid w:val="00A733A9"/>
    <w:rsid w:val="00A7340B"/>
    <w:rsid w:val="00A73618"/>
    <w:rsid w:val="00A7365A"/>
    <w:rsid w:val="00A73707"/>
    <w:rsid w:val="00A73728"/>
    <w:rsid w:val="00A737B5"/>
    <w:rsid w:val="00A73869"/>
    <w:rsid w:val="00A7395E"/>
    <w:rsid w:val="00A7395F"/>
    <w:rsid w:val="00A73A5B"/>
    <w:rsid w:val="00A73AFF"/>
    <w:rsid w:val="00A74050"/>
    <w:rsid w:val="00A745DD"/>
    <w:rsid w:val="00A74770"/>
    <w:rsid w:val="00A748E9"/>
    <w:rsid w:val="00A74957"/>
    <w:rsid w:val="00A74A63"/>
    <w:rsid w:val="00A74C32"/>
    <w:rsid w:val="00A74FAC"/>
    <w:rsid w:val="00A74FE1"/>
    <w:rsid w:val="00A7560C"/>
    <w:rsid w:val="00A75665"/>
    <w:rsid w:val="00A75688"/>
    <w:rsid w:val="00A75786"/>
    <w:rsid w:val="00A75959"/>
    <w:rsid w:val="00A75973"/>
    <w:rsid w:val="00A75A3B"/>
    <w:rsid w:val="00A75C15"/>
    <w:rsid w:val="00A75C5D"/>
    <w:rsid w:val="00A75E75"/>
    <w:rsid w:val="00A75E96"/>
    <w:rsid w:val="00A76001"/>
    <w:rsid w:val="00A76123"/>
    <w:rsid w:val="00A7671F"/>
    <w:rsid w:val="00A7676E"/>
    <w:rsid w:val="00A76895"/>
    <w:rsid w:val="00A76996"/>
    <w:rsid w:val="00A76B30"/>
    <w:rsid w:val="00A76C31"/>
    <w:rsid w:val="00A76E2B"/>
    <w:rsid w:val="00A76FFC"/>
    <w:rsid w:val="00A77437"/>
    <w:rsid w:val="00A7772A"/>
    <w:rsid w:val="00A77795"/>
    <w:rsid w:val="00A777B2"/>
    <w:rsid w:val="00A77829"/>
    <w:rsid w:val="00A77889"/>
    <w:rsid w:val="00A778EA"/>
    <w:rsid w:val="00A77938"/>
    <w:rsid w:val="00A77C3C"/>
    <w:rsid w:val="00A77E69"/>
    <w:rsid w:val="00A801DD"/>
    <w:rsid w:val="00A8050C"/>
    <w:rsid w:val="00A80554"/>
    <w:rsid w:val="00A805AD"/>
    <w:rsid w:val="00A805EA"/>
    <w:rsid w:val="00A8068A"/>
    <w:rsid w:val="00A80766"/>
    <w:rsid w:val="00A80A9D"/>
    <w:rsid w:val="00A80B57"/>
    <w:rsid w:val="00A80BD2"/>
    <w:rsid w:val="00A80CBE"/>
    <w:rsid w:val="00A812E2"/>
    <w:rsid w:val="00A8150A"/>
    <w:rsid w:val="00A81524"/>
    <w:rsid w:val="00A8156C"/>
    <w:rsid w:val="00A81597"/>
    <w:rsid w:val="00A81719"/>
    <w:rsid w:val="00A817EC"/>
    <w:rsid w:val="00A81961"/>
    <w:rsid w:val="00A81F21"/>
    <w:rsid w:val="00A821F7"/>
    <w:rsid w:val="00A823CE"/>
    <w:rsid w:val="00A8248F"/>
    <w:rsid w:val="00A825D4"/>
    <w:rsid w:val="00A827D2"/>
    <w:rsid w:val="00A82839"/>
    <w:rsid w:val="00A828F6"/>
    <w:rsid w:val="00A82B34"/>
    <w:rsid w:val="00A82B73"/>
    <w:rsid w:val="00A82D89"/>
    <w:rsid w:val="00A82F7A"/>
    <w:rsid w:val="00A82FA8"/>
    <w:rsid w:val="00A831D3"/>
    <w:rsid w:val="00A83269"/>
    <w:rsid w:val="00A833FE"/>
    <w:rsid w:val="00A83511"/>
    <w:rsid w:val="00A8377A"/>
    <w:rsid w:val="00A8393C"/>
    <w:rsid w:val="00A83A5C"/>
    <w:rsid w:val="00A83E00"/>
    <w:rsid w:val="00A83F99"/>
    <w:rsid w:val="00A840C3"/>
    <w:rsid w:val="00A842FC"/>
    <w:rsid w:val="00A84415"/>
    <w:rsid w:val="00A845BC"/>
    <w:rsid w:val="00A84609"/>
    <w:rsid w:val="00A84689"/>
    <w:rsid w:val="00A84769"/>
    <w:rsid w:val="00A84912"/>
    <w:rsid w:val="00A84A72"/>
    <w:rsid w:val="00A84B54"/>
    <w:rsid w:val="00A84B95"/>
    <w:rsid w:val="00A84D99"/>
    <w:rsid w:val="00A84DB3"/>
    <w:rsid w:val="00A84E28"/>
    <w:rsid w:val="00A84F0C"/>
    <w:rsid w:val="00A8510D"/>
    <w:rsid w:val="00A851C1"/>
    <w:rsid w:val="00A851CE"/>
    <w:rsid w:val="00A8532B"/>
    <w:rsid w:val="00A85794"/>
    <w:rsid w:val="00A858C9"/>
    <w:rsid w:val="00A85920"/>
    <w:rsid w:val="00A85970"/>
    <w:rsid w:val="00A85AAB"/>
    <w:rsid w:val="00A85B6C"/>
    <w:rsid w:val="00A85C41"/>
    <w:rsid w:val="00A85DAD"/>
    <w:rsid w:val="00A85E70"/>
    <w:rsid w:val="00A85F83"/>
    <w:rsid w:val="00A86017"/>
    <w:rsid w:val="00A861D8"/>
    <w:rsid w:val="00A86351"/>
    <w:rsid w:val="00A8636D"/>
    <w:rsid w:val="00A86438"/>
    <w:rsid w:val="00A865EA"/>
    <w:rsid w:val="00A86609"/>
    <w:rsid w:val="00A86613"/>
    <w:rsid w:val="00A86A61"/>
    <w:rsid w:val="00A86C6B"/>
    <w:rsid w:val="00A86D94"/>
    <w:rsid w:val="00A86E20"/>
    <w:rsid w:val="00A86E8B"/>
    <w:rsid w:val="00A86EC2"/>
    <w:rsid w:val="00A86EF6"/>
    <w:rsid w:val="00A86F57"/>
    <w:rsid w:val="00A86F7D"/>
    <w:rsid w:val="00A86F92"/>
    <w:rsid w:val="00A87063"/>
    <w:rsid w:val="00A870CA"/>
    <w:rsid w:val="00A87164"/>
    <w:rsid w:val="00A871A1"/>
    <w:rsid w:val="00A871A9"/>
    <w:rsid w:val="00A8723B"/>
    <w:rsid w:val="00A8726F"/>
    <w:rsid w:val="00A87286"/>
    <w:rsid w:val="00A872D7"/>
    <w:rsid w:val="00A87302"/>
    <w:rsid w:val="00A873DD"/>
    <w:rsid w:val="00A8755D"/>
    <w:rsid w:val="00A875D7"/>
    <w:rsid w:val="00A875EB"/>
    <w:rsid w:val="00A87A56"/>
    <w:rsid w:val="00A87E6D"/>
    <w:rsid w:val="00A87F5C"/>
    <w:rsid w:val="00A90138"/>
    <w:rsid w:val="00A901E9"/>
    <w:rsid w:val="00A9031E"/>
    <w:rsid w:val="00A90390"/>
    <w:rsid w:val="00A90394"/>
    <w:rsid w:val="00A90470"/>
    <w:rsid w:val="00A905B8"/>
    <w:rsid w:val="00A90735"/>
    <w:rsid w:val="00A907A3"/>
    <w:rsid w:val="00A907A6"/>
    <w:rsid w:val="00A90A52"/>
    <w:rsid w:val="00A90B78"/>
    <w:rsid w:val="00A90C60"/>
    <w:rsid w:val="00A90D3B"/>
    <w:rsid w:val="00A90FDD"/>
    <w:rsid w:val="00A91082"/>
    <w:rsid w:val="00A91200"/>
    <w:rsid w:val="00A9122E"/>
    <w:rsid w:val="00A91267"/>
    <w:rsid w:val="00A913FA"/>
    <w:rsid w:val="00A9162F"/>
    <w:rsid w:val="00A91685"/>
    <w:rsid w:val="00A916B3"/>
    <w:rsid w:val="00A9190C"/>
    <w:rsid w:val="00A91920"/>
    <w:rsid w:val="00A919A7"/>
    <w:rsid w:val="00A91ABC"/>
    <w:rsid w:val="00A91CE1"/>
    <w:rsid w:val="00A91D30"/>
    <w:rsid w:val="00A91DFC"/>
    <w:rsid w:val="00A92134"/>
    <w:rsid w:val="00A92159"/>
    <w:rsid w:val="00A92273"/>
    <w:rsid w:val="00A9229C"/>
    <w:rsid w:val="00A9233E"/>
    <w:rsid w:val="00A924FC"/>
    <w:rsid w:val="00A925A5"/>
    <w:rsid w:val="00A925B8"/>
    <w:rsid w:val="00A92660"/>
    <w:rsid w:val="00A926EE"/>
    <w:rsid w:val="00A927EE"/>
    <w:rsid w:val="00A928A9"/>
    <w:rsid w:val="00A928E8"/>
    <w:rsid w:val="00A92941"/>
    <w:rsid w:val="00A92BD1"/>
    <w:rsid w:val="00A92F30"/>
    <w:rsid w:val="00A93072"/>
    <w:rsid w:val="00A931A9"/>
    <w:rsid w:val="00A93383"/>
    <w:rsid w:val="00A933B8"/>
    <w:rsid w:val="00A93478"/>
    <w:rsid w:val="00A934B6"/>
    <w:rsid w:val="00A934EA"/>
    <w:rsid w:val="00A93674"/>
    <w:rsid w:val="00A93746"/>
    <w:rsid w:val="00A938BD"/>
    <w:rsid w:val="00A93953"/>
    <w:rsid w:val="00A93A2B"/>
    <w:rsid w:val="00A93D27"/>
    <w:rsid w:val="00A941A8"/>
    <w:rsid w:val="00A94302"/>
    <w:rsid w:val="00A943C9"/>
    <w:rsid w:val="00A944B1"/>
    <w:rsid w:val="00A944D6"/>
    <w:rsid w:val="00A944F0"/>
    <w:rsid w:val="00A945CD"/>
    <w:rsid w:val="00A94631"/>
    <w:rsid w:val="00A94648"/>
    <w:rsid w:val="00A94966"/>
    <w:rsid w:val="00A94A40"/>
    <w:rsid w:val="00A94AFB"/>
    <w:rsid w:val="00A94BB6"/>
    <w:rsid w:val="00A94C0C"/>
    <w:rsid w:val="00A94C39"/>
    <w:rsid w:val="00A94C3C"/>
    <w:rsid w:val="00A94CD1"/>
    <w:rsid w:val="00A94D16"/>
    <w:rsid w:val="00A94D39"/>
    <w:rsid w:val="00A95006"/>
    <w:rsid w:val="00A95242"/>
    <w:rsid w:val="00A956CD"/>
    <w:rsid w:val="00A95730"/>
    <w:rsid w:val="00A957E8"/>
    <w:rsid w:val="00A9580E"/>
    <w:rsid w:val="00A95829"/>
    <w:rsid w:val="00A9591C"/>
    <w:rsid w:val="00A959D8"/>
    <w:rsid w:val="00A95A01"/>
    <w:rsid w:val="00A95C24"/>
    <w:rsid w:val="00A95D6B"/>
    <w:rsid w:val="00A95D96"/>
    <w:rsid w:val="00A9609F"/>
    <w:rsid w:val="00A960B0"/>
    <w:rsid w:val="00A961C1"/>
    <w:rsid w:val="00A96461"/>
    <w:rsid w:val="00A964A5"/>
    <w:rsid w:val="00A966A9"/>
    <w:rsid w:val="00A9671E"/>
    <w:rsid w:val="00A969D6"/>
    <w:rsid w:val="00A96B80"/>
    <w:rsid w:val="00A96D2C"/>
    <w:rsid w:val="00A96D46"/>
    <w:rsid w:val="00A96E16"/>
    <w:rsid w:val="00A97008"/>
    <w:rsid w:val="00A9701F"/>
    <w:rsid w:val="00A9702F"/>
    <w:rsid w:val="00A9711C"/>
    <w:rsid w:val="00A97193"/>
    <w:rsid w:val="00A971B5"/>
    <w:rsid w:val="00A971D2"/>
    <w:rsid w:val="00A9722A"/>
    <w:rsid w:val="00A9725B"/>
    <w:rsid w:val="00A976B6"/>
    <w:rsid w:val="00A9778B"/>
    <w:rsid w:val="00A9780B"/>
    <w:rsid w:val="00A97837"/>
    <w:rsid w:val="00A97997"/>
    <w:rsid w:val="00A97B33"/>
    <w:rsid w:val="00A97BAF"/>
    <w:rsid w:val="00A97EE7"/>
    <w:rsid w:val="00AA0009"/>
    <w:rsid w:val="00AA003F"/>
    <w:rsid w:val="00AA011A"/>
    <w:rsid w:val="00AA02A3"/>
    <w:rsid w:val="00AA040F"/>
    <w:rsid w:val="00AA04C7"/>
    <w:rsid w:val="00AA04DF"/>
    <w:rsid w:val="00AA0514"/>
    <w:rsid w:val="00AA06F5"/>
    <w:rsid w:val="00AA0A30"/>
    <w:rsid w:val="00AA0A3B"/>
    <w:rsid w:val="00AA10C7"/>
    <w:rsid w:val="00AA1107"/>
    <w:rsid w:val="00AA113D"/>
    <w:rsid w:val="00AA13AE"/>
    <w:rsid w:val="00AA1405"/>
    <w:rsid w:val="00AA1444"/>
    <w:rsid w:val="00AA16DE"/>
    <w:rsid w:val="00AA18A0"/>
    <w:rsid w:val="00AA18D9"/>
    <w:rsid w:val="00AA19E8"/>
    <w:rsid w:val="00AA1D05"/>
    <w:rsid w:val="00AA1EFB"/>
    <w:rsid w:val="00AA1F9F"/>
    <w:rsid w:val="00AA20E1"/>
    <w:rsid w:val="00AA21B1"/>
    <w:rsid w:val="00AA221D"/>
    <w:rsid w:val="00AA25F8"/>
    <w:rsid w:val="00AA2663"/>
    <w:rsid w:val="00AA267C"/>
    <w:rsid w:val="00AA26A4"/>
    <w:rsid w:val="00AA28E8"/>
    <w:rsid w:val="00AA2AC6"/>
    <w:rsid w:val="00AA2BE4"/>
    <w:rsid w:val="00AA2F1F"/>
    <w:rsid w:val="00AA30B7"/>
    <w:rsid w:val="00AA30CA"/>
    <w:rsid w:val="00AA3216"/>
    <w:rsid w:val="00AA322E"/>
    <w:rsid w:val="00AA34A6"/>
    <w:rsid w:val="00AA35D4"/>
    <w:rsid w:val="00AA3635"/>
    <w:rsid w:val="00AA3839"/>
    <w:rsid w:val="00AA3B5A"/>
    <w:rsid w:val="00AA3DB9"/>
    <w:rsid w:val="00AA3EF4"/>
    <w:rsid w:val="00AA3FEA"/>
    <w:rsid w:val="00AA40A0"/>
    <w:rsid w:val="00AA4131"/>
    <w:rsid w:val="00AA4393"/>
    <w:rsid w:val="00AA4488"/>
    <w:rsid w:val="00AA4508"/>
    <w:rsid w:val="00AA453D"/>
    <w:rsid w:val="00AA45BC"/>
    <w:rsid w:val="00AA46D8"/>
    <w:rsid w:val="00AA46FF"/>
    <w:rsid w:val="00AA4720"/>
    <w:rsid w:val="00AA4727"/>
    <w:rsid w:val="00AA47A1"/>
    <w:rsid w:val="00AA4828"/>
    <w:rsid w:val="00AA48AA"/>
    <w:rsid w:val="00AA48C9"/>
    <w:rsid w:val="00AA48EF"/>
    <w:rsid w:val="00AA498D"/>
    <w:rsid w:val="00AA4A56"/>
    <w:rsid w:val="00AA4A87"/>
    <w:rsid w:val="00AA4A94"/>
    <w:rsid w:val="00AA4B15"/>
    <w:rsid w:val="00AA4B4B"/>
    <w:rsid w:val="00AA4C2B"/>
    <w:rsid w:val="00AA4C42"/>
    <w:rsid w:val="00AA503E"/>
    <w:rsid w:val="00AA52D4"/>
    <w:rsid w:val="00AA53B5"/>
    <w:rsid w:val="00AA546F"/>
    <w:rsid w:val="00AA54EC"/>
    <w:rsid w:val="00AA5562"/>
    <w:rsid w:val="00AA5957"/>
    <w:rsid w:val="00AA5B4E"/>
    <w:rsid w:val="00AA5B6B"/>
    <w:rsid w:val="00AA5D1E"/>
    <w:rsid w:val="00AA5E60"/>
    <w:rsid w:val="00AA5E94"/>
    <w:rsid w:val="00AA5EF9"/>
    <w:rsid w:val="00AA5F95"/>
    <w:rsid w:val="00AA5FA9"/>
    <w:rsid w:val="00AA61A7"/>
    <w:rsid w:val="00AA62F8"/>
    <w:rsid w:val="00AA64DA"/>
    <w:rsid w:val="00AA66BB"/>
    <w:rsid w:val="00AA6BD5"/>
    <w:rsid w:val="00AA6BD8"/>
    <w:rsid w:val="00AA6C7D"/>
    <w:rsid w:val="00AA6DAB"/>
    <w:rsid w:val="00AA6EA5"/>
    <w:rsid w:val="00AA6F41"/>
    <w:rsid w:val="00AA7098"/>
    <w:rsid w:val="00AA741A"/>
    <w:rsid w:val="00AA753B"/>
    <w:rsid w:val="00AA7590"/>
    <w:rsid w:val="00AA75E5"/>
    <w:rsid w:val="00AA7622"/>
    <w:rsid w:val="00AA772C"/>
    <w:rsid w:val="00AA77EA"/>
    <w:rsid w:val="00AA7889"/>
    <w:rsid w:val="00AA79BE"/>
    <w:rsid w:val="00AA79FD"/>
    <w:rsid w:val="00AA7A30"/>
    <w:rsid w:val="00AA7B74"/>
    <w:rsid w:val="00AA7D4B"/>
    <w:rsid w:val="00AA7D8D"/>
    <w:rsid w:val="00AA7EBB"/>
    <w:rsid w:val="00AA7FA3"/>
    <w:rsid w:val="00AA7FD6"/>
    <w:rsid w:val="00AB01EA"/>
    <w:rsid w:val="00AB02C9"/>
    <w:rsid w:val="00AB037F"/>
    <w:rsid w:val="00AB042A"/>
    <w:rsid w:val="00AB0502"/>
    <w:rsid w:val="00AB061B"/>
    <w:rsid w:val="00AB0634"/>
    <w:rsid w:val="00AB067E"/>
    <w:rsid w:val="00AB07E2"/>
    <w:rsid w:val="00AB0BA3"/>
    <w:rsid w:val="00AB0BDA"/>
    <w:rsid w:val="00AB0CD6"/>
    <w:rsid w:val="00AB0CD8"/>
    <w:rsid w:val="00AB0CE3"/>
    <w:rsid w:val="00AB0CFD"/>
    <w:rsid w:val="00AB0D66"/>
    <w:rsid w:val="00AB0DBE"/>
    <w:rsid w:val="00AB1010"/>
    <w:rsid w:val="00AB1036"/>
    <w:rsid w:val="00AB1038"/>
    <w:rsid w:val="00AB119B"/>
    <w:rsid w:val="00AB11AD"/>
    <w:rsid w:val="00AB1229"/>
    <w:rsid w:val="00AB130D"/>
    <w:rsid w:val="00AB147C"/>
    <w:rsid w:val="00AB16B6"/>
    <w:rsid w:val="00AB19EF"/>
    <w:rsid w:val="00AB1AA0"/>
    <w:rsid w:val="00AB1B85"/>
    <w:rsid w:val="00AB1BA2"/>
    <w:rsid w:val="00AB1F3D"/>
    <w:rsid w:val="00AB2063"/>
    <w:rsid w:val="00AB20FE"/>
    <w:rsid w:val="00AB21FC"/>
    <w:rsid w:val="00AB2495"/>
    <w:rsid w:val="00AB2563"/>
    <w:rsid w:val="00AB2594"/>
    <w:rsid w:val="00AB265F"/>
    <w:rsid w:val="00AB27A3"/>
    <w:rsid w:val="00AB2802"/>
    <w:rsid w:val="00AB2842"/>
    <w:rsid w:val="00AB2A65"/>
    <w:rsid w:val="00AB2A8F"/>
    <w:rsid w:val="00AB2AF8"/>
    <w:rsid w:val="00AB2B54"/>
    <w:rsid w:val="00AB2B7A"/>
    <w:rsid w:val="00AB2D34"/>
    <w:rsid w:val="00AB2E20"/>
    <w:rsid w:val="00AB319B"/>
    <w:rsid w:val="00AB326E"/>
    <w:rsid w:val="00AB32F7"/>
    <w:rsid w:val="00AB3430"/>
    <w:rsid w:val="00AB3472"/>
    <w:rsid w:val="00AB3519"/>
    <w:rsid w:val="00AB351C"/>
    <w:rsid w:val="00AB36F0"/>
    <w:rsid w:val="00AB37B9"/>
    <w:rsid w:val="00AB3943"/>
    <w:rsid w:val="00AB3C44"/>
    <w:rsid w:val="00AB3C55"/>
    <w:rsid w:val="00AB3CBA"/>
    <w:rsid w:val="00AB40D9"/>
    <w:rsid w:val="00AB40EF"/>
    <w:rsid w:val="00AB410B"/>
    <w:rsid w:val="00AB41F7"/>
    <w:rsid w:val="00AB4302"/>
    <w:rsid w:val="00AB44B1"/>
    <w:rsid w:val="00AB467C"/>
    <w:rsid w:val="00AB46D8"/>
    <w:rsid w:val="00AB48C5"/>
    <w:rsid w:val="00AB4952"/>
    <w:rsid w:val="00AB4AD1"/>
    <w:rsid w:val="00AB4B14"/>
    <w:rsid w:val="00AB4E6B"/>
    <w:rsid w:val="00AB4F24"/>
    <w:rsid w:val="00AB51D6"/>
    <w:rsid w:val="00AB534A"/>
    <w:rsid w:val="00AB559B"/>
    <w:rsid w:val="00AB58B1"/>
    <w:rsid w:val="00AB5A13"/>
    <w:rsid w:val="00AB5AE8"/>
    <w:rsid w:val="00AB5BFB"/>
    <w:rsid w:val="00AB5C46"/>
    <w:rsid w:val="00AB5CF7"/>
    <w:rsid w:val="00AB5E07"/>
    <w:rsid w:val="00AB5E9C"/>
    <w:rsid w:val="00AB5F01"/>
    <w:rsid w:val="00AB6231"/>
    <w:rsid w:val="00AB641A"/>
    <w:rsid w:val="00AB64EC"/>
    <w:rsid w:val="00AB6530"/>
    <w:rsid w:val="00AB6742"/>
    <w:rsid w:val="00AB6884"/>
    <w:rsid w:val="00AB68AB"/>
    <w:rsid w:val="00AB6EFE"/>
    <w:rsid w:val="00AB705E"/>
    <w:rsid w:val="00AB7174"/>
    <w:rsid w:val="00AB722F"/>
    <w:rsid w:val="00AB7367"/>
    <w:rsid w:val="00AB767A"/>
    <w:rsid w:val="00AB7698"/>
    <w:rsid w:val="00AB76CE"/>
    <w:rsid w:val="00AB76F7"/>
    <w:rsid w:val="00AB7B19"/>
    <w:rsid w:val="00AB7CFA"/>
    <w:rsid w:val="00AB7D98"/>
    <w:rsid w:val="00AB7EF5"/>
    <w:rsid w:val="00AC0009"/>
    <w:rsid w:val="00AC0172"/>
    <w:rsid w:val="00AC019F"/>
    <w:rsid w:val="00AC02BB"/>
    <w:rsid w:val="00AC041E"/>
    <w:rsid w:val="00AC0583"/>
    <w:rsid w:val="00AC06E2"/>
    <w:rsid w:val="00AC08BA"/>
    <w:rsid w:val="00AC0934"/>
    <w:rsid w:val="00AC09BB"/>
    <w:rsid w:val="00AC09CB"/>
    <w:rsid w:val="00AC0EAE"/>
    <w:rsid w:val="00AC0EC5"/>
    <w:rsid w:val="00AC1026"/>
    <w:rsid w:val="00AC1028"/>
    <w:rsid w:val="00AC1042"/>
    <w:rsid w:val="00AC10E2"/>
    <w:rsid w:val="00AC12F8"/>
    <w:rsid w:val="00AC1355"/>
    <w:rsid w:val="00AC184C"/>
    <w:rsid w:val="00AC19F1"/>
    <w:rsid w:val="00AC1A42"/>
    <w:rsid w:val="00AC1A85"/>
    <w:rsid w:val="00AC1E0C"/>
    <w:rsid w:val="00AC1E2D"/>
    <w:rsid w:val="00AC209A"/>
    <w:rsid w:val="00AC2204"/>
    <w:rsid w:val="00AC2578"/>
    <w:rsid w:val="00AC279A"/>
    <w:rsid w:val="00AC28DB"/>
    <w:rsid w:val="00AC29DB"/>
    <w:rsid w:val="00AC2A85"/>
    <w:rsid w:val="00AC2AAC"/>
    <w:rsid w:val="00AC2C56"/>
    <w:rsid w:val="00AC2C89"/>
    <w:rsid w:val="00AC2D43"/>
    <w:rsid w:val="00AC30E3"/>
    <w:rsid w:val="00AC31A1"/>
    <w:rsid w:val="00AC32A1"/>
    <w:rsid w:val="00AC3407"/>
    <w:rsid w:val="00AC3649"/>
    <w:rsid w:val="00AC371D"/>
    <w:rsid w:val="00AC3926"/>
    <w:rsid w:val="00AC3C4C"/>
    <w:rsid w:val="00AC3D60"/>
    <w:rsid w:val="00AC3F65"/>
    <w:rsid w:val="00AC4054"/>
    <w:rsid w:val="00AC4093"/>
    <w:rsid w:val="00AC4408"/>
    <w:rsid w:val="00AC44C4"/>
    <w:rsid w:val="00AC47C6"/>
    <w:rsid w:val="00AC49B7"/>
    <w:rsid w:val="00AC49C9"/>
    <w:rsid w:val="00AC4A28"/>
    <w:rsid w:val="00AC4DAF"/>
    <w:rsid w:val="00AC4E98"/>
    <w:rsid w:val="00AC4F91"/>
    <w:rsid w:val="00AC5286"/>
    <w:rsid w:val="00AC541D"/>
    <w:rsid w:val="00AC56C4"/>
    <w:rsid w:val="00AC58CD"/>
    <w:rsid w:val="00AC5931"/>
    <w:rsid w:val="00AC5940"/>
    <w:rsid w:val="00AC5991"/>
    <w:rsid w:val="00AC5A15"/>
    <w:rsid w:val="00AC5ADD"/>
    <w:rsid w:val="00AC5B42"/>
    <w:rsid w:val="00AC5B48"/>
    <w:rsid w:val="00AC5B7D"/>
    <w:rsid w:val="00AC5C2E"/>
    <w:rsid w:val="00AC5CD2"/>
    <w:rsid w:val="00AC5D11"/>
    <w:rsid w:val="00AC5D8B"/>
    <w:rsid w:val="00AC5EB3"/>
    <w:rsid w:val="00AC6030"/>
    <w:rsid w:val="00AC6109"/>
    <w:rsid w:val="00AC6123"/>
    <w:rsid w:val="00AC625C"/>
    <w:rsid w:val="00AC62D0"/>
    <w:rsid w:val="00AC6353"/>
    <w:rsid w:val="00AC6440"/>
    <w:rsid w:val="00AC6762"/>
    <w:rsid w:val="00AC6803"/>
    <w:rsid w:val="00AC681F"/>
    <w:rsid w:val="00AC689D"/>
    <w:rsid w:val="00AC6971"/>
    <w:rsid w:val="00AC6983"/>
    <w:rsid w:val="00AC6B7F"/>
    <w:rsid w:val="00AC6C01"/>
    <w:rsid w:val="00AC6D66"/>
    <w:rsid w:val="00AC6E03"/>
    <w:rsid w:val="00AC7056"/>
    <w:rsid w:val="00AC7074"/>
    <w:rsid w:val="00AC70F0"/>
    <w:rsid w:val="00AC72E0"/>
    <w:rsid w:val="00AC72E1"/>
    <w:rsid w:val="00AC7371"/>
    <w:rsid w:val="00AC7391"/>
    <w:rsid w:val="00AC7405"/>
    <w:rsid w:val="00AC7567"/>
    <w:rsid w:val="00AC763B"/>
    <w:rsid w:val="00AC7777"/>
    <w:rsid w:val="00AC77F2"/>
    <w:rsid w:val="00AC7820"/>
    <w:rsid w:val="00AC786F"/>
    <w:rsid w:val="00AC79B7"/>
    <w:rsid w:val="00AC7D2D"/>
    <w:rsid w:val="00AC7D50"/>
    <w:rsid w:val="00AC7D93"/>
    <w:rsid w:val="00AC7ED2"/>
    <w:rsid w:val="00AC7EFF"/>
    <w:rsid w:val="00AD0056"/>
    <w:rsid w:val="00AD027A"/>
    <w:rsid w:val="00AD04B4"/>
    <w:rsid w:val="00AD04CF"/>
    <w:rsid w:val="00AD066C"/>
    <w:rsid w:val="00AD067B"/>
    <w:rsid w:val="00AD06A0"/>
    <w:rsid w:val="00AD06A7"/>
    <w:rsid w:val="00AD085B"/>
    <w:rsid w:val="00AD08DC"/>
    <w:rsid w:val="00AD09F9"/>
    <w:rsid w:val="00AD0B5E"/>
    <w:rsid w:val="00AD0B74"/>
    <w:rsid w:val="00AD0D0D"/>
    <w:rsid w:val="00AD0E92"/>
    <w:rsid w:val="00AD10D1"/>
    <w:rsid w:val="00AD1294"/>
    <w:rsid w:val="00AD1317"/>
    <w:rsid w:val="00AD1450"/>
    <w:rsid w:val="00AD148D"/>
    <w:rsid w:val="00AD157C"/>
    <w:rsid w:val="00AD15E8"/>
    <w:rsid w:val="00AD15ED"/>
    <w:rsid w:val="00AD1643"/>
    <w:rsid w:val="00AD1680"/>
    <w:rsid w:val="00AD16CF"/>
    <w:rsid w:val="00AD1715"/>
    <w:rsid w:val="00AD17B6"/>
    <w:rsid w:val="00AD191B"/>
    <w:rsid w:val="00AD1966"/>
    <w:rsid w:val="00AD19BB"/>
    <w:rsid w:val="00AD1BFE"/>
    <w:rsid w:val="00AD1C1E"/>
    <w:rsid w:val="00AD1D54"/>
    <w:rsid w:val="00AD1EF5"/>
    <w:rsid w:val="00AD203E"/>
    <w:rsid w:val="00AD2304"/>
    <w:rsid w:val="00AD2373"/>
    <w:rsid w:val="00AD27B6"/>
    <w:rsid w:val="00AD299B"/>
    <w:rsid w:val="00AD29BB"/>
    <w:rsid w:val="00AD2C99"/>
    <w:rsid w:val="00AD2DB9"/>
    <w:rsid w:val="00AD2EED"/>
    <w:rsid w:val="00AD2F54"/>
    <w:rsid w:val="00AD2FFC"/>
    <w:rsid w:val="00AD308A"/>
    <w:rsid w:val="00AD30B6"/>
    <w:rsid w:val="00AD32F0"/>
    <w:rsid w:val="00AD32F2"/>
    <w:rsid w:val="00AD337F"/>
    <w:rsid w:val="00AD33AA"/>
    <w:rsid w:val="00AD348F"/>
    <w:rsid w:val="00AD356D"/>
    <w:rsid w:val="00AD3866"/>
    <w:rsid w:val="00AD38C9"/>
    <w:rsid w:val="00AD3B21"/>
    <w:rsid w:val="00AD3C00"/>
    <w:rsid w:val="00AD3E07"/>
    <w:rsid w:val="00AD3E37"/>
    <w:rsid w:val="00AD411F"/>
    <w:rsid w:val="00AD41CF"/>
    <w:rsid w:val="00AD463D"/>
    <w:rsid w:val="00AD464B"/>
    <w:rsid w:val="00AD4749"/>
    <w:rsid w:val="00AD47BD"/>
    <w:rsid w:val="00AD487F"/>
    <w:rsid w:val="00AD4ACF"/>
    <w:rsid w:val="00AD4C09"/>
    <w:rsid w:val="00AD4D59"/>
    <w:rsid w:val="00AD4F79"/>
    <w:rsid w:val="00AD5009"/>
    <w:rsid w:val="00AD50B5"/>
    <w:rsid w:val="00AD5205"/>
    <w:rsid w:val="00AD52FD"/>
    <w:rsid w:val="00AD5364"/>
    <w:rsid w:val="00AD551F"/>
    <w:rsid w:val="00AD5637"/>
    <w:rsid w:val="00AD569E"/>
    <w:rsid w:val="00AD56B3"/>
    <w:rsid w:val="00AD582E"/>
    <w:rsid w:val="00AD586D"/>
    <w:rsid w:val="00AD5C25"/>
    <w:rsid w:val="00AD5D40"/>
    <w:rsid w:val="00AD5DC2"/>
    <w:rsid w:val="00AD5EE4"/>
    <w:rsid w:val="00AD603F"/>
    <w:rsid w:val="00AD60F0"/>
    <w:rsid w:val="00AD6502"/>
    <w:rsid w:val="00AD6520"/>
    <w:rsid w:val="00AD666C"/>
    <w:rsid w:val="00AD66B2"/>
    <w:rsid w:val="00AD66C6"/>
    <w:rsid w:val="00AD67CC"/>
    <w:rsid w:val="00AD6962"/>
    <w:rsid w:val="00AD698A"/>
    <w:rsid w:val="00AD6AEF"/>
    <w:rsid w:val="00AD6BFD"/>
    <w:rsid w:val="00AD6C75"/>
    <w:rsid w:val="00AD6D78"/>
    <w:rsid w:val="00AD6F0C"/>
    <w:rsid w:val="00AD6F44"/>
    <w:rsid w:val="00AD71A3"/>
    <w:rsid w:val="00AD73E2"/>
    <w:rsid w:val="00AD73E8"/>
    <w:rsid w:val="00AD73FC"/>
    <w:rsid w:val="00AD75FE"/>
    <w:rsid w:val="00AD7638"/>
    <w:rsid w:val="00AD7769"/>
    <w:rsid w:val="00AD79B8"/>
    <w:rsid w:val="00AD79C2"/>
    <w:rsid w:val="00AD7BFC"/>
    <w:rsid w:val="00AD7C96"/>
    <w:rsid w:val="00AD7FCA"/>
    <w:rsid w:val="00AE0034"/>
    <w:rsid w:val="00AE0145"/>
    <w:rsid w:val="00AE0269"/>
    <w:rsid w:val="00AE030E"/>
    <w:rsid w:val="00AE0423"/>
    <w:rsid w:val="00AE0604"/>
    <w:rsid w:val="00AE0619"/>
    <w:rsid w:val="00AE0695"/>
    <w:rsid w:val="00AE07CD"/>
    <w:rsid w:val="00AE081A"/>
    <w:rsid w:val="00AE0949"/>
    <w:rsid w:val="00AE0988"/>
    <w:rsid w:val="00AE0C76"/>
    <w:rsid w:val="00AE0E3B"/>
    <w:rsid w:val="00AE0E76"/>
    <w:rsid w:val="00AE0EC7"/>
    <w:rsid w:val="00AE10DB"/>
    <w:rsid w:val="00AE1229"/>
    <w:rsid w:val="00AE135F"/>
    <w:rsid w:val="00AE1392"/>
    <w:rsid w:val="00AE151B"/>
    <w:rsid w:val="00AE1606"/>
    <w:rsid w:val="00AE1612"/>
    <w:rsid w:val="00AE1900"/>
    <w:rsid w:val="00AE1C73"/>
    <w:rsid w:val="00AE1FE7"/>
    <w:rsid w:val="00AE20CF"/>
    <w:rsid w:val="00AE24D9"/>
    <w:rsid w:val="00AE25FA"/>
    <w:rsid w:val="00AE29CC"/>
    <w:rsid w:val="00AE2D7A"/>
    <w:rsid w:val="00AE2EFC"/>
    <w:rsid w:val="00AE301C"/>
    <w:rsid w:val="00AE3154"/>
    <w:rsid w:val="00AE32FF"/>
    <w:rsid w:val="00AE337C"/>
    <w:rsid w:val="00AE33BC"/>
    <w:rsid w:val="00AE397E"/>
    <w:rsid w:val="00AE3AB0"/>
    <w:rsid w:val="00AE3C93"/>
    <w:rsid w:val="00AE3E7E"/>
    <w:rsid w:val="00AE3EEF"/>
    <w:rsid w:val="00AE3F23"/>
    <w:rsid w:val="00AE436D"/>
    <w:rsid w:val="00AE4573"/>
    <w:rsid w:val="00AE4579"/>
    <w:rsid w:val="00AE45C7"/>
    <w:rsid w:val="00AE45F7"/>
    <w:rsid w:val="00AE478B"/>
    <w:rsid w:val="00AE4843"/>
    <w:rsid w:val="00AE498E"/>
    <w:rsid w:val="00AE4F31"/>
    <w:rsid w:val="00AE5105"/>
    <w:rsid w:val="00AE521D"/>
    <w:rsid w:val="00AE5354"/>
    <w:rsid w:val="00AE5490"/>
    <w:rsid w:val="00AE54AA"/>
    <w:rsid w:val="00AE54EF"/>
    <w:rsid w:val="00AE5579"/>
    <w:rsid w:val="00AE560E"/>
    <w:rsid w:val="00AE5800"/>
    <w:rsid w:val="00AE5941"/>
    <w:rsid w:val="00AE5B0F"/>
    <w:rsid w:val="00AE5B49"/>
    <w:rsid w:val="00AE5CFF"/>
    <w:rsid w:val="00AE5DDF"/>
    <w:rsid w:val="00AE5E31"/>
    <w:rsid w:val="00AE5EE5"/>
    <w:rsid w:val="00AE6055"/>
    <w:rsid w:val="00AE6099"/>
    <w:rsid w:val="00AE61FC"/>
    <w:rsid w:val="00AE6233"/>
    <w:rsid w:val="00AE6365"/>
    <w:rsid w:val="00AE6376"/>
    <w:rsid w:val="00AE63A6"/>
    <w:rsid w:val="00AE6500"/>
    <w:rsid w:val="00AE6926"/>
    <w:rsid w:val="00AE6A47"/>
    <w:rsid w:val="00AE6B0F"/>
    <w:rsid w:val="00AE6D9E"/>
    <w:rsid w:val="00AE6E62"/>
    <w:rsid w:val="00AE6EF5"/>
    <w:rsid w:val="00AE6F00"/>
    <w:rsid w:val="00AE710D"/>
    <w:rsid w:val="00AE72BB"/>
    <w:rsid w:val="00AE730D"/>
    <w:rsid w:val="00AE7444"/>
    <w:rsid w:val="00AE7586"/>
    <w:rsid w:val="00AE76E4"/>
    <w:rsid w:val="00AE7868"/>
    <w:rsid w:val="00AE7896"/>
    <w:rsid w:val="00AE79B8"/>
    <w:rsid w:val="00AE7B5C"/>
    <w:rsid w:val="00AE7C13"/>
    <w:rsid w:val="00AE7C52"/>
    <w:rsid w:val="00AE7D94"/>
    <w:rsid w:val="00AE7DE0"/>
    <w:rsid w:val="00AE7E53"/>
    <w:rsid w:val="00AF01B6"/>
    <w:rsid w:val="00AF01CA"/>
    <w:rsid w:val="00AF0589"/>
    <w:rsid w:val="00AF05CC"/>
    <w:rsid w:val="00AF0613"/>
    <w:rsid w:val="00AF0646"/>
    <w:rsid w:val="00AF0647"/>
    <w:rsid w:val="00AF0699"/>
    <w:rsid w:val="00AF09F8"/>
    <w:rsid w:val="00AF0AC9"/>
    <w:rsid w:val="00AF0B85"/>
    <w:rsid w:val="00AF0B9D"/>
    <w:rsid w:val="00AF0BC8"/>
    <w:rsid w:val="00AF0C18"/>
    <w:rsid w:val="00AF0D79"/>
    <w:rsid w:val="00AF0F99"/>
    <w:rsid w:val="00AF1031"/>
    <w:rsid w:val="00AF103E"/>
    <w:rsid w:val="00AF1074"/>
    <w:rsid w:val="00AF1122"/>
    <w:rsid w:val="00AF1196"/>
    <w:rsid w:val="00AF11A2"/>
    <w:rsid w:val="00AF1315"/>
    <w:rsid w:val="00AF1468"/>
    <w:rsid w:val="00AF1595"/>
    <w:rsid w:val="00AF15BE"/>
    <w:rsid w:val="00AF1704"/>
    <w:rsid w:val="00AF1734"/>
    <w:rsid w:val="00AF18DD"/>
    <w:rsid w:val="00AF19B0"/>
    <w:rsid w:val="00AF19BF"/>
    <w:rsid w:val="00AF1B3B"/>
    <w:rsid w:val="00AF1D63"/>
    <w:rsid w:val="00AF1DE1"/>
    <w:rsid w:val="00AF1F6F"/>
    <w:rsid w:val="00AF1FE2"/>
    <w:rsid w:val="00AF207E"/>
    <w:rsid w:val="00AF212A"/>
    <w:rsid w:val="00AF21EA"/>
    <w:rsid w:val="00AF276E"/>
    <w:rsid w:val="00AF27B7"/>
    <w:rsid w:val="00AF2874"/>
    <w:rsid w:val="00AF2943"/>
    <w:rsid w:val="00AF2A60"/>
    <w:rsid w:val="00AF2AC7"/>
    <w:rsid w:val="00AF2B8B"/>
    <w:rsid w:val="00AF2DC3"/>
    <w:rsid w:val="00AF2FF3"/>
    <w:rsid w:val="00AF3037"/>
    <w:rsid w:val="00AF31C3"/>
    <w:rsid w:val="00AF31CD"/>
    <w:rsid w:val="00AF32BD"/>
    <w:rsid w:val="00AF3490"/>
    <w:rsid w:val="00AF3620"/>
    <w:rsid w:val="00AF37B5"/>
    <w:rsid w:val="00AF39FD"/>
    <w:rsid w:val="00AF3A07"/>
    <w:rsid w:val="00AF3AC9"/>
    <w:rsid w:val="00AF3B6E"/>
    <w:rsid w:val="00AF414F"/>
    <w:rsid w:val="00AF44BB"/>
    <w:rsid w:val="00AF47BA"/>
    <w:rsid w:val="00AF4820"/>
    <w:rsid w:val="00AF48A0"/>
    <w:rsid w:val="00AF4974"/>
    <w:rsid w:val="00AF4A87"/>
    <w:rsid w:val="00AF4AE7"/>
    <w:rsid w:val="00AF4B98"/>
    <w:rsid w:val="00AF4BCC"/>
    <w:rsid w:val="00AF4C78"/>
    <w:rsid w:val="00AF4D3A"/>
    <w:rsid w:val="00AF4DF1"/>
    <w:rsid w:val="00AF4E13"/>
    <w:rsid w:val="00AF4F8A"/>
    <w:rsid w:val="00AF4FB1"/>
    <w:rsid w:val="00AF52B5"/>
    <w:rsid w:val="00AF544C"/>
    <w:rsid w:val="00AF5653"/>
    <w:rsid w:val="00AF5665"/>
    <w:rsid w:val="00AF578D"/>
    <w:rsid w:val="00AF5D69"/>
    <w:rsid w:val="00AF5F55"/>
    <w:rsid w:val="00AF5FD7"/>
    <w:rsid w:val="00AF616D"/>
    <w:rsid w:val="00AF626F"/>
    <w:rsid w:val="00AF6317"/>
    <w:rsid w:val="00AF63F5"/>
    <w:rsid w:val="00AF6407"/>
    <w:rsid w:val="00AF648E"/>
    <w:rsid w:val="00AF6562"/>
    <w:rsid w:val="00AF6626"/>
    <w:rsid w:val="00AF6754"/>
    <w:rsid w:val="00AF67B5"/>
    <w:rsid w:val="00AF6856"/>
    <w:rsid w:val="00AF6887"/>
    <w:rsid w:val="00AF6969"/>
    <w:rsid w:val="00AF69ED"/>
    <w:rsid w:val="00AF6A4F"/>
    <w:rsid w:val="00AF6B77"/>
    <w:rsid w:val="00AF6B98"/>
    <w:rsid w:val="00AF6C45"/>
    <w:rsid w:val="00AF6CC8"/>
    <w:rsid w:val="00AF6CEA"/>
    <w:rsid w:val="00AF6DBB"/>
    <w:rsid w:val="00AF6F83"/>
    <w:rsid w:val="00AF7205"/>
    <w:rsid w:val="00AF72A5"/>
    <w:rsid w:val="00AF72C6"/>
    <w:rsid w:val="00AF73C1"/>
    <w:rsid w:val="00AF74BA"/>
    <w:rsid w:val="00AF757B"/>
    <w:rsid w:val="00AF7A3B"/>
    <w:rsid w:val="00AF7B91"/>
    <w:rsid w:val="00AF7CD9"/>
    <w:rsid w:val="00B00164"/>
    <w:rsid w:val="00B001DD"/>
    <w:rsid w:val="00B001FD"/>
    <w:rsid w:val="00B002EB"/>
    <w:rsid w:val="00B00463"/>
    <w:rsid w:val="00B00466"/>
    <w:rsid w:val="00B00533"/>
    <w:rsid w:val="00B005BA"/>
    <w:rsid w:val="00B0066C"/>
    <w:rsid w:val="00B00847"/>
    <w:rsid w:val="00B00A51"/>
    <w:rsid w:val="00B00A55"/>
    <w:rsid w:val="00B00A66"/>
    <w:rsid w:val="00B00AF6"/>
    <w:rsid w:val="00B00B58"/>
    <w:rsid w:val="00B00CFC"/>
    <w:rsid w:val="00B00F15"/>
    <w:rsid w:val="00B00F7B"/>
    <w:rsid w:val="00B01216"/>
    <w:rsid w:val="00B01244"/>
    <w:rsid w:val="00B012FE"/>
    <w:rsid w:val="00B013C7"/>
    <w:rsid w:val="00B01457"/>
    <w:rsid w:val="00B0152C"/>
    <w:rsid w:val="00B015C4"/>
    <w:rsid w:val="00B0162A"/>
    <w:rsid w:val="00B0173C"/>
    <w:rsid w:val="00B01782"/>
    <w:rsid w:val="00B01831"/>
    <w:rsid w:val="00B01845"/>
    <w:rsid w:val="00B01977"/>
    <w:rsid w:val="00B01C14"/>
    <w:rsid w:val="00B01D0E"/>
    <w:rsid w:val="00B01FAC"/>
    <w:rsid w:val="00B020B4"/>
    <w:rsid w:val="00B02483"/>
    <w:rsid w:val="00B025AD"/>
    <w:rsid w:val="00B02870"/>
    <w:rsid w:val="00B02924"/>
    <w:rsid w:val="00B029D4"/>
    <w:rsid w:val="00B02A93"/>
    <w:rsid w:val="00B03035"/>
    <w:rsid w:val="00B030E7"/>
    <w:rsid w:val="00B03154"/>
    <w:rsid w:val="00B0321E"/>
    <w:rsid w:val="00B033E5"/>
    <w:rsid w:val="00B03420"/>
    <w:rsid w:val="00B034B9"/>
    <w:rsid w:val="00B03831"/>
    <w:rsid w:val="00B03838"/>
    <w:rsid w:val="00B0391D"/>
    <w:rsid w:val="00B03A63"/>
    <w:rsid w:val="00B03B20"/>
    <w:rsid w:val="00B03BED"/>
    <w:rsid w:val="00B03DCF"/>
    <w:rsid w:val="00B03DFE"/>
    <w:rsid w:val="00B04030"/>
    <w:rsid w:val="00B0415B"/>
    <w:rsid w:val="00B04436"/>
    <w:rsid w:val="00B044DB"/>
    <w:rsid w:val="00B04782"/>
    <w:rsid w:val="00B048FE"/>
    <w:rsid w:val="00B04972"/>
    <w:rsid w:val="00B04A17"/>
    <w:rsid w:val="00B04B98"/>
    <w:rsid w:val="00B04E19"/>
    <w:rsid w:val="00B04E1E"/>
    <w:rsid w:val="00B04EA7"/>
    <w:rsid w:val="00B04FFA"/>
    <w:rsid w:val="00B050F5"/>
    <w:rsid w:val="00B05149"/>
    <w:rsid w:val="00B0526E"/>
    <w:rsid w:val="00B05283"/>
    <w:rsid w:val="00B052CF"/>
    <w:rsid w:val="00B052ED"/>
    <w:rsid w:val="00B053BF"/>
    <w:rsid w:val="00B0545A"/>
    <w:rsid w:val="00B0558D"/>
    <w:rsid w:val="00B055A9"/>
    <w:rsid w:val="00B0573B"/>
    <w:rsid w:val="00B05779"/>
    <w:rsid w:val="00B057A0"/>
    <w:rsid w:val="00B057EF"/>
    <w:rsid w:val="00B058DB"/>
    <w:rsid w:val="00B05922"/>
    <w:rsid w:val="00B05A49"/>
    <w:rsid w:val="00B05B50"/>
    <w:rsid w:val="00B05BB6"/>
    <w:rsid w:val="00B05C4F"/>
    <w:rsid w:val="00B05CAD"/>
    <w:rsid w:val="00B05D11"/>
    <w:rsid w:val="00B05E89"/>
    <w:rsid w:val="00B05ED9"/>
    <w:rsid w:val="00B060A0"/>
    <w:rsid w:val="00B061EC"/>
    <w:rsid w:val="00B06439"/>
    <w:rsid w:val="00B065B7"/>
    <w:rsid w:val="00B067C4"/>
    <w:rsid w:val="00B068E1"/>
    <w:rsid w:val="00B069BD"/>
    <w:rsid w:val="00B06A61"/>
    <w:rsid w:val="00B06C53"/>
    <w:rsid w:val="00B07059"/>
    <w:rsid w:val="00B07219"/>
    <w:rsid w:val="00B07220"/>
    <w:rsid w:val="00B07293"/>
    <w:rsid w:val="00B0737D"/>
    <w:rsid w:val="00B07422"/>
    <w:rsid w:val="00B07509"/>
    <w:rsid w:val="00B07569"/>
    <w:rsid w:val="00B07594"/>
    <w:rsid w:val="00B077D0"/>
    <w:rsid w:val="00B077F8"/>
    <w:rsid w:val="00B078C9"/>
    <w:rsid w:val="00B078F6"/>
    <w:rsid w:val="00B079A6"/>
    <w:rsid w:val="00B07A1B"/>
    <w:rsid w:val="00B07C13"/>
    <w:rsid w:val="00B07CB8"/>
    <w:rsid w:val="00B07E78"/>
    <w:rsid w:val="00B07E96"/>
    <w:rsid w:val="00B07EFA"/>
    <w:rsid w:val="00B102A1"/>
    <w:rsid w:val="00B102F7"/>
    <w:rsid w:val="00B10647"/>
    <w:rsid w:val="00B106A6"/>
    <w:rsid w:val="00B108EA"/>
    <w:rsid w:val="00B10992"/>
    <w:rsid w:val="00B10A6D"/>
    <w:rsid w:val="00B10AF3"/>
    <w:rsid w:val="00B10B4F"/>
    <w:rsid w:val="00B10B65"/>
    <w:rsid w:val="00B10C1F"/>
    <w:rsid w:val="00B10EA5"/>
    <w:rsid w:val="00B10ED9"/>
    <w:rsid w:val="00B10F76"/>
    <w:rsid w:val="00B10F9D"/>
    <w:rsid w:val="00B11048"/>
    <w:rsid w:val="00B11305"/>
    <w:rsid w:val="00B113EB"/>
    <w:rsid w:val="00B11465"/>
    <w:rsid w:val="00B1149F"/>
    <w:rsid w:val="00B11531"/>
    <w:rsid w:val="00B1165E"/>
    <w:rsid w:val="00B116AE"/>
    <w:rsid w:val="00B1183A"/>
    <w:rsid w:val="00B11930"/>
    <w:rsid w:val="00B119E7"/>
    <w:rsid w:val="00B11BD5"/>
    <w:rsid w:val="00B11C0A"/>
    <w:rsid w:val="00B11E11"/>
    <w:rsid w:val="00B11E75"/>
    <w:rsid w:val="00B11EE2"/>
    <w:rsid w:val="00B11FAE"/>
    <w:rsid w:val="00B12063"/>
    <w:rsid w:val="00B1246D"/>
    <w:rsid w:val="00B124A5"/>
    <w:rsid w:val="00B124BE"/>
    <w:rsid w:val="00B1278F"/>
    <w:rsid w:val="00B127C9"/>
    <w:rsid w:val="00B12983"/>
    <w:rsid w:val="00B12992"/>
    <w:rsid w:val="00B129A4"/>
    <w:rsid w:val="00B12A9F"/>
    <w:rsid w:val="00B12C78"/>
    <w:rsid w:val="00B12CDF"/>
    <w:rsid w:val="00B12FF0"/>
    <w:rsid w:val="00B130F5"/>
    <w:rsid w:val="00B1316F"/>
    <w:rsid w:val="00B1327F"/>
    <w:rsid w:val="00B1334B"/>
    <w:rsid w:val="00B13353"/>
    <w:rsid w:val="00B134BD"/>
    <w:rsid w:val="00B1356A"/>
    <w:rsid w:val="00B135CF"/>
    <w:rsid w:val="00B137B8"/>
    <w:rsid w:val="00B13C60"/>
    <w:rsid w:val="00B13CF3"/>
    <w:rsid w:val="00B13E1F"/>
    <w:rsid w:val="00B13FB1"/>
    <w:rsid w:val="00B14105"/>
    <w:rsid w:val="00B14154"/>
    <w:rsid w:val="00B141CB"/>
    <w:rsid w:val="00B14221"/>
    <w:rsid w:val="00B14249"/>
    <w:rsid w:val="00B1429E"/>
    <w:rsid w:val="00B14540"/>
    <w:rsid w:val="00B145E0"/>
    <w:rsid w:val="00B145FD"/>
    <w:rsid w:val="00B1461A"/>
    <w:rsid w:val="00B149D9"/>
    <w:rsid w:val="00B149DB"/>
    <w:rsid w:val="00B14AB8"/>
    <w:rsid w:val="00B14B1A"/>
    <w:rsid w:val="00B14C60"/>
    <w:rsid w:val="00B14C9A"/>
    <w:rsid w:val="00B14D0E"/>
    <w:rsid w:val="00B14FEF"/>
    <w:rsid w:val="00B1502D"/>
    <w:rsid w:val="00B15088"/>
    <w:rsid w:val="00B1516D"/>
    <w:rsid w:val="00B15219"/>
    <w:rsid w:val="00B1529E"/>
    <w:rsid w:val="00B152F9"/>
    <w:rsid w:val="00B1551F"/>
    <w:rsid w:val="00B15577"/>
    <w:rsid w:val="00B155CB"/>
    <w:rsid w:val="00B156A7"/>
    <w:rsid w:val="00B158FA"/>
    <w:rsid w:val="00B1591B"/>
    <w:rsid w:val="00B15A71"/>
    <w:rsid w:val="00B15AA6"/>
    <w:rsid w:val="00B15B2C"/>
    <w:rsid w:val="00B15B90"/>
    <w:rsid w:val="00B15D25"/>
    <w:rsid w:val="00B15DE9"/>
    <w:rsid w:val="00B15E5C"/>
    <w:rsid w:val="00B1609A"/>
    <w:rsid w:val="00B1629C"/>
    <w:rsid w:val="00B163A3"/>
    <w:rsid w:val="00B163A8"/>
    <w:rsid w:val="00B1673F"/>
    <w:rsid w:val="00B168AE"/>
    <w:rsid w:val="00B168C3"/>
    <w:rsid w:val="00B16912"/>
    <w:rsid w:val="00B16AB7"/>
    <w:rsid w:val="00B16BAD"/>
    <w:rsid w:val="00B16BB2"/>
    <w:rsid w:val="00B16CE9"/>
    <w:rsid w:val="00B16D61"/>
    <w:rsid w:val="00B16EBC"/>
    <w:rsid w:val="00B17021"/>
    <w:rsid w:val="00B17179"/>
    <w:rsid w:val="00B171E5"/>
    <w:rsid w:val="00B17221"/>
    <w:rsid w:val="00B1729D"/>
    <w:rsid w:val="00B1743F"/>
    <w:rsid w:val="00B17484"/>
    <w:rsid w:val="00B17706"/>
    <w:rsid w:val="00B1773A"/>
    <w:rsid w:val="00B17788"/>
    <w:rsid w:val="00B177A2"/>
    <w:rsid w:val="00B17842"/>
    <w:rsid w:val="00B17959"/>
    <w:rsid w:val="00B17A4D"/>
    <w:rsid w:val="00B17AFD"/>
    <w:rsid w:val="00B17C27"/>
    <w:rsid w:val="00B17C88"/>
    <w:rsid w:val="00B17D21"/>
    <w:rsid w:val="00B17EC3"/>
    <w:rsid w:val="00B17F32"/>
    <w:rsid w:val="00B17F3A"/>
    <w:rsid w:val="00B2001A"/>
    <w:rsid w:val="00B20099"/>
    <w:rsid w:val="00B201A4"/>
    <w:rsid w:val="00B201D1"/>
    <w:rsid w:val="00B2030D"/>
    <w:rsid w:val="00B203E6"/>
    <w:rsid w:val="00B20474"/>
    <w:rsid w:val="00B20611"/>
    <w:rsid w:val="00B20661"/>
    <w:rsid w:val="00B20859"/>
    <w:rsid w:val="00B210A4"/>
    <w:rsid w:val="00B210FF"/>
    <w:rsid w:val="00B211B8"/>
    <w:rsid w:val="00B211FF"/>
    <w:rsid w:val="00B21259"/>
    <w:rsid w:val="00B2136F"/>
    <w:rsid w:val="00B21382"/>
    <w:rsid w:val="00B213A6"/>
    <w:rsid w:val="00B21426"/>
    <w:rsid w:val="00B2156B"/>
    <w:rsid w:val="00B21627"/>
    <w:rsid w:val="00B21869"/>
    <w:rsid w:val="00B21883"/>
    <w:rsid w:val="00B218E6"/>
    <w:rsid w:val="00B219B1"/>
    <w:rsid w:val="00B21D0A"/>
    <w:rsid w:val="00B21EC5"/>
    <w:rsid w:val="00B21F0B"/>
    <w:rsid w:val="00B21F5D"/>
    <w:rsid w:val="00B21F73"/>
    <w:rsid w:val="00B22070"/>
    <w:rsid w:val="00B22192"/>
    <w:rsid w:val="00B221AE"/>
    <w:rsid w:val="00B22265"/>
    <w:rsid w:val="00B2257B"/>
    <w:rsid w:val="00B225A4"/>
    <w:rsid w:val="00B227B4"/>
    <w:rsid w:val="00B22816"/>
    <w:rsid w:val="00B228D9"/>
    <w:rsid w:val="00B2295D"/>
    <w:rsid w:val="00B229BE"/>
    <w:rsid w:val="00B22DBF"/>
    <w:rsid w:val="00B22F5D"/>
    <w:rsid w:val="00B22F60"/>
    <w:rsid w:val="00B23074"/>
    <w:rsid w:val="00B233AB"/>
    <w:rsid w:val="00B235B0"/>
    <w:rsid w:val="00B23758"/>
    <w:rsid w:val="00B237B6"/>
    <w:rsid w:val="00B23C67"/>
    <w:rsid w:val="00B23D3A"/>
    <w:rsid w:val="00B23D51"/>
    <w:rsid w:val="00B23E06"/>
    <w:rsid w:val="00B23E08"/>
    <w:rsid w:val="00B241C9"/>
    <w:rsid w:val="00B24507"/>
    <w:rsid w:val="00B2461B"/>
    <w:rsid w:val="00B2464B"/>
    <w:rsid w:val="00B246F5"/>
    <w:rsid w:val="00B2483B"/>
    <w:rsid w:val="00B249DF"/>
    <w:rsid w:val="00B24A28"/>
    <w:rsid w:val="00B24A5C"/>
    <w:rsid w:val="00B24ADF"/>
    <w:rsid w:val="00B24B35"/>
    <w:rsid w:val="00B24DA6"/>
    <w:rsid w:val="00B24DB8"/>
    <w:rsid w:val="00B24DF6"/>
    <w:rsid w:val="00B24E39"/>
    <w:rsid w:val="00B24E74"/>
    <w:rsid w:val="00B24EE2"/>
    <w:rsid w:val="00B24F62"/>
    <w:rsid w:val="00B24F73"/>
    <w:rsid w:val="00B2509E"/>
    <w:rsid w:val="00B2510A"/>
    <w:rsid w:val="00B2520E"/>
    <w:rsid w:val="00B2523E"/>
    <w:rsid w:val="00B25399"/>
    <w:rsid w:val="00B25463"/>
    <w:rsid w:val="00B2556D"/>
    <w:rsid w:val="00B255A0"/>
    <w:rsid w:val="00B25668"/>
    <w:rsid w:val="00B25805"/>
    <w:rsid w:val="00B2587C"/>
    <w:rsid w:val="00B25AE2"/>
    <w:rsid w:val="00B25C50"/>
    <w:rsid w:val="00B25E68"/>
    <w:rsid w:val="00B25E8E"/>
    <w:rsid w:val="00B25EEA"/>
    <w:rsid w:val="00B25F8C"/>
    <w:rsid w:val="00B25FBA"/>
    <w:rsid w:val="00B26007"/>
    <w:rsid w:val="00B26047"/>
    <w:rsid w:val="00B26130"/>
    <w:rsid w:val="00B26341"/>
    <w:rsid w:val="00B2657A"/>
    <w:rsid w:val="00B265C3"/>
    <w:rsid w:val="00B26908"/>
    <w:rsid w:val="00B26B7C"/>
    <w:rsid w:val="00B26F05"/>
    <w:rsid w:val="00B26FC4"/>
    <w:rsid w:val="00B2708F"/>
    <w:rsid w:val="00B270DC"/>
    <w:rsid w:val="00B27390"/>
    <w:rsid w:val="00B27418"/>
    <w:rsid w:val="00B274F0"/>
    <w:rsid w:val="00B27605"/>
    <w:rsid w:val="00B276DF"/>
    <w:rsid w:val="00B27A61"/>
    <w:rsid w:val="00B27C27"/>
    <w:rsid w:val="00B27C5F"/>
    <w:rsid w:val="00B27CAC"/>
    <w:rsid w:val="00B27D54"/>
    <w:rsid w:val="00B27D6F"/>
    <w:rsid w:val="00B27DA3"/>
    <w:rsid w:val="00B27DFA"/>
    <w:rsid w:val="00B27E74"/>
    <w:rsid w:val="00B27F83"/>
    <w:rsid w:val="00B30024"/>
    <w:rsid w:val="00B30097"/>
    <w:rsid w:val="00B300BC"/>
    <w:rsid w:val="00B3012E"/>
    <w:rsid w:val="00B304EC"/>
    <w:rsid w:val="00B304EE"/>
    <w:rsid w:val="00B305CC"/>
    <w:rsid w:val="00B306B0"/>
    <w:rsid w:val="00B306B6"/>
    <w:rsid w:val="00B306DA"/>
    <w:rsid w:val="00B306FB"/>
    <w:rsid w:val="00B3074B"/>
    <w:rsid w:val="00B307FE"/>
    <w:rsid w:val="00B309F0"/>
    <w:rsid w:val="00B30A16"/>
    <w:rsid w:val="00B30BCE"/>
    <w:rsid w:val="00B30C56"/>
    <w:rsid w:val="00B30CFD"/>
    <w:rsid w:val="00B30D02"/>
    <w:rsid w:val="00B30D0F"/>
    <w:rsid w:val="00B30DBD"/>
    <w:rsid w:val="00B30F66"/>
    <w:rsid w:val="00B3117F"/>
    <w:rsid w:val="00B31183"/>
    <w:rsid w:val="00B3136A"/>
    <w:rsid w:val="00B31379"/>
    <w:rsid w:val="00B313A5"/>
    <w:rsid w:val="00B31476"/>
    <w:rsid w:val="00B316E5"/>
    <w:rsid w:val="00B31802"/>
    <w:rsid w:val="00B3193B"/>
    <w:rsid w:val="00B31ABB"/>
    <w:rsid w:val="00B31BE5"/>
    <w:rsid w:val="00B31CAB"/>
    <w:rsid w:val="00B31CDC"/>
    <w:rsid w:val="00B31D65"/>
    <w:rsid w:val="00B31ED1"/>
    <w:rsid w:val="00B32044"/>
    <w:rsid w:val="00B320CF"/>
    <w:rsid w:val="00B320D9"/>
    <w:rsid w:val="00B321DE"/>
    <w:rsid w:val="00B325AF"/>
    <w:rsid w:val="00B325BA"/>
    <w:rsid w:val="00B32755"/>
    <w:rsid w:val="00B32821"/>
    <w:rsid w:val="00B328E5"/>
    <w:rsid w:val="00B32B6F"/>
    <w:rsid w:val="00B32CCF"/>
    <w:rsid w:val="00B32D93"/>
    <w:rsid w:val="00B32E59"/>
    <w:rsid w:val="00B32E66"/>
    <w:rsid w:val="00B3324E"/>
    <w:rsid w:val="00B33293"/>
    <w:rsid w:val="00B33380"/>
    <w:rsid w:val="00B335FD"/>
    <w:rsid w:val="00B3360F"/>
    <w:rsid w:val="00B33790"/>
    <w:rsid w:val="00B33E4D"/>
    <w:rsid w:val="00B33F20"/>
    <w:rsid w:val="00B34066"/>
    <w:rsid w:val="00B3416F"/>
    <w:rsid w:val="00B3450E"/>
    <w:rsid w:val="00B34511"/>
    <w:rsid w:val="00B346D1"/>
    <w:rsid w:val="00B3491C"/>
    <w:rsid w:val="00B349A0"/>
    <w:rsid w:val="00B349A9"/>
    <w:rsid w:val="00B349B2"/>
    <w:rsid w:val="00B349C9"/>
    <w:rsid w:val="00B34AFC"/>
    <w:rsid w:val="00B34B1D"/>
    <w:rsid w:val="00B34B45"/>
    <w:rsid w:val="00B34C6E"/>
    <w:rsid w:val="00B34D3D"/>
    <w:rsid w:val="00B34DAE"/>
    <w:rsid w:val="00B34FE2"/>
    <w:rsid w:val="00B35008"/>
    <w:rsid w:val="00B35046"/>
    <w:rsid w:val="00B350F2"/>
    <w:rsid w:val="00B35166"/>
    <w:rsid w:val="00B35209"/>
    <w:rsid w:val="00B354F1"/>
    <w:rsid w:val="00B355F9"/>
    <w:rsid w:val="00B35798"/>
    <w:rsid w:val="00B357D8"/>
    <w:rsid w:val="00B359AB"/>
    <w:rsid w:val="00B35A76"/>
    <w:rsid w:val="00B35AAA"/>
    <w:rsid w:val="00B35AB5"/>
    <w:rsid w:val="00B35B94"/>
    <w:rsid w:val="00B35D66"/>
    <w:rsid w:val="00B35DC1"/>
    <w:rsid w:val="00B35EEF"/>
    <w:rsid w:val="00B35F2C"/>
    <w:rsid w:val="00B3605F"/>
    <w:rsid w:val="00B360F4"/>
    <w:rsid w:val="00B3613B"/>
    <w:rsid w:val="00B3623F"/>
    <w:rsid w:val="00B36379"/>
    <w:rsid w:val="00B36411"/>
    <w:rsid w:val="00B36444"/>
    <w:rsid w:val="00B3661D"/>
    <w:rsid w:val="00B367F1"/>
    <w:rsid w:val="00B3680C"/>
    <w:rsid w:val="00B36854"/>
    <w:rsid w:val="00B368A2"/>
    <w:rsid w:val="00B36920"/>
    <w:rsid w:val="00B36A00"/>
    <w:rsid w:val="00B36C7B"/>
    <w:rsid w:val="00B36C9E"/>
    <w:rsid w:val="00B3702C"/>
    <w:rsid w:val="00B37259"/>
    <w:rsid w:val="00B373D1"/>
    <w:rsid w:val="00B3740B"/>
    <w:rsid w:val="00B3741C"/>
    <w:rsid w:val="00B374ED"/>
    <w:rsid w:val="00B3753F"/>
    <w:rsid w:val="00B376E5"/>
    <w:rsid w:val="00B3773E"/>
    <w:rsid w:val="00B3792B"/>
    <w:rsid w:val="00B37959"/>
    <w:rsid w:val="00B37960"/>
    <w:rsid w:val="00B37972"/>
    <w:rsid w:val="00B37A1B"/>
    <w:rsid w:val="00B37AB8"/>
    <w:rsid w:val="00B37B7A"/>
    <w:rsid w:val="00B37BCC"/>
    <w:rsid w:val="00B37BFC"/>
    <w:rsid w:val="00B37C8D"/>
    <w:rsid w:val="00B37D87"/>
    <w:rsid w:val="00B37D96"/>
    <w:rsid w:val="00B37DAE"/>
    <w:rsid w:val="00B37FE5"/>
    <w:rsid w:val="00B40137"/>
    <w:rsid w:val="00B40164"/>
    <w:rsid w:val="00B40358"/>
    <w:rsid w:val="00B404C9"/>
    <w:rsid w:val="00B4065F"/>
    <w:rsid w:val="00B406E3"/>
    <w:rsid w:val="00B40770"/>
    <w:rsid w:val="00B407BF"/>
    <w:rsid w:val="00B4096C"/>
    <w:rsid w:val="00B40B3E"/>
    <w:rsid w:val="00B40CCE"/>
    <w:rsid w:val="00B40D3B"/>
    <w:rsid w:val="00B41041"/>
    <w:rsid w:val="00B410C9"/>
    <w:rsid w:val="00B410F1"/>
    <w:rsid w:val="00B41113"/>
    <w:rsid w:val="00B41174"/>
    <w:rsid w:val="00B41473"/>
    <w:rsid w:val="00B4158E"/>
    <w:rsid w:val="00B41614"/>
    <w:rsid w:val="00B41752"/>
    <w:rsid w:val="00B419C3"/>
    <w:rsid w:val="00B41CC4"/>
    <w:rsid w:val="00B41E4B"/>
    <w:rsid w:val="00B41E71"/>
    <w:rsid w:val="00B41E76"/>
    <w:rsid w:val="00B41F09"/>
    <w:rsid w:val="00B41FA9"/>
    <w:rsid w:val="00B41FD6"/>
    <w:rsid w:val="00B42273"/>
    <w:rsid w:val="00B4234D"/>
    <w:rsid w:val="00B426CA"/>
    <w:rsid w:val="00B42703"/>
    <w:rsid w:val="00B42708"/>
    <w:rsid w:val="00B427B1"/>
    <w:rsid w:val="00B42836"/>
    <w:rsid w:val="00B42842"/>
    <w:rsid w:val="00B42851"/>
    <w:rsid w:val="00B428F1"/>
    <w:rsid w:val="00B428F9"/>
    <w:rsid w:val="00B42975"/>
    <w:rsid w:val="00B42977"/>
    <w:rsid w:val="00B42A12"/>
    <w:rsid w:val="00B42AF3"/>
    <w:rsid w:val="00B42C1F"/>
    <w:rsid w:val="00B42DD9"/>
    <w:rsid w:val="00B42DEF"/>
    <w:rsid w:val="00B42E30"/>
    <w:rsid w:val="00B42F03"/>
    <w:rsid w:val="00B42F80"/>
    <w:rsid w:val="00B431A7"/>
    <w:rsid w:val="00B43276"/>
    <w:rsid w:val="00B432D9"/>
    <w:rsid w:val="00B434ED"/>
    <w:rsid w:val="00B43522"/>
    <w:rsid w:val="00B435CB"/>
    <w:rsid w:val="00B436D7"/>
    <w:rsid w:val="00B4397D"/>
    <w:rsid w:val="00B43A46"/>
    <w:rsid w:val="00B43C9B"/>
    <w:rsid w:val="00B43DCC"/>
    <w:rsid w:val="00B43EA3"/>
    <w:rsid w:val="00B43FE9"/>
    <w:rsid w:val="00B44534"/>
    <w:rsid w:val="00B44582"/>
    <w:rsid w:val="00B445AD"/>
    <w:rsid w:val="00B445CD"/>
    <w:rsid w:val="00B445FC"/>
    <w:rsid w:val="00B448F5"/>
    <w:rsid w:val="00B44DFA"/>
    <w:rsid w:val="00B44F89"/>
    <w:rsid w:val="00B45042"/>
    <w:rsid w:val="00B45290"/>
    <w:rsid w:val="00B454CB"/>
    <w:rsid w:val="00B454FD"/>
    <w:rsid w:val="00B45502"/>
    <w:rsid w:val="00B455C7"/>
    <w:rsid w:val="00B4599B"/>
    <w:rsid w:val="00B459F8"/>
    <w:rsid w:val="00B45A2F"/>
    <w:rsid w:val="00B45AC5"/>
    <w:rsid w:val="00B45B0E"/>
    <w:rsid w:val="00B45BCA"/>
    <w:rsid w:val="00B45BE2"/>
    <w:rsid w:val="00B45BEA"/>
    <w:rsid w:val="00B45C36"/>
    <w:rsid w:val="00B45CE0"/>
    <w:rsid w:val="00B45E81"/>
    <w:rsid w:val="00B45EDF"/>
    <w:rsid w:val="00B45F1E"/>
    <w:rsid w:val="00B45FE7"/>
    <w:rsid w:val="00B46018"/>
    <w:rsid w:val="00B4603F"/>
    <w:rsid w:val="00B465EC"/>
    <w:rsid w:val="00B46768"/>
    <w:rsid w:val="00B4680F"/>
    <w:rsid w:val="00B4690B"/>
    <w:rsid w:val="00B469EF"/>
    <w:rsid w:val="00B46AD7"/>
    <w:rsid w:val="00B46B3E"/>
    <w:rsid w:val="00B46BFD"/>
    <w:rsid w:val="00B47251"/>
    <w:rsid w:val="00B472C5"/>
    <w:rsid w:val="00B472F6"/>
    <w:rsid w:val="00B4737B"/>
    <w:rsid w:val="00B4751E"/>
    <w:rsid w:val="00B47585"/>
    <w:rsid w:val="00B476AF"/>
    <w:rsid w:val="00B476C1"/>
    <w:rsid w:val="00B4775D"/>
    <w:rsid w:val="00B477A5"/>
    <w:rsid w:val="00B478FC"/>
    <w:rsid w:val="00B47A92"/>
    <w:rsid w:val="00B47C12"/>
    <w:rsid w:val="00B47C24"/>
    <w:rsid w:val="00B47F49"/>
    <w:rsid w:val="00B5005F"/>
    <w:rsid w:val="00B50444"/>
    <w:rsid w:val="00B505C8"/>
    <w:rsid w:val="00B50686"/>
    <w:rsid w:val="00B506EE"/>
    <w:rsid w:val="00B5074F"/>
    <w:rsid w:val="00B5077D"/>
    <w:rsid w:val="00B50813"/>
    <w:rsid w:val="00B508E0"/>
    <w:rsid w:val="00B50A38"/>
    <w:rsid w:val="00B50B95"/>
    <w:rsid w:val="00B50C5D"/>
    <w:rsid w:val="00B50C81"/>
    <w:rsid w:val="00B50D67"/>
    <w:rsid w:val="00B50DB8"/>
    <w:rsid w:val="00B50E0D"/>
    <w:rsid w:val="00B51270"/>
    <w:rsid w:val="00B512B1"/>
    <w:rsid w:val="00B51346"/>
    <w:rsid w:val="00B51354"/>
    <w:rsid w:val="00B514D4"/>
    <w:rsid w:val="00B51543"/>
    <w:rsid w:val="00B515FE"/>
    <w:rsid w:val="00B517E0"/>
    <w:rsid w:val="00B51C1A"/>
    <w:rsid w:val="00B51C96"/>
    <w:rsid w:val="00B51D14"/>
    <w:rsid w:val="00B51D4F"/>
    <w:rsid w:val="00B51E9C"/>
    <w:rsid w:val="00B52110"/>
    <w:rsid w:val="00B523D2"/>
    <w:rsid w:val="00B52497"/>
    <w:rsid w:val="00B52560"/>
    <w:rsid w:val="00B52636"/>
    <w:rsid w:val="00B52709"/>
    <w:rsid w:val="00B528DC"/>
    <w:rsid w:val="00B52B1B"/>
    <w:rsid w:val="00B52D17"/>
    <w:rsid w:val="00B52D84"/>
    <w:rsid w:val="00B52E1A"/>
    <w:rsid w:val="00B52F60"/>
    <w:rsid w:val="00B52FE7"/>
    <w:rsid w:val="00B53004"/>
    <w:rsid w:val="00B53139"/>
    <w:rsid w:val="00B53255"/>
    <w:rsid w:val="00B53416"/>
    <w:rsid w:val="00B53654"/>
    <w:rsid w:val="00B538A7"/>
    <w:rsid w:val="00B53905"/>
    <w:rsid w:val="00B5396F"/>
    <w:rsid w:val="00B539BE"/>
    <w:rsid w:val="00B53AB4"/>
    <w:rsid w:val="00B53AD4"/>
    <w:rsid w:val="00B53C4A"/>
    <w:rsid w:val="00B53FA9"/>
    <w:rsid w:val="00B53FC3"/>
    <w:rsid w:val="00B5400A"/>
    <w:rsid w:val="00B54048"/>
    <w:rsid w:val="00B5426A"/>
    <w:rsid w:val="00B54299"/>
    <w:rsid w:val="00B544A1"/>
    <w:rsid w:val="00B546DB"/>
    <w:rsid w:val="00B54713"/>
    <w:rsid w:val="00B54727"/>
    <w:rsid w:val="00B548A9"/>
    <w:rsid w:val="00B54A07"/>
    <w:rsid w:val="00B54B5B"/>
    <w:rsid w:val="00B54C91"/>
    <w:rsid w:val="00B54E0E"/>
    <w:rsid w:val="00B54E12"/>
    <w:rsid w:val="00B54E5D"/>
    <w:rsid w:val="00B54E68"/>
    <w:rsid w:val="00B54EE6"/>
    <w:rsid w:val="00B550C4"/>
    <w:rsid w:val="00B552B7"/>
    <w:rsid w:val="00B55373"/>
    <w:rsid w:val="00B553A8"/>
    <w:rsid w:val="00B555D5"/>
    <w:rsid w:val="00B5562E"/>
    <w:rsid w:val="00B5570F"/>
    <w:rsid w:val="00B55779"/>
    <w:rsid w:val="00B557AD"/>
    <w:rsid w:val="00B55862"/>
    <w:rsid w:val="00B55897"/>
    <w:rsid w:val="00B558D6"/>
    <w:rsid w:val="00B55B12"/>
    <w:rsid w:val="00B55C31"/>
    <w:rsid w:val="00B55CCD"/>
    <w:rsid w:val="00B55D10"/>
    <w:rsid w:val="00B55D1C"/>
    <w:rsid w:val="00B55D65"/>
    <w:rsid w:val="00B55FE4"/>
    <w:rsid w:val="00B5602B"/>
    <w:rsid w:val="00B56305"/>
    <w:rsid w:val="00B56311"/>
    <w:rsid w:val="00B5641E"/>
    <w:rsid w:val="00B5650E"/>
    <w:rsid w:val="00B5666C"/>
    <w:rsid w:val="00B56796"/>
    <w:rsid w:val="00B5684A"/>
    <w:rsid w:val="00B568D9"/>
    <w:rsid w:val="00B5694A"/>
    <w:rsid w:val="00B56CE8"/>
    <w:rsid w:val="00B56F87"/>
    <w:rsid w:val="00B57000"/>
    <w:rsid w:val="00B570BC"/>
    <w:rsid w:val="00B571C2"/>
    <w:rsid w:val="00B571EC"/>
    <w:rsid w:val="00B572AA"/>
    <w:rsid w:val="00B573B0"/>
    <w:rsid w:val="00B575A2"/>
    <w:rsid w:val="00B57876"/>
    <w:rsid w:val="00B578BF"/>
    <w:rsid w:val="00B57A90"/>
    <w:rsid w:val="00B57AB6"/>
    <w:rsid w:val="00B57B16"/>
    <w:rsid w:val="00B57DCB"/>
    <w:rsid w:val="00B57DD8"/>
    <w:rsid w:val="00B57E53"/>
    <w:rsid w:val="00B57F66"/>
    <w:rsid w:val="00B600F0"/>
    <w:rsid w:val="00B601ED"/>
    <w:rsid w:val="00B604DB"/>
    <w:rsid w:val="00B6051D"/>
    <w:rsid w:val="00B60709"/>
    <w:rsid w:val="00B6089C"/>
    <w:rsid w:val="00B608B4"/>
    <w:rsid w:val="00B60939"/>
    <w:rsid w:val="00B60987"/>
    <w:rsid w:val="00B60A6F"/>
    <w:rsid w:val="00B60AFD"/>
    <w:rsid w:val="00B60B8B"/>
    <w:rsid w:val="00B60CD7"/>
    <w:rsid w:val="00B60DDB"/>
    <w:rsid w:val="00B60E6C"/>
    <w:rsid w:val="00B60E6D"/>
    <w:rsid w:val="00B60F5D"/>
    <w:rsid w:val="00B61036"/>
    <w:rsid w:val="00B61115"/>
    <w:rsid w:val="00B6139A"/>
    <w:rsid w:val="00B614AE"/>
    <w:rsid w:val="00B617CB"/>
    <w:rsid w:val="00B619BE"/>
    <w:rsid w:val="00B61A38"/>
    <w:rsid w:val="00B61B98"/>
    <w:rsid w:val="00B61C11"/>
    <w:rsid w:val="00B61F04"/>
    <w:rsid w:val="00B620C4"/>
    <w:rsid w:val="00B62177"/>
    <w:rsid w:val="00B62217"/>
    <w:rsid w:val="00B622E7"/>
    <w:rsid w:val="00B6254E"/>
    <w:rsid w:val="00B62715"/>
    <w:rsid w:val="00B6282F"/>
    <w:rsid w:val="00B6288D"/>
    <w:rsid w:val="00B6295C"/>
    <w:rsid w:val="00B62CEA"/>
    <w:rsid w:val="00B62D45"/>
    <w:rsid w:val="00B63042"/>
    <w:rsid w:val="00B630E8"/>
    <w:rsid w:val="00B63368"/>
    <w:rsid w:val="00B63394"/>
    <w:rsid w:val="00B633F9"/>
    <w:rsid w:val="00B63441"/>
    <w:rsid w:val="00B63912"/>
    <w:rsid w:val="00B63E67"/>
    <w:rsid w:val="00B640AC"/>
    <w:rsid w:val="00B6411A"/>
    <w:rsid w:val="00B64210"/>
    <w:rsid w:val="00B64308"/>
    <w:rsid w:val="00B644D8"/>
    <w:rsid w:val="00B644F2"/>
    <w:rsid w:val="00B64577"/>
    <w:rsid w:val="00B648A4"/>
    <w:rsid w:val="00B6499A"/>
    <w:rsid w:val="00B64D30"/>
    <w:rsid w:val="00B64EC9"/>
    <w:rsid w:val="00B64EFE"/>
    <w:rsid w:val="00B64FF7"/>
    <w:rsid w:val="00B65128"/>
    <w:rsid w:val="00B651B7"/>
    <w:rsid w:val="00B65311"/>
    <w:rsid w:val="00B654F2"/>
    <w:rsid w:val="00B65575"/>
    <w:rsid w:val="00B655B5"/>
    <w:rsid w:val="00B65611"/>
    <w:rsid w:val="00B656EB"/>
    <w:rsid w:val="00B65911"/>
    <w:rsid w:val="00B65A27"/>
    <w:rsid w:val="00B65A9F"/>
    <w:rsid w:val="00B65B56"/>
    <w:rsid w:val="00B65B59"/>
    <w:rsid w:val="00B65B7D"/>
    <w:rsid w:val="00B65BB8"/>
    <w:rsid w:val="00B65C93"/>
    <w:rsid w:val="00B65D88"/>
    <w:rsid w:val="00B65E75"/>
    <w:rsid w:val="00B65F00"/>
    <w:rsid w:val="00B6609D"/>
    <w:rsid w:val="00B6619A"/>
    <w:rsid w:val="00B661CF"/>
    <w:rsid w:val="00B66329"/>
    <w:rsid w:val="00B663D8"/>
    <w:rsid w:val="00B66600"/>
    <w:rsid w:val="00B666AE"/>
    <w:rsid w:val="00B667D2"/>
    <w:rsid w:val="00B66A07"/>
    <w:rsid w:val="00B66B2C"/>
    <w:rsid w:val="00B66F33"/>
    <w:rsid w:val="00B66F41"/>
    <w:rsid w:val="00B66FC1"/>
    <w:rsid w:val="00B67006"/>
    <w:rsid w:val="00B670C3"/>
    <w:rsid w:val="00B6711E"/>
    <w:rsid w:val="00B67133"/>
    <w:rsid w:val="00B672CD"/>
    <w:rsid w:val="00B6743E"/>
    <w:rsid w:val="00B6748D"/>
    <w:rsid w:val="00B6750D"/>
    <w:rsid w:val="00B67684"/>
    <w:rsid w:val="00B67829"/>
    <w:rsid w:val="00B67897"/>
    <w:rsid w:val="00B67AAC"/>
    <w:rsid w:val="00B67B0D"/>
    <w:rsid w:val="00B67B15"/>
    <w:rsid w:val="00B67C46"/>
    <w:rsid w:val="00B67CAF"/>
    <w:rsid w:val="00B67CD7"/>
    <w:rsid w:val="00B67DAC"/>
    <w:rsid w:val="00B700BC"/>
    <w:rsid w:val="00B70170"/>
    <w:rsid w:val="00B704E3"/>
    <w:rsid w:val="00B70527"/>
    <w:rsid w:val="00B70647"/>
    <w:rsid w:val="00B70690"/>
    <w:rsid w:val="00B70824"/>
    <w:rsid w:val="00B708A2"/>
    <w:rsid w:val="00B70A67"/>
    <w:rsid w:val="00B70A96"/>
    <w:rsid w:val="00B70AF8"/>
    <w:rsid w:val="00B70C1D"/>
    <w:rsid w:val="00B70D09"/>
    <w:rsid w:val="00B70D3A"/>
    <w:rsid w:val="00B70D8D"/>
    <w:rsid w:val="00B70E47"/>
    <w:rsid w:val="00B70E59"/>
    <w:rsid w:val="00B70E8E"/>
    <w:rsid w:val="00B70ED4"/>
    <w:rsid w:val="00B70F95"/>
    <w:rsid w:val="00B71066"/>
    <w:rsid w:val="00B71083"/>
    <w:rsid w:val="00B71117"/>
    <w:rsid w:val="00B7123C"/>
    <w:rsid w:val="00B71281"/>
    <w:rsid w:val="00B712A9"/>
    <w:rsid w:val="00B71302"/>
    <w:rsid w:val="00B713D1"/>
    <w:rsid w:val="00B715F1"/>
    <w:rsid w:val="00B7180D"/>
    <w:rsid w:val="00B71978"/>
    <w:rsid w:val="00B71A1A"/>
    <w:rsid w:val="00B71A5C"/>
    <w:rsid w:val="00B71A95"/>
    <w:rsid w:val="00B71AB0"/>
    <w:rsid w:val="00B71AC3"/>
    <w:rsid w:val="00B71ADB"/>
    <w:rsid w:val="00B71ADF"/>
    <w:rsid w:val="00B71B47"/>
    <w:rsid w:val="00B71C86"/>
    <w:rsid w:val="00B71E24"/>
    <w:rsid w:val="00B71F7C"/>
    <w:rsid w:val="00B72027"/>
    <w:rsid w:val="00B72063"/>
    <w:rsid w:val="00B721EA"/>
    <w:rsid w:val="00B72214"/>
    <w:rsid w:val="00B72260"/>
    <w:rsid w:val="00B725F3"/>
    <w:rsid w:val="00B72662"/>
    <w:rsid w:val="00B72883"/>
    <w:rsid w:val="00B729DE"/>
    <w:rsid w:val="00B72A93"/>
    <w:rsid w:val="00B72B9A"/>
    <w:rsid w:val="00B72BEF"/>
    <w:rsid w:val="00B73397"/>
    <w:rsid w:val="00B735F9"/>
    <w:rsid w:val="00B735FE"/>
    <w:rsid w:val="00B739CA"/>
    <w:rsid w:val="00B73A3F"/>
    <w:rsid w:val="00B73C16"/>
    <w:rsid w:val="00B73C66"/>
    <w:rsid w:val="00B73EE9"/>
    <w:rsid w:val="00B73FB2"/>
    <w:rsid w:val="00B74154"/>
    <w:rsid w:val="00B741E5"/>
    <w:rsid w:val="00B742DB"/>
    <w:rsid w:val="00B742EA"/>
    <w:rsid w:val="00B742FF"/>
    <w:rsid w:val="00B74424"/>
    <w:rsid w:val="00B7452B"/>
    <w:rsid w:val="00B745DA"/>
    <w:rsid w:val="00B74709"/>
    <w:rsid w:val="00B7488A"/>
    <w:rsid w:val="00B74A2A"/>
    <w:rsid w:val="00B74A46"/>
    <w:rsid w:val="00B74ACC"/>
    <w:rsid w:val="00B74DCC"/>
    <w:rsid w:val="00B74E4F"/>
    <w:rsid w:val="00B74EE6"/>
    <w:rsid w:val="00B74F41"/>
    <w:rsid w:val="00B752C8"/>
    <w:rsid w:val="00B7534C"/>
    <w:rsid w:val="00B75606"/>
    <w:rsid w:val="00B75615"/>
    <w:rsid w:val="00B756A1"/>
    <w:rsid w:val="00B758C3"/>
    <w:rsid w:val="00B75986"/>
    <w:rsid w:val="00B759B1"/>
    <w:rsid w:val="00B75AE2"/>
    <w:rsid w:val="00B75BD7"/>
    <w:rsid w:val="00B75C71"/>
    <w:rsid w:val="00B75D70"/>
    <w:rsid w:val="00B75F58"/>
    <w:rsid w:val="00B75FC8"/>
    <w:rsid w:val="00B7603D"/>
    <w:rsid w:val="00B7615B"/>
    <w:rsid w:val="00B76578"/>
    <w:rsid w:val="00B76622"/>
    <w:rsid w:val="00B76A18"/>
    <w:rsid w:val="00B76B0E"/>
    <w:rsid w:val="00B76B41"/>
    <w:rsid w:val="00B76BAE"/>
    <w:rsid w:val="00B76C7B"/>
    <w:rsid w:val="00B76C92"/>
    <w:rsid w:val="00B76CD4"/>
    <w:rsid w:val="00B76D4F"/>
    <w:rsid w:val="00B76E26"/>
    <w:rsid w:val="00B76FD7"/>
    <w:rsid w:val="00B7701B"/>
    <w:rsid w:val="00B770D6"/>
    <w:rsid w:val="00B7727C"/>
    <w:rsid w:val="00B77499"/>
    <w:rsid w:val="00B77653"/>
    <w:rsid w:val="00B7772A"/>
    <w:rsid w:val="00B77AFE"/>
    <w:rsid w:val="00B77C27"/>
    <w:rsid w:val="00B77C5D"/>
    <w:rsid w:val="00B77D4F"/>
    <w:rsid w:val="00B77D8C"/>
    <w:rsid w:val="00B77DCE"/>
    <w:rsid w:val="00B77DD3"/>
    <w:rsid w:val="00B77FF6"/>
    <w:rsid w:val="00B800F8"/>
    <w:rsid w:val="00B801F6"/>
    <w:rsid w:val="00B80363"/>
    <w:rsid w:val="00B803B9"/>
    <w:rsid w:val="00B80528"/>
    <w:rsid w:val="00B806C3"/>
    <w:rsid w:val="00B80855"/>
    <w:rsid w:val="00B808A3"/>
    <w:rsid w:val="00B809F4"/>
    <w:rsid w:val="00B80AC6"/>
    <w:rsid w:val="00B80AED"/>
    <w:rsid w:val="00B80CC0"/>
    <w:rsid w:val="00B80D46"/>
    <w:rsid w:val="00B80E20"/>
    <w:rsid w:val="00B80EFD"/>
    <w:rsid w:val="00B8125A"/>
    <w:rsid w:val="00B81279"/>
    <w:rsid w:val="00B812D3"/>
    <w:rsid w:val="00B812E3"/>
    <w:rsid w:val="00B81359"/>
    <w:rsid w:val="00B8137E"/>
    <w:rsid w:val="00B81450"/>
    <w:rsid w:val="00B8146E"/>
    <w:rsid w:val="00B8149F"/>
    <w:rsid w:val="00B814A1"/>
    <w:rsid w:val="00B815AA"/>
    <w:rsid w:val="00B81645"/>
    <w:rsid w:val="00B81678"/>
    <w:rsid w:val="00B816D9"/>
    <w:rsid w:val="00B8179B"/>
    <w:rsid w:val="00B817DF"/>
    <w:rsid w:val="00B8180C"/>
    <w:rsid w:val="00B81873"/>
    <w:rsid w:val="00B818A4"/>
    <w:rsid w:val="00B81930"/>
    <w:rsid w:val="00B81ADF"/>
    <w:rsid w:val="00B81B49"/>
    <w:rsid w:val="00B81C63"/>
    <w:rsid w:val="00B81CEA"/>
    <w:rsid w:val="00B81DAF"/>
    <w:rsid w:val="00B81E17"/>
    <w:rsid w:val="00B820F7"/>
    <w:rsid w:val="00B82146"/>
    <w:rsid w:val="00B8218D"/>
    <w:rsid w:val="00B82285"/>
    <w:rsid w:val="00B822CD"/>
    <w:rsid w:val="00B82413"/>
    <w:rsid w:val="00B82557"/>
    <w:rsid w:val="00B82617"/>
    <w:rsid w:val="00B826A9"/>
    <w:rsid w:val="00B82810"/>
    <w:rsid w:val="00B82869"/>
    <w:rsid w:val="00B828D6"/>
    <w:rsid w:val="00B82A3D"/>
    <w:rsid w:val="00B82DC9"/>
    <w:rsid w:val="00B82F73"/>
    <w:rsid w:val="00B83046"/>
    <w:rsid w:val="00B8317A"/>
    <w:rsid w:val="00B83199"/>
    <w:rsid w:val="00B83242"/>
    <w:rsid w:val="00B832BE"/>
    <w:rsid w:val="00B83372"/>
    <w:rsid w:val="00B83404"/>
    <w:rsid w:val="00B834DE"/>
    <w:rsid w:val="00B83698"/>
    <w:rsid w:val="00B83739"/>
    <w:rsid w:val="00B837B5"/>
    <w:rsid w:val="00B83860"/>
    <w:rsid w:val="00B83C40"/>
    <w:rsid w:val="00B83E0C"/>
    <w:rsid w:val="00B8400E"/>
    <w:rsid w:val="00B8408F"/>
    <w:rsid w:val="00B84117"/>
    <w:rsid w:val="00B841BC"/>
    <w:rsid w:val="00B84212"/>
    <w:rsid w:val="00B8423D"/>
    <w:rsid w:val="00B842FB"/>
    <w:rsid w:val="00B844BC"/>
    <w:rsid w:val="00B846F6"/>
    <w:rsid w:val="00B84B65"/>
    <w:rsid w:val="00B84C78"/>
    <w:rsid w:val="00B84E82"/>
    <w:rsid w:val="00B84EA9"/>
    <w:rsid w:val="00B84F01"/>
    <w:rsid w:val="00B85028"/>
    <w:rsid w:val="00B852F9"/>
    <w:rsid w:val="00B852FD"/>
    <w:rsid w:val="00B85360"/>
    <w:rsid w:val="00B85485"/>
    <w:rsid w:val="00B858CE"/>
    <w:rsid w:val="00B858F0"/>
    <w:rsid w:val="00B859D4"/>
    <w:rsid w:val="00B85AA2"/>
    <w:rsid w:val="00B85B23"/>
    <w:rsid w:val="00B85D94"/>
    <w:rsid w:val="00B85E92"/>
    <w:rsid w:val="00B85F99"/>
    <w:rsid w:val="00B860C1"/>
    <w:rsid w:val="00B860E0"/>
    <w:rsid w:val="00B86245"/>
    <w:rsid w:val="00B8633B"/>
    <w:rsid w:val="00B863DC"/>
    <w:rsid w:val="00B86477"/>
    <w:rsid w:val="00B8649C"/>
    <w:rsid w:val="00B8663A"/>
    <w:rsid w:val="00B86707"/>
    <w:rsid w:val="00B86753"/>
    <w:rsid w:val="00B8695D"/>
    <w:rsid w:val="00B8696B"/>
    <w:rsid w:val="00B86998"/>
    <w:rsid w:val="00B86D39"/>
    <w:rsid w:val="00B86F4B"/>
    <w:rsid w:val="00B8701F"/>
    <w:rsid w:val="00B8708B"/>
    <w:rsid w:val="00B872BB"/>
    <w:rsid w:val="00B87332"/>
    <w:rsid w:val="00B8734A"/>
    <w:rsid w:val="00B87429"/>
    <w:rsid w:val="00B874C0"/>
    <w:rsid w:val="00B87574"/>
    <w:rsid w:val="00B87747"/>
    <w:rsid w:val="00B87975"/>
    <w:rsid w:val="00B87B41"/>
    <w:rsid w:val="00B87B77"/>
    <w:rsid w:val="00B87BE9"/>
    <w:rsid w:val="00B87D82"/>
    <w:rsid w:val="00B87D93"/>
    <w:rsid w:val="00B87DF2"/>
    <w:rsid w:val="00B87F0A"/>
    <w:rsid w:val="00B87F58"/>
    <w:rsid w:val="00B90019"/>
    <w:rsid w:val="00B901EC"/>
    <w:rsid w:val="00B9021E"/>
    <w:rsid w:val="00B90272"/>
    <w:rsid w:val="00B90360"/>
    <w:rsid w:val="00B9042C"/>
    <w:rsid w:val="00B90472"/>
    <w:rsid w:val="00B9053F"/>
    <w:rsid w:val="00B90552"/>
    <w:rsid w:val="00B905E8"/>
    <w:rsid w:val="00B90699"/>
    <w:rsid w:val="00B90887"/>
    <w:rsid w:val="00B909B2"/>
    <w:rsid w:val="00B90B39"/>
    <w:rsid w:val="00B90B3F"/>
    <w:rsid w:val="00B90E82"/>
    <w:rsid w:val="00B91001"/>
    <w:rsid w:val="00B91037"/>
    <w:rsid w:val="00B91366"/>
    <w:rsid w:val="00B9149D"/>
    <w:rsid w:val="00B91896"/>
    <w:rsid w:val="00B91B20"/>
    <w:rsid w:val="00B91DE4"/>
    <w:rsid w:val="00B92150"/>
    <w:rsid w:val="00B921C4"/>
    <w:rsid w:val="00B92738"/>
    <w:rsid w:val="00B92799"/>
    <w:rsid w:val="00B92965"/>
    <w:rsid w:val="00B92A13"/>
    <w:rsid w:val="00B92BFF"/>
    <w:rsid w:val="00B92D0B"/>
    <w:rsid w:val="00B92E47"/>
    <w:rsid w:val="00B93070"/>
    <w:rsid w:val="00B93124"/>
    <w:rsid w:val="00B93208"/>
    <w:rsid w:val="00B9325A"/>
    <w:rsid w:val="00B932F9"/>
    <w:rsid w:val="00B93319"/>
    <w:rsid w:val="00B9360A"/>
    <w:rsid w:val="00B9371C"/>
    <w:rsid w:val="00B9381E"/>
    <w:rsid w:val="00B9382E"/>
    <w:rsid w:val="00B93861"/>
    <w:rsid w:val="00B938F3"/>
    <w:rsid w:val="00B9397F"/>
    <w:rsid w:val="00B93AE3"/>
    <w:rsid w:val="00B93C67"/>
    <w:rsid w:val="00B93CA6"/>
    <w:rsid w:val="00B93F84"/>
    <w:rsid w:val="00B93F9B"/>
    <w:rsid w:val="00B94064"/>
    <w:rsid w:val="00B940C4"/>
    <w:rsid w:val="00B943C7"/>
    <w:rsid w:val="00B94581"/>
    <w:rsid w:val="00B945F7"/>
    <w:rsid w:val="00B94674"/>
    <w:rsid w:val="00B946D0"/>
    <w:rsid w:val="00B94945"/>
    <w:rsid w:val="00B949AF"/>
    <w:rsid w:val="00B94A67"/>
    <w:rsid w:val="00B94BFF"/>
    <w:rsid w:val="00B94CC0"/>
    <w:rsid w:val="00B94D41"/>
    <w:rsid w:val="00B94DD4"/>
    <w:rsid w:val="00B94DD6"/>
    <w:rsid w:val="00B94E15"/>
    <w:rsid w:val="00B94EED"/>
    <w:rsid w:val="00B95092"/>
    <w:rsid w:val="00B95106"/>
    <w:rsid w:val="00B9515E"/>
    <w:rsid w:val="00B95189"/>
    <w:rsid w:val="00B952B9"/>
    <w:rsid w:val="00B95331"/>
    <w:rsid w:val="00B954A0"/>
    <w:rsid w:val="00B955BE"/>
    <w:rsid w:val="00B956E7"/>
    <w:rsid w:val="00B957A1"/>
    <w:rsid w:val="00B9586B"/>
    <w:rsid w:val="00B95AF5"/>
    <w:rsid w:val="00B95B2E"/>
    <w:rsid w:val="00B95B34"/>
    <w:rsid w:val="00B95BB6"/>
    <w:rsid w:val="00B9601B"/>
    <w:rsid w:val="00B960F6"/>
    <w:rsid w:val="00B96115"/>
    <w:rsid w:val="00B96155"/>
    <w:rsid w:val="00B9636D"/>
    <w:rsid w:val="00B963FA"/>
    <w:rsid w:val="00B96529"/>
    <w:rsid w:val="00B966C8"/>
    <w:rsid w:val="00B96704"/>
    <w:rsid w:val="00B96956"/>
    <w:rsid w:val="00B96B9C"/>
    <w:rsid w:val="00B96CC4"/>
    <w:rsid w:val="00B96EB0"/>
    <w:rsid w:val="00B96F33"/>
    <w:rsid w:val="00B96FAF"/>
    <w:rsid w:val="00B9703E"/>
    <w:rsid w:val="00B970CD"/>
    <w:rsid w:val="00B9714B"/>
    <w:rsid w:val="00B971D3"/>
    <w:rsid w:val="00B9725B"/>
    <w:rsid w:val="00B9733A"/>
    <w:rsid w:val="00B97376"/>
    <w:rsid w:val="00B973E4"/>
    <w:rsid w:val="00B97590"/>
    <w:rsid w:val="00B975F7"/>
    <w:rsid w:val="00B97880"/>
    <w:rsid w:val="00B97895"/>
    <w:rsid w:val="00B97936"/>
    <w:rsid w:val="00B97A74"/>
    <w:rsid w:val="00B97C49"/>
    <w:rsid w:val="00B97E6F"/>
    <w:rsid w:val="00B97F8B"/>
    <w:rsid w:val="00BA0064"/>
    <w:rsid w:val="00BA0098"/>
    <w:rsid w:val="00BA0589"/>
    <w:rsid w:val="00BA065B"/>
    <w:rsid w:val="00BA065E"/>
    <w:rsid w:val="00BA06DB"/>
    <w:rsid w:val="00BA0894"/>
    <w:rsid w:val="00BA08B5"/>
    <w:rsid w:val="00BA0A03"/>
    <w:rsid w:val="00BA0A92"/>
    <w:rsid w:val="00BA0AE2"/>
    <w:rsid w:val="00BA1072"/>
    <w:rsid w:val="00BA10F9"/>
    <w:rsid w:val="00BA118D"/>
    <w:rsid w:val="00BA123E"/>
    <w:rsid w:val="00BA1295"/>
    <w:rsid w:val="00BA12E3"/>
    <w:rsid w:val="00BA13CA"/>
    <w:rsid w:val="00BA157B"/>
    <w:rsid w:val="00BA15B0"/>
    <w:rsid w:val="00BA16C7"/>
    <w:rsid w:val="00BA1793"/>
    <w:rsid w:val="00BA199A"/>
    <w:rsid w:val="00BA1B92"/>
    <w:rsid w:val="00BA1BD0"/>
    <w:rsid w:val="00BA1E3F"/>
    <w:rsid w:val="00BA1FFB"/>
    <w:rsid w:val="00BA21AD"/>
    <w:rsid w:val="00BA22A4"/>
    <w:rsid w:val="00BA235E"/>
    <w:rsid w:val="00BA23FF"/>
    <w:rsid w:val="00BA247C"/>
    <w:rsid w:val="00BA2559"/>
    <w:rsid w:val="00BA25FE"/>
    <w:rsid w:val="00BA2653"/>
    <w:rsid w:val="00BA29A2"/>
    <w:rsid w:val="00BA2B61"/>
    <w:rsid w:val="00BA2B9C"/>
    <w:rsid w:val="00BA3044"/>
    <w:rsid w:val="00BA304F"/>
    <w:rsid w:val="00BA31A7"/>
    <w:rsid w:val="00BA322D"/>
    <w:rsid w:val="00BA3283"/>
    <w:rsid w:val="00BA3B2F"/>
    <w:rsid w:val="00BA3C61"/>
    <w:rsid w:val="00BA3CA1"/>
    <w:rsid w:val="00BA3DC8"/>
    <w:rsid w:val="00BA3E6D"/>
    <w:rsid w:val="00BA3EA7"/>
    <w:rsid w:val="00BA3ED0"/>
    <w:rsid w:val="00BA416A"/>
    <w:rsid w:val="00BA418F"/>
    <w:rsid w:val="00BA41D5"/>
    <w:rsid w:val="00BA4360"/>
    <w:rsid w:val="00BA43DE"/>
    <w:rsid w:val="00BA456D"/>
    <w:rsid w:val="00BA474C"/>
    <w:rsid w:val="00BA4861"/>
    <w:rsid w:val="00BA4B8C"/>
    <w:rsid w:val="00BA4FDB"/>
    <w:rsid w:val="00BA544F"/>
    <w:rsid w:val="00BA55FC"/>
    <w:rsid w:val="00BA578C"/>
    <w:rsid w:val="00BA57B1"/>
    <w:rsid w:val="00BA57D3"/>
    <w:rsid w:val="00BA58C2"/>
    <w:rsid w:val="00BA58D9"/>
    <w:rsid w:val="00BA5C16"/>
    <w:rsid w:val="00BA5CD3"/>
    <w:rsid w:val="00BA5DAE"/>
    <w:rsid w:val="00BA5DB2"/>
    <w:rsid w:val="00BA5DB8"/>
    <w:rsid w:val="00BA612B"/>
    <w:rsid w:val="00BA6356"/>
    <w:rsid w:val="00BA6386"/>
    <w:rsid w:val="00BA63FA"/>
    <w:rsid w:val="00BA64C9"/>
    <w:rsid w:val="00BA6596"/>
    <w:rsid w:val="00BA66E8"/>
    <w:rsid w:val="00BA67B0"/>
    <w:rsid w:val="00BA6829"/>
    <w:rsid w:val="00BA6950"/>
    <w:rsid w:val="00BA6B7F"/>
    <w:rsid w:val="00BA6B8A"/>
    <w:rsid w:val="00BA6F2B"/>
    <w:rsid w:val="00BA6FD7"/>
    <w:rsid w:val="00BA6FEF"/>
    <w:rsid w:val="00BA705C"/>
    <w:rsid w:val="00BA7113"/>
    <w:rsid w:val="00BA711B"/>
    <w:rsid w:val="00BA71F7"/>
    <w:rsid w:val="00BA72BF"/>
    <w:rsid w:val="00BA72D9"/>
    <w:rsid w:val="00BA7313"/>
    <w:rsid w:val="00BA7384"/>
    <w:rsid w:val="00BA7410"/>
    <w:rsid w:val="00BA74DD"/>
    <w:rsid w:val="00BA75A6"/>
    <w:rsid w:val="00BA77E0"/>
    <w:rsid w:val="00BA7B47"/>
    <w:rsid w:val="00BA7F48"/>
    <w:rsid w:val="00BB004E"/>
    <w:rsid w:val="00BB0081"/>
    <w:rsid w:val="00BB00B3"/>
    <w:rsid w:val="00BB0105"/>
    <w:rsid w:val="00BB04C4"/>
    <w:rsid w:val="00BB04DA"/>
    <w:rsid w:val="00BB05FE"/>
    <w:rsid w:val="00BB0766"/>
    <w:rsid w:val="00BB0795"/>
    <w:rsid w:val="00BB0798"/>
    <w:rsid w:val="00BB07E3"/>
    <w:rsid w:val="00BB0B54"/>
    <w:rsid w:val="00BB0BA0"/>
    <w:rsid w:val="00BB0BAA"/>
    <w:rsid w:val="00BB0BDD"/>
    <w:rsid w:val="00BB0C08"/>
    <w:rsid w:val="00BB0C6B"/>
    <w:rsid w:val="00BB0FE9"/>
    <w:rsid w:val="00BB1176"/>
    <w:rsid w:val="00BB1323"/>
    <w:rsid w:val="00BB13EB"/>
    <w:rsid w:val="00BB15AB"/>
    <w:rsid w:val="00BB16B7"/>
    <w:rsid w:val="00BB176C"/>
    <w:rsid w:val="00BB1DC1"/>
    <w:rsid w:val="00BB1FD6"/>
    <w:rsid w:val="00BB20BD"/>
    <w:rsid w:val="00BB20C5"/>
    <w:rsid w:val="00BB20D9"/>
    <w:rsid w:val="00BB2900"/>
    <w:rsid w:val="00BB2A01"/>
    <w:rsid w:val="00BB2A73"/>
    <w:rsid w:val="00BB2DF9"/>
    <w:rsid w:val="00BB2EE4"/>
    <w:rsid w:val="00BB2F3D"/>
    <w:rsid w:val="00BB2F5C"/>
    <w:rsid w:val="00BB2F6F"/>
    <w:rsid w:val="00BB2FAA"/>
    <w:rsid w:val="00BB31A6"/>
    <w:rsid w:val="00BB31E0"/>
    <w:rsid w:val="00BB326E"/>
    <w:rsid w:val="00BB32D8"/>
    <w:rsid w:val="00BB32F2"/>
    <w:rsid w:val="00BB34AF"/>
    <w:rsid w:val="00BB351D"/>
    <w:rsid w:val="00BB3600"/>
    <w:rsid w:val="00BB3A27"/>
    <w:rsid w:val="00BB3A45"/>
    <w:rsid w:val="00BB3A48"/>
    <w:rsid w:val="00BB3AA6"/>
    <w:rsid w:val="00BB3AC4"/>
    <w:rsid w:val="00BB3AE0"/>
    <w:rsid w:val="00BB3C2B"/>
    <w:rsid w:val="00BB3C97"/>
    <w:rsid w:val="00BB3F61"/>
    <w:rsid w:val="00BB40AD"/>
    <w:rsid w:val="00BB4157"/>
    <w:rsid w:val="00BB4253"/>
    <w:rsid w:val="00BB44A8"/>
    <w:rsid w:val="00BB4724"/>
    <w:rsid w:val="00BB476D"/>
    <w:rsid w:val="00BB47D3"/>
    <w:rsid w:val="00BB4ACC"/>
    <w:rsid w:val="00BB4AFA"/>
    <w:rsid w:val="00BB4CF7"/>
    <w:rsid w:val="00BB4D8F"/>
    <w:rsid w:val="00BB4E65"/>
    <w:rsid w:val="00BB4E77"/>
    <w:rsid w:val="00BB5014"/>
    <w:rsid w:val="00BB502D"/>
    <w:rsid w:val="00BB50A8"/>
    <w:rsid w:val="00BB5100"/>
    <w:rsid w:val="00BB52D5"/>
    <w:rsid w:val="00BB5300"/>
    <w:rsid w:val="00BB53B3"/>
    <w:rsid w:val="00BB546D"/>
    <w:rsid w:val="00BB54C8"/>
    <w:rsid w:val="00BB55C3"/>
    <w:rsid w:val="00BB567E"/>
    <w:rsid w:val="00BB56A4"/>
    <w:rsid w:val="00BB5733"/>
    <w:rsid w:val="00BB5788"/>
    <w:rsid w:val="00BB5888"/>
    <w:rsid w:val="00BB588E"/>
    <w:rsid w:val="00BB58D0"/>
    <w:rsid w:val="00BB5A5A"/>
    <w:rsid w:val="00BB5C27"/>
    <w:rsid w:val="00BB5C3A"/>
    <w:rsid w:val="00BB5C8E"/>
    <w:rsid w:val="00BB5D54"/>
    <w:rsid w:val="00BB5D88"/>
    <w:rsid w:val="00BB5DC2"/>
    <w:rsid w:val="00BB607F"/>
    <w:rsid w:val="00BB60A9"/>
    <w:rsid w:val="00BB60EA"/>
    <w:rsid w:val="00BB6241"/>
    <w:rsid w:val="00BB64C1"/>
    <w:rsid w:val="00BB650E"/>
    <w:rsid w:val="00BB6607"/>
    <w:rsid w:val="00BB660B"/>
    <w:rsid w:val="00BB6626"/>
    <w:rsid w:val="00BB66C4"/>
    <w:rsid w:val="00BB6907"/>
    <w:rsid w:val="00BB69FB"/>
    <w:rsid w:val="00BB6B01"/>
    <w:rsid w:val="00BB6C84"/>
    <w:rsid w:val="00BB6D4B"/>
    <w:rsid w:val="00BB6E2B"/>
    <w:rsid w:val="00BB703E"/>
    <w:rsid w:val="00BB7130"/>
    <w:rsid w:val="00BB71A4"/>
    <w:rsid w:val="00BB721A"/>
    <w:rsid w:val="00BB732D"/>
    <w:rsid w:val="00BB73D2"/>
    <w:rsid w:val="00BB7405"/>
    <w:rsid w:val="00BB7708"/>
    <w:rsid w:val="00BB7C39"/>
    <w:rsid w:val="00BB7D14"/>
    <w:rsid w:val="00BB7DC6"/>
    <w:rsid w:val="00BB7E5E"/>
    <w:rsid w:val="00BB7EC0"/>
    <w:rsid w:val="00BC001A"/>
    <w:rsid w:val="00BC0096"/>
    <w:rsid w:val="00BC00B2"/>
    <w:rsid w:val="00BC0216"/>
    <w:rsid w:val="00BC0403"/>
    <w:rsid w:val="00BC0406"/>
    <w:rsid w:val="00BC06AE"/>
    <w:rsid w:val="00BC0BFF"/>
    <w:rsid w:val="00BC0C29"/>
    <w:rsid w:val="00BC0C59"/>
    <w:rsid w:val="00BC0E12"/>
    <w:rsid w:val="00BC0E1D"/>
    <w:rsid w:val="00BC0E31"/>
    <w:rsid w:val="00BC0F35"/>
    <w:rsid w:val="00BC0F76"/>
    <w:rsid w:val="00BC101E"/>
    <w:rsid w:val="00BC11E1"/>
    <w:rsid w:val="00BC123F"/>
    <w:rsid w:val="00BC12A6"/>
    <w:rsid w:val="00BC132E"/>
    <w:rsid w:val="00BC1425"/>
    <w:rsid w:val="00BC166F"/>
    <w:rsid w:val="00BC1933"/>
    <w:rsid w:val="00BC19F3"/>
    <w:rsid w:val="00BC1E7F"/>
    <w:rsid w:val="00BC2054"/>
    <w:rsid w:val="00BC20DB"/>
    <w:rsid w:val="00BC21B5"/>
    <w:rsid w:val="00BC21D0"/>
    <w:rsid w:val="00BC21E3"/>
    <w:rsid w:val="00BC21FE"/>
    <w:rsid w:val="00BC2425"/>
    <w:rsid w:val="00BC244D"/>
    <w:rsid w:val="00BC25C5"/>
    <w:rsid w:val="00BC25CB"/>
    <w:rsid w:val="00BC26AC"/>
    <w:rsid w:val="00BC2970"/>
    <w:rsid w:val="00BC2B8F"/>
    <w:rsid w:val="00BC2E61"/>
    <w:rsid w:val="00BC2F31"/>
    <w:rsid w:val="00BC2F88"/>
    <w:rsid w:val="00BC2F8E"/>
    <w:rsid w:val="00BC2FBA"/>
    <w:rsid w:val="00BC3099"/>
    <w:rsid w:val="00BC324D"/>
    <w:rsid w:val="00BC3631"/>
    <w:rsid w:val="00BC365B"/>
    <w:rsid w:val="00BC3852"/>
    <w:rsid w:val="00BC3988"/>
    <w:rsid w:val="00BC3B09"/>
    <w:rsid w:val="00BC3B51"/>
    <w:rsid w:val="00BC3CC8"/>
    <w:rsid w:val="00BC3D1A"/>
    <w:rsid w:val="00BC3D74"/>
    <w:rsid w:val="00BC3EF5"/>
    <w:rsid w:val="00BC3F74"/>
    <w:rsid w:val="00BC42FA"/>
    <w:rsid w:val="00BC4416"/>
    <w:rsid w:val="00BC458C"/>
    <w:rsid w:val="00BC4608"/>
    <w:rsid w:val="00BC48E8"/>
    <w:rsid w:val="00BC4B73"/>
    <w:rsid w:val="00BC4B99"/>
    <w:rsid w:val="00BC4B9C"/>
    <w:rsid w:val="00BC4C1C"/>
    <w:rsid w:val="00BC4C8A"/>
    <w:rsid w:val="00BC4CC6"/>
    <w:rsid w:val="00BC4D12"/>
    <w:rsid w:val="00BC4D25"/>
    <w:rsid w:val="00BC4DFE"/>
    <w:rsid w:val="00BC4E4B"/>
    <w:rsid w:val="00BC4EF0"/>
    <w:rsid w:val="00BC4FE8"/>
    <w:rsid w:val="00BC518F"/>
    <w:rsid w:val="00BC554B"/>
    <w:rsid w:val="00BC56ED"/>
    <w:rsid w:val="00BC5882"/>
    <w:rsid w:val="00BC58FC"/>
    <w:rsid w:val="00BC5918"/>
    <w:rsid w:val="00BC591F"/>
    <w:rsid w:val="00BC59A3"/>
    <w:rsid w:val="00BC59E7"/>
    <w:rsid w:val="00BC5A54"/>
    <w:rsid w:val="00BC5A95"/>
    <w:rsid w:val="00BC5B35"/>
    <w:rsid w:val="00BC5FA9"/>
    <w:rsid w:val="00BC60D7"/>
    <w:rsid w:val="00BC615E"/>
    <w:rsid w:val="00BC6199"/>
    <w:rsid w:val="00BC6213"/>
    <w:rsid w:val="00BC6298"/>
    <w:rsid w:val="00BC636F"/>
    <w:rsid w:val="00BC64B0"/>
    <w:rsid w:val="00BC65F6"/>
    <w:rsid w:val="00BC662A"/>
    <w:rsid w:val="00BC6685"/>
    <w:rsid w:val="00BC66C2"/>
    <w:rsid w:val="00BC67D7"/>
    <w:rsid w:val="00BC67F5"/>
    <w:rsid w:val="00BC68DB"/>
    <w:rsid w:val="00BC6946"/>
    <w:rsid w:val="00BC6A94"/>
    <w:rsid w:val="00BC6D4D"/>
    <w:rsid w:val="00BC6D81"/>
    <w:rsid w:val="00BC6E1D"/>
    <w:rsid w:val="00BC70AA"/>
    <w:rsid w:val="00BC781C"/>
    <w:rsid w:val="00BC7AF3"/>
    <w:rsid w:val="00BC7D36"/>
    <w:rsid w:val="00BC7D6D"/>
    <w:rsid w:val="00BC7EEB"/>
    <w:rsid w:val="00BC7F8D"/>
    <w:rsid w:val="00BD0100"/>
    <w:rsid w:val="00BD021C"/>
    <w:rsid w:val="00BD034C"/>
    <w:rsid w:val="00BD039F"/>
    <w:rsid w:val="00BD0523"/>
    <w:rsid w:val="00BD05BF"/>
    <w:rsid w:val="00BD06C4"/>
    <w:rsid w:val="00BD06C5"/>
    <w:rsid w:val="00BD089B"/>
    <w:rsid w:val="00BD0943"/>
    <w:rsid w:val="00BD095A"/>
    <w:rsid w:val="00BD09BC"/>
    <w:rsid w:val="00BD0AF0"/>
    <w:rsid w:val="00BD0B48"/>
    <w:rsid w:val="00BD0BF2"/>
    <w:rsid w:val="00BD0C89"/>
    <w:rsid w:val="00BD0CC8"/>
    <w:rsid w:val="00BD0DDF"/>
    <w:rsid w:val="00BD0E6F"/>
    <w:rsid w:val="00BD0F01"/>
    <w:rsid w:val="00BD138A"/>
    <w:rsid w:val="00BD1691"/>
    <w:rsid w:val="00BD174F"/>
    <w:rsid w:val="00BD1A41"/>
    <w:rsid w:val="00BD1AEF"/>
    <w:rsid w:val="00BD1BA7"/>
    <w:rsid w:val="00BD2108"/>
    <w:rsid w:val="00BD2324"/>
    <w:rsid w:val="00BD232D"/>
    <w:rsid w:val="00BD239B"/>
    <w:rsid w:val="00BD23BE"/>
    <w:rsid w:val="00BD23EB"/>
    <w:rsid w:val="00BD2436"/>
    <w:rsid w:val="00BD24BC"/>
    <w:rsid w:val="00BD2524"/>
    <w:rsid w:val="00BD283D"/>
    <w:rsid w:val="00BD2C8A"/>
    <w:rsid w:val="00BD2E7B"/>
    <w:rsid w:val="00BD30CD"/>
    <w:rsid w:val="00BD30FF"/>
    <w:rsid w:val="00BD336C"/>
    <w:rsid w:val="00BD3629"/>
    <w:rsid w:val="00BD36F0"/>
    <w:rsid w:val="00BD37F4"/>
    <w:rsid w:val="00BD387A"/>
    <w:rsid w:val="00BD388A"/>
    <w:rsid w:val="00BD3970"/>
    <w:rsid w:val="00BD3A09"/>
    <w:rsid w:val="00BD3CCC"/>
    <w:rsid w:val="00BD3E36"/>
    <w:rsid w:val="00BD424D"/>
    <w:rsid w:val="00BD424F"/>
    <w:rsid w:val="00BD42DE"/>
    <w:rsid w:val="00BD4433"/>
    <w:rsid w:val="00BD445E"/>
    <w:rsid w:val="00BD4ADD"/>
    <w:rsid w:val="00BD4BFD"/>
    <w:rsid w:val="00BD4DE6"/>
    <w:rsid w:val="00BD4E07"/>
    <w:rsid w:val="00BD4E5D"/>
    <w:rsid w:val="00BD4FFB"/>
    <w:rsid w:val="00BD51B9"/>
    <w:rsid w:val="00BD51C4"/>
    <w:rsid w:val="00BD51DD"/>
    <w:rsid w:val="00BD5264"/>
    <w:rsid w:val="00BD5405"/>
    <w:rsid w:val="00BD5425"/>
    <w:rsid w:val="00BD5452"/>
    <w:rsid w:val="00BD5512"/>
    <w:rsid w:val="00BD554F"/>
    <w:rsid w:val="00BD56D7"/>
    <w:rsid w:val="00BD5992"/>
    <w:rsid w:val="00BD5BDD"/>
    <w:rsid w:val="00BD5D29"/>
    <w:rsid w:val="00BD6169"/>
    <w:rsid w:val="00BD629C"/>
    <w:rsid w:val="00BD629D"/>
    <w:rsid w:val="00BD62C1"/>
    <w:rsid w:val="00BD6421"/>
    <w:rsid w:val="00BD649B"/>
    <w:rsid w:val="00BD654D"/>
    <w:rsid w:val="00BD6575"/>
    <w:rsid w:val="00BD662A"/>
    <w:rsid w:val="00BD6699"/>
    <w:rsid w:val="00BD6784"/>
    <w:rsid w:val="00BD685B"/>
    <w:rsid w:val="00BD68A3"/>
    <w:rsid w:val="00BD6938"/>
    <w:rsid w:val="00BD6A20"/>
    <w:rsid w:val="00BD6BC6"/>
    <w:rsid w:val="00BD6CDD"/>
    <w:rsid w:val="00BD6CF3"/>
    <w:rsid w:val="00BD6EE2"/>
    <w:rsid w:val="00BD71A4"/>
    <w:rsid w:val="00BD7389"/>
    <w:rsid w:val="00BD74B0"/>
    <w:rsid w:val="00BD74E5"/>
    <w:rsid w:val="00BD7650"/>
    <w:rsid w:val="00BD76D5"/>
    <w:rsid w:val="00BD7798"/>
    <w:rsid w:val="00BD77F2"/>
    <w:rsid w:val="00BD77FB"/>
    <w:rsid w:val="00BD781B"/>
    <w:rsid w:val="00BD7909"/>
    <w:rsid w:val="00BD79A0"/>
    <w:rsid w:val="00BD79B5"/>
    <w:rsid w:val="00BD7AD7"/>
    <w:rsid w:val="00BD7B24"/>
    <w:rsid w:val="00BD7C61"/>
    <w:rsid w:val="00BD7CBA"/>
    <w:rsid w:val="00BD7CFE"/>
    <w:rsid w:val="00BD7F72"/>
    <w:rsid w:val="00BE0262"/>
    <w:rsid w:val="00BE0967"/>
    <w:rsid w:val="00BE0A61"/>
    <w:rsid w:val="00BE0ACE"/>
    <w:rsid w:val="00BE0B06"/>
    <w:rsid w:val="00BE0BF4"/>
    <w:rsid w:val="00BE0BF8"/>
    <w:rsid w:val="00BE0C6D"/>
    <w:rsid w:val="00BE0E94"/>
    <w:rsid w:val="00BE0ECA"/>
    <w:rsid w:val="00BE1393"/>
    <w:rsid w:val="00BE1441"/>
    <w:rsid w:val="00BE180A"/>
    <w:rsid w:val="00BE184C"/>
    <w:rsid w:val="00BE1915"/>
    <w:rsid w:val="00BE1A9F"/>
    <w:rsid w:val="00BE1ACD"/>
    <w:rsid w:val="00BE1E2A"/>
    <w:rsid w:val="00BE2042"/>
    <w:rsid w:val="00BE20B0"/>
    <w:rsid w:val="00BE2180"/>
    <w:rsid w:val="00BE21F2"/>
    <w:rsid w:val="00BE22B3"/>
    <w:rsid w:val="00BE22B6"/>
    <w:rsid w:val="00BE230D"/>
    <w:rsid w:val="00BE235D"/>
    <w:rsid w:val="00BE27F2"/>
    <w:rsid w:val="00BE2927"/>
    <w:rsid w:val="00BE29F9"/>
    <w:rsid w:val="00BE2DCA"/>
    <w:rsid w:val="00BE2F43"/>
    <w:rsid w:val="00BE2F72"/>
    <w:rsid w:val="00BE2FA5"/>
    <w:rsid w:val="00BE3015"/>
    <w:rsid w:val="00BE305E"/>
    <w:rsid w:val="00BE3115"/>
    <w:rsid w:val="00BE3163"/>
    <w:rsid w:val="00BE3204"/>
    <w:rsid w:val="00BE325A"/>
    <w:rsid w:val="00BE3285"/>
    <w:rsid w:val="00BE332E"/>
    <w:rsid w:val="00BE3490"/>
    <w:rsid w:val="00BE362F"/>
    <w:rsid w:val="00BE367D"/>
    <w:rsid w:val="00BE37DD"/>
    <w:rsid w:val="00BE3879"/>
    <w:rsid w:val="00BE3939"/>
    <w:rsid w:val="00BE3A81"/>
    <w:rsid w:val="00BE3B69"/>
    <w:rsid w:val="00BE3BD1"/>
    <w:rsid w:val="00BE3C6B"/>
    <w:rsid w:val="00BE3D9D"/>
    <w:rsid w:val="00BE3DAF"/>
    <w:rsid w:val="00BE3FE8"/>
    <w:rsid w:val="00BE40E7"/>
    <w:rsid w:val="00BE4275"/>
    <w:rsid w:val="00BE4339"/>
    <w:rsid w:val="00BE43D2"/>
    <w:rsid w:val="00BE453E"/>
    <w:rsid w:val="00BE457F"/>
    <w:rsid w:val="00BE45E3"/>
    <w:rsid w:val="00BE460E"/>
    <w:rsid w:val="00BE48A9"/>
    <w:rsid w:val="00BE49F7"/>
    <w:rsid w:val="00BE4D2F"/>
    <w:rsid w:val="00BE4D57"/>
    <w:rsid w:val="00BE4F34"/>
    <w:rsid w:val="00BE5051"/>
    <w:rsid w:val="00BE518A"/>
    <w:rsid w:val="00BE5326"/>
    <w:rsid w:val="00BE5327"/>
    <w:rsid w:val="00BE553B"/>
    <w:rsid w:val="00BE56E0"/>
    <w:rsid w:val="00BE5790"/>
    <w:rsid w:val="00BE57EF"/>
    <w:rsid w:val="00BE59A0"/>
    <w:rsid w:val="00BE5D59"/>
    <w:rsid w:val="00BE5DFC"/>
    <w:rsid w:val="00BE5F9D"/>
    <w:rsid w:val="00BE6301"/>
    <w:rsid w:val="00BE639A"/>
    <w:rsid w:val="00BE63CE"/>
    <w:rsid w:val="00BE64F0"/>
    <w:rsid w:val="00BE661B"/>
    <w:rsid w:val="00BE685F"/>
    <w:rsid w:val="00BE6951"/>
    <w:rsid w:val="00BE69A1"/>
    <w:rsid w:val="00BE6B8C"/>
    <w:rsid w:val="00BE7113"/>
    <w:rsid w:val="00BE7141"/>
    <w:rsid w:val="00BE72D2"/>
    <w:rsid w:val="00BE7313"/>
    <w:rsid w:val="00BE7337"/>
    <w:rsid w:val="00BE7345"/>
    <w:rsid w:val="00BE73D1"/>
    <w:rsid w:val="00BE74EE"/>
    <w:rsid w:val="00BE7630"/>
    <w:rsid w:val="00BE7935"/>
    <w:rsid w:val="00BE7A14"/>
    <w:rsid w:val="00BE7AA8"/>
    <w:rsid w:val="00BE7ADC"/>
    <w:rsid w:val="00BE7B8E"/>
    <w:rsid w:val="00BE7BA2"/>
    <w:rsid w:val="00BE7BB0"/>
    <w:rsid w:val="00BE7C08"/>
    <w:rsid w:val="00BE7E34"/>
    <w:rsid w:val="00BE7E4A"/>
    <w:rsid w:val="00BF00F7"/>
    <w:rsid w:val="00BF0141"/>
    <w:rsid w:val="00BF02BA"/>
    <w:rsid w:val="00BF030D"/>
    <w:rsid w:val="00BF0469"/>
    <w:rsid w:val="00BF0470"/>
    <w:rsid w:val="00BF050A"/>
    <w:rsid w:val="00BF062E"/>
    <w:rsid w:val="00BF068F"/>
    <w:rsid w:val="00BF06AE"/>
    <w:rsid w:val="00BF09F0"/>
    <w:rsid w:val="00BF0AEB"/>
    <w:rsid w:val="00BF0C89"/>
    <w:rsid w:val="00BF0F95"/>
    <w:rsid w:val="00BF0FA6"/>
    <w:rsid w:val="00BF0FA8"/>
    <w:rsid w:val="00BF137D"/>
    <w:rsid w:val="00BF179C"/>
    <w:rsid w:val="00BF19DA"/>
    <w:rsid w:val="00BF1BE7"/>
    <w:rsid w:val="00BF1F81"/>
    <w:rsid w:val="00BF1FAD"/>
    <w:rsid w:val="00BF20E4"/>
    <w:rsid w:val="00BF23BA"/>
    <w:rsid w:val="00BF2433"/>
    <w:rsid w:val="00BF2504"/>
    <w:rsid w:val="00BF25EA"/>
    <w:rsid w:val="00BF28D3"/>
    <w:rsid w:val="00BF2A03"/>
    <w:rsid w:val="00BF2E00"/>
    <w:rsid w:val="00BF2E6E"/>
    <w:rsid w:val="00BF2E87"/>
    <w:rsid w:val="00BF2F82"/>
    <w:rsid w:val="00BF3164"/>
    <w:rsid w:val="00BF31AE"/>
    <w:rsid w:val="00BF327A"/>
    <w:rsid w:val="00BF3400"/>
    <w:rsid w:val="00BF3455"/>
    <w:rsid w:val="00BF35F9"/>
    <w:rsid w:val="00BF377D"/>
    <w:rsid w:val="00BF37C9"/>
    <w:rsid w:val="00BF3914"/>
    <w:rsid w:val="00BF391B"/>
    <w:rsid w:val="00BF3A8A"/>
    <w:rsid w:val="00BF3BE7"/>
    <w:rsid w:val="00BF3D29"/>
    <w:rsid w:val="00BF3D3E"/>
    <w:rsid w:val="00BF3DB8"/>
    <w:rsid w:val="00BF40C2"/>
    <w:rsid w:val="00BF4120"/>
    <w:rsid w:val="00BF4177"/>
    <w:rsid w:val="00BF43B3"/>
    <w:rsid w:val="00BF442F"/>
    <w:rsid w:val="00BF44F6"/>
    <w:rsid w:val="00BF45DA"/>
    <w:rsid w:val="00BF4611"/>
    <w:rsid w:val="00BF489E"/>
    <w:rsid w:val="00BF48D0"/>
    <w:rsid w:val="00BF4A45"/>
    <w:rsid w:val="00BF4A61"/>
    <w:rsid w:val="00BF4B19"/>
    <w:rsid w:val="00BF4D3D"/>
    <w:rsid w:val="00BF4E24"/>
    <w:rsid w:val="00BF4E77"/>
    <w:rsid w:val="00BF4EA6"/>
    <w:rsid w:val="00BF4EE6"/>
    <w:rsid w:val="00BF4F5D"/>
    <w:rsid w:val="00BF5166"/>
    <w:rsid w:val="00BF5225"/>
    <w:rsid w:val="00BF5457"/>
    <w:rsid w:val="00BF559B"/>
    <w:rsid w:val="00BF55F6"/>
    <w:rsid w:val="00BF5809"/>
    <w:rsid w:val="00BF5848"/>
    <w:rsid w:val="00BF5926"/>
    <w:rsid w:val="00BF5959"/>
    <w:rsid w:val="00BF5B0A"/>
    <w:rsid w:val="00BF5B1B"/>
    <w:rsid w:val="00BF5CAC"/>
    <w:rsid w:val="00BF5D02"/>
    <w:rsid w:val="00BF5D0E"/>
    <w:rsid w:val="00BF5D98"/>
    <w:rsid w:val="00BF5EB4"/>
    <w:rsid w:val="00BF5F02"/>
    <w:rsid w:val="00BF5F10"/>
    <w:rsid w:val="00BF5F46"/>
    <w:rsid w:val="00BF5FD0"/>
    <w:rsid w:val="00BF6129"/>
    <w:rsid w:val="00BF61C9"/>
    <w:rsid w:val="00BF6258"/>
    <w:rsid w:val="00BF62C2"/>
    <w:rsid w:val="00BF649F"/>
    <w:rsid w:val="00BF6577"/>
    <w:rsid w:val="00BF65E1"/>
    <w:rsid w:val="00BF66F5"/>
    <w:rsid w:val="00BF675B"/>
    <w:rsid w:val="00BF67B4"/>
    <w:rsid w:val="00BF67BF"/>
    <w:rsid w:val="00BF68D5"/>
    <w:rsid w:val="00BF6BE8"/>
    <w:rsid w:val="00BF6C94"/>
    <w:rsid w:val="00BF7192"/>
    <w:rsid w:val="00BF71C3"/>
    <w:rsid w:val="00BF7289"/>
    <w:rsid w:val="00BF72C4"/>
    <w:rsid w:val="00BF763E"/>
    <w:rsid w:val="00BF7728"/>
    <w:rsid w:val="00BF773F"/>
    <w:rsid w:val="00BF7774"/>
    <w:rsid w:val="00BF787C"/>
    <w:rsid w:val="00BF7BC1"/>
    <w:rsid w:val="00BF7CFF"/>
    <w:rsid w:val="00BF7DC5"/>
    <w:rsid w:val="00BF7DF3"/>
    <w:rsid w:val="00BF7E0A"/>
    <w:rsid w:val="00BF7F09"/>
    <w:rsid w:val="00BF7FB3"/>
    <w:rsid w:val="00C0005B"/>
    <w:rsid w:val="00C0014C"/>
    <w:rsid w:val="00C00281"/>
    <w:rsid w:val="00C002DE"/>
    <w:rsid w:val="00C002E9"/>
    <w:rsid w:val="00C0035D"/>
    <w:rsid w:val="00C00424"/>
    <w:rsid w:val="00C00482"/>
    <w:rsid w:val="00C00584"/>
    <w:rsid w:val="00C006FD"/>
    <w:rsid w:val="00C00757"/>
    <w:rsid w:val="00C0096B"/>
    <w:rsid w:val="00C009A4"/>
    <w:rsid w:val="00C009AB"/>
    <w:rsid w:val="00C00BB0"/>
    <w:rsid w:val="00C00C98"/>
    <w:rsid w:val="00C00F15"/>
    <w:rsid w:val="00C00FE7"/>
    <w:rsid w:val="00C01010"/>
    <w:rsid w:val="00C010B0"/>
    <w:rsid w:val="00C010B6"/>
    <w:rsid w:val="00C011F4"/>
    <w:rsid w:val="00C012F4"/>
    <w:rsid w:val="00C01348"/>
    <w:rsid w:val="00C014D5"/>
    <w:rsid w:val="00C015AF"/>
    <w:rsid w:val="00C01B21"/>
    <w:rsid w:val="00C01B49"/>
    <w:rsid w:val="00C01D28"/>
    <w:rsid w:val="00C01D51"/>
    <w:rsid w:val="00C01E35"/>
    <w:rsid w:val="00C01EDB"/>
    <w:rsid w:val="00C01F44"/>
    <w:rsid w:val="00C02038"/>
    <w:rsid w:val="00C021D2"/>
    <w:rsid w:val="00C02328"/>
    <w:rsid w:val="00C02674"/>
    <w:rsid w:val="00C026CF"/>
    <w:rsid w:val="00C0272A"/>
    <w:rsid w:val="00C0277F"/>
    <w:rsid w:val="00C027C4"/>
    <w:rsid w:val="00C02833"/>
    <w:rsid w:val="00C02908"/>
    <w:rsid w:val="00C029B0"/>
    <w:rsid w:val="00C02BD2"/>
    <w:rsid w:val="00C02EAA"/>
    <w:rsid w:val="00C03048"/>
    <w:rsid w:val="00C03099"/>
    <w:rsid w:val="00C031A0"/>
    <w:rsid w:val="00C031F1"/>
    <w:rsid w:val="00C03314"/>
    <w:rsid w:val="00C035B5"/>
    <w:rsid w:val="00C0389A"/>
    <w:rsid w:val="00C03971"/>
    <w:rsid w:val="00C03A1A"/>
    <w:rsid w:val="00C03C57"/>
    <w:rsid w:val="00C03DEC"/>
    <w:rsid w:val="00C03ED1"/>
    <w:rsid w:val="00C03F39"/>
    <w:rsid w:val="00C03F77"/>
    <w:rsid w:val="00C03FFC"/>
    <w:rsid w:val="00C0412F"/>
    <w:rsid w:val="00C04186"/>
    <w:rsid w:val="00C04251"/>
    <w:rsid w:val="00C0430D"/>
    <w:rsid w:val="00C04358"/>
    <w:rsid w:val="00C049BC"/>
    <w:rsid w:val="00C05294"/>
    <w:rsid w:val="00C0531A"/>
    <w:rsid w:val="00C053FA"/>
    <w:rsid w:val="00C0554D"/>
    <w:rsid w:val="00C05599"/>
    <w:rsid w:val="00C05635"/>
    <w:rsid w:val="00C056AE"/>
    <w:rsid w:val="00C05776"/>
    <w:rsid w:val="00C05896"/>
    <w:rsid w:val="00C058FE"/>
    <w:rsid w:val="00C059FB"/>
    <w:rsid w:val="00C05BED"/>
    <w:rsid w:val="00C05C53"/>
    <w:rsid w:val="00C05D58"/>
    <w:rsid w:val="00C05FB3"/>
    <w:rsid w:val="00C060BF"/>
    <w:rsid w:val="00C0628F"/>
    <w:rsid w:val="00C0629A"/>
    <w:rsid w:val="00C062AB"/>
    <w:rsid w:val="00C062B6"/>
    <w:rsid w:val="00C063C7"/>
    <w:rsid w:val="00C064AA"/>
    <w:rsid w:val="00C064C2"/>
    <w:rsid w:val="00C06603"/>
    <w:rsid w:val="00C06701"/>
    <w:rsid w:val="00C0670A"/>
    <w:rsid w:val="00C067B7"/>
    <w:rsid w:val="00C068FB"/>
    <w:rsid w:val="00C06B2A"/>
    <w:rsid w:val="00C06B45"/>
    <w:rsid w:val="00C06C0C"/>
    <w:rsid w:val="00C06F68"/>
    <w:rsid w:val="00C07041"/>
    <w:rsid w:val="00C0707C"/>
    <w:rsid w:val="00C07444"/>
    <w:rsid w:val="00C074ED"/>
    <w:rsid w:val="00C0762B"/>
    <w:rsid w:val="00C07697"/>
    <w:rsid w:val="00C07789"/>
    <w:rsid w:val="00C0778E"/>
    <w:rsid w:val="00C077A3"/>
    <w:rsid w:val="00C0782F"/>
    <w:rsid w:val="00C07842"/>
    <w:rsid w:val="00C07892"/>
    <w:rsid w:val="00C0791F"/>
    <w:rsid w:val="00C0795C"/>
    <w:rsid w:val="00C07B00"/>
    <w:rsid w:val="00C07CE3"/>
    <w:rsid w:val="00C07CF9"/>
    <w:rsid w:val="00C07E5A"/>
    <w:rsid w:val="00C10105"/>
    <w:rsid w:val="00C1010F"/>
    <w:rsid w:val="00C10125"/>
    <w:rsid w:val="00C101A2"/>
    <w:rsid w:val="00C1045B"/>
    <w:rsid w:val="00C10480"/>
    <w:rsid w:val="00C104D5"/>
    <w:rsid w:val="00C10515"/>
    <w:rsid w:val="00C1059F"/>
    <w:rsid w:val="00C10CB4"/>
    <w:rsid w:val="00C10DC2"/>
    <w:rsid w:val="00C10FF9"/>
    <w:rsid w:val="00C11003"/>
    <w:rsid w:val="00C113C5"/>
    <w:rsid w:val="00C1145F"/>
    <w:rsid w:val="00C1165A"/>
    <w:rsid w:val="00C11712"/>
    <w:rsid w:val="00C1179C"/>
    <w:rsid w:val="00C1179F"/>
    <w:rsid w:val="00C11850"/>
    <w:rsid w:val="00C11B3A"/>
    <w:rsid w:val="00C11C38"/>
    <w:rsid w:val="00C11EE3"/>
    <w:rsid w:val="00C120CF"/>
    <w:rsid w:val="00C121DC"/>
    <w:rsid w:val="00C12256"/>
    <w:rsid w:val="00C12290"/>
    <w:rsid w:val="00C12564"/>
    <w:rsid w:val="00C127B9"/>
    <w:rsid w:val="00C128FA"/>
    <w:rsid w:val="00C12911"/>
    <w:rsid w:val="00C129AD"/>
    <w:rsid w:val="00C12A39"/>
    <w:rsid w:val="00C12A97"/>
    <w:rsid w:val="00C12B42"/>
    <w:rsid w:val="00C12C14"/>
    <w:rsid w:val="00C12D9D"/>
    <w:rsid w:val="00C12EAB"/>
    <w:rsid w:val="00C12F1B"/>
    <w:rsid w:val="00C13107"/>
    <w:rsid w:val="00C1310A"/>
    <w:rsid w:val="00C132B6"/>
    <w:rsid w:val="00C1337E"/>
    <w:rsid w:val="00C134A8"/>
    <w:rsid w:val="00C1375E"/>
    <w:rsid w:val="00C13809"/>
    <w:rsid w:val="00C13992"/>
    <w:rsid w:val="00C13A4B"/>
    <w:rsid w:val="00C13C66"/>
    <w:rsid w:val="00C13D09"/>
    <w:rsid w:val="00C13EAC"/>
    <w:rsid w:val="00C140AA"/>
    <w:rsid w:val="00C14266"/>
    <w:rsid w:val="00C14460"/>
    <w:rsid w:val="00C149EB"/>
    <w:rsid w:val="00C14E43"/>
    <w:rsid w:val="00C15129"/>
    <w:rsid w:val="00C15502"/>
    <w:rsid w:val="00C155ED"/>
    <w:rsid w:val="00C156DF"/>
    <w:rsid w:val="00C1575A"/>
    <w:rsid w:val="00C158B1"/>
    <w:rsid w:val="00C15ABA"/>
    <w:rsid w:val="00C15D10"/>
    <w:rsid w:val="00C15E43"/>
    <w:rsid w:val="00C15E93"/>
    <w:rsid w:val="00C15F04"/>
    <w:rsid w:val="00C15F53"/>
    <w:rsid w:val="00C161E3"/>
    <w:rsid w:val="00C1630F"/>
    <w:rsid w:val="00C1633E"/>
    <w:rsid w:val="00C16351"/>
    <w:rsid w:val="00C16391"/>
    <w:rsid w:val="00C163C5"/>
    <w:rsid w:val="00C1646F"/>
    <w:rsid w:val="00C166D2"/>
    <w:rsid w:val="00C16732"/>
    <w:rsid w:val="00C167DB"/>
    <w:rsid w:val="00C16C90"/>
    <w:rsid w:val="00C16CB0"/>
    <w:rsid w:val="00C16D52"/>
    <w:rsid w:val="00C16D5D"/>
    <w:rsid w:val="00C16F31"/>
    <w:rsid w:val="00C16F7C"/>
    <w:rsid w:val="00C1704C"/>
    <w:rsid w:val="00C1712D"/>
    <w:rsid w:val="00C1714E"/>
    <w:rsid w:val="00C17333"/>
    <w:rsid w:val="00C1738F"/>
    <w:rsid w:val="00C17555"/>
    <w:rsid w:val="00C17567"/>
    <w:rsid w:val="00C17609"/>
    <w:rsid w:val="00C17843"/>
    <w:rsid w:val="00C178A1"/>
    <w:rsid w:val="00C1795C"/>
    <w:rsid w:val="00C179B0"/>
    <w:rsid w:val="00C179B3"/>
    <w:rsid w:val="00C179E0"/>
    <w:rsid w:val="00C17CF5"/>
    <w:rsid w:val="00C17E3F"/>
    <w:rsid w:val="00C17E5B"/>
    <w:rsid w:val="00C17F48"/>
    <w:rsid w:val="00C20062"/>
    <w:rsid w:val="00C20093"/>
    <w:rsid w:val="00C200AA"/>
    <w:rsid w:val="00C20186"/>
    <w:rsid w:val="00C201A7"/>
    <w:rsid w:val="00C2028C"/>
    <w:rsid w:val="00C203B6"/>
    <w:rsid w:val="00C20447"/>
    <w:rsid w:val="00C20568"/>
    <w:rsid w:val="00C205F9"/>
    <w:rsid w:val="00C206E7"/>
    <w:rsid w:val="00C207D4"/>
    <w:rsid w:val="00C207FC"/>
    <w:rsid w:val="00C20909"/>
    <w:rsid w:val="00C20B43"/>
    <w:rsid w:val="00C20DDA"/>
    <w:rsid w:val="00C20E36"/>
    <w:rsid w:val="00C21188"/>
    <w:rsid w:val="00C211E6"/>
    <w:rsid w:val="00C21273"/>
    <w:rsid w:val="00C2130C"/>
    <w:rsid w:val="00C214F3"/>
    <w:rsid w:val="00C21658"/>
    <w:rsid w:val="00C21796"/>
    <w:rsid w:val="00C218FD"/>
    <w:rsid w:val="00C21A69"/>
    <w:rsid w:val="00C21B67"/>
    <w:rsid w:val="00C21D12"/>
    <w:rsid w:val="00C221EE"/>
    <w:rsid w:val="00C22221"/>
    <w:rsid w:val="00C22236"/>
    <w:rsid w:val="00C224AA"/>
    <w:rsid w:val="00C2272B"/>
    <w:rsid w:val="00C22812"/>
    <w:rsid w:val="00C22A6C"/>
    <w:rsid w:val="00C22AF5"/>
    <w:rsid w:val="00C22B41"/>
    <w:rsid w:val="00C22DEC"/>
    <w:rsid w:val="00C22E43"/>
    <w:rsid w:val="00C22EF8"/>
    <w:rsid w:val="00C230DA"/>
    <w:rsid w:val="00C230E4"/>
    <w:rsid w:val="00C231B3"/>
    <w:rsid w:val="00C232C2"/>
    <w:rsid w:val="00C232EB"/>
    <w:rsid w:val="00C23410"/>
    <w:rsid w:val="00C234E1"/>
    <w:rsid w:val="00C2368E"/>
    <w:rsid w:val="00C237ED"/>
    <w:rsid w:val="00C23AD2"/>
    <w:rsid w:val="00C23D07"/>
    <w:rsid w:val="00C23D1E"/>
    <w:rsid w:val="00C23E32"/>
    <w:rsid w:val="00C23EFC"/>
    <w:rsid w:val="00C24078"/>
    <w:rsid w:val="00C2408D"/>
    <w:rsid w:val="00C240C7"/>
    <w:rsid w:val="00C24262"/>
    <w:rsid w:val="00C24340"/>
    <w:rsid w:val="00C24431"/>
    <w:rsid w:val="00C2451B"/>
    <w:rsid w:val="00C24632"/>
    <w:rsid w:val="00C2479D"/>
    <w:rsid w:val="00C24A50"/>
    <w:rsid w:val="00C24B32"/>
    <w:rsid w:val="00C24BCE"/>
    <w:rsid w:val="00C24D7D"/>
    <w:rsid w:val="00C24DD8"/>
    <w:rsid w:val="00C24E26"/>
    <w:rsid w:val="00C2503F"/>
    <w:rsid w:val="00C2508E"/>
    <w:rsid w:val="00C2513F"/>
    <w:rsid w:val="00C252D7"/>
    <w:rsid w:val="00C25343"/>
    <w:rsid w:val="00C25418"/>
    <w:rsid w:val="00C258A7"/>
    <w:rsid w:val="00C25C5A"/>
    <w:rsid w:val="00C25C71"/>
    <w:rsid w:val="00C25D9C"/>
    <w:rsid w:val="00C25E21"/>
    <w:rsid w:val="00C25EDA"/>
    <w:rsid w:val="00C25F0A"/>
    <w:rsid w:val="00C25F17"/>
    <w:rsid w:val="00C260C9"/>
    <w:rsid w:val="00C261FD"/>
    <w:rsid w:val="00C26245"/>
    <w:rsid w:val="00C26754"/>
    <w:rsid w:val="00C26928"/>
    <w:rsid w:val="00C26B9D"/>
    <w:rsid w:val="00C26BCB"/>
    <w:rsid w:val="00C27041"/>
    <w:rsid w:val="00C27214"/>
    <w:rsid w:val="00C27368"/>
    <w:rsid w:val="00C274D7"/>
    <w:rsid w:val="00C2756A"/>
    <w:rsid w:val="00C2778B"/>
    <w:rsid w:val="00C27AAF"/>
    <w:rsid w:val="00C27AC2"/>
    <w:rsid w:val="00C27AFB"/>
    <w:rsid w:val="00C27B0A"/>
    <w:rsid w:val="00C27B13"/>
    <w:rsid w:val="00C27C5D"/>
    <w:rsid w:val="00C27C7D"/>
    <w:rsid w:val="00C27C87"/>
    <w:rsid w:val="00C27D4F"/>
    <w:rsid w:val="00C27E18"/>
    <w:rsid w:val="00C27ECA"/>
    <w:rsid w:val="00C27F99"/>
    <w:rsid w:val="00C30083"/>
    <w:rsid w:val="00C30238"/>
    <w:rsid w:val="00C30242"/>
    <w:rsid w:val="00C30406"/>
    <w:rsid w:val="00C304F7"/>
    <w:rsid w:val="00C3056E"/>
    <w:rsid w:val="00C30679"/>
    <w:rsid w:val="00C309E7"/>
    <w:rsid w:val="00C30A35"/>
    <w:rsid w:val="00C30A78"/>
    <w:rsid w:val="00C30A8F"/>
    <w:rsid w:val="00C30B94"/>
    <w:rsid w:val="00C30C34"/>
    <w:rsid w:val="00C30F09"/>
    <w:rsid w:val="00C30F46"/>
    <w:rsid w:val="00C30F53"/>
    <w:rsid w:val="00C31599"/>
    <w:rsid w:val="00C31649"/>
    <w:rsid w:val="00C31AC2"/>
    <w:rsid w:val="00C31B33"/>
    <w:rsid w:val="00C31B6B"/>
    <w:rsid w:val="00C31D07"/>
    <w:rsid w:val="00C31D3B"/>
    <w:rsid w:val="00C31D45"/>
    <w:rsid w:val="00C31DB9"/>
    <w:rsid w:val="00C31E5E"/>
    <w:rsid w:val="00C32031"/>
    <w:rsid w:val="00C3216B"/>
    <w:rsid w:val="00C3218E"/>
    <w:rsid w:val="00C322FA"/>
    <w:rsid w:val="00C32664"/>
    <w:rsid w:val="00C32686"/>
    <w:rsid w:val="00C32A41"/>
    <w:rsid w:val="00C32BD4"/>
    <w:rsid w:val="00C32DC1"/>
    <w:rsid w:val="00C32F9C"/>
    <w:rsid w:val="00C3306C"/>
    <w:rsid w:val="00C330A6"/>
    <w:rsid w:val="00C331C6"/>
    <w:rsid w:val="00C33290"/>
    <w:rsid w:val="00C33471"/>
    <w:rsid w:val="00C334AB"/>
    <w:rsid w:val="00C334FD"/>
    <w:rsid w:val="00C33509"/>
    <w:rsid w:val="00C3356B"/>
    <w:rsid w:val="00C335FD"/>
    <w:rsid w:val="00C3364E"/>
    <w:rsid w:val="00C3390C"/>
    <w:rsid w:val="00C33960"/>
    <w:rsid w:val="00C33A6F"/>
    <w:rsid w:val="00C33AA6"/>
    <w:rsid w:val="00C33BAB"/>
    <w:rsid w:val="00C33C89"/>
    <w:rsid w:val="00C33CC4"/>
    <w:rsid w:val="00C33DB6"/>
    <w:rsid w:val="00C33E82"/>
    <w:rsid w:val="00C33F2A"/>
    <w:rsid w:val="00C34111"/>
    <w:rsid w:val="00C34269"/>
    <w:rsid w:val="00C3434C"/>
    <w:rsid w:val="00C34456"/>
    <w:rsid w:val="00C344CD"/>
    <w:rsid w:val="00C34767"/>
    <w:rsid w:val="00C34784"/>
    <w:rsid w:val="00C348C2"/>
    <w:rsid w:val="00C348C5"/>
    <w:rsid w:val="00C34952"/>
    <w:rsid w:val="00C3499F"/>
    <w:rsid w:val="00C349CD"/>
    <w:rsid w:val="00C34AA4"/>
    <w:rsid w:val="00C34ADF"/>
    <w:rsid w:val="00C34C68"/>
    <w:rsid w:val="00C34DD1"/>
    <w:rsid w:val="00C34F83"/>
    <w:rsid w:val="00C3507A"/>
    <w:rsid w:val="00C35134"/>
    <w:rsid w:val="00C351ED"/>
    <w:rsid w:val="00C35284"/>
    <w:rsid w:val="00C353DA"/>
    <w:rsid w:val="00C354A5"/>
    <w:rsid w:val="00C3550C"/>
    <w:rsid w:val="00C356C4"/>
    <w:rsid w:val="00C35865"/>
    <w:rsid w:val="00C35A46"/>
    <w:rsid w:val="00C35B58"/>
    <w:rsid w:val="00C35C49"/>
    <w:rsid w:val="00C35D78"/>
    <w:rsid w:val="00C35EC3"/>
    <w:rsid w:val="00C35EF1"/>
    <w:rsid w:val="00C35F0C"/>
    <w:rsid w:val="00C36394"/>
    <w:rsid w:val="00C363E3"/>
    <w:rsid w:val="00C36468"/>
    <w:rsid w:val="00C36480"/>
    <w:rsid w:val="00C364E8"/>
    <w:rsid w:val="00C3662D"/>
    <w:rsid w:val="00C3666F"/>
    <w:rsid w:val="00C36781"/>
    <w:rsid w:val="00C36927"/>
    <w:rsid w:val="00C36A66"/>
    <w:rsid w:val="00C36A75"/>
    <w:rsid w:val="00C36ACA"/>
    <w:rsid w:val="00C36ADE"/>
    <w:rsid w:val="00C36AE1"/>
    <w:rsid w:val="00C36B01"/>
    <w:rsid w:val="00C36C7D"/>
    <w:rsid w:val="00C36CE1"/>
    <w:rsid w:val="00C36D5D"/>
    <w:rsid w:val="00C36DE2"/>
    <w:rsid w:val="00C36DEC"/>
    <w:rsid w:val="00C36E47"/>
    <w:rsid w:val="00C36F04"/>
    <w:rsid w:val="00C3770F"/>
    <w:rsid w:val="00C377C0"/>
    <w:rsid w:val="00C3791F"/>
    <w:rsid w:val="00C37A6A"/>
    <w:rsid w:val="00C37BBF"/>
    <w:rsid w:val="00C37BFC"/>
    <w:rsid w:val="00C40385"/>
    <w:rsid w:val="00C4040D"/>
    <w:rsid w:val="00C40A46"/>
    <w:rsid w:val="00C40B51"/>
    <w:rsid w:val="00C40B52"/>
    <w:rsid w:val="00C40E50"/>
    <w:rsid w:val="00C41091"/>
    <w:rsid w:val="00C41249"/>
    <w:rsid w:val="00C413BE"/>
    <w:rsid w:val="00C414D4"/>
    <w:rsid w:val="00C4156D"/>
    <w:rsid w:val="00C41621"/>
    <w:rsid w:val="00C41648"/>
    <w:rsid w:val="00C41768"/>
    <w:rsid w:val="00C417B1"/>
    <w:rsid w:val="00C4184A"/>
    <w:rsid w:val="00C4184D"/>
    <w:rsid w:val="00C418C5"/>
    <w:rsid w:val="00C4190C"/>
    <w:rsid w:val="00C419D3"/>
    <w:rsid w:val="00C41A9F"/>
    <w:rsid w:val="00C41AA1"/>
    <w:rsid w:val="00C41AEF"/>
    <w:rsid w:val="00C41AF8"/>
    <w:rsid w:val="00C41B38"/>
    <w:rsid w:val="00C41C43"/>
    <w:rsid w:val="00C41CD6"/>
    <w:rsid w:val="00C41D1C"/>
    <w:rsid w:val="00C41E14"/>
    <w:rsid w:val="00C41E29"/>
    <w:rsid w:val="00C41EAA"/>
    <w:rsid w:val="00C41EC5"/>
    <w:rsid w:val="00C42535"/>
    <w:rsid w:val="00C42693"/>
    <w:rsid w:val="00C429AF"/>
    <w:rsid w:val="00C42B30"/>
    <w:rsid w:val="00C42CB8"/>
    <w:rsid w:val="00C42D53"/>
    <w:rsid w:val="00C42E00"/>
    <w:rsid w:val="00C42F9C"/>
    <w:rsid w:val="00C42FE7"/>
    <w:rsid w:val="00C4307B"/>
    <w:rsid w:val="00C43096"/>
    <w:rsid w:val="00C4362B"/>
    <w:rsid w:val="00C4385B"/>
    <w:rsid w:val="00C439F3"/>
    <w:rsid w:val="00C43BD2"/>
    <w:rsid w:val="00C43C89"/>
    <w:rsid w:val="00C43EFF"/>
    <w:rsid w:val="00C43F99"/>
    <w:rsid w:val="00C43FF0"/>
    <w:rsid w:val="00C44012"/>
    <w:rsid w:val="00C44297"/>
    <w:rsid w:val="00C44A06"/>
    <w:rsid w:val="00C44BAC"/>
    <w:rsid w:val="00C44C12"/>
    <w:rsid w:val="00C44D3B"/>
    <w:rsid w:val="00C44E5D"/>
    <w:rsid w:val="00C44E66"/>
    <w:rsid w:val="00C44EAE"/>
    <w:rsid w:val="00C44F78"/>
    <w:rsid w:val="00C44FD2"/>
    <w:rsid w:val="00C45013"/>
    <w:rsid w:val="00C450FF"/>
    <w:rsid w:val="00C4514B"/>
    <w:rsid w:val="00C451A1"/>
    <w:rsid w:val="00C45201"/>
    <w:rsid w:val="00C4535B"/>
    <w:rsid w:val="00C45590"/>
    <w:rsid w:val="00C455BE"/>
    <w:rsid w:val="00C45CC1"/>
    <w:rsid w:val="00C45D0F"/>
    <w:rsid w:val="00C45F01"/>
    <w:rsid w:val="00C45F16"/>
    <w:rsid w:val="00C460D2"/>
    <w:rsid w:val="00C4621E"/>
    <w:rsid w:val="00C465C1"/>
    <w:rsid w:val="00C4661A"/>
    <w:rsid w:val="00C467A5"/>
    <w:rsid w:val="00C46880"/>
    <w:rsid w:val="00C46AAA"/>
    <w:rsid w:val="00C46B19"/>
    <w:rsid w:val="00C46DC8"/>
    <w:rsid w:val="00C47077"/>
    <w:rsid w:val="00C471E8"/>
    <w:rsid w:val="00C47511"/>
    <w:rsid w:val="00C47594"/>
    <w:rsid w:val="00C475AA"/>
    <w:rsid w:val="00C47817"/>
    <w:rsid w:val="00C47827"/>
    <w:rsid w:val="00C47A44"/>
    <w:rsid w:val="00C47D18"/>
    <w:rsid w:val="00C47D49"/>
    <w:rsid w:val="00C47DA4"/>
    <w:rsid w:val="00C47F11"/>
    <w:rsid w:val="00C50091"/>
    <w:rsid w:val="00C500C5"/>
    <w:rsid w:val="00C50295"/>
    <w:rsid w:val="00C5036D"/>
    <w:rsid w:val="00C5044D"/>
    <w:rsid w:val="00C50754"/>
    <w:rsid w:val="00C50860"/>
    <w:rsid w:val="00C50897"/>
    <w:rsid w:val="00C5090F"/>
    <w:rsid w:val="00C50AAC"/>
    <w:rsid w:val="00C50E0F"/>
    <w:rsid w:val="00C51002"/>
    <w:rsid w:val="00C5113E"/>
    <w:rsid w:val="00C511E5"/>
    <w:rsid w:val="00C511F6"/>
    <w:rsid w:val="00C51321"/>
    <w:rsid w:val="00C51344"/>
    <w:rsid w:val="00C514F2"/>
    <w:rsid w:val="00C515FE"/>
    <w:rsid w:val="00C5168D"/>
    <w:rsid w:val="00C518AA"/>
    <w:rsid w:val="00C518B8"/>
    <w:rsid w:val="00C5190F"/>
    <w:rsid w:val="00C51A46"/>
    <w:rsid w:val="00C51AEF"/>
    <w:rsid w:val="00C51B17"/>
    <w:rsid w:val="00C51C84"/>
    <w:rsid w:val="00C51EF9"/>
    <w:rsid w:val="00C51FA8"/>
    <w:rsid w:val="00C51FAB"/>
    <w:rsid w:val="00C5219E"/>
    <w:rsid w:val="00C52263"/>
    <w:rsid w:val="00C52357"/>
    <w:rsid w:val="00C5245F"/>
    <w:rsid w:val="00C5251C"/>
    <w:rsid w:val="00C5279A"/>
    <w:rsid w:val="00C527C7"/>
    <w:rsid w:val="00C52A45"/>
    <w:rsid w:val="00C52B62"/>
    <w:rsid w:val="00C52BA7"/>
    <w:rsid w:val="00C52BFE"/>
    <w:rsid w:val="00C52C52"/>
    <w:rsid w:val="00C52D9F"/>
    <w:rsid w:val="00C52DC4"/>
    <w:rsid w:val="00C52E30"/>
    <w:rsid w:val="00C52EB6"/>
    <w:rsid w:val="00C52EED"/>
    <w:rsid w:val="00C52F01"/>
    <w:rsid w:val="00C530EA"/>
    <w:rsid w:val="00C53350"/>
    <w:rsid w:val="00C533D3"/>
    <w:rsid w:val="00C53428"/>
    <w:rsid w:val="00C53560"/>
    <w:rsid w:val="00C535B2"/>
    <w:rsid w:val="00C53676"/>
    <w:rsid w:val="00C53723"/>
    <w:rsid w:val="00C53800"/>
    <w:rsid w:val="00C5384C"/>
    <w:rsid w:val="00C53A88"/>
    <w:rsid w:val="00C53B78"/>
    <w:rsid w:val="00C53B96"/>
    <w:rsid w:val="00C53C98"/>
    <w:rsid w:val="00C53CBB"/>
    <w:rsid w:val="00C53E23"/>
    <w:rsid w:val="00C53E64"/>
    <w:rsid w:val="00C53EF1"/>
    <w:rsid w:val="00C53F6A"/>
    <w:rsid w:val="00C54279"/>
    <w:rsid w:val="00C5448A"/>
    <w:rsid w:val="00C5448F"/>
    <w:rsid w:val="00C546F6"/>
    <w:rsid w:val="00C547F4"/>
    <w:rsid w:val="00C54806"/>
    <w:rsid w:val="00C5485C"/>
    <w:rsid w:val="00C54B4E"/>
    <w:rsid w:val="00C54B6A"/>
    <w:rsid w:val="00C54C52"/>
    <w:rsid w:val="00C54D4C"/>
    <w:rsid w:val="00C54D74"/>
    <w:rsid w:val="00C54EC1"/>
    <w:rsid w:val="00C54EE0"/>
    <w:rsid w:val="00C54F32"/>
    <w:rsid w:val="00C54F8B"/>
    <w:rsid w:val="00C550B2"/>
    <w:rsid w:val="00C55184"/>
    <w:rsid w:val="00C555AF"/>
    <w:rsid w:val="00C55632"/>
    <w:rsid w:val="00C55733"/>
    <w:rsid w:val="00C5592E"/>
    <w:rsid w:val="00C55978"/>
    <w:rsid w:val="00C55B6C"/>
    <w:rsid w:val="00C55BC2"/>
    <w:rsid w:val="00C55E35"/>
    <w:rsid w:val="00C55E43"/>
    <w:rsid w:val="00C55E9D"/>
    <w:rsid w:val="00C55EF6"/>
    <w:rsid w:val="00C55F89"/>
    <w:rsid w:val="00C5608D"/>
    <w:rsid w:val="00C560B7"/>
    <w:rsid w:val="00C560EF"/>
    <w:rsid w:val="00C5614A"/>
    <w:rsid w:val="00C5624E"/>
    <w:rsid w:val="00C562FC"/>
    <w:rsid w:val="00C563B1"/>
    <w:rsid w:val="00C564C8"/>
    <w:rsid w:val="00C56ABC"/>
    <w:rsid w:val="00C56B6B"/>
    <w:rsid w:val="00C56BA2"/>
    <w:rsid w:val="00C56BF2"/>
    <w:rsid w:val="00C56F99"/>
    <w:rsid w:val="00C56FCF"/>
    <w:rsid w:val="00C57166"/>
    <w:rsid w:val="00C572F6"/>
    <w:rsid w:val="00C573AF"/>
    <w:rsid w:val="00C573F1"/>
    <w:rsid w:val="00C57540"/>
    <w:rsid w:val="00C57645"/>
    <w:rsid w:val="00C57B6C"/>
    <w:rsid w:val="00C57B7C"/>
    <w:rsid w:val="00C57FD0"/>
    <w:rsid w:val="00C60006"/>
    <w:rsid w:val="00C60138"/>
    <w:rsid w:val="00C60191"/>
    <w:rsid w:val="00C6023C"/>
    <w:rsid w:val="00C602DD"/>
    <w:rsid w:val="00C604FE"/>
    <w:rsid w:val="00C60507"/>
    <w:rsid w:val="00C605F9"/>
    <w:rsid w:val="00C60704"/>
    <w:rsid w:val="00C6070E"/>
    <w:rsid w:val="00C6074A"/>
    <w:rsid w:val="00C60A46"/>
    <w:rsid w:val="00C60A50"/>
    <w:rsid w:val="00C60A5F"/>
    <w:rsid w:val="00C60BFA"/>
    <w:rsid w:val="00C60CD3"/>
    <w:rsid w:val="00C60EA2"/>
    <w:rsid w:val="00C6109C"/>
    <w:rsid w:val="00C6137F"/>
    <w:rsid w:val="00C6143F"/>
    <w:rsid w:val="00C614AE"/>
    <w:rsid w:val="00C61501"/>
    <w:rsid w:val="00C61827"/>
    <w:rsid w:val="00C61879"/>
    <w:rsid w:val="00C6189D"/>
    <w:rsid w:val="00C61913"/>
    <w:rsid w:val="00C61A59"/>
    <w:rsid w:val="00C61C57"/>
    <w:rsid w:val="00C61C5A"/>
    <w:rsid w:val="00C61E12"/>
    <w:rsid w:val="00C61F14"/>
    <w:rsid w:val="00C620FF"/>
    <w:rsid w:val="00C62258"/>
    <w:rsid w:val="00C623F1"/>
    <w:rsid w:val="00C62453"/>
    <w:rsid w:val="00C627A9"/>
    <w:rsid w:val="00C6289C"/>
    <w:rsid w:val="00C628A6"/>
    <w:rsid w:val="00C6295C"/>
    <w:rsid w:val="00C629A2"/>
    <w:rsid w:val="00C62ABF"/>
    <w:rsid w:val="00C62AE9"/>
    <w:rsid w:val="00C62B09"/>
    <w:rsid w:val="00C62B32"/>
    <w:rsid w:val="00C62B35"/>
    <w:rsid w:val="00C62BC5"/>
    <w:rsid w:val="00C62C40"/>
    <w:rsid w:val="00C6301F"/>
    <w:rsid w:val="00C630A8"/>
    <w:rsid w:val="00C631AD"/>
    <w:rsid w:val="00C631BD"/>
    <w:rsid w:val="00C632D1"/>
    <w:rsid w:val="00C63360"/>
    <w:rsid w:val="00C63412"/>
    <w:rsid w:val="00C63451"/>
    <w:rsid w:val="00C634D8"/>
    <w:rsid w:val="00C63541"/>
    <w:rsid w:val="00C63870"/>
    <w:rsid w:val="00C63944"/>
    <w:rsid w:val="00C63AAD"/>
    <w:rsid w:val="00C63AC3"/>
    <w:rsid w:val="00C63B54"/>
    <w:rsid w:val="00C63B8E"/>
    <w:rsid w:val="00C63B9C"/>
    <w:rsid w:val="00C63C20"/>
    <w:rsid w:val="00C63F42"/>
    <w:rsid w:val="00C63FC6"/>
    <w:rsid w:val="00C63FF2"/>
    <w:rsid w:val="00C6407C"/>
    <w:rsid w:val="00C64142"/>
    <w:rsid w:val="00C64191"/>
    <w:rsid w:val="00C64267"/>
    <w:rsid w:val="00C64344"/>
    <w:rsid w:val="00C6436A"/>
    <w:rsid w:val="00C643FA"/>
    <w:rsid w:val="00C64459"/>
    <w:rsid w:val="00C644ED"/>
    <w:rsid w:val="00C6455D"/>
    <w:rsid w:val="00C64725"/>
    <w:rsid w:val="00C647C9"/>
    <w:rsid w:val="00C6482D"/>
    <w:rsid w:val="00C64C21"/>
    <w:rsid w:val="00C64DD4"/>
    <w:rsid w:val="00C64E18"/>
    <w:rsid w:val="00C65108"/>
    <w:rsid w:val="00C6516E"/>
    <w:rsid w:val="00C65183"/>
    <w:rsid w:val="00C652EF"/>
    <w:rsid w:val="00C653A3"/>
    <w:rsid w:val="00C65464"/>
    <w:rsid w:val="00C654A8"/>
    <w:rsid w:val="00C65564"/>
    <w:rsid w:val="00C65576"/>
    <w:rsid w:val="00C6557A"/>
    <w:rsid w:val="00C655AA"/>
    <w:rsid w:val="00C65612"/>
    <w:rsid w:val="00C65676"/>
    <w:rsid w:val="00C657FE"/>
    <w:rsid w:val="00C65A7C"/>
    <w:rsid w:val="00C65C56"/>
    <w:rsid w:val="00C65D48"/>
    <w:rsid w:val="00C65F43"/>
    <w:rsid w:val="00C65FAB"/>
    <w:rsid w:val="00C66009"/>
    <w:rsid w:val="00C66165"/>
    <w:rsid w:val="00C661E1"/>
    <w:rsid w:val="00C66206"/>
    <w:rsid w:val="00C66210"/>
    <w:rsid w:val="00C6646F"/>
    <w:rsid w:val="00C6649F"/>
    <w:rsid w:val="00C665D3"/>
    <w:rsid w:val="00C666E1"/>
    <w:rsid w:val="00C669A5"/>
    <w:rsid w:val="00C669E4"/>
    <w:rsid w:val="00C66AE9"/>
    <w:rsid w:val="00C66B69"/>
    <w:rsid w:val="00C66C1D"/>
    <w:rsid w:val="00C66E70"/>
    <w:rsid w:val="00C6711E"/>
    <w:rsid w:val="00C6727B"/>
    <w:rsid w:val="00C6737A"/>
    <w:rsid w:val="00C6738A"/>
    <w:rsid w:val="00C6772C"/>
    <w:rsid w:val="00C6778E"/>
    <w:rsid w:val="00C67D68"/>
    <w:rsid w:val="00C67E30"/>
    <w:rsid w:val="00C67E66"/>
    <w:rsid w:val="00C67FEB"/>
    <w:rsid w:val="00C70035"/>
    <w:rsid w:val="00C70167"/>
    <w:rsid w:val="00C70196"/>
    <w:rsid w:val="00C701F5"/>
    <w:rsid w:val="00C70279"/>
    <w:rsid w:val="00C702CA"/>
    <w:rsid w:val="00C704DE"/>
    <w:rsid w:val="00C70506"/>
    <w:rsid w:val="00C7060A"/>
    <w:rsid w:val="00C7069D"/>
    <w:rsid w:val="00C708E6"/>
    <w:rsid w:val="00C70A8E"/>
    <w:rsid w:val="00C70BE1"/>
    <w:rsid w:val="00C70D21"/>
    <w:rsid w:val="00C70D41"/>
    <w:rsid w:val="00C70DF6"/>
    <w:rsid w:val="00C70E89"/>
    <w:rsid w:val="00C7111E"/>
    <w:rsid w:val="00C71127"/>
    <w:rsid w:val="00C7112D"/>
    <w:rsid w:val="00C7122F"/>
    <w:rsid w:val="00C71253"/>
    <w:rsid w:val="00C71285"/>
    <w:rsid w:val="00C712CC"/>
    <w:rsid w:val="00C714A4"/>
    <w:rsid w:val="00C7151A"/>
    <w:rsid w:val="00C71797"/>
    <w:rsid w:val="00C717B0"/>
    <w:rsid w:val="00C717E3"/>
    <w:rsid w:val="00C718DE"/>
    <w:rsid w:val="00C718F3"/>
    <w:rsid w:val="00C71959"/>
    <w:rsid w:val="00C719EB"/>
    <w:rsid w:val="00C71A64"/>
    <w:rsid w:val="00C71B57"/>
    <w:rsid w:val="00C71D31"/>
    <w:rsid w:val="00C71E77"/>
    <w:rsid w:val="00C71F60"/>
    <w:rsid w:val="00C71FA9"/>
    <w:rsid w:val="00C72030"/>
    <w:rsid w:val="00C72241"/>
    <w:rsid w:val="00C722DA"/>
    <w:rsid w:val="00C72301"/>
    <w:rsid w:val="00C723DF"/>
    <w:rsid w:val="00C724F7"/>
    <w:rsid w:val="00C7268B"/>
    <w:rsid w:val="00C72A46"/>
    <w:rsid w:val="00C72B5F"/>
    <w:rsid w:val="00C72D56"/>
    <w:rsid w:val="00C72E1F"/>
    <w:rsid w:val="00C72FBB"/>
    <w:rsid w:val="00C7337B"/>
    <w:rsid w:val="00C733CA"/>
    <w:rsid w:val="00C73448"/>
    <w:rsid w:val="00C738EC"/>
    <w:rsid w:val="00C739AE"/>
    <w:rsid w:val="00C73B65"/>
    <w:rsid w:val="00C73D9E"/>
    <w:rsid w:val="00C73ED2"/>
    <w:rsid w:val="00C73F12"/>
    <w:rsid w:val="00C73F2F"/>
    <w:rsid w:val="00C73F8B"/>
    <w:rsid w:val="00C7408E"/>
    <w:rsid w:val="00C741BA"/>
    <w:rsid w:val="00C745CA"/>
    <w:rsid w:val="00C749CE"/>
    <w:rsid w:val="00C74B08"/>
    <w:rsid w:val="00C74BF9"/>
    <w:rsid w:val="00C74C0B"/>
    <w:rsid w:val="00C74D00"/>
    <w:rsid w:val="00C74D8D"/>
    <w:rsid w:val="00C74E26"/>
    <w:rsid w:val="00C74EEB"/>
    <w:rsid w:val="00C74F6B"/>
    <w:rsid w:val="00C75044"/>
    <w:rsid w:val="00C750C8"/>
    <w:rsid w:val="00C75152"/>
    <w:rsid w:val="00C75206"/>
    <w:rsid w:val="00C75363"/>
    <w:rsid w:val="00C753EA"/>
    <w:rsid w:val="00C7560F"/>
    <w:rsid w:val="00C75795"/>
    <w:rsid w:val="00C7582F"/>
    <w:rsid w:val="00C75844"/>
    <w:rsid w:val="00C758A0"/>
    <w:rsid w:val="00C758B2"/>
    <w:rsid w:val="00C758C8"/>
    <w:rsid w:val="00C7592D"/>
    <w:rsid w:val="00C75965"/>
    <w:rsid w:val="00C75AA4"/>
    <w:rsid w:val="00C75BD6"/>
    <w:rsid w:val="00C75CBF"/>
    <w:rsid w:val="00C75CDF"/>
    <w:rsid w:val="00C7606F"/>
    <w:rsid w:val="00C760C7"/>
    <w:rsid w:val="00C76214"/>
    <w:rsid w:val="00C7635E"/>
    <w:rsid w:val="00C7697F"/>
    <w:rsid w:val="00C76BF5"/>
    <w:rsid w:val="00C76D8F"/>
    <w:rsid w:val="00C76DFB"/>
    <w:rsid w:val="00C76F87"/>
    <w:rsid w:val="00C76FE2"/>
    <w:rsid w:val="00C76FFD"/>
    <w:rsid w:val="00C77077"/>
    <w:rsid w:val="00C770B2"/>
    <w:rsid w:val="00C7714C"/>
    <w:rsid w:val="00C7724E"/>
    <w:rsid w:val="00C7729A"/>
    <w:rsid w:val="00C773D9"/>
    <w:rsid w:val="00C77562"/>
    <w:rsid w:val="00C7762A"/>
    <w:rsid w:val="00C776FD"/>
    <w:rsid w:val="00C77912"/>
    <w:rsid w:val="00C77ACD"/>
    <w:rsid w:val="00C77D10"/>
    <w:rsid w:val="00C77E3A"/>
    <w:rsid w:val="00C77E4A"/>
    <w:rsid w:val="00C77ECC"/>
    <w:rsid w:val="00C80043"/>
    <w:rsid w:val="00C80083"/>
    <w:rsid w:val="00C800EB"/>
    <w:rsid w:val="00C8027D"/>
    <w:rsid w:val="00C803CA"/>
    <w:rsid w:val="00C804B6"/>
    <w:rsid w:val="00C80A0E"/>
    <w:rsid w:val="00C8106D"/>
    <w:rsid w:val="00C8111C"/>
    <w:rsid w:val="00C81220"/>
    <w:rsid w:val="00C81268"/>
    <w:rsid w:val="00C81455"/>
    <w:rsid w:val="00C81570"/>
    <w:rsid w:val="00C815B2"/>
    <w:rsid w:val="00C8161F"/>
    <w:rsid w:val="00C81A2F"/>
    <w:rsid w:val="00C81AEF"/>
    <w:rsid w:val="00C81B7E"/>
    <w:rsid w:val="00C81BC5"/>
    <w:rsid w:val="00C81BC7"/>
    <w:rsid w:val="00C81CAB"/>
    <w:rsid w:val="00C81E63"/>
    <w:rsid w:val="00C82084"/>
    <w:rsid w:val="00C8211A"/>
    <w:rsid w:val="00C8213F"/>
    <w:rsid w:val="00C82300"/>
    <w:rsid w:val="00C82749"/>
    <w:rsid w:val="00C828A0"/>
    <w:rsid w:val="00C828C6"/>
    <w:rsid w:val="00C829C7"/>
    <w:rsid w:val="00C82BD1"/>
    <w:rsid w:val="00C82C1F"/>
    <w:rsid w:val="00C82C8A"/>
    <w:rsid w:val="00C82D4E"/>
    <w:rsid w:val="00C82DFF"/>
    <w:rsid w:val="00C82E19"/>
    <w:rsid w:val="00C82E75"/>
    <w:rsid w:val="00C82EB3"/>
    <w:rsid w:val="00C82F45"/>
    <w:rsid w:val="00C82F81"/>
    <w:rsid w:val="00C8303F"/>
    <w:rsid w:val="00C83083"/>
    <w:rsid w:val="00C8309E"/>
    <w:rsid w:val="00C8311E"/>
    <w:rsid w:val="00C831C7"/>
    <w:rsid w:val="00C8323F"/>
    <w:rsid w:val="00C832E3"/>
    <w:rsid w:val="00C832E7"/>
    <w:rsid w:val="00C833FC"/>
    <w:rsid w:val="00C83498"/>
    <w:rsid w:val="00C8369F"/>
    <w:rsid w:val="00C838B7"/>
    <w:rsid w:val="00C83E41"/>
    <w:rsid w:val="00C83ECE"/>
    <w:rsid w:val="00C84039"/>
    <w:rsid w:val="00C841A8"/>
    <w:rsid w:val="00C84338"/>
    <w:rsid w:val="00C843FC"/>
    <w:rsid w:val="00C844F6"/>
    <w:rsid w:val="00C8452F"/>
    <w:rsid w:val="00C84547"/>
    <w:rsid w:val="00C848B2"/>
    <w:rsid w:val="00C8494B"/>
    <w:rsid w:val="00C849CF"/>
    <w:rsid w:val="00C84D2E"/>
    <w:rsid w:val="00C84EAE"/>
    <w:rsid w:val="00C84F3B"/>
    <w:rsid w:val="00C85154"/>
    <w:rsid w:val="00C852AD"/>
    <w:rsid w:val="00C85699"/>
    <w:rsid w:val="00C85838"/>
    <w:rsid w:val="00C858EF"/>
    <w:rsid w:val="00C85973"/>
    <w:rsid w:val="00C85A70"/>
    <w:rsid w:val="00C85C8D"/>
    <w:rsid w:val="00C85CE6"/>
    <w:rsid w:val="00C85D9E"/>
    <w:rsid w:val="00C85E21"/>
    <w:rsid w:val="00C85E8F"/>
    <w:rsid w:val="00C85F15"/>
    <w:rsid w:val="00C85F39"/>
    <w:rsid w:val="00C86165"/>
    <w:rsid w:val="00C8621D"/>
    <w:rsid w:val="00C8634C"/>
    <w:rsid w:val="00C86834"/>
    <w:rsid w:val="00C868B1"/>
    <w:rsid w:val="00C869DF"/>
    <w:rsid w:val="00C86C4B"/>
    <w:rsid w:val="00C86C54"/>
    <w:rsid w:val="00C86DD0"/>
    <w:rsid w:val="00C86E07"/>
    <w:rsid w:val="00C86E11"/>
    <w:rsid w:val="00C8706F"/>
    <w:rsid w:val="00C8714C"/>
    <w:rsid w:val="00C87266"/>
    <w:rsid w:val="00C87290"/>
    <w:rsid w:val="00C872BA"/>
    <w:rsid w:val="00C873C0"/>
    <w:rsid w:val="00C873F1"/>
    <w:rsid w:val="00C87632"/>
    <w:rsid w:val="00C87747"/>
    <w:rsid w:val="00C87840"/>
    <w:rsid w:val="00C87856"/>
    <w:rsid w:val="00C8797A"/>
    <w:rsid w:val="00C87A4E"/>
    <w:rsid w:val="00C87ABF"/>
    <w:rsid w:val="00C87BDE"/>
    <w:rsid w:val="00C87C18"/>
    <w:rsid w:val="00C87D9F"/>
    <w:rsid w:val="00C87E91"/>
    <w:rsid w:val="00C87FEB"/>
    <w:rsid w:val="00C900B8"/>
    <w:rsid w:val="00C90197"/>
    <w:rsid w:val="00C9020E"/>
    <w:rsid w:val="00C9030A"/>
    <w:rsid w:val="00C9037A"/>
    <w:rsid w:val="00C904A5"/>
    <w:rsid w:val="00C90B8C"/>
    <w:rsid w:val="00C90BFF"/>
    <w:rsid w:val="00C90C71"/>
    <w:rsid w:val="00C90D8C"/>
    <w:rsid w:val="00C90E8F"/>
    <w:rsid w:val="00C90F72"/>
    <w:rsid w:val="00C9116B"/>
    <w:rsid w:val="00C91234"/>
    <w:rsid w:val="00C912DE"/>
    <w:rsid w:val="00C91420"/>
    <w:rsid w:val="00C91481"/>
    <w:rsid w:val="00C91515"/>
    <w:rsid w:val="00C91706"/>
    <w:rsid w:val="00C91763"/>
    <w:rsid w:val="00C917AC"/>
    <w:rsid w:val="00C91B75"/>
    <w:rsid w:val="00C91C11"/>
    <w:rsid w:val="00C91C25"/>
    <w:rsid w:val="00C91C4F"/>
    <w:rsid w:val="00C91C82"/>
    <w:rsid w:val="00C91D1B"/>
    <w:rsid w:val="00C91FD1"/>
    <w:rsid w:val="00C9203B"/>
    <w:rsid w:val="00C92128"/>
    <w:rsid w:val="00C92208"/>
    <w:rsid w:val="00C9226D"/>
    <w:rsid w:val="00C922F0"/>
    <w:rsid w:val="00C92730"/>
    <w:rsid w:val="00C9295B"/>
    <w:rsid w:val="00C92A2C"/>
    <w:rsid w:val="00C92B46"/>
    <w:rsid w:val="00C92E84"/>
    <w:rsid w:val="00C92E85"/>
    <w:rsid w:val="00C92FD0"/>
    <w:rsid w:val="00C931CF"/>
    <w:rsid w:val="00C932BA"/>
    <w:rsid w:val="00C9346D"/>
    <w:rsid w:val="00C934D1"/>
    <w:rsid w:val="00C9356D"/>
    <w:rsid w:val="00C938CF"/>
    <w:rsid w:val="00C9390B"/>
    <w:rsid w:val="00C9392E"/>
    <w:rsid w:val="00C9396F"/>
    <w:rsid w:val="00C93D4E"/>
    <w:rsid w:val="00C93E70"/>
    <w:rsid w:val="00C94053"/>
    <w:rsid w:val="00C94234"/>
    <w:rsid w:val="00C942F2"/>
    <w:rsid w:val="00C94357"/>
    <w:rsid w:val="00C9453D"/>
    <w:rsid w:val="00C94563"/>
    <w:rsid w:val="00C947F4"/>
    <w:rsid w:val="00C94902"/>
    <w:rsid w:val="00C9494E"/>
    <w:rsid w:val="00C94990"/>
    <w:rsid w:val="00C94CF8"/>
    <w:rsid w:val="00C94FEC"/>
    <w:rsid w:val="00C9508F"/>
    <w:rsid w:val="00C9516D"/>
    <w:rsid w:val="00C9525F"/>
    <w:rsid w:val="00C95730"/>
    <w:rsid w:val="00C95AA0"/>
    <w:rsid w:val="00C95AEF"/>
    <w:rsid w:val="00C95BC5"/>
    <w:rsid w:val="00C95D40"/>
    <w:rsid w:val="00C95D7E"/>
    <w:rsid w:val="00C95E4B"/>
    <w:rsid w:val="00C95E9F"/>
    <w:rsid w:val="00C95EBC"/>
    <w:rsid w:val="00C95F3F"/>
    <w:rsid w:val="00C95FCC"/>
    <w:rsid w:val="00C96144"/>
    <w:rsid w:val="00C96187"/>
    <w:rsid w:val="00C9624D"/>
    <w:rsid w:val="00C96250"/>
    <w:rsid w:val="00C96260"/>
    <w:rsid w:val="00C96326"/>
    <w:rsid w:val="00C963D2"/>
    <w:rsid w:val="00C96413"/>
    <w:rsid w:val="00C966D2"/>
    <w:rsid w:val="00C9683B"/>
    <w:rsid w:val="00C969DA"/>
    <w:rsid w:val="00C96AAE"/>
    <w:rsid w:val="00C96AF4"/>
    <w:rsid w:val="00C96BF2"/>
    <w:rsid w:val="00C96C7F"/>
    <w:rsid w:val="00C96DDD"/>
    <w:rsid w:val="00C96E6B"/>
    <w:rsid w:val="00C96E8E"/>
    <w:rsid w:val="00C96FF5"/>
    <w:rsid w:val="00C970F1"/>
    <w:rsid w:val="00C971D2"/>
    <w:rsid w:val="00C975A3"/>
    <w:rsid w:val="00C975AD"/>
    <w:rsid w:val="00C975BC"/>
    <w:rsid w:val="00C97608"/>
    <w:rsid w:val="00C976C6"/>
    <w:rsid w:val="00C9772D"/>
    <w:rsid w:val="00C97B61"/>
    <w:rsid w:val="00C97D47"/>
    <w:rsid w:val="00C97DF6"/>
    <w:rsid w:val="00C97EBD"/>
    <w:rsid w:val="00CA01FE"/>
    <w:rsid w:val="00CA0273"/>
    <w:rsid w:val="00CA0281"/>
    <w:rsid w:val="00CA034B"/>
    <w:rsid w:val="00CA0438"/>
    <w:rsid w:val="00CA060B"/>
    <w:rsid w:val="00CA0612"/>
    <w:rsid w:val="00CA066A"/>
    <w:rsid w:val="00CA0A1A"/>
    <w:rsid w:val="00CA0A47"/>
    <w:rsid w:val="00CA0C0C"/>
    <w:rsid w:val="00CA0C4F"/>
    <w:rsid w:val="00CA0FBE"/>
    <w:rsid w:val="00CA1089"/>
    <w:rsid w:val="00CA10A6"/>
    <w:rsid w:val="00CA119E"/>
    <w:rsid w:val="00CA11CC"/>
    <w:rsid w:val="00CA1284"/>
    <w:rsid w:val="00CA1394"/>
    <w:rsid w:val="00CA13A7"/>
    <w:rsid w:val="00CA14CD"/>
    <w:rsid w:val="00CA15B8"/>
    <w:rsid w:val="00CA187C"/>
    <w:rsid w:val="00CA18AD"/>
    <w:rsid w:val="00CA1996"/>
    <w:rsid w:val="00CA1B70"/>
    <w:rsid w:val="00CA1B71"/>
    <w:rsid w:val="00CA1BC5"/>
    <w:rsid w:val="00CA1CB1"/>
    <w:rsid w:val="00CA1E26"/>
    <w:rsid w:val="00CA1E3C"/>
    <w:rsid w:val="00CA1E96"/>
    <w:rsid w:val="00CA1F67"/>
    <w:rsid w:val="00CA1FA2"/>
    <w:rsid w:val="00CA2190"/>
    <w:rsid w:val="00CA21A9"/>
    <w:rsid w:val="00CA2424"/>
    <w:rsid w:val="00CA25FE"/>
    <w:rsid w:val="00CA2959"/>
    <w:rsid w:val="00CA295E"/>
    <w:rsid w:val="00CA29C4"/>
    <w:rsid w:val="00CA2A58"/>
    <w:rsid w:val="00CA2AAB"/>
    <w:rsid w:val="00CA2BE5"/>
    <w:rsid w:val="00CA2C77"/>
    <w:rsid w:val="00CA2E0B"/>
    <w:rsid w:val="00CA2EF8"/>
    <w:rsid w:val="00CA2F27"/>
    <w:rsid w:val="00CA2F8B"/>
    <w:rsid w:val="00CA3021"/>
    <w:rsid w:val="00CA3179"/>
    <w:rsid w:val="00CA3262"/>
    <w:rsid w:val="00CA359C"/>
    <w:rsid w:val="00CA3617"/>
    <w:rsid w:val="00CA3727"/>
    <w:rsid w:val="00CA385F"/>
    <w:rsid w:val="00CA38FE"/>
    <w:rsid w:val="00CA394C"/>
    <w:rsid w:val="00CA3985"/>
    <w:rsid w:val="00CA3A60"/>
    <w:rsid w:val="00CA3C06"/>
    <w:rsid w:val="00CA3C5B"/>
    <w:rsid w:val="00CA3D0B"/>
    <w:rsid w:val="00CA3D2E"/>
    <w:rsid w:val="00CA3DE0"/>
    <w:rsid w:val="00CA3E5A"/>
    <w:rsid w:val="00CA3E5C"/>
    <w:rsid w:val="00CA43E4"/>
    <w:rsid w:val="00CA444F"/>
    <w:rsid w:val="00CA4795"/>
    <w:rsid w:val="00CA48B4"/>
    <w:rsid w:val="00CA48DB"/>
    <w:rsid w:val="00CA4A7F"/>
    <w:rsid w:val="00CA4C5B"/>
    <w:rsid w:val="00CA4C8A"/>
    <w:rsid w:val="00CA4D27"/>
    <w:rsid w:val="00CA4D42"/>
    <w:rsid w:val="00CA510B"/>
    <w:rsid w:val="00CA5245"/>
    <w:rsid w:val="00CA5534"/>
    <w:rsid w:val="00CA5692"/>
    <w:rsid w:val="00CA5711"/>
    <w:rsid w:val="00CA581E"/>
    <w:rsid w:val="00CA58CD"/>
    <w:rsid w:val="00CA5A1F"/>
    <w:rsid w:val="00CA5A92"/>
    <w:rsid w:val="00CA5CB2"/>
    <w:rsid w:val="00CA5DC6"/>
    <w:rsid w:val="00CA5E0B"/>
    <w:rsid w:val="00CA5E34"/>
    <w:rsid w:val="00CA5E64"/>
    <w:rsid w:val="00CA6420"/>
    <w:rsid w:val="00CA657D"/>
    <w:rsid w:val="00CA65E4"/>
    <w:rsid w:val="00CA65F8"/>
    <w:rsid w:val="00CA68D6"/>
    <w:rsid w:val="00CA68F0"/>
    <w:rsid w:val="00CA6934"/>
    <w:rsid w:val="00CA6C68"/>
    <w:rsid w:val="00CA6DDB"/>
    <w:rsid w:val="00CA6DE5"/>
    <w:rsid w:val="00CA6ED6"/>
    <w:rsid w:val="00CA6F39"/>
    <w:rsid w:val="00CA6FDB"/>
    <w:rsid w:val="00CA71AD"/>
    <w:rsid w:val="00CA71F4"/>
    <w:rsid w:val="00CA733E"/>
    <w:rsid w:val="00CA7422"/>
    <w:rsid w:val="00CA763E"/>
    <w:rsid w:val="00CA76C3"/>
    <w:rsid w:val="00CA7756"/>
    <w:rsid w:val="00CA794C"/>
    <w:rsid w:val="00CA7981"/>
    <w:rsid w:val="00CA79DB"/>
    <w:rsid w:val="00CA7ABE"/>
    <w:rsid w:val="00CA7B09"/>
    <w:rsid w:val="00CA7BD9"/>
    <w:rsid w:val="00CA7F8E"/>
    <w:rsid w:val="00CA7FC5"/>
    <w:rsid w:val="00CB027F"/>
    <w:rsid w:val="00CB0301"/>
    <w:rsid w:val="00CB04FF"/>
    <w:rsid w:val="00CB05F3"/>
    <w:rsid w:val="00CB06EF"/>
    <w:rsid w:val="00CB0876"/>
    <w:rsid w:val="00CB093E"/>
    <w:rsid w:val="00CB09BD"/>
    <w:rsid w:val="00CB0B07"/>
    <w:rsid w:val="00CB0B17"/>
    <w:rsid w:val="00CB0B32"/>
    <w:rsid w:val="00CB0DCF"/>
    <w:rsid w:val="00CB0FA0"/>
    <w:rsid w:val="00CB1025"/>
    <w:rsid w:val="00CB108B"/>
    <w:rsid w:val="00CB11D5"/>
    <w:rsid w:val="00CB11E7"/>
    <w:rsid w:val="00CB12A5"/>
    <w:rsid w:val="00CB1543"/>
    <w:rsid w:val="00CB16D9"/>
    <w:rsid w:val="00CB17DF"/>
    <w:rsid w:val="00CB17E7"/>
    <w:rsid w:val="00CB1B5D"/>
    <w:rsid w:val="00CB1CAC"/>
    <w:rsid w:val="00CB1F8F"/>
    <w:rsid w:val="00CB1FA3"/>
    <w:rsid w:val="00CB202A"/>
    <w:rsid w:val="00CB206A"/>
    <w:rsid w:val="00CB2263"/>
    <w:rsid w:val="00CB226A"/>
    <w:rsid w:val="00CB257C"/>
    <w:rsid w:val="00CB276D"/>
    <w:rsid w:val="00CB2925"/>
    <w:rsid w:val="00CB2C63"/>
    <w:rsid w:val="00CB2C9B"/>
    <w:rsid w:val="00CB2D64"/>
    <w:rsid w:val="00CB2E20"/>
    <w:rsid w:val="00CB2F2A"/>
    <w:rsid w:val="00CB308A"/>
    <w:rsid w:val="00CB309D"/>
    <w:rsid w:val="00CB30A3"/>
    <w:rsid w:val="00CB3123"/>
    <w:rsid w:val="00CB32B9"/>
    <w:rsid w:val="00CB338B"/>
    <w:rsid w:val="00CB33C0"/>
    <w:rsid w:val="00CB3411"/>
    <w:rsid w:val="00CB3618"/>
    <w:rsid w:val="00CB36A2"/>
    <w:rsid w:val="00CB36B1"/>
    <w:rsid w:val="00CB395F"/>
    <w:rsid w:val="00CB3A70"/>
    <w:rsid w:val="00CB3AD5"/>
    <w:rsid w:val="00CB3AEE"/>
    <w:rsid w:val="00CB3C91"/>
    <w:rsid w:val="00CB40D3"/>
    <w:rsid w:val="00CB4119"/>
    <w:rsid w:val="00CB4153"/>
    <w:rsid w:val="00CB4206"/>
    <w:rsid w:val="00CB42F5"/>
    <w:rsid w:val="00CB4480"/>
    <w:rsid w:val="00CB45A1"/>
    <w:rsid w:val="00CB45BB"/>
    <w:rsid w:val="00CB483B"/>
    <w:rsid w:val="00CB48AC"/>
    <w:rsid w:val="00CB48B6"/>
    <w:rsid w:val="00CB490F"/>
    <w:rsid w:val="00CB4B01"/>
    <w:rsid w:val="00CB50BB"/>
    <w:rsid w:val="00CB519C"/>
    <w:rsid w:val="00CB51D9"/>
    <w:rsid w:val="00CB52A0"/>
    <w:rsid w:val="00CB52FB"/>
    <w:rsid w:val="00CB5326"/>
    <w:rsid w:val="00CB5440"/>
    <w:rsid w:val="00CB54A0"/>
    <w:rsid w:val="00CB54C5"/>
    <w:rsid w:val="00CB559A"/>
    <w:rsid w:val="00CB58C9"/>
    <w:rsid w:val="00CB5A25"/>
    <w:rsid w:val="00CB5B1A"/>
    <w:rsid w:val="00CB5B97"/>
    <w:rsid w:val="00CB5C16"/>
    <w:rsid w:val="00CB5CF0"/>
    <w:rsid w:val="00CB5D8C"/>
    <w:rsid w:val="00CB5E68"/>
    <w:rsid w:val="00CB5F41"/>
    <w:rsid w:val="00CB5FF9"/>
    <w:rsid w:val="00CB604E"/>
    <w:rsid w:val="00CB6555"/>
    <w:rsid w:val="00CB678F"/>
    <w:rsid w:val="00CB67C0"/>
    <w:rsid w:val="00CB6938"/>
    <w:rsid w:val="00CB6A70"/>
    <w:rsid w:val="00CB6B22"/>
    <w:rsid w:val="00CB6B7C"/>
    <w:rsid w:val="00CB6BBA"/>
    <w:rsid w:val="00CB6BC0"/>
    <w:rsid w:val="00CB6BE5"/>
    <w:rsid w:val="00CB6C32"/>
    <w:rsid w:val="00CB6F88"/>
    <w:rsid w:val="00CB72E7"/>
    <w:rsid w:val="00CB7556"/>
    <w:rsid w:val="00CB757B"/>
    <w:rsid w:val="00CB75F5"/>
    <w:rsid w:val="00CB7609"/>
    <w:rsid w:val="00CB7657"/>
    <w:rsid w:val="00CB7709"/>
    <w:rsid w:val="00CB77EB"/>
    <w:rsid w:val="00CB7839"/>
    <w:rsid w:val="00CB791C"/>
    <w:rsid w:val="00CB797A"/>
    <w:rsid w:val="00CB7A04"/>
    <w:rsid w:val="00CB7A98"/>
    <w:rsid w:val="00CB7CC7"/>
    <w:rsid w:val="00CB7D51"/>
    <w:rsid w:val="00CB7E94"/>
    <w:rsid w:val="00CB7EF8"/>
    <w:rsid w:val="00CB7F5F"/>
    <w:rsid w:val="00CC0003"/>
    <w:rsid w:val="00CC00E7"/>
    <w:rsid w:val="00CC027D"/>
    <w:rsid w:val="00CC040C"/>
    <w:rsid w:val="00CC0673"/>
    <w:rsid w:val="00CC0A7F"/>
    <w:rsid w:val="00CC0BDC"/>
    <w:rsid w:val="00CC0C79"/>
    <w:rsid w:val="00CC0D61"/>
    <w:rsid w:val="00CC0E2F"/>
    <w:rsid w:val="00CC1075"/>
    <w:rsid w:val="00CC10A0"/>
    <w:rsid w:val="00CC1168"/>
    <w:rsid w:val="00CC1198"/>
    <w:rsid w:val="00CC1346"/>
    <w:rsid w:val="00CC139B"/>
    <w:rsid w:val="00CC13C9"/>
    <w:rsid w:val="00CC1437"/>
    <w:rsid w:val="00CC1555"/>
    <w:rsid w:val="00CC1669"/>
    <w:rsid w:val="00CC185F"/>
    <w:rsid w:val="00CC19BC"/>
    <w:rsid w:val="00CC1A4A"/>
    <w:rsid w:val="00CC1A5B"/>
    <w:rsid w:val="00CC1AFE"/>
    <w:rsid w:val="00CC1B39"/>
    <w:rsid w:val="00CC1B64"/>
    <w:rsid w:val="00CC1B8E"/>
    <w:rsid w:val="00CC1BFA"/>
    <w:rsid w:val="00CC1D06"/>
    <w:rsid w:val="00CC1F25"/>
    <w:rsid w:val="00CC1FC8"/>
    <w:rsid w:val="00CC1FF8"/>
    <w:rsid w:val="00CC208F"/>
    <w:rsid w:val="00CC2193"/>
    <w:rsid w:val="00CC2212"/>
    <w:rsid w:val="00CC2259"/>
    <w:rsid w:val="00CC230C"/>
    <w:rsid w:val="00CC2380"/>
    <w:rsid w:val="00CC23D9"/>
    <w:rsid w:val="00CC242E"/>
    <w:rsid w:val="00CC260A"/>
    <w:rsid w:val="00CC2668"/>
    <w:rsid w:val="00CC267E"/>
    <w:rsid w:val="00CC2805"/>
    <w:rsid w:val="00CC288D"/>
    <w:rsid w:val="00CC2A5F"/>
    <w:rsid w:val="00CC2C1F"/>
    <w:rsid w:val="00CC2C8D"/>
    <w:rsid w:val="00CC2D49"/>
    <w:rsid w:val="00CC2D50"/>
    <w:rsid w:val="00CC2DDF"/>
    <w:rsid w:val="00CC2E2B"/>
    <w:rsid w:val="00CC2E72"/>
    <w:rsid w:val="00CC2E9F"/>
    <w:rsid w:val="00CC2FB4"/>
    <w:rsid w:val="00CC2FF9"/>
    <w:rsid w:val="00CC2FFA"/>
    <w:rsid w:val="00CC3002"/>
    <w:rsid w:val="00CC320B"/>
    <w:rsid w:val="00CC3346"/>
    <w:rsid w:val="00CC35EA"/>
    <w:rsid w:val="00CC35FC"/>
    <w:rsid w:val="00CC3626"/>
    <w:rsid w:val="00CC36B8"/>
    <w:rsid w:val="00CC379A"/>
    <w:rsid w:val="00CC3848"/>
    <w:rsid w:val="00CC3913"/>
    <w:rsid w:val="00CC3C74"/>
    <w:rsid w:val="00CC3E07"/>
    <w:rsid w:val="00CC3E4A"/>
    <w:rsid w:val="00CC3FC0"/>
    <w:rsid w:val="00CC4283"/>
    <w:rsid w:val="00CC429E"/>
    <w:rsid w:val="00CC434D"/>
    <w:rsid w:val="00CC4539"/>
    <w:rsid w:val="00CC45C9"/>
    <w:rsid w:val="00CC465B"/>
    <w:rsid w:val="00CC4751"/>
    <w:rsid w:val="00CC478E"/>
    <w:rsid w:val="00CC487D"/>
    <w:rsid w:val="00CC48C3"/>
    <w:rsid w:val="00CC48DD"/>
    <w:rsid w:val="00CC4A78"/>
    <w:rsid w:val="00CC4B2D"/>
    <w:rsid w:val="00CC4B5E"/>
    <w:rsid w:val="00CC4CA3"/>
    <w:rsid w:val="00CC4CEC"/>
    <w:rsid w:val="00CC4DBC"/>
    <w:rsid w:val="00CC51AF"/>
    <w:rsid w:val="00CC5498"/>
    <w:rsid w:val="00CC55A8"/>
    <w:rsid w:val="00CC5603"/>
    <w:rsid w:val="00CC56DB"/>
    <w:rsid w:val="00CC57D2"/>
    <w:rsid w:val="00CC5809"/>
    <w:rsid w:val="00CC5BF5"/>
    <w:rsid w:val="00CC5D46"/>
    <w:rsid w:val="00CC5EBB"/>
    <w:rsid w:val="00CC5EF7"/>
    <w:rsid w:val="00CC5F74"/>
    <w:rsid w:val="00CC5F82"/>
    <w:rsid w:val="00CC5F90"/>
    <w:rsid w:val="00CC6253"/>
    <w:rsid w:val="00CC6276"/>
    <w:rsid w:val="00CC630B"/>
    <w:rsid w:val="00CC64BA"/>
    <w:rsid w:val="00CC6702"/>
    <w:rsid w:val="00CC6748"/>
    <w:rsid w:val="00CC6B10"/>
    <w:rsid w:val="00CC6B3A"/>
    <w:rsid w:val="00CC6BA2"/>
    <w:rsid w:val="00CC6D5E"/>
    <w:rsid w:val="00CC6D9B"/>
    <w:rsid w:val="00CC6EA1"/>
    <w:rsid w:val="00CC6EC9"/>
    <w:rsid w:val="00CC6EE0"/>
    <w:rsid w:val="00CC6EFD"/>
    <w:rsid w:val="00CC700E"/>
    <w:rsid w:val="00CC70E3"/>
    <w:rsid w:val="00CC726C"/>
    <w:rsid w:val="00CC727B"/>
    <w:rsid w:val="00CC72F8"/>
    <w:rsid w:val="00CC7372"/>
    <w:rsid w:val="00CC73CD"/>
    <w:rsid w:val="00CC73CF"/>
    <w:rsid w:val="00CC73E1"/>
    <w:rsid w:val="00CC73FF"/>
    <w:rsid w:val="00CC7733"/>
    <w:rsid w:val="00CC7860"/>
    <w:rsid w:val="00CC790C"/>
    <w:rsid w:val="00CC7977"/>
    <w:rsid w:val="00CC7A8D"/>
    <w:rsid w:val="00CC7C10"/>
    <w:rsid w:val="00CC7C58"/>
    <w:rsid w:val="00CC7C7B"/>
    <w:rsid w:val="00CC7EA4"/>
    <w:rsid w:val="00CC7F69"/>
    <w:rsid w:val="00CD0041"/>
    <w:rsid w:val="00CD005C"/>
    <w:rsid w:val="00CD0200"/>
    <w:rsid w:val="00CD03A5"/>
    <w:rsid w:val="00CD03B2"/>
    <w:rsid w:val="00CD03D9"/>
    <w:rsid w:val="00CD0586"/>
    <w:rsid w:val="00CD067E"/>
    <w:rsid w:val="00CD0740"/>
    <w:rsid w:val="00CD09B8"/>
    <w:rsid w:val="00CD0A90"/>
    <w:rsid w:val="00CD0C28"/>
    <w:rsid w:val="00CD0DAB"/>
    <w:rsid w:val="00CD0EE9"/>
    <w:rsid w:val="00CD0FBE"/>
    <w:rsid w:val="00CD10DB"/>
    <w:rsid w:val="00CD10FA"/>
    <w:rsid w:val="00CD172A"/>
    <w:rsid w:val="00CD17BD"/>
    <w:rsid w:val="00CD17F1"/>
    <w:rsid w:val="00CD197E"/>
    <w:rsid w:val="00CD1AB0"/>
    <w:rsid w:val="00CD1AC9"/>
    <w:rsid w:val="00CD1AE2"/>
    <w:rsid w:val="00CD1B0F"/>
    <w:rsid w:val="00CD1B76"/>
    <w:rsid w:val="00CD1BCA"/>
    <w:rsid w:val="00CD1D74"/>
    <w:rsid w:val="00CD1DBC"/>
    <w:rsid w:val="00CD1DC6"/>
    <w:rsid w:val="00CD1E21"/>
    <w:rsid w:val="00CD1E90"/>
    <w:rsid w:val="00CD1F4A"/>
    <w:rsid w:val="00CD2038"/>
    <w:rsid w:val="00CD206D"/>
    <w:rsid w:val="00CD20FB"/>
    <w:rsid w:val="00CD2247"/>
    <w:rsid w:val="00CD24EE"/>
    <w:rsid w:val="00CD2525"/>
    <w:rsid w:val="00CD2670"/>
    <w:rsid w:val="00CD27EA"/>
    <w:rsid w:val="00CD2874"/>
    <w:rsid w:val="00CD2C3D"/>
    <w:rsid w:val="00CD2C6C"/>
    <w:rsid w:val="00CD2CE3"/>
    <w:rsid w:val="00CD2DCA"/>
    <w:rsid w:val="00CD2E2F"/>
    <w:rsid w:val="00CD30EE"/>
    <w:rsid w:val="00CD322D"/>
    <w:rsid w:val="00CD329A"/>
    <w:rsid w:val="00CD32DD"/>
    <w:rsid w:val="00CD33A0"/>
    <w:rsid w:val="00CD33DB"/>
    <w:rsid w:val="00CD3447"/>
    <w:rsid w:val="00CD35F4"/>
    <w:rsid w:val="00CD3624"/>
    <w:rsid w:val="00CD366B"/>
    <w:rsid w:val="00CD3825"/>
    <w:rsid w:val="00CD3946"/>
    <w:rsid w:val="00CD394B"/>
    <w:rsid w:val="00CD3951"/>
    <w:rsid w:val="00CD39B6"/>
    <w:rsid w:val="00CD3B68"/>
    <w:rsid w:val="00CD3D65"/>
    <w:rsid w:val="00CD3ECF"/>
    <w:rsid w:val="00CD3F77"/>
    <w:rsid w:val="00CD3FC1"/>
    <w:rsid w:val="00CD4059"/>
    <w:rsid w:val="00CD4061"/>
    <w:rsid w:val="00CD412A"/>
    <w:rsid w:val="00CD4314"/>
    <w:rsid w:val="00CD43DB"/>
    <w:rsid w:val="00CD454C"/>
    <w:rsid w:val="00CD4577"/>
    <w:rsid w:val="00CD4695"/>
    <w:rsid w:val="00CD488B"/>
    <w:rsid w:val="00CD489A"/>
    <w:rsid w:val="00CD497D"/>
    <w:rsid w:val="00CD497F"/>
    <w:rsid w:val="00CD4A58"/>
    <w:rsid w:val="00CD4B13"/>
    <w:rsid w:val="00CD4CF8"/>
    <w:rsid w:val="00CD4E33"/>
    <w:rsid w:val="00CD4ED9"/>
    <w:rsid w:val="00CD520D"/>
    <w:rsid w:val="00CD52F8"/>
    <w:rsid w:val="00CD535B"/>
    <w:rsid w:val="00CD54F7"/>
    <w:rsid w:val="00CD55BE"/>
    <w:rsid w:val="00CD5754"/>
    <w:rsid w:val="00CD57F2"/>
    <w:rsid w:val="00CD5B9D"/>
    <w:rsid w:val="00CD5BB1"/>
    <w:rsid w:val="00CD5CD1"/>
    <w:rsid w:val="00CD5D07"/>
    <w:rsid w:val="00CD5D15"/>
    <w:rsid w:val="00CD5D5B"/>
    <w:rsid w:val="00CD5DEB"/>
    <w:rsid w:val="00CD5ECF"/>
    <w:rsid w:val="00CD5EEB"/>
    <w:rsid w:val="00CD6070"/>
    <w:rsid w:val="00CD611F"/>
    <w:rsid w:val="00CD613F"/>
    <w:rsid w:val="00CD621A"/>
    <w:rsid w:val="00CD6229"/>
    <w:rsid w:val="00CD6383"/>
    <w:rsid w:val="00CD63C3"/>
    <w:rsid w:val="00CD6449"/>
    <w:rsid w:val="00CD6571"/>
    <w:rsid w:val="00CD6865"/>
    <w:rsid w:val="00CD6ADC"/>
    <w:rsid w:val="00CD6DB6"/>
    <w:rsid w:val="00CD6E62"/>
    <w:rsid w:val="00CD6FE4"/>
    <w:rsid w:val="00CD7193"/>
    <w:rsid w:val="00CD7374"/>
    <w:rsid w:val="00CD739A"/>
    <w:rsid w:val="00CD7520"/>
    <w:rsid w:val="00CD7598"/>
    <w:rsid w:val="00CD78A2"/>
    <w:rsid w:val="00CD793F"/>
    <w:rsid w:val="00CD7A8B"/>
    <w:rsid w:val="00CD7CF0"/>
    <w:rsid w:val="00CD7EAC"/>
    <w:rsid w:val="00CD7FD3"/>
    <w:rsid w:val="00CE004E"/>
    <w:rsid w:val="00CE01C6"/>
    <w:rsid w:val="00CE030C"/>
    <w:rsid w:val="00CE0747"/>
    <w:rsid w:val="00CE0918"/>
    <w:rsid w:val="00CE09C6"/>
    <w:rsid w:val="00CE0B66"/>
    <w:rsid w:val="00CE0BFA"/>
    <w:rsid w:val="00CE0C19"/>
    <w:rsid w:val="00CE0F5D"/>
    <w:rsid w:val="00CE0FFA"/>
    <w:rsid w:val="00CE103C"/>
    <w:rsid w:val="00CE111C"/>
    <w:rsid w:val="00CE112F"/>
    <w:rsid w:val="00CE12BE"/>
    <w:rsid w:val="00CE12FE"/>
    <w:rsid w:val="00CE1341"/>
    <w:rsid w:val="00CE1352"/>
    <w:rsid w:val="00CE135D"/>
    <w:rsid w:val="00CE13FB"/>
    <w:rsid w:val="00CE1497"/>
    <w:rsid w:val="00CE1535"/>
    <w:rsid w:val="00CE1719"/>
    <w:rsid w:val="00CE177C"/>
    <w:rsid w:val="00CE17B1"/>
    <w:rsid w:val="00CE196A"/>
    <w:rsid w:val="00CE1AD7"/>
    <w:rsid w:val="00CE1B8F"/>
    <w:rsid w:val="00CE1C22"/>
    <w:rsid w:val="00CE1CEF"/>
    <w:rsid w:val="00CE1F34"/>
    <w:rsid w:val="00CE1F83"/>
    <w:rsid w:val="00CE1FB1"/>
    <w:rsid w:val="00CE20BB"/>
    <w:rsid w:val="00CE21D2"/>
    <w:rsid w:val="00CE21D5"/>
    <w:rsid w:val="00CE23EB"/>
    <w:rsid w:val="00CE2416"/>
    <w:rsid w:val="00CE2452"/>
    <w:rsid w:val="00CE25A6"/>
    <w:rsid w:val="00CE26DE"/>
    <w:rsid w:val="00CE27E4"/>
    <w:rsid w:val="00CE2B32"/>
    <w:rsid w:val="00CE2CBC"/>
    <w:rsid w:val="00CE2DBF"/>
    <w:rsid w:val="00CE2DC2"/>
    <w:rsid w:val="00CE2E2B"/>
    <w:rsid w:val="00CE2E8A"/>
    <w:rsid w:val="00CE2FD4"/>
    <w:rsid w:val="00CE3050"/>
    <w:rsid w:val="00CE3114"/>
    <w:rsid w:val="00CE3515"/>
    <w:rsid w:val="00CE3562"/>
    <w:rsid w:val="00CE3626"/>
    <w:rsid w:val="00CE36B6"/>
    <w:rsid w:val="00CE380B"/>
    <w:rsid w:val="00CE38B8"/>
    <w:rsid w:val="00CE38C8"/>
    <w:rsid w:val="00CE38EC"/>
    <w:rsid w:val="00CE390D"/>
    <w:rsid w:val="00CE3967"/>
    <w:rsid w:val="00CE39E2"/>
    <w:rsid w:val="00CE3A12"/>
    <w:rsid w:val="00CE3A1E"/>
    <w:rsid w:val="00CE3AFF"/>
    <w:rsid w:val="00CE3C61"/>
    <w:rsid w:val="00CE3CD4"/>
    <w:rsid w:val="00CE3CD9"/>
    <w:rsid w:val="00CE3F22"/>
    <w:rsid w:val="00CE3F80"/>
    <w:rsid w:val="00CE42AC"/>
    <w:rsid w:val="00CE42ED"/>
    <w:rsid w:val="00CE4516"/>
    <w:rsid w:val="00CE4594"/>
    <w:rsid w:val="00CE45A1"/>
    <w:rsid w:val="00CE4734"/>
    <w:rsid w:val="00CE4742"/>
    <w:rsid w:val="00CE47E8"/>
    <w:rsid w:val="00CE487E"/>
    <w:rsid w:val="00CE489F"/>
    <w:rsid w:val="00CE48A8"/>
    <w:rsid w:val="00CE48C7"/>
    <w:rsid w:val="00CE49CD"/>
    <w:rsid w:val="00CE4A2F"/>
    <w:rsid w:val="00CE4AD8"/>
    <w:rsid w:val="00CE4E30"/>
    <w:rsid w:val="00CE4E47"/>
    <w:rsid w:val="00CE4E60"/>
    <w:rsid w:val="00CE4F71"/>
    <w:rsid w:val="00CE5240"/>
    <w:rsid w:val="00CE524F"/>
    <w:rsid w:val="00CE5474"/>
    <w:rsid w:val="00CE568C"/>
    <w:rsid w:val="00CE57F8"/>
    <w:rsid w:val="00CE58CC"/>
    <w:rsid w:val="00CE58F0"/>
    <w:rsid w:val="00CE593E"/>
    <w:rsid w:val="00CE5D06"/>
    <w:rsid w:val="00CE5D73"/>
    <w:rsid w:val="00CE5DDA"/>
    <w:rsid w:val="00CE5F92"/>
    <w:rsid w:val="00CE5FC8"/>
    <w:rsid w:val="00CE600D"/>
    <w:rsid w:val="00CE6188"/>
    <w:rsid w:val="00CE61EE"/>
    <w:rsid w:val="00CE6274"/>
    <w:rsid w:val="00CE62BA"/>
    <w:rsid w:val="00CE62D8"/>
    <w:rsid w:val="00CE63A2"/>
    <w:rsid w:val="00CE65DF"/>
    <w:rsid w:val="00CE6623"/>
    <w:rsid w:val="00CE6704"/>
    <w:rsid w:val="00CE68A3"/>
    <w:rsid w:val="00CE6AF8"/>
    <w:rsid w:val="00CE6BBE"/>
    <w:rsid w:val="00CE6C3F"/>
    <w:rsid w:val="00CE6CA0"/>
    <w:rsid w:val="00CE6DAD"/>
    <w:rsid w:val="00CE7024"/>
    <w:rsid w:val="00CE712B"/>
    <w:rsid w:val="00CE726D"/>
    <w:rsid w:val="00CE7358"/>
    <w:rsid w:val="00CE7404"/>
    <w:rsid w:val="00CE744F"/>
    <w:rsid w:val="00CE7507"/>
    <w:rsid w:val="00CE75AC"/>
    <w:rsid w:val="00CE77B6"/>
    <w:rsid w:val="00CE77C9"/>
    <w:rsid w:val="00CE7A02"/>
    <w:rsid w:val="00CE7A2B"/>
    <w:rsid w:val="00CE7AB7"/>
    <w:rsid w:val="00CE7B28"/>
    <w:rsid w:val="00CE7C98"/>
    <w:rsid w:val="00CE7CED"/>
    <w:rsid w:val="00CE7CFA"/>
    <w:rsid w:val="00CE7D61"/>
    <w:rsid w:val="00CF0116"/>
    <w:rsid w:val="00CF0125"/>
    <w:rsid w:val="00CF018D"/>
    <w:rsid w:val="00CF021A"/>
    <w:rsid w:val="00CF06D3"/>
    <w:rsid w:val="00CF09BE"/>
    <w:rsid w:val="00CF0B9C"/>
    <w:rsid w:val="00CF0C87"/>
    <w:rsid w:val="00CF0DBD"/>
    <w:rsid w:val="00CF0EB8"/>
    <w:rsid w:val="00CF0F3D"/>
    <w:rsid w:val="00CF0F44"/>
    <w:rsid w:val="00CF11AA"/>
    <w:rsid w:val="00CF11B9"/>
    <w:rsid w:val="00CF1209"/>
    <w:rsid w:val="00CF1365"/>
    <w:rsid w:val="00CF145D"/>
    <w:rsid w:val="00CF167E"/>
    <w:rsid w:val="00CF1690"/>
    <w:rsid w:val="00CF1754"/>
    <w:rsid w:val="00CF17F3"/>
    <w:rsid w:val="00CF1B84"/>
    <w:rsid w:val="00CF1D02"/>
    <w:rsid w:val="00CF1E3C"/>
    <w:rsid w:val="00CF1F6A"/>
    <w:rsid w:val="00CF1F91"/>
    <w:rsid w:val="00CF215E"/>
    <w:rsid w:val="00CF2268"/>
    <w:rsid w:val="00CF2297"/>
    <w:rsid w:val="00CF245A"/>
    <w:rsid w:val="00CF2556"/>
    <w:rsid w:val="00CF256A"/>
    <w:rsid w:val="00CF25B0"/>
    <w:rsid w:val="00CF27B6"/>
    <w:rsid w:val="00CF27F0"/>
    <w:rsid w:val="00CF2847"/>
    <w:rsid w:val="00CF2A8D"/>
    <w:rsid w:val="00CF2B71"/>
    <w:rsid w:val="00CF2B8D"/>
    <w:rsid w:val="00CF2B8F"/>
    <w:rsid w:val="00CF2E72"/>
    <w:rsid w:val="00CF2E8F"/>
    <w:rsid w:val="00CF2E9C"/>
    <w:rsid w:val="00CF2F42"/>
    <w:rsid w:val="00CF2FB5"/>
    <w:rsid w:val="00CF2FC8"/>
    <w:rsid w:val="00CF2FFF"/>
    <w:rsid w:val="00CF30B2"/>
    <w:rsid w:val="00CF30D7"/>
    <w:rsid w:val="00CF315A"/>
    <w:rsid w:val="00CF31D9"/>
    <w:rsid w:val="00CF3407"/>
    <w:rsid w:val="00CF353E"/>
    <w:rsid w:val="00CF361D"/>
    <w:rsid w:val="00CF3657"/>
    <w:rsid w:val="00CF36C4"/>
    <w:rsid w:val="00CF372A"/>
    <w:rsid w:val="00CF383A"/>
    <w:rsid w:val="00CF398C"/>
    <w:rsid w:val="00CF3A1B"/>
    <w:rsid w:val="00CF3C52"/>
    <w:rsid w:val="00CF41ED"/>
    <w:rsid w:val="00CF4218"/>
    <w:rsid w:val="00CF42A5"/>
    <w:rsid w:val="00CF44E4"/>
    <w:rsid w:val="00CF4521"/>
    <w:rsid w:val="00CF456B"/>
    <w:rsid w:val="00CF499A"/>
    <w:rsid w:val="00CF499D"/>
    <w:rsid w:val="00CF4A92"/>
    <w:rsid w:val="00CF4B3D"/>
    <w:rsid w:val="00CF4BD3"/>
    <w:rsid w:val="00CF4C76"/>
    <w:rsid w:val="00CF4FAD"/>
    <w:rsid w:val="00CF4FC5"/>
    <w:rsid w:val="00CF5228"/>
    <w:rsid w:val="00CF53F3"/>
    <w:rsid w:val="00CF546C"/>
    <w:rsid w:val="00CF5710"/>
    <w:rsid w:val="00CF5888"/>
    <w:rsid w:val="00CF5A22"/>
    <w:rsid w:val="00CF5A41"/>
    <w:rsid w:val="00CF5A7E"/>
    <w:rsid w:val="00CF5B3D"/>
    <w:rsid w:val="00CF5C10"/>
    <w:rsid w:val="00CF5E21"/>
    <w:rsid w:val="00CF5E87"/>
    <w:rsid w:val="00CF5ED4"/>
    <w:rsid w:val="00CF5F03"/>
    <w:rsid w:val="00CF61B5"/>
    <w:rsid w:val="00CF622D"/>
    <w:rsid w:val="00CF62AB"/>
    <w:rsid w:val="00CF6496"/>
    <w:rsid w:val="00CF66D6"/>
    <w:rsid w:val="00CF6960"/>
    <w:rsid w:val="00CF6A01"/>
    <w:rsid w:val="00CF6AF8"/>
    <w:rsid w:val="00CF6B3C"/>
    <w:rsid w:val="00CF6EB5"/>
    <w:rsid w:val="00CF6EFF"/>
    <w:rsid w:val="00CF70B2"/>
    <w:rsid w:val="00CF7100"/>
    <w:rsid w:val="00CF7188"/>
    <w:rsid w:val="00CF7415"/>
    <w:rsid w:val="00CF7426"/>
    <w:rsid w:val="00CF74B9"/>
    <w:rsid w:val="00CF7698"/>
    <w:rsid w:val="00CF77B4"/>
    <w:rsid w:val="00CF7849"/>
    <w:rsid w:val="00CF79B4"/>
    <w:rsid w:val="00CF7A37"/>
    <w:rsid w:val="00CF7A51"/>
    <w:rsid w:val="00CF7C33"/>
    <w:rsid w:val="00CF7D72"/>
    <w:rsid w:val="00CF7ECB"/>
    <w:rsid w:val="00CF7EDE"/>
    <w:rsid w:val="00CF7EF8"/>
    <w:rsid w:val="00CF7F46"/>
    <w:rsid w:val="00CF7F88"/>
    <w:rsid w:val="00CF7FDC"/>
    <w:rsid w:val="00D00091"/>
    <w:rsid w:val="00D000BF"/>
    <w:rsid w:val="00D00295"/>
    <w:rsid w:val="00D002EE"/>
    <w:rsid w:val="00D00443"/>
    <w:rsid w:val="00D0045D"/>
    <w:rsid w:val="00D007CA"/>
    <w:rsid w:val="00D00834"/>
    <w:rsid w:val="00D008A5"/>
    <w:rsid w:val="00D00A87"/>
    <w:rsid w:val="00D00B1B"/>
    <w:rsid w:val="00D00B49"/>
    <w:rsid w:val="00D00BDA"/>
    <w:rsid w:val="00D00DD4"/>
    <w:rsid w:val="00D00E24"/>
    <w:rsid w:val="00D00EEE"/>
    <w:rsid w:val="00D01141"/>
    <w:rsid w:val="00D0137C"/>
    <w:rsid w:val="00D013E5"/>
    <w:rsid w:val="00D0140C"/>
    <w:rsid w:val="00D0141D"/>
    <w:rsid w:val="00D01433"/>
    <w:rsid w:val="00D01462"/>
    <w:rsid w:val="00D014BB"/>
    <w:rsid w:val="00D015E5"/>
    <w:rsid w:val="00D01715"/>
    <w:rsid w:val="00D019F5"/>
    <w:rsid w:val="00D019FC"/>
    <w:rsid w:val="00D01AD9"/>
    <w:rsid w:val="00D01B00"/>
    <w:rsid w:val="00D01B63"/>
    <w:rsid w:val="00D01CE3"/>
    <w:rsid w:val="00D01D03"/>
    <w:rsid w:val="00D01E0C"/>
    <w:rsid w:val="00D01E4D"/>
    <w:rsid w:val="00D0206E"/>
    <w:rsid w:val="00D02121"/>
    <w:rsid w:val="00D02387"/>
    <w:rsid w:val="00D02533"/>
    <w:rsid w:val="00D0253B"/>
    <w:rsid w:val="00D0262E"/>
    <w:rsid w:val="00D02ACD"/>
    <w:rsid w:val="00D02B28"/>
    <w:rsid w:val="00D02C23"/>
    <w:rsid w:val="00D02E08"/>
    <w:rsid w:val="00D02E2F"/>
    <w:rsid w:val="00D02F79"/>
    <w:rsid w:val="00D03144"/>
    <w:rsid w:val="00D031E1"/>
    <w:rsid w:val="00D0322C"/>
    <w:rsid w:val="00D032F7"/>
    <w:rsid w:val="00D03364"/>
    <w:rsid w:val="00D0340A"/>
    <w:rsid w:val="00D034DD"/>
    <w:rsid w:val="00D03679"/>
    <w:rsid w:val="00D036C2"/>
    <w:rsid w:val="00D03796"/>
    <w:rsid w:val="00D037E6"/>
    <w:rsid w:val="00D03BAF"/>
    <w:rsid w:val="00D03DDF"/>
    <w:rsid w:val="00D03E28"/>
    <w:rsid w:val="00D03E48"/>
    <w:rsid w:val="00D03F33"/>
    <w:rsid w:val="00D03FCD"/>
    <w:rsid w:val="00D03FF3"/>
    <w:rsid w:val="00D04101"/>
    <w:rsid w:val="00D04184"/>
    <w:rsid w:val="00D041E8"/>
    <w:rsid w:val="00D04201"/>
    <w:rsid w:val="00D04207"/>
    <w:rsid w:val="00D04472"/>
    <w:rsid w:val="00D044F0"/>
    <w:rsid w:val="00D0465A"/>
    <w:rsid w:val="00D0469B"/>
    <w:rsid w:val="00D04829"/>
    <w:rsid w:val="00D04864"/>
    <w:rsid w:val="00D049BC"/>
    <w:rsid w:val="00D049E1"/>
    <w:rsid w:val="00D04B8C"/>
    <w:rsid w:val="00D04D0D"/>
    <w:rsid w:val="00D04D20"/>
    <w:rsid w:val="00D04D95"/>
    <w:rsid w:val="00D04F3A"/>
    <w:rsid w:val="00D04F52"/>
    <w:rsid w:val="00D0500F"/>
    <w:rsid w:val="00D0502A"/>
    <w:rsid w:val="00D050D7"/>
    <w:rsid w:val="00D052E5"/>
    <w:rsid w:val="00D05434"/>
    <w:rsid w:val="00D05536"/>
    <w:rsid w:val="00D0560B"/>
    <w:rsid w:val="00D05743"/>
    <w:rsid w:val="00D05762"/>
    <w:rsid w:val="00D058C7"/>
    <w:rsid w:val="00D058DF"/>
    <w:rsid w:val="00D0591F"/>
    <w:rsid w:val="00D059C5"/>
    <w:rsid w:val="00D05BD1"/>
    <w:rsid w:val="00D05CCF"/>
    <w:rsid w:val="00D05DB0"/>
    <w:rsid w:val="00D05E23"/>
    <w:rsid w:val="00D05E3D"/>
    <w:rsid w:val="00D05FBE"/>
    <w:rsid w:val="00D0610A"/>
    <w:rsid w:val="00D06139"/>
    <w:rsid w:val="00D06152"/>
    <w:rsid w:val="00D061DD"/>
    <w:rsid w:val="00D061F2"/>
    <w:rsid w:val="00D06361"/>
    <w:rsid w:val="00D06512"/>
    <w:rsid w:val="00D06521"/>
    <w:rsid w:val="00D065D4"/>
    <w:rsid w:val="00D06641"/>
    <w:rsid w:val="00D0672E"/>
    <w:rsid w:val="00D068D5"/>
    <w:rsid w:val="00D069A1"/>
    <w:rsid w:val="00D06A46"/>
    <w:rsid w:val="00D06C62"/>
    <w:rsid w:val="00D06EAA"/>
    <w:rsid w:val="00D07276"/>
    <w:rsid w:val="00D0729D"/>
    <w:rsid w:val="00D072F6"/>
    <w:rsid w:val="00D074BB"/>
    <w:rsid w:val="00D07613"/>
    <w:rsid w:val="00D0784F"/>
    <w:rsid w:val="00D079B8"/>
    <w:rsid w:val="00D07AA8"/>
    <w:rsid w:val="00D07B36"/>
    <w:rsid w:val="00D07CB3"/>
    <w:rsid w:val="00D07EEF"/>
    <w:rsid w:val="00D07FB6"/>
    <w:rsid w:val="00D100DF"/>
    <w:rsid w:val="00D10154"/>
    <w:rsid w:val="00D1022E"/>
    <w:rsid w:val="00D1030F"/>
    <w:rsid w:val="00D10526"/>
    <w:rsid w:val="00D10534"/>
    <w:rsid w:val="00D10578"/>
    <w:rsid w:val="00D10767"/>
    <w:rsid w:val="00D107FF"/>
    <w:rsid w:val="00D109B5"/>
    <w:rsid w:val="00D10A38"/>
    <w:rsid w:val="00D10B4F"/>
    <w:rsid w:val="00D10B69"/>
    <w:rsid w:val="00D10C42"/>
    <w:rsid w:val="00D10DC5"/>
    <w:rsid w:val="00D110BD"/>
    <w:rsid w:val="00D111F4"/>
    <w:rsid w:val="00D11435"/>
    <w:rsid w:val="00D118BA"/>
    <w:rsid w:val="00D11993"/>
    <w:rsid w:val="00D119A8"/>
    <w:rsid w:val="00D11D0F"/>
    <w:rsid w:val="00D11DC7"/>
    <w:rsid w:val="00D11E0B"/>
    <w:rsid w:val="00D11E7A"/>
    <w:rsid w:val="00D11F11"/>
    <w:rsid w:val="00D11FD4"/>
    <w:rsid w:val="00D120FB"/>
    <w:rsid w:val="00D12133"/>
    <w:rsid w:val="00D1221A"/>
    <w:rsid w:val="00D12296"/>
    <w:rsid w:val="00D12417"/>
    <w:rsid w:val="00D124A6"/>
    <w:rsid w:val="00D124BC"/>
    <w:rsid w:val="00D12526"/>
    <w:rsid w:val="00D12642"/>
    <w:rsid w:val="00D126AF"/>
    <w:rsid w:val="00D12797"/>
    <w:rsid w:val="00D127E7"/>
    <w:rsid w:val="00D12812"/>
    <w:rsid w:val="00D12889"/>
    <w:rsid w:val="00D128BC"/>
    <w:rsid w:val="00D12AF0"/>
    <w:rsid w:val="00D12B8F"/>
    <w:rsid w:val="00D12C9F"/>
    <w:rsid w:val="00D12D26"/>
    <w:rsid w:val="00D12F96"/>
    <w:rsid w:val="00D13098"/>
    <w:rsid w:val="00D130C7"/>
    <w:rsid w:val="00D1330B"/>
    <w:rsid w:val="00D1330E"/>
    <w:rsid w:val="00D13480"/>
    <w:rsid w:val="00D13650"/>
    <w:rsid w:val="00D13675"/>
    <w:rsid w:val="00D13858"/>
    <w:rsid w:val="00D1390A"/>
    <w:rsid w:val="00D139D7"/>
    <w:rsid w:val="00D13AB3"/>
    <w:rsid w:val="00D13B98"/>
    <w:rsid w:val="00D13BED"/>
    <w:rsid w:val="00D13C0F"/>
    <w:rsid w:val="00D1411A"/>
    <w:rsid w:val="00D141E1"/>
    <w:rsid w:val="00D142CD"/>
    <w:rsid w:val="00D142CF"/>
    <w:rsid w:val="00D142D6"/>
    <w:rsid w:val="00D14399"/>
    <w:rsid w:val="00D14713"/>
    <w:rsid w:val="00D1491D"/>
    <w:rsid w:val="00D14BE9"/>
    <w:rsid w:val="00D14CCD"/>
    <w:rsid w:val="00D14D89"/>
    <w:rsid w:val="00D1501C"/>
    <w:rsid w:val="00D150AF"/>
    <w:rsid w:val="00D15314"/>
    <w:rsid w:val="00D15759"/>
    <w:rsid w:val="00D15763"/>
    <w:rsid w:val="00D157F6"/>
    <w:rsid w:val="00D1587E"/>
    <w:rsid w:val="00D15B48"/>
    <w:rsid w:val="00D15B4A"/>
    <w:rsid w:val="00D15E50"/>
    <w:rsid w:val="00D15E6E"/>
    <w:rsid w:val="00D15EEA"/>
    <w:rsid w:val="00D160C8"/>
    <w:rsid w:val="00D160CD"/>
    <w:rsid w:val="00D160F0"/>
    <w:rsid w:val="00D16368"/>
    <w:rsid w:val="00D163FF"/>
    <w:rsid w:val="00D16658"/>
    <w:rsid w:val="00D16741"/>
    <w:rsid w:val="00D16742"/>
    <w:rsid w:val="00D16AF6"/>
    <w:rsid w:val="00D16B27"/>
    <w:rsid w:val="00D16CF8"/>
    <w:rsid w:val="00D16D91"/>
    <w:rsid w:val="00D16EFD"/>
    <w:rsid w:val="00D16F88"/>
    <w:rsid w:val="00D170EC"/>
    <w:rsid w:val="00D171FE"/>
    <w:rsid w:val="00D172CD"/>
    <w:rsid w:val="00D173E3"/>
    <w:rsid w:val="00D17656"/>
    <w:rsid w:val="00D17665"/>
    <w:rsid w:val="00D1769E"/>
    <w:rsid w:val="00D17859"/>
    <w:rsid w:val="00D179F0"/>
    <w:rsid w:val="00D17AAA"/>
    <w:rsid w:val="00D17C4C"/>
    <w:rsid w:val="00D17CD7"/>
    <w:rsid w:val="00D17D6C"/>
    <w:rsid w:val="00D17E4F"/>
    <w:rsid w:val="00D17EB7"/>
    <w:rsid w:val="00D17EE2"/>
    <w:rsid w:val="00D201C4"/>
    <w:rsid w:val="00D20269"/>
    <w:rsid w:val="00D20581"/>
    <w:rsid w:val="00D206B2"/>
    <w:rsid w:val="00D20709"/>
    <w:rsid w:val="00D20738"/>
    <w:rsid w:val="00D20776"/>
    <w:rsid w:val="00D207B6"/>
    <w:rsid w:val="00D20878"/>
    <w:rsid w:val="00D20B8E"/>
    <w:rsid w:val="00D20C93"/>
    <w:rsid w:val="00D20CFD"/>
    <w:rsid w:val="00D20FB2"/>
    <w:rsid w:val="00D21005"/>
    <w:rsid w:val="00D2104D"/>
    <w:rsid w:val="00D2111E"/>
    <w:rsid w:val="00D213D3"/>
    <w:rsid w:val="00D2143E"/>
    <w:rsid w:val="00D2155B"/>
    <w:rsid w:val="00D217F9"/>
    <w:rsid w:val="00D2185D"/>
    <w:rsid w:val="00D2185E"/>
    <w:rsid w:val="00D21914"/>
    <w:rsid w:val="00D21A40"/>
    <w:rsid w:val="00D21B4E"/>
    <w:rsid w:val="00D21C15"/>
    <w:rsid w:val="00D21E16"/>
    <w:rsid w:val="00D21F0D"/>
    <w:rsid w:val="00D21F69"/>
    <w:rsid w:val="00D2203D"/>
    <w:rsid w:val="00D220C0"/>
    <w:rsid w:val="00D221B2"/>
    <w:rsid w:val="00D22203"/>
    <w:rsid w:val="00D2220C"/>
    <w:rsid w:val="00D222B9"/>
    <w:rsid w:val="00D2235C"/>
    <w:rsid w:val="00D22444"/>
    <w:rsid w:val="00D22653"/>
    <w:rsid w:val="00D2267C"/>
    <w:rsid w:val="00D2278E"/>
    <w:rsid w:val="00D2281F"/>
    <w:rsid w:val="00D229AD"/>
    <w:rsid w:val="00D229E3"/>
    <w:rsid w:val="00D22A50"/>
    <w:rsid w:val="00D22A51"/>
    <w:rsid w:val="00D22AE0"/>
    <w:rsid w:val="00D22C3C"/>
    <w:rsid w:val="00D22C9E"/>
    <w:rsid w:val="00D22D91"/>
    <w:rsid w:val="00D22DA4"/>
    <w:rsid w:val="00D22EEF"/>
    <w:rsid w:val="00D22F11"/>
    <w:rsid w:val="00D22F1F"/>
    <w:rsid w:val="00D22F24"/>
    <w:rsid w:val="00D22FD7"/>
    <w:rsid w:val="00D2302F"/>
    <w:rsid w:val="00D2308D"/>
    <w:rsid w:val="00D231AE"/>
    <w:rsid w:val="00D233D5"/>
    <w:rsid w:val="00D23458"/>
    <w:rsid w:val="00D235D5"/>
    <w:rsid w:val="00D23689"/>
    <w:rsid w:val="00D2368D"/>
    <w:rsid w:val="00D236E0"/>
    <w:rsid w:val="00D237D1"/>
    <w:rsid w:val="00D2385D"/>
    <w:rsid w:val="00D23BCD"/>
    <w:rsid w:val="00D23D11"/>
    <w:rsid w:val="00D23E4D"/>
    <w:rsid w:val="00D240EB"/>
    <w:rsid w:val="00D242F4"/>
    <w:rsid w:val="00D243FD"/>
    <w:rsid w:val="00D244B6"/>
    <w:rsid w:val="00D2457C"/>
    <w:rsid w:val="00D24A2B"/>
    <w:rsid w:val="00D24A31"/>
    <w:rsid w:val="00D24A3B"/>
    <w:rsid w:val="00D24EB0"/>
    <w:rsid w:val="00D24F58"/>
    <w:rsid w:val="00D25024"/>
    <w:rsid w:val="00D2502F"/>
    <w:rsid w:val="00D25091"/>
    <w:rsid w:val="00D2513D"/>
    <w:rsid w:val="00D2546B"/>
    <w:rsid w:val="00D25632"/>
    <w:rsid w:val="00D257BD"/>
    <w:rsid w:val="00D258A6"/>
    <w:rsid w:val="00D258DA"/>
    <w:rsid w:val="00D25989"/>
    <w:rsid w:val="00D25A44"/>
    <w:rsid w:val="00D25AAF"/>
    <w:rsid w:val="00D25B35"/>
    <w:rsid w:val="00D25C23"/>
    <w:rsid w:val="00D25FC2"/>
    <w:rsid w:val="00D2600D"/>
    <w:rsid w:val="00D2606E"/>
    <w:rsid w:val="00D26168"/>
    <w:rsid w:val="00D26205"/>
    <w:rsid w:val="00D2631D"/>
    <w:rsid w:val="00D2637F"/>
    <w:rsid w:val="00D266B2"/>
    <w:rsid w:val="00D26833"/>
    <w:rsid w:val="00D26BBE"/>
    <w:rsid w:val="00D26C12"/>
    <w:rsid w:val="00D26D7E"/>
    <w:rsid w:val="00D26D99"/>
    <w:rsid w:val="00D26E9F"/>
    <w:rsid w:val="00D26F2D"/>
    <w:rsid w:val="00D26F6B"/>
    <w:rsid w:val="00D26FE3"/>
    <w:rsid w:val="00D270E0"/>
    <w:rsid w:val="00D270E8"/>
    <w:rsid w:val="00D272DD"/>
    <w:rsid w:val="00D273D2"/>
    <w:rsid w:val="00D2754D"/>
    <w:rsid w:val="00D27671"/>
    <w:rsid w:val="00D276BA"/>
    <w:rsid w:val="00D27880"/>
    <w:rsid w:val="00D278E7"/>
    <w:rsid w:val="00D27B27"/>
    <w:rsid w:val="00D27BE2"/>
    <w:rsid w:val="00D30068"/>
    <w:rsid w:val="00D3035E"/>
    <w:rsid w:val="00D303D3"/>
    <w:rsid w:val="00D304EE"/>
    <w:rsid w:val="00D30649"/>
    <w:rsid w:val="00D30702"/>
    <w:rsid w:val="00D307B7"/>
    <w:rsid w:val="00D3096F"/>
    <w:rsid w:val="00D309A3"/>
    <w:rsid w:val="00D30BFF"/>
    <w:rsid w:val="00D30C77"/>
    <w:rsid w:val="00D30D5B"/>
    <w:rsid w:val="00D30DD9"/>
    <w:rsid w:val="00D30E4F"/>
    <w:rsid w:val="00D30EA5"/>
    <w:rsid w:val="00D30F57"/>
    <w:rsid w:val="00D30FF3"/>
    <w:rsid w:val="00D312CC"/>
    <w:rsid w:val="00D31337"/>
    <w:rsid w:val="00D3142F"/>
    <w:rsid w:val="00D314EA"/>
    <w:rsid w:val="00D317EA"/>
    <w:rsid w:val="00D31A35"/>
    <w:rsid w:val="00D31A52"/>
    <w:rsid w:val="00D31A70"/>
    <w:rsid w:val="00D31AB9"/>
    <w:rsid w:val="00D31BD9"/>
    <w:rsid w:val="00D31CA0"/>
    <w:rsid w:val="00D321F8"/>
    <w:rsid w:val="00D32652"/>
    <w:rsid w:val="00D32805"/>
    <w:rsid w:val="00D328D8"/>
    <w:rsid w:val="00D32A77"/>
    <w:rsid w:val="00D32ADF"/>
    <w:rsid w:val="00D32C29"/>
    <w:rsid w:val="00D32D79"/>
    <w:rsid w:val="00D32E0E"/>
    <w:rsid w:val="00D32EC7"/>
    <w:rsid w:val="00D32EEF"/>
    <w:rsid w:val="00D32FEB"/>
    <w:rsid w:val="00D33006"/>
    <w:rsid w:val="00D33177"/>
    <w:rsid w:val="00D3346A"/>
    <w:rsid w:val="00D334B9"/>
    <w:rsid w:val="00D334C1"/>
    <w:rsid w:val="00D33518"/>
    <w:rsid w:val="00D3374B"/>
    <w:rsid w:val="00D33A17"/>
    <w:rsid w:val="00D33BAB"/>
    <w:rsid w:val="00D33BE9"/>
    <w:rsid w:val="00D33DD9"/>
    <w:rsid w:val="00D33E29"/>
    <w:rsid w:val="00D33EC5"/>
    <w:rsid w:val="00D33F93"/>
    <w:rsid w:val="00D33FB2"/>
    <w:rsid w:val="00D34096"/>
    <w:rsid w:val="00D3413C"/>
    <w:rsid w:val="00D34331"/>
    <w:rsid w:val="00D344AF"/>
    <w:rsid w:val="00D345C2"/>
    <w:rsid w:val="00D34708"/>
    <w:rsid w:val="00D34875"/>
    <w:rsid w:val="00D348B4"/>
    <w:rsid w:val="00D3491F"/>
    <w:rsid w:val="00D34929"/>
    <w:rsid w:val="00D349FA"/>
    <w:rsid w:val="00D34A40"/>
    <w:rsid w:val="00D34B4A"/>
    <w:rsid w:val="00D34B72"/>
    <w:rsid w:val="00D34C7C"/>
    <w:rsid w:val="00D34C99"/>
    <w:rsid w:val="00D34EE7"/>
    <w:rsid w:val="00D34F05"/>
    <w:rsid w:val="00D34F3F"/>
    <w:rsid w:val="00D34FDF"/>
    <w:rsid w:val="00D3512E"/>
    <w:rsid w:val="00D3534A"/>
    <w:rsid w:val="00D35640"/>
    <w:rsid w:val="00D357FF"/>
    <w:rsid w:val="00D35CC2"/>
    <w:rsid w:val="00D35CF0"/>
    <w:rsid w:val="00D35D8D"/>
    <w:rsid w:val="00D35EBF"/>
    <w:rsid w:val="00D35F26"/>
    <w:rsid w:val="00D35F9F"/>
    <w:rsid w:val="00D360CE"/>
    <w:rsid w:val="00D364CF"/>
    <w:rsid w:val="00D36575"/>
    <w:rsid w:val="00D36592"/>
    <w:rsid w:val="00D365D8"/>
    <w:rsid w:val="00D368E3"/>
    <w:rsid w:val="00D36A0D"/>
    <w:rsid w:val="00D36B64"/>
    <w:rsid w:val="00D36B99"/>
    <w:rsid w:val="00D36D1F"/>
    <w:rsid w:val="00D36E96"/>
    <w:rsid w:val="00D37011"/>
    <w:rsid w:val="00D370F1"/>
    <w:rsid w:val="00D37114"/>
    <w:rsid w:val="00D3722C"/>
    <w:rsid w:val="00D373AD"/>
    <w:rsid w:val="00D37475"/>
    <w:rsid w:val="00D37638"/>
    <w:rsid w:val="00D37992"/>
    <w:rsid w:val="00D37B21"/>
    <w:rsid w:val="00D37B41"/>
    <w:rsid w:val="00D37BD4"/>
    <w:rsid w:val="00D37C1C"/>
    <w:rsid w:val="00D37EA3"/>
    <w:rsid w:val="00D37F92"/>
    <w:rsid w:val="00D40113"/>
    <w:rsid w:val="00D40160"/>
    <w:rsid w:val="00D40223"/>
    <w:rsid w:val="00D4044E"/>
    <w:rsid w:val="00D40613"/>
    <w:rsid w:val="00D40680"/>
    <w:rsid w:val="00D40877"/>
    <w:rsid w:val="00D40997"/>
    <w:rsid w:val="00D40A21"/>
    <w:rsid w:val="00D40B06"/>
    <w:rsid w:val="00D40B1E"/>
    <w:rsid w:val="00D40B4D"/>
    <w:rsid w:val="00D40CB0"/>
    <w:rsid w:val="00D40CE7"/>
    <w:rsid w:val="00D40F1E"/>
    <w:rsid w:val="00D41157"/>
    <w:rsid w:val="00D4139E"/>
    <w:rsid w:val="00D41462"/>
    <w:rsid w:val="00D414C4"/>
    <w:rsid w:val="00D41524"/>
    <w:rsid w:val="00D416CD"/>
    <w:rsid w:val="00D41726"/>
    <w:rsid w:val="00D41939"/>
    <w:rsid w:val="00D41A5F"/>
    <w:rsid w:val="00D41BCE"/>
    <w:rsid w:val="00D41C90"/>
    <w:rsid w:val="00D41F20"/>
    <w:rsid w:val="00D42076"/>
    <w:rsid w:val="00D42092"/>
    <w:rsid w:val="00D42209"/>
    <w:rsid w:val="00D42356"/>
    <w:rsid w:val="00D424C7"/>
    <w:rsid w:val="00D42561"/>
    <w:rsid w:val="00D427FF"/>
    <w:rsid w:val="00D429A4"/>
    <w:rsid w:val="00D42A04"/>
    <w:rsid w:val="00D42B8B"/>
    <w:rsid w:val="00D42BF9"/>
    <w:rsid w:val="00D42D92"/>
    <w:rsid w:val="00D42E9B"/>
    <w:rsid w:val="00D42F1C"/>
    <w:rsid w:val="00D42F24"/>
    <w:rsid w:val="00D42F30"/>
    <w:rsid w:val="00D42F92"/>
    <w:rsid w:val="00D4301C"/>
    <w:rsid w:val="00D4326B"/>
    <w:rsid w:val="00D43294"/>
    <w:rsid w:val="00D432AC"/>
    <w:rsid w:val="00D432D5"/>
    <w:rsid w:val="00D433F0"/>
    <w:rsid w:val="00D43890"/>
    <w:rsid w:val="00D438D4"/>
    <w:rsid w:val="00D4396B"/>
    <w:rsid w:val="00D43AB8"/>
    <w:rsid w:val="00D43B2A"/>
    <w:rsid w:val="00D43C66"/>
    <w:rsid w:val="00D43CF1"/>
    <w:rsid w:val="00D43D83"/>
    <w:rsid w:val="00D43E4C"/>
    <w:rsid w:val="00D43F20"/>
    <w:rsid w:val="00D44192"/>
    <w:rsid w:val="00D4450A"/>
    <w:rsid w:val="00D4468A"/>
    <w:rsid w:val="00D44711"/>
    <w:rsid w:val="00D447ED"/>
    <w:rsid w:val="00D44A0E"/>
    <w:rsid w:val="00D44B56"/>
    <w:rsid w:val="00D44BD7"/>
    <w:rsid w:val="00D44BF3"/>
    <w:rsid w:val="00D44C62"/>
    <w:rsid w:val="00D44CFC"/>
    <w:rsid w:val="00D44D44"/>
    <w:rsid w:val="00D44E1B"/>
    <w:rsid w:val="00D45142"/>
    <w:rsid w:val="00D45474"/>
    <w:rsid w:val="00D455EB"/>
    <w:rsid w:val="00D455F8"/>
    <w:rsid w:val="00D45902"/>
    <w:rsid w:val="00D459E8"/>
    <w:rsid w:val="00D45BBD"/>
    <w:rsid w:val="00D45BD1"/>
    <w:rsid w:val="00D45CAD"/>
    <w:rsid w:val="00D45D47"/>
    <w:rsid w:val="00D45E59"/>
    <w:rsid w:val="00D45F09"/>
    <w:rsid w:val="00D461AF"/>
    <w:rsid w:val="00D461E6"/>
    <w:rsid w:val="00D4623C"/>
    <w:rsid w:val="00D46543"/>
    <w:rsid w:val="00D46585"/>
    <w:rsid w:val="00D4668F"/>
    <w:rsid w:val="00D46A47"/>
    <w:rsid w:val="00D46BA5"/>
    <w:rsid w:val="00D46DF6"/>
    <w:rsid w:val="00D46DFD"/>
    <w:rsid w:val="00D46FDB"/>
    <w:rsid w:val="00D47092"/>
    <w:rsid w:val="00D47396"/>
    <w:rsid w:val="00D474E1"/>
    <w:rsid w:val="00D47575"/>
    <w:rsid w:val="00D4769B"/>
    <w:rsid w:val="00D47735"/>
    <w:rsid w:val="00D477AC"/>
    <w:rsid w:val="00D477D4"/>
    <w:rsid w:val="00D478DC"/>
    <w:rsid w:val="00D479B1"/>
    <w:rsid w:val="00D47A19"/>
    <w:rsid w:val="00D47AB7"/>
    <w:rsid w:val="00D47AC0"/>
    <w:rsid w:val="00D47B46"/>
    <w:rsid w:val="00D47B7D"/>
    <w:rsid w:val="00D47EF2"/>
    <w:rsid w:val="00D47FBB"/>
    <w:rsid w:val="00D50134"/>
    <w:rsid w:val="00D501BB"/>
    <w:rsid w:val="00D502AE"/>
    <w:rsid w:val="00D50352"/>
    <w:rsid w:val="00D5044F"/>
    <w:rsid w:val="00D5046C"/>
    <w:rsid w:val="00D50646"/>
    <w:rsid w:val="00D506D4"/>
    <w:rsid w:val="00D50740"/>
    <w:rsid w:val="00D50778"/>
    <w:rsid w:val="00D5088E"/>
    <w:rsid w:val="00D508C6"/>
    <w:rsid w:val="00D509B2"/>
    <w:rsid w:val="00D50AED"/>
    <w:rsid w:val="00D50B69"/>
    <w:rsid w:val="00D50C62"/>
    <w:rsid w:val="00D50C8B"/>
    <w:rsid w:val="00D50DC0"/>
    <w:rsid w:val="00D50DE8"/>
    <w:rsid w:val="00D50E61"/>
    <w:rsid w:val="00D510FE"/>
    <w:rsid w:val="00D5112E"/>
    <w:rsid w:val="00D51138"/>
    <w:rsid w:val="00D512D6"/>
    <w:rsid w:val="00D5137D"/>
    <w:rsid w:val="00D513D6"/>
    <w:rsid w:val="00D516B1"/>
    <w:rsid w:val="00D517C2"/>
    <w:rsid w:val="00D517E6"/>
    <w:rsid w:val="00D518EA"/>
    <w:rsid w:val="00D519B5"/>
    <w:rsid w:val="00D519E3"/>
    <w:rsid w:val="00D51AD3"/>
    <w:rsid w:val="00D51C95"/>
    <w:rsid w:val="00D51CD3"/>
    <w:rsid w:val="00D51D11"/>
    <w:rsid w:val="00D51DCC"/>
    <w:rsid w:val="00D51DD6"/>
    <w:rsid w:val="00D51E23"/>
    <w:rsid w:val="00D51E53"/>
    <w:rsid w:val="00D51E91"/>
    <w:rsid w:val="00D51ECB"/>
    <w:rsid w:val="00D51F8D"/>
    <w:rsid w:val="00D51FDA"/>
    <w:rsid w:val="00D5203A"/>
    <w:rsid w:val="00D52225"/>
    <w:rsid w:val="00D52244"/>
    <w:rsid w:val="00D522FA"/>
    <w:rsid w:val="00D5236E"/>
    <w:rsid w:val="00D523D5"/>
    <w:rsid w:val="00D52436"/>
    <w:rsid w:val="00D5243B"/>
    <w:rsid w:val="00D525CE"/>
    <w:rsid w:val="00D525DF"/>
    <w:rsid w:val="00D52613"/>
    <w:rsid w:val="00D52676"/>
    <w:rsid w:val="00D52987"/>
    <w:rsid w:val="00D529C9"/>
    <w:rsid w:val="00D52C54"/>
    <w:rsid w:val="00D52D08"/>
    <w:rsid w:val="00D52FCA"/>
    <w:rsid w:val="00D5316A"/>
    <w:rsid w:val="00D53221"/>
    <w:rsid w:val="00D5324D"/>
    <w:rsid w:val="00D532AF"/>
    <w:rsid w:val="00D533EC"/>
    <w:rsid w:val="00D5346D"/>
    <w:rsid w:val="00D5352E"/>
    <w:rsid w:val="00D53557"/>
    <w:rsid w:val="00D535E7"/>
    <w:rsid w:val="00D53679"/>
    <w:rsid w:val="00D538CA"/>
    <w:rsid w:val="00D53A2C"/>
    <w:rsid w:val="00D53C76"/>
    <w:rsid w:val="00D53CEE"/>
    <w:rsid w:val="00D53D11"/>
    <w:rsid w:val="00D5409A"/>
    <w:rsid w:val="00D541B1"/>
    <w:rsid w:val="00D541F4"/>
    <w:rsid w:val="00D54332"/>
    <w:rsid w:val="00D5449C"/>
    <w:rsid w:val="00D54544"/>
    <w:rsid w:val="00D54566"/>
    <w:rsid w:val="00D545DA"/>
    <w:rsid w:val="00D54908"/>
    <w:rsid w:val="00D54988"/>
    <w:rsid w:val="00D5498C"/>
    <w:rsid w:val="00D549CC"/>
    <w:rsid w:val="00D54A51"/>
    <w:rsid w:val="00D54B30"/>
    <w:rsid w:val="00D54B5A"/>
    <w:rsid w:val="00D54CC9"/>
    <w:rsid w:val="00D54D70"/>
    <w:rsid w:val="00D54D73"/>
    <w:rsid w:val="00D54D79"/>
    <w:rsid w:val="00D5501F"/>
    <w:rsid w:val="00D5502D"/>
    <w:rsid w:val="00D553A7"/>
    <w:rsid w:val="00D554ED"/>
    <w:rsid w:val="00D555BB"/>
    <w:rsid w:val="00D556CF"/>
    <w:rsid w:val="00D556E7"/>
    <w:rsid w:val="00D558A5"/>
    <w:rsid w:val="00D55904"/>
    <w:rsid w:val="00D5592E"/>
    <w:rsid w:val="00D5593C"/>
    <w:rsid w:val="00D55A24"/>
    <w:rsid w:val="00D55A6D"/>
    <w:rsid w:val="00D55AFF"/>
    <w:rsid w:val="00D55B60"/>
    <w:rsid w:val="00D55D17"/>
    <w:rsid w:val="00D55F42"/>
    <w:rsid w:val="00D563A5"/>
    <w:rsid w:val="00D56501"/>
    <w:rsid w:val="00D56508"/>
    <w:rsid w:val="00D56578"/>
    <w:rsid w:val="00D565A6"/>
    <w:rsid w:val="00D567BB"/>
    <w:rsid w:val="00D569BB"/>
    <w:rsid w:val="00D56A7D"/>
    <w:rsid w:val="00D56A95"/>
    <w:rsid w:val="00D56BBD"/>
    <w:rsid w:val="00D56C42"/>
    <w:rsid w:val="00D56C66"/>
    <w:rsid w:val="00D56E87"/>
    <w:rsid w:val="00D56E88"/>
    <w:rsid w:val="00D56EB3"/>
    <w:rsid w:val="00D56F48"/>
    <w:rsid w:val="00D5706E"/>
    <w:rsid w:val="00D57074"/>
    <w:rsid w:val="00D5708E"/>
    <w:rsid w:val="00D5733F"/>
    <w:rsid w:val="00D57479"/>
    <w:rsid w:val="00D574D7"/>
    <w:rsid w:val="00D5759C"/>
    <w:rsid w:val="00D5760A"/>
    <w:rsid w:val="00D576D4"/>
    <w:rsid w:val="00D578BE"/>
    <w:rsid w:val="00D57A78"/>
    <w:rsid w:val="00D57C19"/>
    <w:rsid w:val="00D57C99"/>
    <w:rsid w:val="00D600E6"/>
    <w:rsid w:val="00D6023C"/>
    <w:rsid w:val="00D60431"/>
    <w:rsid w:val="00D60454"/>
    <w:rsid w:val="00D60564"/>
    <w:rsid w:val="00D60580"/>
    <w:rsid w:val="00D605F8"/>
    <w:rsid w:val="00D6075B"/>
    <w:rsid w:val="00D6076E"/>
    <w:rsid w:val="00D60849"/>
    <w:rsid w:val="00D60854"/>
    <w:rsid w:val="00D60859"/>
    <w:rsid w:val="00D60982"/>
    <w:rsid w:val="00D6098F"/>
    <w:rsid w:val="00D60A00"/>
    <w:rsid w:val="00D60A7A"/>
    <w:rsid w:val="00D60B13"/>
    <w:rsid w:val="00D60B39"/>
    <w:rsid w:val="00D60CF3"/>
    <w:rsid w:val="00D60D3D"/>
    <w:rsid w:val="00D60E7D"/>
    <w:rsid w:val="00D60F0C"/>
    <w:rsid w:val="00D60FD7"/>
    <w:rsid w:val="00D610F7"/>
    <w:rsid w:val="00D61299"/>
    <w:rsid w:val="00D612C4"/>
    <w:rsid w:val="00D612E8"/>
    <w:rsid w:val="00D6173D"/>
    <w:rsid w:val="00D6176A"/>
    <w:rsid w:val="00D61793"/>
    <w:rsid w:val="00D61E32"/>
    <w:rsid w:val="00D61E9B"/>
    <w:rsid w:val="00D62025"/>
    <w:rsid w:val="00D6216C"/>
    <w:rsid w:val="00D62779"/>
    <w:rsid w:val="00D62A64"/>
    <w:rsid w:val="00D62AAA"/>
    <w:rsid w:val="00D62AC5"/>
    <w:rsid w:val="00D62B8D"/>
    <w:rsid w:val="00D62C50"/>
    <w:rsid w:val="00D62C66"/>
    <w:rsid w:val="00D62C81"/>
    <w:rsid w:val="00D62C8E"/>
    <w:rsid w:val="00D62D65"/>
    <w:rsid w:val="00D62D6A"/>
    <w:rsid w:val="00D63339"/>
    <w:rsid w:val="00D6342C"/>
    <w:rsid w:val="00D634C8"/>
    <w:rsid w:val="00D63517"/>
    <w:rsid w:val="00D635EB"/>
    <w:rsid w:val="00D6374D"/>
    <w:rsid w:val="00D637C4"/>
    <w:rsid w:val="00D637D9"/>
    <w:rsid w:val="00D6381B"/>
    <w:rsid w:val="00D6387F"/>
    <w:rsid w:val="00D63943"/>
    <w:rsid w:val="00D63963"/>
    <w:rsid w:val="00D63D0A"/>
    <w:rsid w:val="00D63E51"/>
    <w:rsid w:val="00D63E83"/>
    <w:rsid w:val="00D63E89"/>
    <w:rsid w:val="00D63EEE"/>
    <w:rsid w:val="00D63F4F"/>
    <w:rsid w:val="00D6405F"/>
    <w:rsid w:val="00D64260"/>
    <w:rsid w:val="00D64347"/>
    <w:rsid w:val="00D644B8"/>
    <w:rsid w:val="00D6453C"/>
    <w:rsid w:val="00D647A4"/>
    <w:rsid w:val="00D647D4"/>
    <w:rsid w:val="00D64818"/>
    <w:rsid w:val="00D6482D"/>
    <w:rsid w:val="00D64881"/>
    <w:rsid w:val="00D64B6A"/>
    <w:rsid w:val="00D64E2A"/>
    <w:rsid w:val="00D64E83"/>
    <w:rsid w:val="00D64E9F"/>
    <w:rsid w:val="00D64FC9"/>
    <w:rsid w:val="00D650DF"/>
    <w:rsid w:val="00D6563B"/>
    <w:rsid w:val="00D656A3"/>
    <w:rsid w:val="00D65B74"/>
    <w:rsid w:val="00D65BEC"/>
    <w:rsid w:val="00D65C83"/>
    <w:rsid w:val="00D65FCB"/>
    <w:rsid w:val="00D65FF1"/>
    <w:rsid w:val="00D660FB"/>
    <w:rsid w:val="00D661B0"/>
    <w:rsid w:val="00D661B4"/>
    <w:rsid w:val="00D662D8"/>
    <w:rsid w:val="00D66779"/>
    <w:rsid w:val="00D6687F"/>
    <w:rsid w:val="00D668D9"/>
    <w:rsid w:val="00D669C6"/>
    <w:rsid w:val="00D66BDA"/>
    <w:rsid w:val="00D66C89"/>
    <w:rsid w:val="00D66D4F"/>
    <w:rsid w:val="00D66E20"/>
    <w:rsid w:val="00D66F7E"/>
    <w:rsid w:val="00D670C2"/>
    <w:rsid w:val="00D67255"/>
    <w:rsid w:val="00D67335"/>
    <w:rsid w:val="00D67439"/>
    <w:rsid w:val="00D6746E"/>
    <w:rsid w:val="00D674CE"/>
    <w:rsid w:val="00D67592"/>
    <w:rsid w:val="00D6763D"/>
    <w:rsid w:val="00D67683"/>
    <w:rsid w:val="00D676A4"/>
    <w:rsid w:val="00D677CD"/>
    <w:rsid w:val="00D67909"/>
    <w:rsid w:val="00D67B2B"/>
    <w:rsid w:val="00D67C6E"/>
    <w:rsid w:val="00D67C71"/>
    <w:rsid w:val="00D67CDE"/>
    <w:rsid w:val="00D67D2E"/>
    <w:rsid w:val="00D67D91"/>
    <w:rsid w:val="00D67DC4"/>
    <w:rsid w:val="00D67E1F"/>
    <w:rsid w:val="00D67F9B"/>
    <w:rsid w:val="00D70143"/>
    <w:rsid w:val="00D70190"/>
    <w:rsid w:val="00D704E9"/>
    <w:rsid w:val="00D705D1"/>
    <w:rsid w:val="00D70717"/>
    <w:rsid w:val="00D7077A"/>
    <w:rsid w:val="00D70AF0"/>
    <w:rsid w:val="00D70B4C"/>
    <w:rsid w:val="00D70C90"/>
    <w:rsid w:val="00D70F16"/>
    <w:rsid w:val="00D70FC0"/>
    <w:rsid w:val="00D71018"/>
    <w:rsid w:val="00D71135"/>
    <w:rsid w:val="00D711D4"/>
    <w:rsid w:val="00D7121B"/>
    <w:rsid w:val="00D71288"/>
    <w:rsid w:val="00D712D5"/>
    <w:rsid w:val="00D7132C"/>
    <w:rsid w:val="00D7133B"/>
    <w:rsid w:val="00D7146C"/>
    <w:rsid w:val="00D714C9"/>
    <w:rsid w:val="00D7152A"/>
    <w:rsid w:val="00D71534"/>
    <w:rsid w:val="00D71574"/>
    <w:rsid w:val="00D71655"/>
    <w:rsid w:val="00D71743"/>
    <w:rsid w:val="00D71A34"/>
    <w:rsid w:val="00D71AF7"/>
    <w:rsid w:val="00D71C8B"/>
    <w:rsid w:val="00D71D0C"/>
    <w:rsid w:val="00D71D7B"/>
    <w:rsid w:val="00D71DA7"/>
    <w:rsid w:val="00D71DD3"/>
    <w:rsid w:val="00D71F17"/>
    <w:rsid w:val="00D71FB3"/>
    <w:rsid w:val="00D71FCA"/>
    <w:rsid w:val="00D720B0"/>
    <w:rsid w:val="00D720E6"/>
    <w:rsid w:val="00D7212B"/>
    <w:rsid w:val="00D7212F"/>
    <w:rsid w:val="00D72175"/>
    <w:rsid w:val="00D72379"/>
    <w:rsid w:val="00D7249D"/>
    <w:rsid w:val="00D72536"/>
    <w:rsid w:val="00D72610"/>
    <w:rsid w:val="00D72617"/>
    <w:rsid w:val="00D7266A"/>
    <w:rsid w:val="00D7295F"/>
    <w:rsid w:val="00D729B2"/>
    <w:rsid w:val="00D72A76"/>
    <w:rsid w:val="00D72DAD"/>
    <w:rsid w:val="00D72F57"/>
    <w:rsid w:val="00D73012"/>
    <w:rsid w:val="00D73598"/>
    <w:rsid w:val="00D7388F"/>
    <w:rsid w:val="00D73BB2"/>
    <w:rsid w:val="00D73D1B"/>
    <w:rsid w:val="00D73FE2"/>
    <w:rsid w:val="00D740A8"/>
    <w:rsid w:val="00D74363"/>
    <w:rsid w:val="00D74406"/>
    <w:rsid w:val="00D7444D"/>
    <w:rsid w:val="00D744B6"/>
    <w:rsid w:val="00D744C7"/>
    <w:rsid w:val="00D7454B"/>
    <w:rsid w:val="00D745E4"/>
    <w:rsid w:val="00D7477D"/>
    <w:rsid w:val="00D74DE3"/>
    <w:rsid w:val="00D74E0F"/>
    <w:rsid w:val="00D74E38"/>
    <w:rsid w:val="00D74FA6"/>
    <w:rsid w:val="00D75373"/>
    <w:rsid w:val="00D75390"/>
    <w:rsid w:val="00D75495"/>
    <w:rsid w:val="00D7553F"/>
    <w:rsid w:val="00D75639"/>
    <w:rsid w:val="00D7564A"/>
    <w:rsid w:val="00D7565A"/>
    <w:rsid w:val="00D75699"/>
    <w:rsid w:val="00D757BE"/>
    <w:rsid w:val="00D75B81"/>
    <w:rsid w:val="00D75B88"/>
    <w:rsid w:val="00D75D48"/>
    <w:rsid w:val="00D75D74"/>
    <w:rsid w:val="00D75DDF"/>
    <w:rsid w:val="00D75DFF"/>
    <w:rsid w:val="00D75EA3"/>
    <w:rsid w:val="00D75F75"/>
    <w:rsid w:val="00D760B1"/>
    <w:rsid w:val="00D760F1"/>
    <w:rsid w:val="00D76206"/>
    <w:rsid w:val="00D76278"/>
    <w:rsid w:val="00D76348"/>
    <w:rsid w:val="00D76459"/>
    <w:rsid w:val="00D76484"/>
    <w:rsid w:val="00D76541"/>
    <w:rsid w:val="00D76570"/>
    <w:rsid w:val="00D766D6"/>
    <w:rsid w:val="00D766ED"/>
    <w:rsid w:val="00D76882"/>
    <w:rsid w:val="00D76A44"/>
    <w:rsid w:val="00D76B43"/>
    <w:rsid w:val="00D76BB2"/>
    <w:rsid w:val="00D76CBF"/>
    <w:rsid w:val="00D76E1E"/>
    <w:rsid w:val="00D76EB9"/>
    <w:rsid w:val="00D76EF0"/>
    <w:rsid w:val="00D76F26"/>
    <w:rsid w:val="00D76F2A"/>
    <w:rsid w:val="00D76F4F"/>
    <w:rsid w:val="00D770C2"/>
    <w:rsid w:val="00D771DD"/>
    <w:rsid w:val="00D775C8"/>
    <w:rsid w:val="00D775D9"/>
    <w:rsid w:val="00D77606"/>
    <w:rsid w:val="00D77679"/>
    <w:rsid w:val="00D7768F"/>
    <w:rsid w:val="00D777A3"/>
    <w:rsid w:val="00D77863"/>
    <w:rsid w:val="00D779FE"/>
    <w:rsid w:val="00D77B7D"/>
    <w:rsid w:val="00D77B94"/>
    <w:rsid w:val="00D77D7E"/>
    <w:rsid w:val="00D77DFF"/>
    <w:rsid w:val="00D8050D"/>
    <w:rsid w:val="00D8064F"/>
    <w:rsid w:val="00D8065F"/>
    <w:rsid w:val="00D80716"/>
    <w:rsid w:val="00D8074A"/>
    <w:rsid w:val="00D808CD"/>
    <w:rsid w:val="00D809AA"/>
    <w:rsid w:val="00D80AF2"/>
    <w:rsid w:val="00D80BCC"/>
    <w:rsid w:val="00D80C0C"/>
    <w:rsid w:val="00D80E44"/>
    <w:rsid w:val="00D80F7D"/>
    <w:rsid w:val="00D80FCA"/>
    <w:rsid w:val="00D810AD"/>
    <w:rsid w:val="00D8112C"/>
    <w:rsid w:val="00D811A3"/>
    <w:rsid w:val="00D811CA"/>
    <w:rsid w:val="00D812B4"/>
    <w:rsid w:val="00D812C9"/>
    <w:rsid w:val="00D81464"/>
    <w:rsid w:val="00D814E7"/>
    <w:rsid w:val="00D815EF"/>
    <w:rsid w:val="00D8160A"/>
    <w:rsid w:val="00D8164C"/>
    <w:rsid w:val="00D816B1"/>
    <w:rsid w:val="00D8178E"/>
    <w:rsid w:val="00D8180B"/>
    <w:rsid w:val="00D8192A"/>
    <w:rsid w:val="00D81948"/>
    <w:rsid w:val="00D81949"/>
    <w:rsid w:val="00D81D3F"/>
    <w:rsid w:val="00D81D84"/>
    <w:rsid w:val="00D81DDD"/>
    <w:rsid w:val="00D81E15"/>
    <w:rsid w:val="00D81F26"/>
    <w:rsid w:val="00D81F2D"/>
    <w:rsid w:val="00D8207B"/>
    <w:rsid w:val="00D821EC"/>
    <w:rsid w:val="00D82217"/>
    <w:rsid w:val="00D822CF"/>
    <w:rsid w:val="00D822E2"/>
    <w:rsid w:val="00D82307"/>
    <w:rsid w:val="00D823FD"/>
    <w:rsid w:val="00D82466"/>
    <w:rsid w:val="00D82513"/>
    <w:rsid w:val="00D82721"/>
    <w:rsid w:val="00D8274B"/>
    <w:rsid w:val="00D827A0"/>
    <w:rsid w:val="00D827C3"/>
    <w:rsid w:val="00D827F0"/>
    <w:rsid w:val="00D828B6"/>
    <w:rsid w:val="00D8291C"/>
    <w:rsid w:val="00D82C0A"/>
    <w:rsid w:val="00D82DEC"/>
    <w:rsid w:val="00D83080"/>
    <w:rsid w:val="00D833B4"/>
    <w:rsid w:val="00D8349F"/>
    <w:rsid w:val="00D83598"/>
    <w:rsid w:val="00D8385B"/>
    <w:rsid w:val="00D83BA3"/>
    <w:rsid w:val="00D83D33"/>
    <w:rsid w:val="00D843BF"/>
    <w:rsid w:val="00D843F2"/>
    <w:rsid w:val="00D8447C"/>
    <w:rsid w:val="00D846DA"/>
    <w:rsid w:val="00D8481F"/>
    <w:rsid w:val="00D84888"/>
    <w:rsid w:val="00D84CA5"/>
    <w:rsid w:val="00D84E3A"/>
    <w:rsid w:val="00D8502E"/>
    <w:rsid w:val="00D85053"/>
    <w:rsid w:val="00D850CA"/>
    <w:rsid w:val="00D85177"/>
    <w:rsid w:val="00D851A0"/>
    <w:rsid w:val="00D851EE"/>
    <w:rsid w:val="00D85324"/>
    <w:rsid w:val="00D853A3"/>
    <w:rsid w:val="00D853FF"/>
    <w:rsid w:val="00D85471"/>
    <w:rsid w:val="00D854C2"/>
    <w:rsid w:val="00D85550"/>
    <w:rsid w:val="00D857B1"/>
    <w:rsid w:val="00D85866"/>
    <w:rsid w:val="00D858EA"/>
    <w:rsid w:val="00D8591B"/>
    <w:rsid w:val="00D85935"/>
    <w:rsid w:val="00D8594D"/>
    <w:rsid w:val="00D859BC"/>
    <w:rsid w:val="00D861B0"/>
    <w:rsid w:val="00D8620B"/>
    <w:rsid w:val="00D86231"/>
    <w:rsid w:val="00D86389"/>
    <w:rsid w:val="00D86971"/>
    <w:rsid w:val="00D869AB"/>
    <w:rsid w:val="00D86EA6"/>
    <w:rsid w:val="00D86F0D"/>
    <w:rsid w:val="00D87148"/>
    <w:rsid w:val="00D871CB"/>
    <w:rsid w:val="00D873DD"/>
    <w:rsid w:val="00D87589"/>
    <w:rsid w:val="00D8765D"/>
    <w:rsid w:val="00D8777F"/>
    <w:rsid w:val="00D8782E"/>
    <w:rsid w:val="00D879B9"/>
    <w:rsid w:val="00D879BC"/>
    <w:rsid w:val="00D87AD0"/>
    <w:rsid w:val="00D87B1B"/>
    <w:rsid w:val="00D87D4D"/>
    <w:rsid w:val="00D87D9F"/>
    <w:rsid w:val="00D87E3E"/>
    <w:rsid w:val="00D87E49"/>
    <w:rsid w:val="00D87F33"/>
    <w:rsid w:val="00D87F56"/>
    <w:rsid w:val="00D90065"/>
    <w:rsid w:val="00D90100"/>
    <w:rsid w:val="00D901A5"/>
    <w:rsid w:val="00D9032C"/>
    <w:rsid w:val="00D904F8"/>
    <w:rsid w:val="00D9053E"/>
    <w:rsid w:val="00D90552"/>
    <w:rsid w:val="00D90655"/>
    <w:rsid w:val="00D90A35"/>
    <w:rsid w:val="00D90A3B"/>
    <w:rsid w:val="00D90C54"/>
    <w:rsid w:val="00D90CB3"/>
    <w:rsid w:val="00D90EF3"/>
    <w:rsid w:val="00D910A2"/>
    <w:rsid w:val="00D912AB"/>
    <w:rsid w:val="00D912EC"/>
    <w:rsid w:val="00D91315"/>
    <w:rsid w:val="00D91534"/>
    <w:rsid w:val="00D915F8"/>
    <w:rsid w:val="00D91923"/>
    <w:rsid w:val="00D91A53"/>
    <w:rsid w:val="00D91AAF"/>
    <w:rsid w:val="00D91B4C"/>
    <w:rsid w:val="00D91BC4"/>
    <w:rsid w:val="00D91F1F"/>
    <w:rsid w:val="00D92219"/>
    <w:rsid w:val="00D922A9"/>
    <w:rsid w:val="00D922F4"/>
    <w:rsid w:val="00D925C5"/>
    <w:rsid w:val="00D9262E"/>
    <w:rsid w:val="00D92823"/>
    <w:rsid w:val="00D92BCB"/>
    <w:rsid w:val="00D92C16"/>
    <w:rsid w:val="00D92C66"/>
    <w:rsid w:val="00D92D9D"/>
    <w:rsid w:val="00D92EA0"/>
    <w:rsid w:val="00D93573"/>
    <w:rsid w:val="00D93753"/>
    <w:rsid w:val="00D9379E"/>
    <w:rsid w:val="00D938C6"/>
    <w:rsid w:val="00D9399E"/>
    <w:rsid w:val="00D93CED"/>
    <w:rsid w:val="00D93F20"/>
    <w:rsid w:val="00D93F55"/>
    <w:rsid w:val="00D93F83"/>
    <w:rsid w:val="00D93FD8"/>
    <w:rsid w:val="00D93FFE"/>
    <w:rsid w:val="00D94029"/>
    <w:rsid w:val="00D9424E"/>
    <w:rsid w:val="00D94476"/>
    <w:rsid w:val="00D94714"/>
    <w:rsid w:val="00D9473A"/>
    <w:rsid w:val="00D94759"/>
    <w:rsid w:val="00D94FD8"/>
    <w:rsid w:val="00D95062"/>
    <w:rsid w:val="00D950D6"/>
    <w:rsid w:val="00D9518B"/>
    <w:rsid w:val="00D951CE"/>
    <w:rsid w:val="00D95342"/>
    <w:rsid w:val="00D95350"/>
    <w:rsid w:val="00D953E9"/>
    <w:rsid w:val="00D955A7"/>
    <w:rsid w:val="00D955E6"/>
    <w:rsid w:val="00D9595A"/>
    <w:rsid w:val="00D95AD5"/>
    <w:rsid w:val="00D95B30"/>
    <w:rsid w:val="00D95C4B"/>
    <w:rsid w:val="00D95CE5"/>
    <w:rsid w:val="00D95ED0"/>
    <w:rsid w:val="00D960D5"/>
    <w:rsid w:val="00D96237"/>
    <w:rsid w:val="00D96255"/>
    <w:rsid w:val="00D965F0"/>
    <w:rsid w:val="00D96985"/>
    <w:rsid w:val="00D96A4B"/>
    <w:rsid w:val="00D96AC3"/>
    <w:rsid w:val="00D96D65"/>
    <w:rsid w:val="00D96DFA"/>
    <w:rsid w:val="00D96EA0"/>
    <w:rsid w:val="00D96F9E"/>
    <w:rsid w:val="00D9710B"/>
    <w:rsid w:val="00D97167"/>
    <w:rsid w:val="00D971E0"/>
    <w:rsid w:val="00D97312"/>
    <w:rsid w:val="00D973C6"/>
    <w:rsid w:val="00D973F2"/>
    <w:rsid w:val="00D97571"/>
    <w:rsid w:val="00D975C4"/>
    <w:rsid w:val="00D97687"/>
    <w:rsid w:val="00D9769E"/>
    <w:rsid w:val="00D97801"/>
    <w:rsid w:val="00D97A37"/>
    <w:rsid w:val="00D97A9B"/>
    <w:rsid w:val="00D97AEF"/>
    <w:rsid w:val="00D97D7F"/>
    <w:rsid w:val="00D97D81"/>
    <w:rsid w:val="00D97DAB"/>
    <w:rsid w:val="00D97DD7"/>
    <w:rsid w:val="00D97DE4"/>
    <w:rsid w:val="00D97E5C"/>
    <w:rsid w:val="00D97E62"/>
    <w:rsid w:val="00D97F8C"/>
    <w:rsid w:val="00D97FE7"/>
    <w:rsid w:val="00DA00A5"/>
    <w:rsid w:val="00DA033F"/>
    <w:rsid w:val="00DA0511"/>
    <w:rsid w:val="00DA0790"/>
    <w:rsid w:val="00DA0872"/>
    <w:rsid w:val="00DA092E"/>
    <w:rsid w:val="00DA09CC"/>
    <w:rsid w:val="00DA0B1E"/>
    <w:rsid w:val="00DA0BC4"/>
    <w:rsid w:val="00DA0C9F"/>
    <w:rsid w:val="00DA0D02"/>
    <w:rsid w:val="00DA0E20"/>
    <w:rsid w:val="00DA0EBE"/>
    <w:rsid w:val="00DA0EDD"/>
    <w:rsid w:val="00DA10DD"/>
    <w:rsid w:val="00DA1243"/>
    <w:rsid w:val="00DA14A7"/>
    <w:rsid w:val="00DA155C"/>
    <w:rsid w:val="00DA16B2"/>
    <w:rsid w:val="00DA17CE"/>
    <w:rsid w:val="00DA17D8"/>
    <w:rsid w:val="00DA1A1C"/>
    <w:rsid w:val="00DA1A4C"/>
    <w:rsid w:val="00DA1A67"/>
    <w:rsid w:val="00DA1BB8"/>
    <w:rsid w:val="00DA1BD5"/>
    <w:rsid w:val="00DA1C23"/>
    <w:rsid w:val="00DA1CA3"/>
    <w:rsid w:val="00DA1CD0"/>
    <w:rsid w:val="00DA1CF0"/>
    <w:rsid w:val="00DA1D76"/>
    <w:rsid w:val="00DA20EE"/>
    <w:rsid w:val="00DA253C"/>
    <w:rsid w:val="00DA257A"/>
    <w:rsid w:val="00DA281E"/>
    <w:rsid w:val="00DA28E1"/>
    <w:rsid w:val="00DA291C"/>
    <w:rsid w:val="00DA295A"/>
    <w:rsid w:val="00DA2967"/>
    <w:rsid w:val="00DA2A9F"/>
    <w:rsid w:val="00DA2AAB"/>
    <w:rsid w:val="00DA2C4A"/>
    <w:rsid w:val="00DA2F78"/>
    <w:rsid w:val="00DA30F0"/>
    <w:rsid w:val="00DA3167"/>
    <w:rsid w:val="00DA3222"/>
    <w:rsid w:val="00DA3248"/>
    <w:rsid w:val="00DA3257"/>
    <w:rsid w:val="00DA33B3"/>
    <w:rsid w:val="00DA38B4"/>
    <w:rsid w:val="00DA39B8"/>
    <w:rsid w:val="00DA39E1"/>
    <w:rsid w:val="00DA3A04"/>
    <w:rsid w:val="00DA3A81"/>
    <w:rsid w:val="00DA3AA9"/>
    <w:rsid w:val="00DA3AF8"/>
    <w:rsid w:val="00DA3CBF"/>
    <w:rsid w:val="00DA3E4F"/>
    <w:rsid w:val="00DA3E6E"/>
    <w:rsid w:val="00DA3EA9"/>
    <w:rsid w:val="00DA3EF9"/>
    <w:rsid w:val="00DA3FB3"/>
    <w:rsid w:val="00DA4013"/>
    <w:rsid w:val="00DA4050"/>
    <w:rsid w:val="00DA406E"/>
    <w:rsid w:val="00DA43DF"/>
    <w:rsid w:val="00DA45E5"/>
    <w:rsid w:val="00DA460D"/>
    <w:rsid w:val="00DA4631"/>
    <w:rsid w:val="00DA4653"/>
    <w:rsid w:val="00DA4750"/>
    <w:rsid w:val="00DA4918"/>
    <w:rsid w:val="00DA4A94"/>
    <w:rsid w:val="00DA4AE6"/>
    <w:rsid w:val="00DA4B2C"/>
    <w:rsid w:val="00DA4BE3"/>
    <w:rsid w:val="00DA4D08"/>
    <w:rsid w:val="00DA4D9E"/>
    <w:rsid w:val="00DA4DC3"/>
    <w:rsid w:val="00DA4E3D"/>
    <w:rsid w:val="00DA4F13"/>
    <w:rsid w:val="00DA4F52"/>
    <w:rsid w:val="00DA4FB0"/>
    <w:rsid w:val="00DA517B"/>
    <w:rsid w:val="00DA5318"/>
    <w:rsid w:val="00DA541D"/>
    <w:rsid w:val="00DA5544"/>
    <w:rsid w:val="00DA59BF"/>
    <w:rsid w:val="00DA59D8"/>
    <w:rsid w:val="00DA5A1A"/>
    <w:rsid w:val="00DA5AA0"/>
    <w:rsid w:val="00DA5AEE"/>
    <w:rsid w:val="00DA5B75"/>
    <w:rsid w:val="00DA5C32"/>
    <w:rsid w:val="00DA5CDB"/>
    <w:rsid w:val="00DA5F13"/>
    <w:rsid w:val="00DA5FED"/>
    <w:rsid w:val="00DA60DA"/>
    <w:rsid w:val="00DA6146"/>
    <w:rsid w:val="00DA62B9"/>
    <w:rsid w:val="00DA62E2"/>
    <w:rsid w:val="00DA6423"/>
    <w:rsid w:val="00DA65C4"/>
    <w:rsid w:val="00DA661F"/>
    <w:rsid w:val="00DA6625"/>
    <w:rsid w:val="00DA6663"/>
    <w:rsid w:val="00DA666C"/>
    <w:rsid w:val="00DA66B3"/>
    <w:rsid w:val="00DA6789"/>
    <w:rsid w:val="00DA6824"/>
    <w:rsid w:val="00DA6B55"/>
    <w:rsid w:val="00DA6C53"/>
    <w:rsid w:val="00DA6D44"/>
    <w:rsid w:val="00DA6E34"/>
    <w:rsid w:val="00DA6F7B"/>
    <w:rsid w:val="00DA720B"/>
    <w:rsid w:val="00DA7261"/>
    <w:rsid w:val="00DA735F"/>
    <w:rsid w:val="00DA747F"/>
    <w:rsid w:val="00DA7524"/>
    <w:rsid w:val="00DA7544"/>
    <w:rsid w:val="00DA75C0"/>
    <w:rsid w:val="00DA7601"/>
    <w:rsid w:val="00DA7648"/>
    <w:rsid w:val="00DA7789"/>
    <w:rsid w:val="00DA77A5"/>
    <w:rsid w:val="00DA7965"/>
    <w:rsid w:val="00DA7A26"/>
    <w:rsid w:val="00DA7B51"/>
    <w:rsid w:val="00DA7C14"/>
    <w:rsid w:val="00DA7C9D"/>
    <w:rsid w:val="00DA7D07"/>
    <w:rsid w:val="00DA7DA7"/>
    <w:rsid w:val="00DA7DF8"/>
    <w:rsid w:val="00DB0077"/>
    <w:rsid w:val="00DB008A"/>
    <w:rsid w:val="00DB012B"/>
    <w:rsid w:val="00DB01ED"/>
    <w:rsid w:val="00DB020C"/>
    <w:rsid w:val="00DB0259"/>
    <w:rsid w:val="00DB04B0"/>
    <w:rsid w:val="00DB099E"/>
    <w:rsid w:val="00DB09A6"/>
    <w:rsid w:val="00DB0CE3"/>
    <w:rsid w:val="00DB0E36"/>
    <w:rsid w:val="00DB1147"/>
    <w:rsid w:val="00DB134D"/>
    <w:rsid w:val="00DB1415"/>
    <w:rsid w:val="00DB16F5"/>
    <w:rsid w:val="00DB171D"/>
    <w:rsid w:val="00DB173A"/>
    <w:rsid w:val="00DB189B"/>
    <w:rsid w:val="00DB19DE"/>
    <w:rsid w:val="00DB1B47"/>
    <w:rsid w:val="00DB1E36"/>
    <w:rsid w:val="00DB1E9B"/>
    <w:rsid w:val="00DB1EFD"/>
    <w:rsid w:val="00DB1F20"/>
    <w:rsid w:val="00DB1F73"/>
    <w:rsid w:val="00DB21E3"/>
    <w:rsid w:val="00DB2215"/>
    <w:rsid w:val="00DB2388"/>
    <w:rsid w:val="00DB24F7"/>
    <w:rsid w:val="00DB268E"/>
    <w:rsid w:val="00DB2723"/>
    <w:rsid w:val="00DB279D"/>
    <w:rsid w:val="00DB27BD"/>
    <w:rsid w:val="00DB289A"/>
    <w:rsid w:val="00DB292B"/>
    <w:rsid w:val="00DB298B"/>
    <w:rsid w:val="00DB29EA"/>
    <w:rsid w:val="00DB2B44"/>
    <w:rsid w:val="00DB2BE2"/>
    <w:rsid w:val="00DB3213"/>
    <w:rsid w:val="00DB331A"/>
    <w:rsid w:val="00DB33D0"/>
    <w:rsid w:val="00DB34E8"/>
    <w:rsid w:val="00DB34FC"/>
    <w:rsid w:val="00DB3666"/>
    <w:rsid w:val="00DB381A"/>
    <w:rsid w:val="00DB38C4"/>
    <w:rsid w:val="00DB39BF"/>
    <w:rsid w:val="00DB3D1D"/>
    <w:rsid w:val="00DB3D3F"/>
    <w:rsid w:val="00DB3DB3"/>
    <w:rsid w:val="00DB3DBF"/>
    <w:rsid w:val="00DB3F49"/>
    <w:rsid w:val="00DB4070"/>
    <w:rsid w:val="00DB41E6"/>
    <w:rsid w:val="00DB420D"/>
    <w:rsid w:val="00DB42E6"/>
    <w:rsid w:val="00DB4345"/>
    <w:rsid w:val="00DB434D"/>
    <w:rsid w:val="00DB4350"/>
    <w:rsid w:val="00DB46BD"/>
    <w:rsid w:val="00DB484F"/>
    <w:rsid w:val="00DB4A8F"/>
    <w:rsid w:val="00DB4B1C"/>
    <w:rsid w:val="00DB4B36"/>
    <w:rsid w:val="00DB4DF7"/>
    <w:rsid w:val="00DB4F84"/>
    <w:rsid w:val="00DB4FFC"/>
    <w:rsid w:val="00DB51E0"/>
    <w:rsid w:val="00DB53D8"/>
    <w:rsid w:val="00DB54AC"/>
    <w:rsid w:val="00DB555F"/>
    <w:rsid w:val="00DB5912"/>
    <w:rsid w:val="00DB59A0"/>
    <w:rsid w:val="00DB5A3F"/>
    <w:rsid w:val="00DB5D82"/>
    <w:rsid w:val="00DB5EB7"/>
    <w:rsid w:val="00DB5F0F"/>
    <w:rsid w:val="00DB6380"/>
    <w:rsid w:val="00DB651E"/>
    <w:rsid w:val="00DB6733"/>
    <w:rsid w:val="00DB6757"/>
    <w:rsid w:val="00DB69BC"/>
    <w:rsid w:val="00DB6A77"/>
    <w:rsid w:val="00DB6A84"/>
    <w:rsid w:val="00DB6EDD"/>
    <w:rsid w:val="00DB70DA"/>
    <w:rsid w:val="00DB70EA"/>
    <w:rsid w:val="00DB7121"/>
    <w:rsid w:val="00DB7293"/>
    <w:rsid w:val="00DB72C5"/>
    <w:rsid w:val="00DB7341"/>
    <w:rsid w:val="00DB75E5"/>
    <w:rsid w:val="00DB76D5"/>
    <w:rsid w:val="00DB78C6"/>
    <w:rsid w:val="00DB78FA"/>
    <w:rsid w:val="00DB7A5B"/>
    <w:rsid w:val="00DB7A68"/>
    <w:rsid w:val="00DB7AC1"/>
    <w:rsid w:val="00DB7E22"/>
    <w:rsid w:val="00DC002E"/>
    <w:rsid w:val="00DC0196"/>
    <w:rsid w:val="00DC021F"/>
    <w:rsid w:val="00DC0246"/>
    <w:rsid w:val="00DC02DB"/>
    <w:rsid w:val="00DC03AC"/>
    <w:rsid w:val="00DC0474"/>
    <w:rsid w:val="00DC04F6"/>
    <w:rsid w:val="00DC0690"/>
    <w:rsid w:val="00DC079A"/>
    <w:rsid w:val="00DC0918"/>
    <w:rsid w:val="00DC091D"/>
    <w:rsid w:val="00DC09C8"/>
    <w:rsid w:val="00DC0A70"/>
    <w:rsid w:val="00DC0B5A"/>
    <w:rsid w:val="00DC0C44"/>
    <w:rsid w:val="00DC0C98"/>
    <w:rsid w:val="00DC0D8E"/>
    <w:rsid w:val="00DC0DCC"/>
    <w:rsid w:val="00DC0F40"/>
    <w:rsid w:val="00DC0F5D"/>
    <w:rsid w:val="00DC0FA9"/>
    <w:rsid w:val="00DC0FF9"/>
    <w:rsid w:val="00DC105E"/>
    <w:rsid w:val="00DC11A2"/>
    <w:rsid w:val="00DC11A3"/>
    <w:rsid w:val="00DC127E"/>
    <w:rsid w:val="00DC136C"/>
    <w:rsid w:val="00DC15CA"/>
    <w:rsid w:val="00DC185B"/>
    <w:rsid w:val="00DC1981"/>
    <w:rsid w:val="00DC19CA"/>
    <w:rsid w:val="00DC19E7"/>
    <w:rsid w:val="00DC1ABA"/>
    <w:rsid w:val="00DC1C00"/>
    <w:rsid w:val="00DC1C24"/>
    <w:rsid w:val="00DC1C67"/>
    <w:rsid w:val="00DC1D65"/>
    <w:rsid w:val="00DC1F1B"/>
    <w:rsid w:val="00DC1F7E"/>
    <w:rsid w:val="00DC2038"/>
    <w:rsid w:val="00DC219A"/>
    <w:rsid w:val="00DC21F4"/>
    <w:rsid w:val="00DC2256"/>
    <w:rsid w:val="00DC2316"/>
    <w:rsid w:val="00DC255B"/>
    <w:rsid w:val="00DC27A6"/>
    <w:rsid w:val="00DC2833"/>
    <w:rsid w:val="00DC2924"/>
    <w:rsid w:val="00DC2A38"/>
    <w:rsid w:val="00DC2CAC"/>
    <w:rsid w:val="00DC2F36"/>
    <w:rsid w:val="00DC2F47"/>
    <w:rsid w:val="00DC2FE2"/>
    <w:rsid w:val="00DC3015"/>
    <w:rsid w:val="00DC3025"/>
    <w:rsid w:val="00DC30F8"/>
    <w:rsid w:val="00DC315E"/>
    <w:rsid w:val="00DC31B2"/>
    <w:rsid w:val="00DC3265"/>
    <w:rsid w:val="00DC3272"/>
    <w:rsid w:val="00DC3416"/>
    <w:rsid w:val="00DC34B5"/>
    <w:rsid w:val="00DC3553"/>
    <w:rsid w:val="00DC3644"/>
    <w:rsid w:val="00DC367C"/>
    <w:rsid w:val="00DC36EC"/>
    <w:rsid w:val="00DC36FD"/>
    <w:rsid w:val="00DC3787"/>
    <w:rsid w:val="00DC3C57"/>
    <w:rsid w:val="00DC3FE0"/>
    <w:rsid w:val="00DC471E"/>
    <w:rsid w:val="00DC4726"/>
    <w:rsid w:val="00DC4751"/>
    <w:rsid w:val="00DC47D0"/>
    <w:rsid w:val="00DC4816"/>
    <w:rsid w:val="00DC48E2"/>
    <w:rsid w:val="00DC4960"/>
    <w:rsid w:val="00DC4A10"/>
    <w:rsid w:val="00DC4B27"/>
    <w:rsid w:val="00DC4BB0"/>
    <w:rsid w:val="00DC4BD8"/>
    <w:rsid w:val="00DC4C9A"/>
    <w:rsid w:val="00DC50BA"/>
    <w:rsid w:val="00DC516F"/>
    <w:rsid w:val="00DC51C0"/>
    <w:rsid w:val="00DC51D9"/>
    <w:rsid w:val="00DC5216"/>
    <w:rsid w:val="00DC54ED"/>
    <w:rsid w:val="00DC5501"/>
    <w:rsid w:val="00DC55BE"/>
    <w:rsid w:val="00DC5760"/>
    <w:rsid w:val="00DC585A"/>
    <w:rsid w:val="00DC58F4"/>
    <w:rsid w:val="00DC5AC7"/>
    <w:rsid w:val="00DC5DE4"/>
    <w:rsid w:val="00DC5ECF"/>
    <w:rsid w:val="00DC5EFB"/>
    <w:rsid w:val="00DC6151"/>
    <w:rsid w:val="00DC640B"/>
    <w:rsid w:val="00DC65DC"/>
    <w:rsid w:val="00DC6647"/>
    <w:rsid w:val="00DC6648"/>
    <w:rsid w:val="00DC6685"/>
    <w:rsid w:val="00DC66B7"/>
    <w:rsid w:val="00DC6AD0"/>
    <w:rsid w:val="00DC6B4A"/>
    <w:rsid w:val="00DC6B73"/>
    <w:rsid w:val="00DC6BD9"/>
    <w:rsid w:val="00DC6E17"/>
    <w:rsid w:val="00DC6E38"/>
    <w:rsid w:val="00DC6F45"/>
    <w:rsid w:val="00DC707B"/>
    <w:rsid w:val="00DC70F7"/>
    <w:rsid w:val="00DC7154"/>
    <w:rsid w:val="00DC738B"/>
    <w:rsid w:val="00DC7492"/>
    <w:rsid w:val="00DC750B"/>
    <w:rsid w:val="00DC75BC"/>
    <w:rsid w:val="00DC7620"/>
    <w:rsid w:val="00DC780B"/>
    <w:rsid w:val="00DC7887"/>
    <w:rsid w:val="00DC7DCC"/>
    <w:rsid w:val="00DC7E8A"/>
    <w:rsid w:val="00DC7EF0"/>
    <w:rsid w:val="00DC7FE9"/>
    <w:rsid w:val="00DD005C"/>
    <w:rsid w:val="00DD01A8"/>
    <w:rsid w:val="00DD0254"/>
    <w:rsid w:val="00DD02B8"/>
    <w:rsid w:val="00DD04D0"/>
    <w:rsid w:val="00DD08C3"/>
    <w:rsid w:val="00DD08EE"/>
    <w:rsid w:val="00DD09D5"/>
    <w:rsid w:val="00DD0B4F"/>
    <w:rsid w:val="00DD0DD3"/>
    <w:rsid w:val="00DD0F78"/>
    <w:rsid w:val="00DD1141"/>
    <w:rsid w:val="00DD114A"/>
    <w:rsid w:val="00DD1163"/>
    <w:rsid w:val="00DD136F"/>
    <w:rsid w:val="00DD1492"/>
    <w:rsid w:val="00DD149E"/>
    <w:rsid w:val="00DD1581"/>
    <w:rsid w:val="00DD1749"/>
    <w:rsid w:val="00DD18A9"/>
    <w:rsid w:val="00DD1A27"/>
    <w:rsid w:val="00DD1A55"/>
    <w:rsid w:val="00DD1B63"/>
    <w:rsid w:val="00DD1D1E"/>
    <w:rsid w:val="00DD1DA5"/>
    <w:rsid w:val="00DD1DE6"/>
    <w:rsid w:val="00DD1E69"/>
    <w:rsid w:val="00DD20E3"/>
    <w:rsid w:val="00DD2256"/>
    <w:rsid w:val="00DD2365"/>
    <w:rsid w:val="00DD26A5"/>
    <w:rsid w:val="00DD273C"/>
    <w:rsid w:val="00DD290F"/>
    <w:rsid w:val="00DD2B80"/>
    <w:rsid w:val="00DD309A"/>
    <w:rsid w:val="00DD32BD"/>
    <w:rsid w:val="00DD32FE"/>
    <w:rsid w:val="00DD334A"/>
    <w:rsid w:val="00DD339B"/>
    <w:rsid w:val="00DD3421"/>
    <w:rsid w:val="00DD3554"/>
    <w:rsid w:val="00DD3582"/>
    <w:rsid w:val="00DD3728"/>
    <w:rsid w:val="00DD3B4D"/>
    <w:rsid w:val="00DD3C30"/>
    <w:rsid w:val="00DD3CAA"/>
    <w:rsid w:val="00DD3ED7"/>
    <w:rsid w:val="00DD3F28"/>
    <w:rsid w:val="00DD3F9E"/>
    <w:rsid w:val="00DD41B5"/>
    <w:rsid w:val="00DD432E"/>
    <w:rsid w:val="00DD4446"/>
    <w:rsid w:val="00DD4537"/>
    <w:rsid w:val="00DD471A"/>
    <w:rsid w:val="00DD482F"/>
    <w:rsid w:val="00DD4869"/>
    <w:rsid w:val="00DD48A9"/>
    <w:rsid w:val="00DD4972"/>
    <w:rsid w:val="00DD4A13"/>
    <w:rsid w:val="00DD4BB8"/>
    <w:rsid w:val="00DD4C1A"/>
    <w:rsid w:val="00DD4CE2"/>
    <w:rsid w:val="00DD4D6E"/>
    <w:rsid w:val="00DD4E15"/>
    <w:rsid w:val="00DD5274"/>
    <w:rsid w:val="00DD54E4"/>
    <w:rsid w:val="00DD5725"/>
    <w:rsid w:val="00DD590A"/>
    <w:rsid w:val="00DD5A0A"/>
    <w:rsid w:val="00DD5F21"/>
    <w:rsid w:val="00DD5F7E"/>
    <w:rsid w:val="00DD601C"/>
    <w:rsid w:val="00DD60D0"/>
    <w:rsid w:val="00DD610F"/>
    <w:rsid w:val="00DD6167"/>
    <w:rsid w:val="00DD62A0"/>
    <w:rsid w:val="00DD6475"/>
    <w:rsid w:val="00DD65C1"/>
    <w:rsid w:val="00DD669D"/>
    <w:rsid w:val="00DD67E3"/>
    <w:rsid w:val="00DD67F2"/>
    <w:rsid w:val="00DD68B1"/>
    <w:rsid w:val="00DD6942"/>
    <w:rsid w:val="00DD69B1"/>
    <w:rsid w:val="00DD69C9"/>
    <w:rsid w:val="00DD6A55"/>
    <w:rsid w:val="00DD6C97"/>
    <w:rsid w:val="00DD6FBE"/>
    <w:rsid w:val="00DD707D"/>
    <w:rsid w:val="00DD70C5"/>
    <w:rsid w:val="00DD7294"/>
    <w:rsid w:val="00DD73B8"/>
    <w:rsid w:val="00DD74EB"/>
    <w:rsid w:val="00DD75A5"/>
    <w:rsid w:val="00DD765A"/>
    <w:rsid w:val="00DD76F7"/>
    <w:rsid w:val="00DD7742"/>
    <w:rsid w:val="00DD78BB"/>
    <w:rsid w:val="00DD790E"/>
    <w:rsid w:val="00DD7BF9"/>
    <w:rsid w:val="00DD7C1C"/>
    <w:rsid w:val="00DD7DA8"/>
    <w:rsid w:val="00DD7DAD"/>
    <w:rsid w:val="00DD7E25"/>
    <w:rsid w:val="00DD7EC1"/>
    <w:rsid w:val="00DD7F66"/>
    <w:rsid w:val="00DE013F"/>
    <w:rsid w:val="00DE02A8"/>
    <w:rsid w:val="00DE0568"/>
    <w:rsid w:val="00DE05C5"/>
    <w:rsid w:val="00DE06FC"/>
    <w:rsid w:val="00DE0838"/>
    <w:rsid w:val="00DE086F"/>
    <w:rsid w:val="00DE09F6"/>
    <w:rsid w:val="00DE0D12"/>
    <w:rsid w:val="00DE0F57"/>
    <w:rsid w:val="00DE102D"/>
    <w:rsid w:val="00DE1142"/>
    <w:rsid w:val="00DE1259"/>
    <w:rsid w:val="00DE1265"/>
    <w:rsid w:val="00DE12B3"/>
    <w:rsid w:val="00DE150F"/>
    <w:rsid w:val="00DE1554"/>
    <w:rsid w:val="00DE1745"/>
    <w:rsid w:val="00DE1863"/>
    <w:rsid w:val="00DE192D"/>
    <w:rsid w:val="00DE1A04"/>
    <w:rsid w:val="00DE1AFE"/>
    <w:rsid w:val="00DE1B66"/>
    <w:rsid w:val="00DE1B76"/>
    <w:rsid w:val="00DE1C6D"/>
    <w:rsid w:val="00DE1C6E"/>
    <w:rsid w:val="00DE1F6E"/>
    <w:rsid w:val="00DE1F7B"/>
    <w:rsid w:val="00DE1FC7"/>
    <w:rsid w:val="00DE1FCA"/>
    <w:rsid w:val="00DE2304"/>
    <w:rsid w:val="00DE230F"/>
    <w:rsid w:val="00DE2541"/>
    <w:rsid w:val="00DE2746"/>
    <w:rsid w:val="00DE2919"/>
    <w:rsid w:val="00DE29B2"/>
    <w:rsid w:val="00DE29D8"/>
    <w:rsid w:val="00DE2A64"/>
    <w:rsid w:val="00DE2BFC"/>
    <w:rsid w:val="00DE2F70"/>
    <w:rsid w:val="00DE3017"/>
    <w:rsid w:val="00DE3028"/>
    <w:rsid w:val="00DE3129"/>
    <w:rsid w:val="00DE3138"/>
    <w:rsid w:val="00DE3242"/>
    <w:rsid w:val="00DE336D"/>
    <w:rsid w:val="00DE3484"/>
    <w:rsid w:val="00DE34EC"/>
    <w:rsid w:val="00DE37F8"/>
    <w:rsid w:val="00DE382A"/>
    <w:rsid w:val="00DE38D5"/>
    <w:rsid w:val="00DE3AA7"/>
    <w:rsid w:val="00DE3B08"/>
    <w:rsid w:val="00DE3B52"/>
    <w:rsid w:val="00DE3B64"/>
    <w:rsid w:val="00DE3B7E"/>
    <w:rsid w:val="00DE3B98"/>
    <w:rsid w:val="00DE3C09"/>
    <w:rsid w:val="00DE3C1A"/>
    <w:rsid w:val="00DE3C75"/>
    <w:rsid w:val="00DE3C8F"/>
    <w:rsid w:val="00DE3D21"/>
    <w:rsid w:val="00DE3DBE"/>
    <w:rsid w:val="00DE3E10"/>
    <w:rsid w:val="00DE3F22"/>
    <w:rsid w:val="00DE423A"/>
    <w:rsid w:val="00DE4273"/>
    <w:rsid w:val="00DE42FE"/>
    <w:rsid w:val="00DE43DB"/>
    <w:rsid w:val="00DE43DC"/>
    <w:rsid w:val="00DE4465"/>
    <w:rsid w:val="00DE45F9"/>
    <w:rsid w:val="00DE4602"/>
    <w:rsid w:val="00DE492D"/>
    <w:rsid w:val="00DE4A8B"/>
    <w:rsid w:val="00DE4BA6"/>
    <w:rsid w:val="00DE4BC4"/>
    <w:rsid w:val="00DE4D18"/>
    <w:rsid w:val="00DE4D92"/>
    <w:rsid w:val="00DE4E1E"/>
    <w:rsid w:val="00DE4E78"/>
    <w:rsid w:val="00DE4EA3"/>
    <w:rsid w:val="00DE4EE3"/>
    <w:rsid w:val="00DE4FCB"/>
    <w:rsid w:val="00DE50A6"/>
    <w:rsid w:val="00DE5276"/>
    <w:rsid w:val="00DE5309"/>
    <w:rsid w:val="00DE53B1"/>
    <w:rsid w:val="00DE54BB"/>
    <w:rsid w:val="00DE56A2"/>
    <w:rsid w:val="00DE56A8"/>
    <w:rsid w:val="00DE57BC"/>
    <w:rsid w:val="00DE58B6"/>
    <w:rsid w:val="00DE5A23"/>
    <w:rsid w:val="00DE5AF3"/>
    <w:rsid w:val="00DE5B5F"/>
    <w:rsid w:val="00DE5D07"/>
    <w:rsid w:val="00DE5DD1"/>
    <w:rsid w:val="00DE5E99"/>
    <w:rsid w:val="00DE5F29"/>
    <w:rsid w:val="00DE6121"/>
    <w:rsid w:val="00DE6157"/>
    <w:rsid w:val="00DE6200"/>
    <w:rsid w:val="00DE631C"/>
    <w:rsid w:val="00DE644C"/>
    <w:rsid w:val="00DE6547"/>
    <w:rsid w:val="00DE67DB"/>
    <w:rsid w:val="00DE6894"/>
    <w:rsid w:val="00DE692C"/>
    <w:rsid w:val="00DE6A88"/>
    <w:rsid w:val="00DE6B14"/>
    <w:rsid w:val="00DE6BCC"/>
    <w:rsid w:val="00DE6C8F"/>
    <w:rsid w:val="00DE6DEE"/>
    <w:rsid w:val="00DE6EB7"/>
    <w:rsid w:val="00DE704F"/>
    <w:rsid w:val="00DE70C7"/>
    <w:rsid w:val="00DE72A7"/>
    <w:rsid w:val="00DE747C"/>
    <w:rsid w:val="00DE7832"/>
    <w:rsid w:val="00DE7B60"/>
    <w:rsid w:val="00DE7BB5"/>
    <w:rsid w:val="00DE7BE8"/>
    <w:rsid w:val="00DE7C25"/>
    <w:rsid w:val="00DE7D72"/>
    <w:rsid w:val="00DE7E3C"/>
    <w:rsid w:val="00DE7EDC"/>
    <w:rsid w:val="00DE7FA0"/>
    <w:rsid w:val="00DF0226"/>
    <w:rsid w:val="00DF0237"/>
    <w:rsid w:val="00DF0318"/>
    <w:rsid w:val="00DF0442"/>
    <w:rsid w:val="00DF04BE"/>
    <w:rsid w:val="00DF0739"/>
    <w:rsid w:val="00DF0762"/>
    <w:rsid w:val="00DF093F"/>
    <w:rsid w:val="00DF0ABC"/>
    <w:rsid w:val="00DF0B4A"/>
    <w:rsid w:val="00DF0B5C"/>
    <w:rsid w:val="00DF0B70"/>
    <w:rsid w:val="00DF0C14"/>
    <w:rsid w:val="00DF0C17"/>
    <w:rsid w:val="00DF0DC4"/>
    <w:rsid w:val="00DF0F9F"/>
    <w:rsid w:val="00DF118A"/>
    <w:rsid w:val="00DF1396"/>
    <w:rsid w:val="00DF1606"/>
    <w:rsid w:val="00DF179C"/>
    <w:rsid w:val="00DF1838"/>
    <w:rsid w:val="00DF18FC"/>
    <w:rsid w:val="00DF1909"/>
    <w:rsid w:val="00DF1B8C"/>
    <w:rsid w:val="00DF1E12"/>
    <w:rsid w:val="00DF1E42"/>
    <w:rsid w:val="00DF1FE9"/>
    <w:rsid w:val="00DF202D"/>
    <w:rsid w:val="00DF2181"/>
    <w:rsid w:val="00DF2224"/>
    <w:rsid w:val="00DF236C"/>
    <w:rsid w:val="00DF23D3"/>
    <w:rsid w:val="00DF24D2"/>
    <w:rsid w:val="00DF259E"/>
    <w:rsid w:val="00DF26C4"/>
    <w:rsid w:val="00DF2741"/>
    <w:rsid w:val="00DF282C"/>
    <w:rsid w:val="00DF2852"/>
    <w:rsid w:val="00DF299E"/>
    <w:rsid w:val="00DF2AF1"/>
    <w:rsid w:val="00DF2BEC"/>
    <w:rsid w:val="00DF2C4A"/>
    <w:rsid w:val="00DF2C75"/>
    <w:rsid w:val="00DF2CAE"/>
    <w:rsid w:val="00DF2DC9"/>
    <w:rsid w:val="00DF2E86"/>
    <w:rsid w:val="00DF2F8F"/>
    <w:rsid w:val="00DF314C"/>
    <w:rsid w:val="00DF33D9"/>
    <w:rsid w:val="00DF3452"/>
    <w:rsid w:val="00DF355F"/>
    <w:rsid w:val="00DF35B2"/>
    <w:rsid w:val="00DF35D8"/>
    <w:rsid w:val="00DF3842"/>
    <w:rsid w:val="00DF3992"/>
    <w:rsid w:val="00DF39CF"/>
    <w:rsid w:val="00DF39E0"/>
    <w:rsid w:val="00DF3BBC"/>
    <w:rsid w:val="00DF3D48"/>
    <w:rsid w:val="00DF3DA9"/>
    <w:rsid w:val="00DF3E81"/>
    <w:rsid w:val="00DF3FE3"/>
    <w:rsid w:val="00DF40F6"/>
    <w:rsid w:val="00DF413A"/>
    <w:rsid w:val="00DF42F6"/>
    <w:rsid w:val="00DF45DE"/>
    <w:rsid w:val="00DF471D"/>
    <w:rsid w:val="00DF486F"/>
    <w:rsid w:val="00DF4987"/>
    <w:rsid w:val="00DF4AA3"/>
    <w:rsid w:val="00DF4C70"/>
    <w:rsid w:val="00DF4DB8"/>
    <w:rsid w:val="00DF5133"/>
    <w:rsid w:val="00DF5144"/>
    <w:rsid w:val="00DF51CD"/>
    <w:rsid w:val="00DF5328"/>
    <w:rsid w:val="00DF5525"/>
    <w:rsid w:val="00DF553A"/>
    <w:rsid w:val="00DF561B"/>
    <w:rsid w:val="00DF58BB"/>
    <w:rsid w:val="00DF58DC"/>
    <w:rsid w:val="00DF5904"/>
    <w:rsid w:val="00DF5D2B"/>
    <w:rsid w:val="00DF5D59"/>
    <w:rsid w:val="00DF60D5"/>
    <w:rsid w:val="00DF60E5"/>
    <w:rsid w:val="00DF6238"/>
    <w:rsid w:val="00DF6341"/>
    <w:rsid w:val="00DF642A"/>
    <w:rsid w:val="00DF65C4"/>
    <w:rsid w:val="00DF684A"/>
    <w:rsid w:val="00DF6907"/>
    <w:rsid w:val="00DF69C9"/>
    <w:rsid w:val="00DF6A15"/>
    <w:rsid w:val="00DF6C43"/>
    <w:rsid w:val="00DF6CC3"/>
    <w:rsid w:val="00DF6E04"/>
    <w:rsid w:val="00DF6E38"/>
    <w:rsid w:val="00DF6EBD"/>
    <w:rsid w:val="00DF72B5"/>
    <w:rsid w:val="00DF736B"/>
    <w:rsid w:val="00DF75C8"/>
    <w:rsid w:val="00DF76BA"/>
    <w:rsid w:val="00DF77BF"/>
    <w:rsid w:val="00DF7BEF"/>
    <w:rsid w:val="00DF7C11"/>
    <w:rsid w:val="00DF7C8B"/>
    <w:rsid w:val="00DF7D66"/>
    <w:rsid w:val="00DF7E38"/>
    <w:rsid w:val="00DF7E9B"/>
    <w:rsid w:val="00E00201"/>
    <w:rsid w:val="00E003D8"/>
    <w:rsid w:val="00E0040B"/>
    <w:rsid w:val="00E004A8"/>
    <w:rsid w:val="00E00951"/>
    <w:rsid w:val="00E0096D"/>
    <w:rsid w:val="00E009ED"/>
    <w:rsid w:val="00E00C18"/>
    <w:rsid w:val="00E00D56"/>
    <w:rsid w:val="00E00DD2"/>
    <w:rsid w:val="00E00DDC"/>
    <w:rsid w:val="00E00E8E"/>
    <w:rsid w:val="00E00EF7"/>
    <w:rsid w:val="00E012F1"/>
    <w:rsid w:val="00E0168B"/>
    <w:rsid w:val="00E016A5"/>
    <w:rsid w:val="00E017C9"/>
    <w:rsid w:val="00E01892"/>
    <w:rsid w:val="00E019AE"/>
    <w:rsid w:val="00E01A92"/>
    <w:rsid w:val="00E01ABE"/>
    <w:rsid w:val="00E01B81"/>
    <w:rsid w:val="00E01CCA"/>
    <w:rsid w:val="00E022A2"/>
    <w:rsid w:val="00E02321"/>
    <w:rsid w:val="00E02366"/>
    <w:rsid w:val="00E0236B"/>
    <w:rsid w:val="00E0256C"/>
    <w:rsid w:val="00E026DF"/>
    <w:rsid w:val="00E0273C"/>
    <w:rsid w:val="00E02757"/>
    <w:rsid w:val="00E0288F"/>
    <w:rsid w:val="00E029BD"/>
    <w:rsid w:val="00E02A59"/>
    <w:rsid w:val="00E02B4B"/>
    <w:rsid w:val="00E02C07"/>
    <w:rsid w:val="00E02D82"/>
    <w:rsid w:val="00E02D99"/>
    <w:rsid w:val="00E02E67"/>
    <w:rsid w:val="00E02EDF"/>
    <w:rsid w:val="00E02F4A"/>
    <w:rsid w:val="00E03129"/>
    <w:rsid w:val="00E03275"/>
    <w:rsid w:val="00E033AB"/>
    <w:rsid w:val="00E034FB"/>
    <w:rsid w:val="00E0353E"/>
    <w:rsid w:val="00E035A4"/>
    <w:rsid w:val="00E03BFE"/>
    <w:rsid w:val="00E03CB2"/>
    <w:rsid w:val="00E03CFE"/>
    <w:rsid w:val="00E03EE2"/>
    <w:rsid w:val="00E040F8"/>
    <w:rsid w:val="00E043B7"/>
    <w:rsid w:val="00E043C1"/>
    <w:rsid w:val="00E043FF"/>
    <w:rsid w:val="00E0442A"/>
    <w:rsid w:val="00E044C5"/>
    <w:rsid w:val="00E047F3"/>
    <w:rsid w:val="00E0482F"/>
    <w:rsid w:val="00E0494A"/>
    <w:rsid w:val="00E04F37"/>
    <w:rsid w:val="00E05078"/>
    <w:rsid w:val="00E0507B"/>
    <w:rsid w:val="00E050F5"/>
    <w:rsid w:val="00E051F2"/>
    <w:rsid w:val="00E05214"/>
    <w:rsid w:val="00E0539C"/>
    <w:rsid w:val="00E054C0"/>
    <w:rsid w:val="00E05509"/>
    <w:rsid w:val="00E05580"/>
    <w:rsid w:val="00E05630"/>
    <w:rsid w:val="00E0575B"/>
    <w:rsid w:val="00E05810"/>
    <w:rsid w:val="00E0589B"/>
    <w:rsid w:val="00E058DA"/>
    <w:rsid w:val="00E05A29"/>
    <w:rsid w:val="00E05BA5"/>
    <w:rsid w:val="00E05CC2"/>
    <w:rsid w:val="00E05D07"/>
    <w:rsid w:val="00E05E49"/>
    <w:rsid w:val="00E05EA9"/>
    <w:rsid w:val="00E06085"/>
    <w:rsid w:val="00E06168"/>
    <w:rsid w:val="00E06180"/>
    <w:rsid w:val="00E06488"/>
    <w:rsid w:val="00E06501"/>
    <w:rsid w:val="00E06585"/>
    <w:rsid w:val="00E066E6"/>
    <w:rsid w:val="00E06706"/>
    <w:rsid w:val="00E06741"/>
    <w:rsid w:val="00E067B0"/>
    <w:rsid w:val="00E068E0"/>
    <w:rsid w:val="00E06AB3"/>
    <w:rsid w:val="00E06DBB"/>
    <w:rsid w:val="00E06E5A"/>
    <w:rsid w:val="00E06E99"/>
    <w:rsid w:val="00E06F34"/>
    <w:rsid w:val="00E06F8A"/>
    <w:rsid w:val="00E06FC0"/>
    <w:rsid w:val="00E072F3"/>
    <w:rsid w:val="00E07349"/>
    <w:rsid w:val="00E0739C"/>
    <w:rsid w:val="00E073C9"/>
    <w:rsid w:val="00E07516"/>
    <w:rsid w:val="00E07578"/>
    <w:rsid w:val="00E07604"/>
    <w:rsid w:val="00E07651"/>
    <w:rsid w:val="00E07673"/>
    <w:rsid w:val="00E07701"/>
    <w:rsid w:val="00E077BD"/>
    <w:rsid w:val="00E077D7"/>
    <w:rsid w:val="00E0782A"/>
    <w:rsid w:val="00E0782F"/>
    <w:rsid w:val="00E078CB"/>
    <w:rsid w:val="00E07DD6"/>
    <w:rsid w:val="00E07ED4"/>
    <w:rsid w:val="00E07F04"/>
    <w:rsid w:val="00E10083"/>
    <w:rsid w:val="00E10149"/>
    <w:rsid w:val="00E10265"/>
    <w:rsid w:val="00E10303"/>
    <w:rsid w:val="00E1042E"/>
    <w:rsid w:val="00E1063B"/>
    <w:rsid w:val="00E10A84"/>
    <w:rsid w:val="00E10C5D"/>
    <w:rsid w:val="00E10C62"/>
    <w:rsid w:val="00E10CF1"/>
    <w:rsid w:val="00E10D29"/>
    <w:rsid w:val="00E10D2C"/>
    <w:rsid w:val="00E10FFB"/>
    <w:rsid w:val="00E11041"/>
    <w:rsid w:val="00E11076"/>
    <w:rsid w:val="00E11195"/>
    <w:rsid w:val="00E111A4"/>
    <w:rsid w:val="00E111E1"/>
    <w:rsid w:val="00E11340"/>
    <w:rsid w:val="00E11369"/>
    <w:rsid w:val="00E113C5"/>
    <w:rsid w:val="00E11448"/>
    <w:rsid w:val="00E114B8"/>
    <w:rsid w:val="00E1171F"/>
    <w:rsid w:val="00E11737"/>
    <w:rsid w:val="00E1178A"/>
    <w:rsid w:val="00E1180C"/>
    <w:rsid w:val="00E11CDF"/>
    <w:rsid w:val="00E11D12"/>
    <w:rsid w:val="00E11DD5"/>
    <w:rsid w:val="00E11E28"/>
    <w:rsid w:val="00E11E42"/>
    <w:rsid w:val="00E1204C"/>
    <w:rsid w:val="00E120B2"/>
    <w:rsid w:val="00E120CD"/>
    <w:rsid w:val="00E12158"/>
    <w:rsid w:val="00E1217B"/>
    <w:rsid w:val="00E121F1"/>
    <w:rsid w:val="00E122A1"/>
    <w:rsid w:val="00E1251F"/>
    <w:rsid w:val="00E12707"/>
    <w:rsid w:val="00E12788"/>
    <w:rsid w:val="00E12AAE"/>
    <w:rsid w:val="00E12C24"/>
    <w:rsid w:val="00E12CC0"/>
    <w:rsid w:val="00E12DE1"/>
    <w:rsid w:val="00E1303E"/>
    <w:rsid w:val="00E1309A"/>
    <w:rsid w:val="00E13179"/>
    <w:rsid w:val="00E1322A"/>
    <w:rsid w:val="00E13230"/>
    <w:rsid w:val="00E13335"/>
    <w:rsid w:val="00E134D0"/>
    <w:rsid w:val="00E134D9"/>
    <w:rsid w:val="00E13549"/>
    <w:rsid w:val="00E13A66"/>
    <w:rsid w:val="00E13CD2"/>
    <w:rsid w:val="00E13E28"/>
    <w:rsid w:val="00E14277"/>
    <w:rsid w:val="00E1428E"/>
    <w:rsid w:val="00E142CE"/>
    <w:rsid w:val="00E142E6"/>
    <w:rsid w:val="00E143BF"/>
    <w:rsid w:val="00E144EA"/>
    <w:rsid w:val="00E1451D"/>
    <w:rsid w:val="00E14583"/>
    <w:rsid w:val="00E148E3"/>
    <w:rsid w:val="00E148E4"/>
    <w:rsid w:val="00E149D6"/>
    <w:rsid w:val="00E14AC9"/>
    <w:rsid w:val="00E14AEA"/>
    <w:rsid w:val="00E14CA3"/>
    <w:rsid w:val="00E14E91"/>
    <w:rsid w:val="00E14F58"/>
    <w:rsid w:val="00E14F98"/>
    <w:rsid w:val="00E14FB5"/>
    <w:rsid w:val="00E15155"/>
    <w:rsid w:val="00E1522C"/>
    <w:rsid w:val="00E15338"/>
    <w:rsid w:val="00E153EA"/>
    <w:rsid w:val="00E156AE"/>
    <w:rsid w:val="00E157A8"/>
    <w:rsid w:val="00E158EC"/>
    <w:rsid w:val="00E15A6E"/>
    <w:rsid w:val="00E15B48"/>
    <w:rsid w:val="00E15B6C"/>
    <w:rsid w:val="00E15BCB"/>
    <w:rsid w:val="00E15C44"/>
    <w:rsid w:val="00E15C56"/>
    <w:rsid w:val="00E15DFD"/>
    <w:rsid w:val="00E15E89"/>
    <w:rsid w:val="00E15F64"/>
    <w:rsid w:val="00E15FF4"/>
    <w:rsid w:val="00E16063"/>
    <w:rsid w:val="00E16372"/>
    <w:rsid w:val="00E163B5"/>
    <w:rsid w:val="00E16479"/>
    <w:rsid w:val="00E1669A"/>
    <w:rsid w:val="00E167B6"/>
    <w:rsid w:val="00E16993"/>
    <w:rsid w:val="00E16AD8"/>
    <w:rsid w:val="00E16C2F"/>
    <w:rsid w:val="00E16F21"/>
    <w:rsid w:val="00E17043"/>
    <w:rsid w:val="00E1721C"/>
    <w:rsid w:val="00E173A2"/>
    <w:rsid w:val="00E174F5"/>
    <w:rsid w:val="00E1764C"/>
    <w:rsid w:val="00E177A8"/>
    <w:rsid w:val="00E1783F"/>
    <w:rsid w:val="00E1785C"/>
    <w:rsid w:val="00E17908"/>
    <w:rsid w:val="00E179B6"/>
    <w:rsid w:val="00E17C65"/>
    <w:rsid w:val="00E17FFA"/>
    <w:rsid w:val="00E201C2"/>
    <w:rsid w:val="00E20284"/>
    <w:rsid w:val="00E20330"/>
    <w:rsid w:val="00E203C0"/>
    <w:rsid w:val="00E204FA"/>
    <w:rsid w:val="00E208E8"/>
    <w:rsid w:val="00E20961"/>
    <w:rsid w:val="00E20A3D"/>
    <w:rsid w:val="00E20BC3"/>
    <w:rsid w:val="00E20CA6"/>
    <w:rsid w:val="00E20E4D"/>
    <w:rsid w:val="00E20ED6"/>
    <w:rsid w:val="00E2102D"/>
    <w:rsid w:val="00E210B7"/>
    <w:rsid w:val="00E2118D"/>
    <w:rsid w:val="00E2131A"/>
    <w:rsid w:val="00E21358"/>
    <w:rsid w:val="00E21463"/>
    <w:rsid w:val="00E2149E"/>
    <w:rsid w:val="00E21681"/>
    <w:rsid w:val="00E2170A"/>
    <w:rsid w:val="00E21864"/>
    <w:rsid w:val="00E219A4"/>
    <w:rsid w:val="00E21BCB"/>
    <w:rsid w:val="00E21C6C"/>
    <w:rsid w:val="00E21D3C"/>
    <w:rsid w:val="00E21D8D"/>
    <w:rsid w:val="00E21E2C"/>
    <w:rsid w:val="00E21F9F"/>
    <w:rsid w:val="00E2206D"/>
    <w:rsid w:val="00E220CD"/>
    <w:rsid w:val="00E221F3"/>
    <w:rsid w:val="00E22368"/>
    <w:rsid w:val="00E2249B"/>
    <w:rsid w:val="00E2284D"/>
    <w:rsid w:val="00E2292D"/>
    <w:rsid w:val="00E22A0D"/>
    <w:rsid w:val="00E22AE5"/>
    <w:rsid w:val="00E22AE7"/>
    <w:rsid w:val="00E22C53"/>
    <w:rsid w:val="00E2346E"/>
    <w:rsid w:val="00E234B7"/>
    <w:rsid w:val="00E23546"/>
    <w:rsid w:val="00E23575"/>
    <w:rsid w:val="00E236DF"/>
    <w:rsid w:val="00E237E4"/>
    <w:rsid w:val="00E23AEC"/>
    <w:rsid w:val="00E23BBD"/>
    <w:rsid w:val="00E23BD2"/>
    <w:rsid w:val="00E23BE4"/>
    <w:rsid w:val="00E23D7B"/>
    <w:rsid w:val="00E23DD9"/>
    <w:rsid w:val="00E23F16"/>
    <w:rsid w:val="00E23F4A"/>
    <w:rsid w:val="00E23F6C"/>
    <w:rsid w:val="00E23F8F"/>
    <w:rsid w:val="00E24033"/>
    <w:rsid w:val="00E24040"/>
    <w:rsid w:val="00E241E5"/>
    <w:rsid w:val="00E2422A"/>
    <w:rsid w:val="00E24333"/>
    <w:rsid w:val="00E2439C"/>
    <w:rsid w:val="00E24403"/>
    <w:rsid w:val="00E244F6"/>
    <w:rsid w:val="00E245A4"/>
    <w:rsid w:val="00E24B6F"/>
    <w:rsid w:val="00E24BE1"/>
    <w:rsid w:val="00E24C03"/>
    <w:rsid w:val="00E24C7D"/>
    <w:rsid w:val="00E24E84"/>
    <w:rsid w:val="00E24E8A"/>
    <w:rsid w:val="00E24F54"/>
    <w:rsid w:val="00E25075"/>
    <w:rsid w:val="00E250F9"/>
    <w:rsid w:val="00E251CA"/>
    <w:rsid w:val="00E253FD"/>
    <w:rsid w:val="00E25592"/>
    <w:rsid w:val="00E255FB"/>
    <w:rsid w:val="00E25738"/>
    <w:rsid w:val="00E257A7"/>
    <w:rsid w:val="00E2588D"/>
    <w:rsid w:val="00E258DB"/>
    <w:rsid w:val="00E259C1"/>
    <w:rsid w:val="00E259EC"/>
    <w:rsid w:val="00E25A62"/>
    <w:rsid w:val="00E25C97"/>
    <w:rsid w:val="00E25CAB"/>
    <w:rsid w:val="00E25CFA"/>
    <w:rsid w:val="00E25E0A"/>
    <w:rsid w:val="00E25EE0"/>
    <w:rsid w:val="00E25EF2"/>
    <w:rsid w:val="00E25FAA"/>
    <w:rsid w:val="00E2601A"/>
    <w:rsid w:val="00E26095"/>
    <w:rsid w:val="00E26175"/>
    <w:rsid w:val="00E261E0"/>
    <w:rsid w:val="00E262D4"/>
    <w:rsid w:val="00E264C2"/>
    <w:rsid w:val="00E26543"/>
    <w:rsid w:val="00E26590"/>
    <w:rsid w:val="00E265D2"/>
    <w:rsid w:val="00E266E5"/>
    <w:rsid w:val="00E26736"/>
    <w:rsid w:val="00E26855"/>
    <w:rsid w:val="00E2687C"/>
    <w:rsid w:val="00E2697E"/>
    <w:rsid w:val="00E26C92"/>
    <w:rsid w:val="00E26CE0"/>
    <w:rsid w:val="00E26DAB"/>
    <w:rsid w:val="00E27000"/>
    <w:rsid w:val="00E270EE"/>
    <w:rsid w:val="00E2711F"/>
    <w:rsid w:val="00E2737F"/>
    <w:rsid w:val="00E27519"/>
    <w:rsid w:val="00E27526"/>
    <w:rsid w:val="00E275F5"/>
    <w:rsid w:val="00E27628"/>
    <w:rsid w:val="00E2771E"/>
    <w:rsid w:val="00E27877"/>
    <w:rsid w:val="00E27930"/>
    <w:rsid w:val="00E279B8"/>
    <w:rsid w:val="00E27D92"/>
    <w:rsid w:val="00E27F4D"/>
    <w:rsid w:val="00E27F87"/>
    <w:rsid w:val="00E3004B"/>
    <w:rsid w:val="00E3009B"/>
    <w:rsid w:val="00E30121"/>
    <w:rsid w:val="00E3024A"/>
    <w:rsid w:val="00E3026E"/>
    <w:rsid w:val="00E302F8"/>
    <w:rsid w:val="00E30324"/>
    <w:rsid w:val="00E306F1"/>
    <w:rsid w:val="00E309B7"/>
    <w:rsid w:val="00E309FC"/>
    <w:rsid w:val="00E30A9F"/>
    <w:rsid w:val="00E30B98"/>
    <w:rsid w:val="00E30CBE"/>
    <w:rsid w:val="00E30D5D"/>
    <w:rsid w:val="00E30E7A"/>
    <w:rsid w:val="00E31025"/>
    <w:rsid w:val="00E31190"/>
    <w:rsid w:val="00E311EF"/>
    <w:rsid w:val="00E311F1"/>
    <w:rsid w:val="00E312D8"/>
    <w:rsid w:val="00E31382"/>
    <w:rsid w:val="00E314BA"/>
    <w:rsid w:val="00E31697"/>
    <w:rsid w:val="00E316EF"/>
    <w:rsid w:val="00E31736"/>
    <w:rsid w:val="00E31854"/>
    <w:rsid w:val="00E31864"/>
    <w:rsid w:val="00E31BFA"/>
    <w:rsid w:val="00E31E07"/>
    <w:rsid w:val="00E31E41"/>
    <w:rsid w:val="00E31F0B"/>
    <w:rsid w:val="00E32180"/>
    <w:rsid w:val="00E321C5"/>
    <w:rsid w:val="00E321EC"/>
    <w:rsid w:val="00E322A7"/>
    <w:rsid w:val="00E324B0"/>
    <w:rsid w:val="00E325EF"/>
    <w:rsid w:val="00E32873"/>
    <w:rsid w:val="00E3290B"/>
    <w:rsid w:val="00E32946"/>
    <w:rsid w:val="00E32B27"/>
    <w:rsid w:val="00E32FC6"/>
    <w:rsid w:val="00E32FE2"/>
    <w:rsid w:val="00E33115"/>
    <w:rsid w:val="00E33261"/>
    <w:rsid w:val="00E332B4"/>
    <w:rsid w:val="00E3341B"/>
    <w:rsid w:val="00E3361D"/>
    <w:rsid w:val="00E33A0C"/>
    <w:rsid w:val="00E33CE1"/>
    <w:rsid w:val="00E33D04"/>
    <w:rsid w:val="00E340D8"/>
    <w:rsid w:val="00E342F6"/>
    <w:rsid w:val="00E343CA"/>
    <w:rsid w:val="00E34412"/>
    <w:rsid w:val="00E34492"/>
    <w:rsid w:val="00E34586"/>
    <w:rsid w:val="00E347E0"/>
    <w:rsid w:val="00E34948"/>
    <w:rsid w:val="00E34C51"/>
    <w:rsid w:val="00E34D58"/>
    <w:rsid w:val="00E34F11"/>
    <w:rsid w:val="00E35043"/>
    <w:rsid w:val="00E352A8"/>
    <w:rsid w:val="00E3543D"/>
    <w:rsid w:val="00E3562E"/>
    <w:rsid w:val="00E356BC"/>
    <w:rsid w:val="00E35773"/>
    <w:rsid w:val="00E357AD"/>
    <w:rsid w:val="00E35971"/>
    <w:rsid w:val="00E3597A"/>
    <w:rsid w:val="00E35ABE"/>
    <w:rsid w:val="00E35AC2"/>
    <w:rsid w:val="00E35B4E"/>
    <w:rsid w:val="00E35C3B"/>
    <w:rsid w:val="00E35E93"/>
    <w:rsid w:val="00E36036"/>
    <w:rsid w:val="00E36094"/>
    <w:rsid w:val="00E36238"/>
    <w:rsid w:val="00E36258"/>
    <w:rsid w:val="00E362A5"/>
    <w:rsid w:val="00E36739"/>
    <w:rsid w:val="00E3676D"/>
    <w:rsid w:val="00E367BF"/>
    <w:rsid w:val="00E3687D"/>
    <w:rsid w:val="00E369D9"/>
    <w:rsid w:val="00E36A58"/>
    <w:rsid w:val="00E36A75"/>
    <w:rsid w:val="00E36B20"/>
    <w:rsid w:val="00E36CED"/>
    <w:rsid w:val="00E3736C"/>
    <w:rsid w:val="00E37569"/>
    <w:rsid w:val="00E377FC"/>
    <w:rsid w:val="00E37964"/>
    <w:rsid w:val="00E37965"/>
    <w:rsid w:val="00E37BE6"/>
    <w:rsid w:val="00E37DD9"/>
    <w:rsid w:val="00E37EC2"/>
    <w:rsid w:val="00E40013"/>
    <w:rsid w:val="00E401B2"/>
    <w:rsid w:val="00E40877"/>
    <w:rsid w:val="00E408C7"/>
    <w:rsid w:val="00E40942"/>
    <w:rsid w:val="00E409C8"/>
    <w:rsid w:val="00E40B22"/>
    <w:rsid w:val="00E40BF2"/>
    <w:rsid w:val="00E40C98"/>
    <w:rsid w:val="00E40D10"/>
    <w:rsid w:val="00E40D47"/>
    <w:rsid w:val="00E40D9D"/>
    <w:rsid w:val="00E40DD4"/>
    <w:rsid w:val="00E40E5B"/>
    <w:rsid w:val="00E410AD"/>
    <w:rsid w:val="00E410AE"/>
    <w:rsid w:val="00E41106"/>
    <w:rsid w:val="00E41107"/>
    <w:rsid w:val="00E411CB"/>
    <w:rsid w:val="00E41431"/>
    <w:rsid w:val="00E4152D"/>
    <w:rsid w:val="00E416A1"/>
    <w:rsid w:val="00E41727"/>
    <w:rsid w:val="00E41798"/>
    <w:rsid w:val="00E4183E"/>
    <w:rsid w:val="00E4186E"/>
    <w:rsid w:val="00E419B9"/>
    <w:rsid w:val="00E41B4D"/>
    <w:rsid w:val="00E41C19"/>
    <w:rsid w:val="00E41CB3"/>
    <w:rsid w:val="00E41E30"/>
    <w:rsid w:val="00E41F6A"/>
    <w:rsid w:val="00E42154"/>
    <w:rsid w:val="00E4215B"/>
    <w:rsid w:val="00E4216B"/>
    <w:rsid w:val="00E424F7"/>
    <w:rsid w:val="00E427D9"/>
    <w:rsid w:val="00E4293C"/>
    <w:rsid w:val="00E42ABE"/>
    <w:rsid w:val="00E42AE0"/>
    <w:rsid w:val="00E42C69"/>
    <w:rsid w:val="00E42C6C"/>
    <w:rsid w:val="00E42F73"/>
    <w:rsid w:val="00E43020"/>
    <w:rsid w:val="00E43028"/>
    <w:rsid w:val="00E43181"/>
    <w:rsid w:val="00E43187"/>
    <w:rsid w:val="00E431EF"/>
    <w:rsid w:val="00E43274"/>
    <w:rsid w:val="00E433F3"/>
    <w:rsid w:val="00E4353F"/>
    <w:rsid w:val="00E436A0"/>
    <w:rsid w:val="00E43821"/>
    <w:rsid w:val="00E4393D"/>
    <w:rsid w:val="00E43D70"/>
    <w:rsid w:val="00E43EED"/>
    <w:rsid w:val="00E4408D"/>
    <w:rsid w:val="00E4409A"/>
    <w:rsid w:val="00E4409B"/>
    <w:rsid w:val="00E44125"/>
    <w:rsid w:val="00E44428"/>
    <w:rsid w:val="00E4454E"/>
    <w:rsid w:val="00E445E6"/>
    <w:rsid w:val="00E44640"/>
    <w:rsid w:val="00E446E3"/>
    <w:rsid w:val="00E44785"/>
    <w:rsid w:val="00E447F7"/>
    <w:rsid w:val="00E4482B"/>
    <w:rsid w:val="00E44849"/>
    <w:rsid w:val="00E448F8"/>
    <w:rsid w:val="00E4499F"/>
    <w:rsid w:val="00E44BB7"/>
    <w:rsid w:val="00E44EA7"/>
    <w:rsid w:val="00E450E7"/>
    <w:rsid w:val="00E450E8"/>
    <w:rsid w:val="00E450FA"/>
    <w:rsid w:val="00E4512C"/>
    <w:rsid w:val="00E4527C"/>
    <w:rsid w:val="00E4538B"/>
    <w:rsid w:val="00E454ED"/>
    <w:rsid w:val="00E45653"/>
    <w:rsid w:val="00E45768"/>
    <w:rsid w:val="00E45924"/>
    <w:rsid w:val="00E45974"/>
    <w:rsid w:val="00E459C4"/>
    <w:rsid w:val="00E45B5D"/>
    <w:rsid w:val="00E45C6F"/>
    <w:rsid w:val="00E45E50"/>
    <w:rsid w:val="00E4657C"/>
    <w:rsid w:val="00E4659E"/>
    <w:rsid w:val="00E4669D"/>
    <w:rsid w:val="00E466F3"/>
    <w:rsid w:val="00E466FE"/>
    <w:rsid w:val="00E467C3"/>
    <w:rsid w:val="00E46A21"/>
    <w:rsid w:val="00E46A89"/>
    <w:rsid w:val="00E46CA5"/>
    <w:rsid w:val="00E46EF7"/>
    <w:rsid w:val="00E46FED"/>
    <w:rsid w:val="00E47005"/>
    <w:rsid w:val="00E47090"/>
    <w:rsid w:val="00E470BD"/>
    <w:rsid w:val="00E471E1"/>
    <w:rsid w:val="00E471E9"/>
    <w:rsid w:val="00E4747A"/>
    <w:rsid w:val="00E474B3"/>
    <w:rsid w:val="00E4751D"/>
    <w:rsid w:val="00E4756A"/>
    <w:rsid w:val="00E47584"/>
    <w:rsid w:val="00E4767E"/>
    <w:rsid w:val="00E476DA"/>
    <w:rsid w:val="00E478CF"/>
    <w:rsid w:val="00E47A71"/>
    <w:rsid w:val="00E47B2C"/>
    <w:rsid w:val="00E47CE6"/>
    <w:rsid w:val="00E47D49"/>
    <w:rsid w:val="00E47DBB"/>
    <w:rsid w:val="00E47ED0"/>
    <w:rsid w:val="00E47F29"/>
    <w:rsid w:val="00E500A3"/>
    <w:rsid w:val="00E500B3"/>
    <w:rsid w:val="00E501F2"/>
    <w:rsid w:val="00E5048E"/>
    <w:rsid w:val="00E504FA"/>
    <w:rsid w:val="00E50779"/>
    <w:rsid w:val="00E50993"/>
    <w:rsid w:val="00E50A18"/>
    <w:rsid w:val="00E50A32"/>
    <w:rsid w:val="00E50ABB"/>
    <w:rsid w:val="00E50C2E"/>
    <w:rsid w:val="00E50E06"/>
    <w:rsid w:val="00E50F3A"/>
    <w:rsid w:val="00E50F9A"/>
    <w:rsid w:val="00E5109C"/>
    <w:rsid w:val="00E51166"/>
    <w:rsid w:val="00E5124B"/>
    <w:rsid w:val="00E513A2"/>
    <w:rsid w:val="00E513A9"/>
    <w:rsid w:val="00E51449"/>
    <w:rsid w:val="00E514AD"/>
    <w:rsid w:val="00E51560"/>
    <w:rsid w:val="00E5166C"/>
    <w:rsid w:val="00E516EC"/>
    <w:rsid w:val="00E51821"/>
    <w:rsid w:val="00E51B06"/>
    <w:rsid w:val="00E51B90"/>
    <w:rsid w:val="00E51BC1"/>
    <w:rsid w:val="00E51C1A"/>
    <w:rsid w:val="00E51E0A"/>
    <w:rsid w:val="00E51ED7"/>
    <w:rsid w:val="00E51F43"/>
    <w:rsid w:val="00E520BF"/>
    <w:rsid w:val="00E52231"/>
    <w:rsid w:val="00E5260A"/>
    <w:rsid w:val="00E52753"/>
    <w:rsid w:val="00E5294A"/>
    <w:rsid w:val="00E529C3"/>
    <w:rsid w:val="00E52A8A"/>
    <w:rsid w:val="00E52B20"/>
    <w:rsid w:val="00E52BB3"/>
    <w:rsid w:val="00E52DE0"/>
    <w:rsid w:val="00E52DFC"/>
    <w:rsid w:val="00E5307C"/>
    <w:rsid w:val="00E5317A"/>
    <w:rsid w:val="00E53407"/>
    <w:rsid w:val="00E5350E"/>
    <w:rsid w:val="00E53A6C"/>
    <w:rsid w:val="00E53B59"/>
    <w:rsid w:val="00E53B70"/>
    <w:rsid w:val="00E53D33"/>
    <w:rsid w:val="00E53FC8"/>
    <w:rsid w:val="00E540A4"/>
    <w:rsid w:val="00E540D1"/>
    <w:rsid w:val="00E54347"/>
    <w:rsid w:val="00E543F8"/>
    <w:rsid w:val="00E54513"/>
    <w:rsid w:val="00E54A6C"/>
    <w:rsid w:val="00E54EF6"/>
    <w:rsid w:val="00E55424"/>
    <w:rsid w:val="00E55634"/>
    <w:rsid w:val="00E55791"/>
    <w:rsid w:val="00E55915"/>
    <w:rsid w:val="00E55934"/>
    <w:rsid w:val="00E55A6C"/>
    <w:rsid w:val="00E55BB1"/>
    <w:rsid w:val="00E55BB5"/>
    <w:rsid w:val="00E55CDC"/>
    <w:rsid w:val="00E55CE0"/>
    <w:rsid w:val="00E55D9A"/>
    <w:rsid w:val="00E55FD8"/>
    <w:rsid w:val="00E56272"/>
    <w:rsid w:val="00E562A6"/>
    <w:rsid w:val="00E5637A"/>
    <w:rsid w:val="00E563DB"/>
    <w:rsid w:val="00E56433"/>
    <w:rsid w:val="00E5661E"/>
    <w:rsid w:val="00E568AA"/>
    <w:rsid w:val="00E56A71"/>
    <w:rsid w:val="00E56AB6"/>
    <w:rsid w:val="00E56B3C"/>
    <w:rsid w:val="00E56BB8"/>
    <w:rsid w:val="00E56E2C"/>
    <w:rsid w:val="00E56EA4"/>
    <w:rsid w:val="00E56F46"/>
    <w:rsid w:val="00E570D1"/>
    <w:rsid w:val="00E57103"/>
    <w:rsid w:val="00E571CA"/>
    <w:rsid w:val="00E57556"/>
    <w:rsid w:val="00E575D7"/>
    <w:rsid w:val="00E5763E"/>
    <w:rsid w:val="00E576FE"/>
    <w:rsid w:val="00E5784B"/>
    <w:rsid w:val="00E57851"/>
    <w:rsid w:val="00E57A59"/>
    <w:rsid w:val="00E57A90"/>
    <w:rsid w:val="00E57CDD"/>
    <w:rsid w:val="00E57DEE"/>
    <w:rsid w:val="00E57EB6"/>
    <w:rsid w:val="00E57F87"/>
    <w:rsid w:val="00E57FB2"/>
    <w:rsid w:val="00E600BC"/>
    <w:rsid w:val="00E6088D"/>
    <w:rsid w:val="00E608AF"/>
    <w:rsid w:val="00E60BBE"/>
    <w:rsid w:val="00E60C5D"/>
    <w:rsid w:val="00E60D07"/>
    <w:rsid w:val="00E60DB9"/>
    <w:rsid w:val="00E60DCA"/>
    <w:rsid w:val="00E60E1C"/>
    <w:rsid w:val="00E61109"/>
    <w:rsid w:val="00E611CE"/>
    <w:rsid w:val="00E611DF"/>
    <w:rsid w:val="00E614CC"/>
    <w:rsid w:val="00E615AB"/>
    <w:rsid w:val="00E615DB"/>
    <w:rsid w:val="00E615E2"/>
    <w:rsid w:val="00E616C5"/>
    <w:rsid w:val="00E617A8"/>
    <w:rsid w:val="00E618E2"/>
    <w:rsid w:val="00E61964"/>
    <w:rsid w:val="00E619B9"/>
    <w:rsid w:val="00E61A23"/>
    <w:rsid w:val="00E61AA5"/>
    <w:rsid w:val="00E61B42"/>
    <w:rsid w:val="00E61B99"/>
    <w:rsid w:val="00E61BCD"/>
    <w:rsid w:val="00E61CAE"/>
    <w:rsid w:val="00E62010"/>
    <w:rsid w:val="00E62093"/>
    <w:rsid w:val="00E623CA"/>
    <w:rsid w:val="00E6241B"/>
    <w:rsid w:val="00E6252F"/>
    <w:rsid w:val="00E6257B"/>
    <w:rsid w:val="00E625DE"/>
    <w:rsid w:val="00E62647"/>
    <w:rsid w:val="00E62748"/>
    <w:rsid w:val="00E627F7"/>
    <w:rsid w:val="00E62956"/>
    <w:rsid w:val="00E62A1C"/>
    <w:rsid w:val="00E62B49"/>
    <w:rsid w:val="00E62B6C"/>
    <w:rsid w:val="00E62B88"/>
    <w:rsid w:val="00E62EC0"/>
    <w:rsid w:val="00E62FF7"/>
    <w:rsid w:val="00E6316E"/>
    <w:rsid w:val="00E63393"/>
    <w:rsid w:val="00E633DB"/>
    <w:rsid w:val="00E6341D"/>
    <w:rsid w:val="00E63521"/>
    <w:rsid w:val="00E63556"/>
    <w:rsid w:val="00E63715"/>
    <w:rsid w:val="00E63797"/>
    <w:rsid w:val="00E63811"/>
    <w:rsid w:val="00E63873"/>
    <w:rsid w:val="00E639AD"/>
    <w:rsid w:val="00E639CF"/>
    <w:rsid w:val="00E63CFD"/>
    <w:rsid w:val="00E63D10"/>
    <w:rsid w:val="00E63DB7"/>
    <w:rsid w:val="00E640FD"/>
    <w:rsid w:val="00E641D2"/>
    <w:rsid w:val="00E641F1"/>
    <w:rsid w:val="00E6424F"/>
    <w:rsid w:val="00E6439B"/>
    <w:rsid w:val="00E643D9"/>
    <w:rsid w:val="00E643FD"/>
    <w:rsid w:val="00E6448B"/>
    <w:rsid w:val="00E644AE"/>
    <w:rsid w:val="00E645F1"/>
    <w:rsid w:val="00E64758"/>
    <w:rsid w:val="00E64A9D"/>
    <w:rsid w:val="00E64D41"/>
    <w:rsid w:val="00E64FF6"/>
    <w:rsid w:val="00E6517F"/>
    <w:rsid w:val="00E65191"/>
    <w:rsid w:val="00E6524A"/>
    <w:rsid w:val="00E654AA"/>
    <w:rsid w:val="00E655E9"/>
    <w:rsid w:val="00E6560B"/>
    <w:rsid w:val="00E6583D"/>
    <w:rsid w:val="00E658E7"/>
    <w:rsid w:val="00E65917"/>
    <w:rsid w:val="00E6595B"/>
    <w:rsid w:val="00E65969"/>
    <w:rsid w:val="00E659BE"/>
    <w:rsid w:val="00E65C09"/>
    <w:rsid w:val="00E65E79"/>
    <w:rsid w:val="00E65EB2"/>
    <w:rsid w:val="00E65FCC"/>
    <w:rsid w:val="00E66147"/>
    <w:rsid w:val="00E6624F"/>
    <w:rsid w:val="00E66487"/>
    <w:rsid w:val="00E6652B"/>
    <w:rsid w:val="00E666BD"/>
    <w:rsid w:val="00E666C1"/>
    <w:rsid w:val="00E66738"/>
    <w:rsid w:val="00E66814"/>
    <w:rsid w:val="00E66B54"/>
    <w:rsid w:val="00E66BA2"/>
    <w:rsid w:val="00E66D39"/>
    <w:rsid w:val="00E66D7A"/>
    <w:rsid w:val="00E66E06"/>
    <w:rsid w:val="00E66ED7"/>
    <w:rsid w:val="00E67089"/>
    <w:rsid w:val="00E670A7"/>
    <w:rsid w:val="00E67416"/>
    <w:rsid w:val="00E67831"/>
    <w:rsid w:val="00E67944"/>
    <w:rsid w:val="00E67958"/>
    <w:rsid w:val="00E6799C"/>
    <w:rsid w:val="00E67AFB"/>
    <w:rsid w:val="00E67B54"/>
    <w:rsid w:val="00E67BF6"/>
    <w:rsid w:val="00E67C06"/>
    <w:rsid w:val="00E67C33"/>
    <w:rsid w:val="00E67D31"/>
    <w:rsid w:val="00E67DB8"/>
    <w:rsid w:val="00E67EE7"/>
    <w:rsid w:val="00E7009D"/>
    <w:rsid w:val="00E700D8"/>
    <w:rsid w:val="00E701C3"/>
    <w:rsid w:val="00E70230"/>
    <w:rsid w:val="00E705A7"/>
    <w:rsid w:val="00E7087E"/>
    <w:rsid w:val="00E70890"/>
    <w:rsid w:val="00E708A1"/>
    <w:rsid w:val="00E709AA"/>
    <w:rsid w:val="00E70C29"/>
    <w:rsid w:val="00E70C2D"/>
    <w:rsid w:val="00E70C36"/>
    <w:rsid w:val="00E70C7A"/>
    <w:rsid w:val="00E70E80"/>
    <w:rsid w:val="00E70EBE"/>
    <w:rsid w:val="00E70F11"/>
    <w:rsid w:val="00E7116F"/>
    <w:rsid w:val="00E711C1"/>
    <w:rsid w:val="00E71201"/>
    <w:rsid w:val="00E7141F"/>
    <w:rsid w:val="00E718B6"/>
    <w:rsid w:val="00E719F3"/>
    <w:rsid w:val="00E71B4B"/>
    <w:rsid w:val="00E71C1A"/>
    <w:rsid w:val="00E721E0"/>
    <w:rsid w:val="00E7228B"/>
    <w:rsid w:val="00E723BA"/>
    <w:rsid w:val="00E7248E"/>
    <w:rsid w:val="00E726FF"/>
    <w:rsid w:val="00E72782"/>
    <w:rsid w:val="00E728C3"/>
    <w:rsid w:val="00E728ED"/>
    <w:rsid w:val="00E72900"/>
    <w:rsid w:val="00E729C4"/>
    <w:rsid w:val="00E72EAD"/>
    <w:rsid w:val="00E7315C"/>
    <w:rsid w:val="00E731DA"/>
    <w:rsid w:val="00E731DF"/>
    <w:rsid w:val="00E7329F"/>
    <w:rsid w:val="00E733FF"/>
    <w:rsid w:val="00E73581"/>
    <w:rsid w:val="00E736B7"/>
    <w:rsid w:val="00E737DB"/>
    <w:rsid w:val="00E738D5"/>
    <w:rsid w:val="00E738EB"/>
    <w:rsid w:val="00E73B7B"/>
    <w:rsid w:val="00E73DF0"/>
    <w:rsid w:val="00E73EDE"/>
    <w:rsid w:val="00E74028"/>
    <w:rsid w:val="00E7406D"/>
    <w:rsid w:val="00E74193"/>
    <w:rsid w:val="00E7429D"/>
    <w:rsid w:val="00E743A7"/>
    <w:rsid w:val="00E7449A"/>
    <w:rsid w:val="00E74625"/>
    <w:rsid w:val="00E746EC"/>
    <w:rsid w:val="00E74747"/>
    <w:rsid w:val="00E748C8"/>
    <w:rsid w:val="00E74A3D"/>
    <w:rsid w:val="00E74BE2"/>
    <w:rsid w:val="00E74C35"/>
    <w:rsid w:val="00E74CE5"/>
    <w:rsid w:val="00E74D46"/>
    <w:rsid w:val="00E74F03"/>
    <w:rsid w:val="00E74F40"/>
    <w:rsid w:val="00E75007"/>
    <w:rsid w:val="00E75054"/>
    <w:rsid w:val="00E7510F"/>
    <w:rsid w:val="00E754F2"/>
    <w:rsid w:val="00E75501"/>
    <w:rsid w:val="00E755AD"/>
    <w:rsid w:val="00E75697"/>
    <w:rsid w:val="00E75887"/>
    <w:rsid w:val="00E758A4"/>
    <w:rsid w:val="00E758E2"/>
    <w:rsid w:val="00E758F2"/>
    <w:rsid w:val="00E75C30"/>
    <w:rsid w:val="00E75CC7"/>
    <w:rsid w:val="00E75DA6"/>
    <w:rsid w:val="00E75EF1"/>
    <w:rsid w:val="00E75FE7"/>
    <w:rsid w:val="00E76059"/>
    <w:rsid w:val="00E76143"/>
    <w:rsid w:val="00E76468"/>
    <w:rsid w:val="00E765C0"/>
    <w:rsid w:val="00E7660B"/>
    <w:rsid w:val="00E76690"/>
    <w:rsid w:val="00E766B4"/>
    <w:rsid w:val="00E7687F"/>
    <w:rsid w:val="00E7695B"/>
    <w:rsid w:val="00E769E2"/>
    <w:rsid w:val="00E76AAB"/>
    <w:rsid w:val="00E76B2E"/>
    <w:rsid w:val="00E76B52"/>
    <w:rsid w:val="00E76C8B"/>
    <w:rsid w:val="00E76E48"/>
    <w:rsid w:val="00E76EC4"/>
    <w:rsid w:val="00E76FA8"/>
    <w:rsid w:val="00E770C8"/>
    <w:rsid w:val="00E772F1"/>
    <w:rsid w:val="00E77612"/>
    <w:rsid w:val="00E77844"/>
    <w:rsid w:val="00E77856"/>
    <w:rsid w:val="00E7785B"/>
    <w:rsid w:val="00E77BB7"/>
    <w:rsid w:val="00E77C06"/>
    <w:rsid w:val="00E77C32"/>
    <w:rsid w:val="00E77C6D"/>
    <w:rsid w:val="00E77D30"/>
    <w:rsid w:val="00E77DF7"/>
    <w:rsid w:val="00E803C3"/>
    <w:rsid w:val="00E804DE"/>
    <w:rsid w:val="00E80559"/>
    <w:rsid w:val="00E80586"/>
    <w:rsid w:val="00E80681"/>
    <w:rsid w:val="00E807CA"/>
    <w:rsid w:val="00E8086F"/>
    <w:rsid w:val="00E8090D"/>
    <w:rsid w:val="00E80CAA"/>
    <w:rsid w:val="00E80E9C"/>
    <w:rsid w:val="00E80EAC"/>
    <w:rsid w:val="00E80F11"/>
    <w:rsid w:val="00E80F44"/>
    <w:rsid w:val="00E80F7C"/>
    <w:rsid w:val="00E8110D"/>
    <w:rsid w:val="00E8117A"/>
    <w:rsid w:val="00E8133F"/>
    <w:rsid w:val="00E81440"/>
    <w:rsid w:val="00E8145F"/>
    <w:rsid w:val="00E8149A"/>
    <w:rsid w:val="00E815C5"/>
    <w:rsid w:val="00E818D7"/>
    <w:rsid w:val="00E818E3"/>
    <w:rsid w:val="00E8193A"/>
    <w:rsid w:val="00E81A44"/>
    <w:rsid w:val="00E81B17"/>
    <w:rsid w:val="00E81B6B"/>
    <w:rsid w:val="00E81D1D"/>
    <w:rsid w:val="00E81D20"/>
    <w:rsid w:val="00E81DBB"/>
    <w:rsid w:val="00E81FA9"/>
    <w:rsid w:val="00E8200C"/>
    <w:rsid w:val="00E8215B"/>
    <w:rsid w:val="00E8244C"/>
    <w:rsid w:val="00E82525"/>
    <w:rsid w:val="00E8259B"/>
    <w:rsid w:val="00E825AB"/>
    <w:rsid w:val="00E825C1"/>
    <w:rsid w:val="00E8274D"/>
    <w:rsid w:val="00E82936"/>
    <w:rsid w:val="00E82941"/>
    <w:rsid w:val="00E82A3D"/>
    <w:rsid w:val="00E82BC5"/>
    <w:rsid w:val="00E82C44"/>
    <w:rsid w:val="00E82D0E"/>
    <w:rsid w:val="00E82DFA"/>
    <w:rsid w:val="00E82E0C"/>
    <w:rsid w:val="00E82F50"/>
    <w:rsid w:val="00E82F9F"/>
    <w:rsid w:val="00E830D5"/>
    <w:rsid w:val="00E83101"/>
    <w:rsid w:val="00E83132"/>
    <w:rsid w:val="00E8327C"/>
    <w:rsid w:val="00E832DB"/>
    <w:rsid w:val="00E833F7"/>
    <w:rsid w:val="00E83534"/>
    <w:rsid w:val="00E835D1"/>
    <w:rsid w:val="00E83729"/>
    <w:rsid w:val="00E8376E"/>
    <w:rsid w:val="00E83850"/>
    <w:rsid w:val="00E838E3"/>
    <w:rsid w:val="00E83A80"/>
    <w:rsid w:val="00E83BDF"/>
    <w:rsid w:val="00E83C9A"/>
    <w:rsid w:val="00E83CB8"/>
    <w:rsid w:val="00E83D30"/>
    <w:rsid w:val="00E83DB1"/>
    <w:rsid w:val="00E83FD2"/>
    <w:rsid w:val="00E84292"/>
    <w:rsid w:val="00E8454F"/>
    <w:rsid w:val="00E84761"/>
    <w:rsid w:val="00E84977"/>
    <w:rsid w:val="00E849DC"/>
    <w:rsid w:val="00E84C0C"/>
    <w:rsid w:val="00E84E80"/>
    <w:rsid w:val="00E850F2"/>
    <w:rsid w:val="00E85222"/>
    <w:rsid w:val="00E85278"/>
    <w:rsid w:val="00E854DF"/>
    <w:rsid w:val="00E8584C"/>
    <w:rsid w:val="00E8585E"/>
    <w:rsid w:val="00E8599E"/>
    <w:rsid w:val="00E85B22"/>
    <w:rsid w:val="00E85BD5"/>
    <w:rsid w:val="00E85C50"/>
    <w:rsid w:val="00E85F60"/>
    <w:rsid w:val="00E86136"/>
    <w:rsid w:val="00E8617B"/>
    <w:rsid w:val="00E8630E"/>
    <w:rsid w:val="00E86321"/>
    <w:rsid w:val="00E8669F"/>
    <w:rsid w:val="00E869CD"/>
    <w:rsid w:val="00E86A6E"/>
    <w:rsid w:val="00E86A82"/>
    <w:rsid w:val="00E86CD2"/>
    <w:rsid w:val="00E86D00"/>
    <w:rsid w:val="00E86DCA"/>
    <w:rsid w:val="00E86DE8"/>
    <w:rsid w:val="00E86DEC"/>
    <w:rsid w:val="00E86F80"/>
    <w:rsid w:val="00E86FCC"/>
    <w:rsid w:val="00E86FEC"/>
    <w:rsid w:val="00E871DC"/>
    <w:rsid w:val="00E871EC"/>
    <w:rsid w:val="00E87A1D"/>
    <w:rsid w:val="00E87B13"/>
    <w:rsid w:val="00E87B26"/>
    <w:rsid w:val="00E87BE0"/>
    <w:rsid w:val="00E87CF0"/>
    <w:rsid w:val="00E901C9"/>
    <w:rsid w:val="00E901CB"/>
    <w:rsid w:val="00E9022F"/>
    <w:rsid w:val="00E902AF"/>
    <w:rsid w:val="00E90356"/>
    <w:rsid w:val="00E90461"/>
    <w:rsid w:val="00E90605"/>
    <w:rsid w:val="00E906B7"/>
    <w:rsid w:val="00E9080F"/>
    <w:rsid w:val="00E908CD"/>
    <w:rsid w:val="00E9093D"/>
    <w:rsid w:val="00E9094A"/>
    <w:rsid w:val="00E90D46"/>
    <w:rsid w:val="00E90E13"/>
    <w:rsid w:val="00E90F79"/>
    <w:rsid w:val="00E91025"/>
    <w:rsid w:val="00E910D7"/>
    <w:rsid w:val="00E91420"/>
    <w:rsid w:val="00E914AB"/>
    <w:rsid w:val="00E914DE"/>
    <w:rsid w:val="00E91551"/>
    <w:rsid w:val="00E915FF"/>
    <w:rsid w:val="00E916B3"/>
    <w:rsid w:val="00E916E8"/>
    <w:rsid w:val="00E91744"/>
    <w:rsid w:val="00E9184B"/>
    <w:rsid w:val="00E918CA"/>
    <w:rsid w:val="00E91B77"/>
    <w:rsid w:val="00E91D35"/>
    <w:rsid w:val="00E91E48"/>
    <w:rsid w:val="00E91E85"/>
    <w:rsid w:val="00E91F26"/>
    <w:rsid w:val="00E9205D"/>
    <w:rsid w:val="00E920C1"/>
    <w:rsid w:val="00E9210E"/>
    <w:rsid w:val="00E92298"/>
    <w:rsid w:val="00E92679"/>
    <w:rsid w:val="00E926A5"/>
    <w:rsid w:val="00E926E7"/>
    <w:rsid w:val="00E92794"/>
    <w:rsid w:val="00E927B6"/>
    <w:rsid w:val="00E927F8"/>
    <w:rsid w:val="00E92837"/>
    <w:rsid w:val="00E9297C"/>
    <w:rsid w:val="00E92985"/>
    <w:rsid w:val="00E929B8"/>
    <w:rsid w:val="00E929F5"/>
    <w:rsid w:val="00E92A9F"/>
    <w:rsid w:val="00E92C49"/>
    <w:rsid w:val="00E92CEE"/>
    <w:rsid w:val="00E92DA3"/>
    <w:rsid w:val="00E92DFC"/>
    <w:rsid w:val="00E92E0B"/>
    <w:rsid w:val="00E92EA5"/>
    <w:rsid w:val="00E92ED1"/>
    <w:rsid w:val="00E92EDD"/>
    <w:rsid w:val="00E92F03"/>
    <w:rsid w:val="00E93055"/>
    <w:rsid w:val="00E93105"/>
    <w:rsid w:val="00E9313A"/>
    <w:rsid w:val="00E93391"/>
    <w:rsid w:val="00E93642"/>
    <w:rsid w:val="00E938AE"/>
    <w:rsid w:val="00E93A27"/>
    <w:rsid w:val="00E93D43"/>
    <w:rsid w:val="00E93D90"/>
    <w:rsid w:val="00E93DC0"/>
    <w:rsid w:val="00E93DE2"/>
    <w:rsid w:val="00E93EBA"/>
    <w:rsid w:val="00E93FAA"/>
    <w:rsid w:val="00E942C6"/>
    <w:rsid w:val="00E94544"/>
    <w:rsid w:val="00E945E1"/>
    <w:rsid w:val="00E946AF"/>
    <w:rsid w:val="00E9482A"/>
    <w:rsid w:val="00E94939"/>
    <w:rsid w:val="00E949B8"/>
    <w:rsid w:val="00E94C2B"/>
    <w:rsid w:val="00E94C66"/>
    <w:rsid w:val="00E94F5A"/>
    <w:rsid w:val="00E9511B"/>
    <w:rsid w:val="00E9518F"/>
    <w:rsid w:val="00E951E8"/>
    <w:rsid w:val="00E951FC"/>
    <w:rsid w:val="00E952B4"/>
    <w:rsid w:val="00E95345"/>
    <w:rsid w:val="00E95406"/>
    <w:rsid w:val="00E95546"/>
    <w:rsid w:val="00E957D2"/>
    <w:rsid w:val="00E95854"/>
    <w:rsid w:val="00E95914"/>
    <w:rsid w:val="00E95A26"/>
    <w:rsid w:val="00E95B3C"/>
    <w:rsid w:val="00E95F01"/>
    <w:rsid w:val="00E95F7A"/>
    <w:rsid w:val="00E96008"/>
    <w:rsid w:val="00E96089"/>
    <w:rsid w:val="00E961EE"/>
    <w:rsid w:val="00E962CC"/>
    <w:rsid w:val="00E96342"/>
    <w:rsid w:val="00E963CC"/>
    <w:rsid w:val="00E9646F"/>
    <w:rsid w:val="00E96489"/>
    <w:rsid w:val="00E965A9"/>
    <w:rsid w:val="00E967F2"/>
    <w:rsid w:val="00E96895"/>
    <w:rsid w:val="00E96B61"/>
    <w:rsid w:val="00E96E67"/>
    <w:rsid w:val="00E97066"/>
    <w:rsid w:val="00E9708A"/>
    <w:rsid w:val="00E97169"/>
    <w:rsid w:val="00E972E7"/>
    <w:rsid w:val="00E973FE"/>
    <w:rsid w:val="00E97486"/>
    <w:rsid w:val="00E97575"/>
    <w:rsid w:val="00E976B9"/>
    <w:rsid w:val="00E9772E"/>
    <w:rsid w:val="00E97B70"/>
    <w:rsid w:val="00E97D2B"/>
    <w:rsid w:val="00E97E74"/>
    <w:rsid w:val="00E97E9D"/>
    <w:rsid w:val="00EA0049"/>
    <w:rsid w:val="00EA013B"/>
    <w:rsid w:val="00EA0142"/>
    <w:rsid w:val="00EA0146"/>
    <w:rsid w:val="00EA0172"/>
    <w:rsid w:val="00EA02D0"/>
    <w:rsid w:val="00EA0454"/>
    <w:rsid w:val="00EA063C"/>
    <w:rsid w:val="00EA0734"/>
    <w:rsid w:val="00EA09E4"/>
    <w:rsid w:val="00EA0A96"/>
    <w:rsid w:val="00EA0AB8"/>
    <w:rsid w:val="00EA0C29"/>
    <w:rsid w:val="00EA0C87"/>
    <w:rsid w:val="00EA0D67"/>
    <w:rsid w:val="00EA0D71"/>
    <w:rsid w:val="00EA0D8A"/>
    <w:rsid w:val="00EA0DE4"/>
    <w:rsid w:val="00EA0DE6"/>
    <w:rsid w:val="00EA0EC2"/>
    <w:rsid w:val="00EA0FBF"/>
    <w:rsid w:val="00EA1097"/>
    <w:rsid w:val="00EA1128"/>
    <w:rsid w:val="00EA114A"/>
    <w:rsid w:val="00EA1268"/>
    <w:rsid w:val="00EA12C2"/>
    <w:rsid w:val="00EA1377"/>
    <w:rsid w:val="00EA147C"/>
    <w:rsid w:val="00EA14F3"/>
    <w:rsid w:val="00EA162D"/>
    <w:rsid w:val="00EA16C6"/>
    <w:rsid w:val="00EA16DB"/>
    <w:rsid w:val="00EA17C3"/>
    <w:rsid w:val="00EA1838"/>
    <w:rsid w:val="00EA1B0E"/>
    <w:rsid w:val="00EA1C21"/>
    <w:rsid w:val="00EA1E34"/>
    <w:rsid w:val="00EA1E6B"/>
    <w:rsid w:val="00EA1F09"/>
    <w:rsid w:val="00EA1F53"/>
    <w:rsid w:val="00EA208A"/>
    <w:rsid w:val="00EA213F"/>
    <w:rsid w:val="00EA2264"/>
    <w:rsid w:val="00EA22E5"/>
    <w:rsid w:val="00EA237E"/>
    <w:rsid w:val="00EA2613"/>
    <w:rsid w:val="00EA275E"/>
    <w:rsid w:val="00EA27AA"/>
    <w:rsid w:val="00EA2A53"/>
    <w:rsid w:val="00EA2B4D"/>
    <w:rsid w:val="00EA2C55"/>
    <w:rsid w:val="00EA2CAA"/>
    <w:rsid w:val="00EA2D10"/>
    <w:rsid w:val="00EA2D15"/>
    <w:rsid w:val="00EA2F4B"/>
    <w:rsid w:val="00EA303D"/>
    <w:rsid w:val="00EA3042"/>
    <w:rsid w:val="00EA3085"/>
    <w:rsid w:val="00EA328A"/>
    <w:rsid w:val="00EA32B0"/>
    <w:rsid w:val="00EA3440"/>
    <w:rsid w:val="00EA34D3"/>
    <w:rsid w:val="00EA3864"/>
    <w:rsid w:val="00EA38D6"/>
    <w:rsid w:val="00EA3E56"/>
    <w:rsid w:val="00EA4123"/>
    <w:rsid w:val="00EA41D3"/>
    <w:rsid w:val="00EA41E5"/>
    <w:rsid w:val="00EA43BF"/>
    <w:rsid w:val="00EA442B"/>
    <w:rsid w:val="00EA4445"/>
    <w:rsid w:val="00EA45EB"/>
    <w:rsid w:val="00EA46F6"/>
    <w:rsid w:val="00EA4721"/>
    <w:rsid w:val="00EA4723"/>
    <w:rsid w:val="00EA47BA"/>
    <w:rsid w:val="00EA48C5"/>
    <w:rsid w:val="00EA4D34"/>
    <w:rsid w:val="00EA4E1C"/>
    <w:rsid w:val="00EA4F7C"/>
    <w:rsid w:val="00EA5108"/>
    <w:rsid w:val="00EA5263"/>
    <w:rsid w:val="00EA52EF"/>
    <w:rsid w:val="00EA5496"/>
    <w:rsid w:val="00EA5761"/>
    <w:rsid w:val="00EA5833"/>
    <w:rsid w:val="00EA5AAB"/>
    <w:rsid w:val="00EA5ACE"/>
    <w:rsid w:val="00EA5B15"/>
    <w:rsid w:val="00EA5DA5"/>
    <w:rsid w:val="00EA5FBE"/>
    <w:rsid w:val="00EA6231"/>
    <w:rsid w:val="00EA623E"/>
    <w:rsid w:val="00EA64C7"/>
    <w:rsid w:val="00EA657D"/>
    <w:rsid w:val="00EA6829"/>
    <w:rsid w:val="00EA68B1"/>
    <w:rsid w:val="00EA6BDD"/>
    <w:rsid w:val="00EA6BE5"/>
    <w:rsid w:val="00EA6C02"/>
    <w:rsid w:val="00EA6E0C"/>
    <w:rsid w:val="00EA6EFF"/>
    <w:rsid w:val="00EA6F94"/>
    <w:rsid w:val="00EA700A"/>
    <w:rsid w:val="00EA7046"/>
    <w:rsid w:val="00EA7152"/>
    <w:rsid w:val="00EA738E"/>
    <w:rsid w:val="00EA751E"/>
    <w:rsid w:val="00EA7666"/>
    <w:rsid w:val="00EA76AD"/>
    <w:rsid w:val="00EA7BA6"/>
    <w:rsid w:val="00EA7C0E"/>
    <w:rsid w:val="00EA7CA2"/>
    <w:rsid w:val="00EA7CE5"/>
    <w:rsid w:val="00EA7CEC"/>
    <w:rsid w:val="00EA7DB6"/>
    <w:rsid w:val="00EA7DE7"/>
    <w:rsid w:val="00EA7F1C"/>
    <w:rsid w:val="00EB004A"/>
    <w:rsid w:val="00EB00BA"/>
    <w:rsid w:val="00EB0135"/>
    <w:rsid w:val="00EB0281"/>
    <w:rsid w:val="00EB02D7"/>
    <w:rsid w:val="00EB0678"/>
    <w:rsid w:val="00EB072B"/>
    <w:rsid w:val="00EB0BD4"/>
    <w:rsid w:val="00EB0E11"/>
    <w:rsid w:val="00EB0E37"/>
    <w:rsid w:val="00EB0EEC"/>
    <w:rsid w:val="00EB0FFA"/>
    <w:rsid w:val="00EB1015"/>
    <w:rsid w:val="00EB1095"/>
    <w:rsid w:val="00EB1356"/>
    <w:rsid w:val="00EB135E"/>
    <w:rsid w:val="00EB137A"/>
    <w:rsid w:val="00EB14D7"/>
    <w:rsid w:val="00EB15B6"/>
    <w:rsid w:val="00EB1637"/>
    <w:rsid w:val="00EB1655"/>
    <w:rsid w:val="00EB1793"/>
    <w:rsid w:val="00EB18EE"/>
    <w:rsid w:val="00EB19E5"/>
    <w:rsid w:val="00EB1BA7"/>
    <w:rsid w:val="00EB1CC8"/>
    <w:rsid w:val="00EB2104"/>
    <w:rsid w:val="00EB235F"/>
    <w:rsid w:val="00EB23EB"/>
    <w:rsid w:val="00EB2510"/>
    <w:rsid w:val="00EB2669"/>
    <w:rsid w:val="00EB2846"/>
    <w:rsid w:val="00EB292F"/>
    <w:rsid w:val="00EB2A80"/>
    <w:rsid w:val="00EB2AAD"/>
    <w:rsid w:val="00EB2AFE"/>
    <w:rsid w:val="00EB2B14"/>
    <w:rsid w:val="00EB2EAD"/>
    <w:rsid w:val="00EB301E"/>
    <w:rsid w:val="00EB3066"/>
    <w:rsid w:val="00EB30B4"/>
    <w:rsid w:val="00EB30CA"/>
    <w:rsid w:val="00EB3323"/>
    <w:rsid w:val="00EB33D2"/>
    <w:rsid w:val="00EB34C1"/>
    <w:rsid w:val="00EB354C"/>
    <w:rsid w:val="00EB35D7"/>
    <w:rsid w:val="00EB36F2"/>
    <w:rsid w:val="00EB372B"/>
    <w:rsid w:val="00EB3895"/>
    <w:rsid w:val="00EB39B6"/>
    <w:rsid w:val="00EB3B16"/>
    <w:rsid w:val="00EB3B78"/>
    <w:rsid w:val="00EB3C07"/>
    <w:rsid w:val="00EB3C1C"/>
    <w:rsid w:val="00EB3C8A"/>
    <w:rsid w:val="00EB3C8D"/>
    <w:rsid w:val="00EB3CEB"/>
    <w:rsid w:val="00EB3D06"/>
    <w:rsid w:val="00EB3D95"/>
    <w:rsid w:val="00EB3E2D"/>
    <w:rsid w:val="00EB3E39"/>
    <w:rsid w:val="00EB3E40"/>
    <w:rsid w:val="00EB3ECD"/>
    <w:rsid w:val="00EB3EDA"/>
    <w:rsid w:val="00EB3F3C"/>
    <w:rsid w:val="00EB3FF8"/>
    <w:rsid w:val="00EB42A0"/>
    <w:rsid w:val="00EB42CD"/>
    <w:rsid w:val="00EB445D"/>
    <w:rsid w:val="00EB4466"/>
    <w:rsid w:val="00EB44C6"/>
    <w:rsid w:val="00EB465A"/>
    <w:rsid w:val="00EB4698"/>
    <w:rsid w:val="00EB469C"/>
    <w:rsid w:val="00EB4746"/>
    <w:rsid w:val="00EB4864"/>
    <w:rsid w:val="00EB490E"/>
    <w:rsid w:val="00EB4916"/>
    <w:rsid w:val="00EB4B57"/>
    <w:rsid w:val="00EB4DA5"/>
    <w:rsid w:val="00EB4E83"/>
    <w:rsid w:val="00EB4F8A"/>
    <w:rsid w:val="00EB50DD"/>
    <w:rsid w:val="00EB53B9"/>
    <w:rsid w:val="00EB550C"/>
    <w:rsid w:val="00EB59B8"/>
    <w:rsid w:val="00EB5AB8"/>
    <w:rsid w:val="00EB5C5D"/>
    <w:rsid w:val="00EB5CE0"/>
    <w:rsid w:val="00EB5D1C"/>
    <w:rsid w:val="00EB5D93"/>
    <w:rsid w:val="00EB5D9F"/>
    <w:rsid w:val="00EB5E6C"/>
    <w:rsid w:val="00EB614E"/>
    <w:rsid w:val="00EB62D2"/>
    <w:rsid w:val="00EB6413"/>
    <w:rsid w:val="00EB64C8"/>
    <w:rsid w:val="00EB6A85"/>
    <w:rsid w:val="00EB6D49"/>
    <w:rsid w:val="00EB6E65"/>
    <w:rsid w:val="00EB7137"/>
    <w:rsid w:val="00EB716C"/>
    <w:rsid w:val="00EB736D"/>
    <w:rsid w:val="00EB739C"/>
    <w:rsid w:val="00EB73E7"/>
    <w:rsid w:val="00EB774D"/>
    <w:rsid w:val="00EB7752"/>
    <w:rsid w:val="00EB7BE9"/>
    <w:rsid w:val="00EB7CCB"/>
    <w:rsid w:val="00EB7D82"/>
    <w:rsid w:val="00EB7E2C"/>
    <w:rsid w:val="00EB7EC1"/>
    <w:rsid w:val="00EB7EC8"/>
    <w:rsid w:val="00EB7FEA"/>
    <w:rsid w:val="00EC0099"/>
    <w:rsid w:val="00EC00C9"/>
    <w:rsid w:val="00EC0154"/>
    <w:rsid w:val="00EC01A6"/>
    <w:rsid w:val="00EC01F5"/>
    <w:rsid w:val="00EC0213"/>
    <w:rsid w:val="00EC07A1"/>
    <w:rsid w:val="00EC0942"/>
    <w:rsid w:val="00EC0A2A"/>
    <w:rsid w:val="00EC0AB6"/>
    <w:rsid w:val="00EC0B81"/>
    <w:rsid w:val="00EC0DD9"/>
    <w:rsid w:val="00EC0F94"/>
    <w:rsid w:val="00EC124A"/>
    <w:rsid w:val="00EC131C"/>
    <w:rsid w:val="00EC1410"/>
    <w:rsid w:val="00EC1480"/>
    <w:rsid w:val="00EC15BF"/>
    <w:rsid w:val="00EC15F5"/>
    <w:rsid w:val="00EC1671"/>
    <w:rsid w:val="00EC183B"/>
    <w:rsid w:val="00EC1932"/>
    <w:rsid w:val="00EC1AB8"/>
    <w:rsid w:val="00EC1D8B"/>
    <w:rsid w:val="00EC1F6A"/>
    <w:rsid w:val="00EC1FFC"/>
    <w:rsid w:val="00EC2026"/>
    <w:rsid w:val="00EC202F"/>
    <w:rsid w:val="00EC218D"/>
    <w:rsid w:val="00EC21C9"/>
    <w:rsid w:val="00EC228F"/>
    <w:rsid w:val="00EC22BA"/>
    <w:rsid w:val="00EC23BE"/>
    <w:rsid w:val="00EC23E8"/>
    <w:rsid w:val="00EC2649"/>
    <w:rsid w:val="00EC267B"/>
    <w:rsid w:val="00EC2780"/>
    <w:rsid w:val="00EC29E2"/>
    <w:rsid w:val="00EC2A81"/>
    <w:rsid w:val="00EC2AC2"/>
    <w:rsid w:val="00EC2C1B"/>
    <w:rsid w:val="00EC2C22"/>
    <w:rsid w:val="00EC2CE1"/>
    <w:rsid w:val="00EC2DF2"/>
    <w:rsid w:val="00EC2EFB"/>
    <w:rsid w:val="00EC3076"/>
    <w:rsid w:val="00EC31ED"/>
    <w:rsid w:val="00EC32C4"/>
    <w:rsid w:val="00EC32F3"/>
    <w:rsid w:val="00EC3446"/>
    <w:rsid w:val="00EC345C"/>
    <w:rsid w:val="00EC3508"/>
    <w:rsid w:val="00EC3539"/>
    <w:rsid w:val="00EC35AA"/>
    <w:rsid w:val="00EC3645"/>
    <w:rsid w:val="00EC3668"/>
    <w:rsid w:val="00EC3733"/>
    <w:rsid w:val="00EC3845"/>
    <w:rsid w:val="00EC394D"/>
    <w:rsid w:val="00EC3D3C"/>
    <w:rsid w:val="00EC3D89"/>
    <w:rsid w:val="00EC3D92"/>
    <w:rsid w:val="00EC3E4C"/>
    <w:rsid w:val="00EC3E5F"/>
    <w:rsid w:val="00EC3EF2"/>
    <w:rsid w:val="00EC4131"/>
    <w:rsid w:val="00EC4594"/>
    <w:rsid w:val="00EC46C1"/>
    <w:rsid w:val="00EC4817"/>
    <w:rsid w:val="00EC4898"/>
    <w:rsid w:val="00EC489E"/>
    <w:rsid w:val="00EC48DC"/>
    <w:rsid w:val="00EC49DE"/>
    <w:rsid w:val="00EC4AC8"/>
    <w:rsid w:val="00EC4BC6"/>
    <w:rsid w:val="00EC4D3D"/>
    <w:rsid w:val="00EC5190"/>
    <w:rsid w:val="00EC5497"/>
    <w:rsid w:val="00EC556D"/>
    <w:rsid w:val="00EC564D"/>
    <w:rsid w:val="00EC5836"/>
    <w:rsid w:val="00EC5844"/>
    <w:rsid w:val="00EC5908"/>
    <w:rsid w:val="00EC59A7"/>
    <w:rsid w:val="00EC5AD7"/>
    <w:rsid w:val="00EC5ADB"/>
    <w:rsid w:val="00EC5DA5"/>
    <w:rsid w:val="00EC5DD1"/>
    <w:rsid w:val="00EC5F4C"/>
    <w:rsid w:val="00EC5F5F"/>
    <w:rsid w:val="00EC5FCB"/>
    <w:rsid w:val="00EC60D1"/>
    <w:rsid w:val="00EC621F"/>
    <w:rsid w:val="00EC62EA"/>
    <w:rsid w:val="00EC64A6"/>
    <w:rsid w:val="00EC64DB"/>
    <w:rsid w:val="00EC64EB"/>
    <w:rsid w:val="00EC6740"/>
    <w:rsid w:val="00EC6756"/>
    <w:rsid w:val="00EC688C"/>
    <w:rsid w:val="00EC69F0"/>
    <w:rsid w:val="00EC6A0D"/>
    <w:rsid w:val="00EC6A7A"/>
    <w:rsid w:val="00EC6AAA"/>
    <w:rsid w:val="00EC6B00"/>
    <w:rsid w:val="00EC702B"/>
    <w:rsid w:val="00EC71DE"/>
    <w:rsid w:val="00EC72B4"/>
    <w:rsid w:val="00EC7505"/>
    <w:rsid w:val="00EC760E"/>
    <w:rsid w:val="00EC768F"/>
    <w:rsid w:val="00EC7831"/>
    <w:rsid w:val="00EC7854"/>
    <w:rsid w:val="00EC7C70"/>
    <w:rsid w:val="00EC7CEC"/>
    <w:rsid w:val="00EC7DF0"/>
    <w:rsid w:val="00EC7F19"/>
    <w:rsid w:val="00EC7F1A"/>
    <w:rsid w:val="00ED000E"/>
    <w:rsid w:val="00ED00DB"/>
    <w:rsid w:val="00ED01B8"/>
    <w:rsid w:val="00ED0336"/>
    <w:rsid w:val="00ED0379"/>
    <w:rsid w:val="00ED04CE"/>
    <w:rsid w:val="00ED063F"/>
    <w:rsid w:val="00ED06F4"/>
    <w:rsid w:val="00ED0767"/>
    <w:rsid w:val="00ED080E"/>
    <w:rsid w:val="00ED0860"/>
    <w:rsid w:val="00ED08E5"/>
    <w:rsid w:val="00ED09E1"/>
    <w:rsid w:val="00ED0ADE"/>
    <w:rsid w:val="00ED0AED"/>
    <w:rsid w:val="00ED0B9A"/>
    <w:rsid w:val="00ED0CBB"/>
    <w:rsid w:val="00ED12E3"/>
    <w:rsid w:val="00ED138D"/>
    <w:rsid w:val="00ED13D8"/>
    <w:rsid w:val="00ED14B7"/>
    <w:rsid w:val="00ED15E3"/>
    <w:rsid w:val="00ED1705"/>
    <w:rsid w:val="00ED1748"/>
    <w:rsid w:val="00ED17F3"/>
    <w:rsid w:val="00ED18C8"/>
    <w:rsid w:val="00ED19F5"/>
    <w:rsid w:val="00ED1AE1"/>
    <w:rsid w:val="00ED1D75"/>
    <w:rsid w:val="00ED1EAD"/>
    <w:rsid w:val="00ED1EF0"/>
    <w:rsid w:val="00ED1F2D"/>
    <w:rsid w:val="00ED1F5D"/>
    <w:rsid w:val="00ED1FAE"/>
    <w:rsid w:val="00ED2016"/>
    <w:rsid w:val="00ED233D"/>
    <w:rsid w:val="00ED25B6"/>
    <w:rsid w:val="00ED26AF"/>
    <w:rsid w:val="00ED27BC"/>
    <w:rsid w:val="00ED2853"/>
    <w:rsid w:val="00ED28C8"/>
    <w:rsid w:val="00ED299A"/>
    <w:rsid w:val="00ED29C7"/>
    <w:rsid w:val="00ED2A36"/>
    <w:rsid w:val="00ED2AF0"/>
    <w:rsid w:val="00ED2C90"/>
    <w:rsid w:val="00ED2D05"/>
    <w:rsid w:val="00ED2DE2"/>
    <w:rsid w:val="00ED2E20"/>
    <w:rsid w:val="00ED2E3D"/>
    <w:rsid w:val="00ED2F10"/>
    <w:rsid w:val="00ED3006"/>
    <w:rsid w:val="00ED3038"/>
    <w:rsid w:val="00ED30A4"/>
    <w:rsid w:val="00ED3119"/>
    <w:rsid w:val="00ED35B5"/>
    <w:rsid w:val="00ED35DD"/>
    <w:rsid w:val="00ED381B"/>
    <w:rsid w:val="00ED3969"/>
    <w:rsid w:val="00ED39A9"/>
    <w:rsid w:val="00ED3B25"/>
    <w:rsid w:val="00ED3B44"/>
    <w:rsid w:val="00ED3DC2"/>
    <w:rsid w:val="00ED3E2A"/>
    <w:rsid w:val="00ED42FD"/>
    <w:rsid w:val="00ED44A0"/>
    <w:rsid w:val="00ED457C"/>
    <w:rsid w:val="00ED45F1"/>
    <w:rsid w:val="00ED45F8"/>
    <w:rsid w:val="00ED461A"/>
    <w:rsid w:val="00ED46CD"/>
    <w:rsid w:val="00ED47A3"/>
    <w:rsid w:val="00ED47BC"/>
    <w:rsid w:val="00ED4A44"/>
    <w:rsid w:val="00ED4B04"/>
    <w:rsid w:val="00ED4CFE"/>
    <w:rsid w:val="00ED4D82"/>
    <w:rsid w:val="00ED4D87"/>
    <w:rsid w:val="00ED4E6D"/>
    <w:rsid w:val="00ED4F6C"/>
    <w:rsid w:val="00ED515B"/>
    <w:rsid w:val="00ED51CD"/>
    <w:rsid w:val="00ED5308"/>
    <w:rsid w:val="00ED536F"/>
    <w:rsid w:val="00ED542E"/>
    <w:rsid w:val="00ED57EA"/>
    <w:rsid w:val="00ED5908"/>
    <w:rsid w:val="00ED59CB"/>
    <w:rsid w:val="00ED59CD"/>
    <w:rsid w:val="00ED5A65"/>
    <w:rsid w:val="00ED5AC3"/>
    <w:rsid w:val="00ED5BD4"/>
    <w:rsid w:val="00ED5C08"/>
    <w:rsid w:val="00ED5F41"/>
    <w:rsid w:val="00ED6014"/>
    <w:rsid w:val="00ED622F"/>
    <w:rsid w:val="00ED6371"/>
    <w:rsid w:val="00ED638F"/>
    <w:rsid w:val="00ED6478"/>
    <w:rsid w:val="00ED6B85"/>
    <w:rsid w:val="00ED6BDD"/>
    <w:rsid w:val="00ED6C07"/>
    <w:rsid w:val="00ED6C0F"/>
    <w:rsid w:val="00ED6C25"/>
    <w:rsid w:val="00ED6DB6"/>
    <w:rsid w:val="00ED6DCD"/>
    <w:rsid w:val="00ED70F0"/>
    <w:rsid w:val="00ED70F4"/>
    <w:rsid w:val="00ED70FD"/>
    <w:rsid w:val="00ED7189"/>
    <w:rsid w:val="00ED71A8"/>
    <w:rsid w:val="00ED7201"/>
    <w:rsid w:val="00ED7222"/>
    <w:rsid w:val="00ED729B"/>
    <w:rsid w:val="00ED73EE"/>
    <w:rsid w:val="00ED7499"/>
    <w:rsid w:val="00ED7568"/>
    <w:rsid w:val="00ED75E6"/>
    <w:rsid w:val="00ED77DB"/>
    <w:rsid w:val="00ED7812"/>
    <w:rsid w:val="00ED797C"/>
    <w:rsid w:val="00ED79CD"/>
    <w:rsid w:val="00ED7A06"/>
    <w:rsid w:val="00ED7A2F"/>
    <w:rsid w:val="00ED7A9C"/>
    <w:rsid w:val="00ED7C23"/>
    <w:rsid w:val="00ED7E8E"/>
    <w:rsid w:val="00EE0143"/>
    <w:rsid w:val="00EE0645"/>
    <w:rsid w:val="00EE07D3"/>
    <w:rsid w:val="00EE08F2"/>
    <w:rsid w:val="00EE08F5"/>
    <w:rsid w:val="00EE093F"/>
    <w:rsid w:val="00EE0D76"/>
    <w:rsid w:val="00EE0DCA"/>
    <w:rsid w:val="00EE0EF4"/>
    <w:rsid w:val="00EE112D"/>
    <w:rsid w:val="00EE13A0"/>
    <w:rsid w:val="00EE1460"/>
    <w:rsid w:val="00EE15ED"/>
    <w:rsid w:val="00EE16A2"/>
    <w:rsid w:val="00EE16CD"/>
    <w:rsid w:val="00EE171B"/>
    <w:rsid w:val="00EE17BD"/>
    <w:rsid w:val="00EE187F"/>
    <w:rsid w:val="00EE1996"/>
    <w:rsid w:val="00EE1A1D"/>
    <w:rsid w:val="00EE1C01"/>
    <w:rsid w:val="00EE1D69"/>
    <w:rsid w:val="00EE1DD4"/>
    <w:rsid w:val="00EE1F49"/>
    <w:rsid w:val="00EE20DC"/>
    <w:rsid w:val="00EE20DD"/>
    <w:rsid w:val="00EE20F7"/>
    <w:rsid w:val="00EE22AF"/>
    <w:rsid w:val="00EE2300"/>
    <w:rsid w:val="00EE23B6"/>
    <w:rsid w:val="00EE242B"/>
    <w:rsid w:val="00EE247E"/>
    <w:rsid w:val="00EE26AD"/>
    <w:rsid w:val="00EE2BB3"/>
    <w:rsid w:val="00EE2BE4"/>
    <w:rsid w:val="00EE2C66"/>
    <w:rsid w:val="00EE2D52"/>
    <w:rsid w:val="00EE3172"/>
    <w:rsid w:val="00EE3245"/>
    <w:rsid w:val="00EE327E"/>
    <w:rsid w:val="00EE33AD"/>
    <w:rsid w:val="00EE33B6"/>
    <w:rsid w:val="00EE346D"/>
    <w:rsid w:val="00EE346F"/>
    <w:rsid w:val="00EE349F"/>
    <w:rsid w:val="00EE3622"/>
    <w:rsid w:val="00EE36A7"/>
    <w:rsid w:val="00EE3734"/>
    <w:rsid w:val="00EE3812"/>
    <w:rsid w:val="00EE38FC"/>
    <w:rsid w:val="00EE3B9E"/>
    <w:rsid w:val="00EE3C65"/>
    <w:rsid w:val="00EE3EA4"/>
    <w:rsid w:val="00EE3FC0"/>
    <w:rsid w:val="00EE4012"/>
    <w:rsid w:val="00EE4070"/>
    <w:rsid w:val="00EE419E"/>
    <w:rsid w:val="00EE4274"/>
    <w:rsid w:val="00EE4286"/>
    <w:rsid w:val="00EE42E6"/>
    <w:rsid w:val="00EE4304"/>
    <w:rsid w:val="00EE4321"/>
    <w:rsid w:val="00EE4441"/>
    <w:rsid w:val="00EE4476"/>
    <w:rsid w:val="00EE449F"/>
    <w:rsid w:val="00EE46CD"/>
    <w:rsid w:val="00EE47E1"/>
    <w:rsid w:val="00EE4865"/>
    <w:rsid w:val="00EE486E"/>
    <w:rsid w:val="00EE490A"/>
    <w:rsid w:val="00EE4974"/>
    <w:rsid w:val="00EE4B11"/>
    <w:rsid w:val="00EE4B9C"/>
    <w:rsid w:val="00EE4C07"/>
    <w:rsid w:val="00EE5079"/>
    <w:rsid w:val="00EE5097"/>
    <w:rsid w:val="00EE520A"/>
    <w:rsid w:val="00EE5522"/>
    <w:rsid w:val="00EE57BE"/>
    <w:rsid w:val="00EE59D6"/>
    <w:rsid w:val="00EE5B97"/>
    <w:rsid w:val="00EE5EAD"/>
    <w:rsid w:val="00EE5EFA"/>
    <w:rsid w:val="00EE5F47"/>
    <w:rsid w:val="00EE5FA5"/>
    <w:rsid w:val="00EE6662"/>
    <w:rsid w:val="00EE666B"/>
    <w:rsid w:val="00EE66AF"/>
    <w:rsid w:val="00EE66FE"/>
    <w:rsid w:val="00EE6700"/>
    <w:rsid w:val="00EE6744"/>
    <w:rsid w:val="00EE67EC"/>
    <w:rsid w:val="00EE69A2"/>
    <w:rsid w:val="00EE69AA"/>
    <w:rsid w:val="00EE6B26"/>
    <w:rsid w:val="00EE6D26"/>
    <w:rsid w:val="00EE6E33"/>
    <w:rsid w:val="00EE6E45"/>
    <w:rsid w:val="00EE6E91"/>
    <w:rsid w:val="00EE6F5A"/>
    <w:rsid w:val="00EE7073"/>
    <w:rsid w:val="00EE7161"/>
    <w:rsid w:val="00EE720C"/>
    <w:rsid w:val="00EE73EA"/>
    <w:rsid w:val="00EE7479"/>
    <w:rsid w:val="00EE74EC"/>
    <w:rsid w:val="00EE78ED"/>
    <w:rsid w:val="00EE7A0A"/>
    <w:rsid w:val="00EE7A46"/>
    <w:rsid w:val="00EE7AC7"/>
    <w:rsid w:val="00EE7B3F"/>
    <w:rsid w:val="00EE7BAF"/>
    <w:rsid w:val="00EE7BD1"/>
    <w:rsid w:val="00EE7C63"/>
    <w:rsid w:val="00EE7C80"/>
    <w:rsid w:val="00EE7CD7"/>
    <w:rsid w:val="00EF008D"/>
    <w:rsid w:val="00EF00C3"/>
    <w:rsid w:val="00EF0171"/>
    <w:rsid w:val="00EF03A8"/>
    <w:rsid w:val="00EF04C5"/>
    <w:rsid w:val="00EF05F2"/>
    <w:rsid w:val="00EF05FD"/>
    <w:rsid w:val="00EF06EC"/>
    <w:rsid w:val="00EF0734"/>
    <w:rsid w:val="00EF0798"/>
    <w:rsid w:val="00EF08D3"/>
    <w:rsid w:val="00EF0923"/>
    <w:rsid w:val="00EF099E"/>
    <w:rsid w:val="00EF0C3F"/>
    <w:rsid w:val="00EF0D7F"/>
    <w:rsid w:val="00EF0D82"/>
    <w:rsid w:val="00EF0EA6"/>
    <w:rsid w:val="00EF0F5D"/>
    <w:rsid w:val="00EF100E"/>
    <w:rsid w:val="00EF14C0"/>
    <w:rsid w:val="00EF169B"/>
    <w:rsid w:val="00EF172B"/>
    <w:rsid w:val="00EF185C"/>
    <w:rsid w:val="00EF1880"/>
    <w:rsid w:val="00EF194A"/>
    <w:rsid w:val="00EF1952"/>
    <w:rsid w:val="00EF19FF"/>
    <w:rsid w:val="00EF1A7D"/>
    <w:rsid w:val="00EF1B25"/>
    <w:rsid w:val="00EF1C51"/>
    <w:rsid w:val="00EF1C63"/>
    <w:rsid w:val="00EF1DA0"/>
    <w:rsid w:val="00EF1F31"/>
    <w:rsid w:val="00EF1F9C"/>
    <w:rsid w:val="00EF20A6"/>
    <w:rsid w:val="00EF2390"/>
    <w:rsid w:val="00EF2460"/>
    <w:rsid w:val="00EF2624"/>
    <w:rsid w:val="00EF26CC"/>
    <w:rsid w:val="00EF26D7"/>
    <w:rsid w:val="00EF29F7"/>
    <w:rsid w:val="00EF2CBA"/>
    <w:rsid w:val="00EF2DA8"/>
    <w:rsid w:val="00EF2E24"/>
    <w:rsid w:val="00EF2E33"/>
    <w:rsid w:val="00EF2E70"/>
    <w:rsid w:val="00EF2EF9"/>
    <w:rsid w:val="00EF2FF5"/>
    <w:rsid w:val="00EF3066"/>
    <w:rsid w:val="00EF3160"/>
    <w:rsid w:val="00EF322D"/>
    <w:rsid w:val="00EF3236"/>
    <w:rsid w:val="00EF327A"/>
    <w:rsid w:val="00EF331A"/>
    <w:rsid w:val="00EF336B"/>
    <w:rsid w:val="00EF33A2"/>
    <w:rsid w:val="00EF33AF"/>
    <w:rsid w:val="00EF3412"/>
    <w:rsid w:val="00EF3422"/>
    <w:rsid w:val="00EF352B"/>
    <w:rsid w:val="00EF3792"/>
    <w:rsid w:val="00EF38E0"/>
    <w:rsid w:val="00EF38FA"/>
    <w:rsid w:val="00EF3C3F"/>
    <w:rsid w:val="00EF3C81"/>
    <w:rsid w:val="00EF3C90"/>
    <w:rsid w:val="00EF3CA6"/>
    <w:rsid w:val="00EF3CD4"/>
    <w:rsid w:val="00EF3D6E"/>
    <w:rsid w:val="00EF3D9D"/>
    <w:rsid w:val="00EF3DB7"/>
    <w:rsid w:val="00EF3E2D"/>
    <w:rsid w:val="00EF3F8E"/>
    <w:rsid w:val="00EF40DB"/>
    <w:rsid w:val="00EF433F"/>
    <w:rsid w:val="00EF44B9"/>
    <w:rsid w:val="00EF4535"/>
    <w:rsid w:val="00EF462A"/>
    <w:rsid w:val="00EF4747"/>
    <w:rsid w:val="00EF478B"/>
    <w:rsid w:val="00EF47C8"/>
    <w:rsid w:val="00EF49B4"/>
    <w:rsid w:val="00EF4BF8"/>
    <w:rsid w:val="00EF4D44"/>
    <w:rsid w:val="00EF4D47"/>
    <w:rsid w:val="00EF4DF2"/>
    <w:rsid w:val="00EF4EEC"/>
    <w:rsid w:val="00EF5116"/>
    <w:rsid w:val="00EF5199"/>
    <w:rsid w:val="00EF55C5"/>
    <w:rsid w:val="00EF55F4"/>
    <w:rsid w:val="00EF569E"/>
    <w:rsid w:val="00EF56D7"/>
    <w:rsid w:val="00EF5841"/>
    <w:rsid w:val="00EF5C3E"/>
    <w:rsid w:val="00EF5CD9"/>
    <w:rsid w:val="00EF5DE1"/>
    <w:rsid w:val="00EF5E16"/>
    <w:rsid w:val="00EF5EC2"/>
    <w:rsid w:val="00EF5EFF"/>
    <w:rsid w:val="00EF6129"/>
    <w:rsid w:val="00EF6154"/>
    <w:rsid w:val="00EF6180"/>
    <w:rsid w:val="00EF61D5"/>
    <w:rsid w:val="00EF63D0"/>
    <w:rsid w:val="00EF6422"/>
    <w:rsid w:val="00EF66A0"/>
    <w:rsid w:val="00EF6808"/>
    <w:rsid w:val="00EF69D4"/>
    <w:rsid w:val="00EF6A0D"/>
    <w:rsid w:val="00EF6A46"/>
    <w:rsid w:val="00EF6C2D"/>
    <w:rsid w:val="00EF6D85"/>
    <w:rsid w:val="00EF6E15"/>
    <w:rsid w:val="00EF6E44"/>
    <w:rsid w:val="00EF6EB8"/>
    <w:rsid w:val="00EF6F94"/>
    <w:rsid w:val="00EF72A3"/>
    <w:rsid w:val="00EF74CA"/>
    <w:rsid w:val="00EF7504"/>
    <w:rsid w:val="00EF75F6"/>
    <w:rsid w:val="00EF76C0"/>
    <w:rsid w:val="00EF79B6"/>
    <w:rsid w:val="00EF7A2F"/>
    <w:rsid w:val="00EF7B47"/>
    <w:rsid w:val="00EF7BA4"/>
    <w:rsid w:val="00EF7C1B"/>
    <w:rsid w:val="00EF7D13"/>
    <w:rsid w:val="00EF7E43"/>
    <w:rsid w:val="00F0007C"/>
    <w:rsid w:val="00F000F9"/>
    <w:rsid w:val="00F003CC"/>
    <w:rsid w:val="00F00584"/>
    <w:rsid w:val="00F005B3"/>
    <w:rsid w:val="00F0064B"/>
    <w:rsid w:val="00F006D6"/>
    <w:rsid w:val="00F00799"/>
    <w:rsid w:val="00F00814"/>
    <w:rsid w:val="00F008E8"/>
    <w:rsid w:val="00F00A55"/>
    <w:rsid w:val="00F00EA6"/>
    <w:rsid w:val="00F00ECD"/>
    <w:rsid w:val="00F00EF4"/>
    <w:rsid w:val="00F00F3F"/>
    <w:rsid w:val="00F01254"/>
    <w:rsid w:val="00F013C4"/>
    <w:rsid w:val="00F0147B"/>
    <w:rsid w:val="00F015E3"/>
    <w:rsid w:val="00F01609"/>
    <w:rsid w:val="00F0190A"/>
    <w:rsid w:val="00F01925"/>
    <w:rsid w:val="00F019A2"/>
    <w:rsid w:val="00F01C00"/>
    <w:rsid w:val="00F01CD1"/>
    <w:rsid w:val="00F01D0A"/>
    <w:rsid w:val="00F01E4A"/>
    <w:rsid w:val="00F01E65"/>
    <w:rsid w:val="00F01EBA"/>
    <w:rsid w:val="00F01F4D"/>
    <w:rsid w:val="00F020C7"/>
    <w:rsid w:val="00F021E4"/>
    <w:rsid w:val="00F02253"/>
    <w:rsid w:val="00F02279"/>
    <w:rsid w:val="00F02392"/>
    <w:rsid w:val="00F023BF"/>
    <w:rsid w:val="00F024B2"/>
    <w:rsid w:val="00F026B3"/>
    <w:rsid w:val="00F026EE"/>
    <w:rsid w:val="00F0270D"/>
    <w:rsid w:val="00F028AA"/>
    <w:rsid w:val="00F0298D"/>
    <w:rsid w:val="00F02996"/>
    <w:rsid w:val="00F02AA6"/>
    <w:rsid w:val="00F02B67"/>
    <w:rsid w:val="00F02BD7"/>
    <w:rsid w:val="00F02C8E"/>
    <w:rsid w:val="00F02E4E"/>
    <w:rsid w:val="00F02F62"/>
    <w:rsid w:val="00F03067"/>
    <w:rsid w:val="00F0307A"/>
    <w:rsid w:val="00F0317D"/>
    <w:rsid w:val="00F032D8"/>
    <w:rsid w:val="00F032EF"/>
    <w:rsid w:val="00F033E9"/>
    <w:rsid w:val="00F03414"/>
    <w:rsid w:val="00F03458"/>
    <w:rsid w:val="00F03508"/>
    <w:rsid w:val="00F03528"/>
    <w:rsid w:val="00F03551"/>
    <w:rsid w:val="00F03770"/>
    <w:rsid w:val="00F037C9"/>
    <w:rsid w:val="00F03803"/>
    <w:rsid w:val="00F0382D"/>
    <w:rsid w:val="00F03851"/>
    <w:rsid w:val="00F03858"/>
    <w:rsid w:val="00F03867"/>
    <w:rsid w:val="00F03ABA"/>
    <w:rsid w:val="00F03B74"/>
    <w:rsid w:val="00F03C2E"/>
    <w:rsid w:val="00F03DEF"/>
    <w:rsid w:val="00F0406F"/>
    <w:rsid w:val="00F040C4"/>
    <w:rsid w:val="00F04293"/>
    <w:rsid w:val="00F043C8"/>
    <w:rsid w:val="00F043D0"/>
    <w:rsid w:val="00F04400"/>
    <w:rsid w:val="00F04424"/>
    <w:rsid w:val="00F044DA"/>
    <w:rsid w:val="00F04645"/>
    <w:rsid w:val="00F04715"/>
    <w:rsid w:val="00F04A66"/>
    <w:rsid w:val="00F04B44"/>
    <w:rsid w:val="00F04B4B"/>
    <w:rsid w:val="00F04BAB"/>
    <w:rsid w:val="00F04DC6"/>
    <w:rsid w:val="00F04F89"/>
    <w:rsid w:val="00F0516C"/>
    <w:rsid w:val="00F05327"/>
    <w:rsid w:val="00F054BA"/>
    <w:rsid w:val="00F05683"/>
    <w:rsid w:val="00F056A0"/>
    <w:rsid w:val="00F056AB"/>
    <w:rsid w:val="00F05886"/>
    <w:rsid w:val="00F0598E"/>
    <w:rsid w:val="00F05A02"/>
    <w:rsid w:val="00F05A3D"/>
    <w:rsid w:val="00F05A82"/>
    <w:rsid w:val="00F05AD5"/>
    <w:rsid w:val="00F05C38"/>
    <w:rsid w:val="00F05D6C"/>
    <w:rsid w:val="00F05E86"/>
    <w:rsid w:val="00F05F66"/>
    <w:rsid w:val="00F06021"/>
    <w:rsid w:val="00F06106"/>
    <w:rsid w:val="00F06135"/>
    <w:rsid w:val="00F061A4"/>
    <w:rsid w:val="00F061A9"/>
    <w:rsid w:val="00F06239"/>
    <w:rsid w:val="00F06299"/>
    <w:rsid w:val="00F063E3"/>
    <w:rsid w:val="00F06418"/>
    <w:rsid w:val="00F06439"/>
    <w:rsid w:val="00F06471"/>
    <w:rsid w:val="00F066B9"/>
    <w:rsid w:val="00F067A2"/>
    <w:rsid w:val="00F0687B"/>
    <w:rsid w:val="00F06AE8"/>
    <w:rsid w:val="00F06B77"/>
    <w:rsid w:val="00F06B9E"/>
    <w:rsid w:val="00F06CE1"/>
    <w:rsid w:val="00F06F6D"/>
    <w:rsid w:val="00F06F85"/>
    <w:rsid w:val="00F0700E"/>
    <w:rsid w:val="00F0710A"/>
    <w:rsid w:val="00F072CB"/>
    <w:rsid w:val="00F07448"/>
    <w:rsid w:val="00F074E6"/>
    <w:rsid w:val="00F07505"/>
    <w:rsid w:val="00F07577"/>
    <w:rsid w:val="00F075B9"/>
    <w:rsid w:val="00F07634"/>
    <w:rsid w:val="00F076CB"/>
    <w:rsid w:val="00F07914"/>
    <w:rsid w:val="00F07B9E"/>
    <w:rsid w:val="00F07BA1"/>
    <w:rsid w:val="00F07DA5"/>
    <w:rsid w:val="00F1019A"/>
    <w:rsid w:val="00F102B7"/>
    <w:rsid w:val="00F104EB"/>
    <w:rsid w:val="00F106D2"/>
    <w:rsid w:val="00F1076F"/>
    <w:rsid w:val="00F108EB"/>
    <w:rsid w:val="00F10DB0"/>
    <w:rsid w:val="00F10EA8"/>
    <w:rsid w:val="00F10EEE"/>
    <w:rsid w:val="00F10F5C"/>
    <w:rsid w:val="00F11146"/>
    <w:rsid w:val="00F11166"/>
    <w:rsid w:val="00F1116F"/>
    <w:rsid w:val="00F11190"/>
    <w:rsid w:val="00F11317"/>
    <w:rsid w:val="00F1147A"/>
    <w:rsid w:val="00F117D5"/>
    <w:rsid w:val="00F117FF"/>
    <w:rsid w:val="00F119E8"/>
    <w:rsid w:val="00F11A27"/>
    <w:rsid w:val="00F11D40"/>
    <w:rsid w:val="00F11D49"/>
    <w:rsid w:val="00F12234"/>
    <w:rsid w:val="00F124F7"/>
    <w:rsid w:val="00F1263A"/>
    <w:rsid w:val="00F12781"/>
    <w:rsid w:val="00F127AB"/>
    <w:rsid w:val="00F128CC"/>
    <w:rsid w:val="00F12B63"/>
    <w:rsid w:val="00F12E65"/>
    <w:rsid w:val="00F12EDD"/>
    <w:rsid w:val="00F1338C"/>
    <w:rsid w:val="00F133E3"/>
    <w:rsid w:val="00F1358B"/>
    <w:rsid w:val="00F13779"/>
    <w:rsid w:val="00F137B3"/>
    <w:rsid w:val="00F13857"/>
    <w:rsid w:val="00F139C5"/>
    <w:rsid w:val="00F13AA1"/>
    <w:rsid w:val="00F13B5E"/>
    <w:rsid w:val="00F13BF4"/>
    <w:rsid w:val="00F13CEA"/>
    <w:rsid w:val="00F13CEC"/>
    <w:rsid w:val="00F13E1F"/>
    <w:rsid w:val="00F13E60"/>
    <w:rsid w:val="00F13E83"/>
    <w:rsid w:val="00F13FC0"/>
    <w:rsid w:val="00F140FD"/>
    <w:rsid w:val="00F14340"/>
    <w:rsid w:val="00F1434B"/>
    <w:rsid w:val="00F14439"/>
    <w:rsid w:val="00F1446D"/>
    <w:rsid w:val="00F1448E"/>
    <w:rsid w:val="00F144ED"/>
    <w:rsid w:val="00F1450D"/>
    <w:rsid w:val="00F14554"/>
    <w:rsid w:val="00F145C4"/>
    <w:rsid w:val="00F1461B"/>
    <w:rsid w:val="00F14705"/>
    <w:rsid w:val="00F1475A"/>
    <w:rsid w:val="00F14800"/>
    <w:rsid w:val="00F148CB"/>
    <w:rsid w:val="00F1505E"/>
    <w:rsid w:val="00F1534A"/>
    <w:rsid w:val="00F154EF"/>
    <w:rsid w:val="00F15614"/>
    <w:rsid w:val="00F158DC"/>
    <w:rsid w:val="00F1599B"/>
    <w:rsid w:val="00F159C5"/>
    <w:rsid w:val="00F15B77"/>
    <w:rsid w:val="00F15CA5"/>
    <w:rsid w:val="00F15CD7"/>
    <w:rsid w:val="00F15D4F"/>
    <w:rsid w:val="00F15E41"/>
    <w:rsid w:val="00F15EEF"/>
    <w:rsid w:val="00F15F97"/>
    <w:rsid w:val="00F16475"/>
    <w:rsid w:val="00F16508"/>
    <w:rsid w:val="00F16660"/>
    <w:rsid w:val="00F1680E"/>
    <w:rsid w:val="00F16853"/>
    <w:rsid w:val="00F1689E"/>
    <w:rsid w:val="00F16A68"/>
    <w:rsid w:val="00F16C40"/>
    <w:rsid w:val="00F16C83"/>
    <w:rsid w:val="00F16E97"/>
    <w:rsid w:val="00F16EB4"/>
    <w:rsid w:val="00F16F93"/>
    <w:rsid w:val="00F17059"/>
    <w:rsid w:val="00F170EE"/>
    <w:rsid w:val="00F1716C"/>
    <w:rsid w:val="00F171B0"/>
    <w:rsid w:val="00F1722A"/>
    <w:rsid w:val="00F17243"/>
    <w:rsid w:val="00F173A8"/>
    <w:rsid w:val="00F1761D"/>
    <w:rsid w:val="00F1764E"/>
    <w:rsid w:val="00F17773"/>
    <w:rsid w:val="00F1797B"/>
    <w:rsid w:val="00F17A5A"/>
    <w:rsid w:val="00F17CF3"/>
    <w:rsid w:val="00F201F0"/>
    <w:rsid w:val="00F202C7"/>
    <w:rsid w:val="00F20306"/>
    <w:rsid w:val="00F2048E"/>
    <w:rsid w:val="00F2058D"/>
    <w:rsid w:val="00F206D4"/>
    <w:rsid w:val="00F2080D"/>
    <w:rsid w:val="00F20B90"/>
    <w:rsid w:val="00F20DFB"/>
    <w:rsid w:val="00F20E91"/>
    <w:rsid w:val="00F20F70"/>
    <w:rsid w:val="00F21193"/>
    <w:rsid w:val="00F21236"/>
    <w:rsid w:val="00F21296"/>
    <w:rsid w:val="00F21404"/>
    <w:rsid w:val="00F2152F"/>
    <w:rsid w:val="00F2154B"/>
    <w:rsid w:val="00F216CE"/>
    <w:rsid w:val="00F21720"/>
    <w:rsid w:val="00F2176B"/>
    <w:rsid w:val="00F2178B"/>
    <w:rsid w:val="00F2179E"/>
    <w:rsid w:val="00F21819"/>
    <w:rsid w:val="00F21BE1"/>
    <w:rsid w:val="00F21DCA"/>
    <w:rsid w:val="00F21F6F"/>
    <w:rsid w:val="00F2205E"/>
    <w:rsid w:val="00F22085"/>
    <w:rsid w:val="00F22113"/>
    <w:rsid w:val="00F221DA"/>
    <w:rsid w:val="00F22209"/>
    <w:rsid w:val="00F22265"/>
    <w:rsid w:val="00F223DD"/>
    <w:rsid w:val="00F223F7"/>
    <w:rsid w:val="00F22491"/>
    <w:rsid w:val="00F2266A"/>
    <w:rsid w:val="00F227C3"/>
    <w:rsid w:val="00F22879"/>
    <w:rsid w:val="00F22B4C"/>
    <w:rsid w:val="00F22BAA"/>
    <w:rsid w:val="00F22DCD"/>
    <w:rsid w:val="00F22E07"/>
    <w:rsid w:val="00F22E8D"/>
    <w:rsid w:val="00F22EC8"/>
    <w:rsid w:val="00F230FA"/>
    <w:rsid w:val="00F23135"/>
    <w:rsid w:val="00F231E6"/>
    <w:rsid w:val="00F233CD"/>
    <w:rsid w:val="00F234A3"/>
    <w:rsid w:val="00F23921"/>
    <w:rsid w:val="00F23968"/>
    <w:rsid w:val="00F239DF"/>
    <w:rsid w:val="00F23A96"/>
    <w:rsid w:val="00F2453B"/>
    <w:rsid w:val="00F24667"/>
    <w:rsid w:val="00F24783"/>
    <w:rsid w:val="00F24837"/>
    <w:rsid w:val="00F24887"/>
    <w:rsid w:val="00F24B07"/>
    <w:rsid w:val="00F24D31"/>
    <w:rsid w:val="00F24D5F"/>
    <w:rsid w:val="00F24D93"/>
    <w:rsid w:val="00F24FBF"/>
    <w:rsid w:val="00F2537F"/>
    <w:rsid w:val="00F2540E"/>
    <w:rsid w:val="00F25543"/>
    <w:rsid w:val="00F25664"/>
    <w:rsid w:val="00F2575F"/>
    <w:rsid w:val="00F25B3F"/>
    <w:rsid w:val="00F25B77"/>
    <w:rsid w:val="00F25C84"/>
    <w:rsid w:val="00F25CAB"/>
    <w:rsid w:val="00F25CF8"/>
    <w:rsid w:val="00F25E69"/>
    <w:rsid w:val="00F2616F"/>
    <w:rsid w:val="00F26333"/>
    <w:rsid w:val="00F2643B"/>
    <w:rsid w:val="00F264AE"/>
    <w:rsid w:val="00F26714"/>
    <w:rsid w:val="00F267DF"/>
    <w:rsid w:val="00F26898"/>
    <w:rsid w:val="00F26986"/>
    <w:rsid w:val="00F269BD"/>
    <w:rsid w:val="00F26A11"/>
    <w:rsid w:val="00F26F4C"/>
    <w:rsid w:val="00F270AD"/>
    <w:rsid w:val="00F27220"/>
    <w:rsid w:val="00F27221"/>
    <w:rsid w:val="00F2731F"/>
    <w:rsid w:val="00F27565"/>
    <w:rsid w:val="00F27754"/>
    <w:rsid w:val="00F27B84"/>
    <w:rsid w:val="00F27C58"/>
    <w:rsid w:val="00F27D8F"/>
    <w:rsid w:val="00F27E1F"/>
    <w:rsid w:val="00F27EAB"/>
    <w:rsid w:val="00F27F7A"/>
    <w:rsid w:val="00F27F96"/>
    <w:rsid w:val="00F300DD"/>
    <w:rsid w:val="00F30282"/>
    <w:rsid w:val="00F30315"/>
    <w:rsid w:val="00F3039D"/>
    <w:rsid w:val="00F303E1"/>
    <w:rsid w:val="00F3049D"/>
    <w:rsid w:val="00F30710"/>
    <w:rsid w:val="00F3078B"/>
    <w:rsid w:val="00F3085F"/>
    <w:rsid w:val="00F308F4"/>
    <w:rsid w:val="00F30B7E"/>
    <w:rsid w:val="00F30BDA"/>
    <w:rsid w:val="00F30C00"/>
    <w:rsid w:val="00F30C3E"/>
    <w:rsid w:val="00F30ECD"/>
    <w:rsid w:val="00F30F18"/>
    <w:rsid w:val="00F310D4"/>
    <w:rsid w:val="00F3113C"/>
    <w:rsid w:val="00F31268"/>
    <w:rsid w:val="00F31613"/>
    <w:rsid w:val="00F316DF"/>
    <w:rsid w:val="00F31767"/>
    <w:rsid w:val="00F31B9C"/>
    <w:rsid w:val="00F31C02"/>
    <w:rsid w:val="00F31C86"/>
    <w:rsid w:val="00F31D17"/>
    <w:rsid w:val="00F31D5A"/>
    <w:rsid w:val="00F31E0B"/>
    <w:rsid w:val="00F31F96"/>
    <w:rsid w:val="00F32173"/>
    <w:rsid w:val="00F322E6"/>
    <w:rsid w:val="00F3247A"/>
    <w:rsid w:val="00F32507"/>
    <w:rsid w:val="00F32577"/>
    <w:rsid w:val="00F3276E"/>
    <w:rsid w:val="00F327FF"/>
    <w:rsid w:val="00F328E2"/>
    <w:rsid w:val="00F3296E"/>
    <w:rsid w:val="00F32A3D"/>
    <w:rsid w:val="00F32A61"/>
    <w:rsid w:val="00F32DB9"/>
    <w:rsid w:val="00F32EAA"/>
    <w:rsid w:val="00F3300C"/>
    <w:rsid w:val="00F3314D"/>
    <w:rsid w:val="00F3317E"/>
    <w:rsid w:val="00F33339"/>
    <w:rsid w:val="00F333EA"/>
    <w:rsid w:val="00F334BA"/>
    <w:rsid w:val="00F3353E"/>
    <w:rsid w:val="00F336E2"/>
    <w:rsid w:val="00F3382B"/>
    <w:rsid w:val="00F33865"/>
    <w:rsid w:val="00F33975"/>
    <w:rsid w:val="00F339D6"/>
    <w:rsid w:val="00F33A4A"/>
    <w:rsid w:val="00F33A79"/>
    <w:rsid w:val="00F33B46"/>
    <w:rsid w:val="00F33BD1"/>
    <w:rsid w:val="00F33C88"/>
    <w:rsid w:val="00F33CD8"/>
    <w:rsid w:val="00F33DE9"/>
    <w:rsid w:val="00F33E31"/>
    <w:rsid w:val="00F3413A"/>
    <w:rsid w:val="00F34210"/>
    <w:rsid w:val="00F342FB"/>
    <w:rsid w:val="00F3430B"/>
    <w:rsid w:val="00F344F1"/>
    <w:rsid w:val="00F345E0"/>
    <w:rsid w:val="00F34638"/>
    <w:rsid w:val="00F34790"/>
    <w:rsid w:val="00F34845"/>
    <w:rsid w:val="00F348A3"/>
    <w:rsid w:val="00F349FC"/>
    <w:rsid w:val="00F34A15"/>
    <w:rsid w:val="00F34BD0"/>
    <w:rsid w:val="00F34CB7"/>
    <w:rsid w:val="00F34E8B"/>
    <w:rsid w:val="00F34EF0"/>
    <w:rsid w:val="00F34F7E"/>
    <w:rsid w:val="00F35038"/>
    <w:rsid w:val="00F35176"/>
    <w:rsid w:val="00F35434"/>
    <w:rsid w:val="00F3554F"/>
    <w:rsid w:val="00F356C9"/>
    <w:rsid w:val="00F356E6"/>
    <w:rsid w:val="00F35727"/>
    <w:rsid w:val="00F35753"/>
    <w:rsid w:val="00F3576A"/>
    <w:rsid w:val="00F357A4"/>
    <w:rsid w:val="00F35B95"/>
    <w:rsid w:val="00F35E52"/>
    <w:rsid w:val="00F35E6D"/>
    <w:rsid w:val="00F35FB7"/>
    <w:rsid w:val="00F35FBE"/>
    <w:rsid w:val="00F3619A"/>
    <w:rsid w:val="00F361DE"/>
    <w:rsid w:val="00F361F3"/>
    <w:rsid w:val="00F363BC"/>
    <w:rsid w:val="00F3647E"/>
    <w:rsid w:val="00F3652E"/>
    <w:rsid w:val="00F365A3"/>
    <w:rsid w:val="00F365DE"/>
    <w:rsid w:val="00F36622"/>
    <w:rsid w:val="00F36686"/>
    <w:rsid w:val="00F368BF"/>
    <w:rsid w:val="00F36A26"/>
    <w:rsid w:val="00F36AA2"/>
    <w:rsid w:val="00F36D02"/>
    <w:rsid w:val="00F36D6E"/>
    <w:rsid w:val="00F36D9C"/>
    <w:rsid w:val="00F36E09"/>
    <w:rsid w:val="00F36F50"/>
    <w:rsid w:val="00F36F70"/>
    <w:rsid w:val="00F370F4"/>
    <w:rsid w:val="00F3715F"/>
    <w:rsid w:val="00F3722D"/>
    <w:rsid w:val="00F3737E"/>
    <w:rsid w:val="00F373B2"/>
    <w:rsid w:val="00F3740D"/>
    <w:rsid w:val="00F37551"/>
    <w:rsid w:val="00F375AD"/>
    <w:rsid w:val="00F37625"/>
    <w:rsid w:val="00F376BF"/>
    <w:rsid w:val="00F3793E"/>
    <w:rsid w:val="00F379D3"/>
    <w:rsid w:val="00F37B81"/>
    <w:rsid w:val="00F37D10"/>
    <w:rsid w:val="00F37D5B"/>
    <w:rsid w:val="00F37DA8"/>
    <w:rsid w:val="00F37F36"/>
    <w:rsid w:val="00F40096"/>
    <w:rsid w:val="00F400AB"/>
    <w:rsid w:val="00F4027A"/>
    <w:rsid w:val="00F4044B"/>
    <w:rsid w:val="00F4056F"/>
    <w:rsid w:val="00F405BF"/>
    <w:rsid w:val="00F4084B"/>
    <w:rsid w:val="00F4086F"/>
    <w:rsid w:val="00F40881"/>
    <w:rsid w:val="00F408AD"/>
    <w:rsid w:val="00F409D9"/>
    <w:rsid w:val="00F40A3D"/>
    <w:rsid w:val="00F40AAA"/>
    <w:rsid w:val="00F40BA7"/>
    <w:rsid w:val="00F40D15"/>
    <w:rsid w:val="00F40DBB"/>
    <w:rsid w:val="00F40F9D"/>
    <w:rsid w:val="00F410C3"/>
    <w:rsid w:val="00F411BD"/>
    <w:rsid w:val="00F41380"/>
    <w:rsid w:val="00F414A4"/>
    <w:rsid w:val="00F415C2"/>
    <w:rsid w:val="00F415EE"/>
    <w:rsid w:val="00F4165A"/>
    <w:rsid w:val="00F41667"/>
    <w:rsid w:val="00F41927"/>
    <w:rsid w:val="00F41ACD"/>
    <w:rsid w:val="00F41CBC"/>
    <w:rsid w:val="00F41E43"/>
    <w:rsid w:val="00F41F49"/>
    <w:rsid w:val="00F421E7"/>
    <w:rsid w:val="00F4227F"/>
    <w:rsid w:val="00F42328"/>
    <w:rsid w:val="00F42460"/>
    <w:rsid w:val="00F424A1"/>
    <w:rsid w:val="00F424E6"/>
    <w:rsid w:val="00F42552"/>
    <w:rsid w:val="00F426E3"/>
    <w:rsid w:val="00F42989"/>
    <w:rsid w:val="00F42AC9"/>
    <w:rsid w:val="00F42B7B"/>
    <w:rsid w:val="00F42EA2"/>
    <w:rsid w:val="00F42F82"/>
    <w:rsid w:val="00F42FAB"/>
    <w:rsid w:val="00F43055"/>
    <w:rsid w:val="00F4310B"/>
    <w:rsid w:val="00F4317C"/>
    <w:rsid w:val="00F431E6"/>
    <w:rsid w:val="00F43257"/>
    <w:rsid w:val="00F4357B"/>
    <w:rsid w:val="00F4360A"/>
    <w:rsid w:val="00F43617"/>
    <w:rsid w:val="00F4367D"/>
    <w:rsid w:val="00F438C1"/>
    <w:rsid w:val="00F43A74"/>
    <w:rsid w:val="00F43C47"/>
    <w:rsid w:val="00F43D5E"/>
    <w:rsid w:val="00F43DB1"/>
    <w:rsid w:val="00F43DE0"/>
    <w:rsid w:val="00F43E1D"/>
    <w:rsid w:val="00F43F5B"/>
    <w:rsid w:val="00F440E5"/>
    <w:rsid w:val="00F441C3"/>
    <w:rsid w:val="00F442FB"/>
    <w:rsid w:val="00F4436C"/>
    <w:rsid w:val="00F445F8"/>
    <w:rsid w:val="00F446E3"/>
    <w:rsid w:val="00F4489E"/>
    <w:rsid w:val="00F44991"/>
    <w:rsid w:val="00F44B28"/>
    <w:rsid w:val="00F44E7C"/>
    <w:rsid w:val="00F451E4"/>
    <w:rsid w:val="00F45209"/>
    <w:rsid w:val="00F4558D"/>
    <w:rsid w:val="00F456DA"/>
    <w:rsid w:val="00F4573E"/>
    <w:rsid w:val="00F45A58"/>
    <w:rsid w:val="00F45C10"/>
    <w:rsid w:val="00F45C3E"/>
    <w:rsid w:val="00F45CA6"/>
    <w:rsid w:val="00F45D20"/>
    <w:rsid w:val="00F46018"/>
    <w:rsid w:val="00F46072"/>
    <w:rsid w:val="00F46154"/>
    <w:rsid w:val="00F4637B"/>
    <w:rsid w:val="00F463DF"/>
    <w:rsid w:val="00F464A0"/>
    <w:rsid w:val="00F46667"/>
    <w:rsid w:val="00F468B4"/>
    <w:rsid w:val="00F468D4"/>
    <w:rsid w:val="00F4691D"/>
    <w:rsid w:val="00F46949"/>
    <w:rsid w:val="00F46A1A"/>
    <w:rsid w:val="00F46A47"/>
    <w:rsid w:val="00F46B9D"/>
    <w:rsid w:val="00F46C58"/>
    <w:rsid w:val="00F46CB6"/>
    <w:rsid w:val="00F46CD2"/>
    <w:rsid w:val="00F46EF1"/>
    <w:rsid w:val="00F46F55"/>
    <w:rsid w:val="00F46F69"/>
    <w:rsid w:val="00F470DB"/>
    <w:rsid w:val="00F4716D"/>
    <w:rsid w:val="00F472E4"/>
    <w:rsid w:val="00F474D3"/>
    <w:rsid w:val="00F4756D"/>
    <w:rsid w:val="00F4764D"/>
    <w:rsid w:val="00F47872"/>
    <w:rsid w:val="00F478AA"/>
    <w:rsid w:val="00F478EF"/>
    <w:rsid w:val="00F47A61"/>
    <w:rsid w:val="00F47CAF"/>
    <w:rsid w:val="00F47DE8"/>
    <w:rsid w:val="00F47E84"/>
    <w:rsid w:val="00F47E8E"/>
    <w:rsid w:val="00F47ECA"/>
    <w:rsid w:val="00F47EE7"/>
    <w:rsid w:val="00F501AC"/>
    <w:rsid w:val="00F502CF"/>
    <w:rsid w:val="00F50376"/>
    <w:rsid w:val="00F5038B"/>
    <w:rsid w:val="00F504F7"/>
    <w:rsid w:val="00F50574"/>
    <w:rsid w:val="00F50619"/>
    <w:rsid w:val="00F5062F"/>
    <w:rsid w:val="00F50E6F"/>
    <w:rsid w:val="00F511AF"/>
    <w:rsid w:val="00F51241"/>
    <w:rsid w:val="00F51280"/>
    <w:rsid w:val="00F51399"/>
    <w:rsid w:val="00F51447"/>
    <w:rsid w:val="00F5163A"/>
    <w:rsid w:val="00F51755"/>
    <w:rsid w:val="00F517CD"/>
    <w:rsid w:val="00F51821"/>
    <w:rsid w:val="00F519B3"/>
    <w:rsid w:val="00F51C61"/>
    <w:rsid w:val="00F51C85"/>
    <w:rsid w:val="00F51E7B"/>
    <w:rsid w:val="00F51F17"/>
    <w:rsid w:val="00F51F4C"/>
    <w:rsid w:val="00F51F7F"/>
    <w:rsid w:val="00F52141"/>
    <w:rsid w:val="00F52147"/>
    <w:rsid w:val="00F522DE"/>
    <w:rsid w:val="00F52317"/>
    <w:rsid w:val="00F52387"/>
    <w:rsid w:val="00F5238C"/>
    <w:rsid w:val="00F523CB"/>
    <w:rsid w:val="00F5241C"/>
    <w:rsid w:val="00F526AB"/>
    <w:rsid w:val="00F527C2"/>
    <w:rsid w:val="00F52812"/>
    <w:rsid w:val="00F52872"/>
    <w:rsid w:val="00F529E8"/>
    <w:rsid w:val="00F52B2C"/>
    <w:rsid w:val="00F52BA3"/>
    <w:rsid w:val="00F52DA1"/>
    <w:rsid w:val="00F52F16"/>
    <w:rsid w:val="00F52FF6"/>
    <w:rsid w:val="00F53050"/>
    <w:rsid w:val="00F530B8"/>
    <w:rsid w:val="00F5314B"/>
    <w:rsid w:val="00F5323A"/>
    <w:rsid w:val="00F534EF"/>
    <w:rsid w:val="00F5368D"/>
    <w:rsid w:val="00F53748"/>
    <w:rsid w:val="00F53912"/>
    <w:rsid w:val="00F5397A"/>
    <w:rsid w:val="00F53A99"/>
    <w:rsid w:val="00F53B0D"/>
    <w:rsid w:val="00F53C21"/>
    <w:rsid w:val="00F53D55"/>
    <w:rsid w:val="00F53EB7"/>
    <w:rsid w:val="00F541FF"/>
    <w:rsid w:val="00F542C1"/>
    <w:rsid w:val="00F5439D"/>
    <w:rsid w:val="00F543C0"/>
    <w:rsid w:val="00F548DA"/>
    <w:rsid w:val="00F54960"/>
    <w:rsid w:val="00F54B8D"/>
    <w:rsid w:val="00F54DE9"/>
    <w:rsid w:val="00F54E2F"/>
    <w:rsid w:val="00F54E3F"/>
    <w:rsid w:val="00F54FDA"/>
    <w:rsid w:val="00F55013"/>
    <w:rsid w:val="00F5504B"/>
    <w:rsid w:val="00F550AF"/>
    <w:rsid w:val="00F550E3"/>
    <w:rsid w:val="00F552AE"/>
    <w:rsid w:val="00F5534C"/>
    <w:rsid w:val="00F55472"/>
    <w:rsid w:val="00F55683"/>
    <w:rsid w:val="00F5570A"/>
    <w:rsid w:val="00F55753"/>
    <w:rsid w:val="00F557EF"/>
    <w:rsid w:val="00F558F8"/>
    <w:rsid w:val="00F55957"/>
    <w:rsid w:val="00F55AC8"/>
    <w:rsid w:val="00F55BAF"/>
    <w:rsid w:val="00F55BDA"/>
    <w:rsid w:val="00F55CD4"/>
    <w:rsid w:val="00F55D51"/>
    <w:rsid w:val="00F55E0D"/>
    <w:rsid w:val="00F55E73"/>
    <w:rsid w:val="00F55EDA"/>
    <w:rsid w:val="00F55EE7"/>
    <w:rsid w:val="00F56045"/>
    <w:rsid w:val="00F56072"/>
    <w:rsid w:val="00F563B0"/>
    <w:rsid w:val="00F563F9"/>
    <w:rsid w:val="00F5640F"/>
    <w:rsid w:val="00F56648"/>
    <w:rsid w:val="00F56871"/>
    <w:rsid w:val="00F568DD"/>
    <w:rsid w:val="00F5690F"/>
    <w:rsid w:val="00F569E2"/>
    <w:rsid w:val="00F56ABB"/>
    <w:rsid w:val="00F56C50"/>
    <w:rsid w:val="00F56C80"/>
    <w:rsid w:val="00F56D3B"/>
    <w:rsid w:val="00F56DBA"/>
    <w:rsid w:val="00F56DC2"/>
    <w:rsid w:val="00F57099"/>
    <w:rsid w:val="00F57403"/>
    <w:rsid w:val="00F574DA"/>
    <w:rsid w:val="00F574E5"/>
    <w:rsid w:val="00F575EE"/>
    <w:rsid w:val="00F57654"/>
    <w:rsid w:val="00F577A7"/>
    <w:rsid w:val="00F57979"/>
    <w:rsid w:val="00F579DF"/>
    <w:rsid w:val="00F57AA9"/>
    <w:rsid w:val="00F57B9D"/>
    <w:rsid w:val="00F57BA3"/>
    <w:rsid w:val="00F57E81"/>
    <w:rsid w:val="00F57F0C"/>
    <w:rsid w:val="00F60092"/>
    <w:rsid w:val="00F60251"/>
    <w:rsid w:val="00F606E6"/>
    <w:rsid w:val="00F60905"/>
    <w:rsid w:val="00F609EF"/>
    <w:rsid w:val="00F60C70"/>
    <w:rsid w:val="00F60E25"/>
    <w:rsid w:val="00F60FAF"/>
    <w:rsid w:val="00F60FC4"/>
    <w:rsid w:val="00F610B0"/>
    <w:rsid w:val="00F61105"/>
    <w:rsid w:val="00F61544"/>
    <w:rsid w:val="00F61598"/>
    <w:rsid w:val="00F615BA"/>
    <w:rsid w:val="00F61653"/>
    <w:rsid w:val="00F618E7"/>
    <w:rsid w:val="00F61A28"/>
    <w:rsid w:val="00F61A7B"/>
    <w:rsid w:val="00F61C16"/>
    <w:rsid w:val="00F61C18"/>
    <w:rsid w:val="00F61CED"/>
    <w:rsid w:val="00F61D07"/>
    <w:rsid w:val="00F61E77"/>
    <w:rsid w:val="00F61F0E"/>
    <w:rsid w:val="00F61FE8"/>
    <w:rsid w:val="00F62010"/>
    <w:rsid w:val="00F62341"/>
    <w:rsid w:val="00F623FC"/>
    <w:rsid w:val="00F6265F"/>
    <w:rsid w:val="00F629A0"/>
    <w:rsid w:val="00F62A71"/>
    <w:rsid w:val="00F62A90"/>
    <w:rsid w:val="00F62B08"/>
    <w:rsid w:val="00F62BB4"/>
    <w:rsid w:val="00F62BE1"/>
    <w:rsid w:val="00F62CE4"/>
    <w:rsid w:val="00F62E1D"/>
    <w:rsid w:val="00F62F5B"/>
    <w:rsid w:val="00F633B0"/>
    <w:rsid w:val="00F634B9"/>
    <w:rsid w:val="00F6395D"/>
    <w:rsid w:val="00F63AAE"/>
    <w:rsid w:val="00F63B3C"/>
    <w:rsid w:val="00F63BB7"/>
    <w:rsid w:val="00F63E08"/>
    <w:rsid w:val="00F63E31"/>
    <w:rsid w:val="00F640C6"/>
    <w:rsid w:val="00F640D0"/>
    <w:rsid w:val="00F64188"/>
    <w:rsid w:val="00F641BC"/>
    <w:rsid w:val="00F64319"/>
    <w:rsid w:val="00F644B2"/>
    <w:rsid w:val="00F644C1"/>
    <w:rsid w:val="00F6454A"/>
    <w:rsid w:val="00F6454F"/>
    <w:rsid w:val="00F64605"/>
    <w:rsid w:val="00F64647"/>
    <w:rsid w:val="00F6499D"/>
    <w:rsid w:val="00F64AE7"/>
    <w:rsid w:val="00F64B8B"/>
    <w:rsid w:val="00F64C74"/>
    <w:rsid w:val="00F64D3F"/>
    <w:rsid w:val="00F64F04"/>
    <w:rsid w:val="00F65011"/>
    <w:rsid w:val="00F65099"/>
    <w:rsid w:val="00F651BC"/>
    <w:rsid w:val="00F653F3"/>
    <w:rsid w:val="00F655D8"/>
    <w:rsid w:val="00F65675"/>
    <w:rsid w:val="00F65786"/>
    <w:rsid w:val="00F65A7D"/>
    <w:rsid w:val="00F65BA2"/>
    <w:rsid w:val="00F65BBD"/>
    <w:rsid w:val="00F65CDD"/>
    <w:rsid w:val="00F65DA2"/>
    <w:rsid w:val="00F65DA9"/>
    <w:rsid w:val="00F65F4B"/>
    <w:rsid w:val="00F66002"/>
    <w:rsid w:val="00F661B1"/>
    <w:rsid w:val="00F66371"/>
    <w:rsid w:val="00F663BB"/>
    <w:rsid w:val="00F6646B"/>
    <w:rsid w:val="00F664A2"/>
    <w:rsid w:val="00F6653D"/>
    <w:rsid w:val="00F667EC"/>
    <w:rsid w:val="00F66A74"/>
    <w:rsid w:val="00F66ADA"/>
    <w:rsid w:val="00F66ADD"/>
    <w:rsid w:val="00F66B38"/>
    <w:rsid w:val="00F66C37"/>
    <w:rsid w:val="00F66C82"/>
    <w:rsid w:val="00F66DD5"/>
    <w:rsid w:val="00F66E0C"/>
    <w:rsid w:val="00F66E74"/>
    <w:rsid w:val="00F66F25"/>
    <w:rsid w:val="00F67214"/>
    <w:rsid w:val="00F67547"/>
    <w:rsid w:val="00F675E8"/>
    <w:rsid w:val="00F675FE"/>
    <w:rsid w:val="00F678BF"/>
    <w:rsid w:val="00F67A69"/>
    <w:rsid w:val="00F67AEE"/>
    <w:rsid w:val="00F67B15"/>
    <w:rsid w:val="00F67D14"/>
    <w:rsid w:val="00F67E2C"/>
    <w:rsid w:val="00F67E73"/>
    <w:rsid w:val="00F67E89"/>
    <w:rsid w:val="00F67F13"/>
    <w:rsid w:val="00F67F60"/>
    <w:rsid w:val="00F70174"/>
    <w:rsid w:val="00F70178"/>
    <w:rsid w:val="00F70404"/>
    <w:rsid w:val="00F7043D"/>
    <w:rsid w:val="00F70568"/>
    <w:rsid w:val="00F70965"/>
    <w:rsid w:val="00F70A2B"/>
    <w:rsid w:val="00F70A62"/>
    <w:rsid w:val="00F70AD8"/>
    <w:rsid w:val="00F70BFF"/>
    <w:rsid w:val="00F70C47"/>
    <w:rsid w:val="00F70C9D"/>
    <w:rsid w:val="00F70CAA"/>
    <w:rsid w:val="00F70D9E"/>
    <w:rsid w:val="00F70DE2"/>
    <w:rsid w:val="00F70F95"/>
    <w:rsid w:val="00F70FEC"/>
    <w:rsid w:val="00F7100D"/>
    <w:rsid w:val="00F7114D"/>
    <w:rsid w:val="00F7120D"/>
    <w:rsid w:val="00F7125E"/>
    <w:rsid w:val="00F71358"/>
    <w:rsid w:val="00F713CB"/>
    <w:rsid w:val="00F71624"/>
    <w:rsid w:val="00F71688"/>
    <w:rsid w:val="00F716F2"/>
    <w:rsid w:val="00F717C1"/>
    <w:rsid w:val="00F7190D"/>
    <w:rsid w:val="00F71941"/>
    <w:rsid w:val="00F71948"/>
    <w:rsid w:val="00F7198C"/>
    <w:rsid w:val="00F71C8E"/>
    <w:rsid w:val="00F71D03"/>
    <w:rsid w:val="00F71DEF"/>
    <w:rsid w:val="00F71E40"/>
    <w:rsid w:val="00F71F97"/>
    <w:rsid w:val="00F7215A"/>
    <w:rsid w:val="00F721EC"/>
    <w:rsid w:val="00F723FE"/>
    <w:rsid w:val="00F727DA"/>
    <w:rsid w:val="00F728F1"/>
    <w:rsid w:val="00F7290E"/>
    <w:rsid w:val="00F7296A"/>
    <w:rsid w:val="00F72BC4"/>
    <w:rsid w:val="00F72C1C"/>
    <w:rsid w:val="00F72CEE"/>
    <w:rsid w:val="00F72CFF"/>
    <w:rsid w:val="00F72E01"/>
    <w:rsid w:val="00F72E12"/>
    <w:rsid w:val="00F73040"/>
    <w:rsid w:val="00F730DC"/>
    <w:rsid w:val="00F73114"/>
    <w:rsid w:val="00F7313C"/>
    <w:rsid w:val="00F7313E"/>
    <w:rsid w:val="00F732CC"/>
    <w:rsid w:val="00F73435"/>
    <w:rsid w:val="00F735D6"/>
    <w:rsid w:val="00F7361F"/>
    <w:rsid w:val="00F73883"/>
    <w:rsid w:val="00F739E4"/>
    <w:rsid w:val="00F73A98"/>
    <w:rsid w:val="00F73ADC"/>
    <w:rsid w:val="00F73CB8"/>
    <w:rsid w:val="00F73E08"/>
    <w:rsid w:val="00F73FE4"/>
    <w:rsid w:val="00F7412E"/>
    <w:rsid w:val="00F7413B"/>
    <w:rsid w:val="00F74379"/>
    <w:rsid w:val="00F7454D"/>
    <w:rsid w:val="00F745D7"/>
    <w:rsid w:val="00F74707"/>
    <w:rsid w:val="00F74853"/>
    <w:rsid w:val="00F74CD9"/>
    <w:rsid w:val="00F75104"/>
    <w:rsid w:val="00F751FB"/>
    <w:rsid w:val="00F753C5"/>
    <w:rsid w:val="00F75421"/>
    <w:rsid w:val="00F754FA"/>
    <w:rsid w:val="00F756D6"/>
    <w:rsid w:val="00F756FC"/>
    <w:rsid w:val="00F7570D"/>
    <w:rsid w:val="00F7573A"/>
    <w:rsid w:val="00F75755"/>
    <w:rsid w:val="00F75784"/>
    <w:rsid w:val="00F75ACA"/>
    <w:rsid w:val="00F75B41"/>
    <w:rsid w:val="00F75BD6"/>
    <w:rsid w:val="00F75CA5"/>
    <w:rsid w:val="00F75CDB"/>
    <w:rsid w:val="00F761ED"/>
    <w:rsid w:val="00F7644C"/>
    <w:rsid w:val="00F7644F"/>
    <w:rsid w:val="00F765EC"/>
    <w:rsid w:val="00F768F9"/>
    <w:rsid w:val="00F76A26"/>
    <w:rsid w:val="00F76A89"/>
    <w:rsid w:val="00F76C15"/>
    <w:rsid w:val="00F76C85"/>
    <w:rsid w:val="00F76F54"/>
    <w:rsid w:val="00F76FCE"/>
    <w:rsid w:val="00F77065"/>
    <w:rsid w:val="00F7714F"/>
    <w:rsid w:val="00F774ED"/>
    <w:rsid w:val="00F77612"/>
    <w:rsid w:val="00F777B8"/>
    <w:rsid w:val="00F77D96"/>
    <w:rsid w:val="00F77EFC"/>
    <w:rsid w:val="00F77F56"/>
    <w:rsid w:val="00F77FAF"/>
    <w:rsid w:val="00F800A9"/>
    <w:rsid w:val="00F801FC"/>
    <w:rsid w:val="00F80295"/>
    <w:rsid w:val="00F802A7"/>
    <w:rsid w:val="00F803AA"/>
    <w:rsid w:val="00F80604"/>
    <w:rsid w:val="00F8060C"/>
    <w:rsid w:val="00F806C1"/>
    <w:rsid w:val="00F8073E"/>
    <w:rsid w:val="00F807EC"/>
    <w:rsid w:val="00F8084C"/>
    <w:rsid w:val="00F80A0F"/>
    <w:rsid w:val="00F80A46"/>
    <w:rsid w:val="00F80A7B"/>
    <w:rsid w:val="00F80B2C"/>
    <w:rsid w:val="00F80E5D"/>
    <w:rsid w:val="00F80EA9"/>
    <w:rsid w:val="00F8107B"/>
    <w:rsid w:val="00F81086"/>
    <w:rsid w:val="00F8114B"/>
    <w:rsid w:val="00F8118B"/>
    <w:rsid w:val="00F81224"/>
    <w:rsid w:val="00F812C1"/>
    <w:rsid w:val="00F813AC"/>
    <w:rsid w:val="00F813E9"/>
    <w:rsid w:val="00F81520"/>
    <w:rsid w:val="00F816EE"/>
    <w:rsid w:val="00F8185B"/>
    <w:rsid w:val="00F818C1"/>
    <w:rsid w:val="00F81905"/>
    <w:rsid w:val="00F819E9"/>
    <w:rsid w:val="00F81D08"/>
    <w:rsid w:val="00F81E78"/>
    <w:rsid w:val="00F81E8E"/>
    <w:rsid w:val="00F81E99"/>
    <w:rsid w:val="00F81EB8"/>
    <w:rsid w:val="00F81F26"/>
    <w:rsid w:val="00F81F91"/>
    <w:rsid w:val="00F81FAE"/>
    <w:rsid w:val="00F82112"/>
    <w:rsid w:val="00F8230F"/>
    <w:rsid w:val="00F8237F"/>
    <w:rsid w:val="00F8254D"/>
    <w:rsid w:val="00F825B2"/>
    <w:rsid w:val="00F82684"/>
    <w:rsid w:val="00F8273A"/>
    <w:rsid w:val="00F8299E"/>
    <w:rsid w:val="00F829F0"/>
    <w:rsid w:val="00F82BA6"/>
    <w:rsid w:val="00F82CCD"/>
    <w:rsid w:val="00F82D79"/>
    <w:rsid w:val="00F82DE5"/>
    <w:rsid w:val="00F82EF2"/>
    <w:rsid w:val="00F83066"/>
    <w:rsid w:val="00F832E8"/>
    <w:rsid w:val="00F83771"/>
    <w:rsid w:val="00F8379C"/>
    <w:rsid w:val="00F838DC"/>
    <w:rsid w:val="00F83916"/>
    <w:rsid w:val="00F8393B"/>
    <w:rsid w:val="00F839B7"/>
    <w:rsid w:val="00F83A63"/>
    <w:rsid w:val="00F83AB0"/>
    <w:rsid w:val="00F83AF0"/>
    <w:rsid w:val="00F83C00"/>
    <w:rsid w:val="00F83F57"/>
    <w:rsid w:val="00F83FAA"/>
    <w:rsid w:val="00F83FD2"/>
    <w:rsid w:val="00F84018"/>
    <w:rsid w:val="00F84041"/>
    <w:rsid w:val="00F84058"/>
    <w:rsid w:val="00F8407B"/>
    <w:rsid w:val="00F84092"/>
    <w:rsid w:val="00F84111"/>
    <w:rsid w:val="00F842F7"/>
    <w:rsid w:val="00F843A5"/>
    <w:rsid w:val="00F8457B"/>
    <w:rsid w:val="00F84582"/>
    <w:rsid w:val="00F8469D"/>
    <w:rsid w:val="00F846C4"/>
    <w:rsid w:val="00F84703"/>
    <w:rsid w:val="00F847FC"/>
    <w:rsid w:val="00F84837"/>
    <w:rsid w:val="00F8486B"/>
    <w:rsid w:val="00F84B19"/>
    <w:rsid w:val="00F84E6B"/>
    <w:rsid w:val="00F84F42"/>
    <w:rsid w:val="00F85056"/>
    <w:rsid w:val="00F850C6"/>
    <w:rsid w:val="00F8515C"/>
    <w:rsid w:val="00F8518A"/>
    <w:rsid w:val="00F8518F"/>
    <w:rsid w:val="00F851CE"/>
    <w:rsid w:val="00F851EF"/>
    <w:rsid w:val="00F85381"/>
    <w:rsid w:val="00F8560C"/>
    <w:rsid w:val="00F85634"/>
    <w:rsid w:val="00F856D5"/>
    <w:rsid w:val="00F85700"/>
    <w:rsid w:val="00F85828"/>
    <w:rsid w:val="00F858DC"/>
    <w:rsid w:val="00F85B56"/>
    <w:rsid w:val="00F85C24"/>
    <w:rsid w:val="00F85D87"/>
    <w:rsid w:val="00F85DD1"/>
    <w:rsid w:val="00F85EEE"/>
    <w:rsid w:val="00F85F70"/>
    <w:rsid w:val="00F8601B"/>
    <w:rsid w:val="00F861B5"/>
    <w:rsid w:val="00F861FA"/>
    <w:rsid w:val="00F86553"/>
    <w:rsid w:val="00F86634"/>
    <w:rsid w:val="00F86685"/>
    <w:rsid w:val="00F8673A"/>
    <w:rsid w:val="00F867E0"/>
    <w:rsid w:val="00F869E3"/>
    <w:rsid w:val="00F86A0A"/>
    <w:rsid w:val="00F86A90"/>
    <w:rsid w:val="00F86B84"/>
    <w:rsid w:val="00F86BC6"/>
    <w:rsid w:val="00F86BFC"/>
    <w:rsid w:val="00F86FCC"/>
    <w:rsid w:val="00F870D2"/>
    <w:rsid w:val="00F874E5"/>
    <w:rsid w:val="00F87598"/>
    <w:rsid w:val="00F875AD"/>
    <w:rsid w:val="00F877C8"/>
    <w:rsid w:val="00F8791D"/>
    <w:rsid w:val="00F87A04"/>
    <w:rsid w:val="00F87A82"/>
    <w:rsid w:val="00F87AF3"/>
    <w:rsid w:val="00F87B14"/>
    <w:rsid w:val="00F87C3D"/>
    <w:rsid w:val="00F87D01"/>
    <w:rsid w:val="00F87DDD"/>
    <w:rsid w:val="00F90041"/>
    <w:rsid w:val="00F900AC"/>
    <w:rsid w:val="00F901DE"/>
    <w:rsid w:val="00F90244"/>
    <w:rsid w:val="00F9054C"/>
    <w:rsid w:val="00F905C6"/>
    <w:rsid w:val="00F90684"/>
    <w:rsid w:val="00F906E0"/>
    <w:rsid w:val="00F908CE"/>
    <w:rsid w:val="00F90927"/>
    <w:rsid w:val="00F90976"/>
    <w:rsid w:val="00F90991"/>
    <w:rsid w:val="00F909C2"/>
    <w:rsid w:val="00F90A25"/>
    <w:rsid w:val="00F90CDB"/>
    <w:rsid w:val="00F90CFB"/>
    <w:rsid w:val="00F90E70"/>
    <w:rsid w:val="00F90F7A"/>
    <w:rsid w:val="00F91042"/>
    <w:rsid w:val="00F9109F"/>
    <w:rsid w:val="00F910FD"/>
    <w:rsid w:val="00F91104"/>
    <w:rsid w:val="00F91219"/>
    <w:rsid w:val="00F91264"/>
    <w:rsid w:val="00F91281"/>
    <w:rsid w:val="00F915AB"/>
    <w:rsid w:val="00F91830"/>
    <w:rsid w:val="00F91971"/>
    <w:rsid w:val="00F91B18"/>
    <w:rsid w:val="00F91B78"/>
    <w:rsid w:val="00F91B8A"/>
    <w:rsid w:val="00F91B8B"/>
    <w:rsid w:val="00F91E1F"/>
    <w:rsid w:val="00F91FB0"/>
    <w:rsid w:val="00F91FCB"/>
    <w:rsid w:val="00F9209A"/>
    <w:rsid w:val="00F92104"/>
    <w:rsid w:val="00F921C8"/>
    <w:rsid w:val="00F92444"/>
    <w:rsid w:val="00F925ED"/>
    <w:rsid w:val="00F925FF"/>
    <w:rsid w:val="00F92616"/>
    <w:rsid w:val="00F92687"/>
    <w:rsid w:val="00F9284B"/>
    <w:rsid w:val="00F92873"/>
    <w:rsid w:val="00F928B6"/>
    <w:rsid w:val="00F92A0E"/>
    <w:rsid w:val="00F92B76"/>
    <w:rsid w:val="00F92E22"/>
    <w:rsid w:val="00F92F25"/>
    <w:rsid w:val="00F9318B"/>
    <w:rsid w:val="00F931C3"/>
    <w:rsid w:val="00F93324"/>
    <w:rsid w:val="00F9338A"/>
    <w:rsid w:val="00F933D2"/>
    <w:rsid w:val="00F93433"/>
    <w:rsid w:val="00F934AC"/>
    <w:rsid w:val="00F9354E"/>
    <w:rsid w:val="00F9360C"/>
    <w:rsid w:val="00F93727"/>
    <w:rsid w:val="00F938BE"/>
    <w:rsid w:val="00F9393E"/>
    <w:rsid w:val="00F9395C"/>
    <w:rsid w:val="00F939E5"/>
    <w:rsid w:val="00F93A6C"/>
    <w:rsid w:val="00F93A98"/>
    <w:rsid w:val="00F93D00"/>
    <w:rsid w:val="00F93D47"/>
    <w:rsid w:val="00F93FA0"/>
    <w:rsid w:val="00F941E5"/>
    <w:rsid w:val="00F94306"/>
    <w:rsid w:val="00F9436A"/>
    <w:rsid w:val="00F94749"/>
    <w:rsid w:val="00F9484D"/>
    <w:rsid w:val="00F948C6"/>
    <w:rsid w:val="00F948FE"/>
    <w:rsid w:val="00F9494C"/>
    <w:rsid w:val="00F94D9E"/>
    <w:rsid w:val="00F94DE0"/>
    <w:rsid w:val="00F94ED5"/>
    <w:rsid w:val="00F94F5E"/>
    <w:rsid w:val="00F94FF8"/>
    <w:rsid w:val="00F9517D"/>
    <w:rsid w:val="00F95210"/>
    <w:rsid w:val="00F952C6"/>
    <w:rsid w:val="00F9530A"/>
    <w:rsid w:val="00F954B7"/>
    <w:rsid w:val="00F9566A"/>
    <w:rsid w:val="00F956E2"/>
    <w:rsid w:val="00F9573A"/>
    <w:rsid w:val="00F95977"/>
    <w:rsid w:val="00F959B4"/>
    <w:rsid w:val="00F95A31"/>
    <w:rsid w:val="00F95A4C"/>
    <w:rsid w:val="00F95FD3"/>
    <w:rsid w:val="00F95FFE"/>
    <w:rsid w:val="00F9637A"/>
    <w:rsid w:val="00F96598"/>
    <w:rsid w:val="00F96640"/>
    <w:rsid w:val="00F96662"/>
    <w:rsid w:val="00F966C1"/>
    <w:rsid w:val="00F96CA1"/>
    <w:rsid w:val="00F96CEC"/>
    <w:rsid w:val="00F96EC7"/>
    <w:rsid w:val="00F96F35"/>
    <w:rsid w:val="00F96F36"/>
    <w:rsid w:val="00F96FD0"/>
    <w:rsid w:val="00F97026"/>
    <w:rsid w:val="00F9702A"/>
    <w:rsid w:val="00F970FD"/>
    <w:rsid w:val="00F97125"/>
    <w:rsid w:val="00F971CE"/>
    <w:rsid w:val="00F972A3"/>
    <w:rsid w:val="00F972E1"/>
    <w:rsid w:val="00F972E4"/>
    <w:rsid w:val="00F97380"/>
    <w:rsid w:val="00F974B7"/>
    <w:rsid w:val="00F97567"/>
    <w:rsid w:val="00F978EC"/>
    <w:rsid w:val="00F97A78"/>
    <w:rsid w:val="00F97B8A"/>
    <w:rsid w:val="00F97D95"/>
    <w:rsid w:val="00F97FD5"/>
    <w:rsid w:val="00FA010F"/>
    <w:rsid w:val="00FA033E"/>
    <w:rsid w:val="00FA0518"/>
    <w:rsid w:val="00FA0653"/>
    <w:rsid w:val="00FA087C"/>
    <w:rsid w:val="00FA0922"/>
    <w:rsid w:val="00FA095B"/>
    <w:rsid w:val="00FA0AAA"/>
    <w:rsid w:val="00FA0AEA"/>
    <w:rsid w:val="00FA0B1C"/>
    <w:rsid w:val="00FA0B20"/>
    <w:rsid w:val="00FA0C5E"/>
    <w:rsid w:val="00FA0DE6"/>
    <w:rsid w:val="00FA10C7"/>
    <w:rsid w:val="00FA10F6"/>
    <w:rsid w:val="00FA113A"/>
    <w:rsid w:val="00FA1571"/>
    <w:rsid w:val="00FA15CB"/>
    <w:rsid w:val="00FA1728"/>
    <w:rsid w:val="00FA1A46"/>
    <w:rsid w:val="00FA1B55"/>
    <w:rsid w:val="00FA1FCA"/>
    <w:rsid w:val="00FA20ED"/>
    <w:rsid w:val="00FA2296"/>
    <w:rsid w:val="00FA2320"/>
    <w:rsid w:val="00FA235C"/>
    <w:rsid w:val="00FA23D2"/>
    <w:rsid w:val="00FA247A"/>
    <w:rsid w:val="00FA24E7"/>
    <w:rsid w:val="00FA2579"/>
    <w:rsid w:val="00FA260F"/>
    <w:rsid w:val="00FA2731"/>
    <w:rsid w:val="00FA2837"/>
    <w:rsid w:val="00FA2AC7"/>
    <w:rsid w:val="00FA2BA4"/>
    <w:rsid w:val="00FA2D31"/>
    <w:rsid w:val="00FA2FE9"/>
    <w:rsid w:val="00FA3309"/>
    <w:rsid w:val="00FA3353"/>
    <w:rsid w:val="00FA337C"/>
    <w:rsid w:val="00FA34E7"/>
    <w:rsid w:val="00FA3792"/>
    <w:rsid w:val="00FA385A"/>
    <w:rsid w:val="00FA385C"/>
    <w:rsid w:val="00FA39FF"/>
    <w:rsid w:val="00FA3B28"/>
    <w:rsid w:val="00FA401D"/>
    <w:rsid w:val="00FA41D1"/>
    <w:rsid w:val="00FA4227"/>
    <w:rsid w:val="00FA42AA"/>
    <w:rsid w:val="00FA4466"/>
    <w:rsid w:val="00FA4520"/>
    <w:rsid w:val="00FA456B"/>
    <w:rsid w:val="00FA46CB"/>
    <w:rsid w:val="00FA477F"/>
    <w:rsid w:val="00FA478F"/>
    <w:rsid w:val="00FA480F"/>
    <w:rsid w:val="00FA4A11"/>
    <w:rsid w:val="00FA4B04"/>
    <w:rsid w:val="00FA4C29"/>
    <w:rsid w:val="00FA4C7D"/>
    <w:rsid w:val="00FA4FE1"/>
    <w:rsid w:val="00FA5420"/>
    <w:rsid w:val="00FA556C"/>
    <w:rsid w:val="00FA56B0"/>
    <w:rsid w:val="00FA5901"/>
    <w:rsid w:val="00FA5942"/>
    <w:rsid w:val="00FA5A1A"/>
    <w:rsid w:val="00FA5A28"/>
    <w:rsid w:val="00FA5ADC"/>
    <w:rsid w:val="00FA5C61"/>
    <w:rsid w:val="00FA5C74"/>
    <w:rsid w:val="00FA5CF7"/>
    <w:rsid w:val="00FA5D0E"/>
    <w:rsid w:val="00FA5EE6"/>
    <w:rsid w:val="00FA5F7B"/>
    <w:rsid w:val="00FA6175"/>
    <w:rsid w:val="00FA6346"/>
    <w:rsid w:val="00FA63BF"/>
    <w:rsid w:val="00FA675D"/>
    <w:rsid w:val="00FA6B7E"/>
    <w:rsid w:val="00FA6BC4"/>
    <w:rsid w:val="00FA6CC4"/>
    <w:rsid w:val="00FA6E11"/>
    <w:rsid w:val="00FA6E65"/>
    <w:rsid w:val="00FA6E8F"/>
    <w:rsid w:val="00FA6F35"/>
    <w:rsid w:val="00FA6F86"/>
    <w:rsid w:val="00FA714D"/>
    <w:rsid w:val="00FA7162"/>
    <w:rsid w:val="00FA7540"/>
    <w:rsid w:val="00FA7686"/>
    <w:rsid w:val="00FA7758"/>
    <w:rsid w:val="00FA77E9"/>
    <w:rsid w:val="00FA785F"/>
    <w:rsid w:val="00FA7956"/>
    <w:rsid w:val="00FA79DD"/>
    <w:rsid w:val="00FA7BE8"/>
    <w:rsid w:val="00FB008D"/>
    <w:rsid w:val="00FB0115"/>
    <w:rsid w:val="00FB0133"/>
    <w:rsid w:val="00FB0229"/>
    <w:rsid w:val="00FB05BE"/>
    <w:rsid w:val="00FB0686"/>
    <w:rsid w:val="00FB0708"/>
    <w:rsid w:val="00FB0771"/>
    <w:rsid w:val="00FB0824"/>
    <w:rsid w:val="00FB0B36"/>
    <w:rsid w:val="00FB0BD7"/>
    <w:rsid w:val="00FB0BDC"/>
    <w:rsid w:val="00FB0DFE"/>
    <w:rsid w:val="00FB0E83"/>
    <w:rsid w:val="00FB0EF5"/>
    <w:rsid w:val="00FB0F70"/>
    <w:rsid w:val="00FB11E1"/>
    <w:rsid w:val="00FB125A"/>
    <w:rsid w:val="00FB12A2"/>
    <w:rsid w:val="00FB130A"/>
    <w:rsid w:val="00FB14C5"/>
    <w:rsid w:val="00FB14F3"/>
    <w:rsid w:val="00FB172D"/>
    <w:rsid w:val="00FB178C"/>
    <w:rsid w:val="00FB17E5"/>
    <w:rsid w:val="00FB18C7"/>
    <w:rsid w:val="00FB18F4"/>
    <w:rsid w:val="00FB1916"/>
    <w:rsid w:val="00FB19A1"/>
    <w:rsid w:val="00FB19A6"/>
    <w:rsid w:val="00FB1A50"/>
    <w:rsid w:val="00FB1AEF"/>
    <w:rsid w:val="00FB1B12"/>
    <w:rsid w:val="00FB1ED9"/>
    <w:rsid w:val="00FB1F64"/>
    <w:rsid w:val="00FB21AB"/>
    <w:rsid w:val="00FB23D6"/>
    <w:rsid w:val="00FB2436"/>
    <w:rsid w:val="00FB2463"/>
    <w:rsid w:val="00FB2657"/>
    <w:rsid w:val="00FB284A"/>
    <w:rsid w:val="00FB28C6"/>
    <w:rsid w:val="00FB2935"/>
    <w:rsid w:val="00FB2CB9"/>
    <w:rsid w:val="00FB2FCB"/>
    <w:rsid w:val="00FB2FCD"/>
    <w:rsid w:val="00FB309E"/>
    <w:rsid w:val="00FB311F"/>
    <w:rsid w:val="00FB3199"/>
    <w:rsid w:val="00FB31AC"/>
    <w:rsid w:val="00FB3727"/>
    <w:rsid w:val="00FB3881"/>
    <w:rsid w:val="00FB3909"/>
    <w:rsid w:val="00FB3949"/>
    <w:rsid w:val="00FB3993"/>
    <w:rsid w:val="00FB3A06"/>
    <w:rsid w:val="00FB3A0D"/>
    <w:rsid w:val="00FB3A7C"/>
    <w:rsid w:val="00FB3A91"/>
    <w:rsid w:val="00FB3B62"/>
    <w:rsid w:val="00FB3CE3"/>
    <w:rsid w:val="00FB3D37"/>
    <w:rsid w:val="00FB3EC5"/>
    <w:rsid w:val="00FB3FAC"/>
    <w:rsid w:val="00FB40C8"/>
    <w:rsid w:val="00FB424F"/>
    <w:rsid w:val="00FB43A4"/>
    <w:rsid w:val="00FB43D8"/>
    <w:rsid w:val="00FB43F5"/>
    <w:rsid w:val="00FB4469"/>
    <w:rsid w:val="00FB452E"/>
    <w:rsid w:val="00FB467B"/>
    <w:rsid w:val="00FB476A"/>
    <w:rsid w:val="00FB47CA"/>
    <w:rsid w:val="00FB4AD9"/>
    <w:rsid w:val="00FB4AF2"/>
    <w:rsid w:val="00FB4C9C"/>
    <w:rsid w:val="00FB4CF8"/>
    <w:rsid w:val="00FB4E54"/>
    <w:rsid w:val="00FB4ED9"/>
    <w:rsid w:val="00FB4F57"/>
    <w:rsid w:val="00FB514B"/>
    <w:rsid w:val="00FB539F"/>
    <w:rsid w:val="00FB5482"/>
    <w:rsid w:val="00FB54CB"/>
    <w:rsid w:val="00FB55ED"/>
    <w:rsid w:val="00FB5670"/>
    <w:rsid w:val="00FB569B"/>
    <w:rsid w:val="00FB58F4"/>
    <w:rsid w:val="00FB5923"/>
    <w:rsid w:val="00FB5958"/>
    <w:rsid w:val="00FB5972"/>
    <w:rsid w:val="00FB59BD"/>
    <w:rsid w:val="00FB59BE"/>
    <w:rsid w:val="00FB5B7B"/>
    <w:rsid w:val="00FB5CCF"/>
    <w:rsid w:val="00FB5DC5"/>
    <w:rsid w:val="00FB5E46"/>
    <w:rsid w:val="00FB5EA2"/>
    <w:rsid w:val="00FB5ED1"/>
    <w:rsid w:val="00FB6120"/>
    <w:rsid w:val="00FB6227"/>
    <w:rsid w:val="00FB62CC"/>
    <w:rsid w:val="00FB6538"/>
    <w:rsid w:val="00FB6663"/>
    <w:rsid w:val="00FB66D8"/>
    <w:rsid w:val="00FB6CAC"/>
    <w:rsid w:val="00FB6E0C"/>
    <w:rsid w:val="00FB70A6"/>
    <w:rsid w:val="00FB7156"/>
    <w:rsid w:val="00FB7235"/>
    <w:rsid w:val="00FB733B"/>
    <w:rsid w:val="00FB73D1"/>
    <w:rsid w:val="00FB7441"/>
    <w:rsid w:val="00FB7506"/>
    <w:rsid w:val="00FB7661"/>
    <w:rsid w:val="00FB76BC"/>
    <w:rsid w:val="00FB79EC"/>
    <w:rsid w:val="00FB7C4B"/>
    <w:rsid w:val="00FB7C55"/>
    <w:rsid w:val="00FB7D82"/>
    <w:rsid w:val="00FB7E46"/>
    <w:rsid w:val="00FB7ED4"/>
    <w:rsid w:val="00FB7F1A"/>
    <w:rsid w:val="00FC0041"/>
    <w:rsid w:val="00FC0045"/>
    <w:rsid w:val="00FC026A"/>
    <w:rsid w:val="00FC0391"/>
    <w:rsid w:val="00FC081D"/>
    <w:rsid w:val="00FC0954"/>
    <w:rsid w:val="00FC09B2"/>
    <w:rsid w:val="00FC09CF"/>
    <w:rsid w:val="00FC0DFD"/>
    <w:rsid w:val="00FC0DFE"/>
    <w:rsid w:val="00FC0ECD"/>
    <w:rsid w:val="00FC1060"/>
    <w:rsid w:val="00FC106D"/>
    <w:rsid w:val="00FC1074"/>
    <w:rsid w:val="00FC1216"/>
    <w:rsid w:val="00FC13A7"/>
    <w:rsid w:val="00FC13F3"/>
    <w:rsid w:val="00FC1538"/>
    <w:rsid w:val="00FC1687"/>
    <w:rsid w:val="00FC1884"/>
    <w:rsid w:val="00FC191D"/>
    <w:rsid w:val="00FC1991"/>
    <w:rsid w:val="00FC19D6"/>
    <w:rsid w:val="00FC1C2F"/>
    <w:rsid w:val="00FC1CAE"/>
    <w:rsid w:val="00FC1E0A"/>
    <w:rsid w:val="00FC1E53"/>
    <w:rsid w:val="00FC1E58"/>
    <w:rsid w:val="00FC1F25"/>
    <w:rsid w:val="00FC2097"/>
    <w:rsid w:val="00FC2245"/>
    <w:rsid w:val="00FC2529"/>
    <w:rsid w:val="00FC2838"/>
    <w:rsid w:val="00FC28C2"/>
    <w:rsid w:val="00FC2AB7"/>
    <w:rsid w:val="00FC2B6F"/>
    <w:rsid w:val="00FC2C23"/>
    <w:rsid w:val="00FC2FEC"/>
    <w:rsid w:val="00FC3142"/>
    <w:rsid w:val="00FC315B"/>
    <w:rsid w:val="00FC3218"/>
    <w:rsid w:val="00FC3318"/>
    <w:rsid w:val="00FC3460"/>
    <w:rsid w:val="00FC371D"/>
    <w:rsid w:val="00FC377A"/>
    <w:rsid w:val="00FC38A7"/>
    <w:rsid w:val="00FC3963"/>
    <w:rsid w:val="00FC3A3B"/>
    <w:rsid w:val="00FC3A9A"/>
    <w:rsid w:val="00FC3CB5"/>
    <w:rsid w:val="00FC3D2B"/>
    <w:rsid w:val="00FC3D4B"/>
    <w:rsid w:val="00FC3D9B"/>
    <w:rsid w:val="00FC3E1F"/>
    <w:rsid w:val="00FC3E5D"/>
    <w:rsid w:val="00FC3F3C"/>
    <w:rsid w:val="00FC4179"/>
    <w:rsid w:val="00FC42B8"/>
    <w:rsid w:val="00FC436E"/>
    <w:rsid w:val="00FC43CD"/>
    <w:rsid w:val="00FC43DA"/>
    <w:rsid w:val="00FC4586"/>
    <w:rsid w:val="00FC4630"/>
    <w:rsid w:val="00FC4680"/>
    <w:rsid w:val="00FC4CDA"/>
    <w:rsid w:val="00FC4D38"/>
    <w:rsid w:val="00FC4F5E"/>
    <w:rsid w:val="00FC50A7"/>
    <w:rsid w:val="00FC52B6"/>
    <w:rsid w:val="00FC5317"/>
    <w:rsid w:val="00FC5502"/>
    <w:rsid w:val="00FC5683"/>
    <w:rsid w:val="00FC58C7"/>
    <w:rsid w:val="00FC58DF"/>
    <w:rsid w:val="00FC591E"/>
    <w:rsid w:val="00FC59A3"/>
    <w:rsid w:val="00FC5A25"/>
    <w:rsid w:val="00FC5A3C"/>
    <w:rsid w:val="00FC5A75"/>
    <w:rsid w:val="00FC5BFF"/>
    <w:rsid w:val="00FC5D60"/>
    <w:rsid w:val="00FC5F0B"/>
    <w:rsid w:val="00FC5F0D"/>
    <w:rsid w:val="00FC5FCA"/>
    <w:rsid w:val="00FC60A5"/>
    <w:rsid w:val="00FC6129"/>
    <w:rsid w:val="00FC6176"/>
    <w:rsid w:val="00FC626D"/>
    <w:rsid w:val="00FC63F0"/>
    <w:rsid w:val="00FC6414"/>
    <w:rsid w:val="00FC6637"/>
    <w:rsid w:val="00FC6648"/>
    <w:rsid w:val="00FC66DB"/>
    <w:rsid w:val="00FC69BC"/>
    <w:rsid w:val="00FC69CB"/>
    <w:rsid w:val="00FC6AA1"/>
    <w:rsid w:val="00FC6B89"/>
    <w:rsid w:val="00FC6B9D"/>
    <w:rsid w:val="00FC6C84"/>
    <w:rsid w:val="00FC6CCD"/>
    <w:rsid w:val="00FC6DE2"/>
    <w:rsid w:val="00FC6E2C"/>
    <w:rsid w:val="00FC6E74"/>
    <w:rsid w:val="00FC6ECF"/>
    <w:rsid w:val="00FC6F12"/>
    <w:rsid w:val="00FC6F15"/>
    <w:rsid w:val="00FC7028"/>
    <w:rsid w:val="00FC7161"/>
    <w:rsid w:val="00FC71E1"/>
    <w:rsid w:val="00FC72BA"/>
    <w:rsid w:val="00FC7381"/>
    <w:rsid w:val="00FC756E"/>
    <w:rsid w:val="00FC75CC"/>
    <w:rsid w:val="00FC75ED"/>
    <w:rsid w:val="00FC794A"/>
    <w:rsid w:val="00FC7B70"/>
    <w:rsid w:val="00FC7BDE"/>
    <w:rsid w:val="00FC7F3F"/>
    <w:rsid w:val="00FD0075"/>
    <w:rsid w:val="00FD00C6"/>
    <w:rsid w:val="00FD043B"/>
    <w:rsid w:val="00FD0445"/>
    <w:rsid w:val="00FD044D"/>
    <w:rsid w:val="00FD0493"/>
    <w:rsid w:val="00FD0584"/>
    <w:rsid w:val="00FD058A"/>
    <w:rsid w:val="00FD05DF"/>
    <w:rsid w:val="00FD07D6"/>
    <w:rsid w:val="00FD08DF"/>
    <w:rsid w:val="00FD0CB0"/>
    <w:rsid w:val="00FD0D17"/>
    <w:rsid w:val="00FD1135"/>
    <w:rsid w:val="00FD11A4"/>
    <w:rsid w:val="00FD127A"/>
    <w:rsid w:val="00FD1474"/>
    <w:rsid w:val="00FD15FB"/>
    <w:rsid w:val="00FD163F"/>
    <w:rsid w:val="00FD1643"/>
    <w:rsid w:val="00FD168B"/>
    <w:rsid w:val="00FD180C"/>
    <w:rsid w:val="00FD1941"/>
    <w:rsid w:val="00FD1BB8"/>
    <w:rsid w:val="00FD1D5C"/>
    <w:rsid w:val="00FD1FAA"/>
    <w:rsid w:val="00FD20C1"/>
    <w:rsid w:val="00FD2100"/>
    <w:rsid w:val="00FD21C1"/>
    <w:rsid w:val="00FD22CA"/>
    <w:rsid w:val="00FD2496"/>
    <w:rsid w:val="00FD25F9"/>
    <w:rsid w:val="00FD264D"/>
    <w:rsid w:val="00FD275B"/>
    <w:rsid w:val="00FD2778"/>
    <w:rsid w:val="00FD2D93"/>
    <w:rsid w:val="00FD2E79"/>
    <w:rsid w:val="00FD2EDB"/>
    <w:rsid w:val="00FD2F29"/>
    <w:rsid w:val="00FD3357"/>
    <w:rsid w:val="00FD33E0"/>
    <w:rsid w:val="00FD34AE"/>
    <w:rsid w:val="00FD3580"/>
    <w:rsid w:val="00FD3633"/>
    <w:rsid w:val="00FD3805"/>
    <w:rsid w:val="00FD3858"/>
    <w:rsid w:val="00FD3924"/>
    <w:rsid w:val="00FD3A87"/>
    <w:rsid w:val="00FD3DAB"/>
    <w:rsid w:val="00FD3EA1"/>
    <w:rsid w:val="00FD402F"/>
    <w:rsid w:val="00FD4088"/>
    <w:rsid w:val="00FD4279"/>
    <w:rsid w:val="00FD436C"/>
    <w:rsid w:val="00FD43EC"/>
    <w:rsid w:val="00FD446D"/>
    <w:rsid w:val="00FD4482"/>
    <w:rsid w:val="00FD44B9"/>
    <w:rsid w:val="00FD44E3"/>
    <w:rsid w:val="00FD45C9"/>
    <w:rsid w:val="00FD485C"/>
    <w:rsid w:val="00FD48BB"/>
    <w:rsid w:val="00FD4975"/>
    <w:rsid w:val="00FD497E"/>
    <w:rsid w:val="00FD4B19"/>
    <w:rsid w:val="00FD4D7D"/>
    <w:rsid w:val="00FD4DF6"/>
    <w:rsid w:val="00FD4F2C"/>
    <w:rsid w:val="00FD51DC"/>
    <w:rsid w:val="00FD55A9"/>
    <w:rsid w:val="00FD5A39"/>
    <w:rsid w:val="00FD5C47"/>
    <w:rsid w:val="00FD5D3C"/>
    <w:rsid w:val="00FD5D6B"/>
    <w:rsid w:val="00FD5E08"/>
    <w:rsid w:val="00FD5F81"/>
    <w:rsid w:val="00FD6047"/>
    <w:rsid w:val="00FD609B"/>
    <w:rsid w:val="00FD6120"/>
    <w:rsid w:val="00FD625A"/>
    <w:rsid w:val="00FD62FF"/>
    <w:rsid w:val="00FD633F"/>
    <w:rsid w:val="00FD6394"/>
    <w:rsid w:val="00FD6441"/>
    <w:rsid w:val="00FD659E"/>
    <w:rsid w:val="00FD67D7"/>
    <w:rsid w:val="00FD68C3"/>
    <w:rsid w:val="00FD6A70"/>
    <w:rsid w:val="00FD6A78"/>
    <w:rsid w:val="00FD6B07"/>
    <w:rsid w:val="00FD6CCE"/>
    <w:rsid w:val="00FD6CD2"/>
    <w:rsid w:val="00FD6D4F"/>
    <w:rsid w:val="00FD6ED1"/>
    <w:rsid w:val="00FD6F14"/>
    <w:rsid w:val="00FD6FEE"/>
    <w:rsid w:val="00FD7027"/>
    <w:rsid w:val="00FD703A"/>
    <w:rsid w:val="00FD7195"/>
    <w:rsid w:val="00FD737A"/>
    <w:rsid w:val="00FD7466"/>
    <w:rsid w:val="00FD7475"/>
    <w:rsid w:val="00FD752D"/>
    <w:rsid w:val="00FD757C"/>
    <w:rsid w:val="00FD761F"/>
    <w:rsid w:val="00FD7732"/>
    <w:rsid w:val="00FD774E"/>
    <w:rsid w:val="00FD7834"/>
    <w:rsid w:val="00FD7841"/>
    <w:rsid w:val="00FD7A4D"/>
    <w:rsid w:val="00FD7A6C"/>
    <w:rsid w:val="00FD7D5D"/>
    <w:rsid w:val="00FD7E2F"/>
    <w:rsid w:val="00FD7E32"/>
    <w:rsid w:val="00FD7E36"/>
    <w:rsid w:val="00FE00F8"/>
    <w:rsid w:val="00FE0136"/>
    <w:rsid w:val="00FE0272"/>
    <w:rsid w:val="00FE05A3"/>
    <w:rsid w:val="00FE060B"/>
    <w:rsid w:val="00FE063A"/>
    <w:rsid w:val="00FE0776"/>
    <w:rsid w:val="00FE0820"/>
    <w:rsid w:val="00FE0926"/>
    <w:rsid w:val="00FE0A72"/>
    <w:rsid w:val="00FE0A7D"/>
    <w:rsid w:val="00FE0C04"/>
    <w:rsid w:val="00FE0E6C"/>
    <w:rsid w:val="00FE0E9F"/>
    <w:rsid w:val="00FE0ED3"/>
    <w:rsid w:val="00FE0FCD"/>
    <w:rsid w:val="00FE1130"/>
    <w:rsid w:val="00FE116A"/>
    <w:rsid w:val="00FE1450"/>
    <w:rsid w:val="00FE1486"/>
    <w:rsid w:val="00FE1564"/>
    <w:rsid w:val="00FE164C"/>
    <w:rsid w:val="00FE1694"/>
    <w:rsid w:val="00FE1722"/>
    <w:rsid w:val="00FE1772"/>
    <w:rsid w:val="00FE18C7"/>
    <w:rsid w:val="00FE19F8"/>
    <w:rsid w:val="00FE1CDC"/>
    <w:rsid w:val="00FE1CE4"/>
    <w:rsid w:val="00FE2074"/>
    <w:rsid w:val="00FE215E"/>
    <w:rsid w:val="00FE22C5"/>
    <w:rsid w:val="00FE232C"/>
    <w:rsid w:val="00FE23F6"/>
    <w:rsid w:val="00FE2589"/>
    <w:rsid w:val="00FE268D"/>
    <w:rsid w:val="00FE2762"/>
    <w:rsid w:val="00FE27EA"/>
    <w:rsid w:val="00FE28A7"/>
    <w:rsid w:val="00FE2C80"/>
    <w:rsid w:val="00FE2E1B"/>
    <w:rsid w:val="00FE2EFB"/>
    <w:rsid w:val="00FE3343"/>
    <w:rsid w:val="00FE3468"/>
    <w:rsid w:val="00FE34BD"/>
    <w:rsid w:val="00FE36B1"/>
    <w:rsid w:val="00FE3816"/>
    <w:rsid w:val="00FE383F"/>
    <w:rsid w:val="00FE38B2"/>
    <w:rsid w:val="00FE3AF5"/>
    <w:rsid w:val="00FE3B00"/>
    <w:rsid w:val="00FE3BDD"/>
    <w:rsid w:val="00FE3C27"/>
    <w:rsid w:val="00FE3D34"/>
    <w:rsid w:val="00FE3FD8"/>
    <w:rsid w:val="00FE4073"/>
    <w:rsid w:val="00FE40A6"/>
    <w:rsid w:val="00FE40E0"/>
    <w:rsid w:val="00FE4193"/>
    <w:rsid w:val="00FE4225"/>
    <w:rsid w:val="00FE43C2"/>
    <w:rsid w:val="00FE4426"/>
    <w:rsid w:val="00FE45EE"/>
    <w:rsid w:val="00FE460F"/>
    <w:rsid w:val="00FE48B3"/>
    <w:rsid w:val="00FE48E2"/>
    <w:rsid w:val="00FE4951"/>
    <w:rsid w:val="00FE49DA"/>
    <w:rsid w:val="00FE4A96"/>
    <w:rsid w:val="00FE4B5B"/>
    <w:rsid w:val="00FE4CB9"/>
    <w:rsid w:val="00FE4CE2"/>
    <w:rsid w:val="00FE4D5F"/>
    <w:rsid w:val="00FE4D6C"/>
    <w:rsid w:val="00FE4DB5"/>
    <w:rsid w:val="00FE4DE7"/>
    <w:rsid w:val="00FE4FB4"/>
    <w:rsid w:val="00FE506D"/>
    <w:rsid w:val="00FE508B"/>
    <w:rsid w:val="00FE513F"/>
    <w:rsid w:val="00FE526F"/>
    <w:rsid w:val="00FE52FE"/>
    <w:rsid w:val="00FE5522"/>
    <w:rsid w:val="00FE553E"/>
    <w:rsid w:val="00FE55B2"/>
    <w:rsid w:val="00FE5726"/>
    <w:rsid w:val="00FE5850"/>
    <w:rsid w:val="00FE58F0"/>
    <w:rsid w:val="00FE59E5"/>
    <w:rsid w:val="00FE5B5C"/>
    <w:rsid w:val="00FE5BE8"/>
    <w:rsid w:val="00FE5D48"/>
    <w:rsid w:val="00FE5DA3"/>
    <w:rsid w:val="00FE5E67"/>
    <w:rsid w:val="00FE5F12"/>
    <w:rsid w:val="00FE5F4A"/>
    <w:rsid w:val="00FE6046"/>
    <w:rsid w:val="00FE6047"/>
    <w:rsid w:val="00FE6221"/>
    <w:rsid w:val="00FE646B"/>
    <w:rsid w:val="00FE6480"/>
    <w:rsid w:val="00FE6484"/>
    <w:rsid w:val="00FE6614"/>
    <w:rsid w:val="00FE6657"/>
    <w:rsid w:val="00FE67F1"/>
    <w:rsid w:val="00FE683B"/>
    <w:rsid w:val="00FE68D2"/>
    <w:rsid w:val="00FE694F"/>
    <w:rsid w:val="00FE6B1F"/>
    <w:rsid w:val="00FE6B3F"/>
    <w:rsid w:val="00FE6D68"/>
    <w:rsid w:val="00FE6E64"/>
    <w:rsid w:val="00FE6F5A"/>
    <w:rsid w:val="00FE6F97"/>
    <w:rsid w:val="00FE7087"/>
    <w:rsid w:val="00FE7090"/>
    <w:rsid w:val="00FE70C3"/>
    <w:rsid w:val="00FE72E8"/>
    <w:rsid w:val="00FE7573"/>
    <w:rsid w:val="00FE78D6"/>
    <w:rsid w:val="00FE7932"/>
    <w:rsid w:val="00FE7A80"/>
    <w:rsid w:val="00FE7B29"/>
    <w:rsid w:val="00FE7C87"/>
    <w:rsid w:val="00FE7CC9"/>
    <w:rsid w:val="00FE7DB5"/>
    <w:rsid w:val="00FF006B"/>
    <w:rsid w:val="00FF0081"/>
    <w:rsid w:val="00FF0505"/>
    <w:rsid w:val="00FF0605"/>
    <w:rsid w:val="00FF06C5"/>
    <w:rsid w:val="00FF0806"/>
    <w:rsid w:val="00FF08E4"/>
    <w:rsid w:val="00FF0A7C"/>
    <w:rsid w:val="00FF0AA8"/>
    <w:rsid w:val="00FF0BC7"/>
    <w:rsid w:val="00FF0CA9"/>
    <w:rsid w:val="00FF0D7B"/>
    <w:rsid w:val="00FF0E20"/>
    <w:rsid w:val="00FF11AC"/>
    <w:rsid w:val="00FF11D9"/>
    <w:rsid w:val="00FF120F"/>
    <w:rsid w:val="00FF1336"/>
    <w:rsid w:val="00FF13BC"/>
    <w:rsid w:val="00FF13F6"/>
    <w:rsid w:val="00FF1442"/>
    <w:rsid w:val="00FF1473"/>
    <w:rsid w:val="00FF1564"/>
    <w:rsid w:val="00FF1602"/>
    <w:rsid w:val="00FF16E8"/>
    <w:rsid w:val="00FF1801"/>
    <w:rsid w:val="00FF181A"/>
    <w:rsid w:val="00FF1868"/>
    <w:rsid w:val="00FF18B7"/>
    <w:rsid w:val="00FF1982"/>
    <w:rsid w:val="00FF1A8B"/>
    <w:rsid w:val="00FF1B15"/>
    <w:rsid w:val="00FF1CB2"/>
    <w:rsid w:val="00FF1CEE"/>
    <w:rsid w:val="00FF1EA2"/>
    <w:rsid w:val="00FF1EC3"/>
    <w:rsid w:val="00FF2006"/>
    <w:rsid w:val="00FF2320"/>
    <w:rsid w:val="00FF2357"/>
    <w:rsid w:val="00FF292D"/>
    <w:rsid w:val="00FF2967"/>
    <w:rsid w:val="00FF2A85"/>
    <w:rsid w:val="00FF2AD9"/>
    <w:rsid w:val="00FF2BA1"/>
    <w:rsid w:val="00FF2BE0"/>
    <w:rsid w:val="00FF2E57"/>
    <w:rsid w:val="00FF2ECA"/>
    <w:rsid w:val="00FF30D2"/>
    <w:rsid w:val="00FF3155"/>
    <w:rsid w:val="00FF32D0"/>
    <w:rsid w:val="00FF3557"/>
    <w:rsid w:val="00FF359F"/>
    <w:rsid w:val="00FF364D"/>
    <w:rsid w:val="00FF3737"/>
    <w:rsid w:val="00FF37DD"/>
    <w:rsid w:val="00FF3A0F"/>
    <w:rsid w:val="00FF3A69"/>
    <w:rsid w:val="00FF3D4D"/>
    <w:rsid w:val="00FF3DCF"/>
    <w:rsid w:val="00FF3FA2"/>
    <w:rsid w:val="00FF418D"/>
    <w:rsid w:val="00FF42E2"/>
    <w:rsid w:val="00FF451D"/>
    <w:rsid w:val="00FF459B"/>
    <w:rsid w:val="00FF477A"/>
    <w:rsid w:val="00FF479B"/>
    <w:rsid w:val="00FF483C"/>
    <w:rsid w:val="00FF486D"/>
    <w:rsid w:val="00FF492C"/>
    <w:rsid w:val="00FF49F0"/>
    <w:rsid w:val="00FF4A21"/>
    <w:rsid w:val="00FF4B7D"/>
    <w:rsid w:val="00FF4B97"/>
    <w:rsid w:val="00FF4BF6"/>
    <w:rsid w:val="00FF4D40"/>
    <w:rsid w:val="00FF4DDC"/>
    <w:rsid w:val="00FF4EC4"/>
    <w:rsid w:val="00FF4FA2"/>
    <w:rsid w:val="00FF519C"/>
    <w:rsid w:val="00FF5268"/>
    <w:rsid w:val="00FF5328"/>
    <w:rsid w:val="00FF5407"/>
    <w:rsid w:val="00FF54A1"/>
    <w:rsid w:val="00FF55E7"/>
    <w:rsid w:val="00FF574E"/>
    <w:rsid w:val="00FF580E"/>
    <w:rsid w:val="00FF58C5"/>
    <w:rsid w:val="00FF5A5C"/>
    <w:rsid w:val="00FF5AA3"/>
    <w:rsid w:val="00FF5AD8"/>
    <w:rsid w:val="00FF5B31"/>
    <w:rsid w:val="00FF5BF1"/>
    <w:rsid w:val="00FF5BFB"/>
    <w:rsid w:val="00FF5ED2"/>
    <w:rsid w:val="00FF5F60"/>
    <w:rsid w:val="00FF5FF0"/>
    <w:rsid w:val="00FF6151"/>
    <w:rsid w:val="00FF6440"/>
    <w:rsid w:val="00FF66C7"/>
    <w:rsid w:val="00FF6919"/>
    <w:rsid w:val="00FF6AD1"/>
    <w:rsid w:val="00FF6B98"/>
    <w:rsid w:val="00FF6DDD"/>
    <w:rsid w:val="00FF7184"/>
    <w:rsid w:val="00FF72B4"/>
    <w:rsid w:val="00FF7433"/>
    <w:rsid w:val="00FF74FB"/>
    <w:rsid w:val="00FF7707"/>
    <w:rsid w:val="00FF778F"/>
    <w:rsid w:val="00FF77EC"/>
    <w:rsid w:val="00FF7822"/>
    <w:rsid w:val="00FF79B6"/>
    <w:rsid w:val="00FF7C3F"/>
    <w:rsid w:val="00FF7D1C"/>
    <w:rsid w:val="00FF7D57"/>
    <w:rsid w:val="00FF7E07"/>
    <w:rsid w:val="00FF7E56"/>
    <w:rsid w:val="011CE09A"/>
    <w:rsid w:val="01AF894B"/>
    <w:rsid w:val="025A8F54"/>
    <w:rsid w:val="036700A3"/>
    <w:rsid w:val="0388D24E"/>
    <w:rsid w:val="0398031A"/>
    <w:rsid w:val="03DF47E3"/>
    <w:rsid w:val="040D01BE"/>
    <w:rsid w:val="04CDC301"/>
    <w:rsid w:val="06604C48"/>
    <w:rsid w:val="0660A205"/>
    <w:rsid w:val="06AD8115"/>
    <w:rsid w:val="06D91E19"/>
    <w:rsid w:val="06FD6A9F"/>
    <w:rsid w:val="08C2D6EA"/>
    <w:rsid w:val="0966A9EC"/>
    <w:rsid w:val="09AB4EA8"/>
    <w:rsid w:val="0A4860D0"/>
    <w:rsid w:val="0AD19143"/>
    <w:rsid w:val="0B211805"/>
    <w:rsid w:val="0B8AE9A8"/>
    <w:rsid w:val="0B9AC55D"/>
    <w:rsid w:val="0BA693AD"/>
    <w:rsid w:val="0BDB5EE8"/>
    <w:rsid w:val="0C097D42"/>
    <w:rsid w:val="0C67B304"/>
    <w:rsid w:val="0C937BF0"/>
    <w:rsid w:val="0CA13CB0"/>
    <w:rsid w:val="0D2F244A"/>
    <w:rsid w:val="0D771182"/>
    <w:rsid w:val="0F11D387"/>
    <w:rsid w:val="0F9E406B"/>
    <w:rsid w:val="10D400D6"/>
    <w:rsid w:val="1162F493"/>
    <w:rsid w:val="11A2566F"/>
    <w:rsid w:val="125F562A"/>
    <w:rsid w:val="127619A1"/>
    <w:rsid w:val="12AD0EB2"/>
    <w:rsid w:val="12CB7318"/>
    <w:rsid w:val="1357D1BD"/>
    <w:rsid w:val="1467140C"/>
    <w:rsid w:val="147F23EE"/>
    <w:rsid w:val="14903706"/>
    <w:rsid w:val="14B2EB13"/>
    <w:rsid w:val="14C265FF"/>
    <w:rsid w:val="1518EA50"/>
    <w:rsid w:val="15327D65"/>
    <w:rsid w:val="155E356A"/>
    <w:rsid w:val="159B96E8"/>
    <w:rsid w:val="15C3DDE1"/>
    <w:rsid w:val="16AB7031"/>
    <w:rsid w:val="16EA1762"/>
    <w:rsid w:val="16EF621C"/>
    <w:rsid w:val="172828D3"/>
    <w:rsid w:val="1743A9D8"/>
    <w:rsid w:val="1746BB28"/>
    <w:rsid w:val="176A5544"/>
    <w:rsid w:val="183A9674"/>
    <w:rsid w:val="1A32F698"/>
    <w:rsid w:val="1A4D1102"/>
    <w:rsid w:val="1AAB4B08"/>
    <w:rsid w:val="1B1D56F9"/>
    <w:rsid w:val="1B9EAF16"/>
    <w:rsid w:val="1BAC08B7"/>
    <w:rsid w:val="1BC2201C"/>
    <w:rsid w:val="1CF4D5D6"/>
    <w:rsid w:val="1E634179"/>
    <w:rsid w:val="1F61A981"/>
    <w:rsid w:val="202FBA1C"/>
    <w:rsid w:val="20FB3806"/>
    <w:rsid w:val="213E188A"/>
    <w:rsid w:val="21435154"/>
    <w:rsid w:val="21EB8659"/>
    <w:rsid w:val="22C93D4A"/>
    <w:rsid w:val="233E9A55"/>
    <w:rsid w:val="2358B419"/>
    <w:rsid w:val="2447CAE0"/>
    <w:rsid w:val="2468E08C"/>
    <w:rsid w:val="25438A77"/>
    <w:rsid w:val="25613DE4"/>
    <w:rsid w:val="272BB38C"/>
    <w:rsid w:val="275E7FEA"/>
    <w:rsid w:val="279295A9"/>
    <w:rsid w:val="27C8B291"/>
    <w:rsid w:val="284046BD"/>
    <w:rsid w:val="286C107B"/>
    <w:rsid w:val="28E703C6"/>
    <w:rsid w:val="29811FA5"/>
    <w:rsid w:val="2A2346A9"/>
    <w:rsid w:val="2A303896"/>
    <w:rsid w:val="2A55F1FB"/>
    <w:rsid w:val="2BF6EB93"/>
    <w:rsid w:val="2C9099D1"/>
    <w:rsid w:val="2CA8135B"/>
    <w:rsid w:val="2CEE7C54"/>
    <w:rsid w:val="2D41B68E"/>
    <w:rsid w:val="2DE630C3"/>
    <w:rsid w:val="2DEFAF4B"/>
    <w:rsid w:val="2E7BA12A"/>
    <w:rsid w:val="2EB6BD5A"/>
    <w:rsid w:val="2F3393A8"/>
    <w:rsid w:val="2F8F3C98"/>
    <w:rsid w:val="2FD536C8"/>
    <w:rsid w:val="3020A495"/>
    <w:rsid w:val="303E4E28"/>
    <w:rsid w:val="315492C3"/>
    <w:rsid w:val="316CBD24"/>
    <w:rsid w:val="31AA8EA5"/>
    <w:rsid w:val="324F4A85"/>
    <w:rsid w:val="329F1659"/>
    <w:rsid w:val="32F1AB94"/>
    <w:rsid w:val="3312CEAD"/>
    <w:rsid w:val="332FFB6E"/>
    <w:rsid w:val="33366481"/>
    <w:rsid w:val="34679684"/>
    <w:rsid w:val="352AF033"/>
    <w:rsid w:val="35958C8F"/>
    <w:rsid w:val="36642F2E"/>
    <w:rsid w:val="369160E1"/>
    <w:rsid w:val="375AA101"/>
    <w:rsid w:val="3784A947"/>
    <w:rsid w:val="37C4EBB0"/>
    <w:rsid w:val="394E8BC0"/>
    <w:rsid w:val="398C236D"/>
    <w:rsid w:val="3A0A649C"/>
    <w:rsid w:val="3A47AA36"/>
    <w:rsid w:val="3B72EC34"/>
    <w:rsid w:val="3BDBFB34"/>
    <w:rsid w:val="3C057FD3"/>
    <w:rsid w:val="3C45E527"/>
    <w:rsid w:val="3F634097"/>
    <w:rsid w:val="401E16D5"/>
    <w:rsid w:val="408AB2F6"/>
    <w:rsid w:val="40EA7C9A"/>
    <w:rsid w:val="412B6987"/>
    <w:rsid w:val="415505DD"/>
    <w:rsid w:val="41F0E7CF"/>
    <w:rsid w:val="421FD73B"/>
    <w:rsid w:val="4322173E"/>
    <w:rsid w:val="43D7F09D"/>
    <w:rsid w:val="43F0F97B"/>
    <w:rsid w:val="456B0C49"/>
    <w:rsid w:val="45C3F9AA"/>
    <w:rsid w:val="45D94DA9"/>
    <w:rsid w:val="47264DD4"/>
    <w:rsid w:val="47775C70"/>
    <w:rsid w:val="47F4BDEB"/>
    <w:rsid w:val="48BA14CA"/>
    <w:rsid w:val="48E69F22"/>
    <w:rsid w:val="490EB02D"/>
    <w:rsid w:val="49C4E48C"/>
    <w:rsid w:val="4B931CF5"/>
    <w:rsid w:val="4BE6E126"/>
    <w:rsid w:val="4C79B0F6"/>
    <w:rsid w:val="4CECE708"/>
    <w:rsid w:val="4D2CD87D"/>
    <w:rsid w:val="4D7E33BC"/>
    <w:rsid w:val="4E87ACCB"/>
    <w:rsid w:val="4EBA7E25"/>
    <w:rsid w:val="4F1BA527"/>
    <w:rsid w:val="4F8827F8"/>
    <w:rsid w:val="4FC978DF"/>
    <w:rsid w:val="4FE7AA23"/>
    <w:rsid w:val="5065E0F9"/>
    <w:rsid w:val="50EB2CAA"/>
    <w:rsid w:val="510932F1"/>
    <w:rsid w:val="514EC431"/>
    <w:rsid w:val="51EEE38B"/>
    <w:rsid w:val="5284D041"/>
    <w:rsid w:val="5387D9DB"/>
    <w:rsid w:val="53B57D04"/>
    <w:rsid w:val="54389063"/>
    <w:rsid w:val="54BFAFC1"/>
    <w:rsid w:val="54E6244D"/>
    <w:rsid w:val="555E7419"/>
    <w:rsid w:val="559538A6"/>
    <w:rsid w:val="57885252"/>
    <w:rsid w:val="57C2D44E"/>
    <w:rsid w:val="580F2777"/>
    <w:rsid w:val="58DFD6ED"/>
    <w:rsid w:val="58E87357"/>
    <w:rsid w:val="590A36EA"/>
    <w:rsid w:val="590E175B"/>
    <w:rsid w:val="596ECF4A"/>
    <w:rsid w:val="597B7F7C"/>
    <w:rsid w:val="59E54890"/>
    <w:rsid w:val="5A78F16A"/>
    <w:rsid w:val="5A9579DE"/>
    <w:rsid w:val="5D77E77C"/>
    <w:rsid w:val="5E5DD460"/>
    <w:rsid w:val="5E97954D"/>
    <w:rsid w:val="5F3CB490"/>
    <w:rsid w:val="5F5C39BE"/>
    <w:rsid w:val="5F805492"/>
    <w:rsid w:val="5FC4588C"/>
    <w:rsid w:val="602456A9"/>
    <w:rsid w:val="6042C43C"/>
    <w:rsid w:val="6088F0DB"/>
    <w:rsid w:val="60FF8E36"/>
    <w:rsid w:val="611A5BDD"/>
    <w:rsid w:val="61D58386"/>
    <w:rsid w:val="62B6277C"/>
    <w:rsid w:val="62BF7CA3"/>
    <w:rsid w:val="6320AFBC"/>
    <w:rsid w:val="63406736"/>
    <w:rsid w:val="638FF83A"/>
    <w:rsid w:val="643308F8"/>
    <w:rsid w:val="64522CC4"/>
    <w:rsid w:val="648464E9"/>
    <w:rsid w:val="65486397"/>
    <w:rsid w:val="656B3B02"/>
    <w:rsid w:val="66C79622"/>
    <w:rsid w:val="678A73AF"/>
    <w:rsid w:val="67C0AFC2"/>
    <w:rsid w:val="67C3DA23"/>
    <w:rsid w:val="67E939F5"/>
    <w:rsid w:val="68121065"/>
    <w:rsid w:val="688DB4AF"/>
    <w:rsid w:val="68A080DB"/>
    <w:rsid w:val="6A46AB6E"/>
    <w:rsid w:val="6A516018"/>
    <w:rsid w:val="6BE62754"/>
    <w:rsid w:val="6BFD4DCC"/>
    <w:rsid w:val="6C21BFFC"/>
    <w:rsid w:val="6CD25F5A"/>
    <w:rsid w:val="6D4A88C5"/>
    <w:rsid w:val="6D8D9AFB"/>
    <w:rsid w:val="6EB26AA2"/>
    <w:rsid w:val="6EDB4929"/>
    <w:rsid w:val="6F2759AC"/>
    <w:rsid w:val="6F665A95"/>
    <w:rsid w:val="72AC916C"/>
    <w:rsid w:val="72D9EFE5"/>
    <w:rsid w:val="72F1C53B"/>
    <w:rsid w:val="73151174"/>
    <w:rsid w:val="73452DB5"/>
    <w:rsid w:val="736F360C"/>
    <w:rsid w:val="73CDC896"/>
    <w:rsid w:val="73E32B03"/>
    <w:rsid w:val="73EC8928"/>
    <w:rsid w:val="75918D4C"/>
    <w:rsid w:val="7661188A"/>
    <w:rsid w:val="767FFC59"/>
    <w:rsid w:val="76C8CDE1"/>
    <w:rsid w:val="7739DD1E"/>
    <w:rsid w:val="7766A959"/>
    <w:rsid w:val="77AC3B32"/>
    <w:rsid w:val="77B9D38B"/>
    <w:rsid w:val="7815E1DD"/>
    <w:rsid w:val="78B5FE7B"/>
    <w:rsid w:val="79361505"/>
    <w:rsid w:val="7986229B"/>
    <w:rsid w:val="7A18FEA1"/>
    <w:rsid w:val="7A3886D7"/>
    <w:rsid w:val="7A4547ED"/>
    <w:rsid w:val="7AF10EDC"/>
    <w:rsid w:val="7B2C912C"/>
    <w:rsid w:val="7BF98603"/>
    <w:rsid w:val="7C5A2E86"/>
    <w:rsid w:val="7C6B277A"/>
    <w:rsid w:val="7C7C0764"/>
    <w:rsid w:val="7CEF3C4A"/>
    <w:rsid w:val="7DBDE7E8"/>
    <w:rsid w:val="7FC5FB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FCA"/>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5C4C33"/>
    <w:pPr>
      <w:keepNext/>
      <w:jc w:val="left"/>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5C4C33"/>
    <w:rPr>
      <w:rFonts w:ascii="Calibri" w:hAnsi="Calibri" w:cs="Arial"/>
      <w:b/>
      <w:szCs w:val="24"/>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Caption 1,Figure caption,Figure caption1 Char Char,Figure Source,Caption Char1 Char,Caption Char Char Char,Caption Char1,Caption Table...,Caption Char1 + 8 pt,Not B....,Caption Table,...,Caption 3,figure,Caption-FUSA,12,12+,caption,c,- H17"/>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aliases w:val="Table Caption 1 Char,Figure caption Char,Figure caption1 Char Char Char,Figure Source Char,Caption Char1 Char Char,Caption Char Char Char Char,Caption Char1 Char1,Caption Table... Char,Caption Char1 + 8 pt Char,Not B.... Char,...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link w:val="ListParagraphChar"/>
    <w:uiPriority w:val="72"/>
    <w:qFormat/>
    <w:rsid w:val="00FC5FCA"/>
    <w:pPr>
      <w:numPr>
        <w:numId w:val="12"/>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72"/>
    <w:qFormat/>
    <w:locked/>
    <w:rsid w:val="00FC5FCA"/>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FC5FCA"/>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FC5FCA"/>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lthConsult,Source table_,NICE instructions,Header Table,Legemiddelverket 3,PHE Table Grid,Lash Style Table,PBAC table,HTAtableplain"/>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Table HEADER PBAC"/>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Annotationtext,- H19,Comment Text Char Char,Comment Text Char Char Char Char,Comment Text Char Char1,Comment Text Char Char1 Char,Comment Text Char1 Char,Comment Text Char1 Char Char,Comment Text Char2 Char,Kommentarer"/>
    <w:basedOn w:val="Normal"/>
    <w:link w:val="CommentTextChar"/>
    <w:rsid w:val="00FD2100"/>
    <w:rPr>
      <w:rFonts w:ascii="Times New Roman" w:hAnsi="Times New Roman" w:cs="Times New Roman"/>
      <w:sz w:val="20"/>
    </w:rPr>
  </w:style>
  <w:style w:type="character" w:customStyle="1" w:styleId="CommentTextChar">
    <w:name w:val="Comment Text Char"/>
    <w:aliases w:val="Annotationtext Char,- H19 Char,Comment Text Char Char Char,Comment Text Char Char Char Char Char,Comment Text Char Char1 Char1,Comment Text Char Char1 Char Char,Comment Text Char1 Char Char1,Comment Text Char1 Char Char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FC5FCA"/>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FC5FCA"/>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FC5FCA"/>
    <w:pPr>
      <w:keepNext/>
    </w:pPr>
    <w:rPr>
      <w:rFonts w:ascii="Arial Narrow" w:eastAsiaTheme="majorEastAsia" w:hAnsi="Arial Narrow"/>
      <w:b/>
      <w:szCs w:val="24"/>
      <w:lang w:val="en-US"/>
    </w:rPr>
  </w:style>
  <w:style w:type="paragraph" w:customStyle="1" w:styleId="2-SectionHeading">
    <w:name w:val="2-Section Heading"/>
    <w:next w:val="3-BodyText"/>
    <w:qFormat/>
    <w:rsid w:val="00FC5FCA"/>
    <w:pPr>
      <w:keepNext/>
      <w:numPr>
        <w:numId w:val="13"/>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FC5FCA"/>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FC5FCA"/>
    <w:rPr>
      <w:rFonts w:asciiTheme="minorHAnsi" w:eastAsiaTheme="majorEastAsia" w:hAnsiTheme="minorHAnsi" w:cstheme="majorBidi"/>
      <w:b/>
      <w:spacing w:val="5"/>
      <w:kern w:val="28"/>
      <w:sz w:val="36"/>
      <w:szCs w:val="36"/>
    </w:rPr>
  </w:style>
  <w:style w:type="paragraph" w:customStyle="1" w:styleId="TableFigureHeading">
    <w:name w:val="Table/Figure Heading"/>
    <w:basedOn w:val="Caption"/>
    <w:next w:val="TableText0"/>
    <w:link w:val="TableFigureHeadingChar"/>
    <w:qFormat/>
    <w:rsid w:val="00FC5FCA"/>
    <w:rPr>
      <w:rFonts w:eastAsiaTheme="majorEastAsia" w:cstheme="majorBidi"/>
      <w:iCs/>
      <w:szCs w:val="24"/>
    </w:rPr>
  </w:style>
  <w:style w:type="character" w:customStyle="1" w:styleId="TableFigureHeadingChar">
    <w:name w:val="Table/Figure Heading Char"/>
    <w:basedOn w:val="DefaultParagraphFont"/>
    <w:link w:val="TableFigureHeading"/>
    <w:rsid w:val="00FC5FCA"/>
    <w:rPr>
      <w:rFonts w:ascii="Arial Narrow" w:eastAsiaTheme="majorEastAsia" w:hAnsi="Arial Narrow" w:cstheme="majorBidi"/>
      <w:b/>
      <w:bCs/>
      <w:iCs/>
      <w:szCs w:val="24"/>
    </w:rPr>
  </w:style>
  <w:style w:type="paragraph" w:customStyle="1" w:styleId="3-BodyText">
    <w:name w:val="3-Body Text"/>
    <w:link w:val="3-BodyTextChar"/>
    <w:qFormat/>
    <w:rsid w:val="002843F8"/>
    <w:pPr>
      <w:numPr>
        <w:ilvl w:val="1"/>
        <w:numId w:val="9"/>
      </w:numPr>
      <w:spacing w:before="120" w:after="120"/>
      <w:ind w:left="709" w:hanging="709"/>
      <w:jc w:val="both"/>
    </w:pPr>
    <w:rPr>
      <w:rFonts w:asciiTheme="minorHAnsi" w:eastAsiaTheme="minorHAnsi" w:hAnsiTheme="minorHAnsi" w:cstheme="minorBidi"/>
      <w:sz w:val="24"/>
      <w:szCs w:val="22"/>
      <w:lang w:val="en-US"/>
    </w:rPr>
  </w:style>
  <w:style w:type="character" w:customStyle="1" w:styleId="3-BodyTextChar">
    <w:name w:val="3-Body Text Char"/>
    <w:basedOn w:val="ListParagraphChar"/>
    <w:link w:val="3-BodyText"/>
    <w:rsid w:val="002843F8"/>
    <w:rPr>
      <w:rFonts w:asciiTheme="minorHAnsi" w:eastAsiaTheme="minorHAnsi" w:hAnsiTheme="minorHAnsi" w:cstheme="minorBidi"/>
      <w:snapToGrid/>
      <w:sz w:val="24"/>
      <w:szCs w:val="22"/>
      <w:lang w:val="en-US"/>
    </w:rPr>
  </w:style>
  <w:style w:type="paragraph" w:customStyle="1" w:styleId="PageFooter">
    <w:name w:val="Page Footer"/>
    <w:basedOn w:val="Normal"/>
    <w:link w:val="PageFooterChar"/>
    <w:qFormat/>
    <w:rsid w:val="00FC5FCA"/>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FC5FCA"/>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FC5FCA"/>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FC5FCA"/>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FC5FCA"/>
    <w:pPr>
      <w:keepNext/>
      <w:keepLines/>
      <w:spacing w:before="40"/>
    </w:pPr>
    <w:rPr>
      <w:rFonts w:asciiTheme="minorHAnsi" w:eastAsiaTheme="majorEastAsia" w:hAnsiTheme="minorHAnsi" w:cstheme="majorBidi"/>
      <w:b/>
      <w:color w:val="000000" w:themeColor="text1"/>
    </w:rPr>
  </w:style>
  <w:style w:type="character" w:customStyle="1" w:styleId="5-SubsectionSubheadingChar">
    <w:name w:val="5-Subsection Subheading Char"/>
    <w:basedOn w:val="Heading3Char"/>
    <w:link w:val="5-SubsectionSubheading"/>
    <w:rsid w:val="00FC5FCA"/>
    <w:rPr>
      <w:rFonts w:asciiTheme="minorHAnsi" w:eastAsiaTheme="majorEastAsia" w:hAnsiTheme="minorHAnsi" w:cstheme="majorBidi"/>
      <w:b/>
      <w:color w:val="000000" w:themeColor="text1"/>
      <w:sz w:val="24"/>
      <w:szCs w:val="24"/>
      <w:u w:val="single"/>
    </w:rPr>
  </w:style>
  <w:style w:type="paragraph" w:styleId="ListBullet">
    <w:name w:val="List Bullet"/>
    <w:basedOn w:val="Normal"/>
    <w:link w:val="ListBulletChar"/>
    <w:unhideWhenUsed/>
    <w:rsid w:val="00EE1996"/>
    <w:pPr>
      <w:numPr>
        <w:numId w:val="2"/>
      </w:numPr>
      <w:contextualSpacing/>
    </w:pPr>
  </w:style>
  <w:style w:type="character" w:customStyle="1" w:styleId="TableTextChar0">
    <w:name w:val="Table Text Char"/>
    <w:basedOn w:val="DefaultParagraphFont"/>
    <w:link w:val="TableText0"/>
    <w:rsid w:val="00FC5FCA"/>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3"/>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FC5FCA"/>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FC5FCA"/>
    <w:rPr>
      <w:rFonts w:ascii="Arial Narrow" w:hAnsi="Arial Narrow" w:cs="Arial"/>
      <w:snapToGrid w:val="0"/>
      <w:sz w:val="18"/>
      <w:szCs w:val="22"/>
    </w:rPr>
  </w:style>
  <w:style w:type="paragraph" w:styleId="FootnoteText">
    <w:name w:val="footnote text"/>
    <w:basedOn w:val="Normal"/>
    <w:link w:val="FootnoteTextChar"/>
    <w:unhideWhenUsed/>
    <w:rsid w:val="004320BA"/>
    <w:pPr>
      <w:widowControl w:val="0"/>
      <w:spacing w:after="240"/>
      <w:jc w:val="left"/>
    </w:pPr>
    <w:rPr>
      <w:rFonts w:asciiTheme="minorHAnsi" w:eastAsiaTheme="minorHAnsi" w:hAnsiTheme="minorHAnsi" w:cstheme="minorBidi"/>
      <w:sz w:val="18"/>
      <w:szCs w:val="20"/>
      <w:lang w:val="en-US" w:eastAsia="en-US"/>
    </w:rPr>
  </w:style>
  <w:style w:type="character" w:customStyle="1" w:styleId="FootnoteTextChar">
    <w:name w:val="Footnote Text Char"/>
    <w:basedOn w:val="DefaultParagraphFont"/>
    <w:link w:val="FootnoteText"/>
    <w:rsid w:val="004320BA"/>
    <w:rPr>
      <w:rFonts w:asciiTheme="minorHAnsi" w:eastAsiaTheme="minorHAnsi" w:hAnsiTheme="minorHAnsi" w:cstheme="minorBidi"/>
      <w:sz w:val="18"/>
      <w:lang w:val="en-US" w:eastAsia="en-US"/>
    </w:rPr>
  </w:style>
  <w:style w:type="character" w:styleId="UnresolvedMention">
    <w:name w:val="Unresolved Mention"/>
    <w:basedOn w:val="DefaultParagraphFont"/>
    <w:uiPriority w:val="99"/>
    <w:unhideWhenUsed/>
    <w:rsid w:val="00213495"/>
    <w:rPr>
      <w:color w:val="605E5C"/>
      <w:shd w:val="clear" w:color="auto" w:fill="E1DFDD"/>
    </w:rPr>
  </w:style>
  <w:style w:type="character" w:styleId="Mention">
    <w:name w:val="Mention"/>
    <w:basedOn w:val="DefaultParagraphFont"/>
    <w:uiPriority w:val="99"/>
    <w:unhideWhenUsed/>
    <w:rsid w:val="00213495"/>
    <w:rPr>
      <w:color w:val="2B579A"/>
      <w:shd w:val="clear" w:color="auto" w:fill="E1DFDD"/>
    </w:rPr>
  </w:style>
  <w:style w:type="paragraph" w:customStyle="1" w:styleId="TableFigureCaption">
    <w:name w:val="Table/Figure Caption"/>
    <w:next w:val="Normal"/>
    <w:link w:val="TableFigureCaptionChar"/>
    <w:rsid w:val="00022B98"/>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022B98"/>
    <w:rPr>
      <w:rFonts w:ascii="Arial Narrow" w:eastAsiaTheme="majorEastAsia" w:hAnsi="Arial Narrow" w:cstheme="majorBidi"/>
      <w:b/>
      <w:bCs/>
      <w:szCs w:val="24"/>
    </w:rPr>
  </w:style>
  <w:style w:type="paragraph" w:customStyle="1" w:styleId="EndNoteBibliographyTitle">
    <w:name w:val="EndNote Bibliography Title"/>
    <w:basedOn w:val="Normal"/>
    <w:link w:val="EndNoteBibliographyTitleChar"/>
    <w:rsid w:val="0039430F"/>
    <w:pPr>
      <w:jc w:val="center"/>
    </w:pPr>
    <w:rPr>
      <w:rFonts w:cs="Calibri"/>
      <w:noProof/>
    </w:rPr>
  </w:style>
  <w:style w:type="character" w:customStyle="1" w:styleId="ListBulletChar">
    <w:name w:val="List Bullet Char"/>
    <w:basedOn w:val="DefaultParagraphFont"/>
    <w:link w:val="ListBullet"/>
    <w:rsid w:val="0039430F"/>
    <w:rPr>
      <w:rFonts w:ascii="Calibri" w:hAnsi="Calibri" w:cs="Arial"/>
      <w:sz w:val="24"/>
      <w:szCs w:val="24"/>
    </w:rPr>
  </w:style>
  <w:style w:type="character" w:customStyle="1" w:styleId="EndNoteBibliographyTitleChar">
    <w:name w:val="EndNote Bibliography Title Char"/>
    <w:basedOn w:val="ListBulletChar"/>
    <w:link w:val="EndNoteBibliographyTitle"/>
    <w:rsid w:val="0039430F"/>
    <w:rPr>
      <w:rFonts w:ascii="Calibri" w:hAnsi="Calibri" w:cs="Calibri"/>
      <w:noProof/>
      <w:sz w:val="24"/>
      <w:szCs w:val="24"/>
    </w:rPr>
  </w:style>
  <w:style w:type="paragraph" w:customStyle="1" w:styleId="EndNoteBibliography">
    <w:name w:val="EndNote Bibliography"/>
    <w:basedOn w:val="Normal"/>
    <w:link w:val="EndNoteBibliographyChar"/>
    <w:rsid w:val="0050340D"/>
    <w:rPr>
      <w:rFonts w:cs="Calibri"/>
      <w:noProof/>
    </w:rPr>
  </w:style>
  <w:style w:type="character" w:customStyle="1" w:styleId="EndNoteBibliographyChar">
    <w:name w:val="EndNote Bibliography Char"/>
    <w:basedOn w:val="ListBulletChar"/>
    <w:link w:val="EndNoteBibliography"/>
    <w:rsid w:val="0039430F"/>
    <w:rPr>
      <w:rFonts w:ascii="Calibri" w:hAnsi="Calibri" w:cs="Calibri"/>
      <w:noProof/>
      <w:sz w:val="24"/>
      <w:szCs w:val="24"/>
    </w:rPr>
  </w:style>
  <w:style w:type="paragraph" w:customStyle="1" w:styleId="TableLeft">
    <w:name w:val="Table Left"/>
    <w:basedOn w:val="Normal"/>
    <w:link w:val="TableLeftChar"/>
    <w:uiPriority w:val="99"/>
    <w:rsid w:val="000E54C0"/>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0E54C0"/>
    <w:rPr>
      <w:rFonts w:ascii="Calibri" w:eastAsiaTheme="majorEastAsia" w:hAnsi="Calibri" w:cstheme="majorBidi"/>
      <w:sz w:val="18"/>
      <w:szCs w:val="22"/>
      <w:lang w:eastAsia="en-US" w:bidi="en-US"/>
    </w:rPr>
  </w:style>
  <w:style w:type="paragraph" w:customStyle="1" w:styleId="paragraph">
    <w:name w:val="paragraph"/>
    <w:basedOn w:val="Normal"/>
    <w:rsid w:val="008C7EAE"/>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8C7EAE"/>
  </w:style>
  <w:style w:type="character" w:customStyle="1" w:styleId="eop">
    <w:name w:val="eop"/>
    <w:basedOn w:val="DefaultParagraphFont"/>
    <w:rsid w:val="008C7EAE"/>
  </w:style>
  <w:style w:type="character" w:customStyle="1" w:styleId="scxw171940943">
    <w:name w:val="scxw171940943"/>
    <w:basedOn w:val="DefaultParagraphFont"/>
    <w:rsid w:val="005341B2"/>
  </w:style>
  <w:style w:type="character" w:customStyle="1" w:styleId="Small">
    <w:name w:val="Small"/>
    <w:basedOn w:val="DefaultParagraphFont"/>
    <w:uiPriority w:val="4"/>
    <w:rsid w:val="00C95E9F"/>
    <w:rPr>
      <w:rFonts w:ascii="Calibri" w:hAnsi="Calibri"/>
      <w:sz w:val="20"/>
    </w:rPr>
  </w:style>
  <w:style w:type="character" w:styleId="FootnoteReference">
    <w:name w:val="footnote reference"/>
    <w:basedOn w:val="DefaultParagraphFont"/>
    <w:semiHidden/>
    <w:unhideWhenUsed/>
    <w:rsid w:val="00056663"/>
    <w:rPr>
      <w:vertAlign w:val="superscript"/>
    </w:rPr>
  </w:style>
  <w:style w:type="table" w:customStyle="1" w:styleId="Submissionstandard">
    <w:name w:val="Submission standard"/>
    <w:basedOn w:val="TableNormal"/>
    <w:uiPriority w:val="99"/>
    <w:qFormat/>
    <w:rsid w:val="008A24BC"/>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ppleSystemUIFont" w:hAnsi=".AppleSystemUIFont"/>
        <w:b/>
        <w:sz w:val="20"/>
      </w:rPr>
      <w:tblPr/>
      <w:tcPr>
        <w:shd w:val="clear" w:color="auto" w:fill="BFBFBF" w:themeFill="background1" w:themeFillShade="BF"/>
      </w:tcPr>
    </w:tblStylePr>
  </w:style>
  <w:style w:type="character" w:styleId="Strong">
    <w:name w:val="Strong"/>
    <w:basedOn w:val="DefaultParagraphFont"/>
    <w:uiPriority w:val="22"/>
    <w:rsid w:val="00703319"/>
    <w:rPr>
      <w:b/>
      <w:bCs/>
    </w:rPr>
  </w:style>
  <w:style w:type="paragraph" w:customStyle="1" w:styleId="Heading4alternative">
    <w:name w:val="Heading 4 alternative"/>
    <w:basedOn w:val="Heading4"/>
    <w:rsid w:val="00425B91"/>
    <w:pPr>
      <w:keepNext w:val="0"/>
      <w:spacing w:before="0" w:after="240" w:line="276" w:lineRule="auto"/>
    </w:pPr>
    <w:rPr>
      <w:rFonts w:eastAsiaTheme="majorEastAsia" w:cstheme="majorBidi"/>
      <w:i w:val="0"/>
      <w:spacing w:val="5"/>
      <w:sz w:val="22"/>
      <w:szCs w:val="24"/>
      <w:lang w:eastAsia="en-US" w:bidi="en-US"/>
    </w:rPr>
  </w:style>
  <w:style w:type="paragraph" w:customStyle="1" w:styleId="p1">
    <w:name w:val="p1"/>
    <w:basedOn w:val="Normal"/>
    <w:rsid w:val="00CC5EF7"/>
    <w:pPr>
      <w:jc w:val="left"/>
    </w:pPr>
    <w:rPr>
      <w:rFonts w:ascii=".AppleSystemUIFont" w:hAnsi=".AppleSystemUIFont" w:cs="Times New Roman"/>
      <w:color w:val="0E0E0E"/>
      <w:sz w:val="21"/>
      <w:szCs w:val="21"/>
      <w:lang w:eastAsia="en-GB"/>
    </w:rPr>
  </w:style>
  <w:style w:type="character" w:customStyle="1" w:styleId="apple-converted-space">
    <w:name w:val="apple-converted-space"/>
    <w:basedOn w:val="DefaultParagraphFont"/>
    <w:rsid w:val="00CC5EF7"/>
  </w:style>
  <w:style w:type="character" w:customStyle="1" w:styleId="Heading1Char">
    <w:name w:val="Heading 1 Char"/>
    <w:basedOn w:val="DefaultParagraphFont"/>
    <w:link w:val="Heading1"/>
    <w:uiPriority w:val="1"/>
    <w:rsid w:val="00CC5EF7"/>
    <w:rPr>
      <w:rFonts w:ascii="Calibri" w:hAnsi="Calibri" w:cs="Arial"/>
      <w:b/>
      <w:caps/>
      <w:sz w:val="32"/>
      <w:szCs w:val="24"/>
    </w:rPr>
  </w:style>
  <w:style w:type="character" w:customStyle="1" w:styleId="Heading3Char">
    <w:name w:val="Heading 3 Char"/>
    <w:basedOn w:val="DefaultParagraphFont"/>
    <w:link w:val="Heading3"/>
    <w:rsid w:val="00CC5EF7"/>
    <w:rPr>
      <w:rFonts w:ascii="Calibri" w:hAnsi="Calibri" w:cs="Arial"/>
      <w:sz w:val="24"/>
      <w:szCs w:val="24"/>
      <w:u w:val="single"/>
    </w:rPr>
  </w:style>
  <w:style w:type="character" w:customStyle="1" w:styleId="Heading4Char">
    <w:name w:val="Heading 4 Char"/>
    <w:basedOn w:val="DefaultParagraphFont"/>
    <w:link w:val="Heading4"/>
    <w:rsid w:val="00CC5EF7"/>
    <w:rPr>
      <w:rFonts w:ascii="Calibri" w:hAnsi="Calibri" w:cs="Arial"/>
      <w:b/>
      <w:bCs/>
      <w:i/>
      <w:sz w:val="26"/>
      <w:szCs w:val="28"/>
    </w:rPr>
  </w:style>
  <w:style w:type="character" w:customStyle="1" w:styleId="Heading5Char">
    <w:name w:val="Heading 5 Char"/>
    <w:basedOn w:val="DefaultParagraphFont"/>
    <w:link w:val="Heading5"/>
    <w:rsid w:val="00CC5EF7"/>
    <w:rPr>
      <w:rFonts w:ascii="Calibri" w:hAnsi="Calibri" w:cs="Arial"/>
      <w:b/>
      <w:bCs/>
      <w:iCs/>
      <w:sz w:val="26"/>
      <w:szCs w:val="26"/>
    </w:rPr>
  </w:style>
  <w:style w:type="character" w:customStyle="1" w:styleId="Heading6Char">
    <w:name w:val="Heading 6 Char"/>
    <w:basedOn w:val="DefaultParagraphFont"/>
    <w:link w:val="Heading6"/>
    <w:rsid w:val="00CC5EF7"/>
    <w:rPr>
      <w:rFonts w:ascii="Calibri" w:hAnsi="Calibri" w:cs="Arial"/>
      <w:b/>
      <w:bCs/>
      <w:i/>
      <w:sz w:val="24"/>
      <w:szCs w:val="24"/>
    </w:rPr>
  </w:style>
  <w:style w:type="character" w:customStyle="1" w:styleId="apple-tab-span">
    <w:name w:val="apple-tab-span"/>
    <w:basedOn w:val="DefaultParagraphFont"/>
    <w:rsid w:val="007D1D55"/>
  </w:style>
  <w:style w:type="character" w:styleId="PlaceholderText">
    <w:name w:val="Placeholder Text"/>
    <w:basedOn w:val="DefaultParagraphFont"/>
    <w:uiPriority w:val="99"/>
    <w:semiHidden/>
    <w:rsid w:val="007D1D55"/>
    <w:rPr>
      <w:color w:val="666666"/>
    </w:rPr>
  </w:style>
  <w:style w:type="character" w:customStyle="1" w:styleId="cf01">
    <w:name w:val="cf01"/>
    <w:basedOn w:val="DefaultParagraphFont"/>
    <w:rsid w:val="00E05E49"/>
    <w:rPr>
      <w:rFonts w:ascii="Segoe UI" w:hAnsi="Segoe UI" w:cs="Segoe UI" w:hint="default"/>
      <w:sz w:val="18"/>
      <w:szCs w:val="18"/>
    </w:rPr>
  </w:style>
  <w:style w:type="paragraph" w:customStyle="1" w:styleId="Footer9pt">
    <w:name w:val="Footer + 9pt"/>
    <w:basedOn w:val="Footer"/>
    <w:rsid w:val="00BD5992"/>
    <w:pPr>
      <w:tabs>
        <w:tab w:val="clear" w:pos="4513"/>
        <w:tab w:val="clear" w:pos="9026"/>
        <w:tab w:val="center" w:pos="4153"/>
        <w:tab w:val="right" w:pos="8306"/>
      </w:tabs>
      <w:spacing w:after="120"/>
    </w:pPr>
    <w:rPr>
      <w:rFonts w:ascii="Arial" w:hAnsi="Arial" w:cs="Times New Roman"/>
      <w:sz w:val="18"/>
      <w:lang w:val="en-GB" w:eastAsia="en-US"/>
    </w:rPr>
  </w:style>
  <w:style w:type="paragraph" w:customStyle="1" w:styleId="3-SubsectionHeading">
    <w:name w:val="3-Subsection Heading"/>
    <w:basedOn w:val="Heading2"/>
    <w:next w:val="Normal"/>
    <w:link w:val="3-SubsectionHeadingChar"/>
    <w:rsid w:val="00EB4B57"/>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EB4B57"/>
    <w:rPr>
      <w:rFonts w:asciiTheme="minorHAnsi" w:eastAsiaTheme="majorEastAsia" w:hAnsiTheme="minorHAnsi" w:cstheme="majorBidi"/>
      <w:b/>
      <w:i/>
      <w:snapToGrid/>
      <w:color w:val="365F91" w:themeColor="accent1" w:themeShade="BF"/>
      <w:spacing w:val="5"/>
      <w:kern w:val="28"/>
      <w:sz w:val="28"/>
      <w:szCs w:val="36"/>
      <w:lang w:eastAsia="en-US"/>
    </w:rPr>
  </w:style>
  <w:style w:type="paragraph" w:customStyle="1" w:styleId="TableText1">
    <w:name w:val="TableText"/>
    <w:basedOn w:val="Normal"/>
    <w:link w:val="TableTextChar1"/>
    <w:uiPriority w:val="3"/>
    <w:rsid w:val="001C256F"/>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1C256F"/>
    <w:rPr>
      <w:rFonts w:ascii="Calibri" w:eastAsia="Times New Roman" w:hAnsi="Calibri" w:cs="Calibri"/>
      <w:bCs/>
      <w:lang w:eastAsia="zh-CN"/>
    </w:rPr>
  </w:style>
  <w:style w:type="paragraph" w:customStyle="1" w:styleId="TableHeadingRow">
    <w:name w:val="TableHeadingRow"/>
    <w:basedOn w:val="TableText1"/>
    <w:uiPriority w:val="3"/>
    <w:rsid w:val="001C256F"/>
    <w:pPr>
      <w:keepNext/>
      <w:spacing w:before="40" w:after="40"/>
      <w:jc w:val="center"/>
    </w:pPr>
    <w:rPr>
      <w:b/>
      <w:bCs w:val="0"/>
    </w:rPr>
  </w:style>
  <w:style w:type="paragraph" w:customStyle="1" w:styleId="COMexecsummnumbered">
    <w:name w:val="COM exec summ numbered"/>
    <w:link w:val="COMexecsummnumberedChar"/>
    <w:rsid w:val="001C256F"/>
    <w:pPr>
      <w:spacing w:before="60" w:after="60"/>
      <w:ind w:left="720" w:hanging="720"/>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1C256F"/>
    <w:rPr>
      <w:rFonts w:asciiTheme="minorHAnsi" w:eastAsiaTheme="minorHAnsi" w:hAnsiTheme="minorHAnsi" w:cstheme="minorBidi"/>
      <w:sz w:val="24"/>
      <w:szCs w:val="22"/>
    </w:rPr>
  </w:style>
  <w:style w:type="numbering" w:customStyle="1" w:styleId="SectionBi1">
    <w:name w:val="Section Bi1"/>
    <w:uiPriority w:val="99"/>
    <w:rsid w:val="00F47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5243">
      <w:bodyDiv w:val="1"/>
      <w:marLeft w:val="0"/>
      <w:marRight w:val="0"/>
      <w:marTop w:val="0"/>
      <w:marBottom w:val="0"/>
      <w:divBdr>
        <w:top w:val="none" w:sz="0" w:space="0" w:color="auto"/>
        <w:left w:val="none" w:sz="0" w:space="0" w:color="auto"/>
        <w:bottom w:val="none" w:sz="0" w:space="0" w:color="auto"/>
        <w:right w:val="none" w:sz="0" w:space="0" w:color="auto"/>
      </w:divBdr>
    </w:div>
    <w:div w:id="8873834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7702911">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1793567">
      <w:bodyDiv w:val="1"/>
      <w:marLeft w:val="0"/>
      <w:marRight w:val="0"/>
      <w:marTop w:val="0"/>
      <w:marBottom w:val="0"/>
      <w:divBdr>
        <w:top w:val="none" w:sz="0" w:space="0" w:color="auto"/>
        <w:left w:val="none" w:sz="0" w:space="0" w:color="auto"/>
        <w:bottom w:val="none" w:sz="0" w:space="0" w:color="auto"/>
        <w:right w:val="none" w:sz="0" w:space="0" w:color="auto"/>
      </w:divBdr>
    </w:div>
    <w:div w:id="152378246">
      <w:bodyDiv w:val="1"/>
      <w:marLeft w:val="0"/>
      <w:marRight w:val="0"/>
      <w:marTop w:val="0"/>
      <w:marBottom w:val="0"/>
      <w:divBdr>
        <w:top w:val="none" w:sz="0" w:space="0" w:color="auto"/>
        <w:left w:val="none" w:sz="0" w:space="0" w:color="auto"/>
        <w:bottom w:val="none" w:sz="0" w:space="0" w:color="auto"/>
        <w:right w:val="none" w:sz="0" w:space="0" w:color="auto"/>
      </w:divBdr>
    </w:div>
    <w:div w:id="159200770">
      <w:bodyDiv w:val="1"/>
      <w:marLeft w:val="0"/>
      <w:marRight w:val="0"/>
      <w:marTop w:val="0"/>
      <w:marBottom w:val="0"/>
      <w:divBdr>
        <w:top w:val="none" w:sz="0" w:space="0" w:color="auto"/>
        <w:left w:val="none" w:sz="0" w:space="0" w:color="auto"/>
        <w:bottom w:val="none" w:sz="0" w:space="0" w:color="auto"/>
        <w:right w:val="none" w:sz="0" w:space="0" w:color="auto"/>
      </w:divBdr>
    </w:div>
    <w:div w:id="201019964">
      <w:bodyDiv w:val="1"/>
      <w:marLeft w:val="0"/>
      <w:marRight w:val="0"/>
      <w:marTop w:val="0"/>
      <w:marBottom w:val="0"/>
      <w:divBdr>
        <w:top w:val="none" w:sz="0" w:space="0" w:color="auto"/>
        <w:left w:val="none" w:sz="0" w:space="0" w:color="auto"/>
        <w:bottom w:val="none" w:sz="0" w:space="0" w:color="auto"/>
        <w:right w:val="none" w:sz="0" w:space="0" w:color="auto"/>
      </w:divBdr>
    </w:div>
    <w:div w:id="229583165">
      <w:bodyDiv w:val="1"/>
      <w:marLeft w:val="0"/>
      <w:marRight w:val="0"/>
      <w:marTop w:val="0"/>
      <w:marBottom w:val="0"/>
      <w:divBdr>
        <w:top w:val="none" w:sz="0" w:space="0" w:color="auto"/>
        <w:left w:val="none" w:sz="0" w:space="0" w:color="auto"/>
        <w:bottom w:val="none" w:sz="0" w:space="0" w:color="auto"/>
        <w:right w:val="none" w:sz="0" w:space="0" w:color="auto"/>
      </w:divBdr>
      <w:divsChild>
        <w:div w:id="56051317">
          <w:marLeft w:val="0"/>
          <w:marRight w:val="0"/>
          <w:marTop w:val="0"/>
          <w:marBottom w:val="0"/>
          <w:divBdr>
            <w:top w:val="none" w:sz="0" w:space="0" w:color="auto"/>
            <w:left w:val="none" w:sz="0" w:space="0" w:color="auto"/>
            <w:bottom w:val="none" w:sz="0" w:space="0" w:color="auto"/>
            <w:right w:val="none" w:sz="0" w:space="0" w:color="auto"/>
          </w:divBdr>
          <w:divsChild>
            <w:div w:id="1513296747">
              <w:marLeft w:val="0"/>
              <w:marRight w:val="0"/>
              <w:marTop w:val="0"/>
              <w:marBottom w:val="0"/>
              <w:divBdr>
                <w:top w:val="none" w:sz="0" w:space="0" w:color="auto"/>
                <w:left w:val="none" w:sz="0" w:space="0" w:color="auto"/>
                <w:bottom w:val="none" w:sz="0" w:space="0" w:color="auto"/>
                <w:right w:val="none" w:sz="0" w:space="0" w:color="auto"/>
              </w:divBdr>
            </w:div>
          </w:divsChild>
        </w:div>
        <w:div w:id="82921020">
          <w:marLeft w:val="0"/>
          <w:marRight w:val="0"/>
          <w:marTop w:val="0"/>
          <w:marBottom w:val="0"/>
          <w:divBdr>
            <w:top w:val="none" w:sz="0" w:space="0" w:color="auto"/>
            <w:left w:val="none" w:sz="0" w:space="0" w:color="auto"/>
            <w:bottom w:val="none" w:sz="0" w:space="0" w:color="auto"/>
            <w:right w:val="none" w:sz="0" w:space="0" w:color="auto"/>
          </w:divBdr>
          <w:divsChild>
            <w:div w:id="1220633750">
              <w:marLeft w:val="0"/>
              <w:marRight w:val="0"/>
              <w:marTop w:val="0"/>
              <w:marBottom w:val="0"/>
              <w:divBdr>
                <w:top w:val="none" w:sz="0" w:space="0" w:color="auto"/>
                <w:left w:val="none" w:sz="0" w:space="0" w:color="auto"/>
                <w:bottom w:val="none" w:sz="0" w:space="0" w:color="auto"/>
                <w:right w:val="none" w:sz="0" w:space="0" w:color="auto"/>
              </w:divBdr>
            </w:div>
          </w:divsChild>
        </w:div>
        <w:div w:id="127211402">
          <w:marLeft w:val="0"/>
          <w:marRight w:val="0"/>
          <w:marTop w:val="0"/>
          <w:marBottom w:val="0"/>
          <w:divBdr>
            <w:top w:val="none" w:sz="0" w:space="0" w:color="auto"/>
            <w:left w:val="none" w:sz="0" w:space="0" w:color="auto"/>
            <w:bottom w:val="none" w:sz="0" w:space="0" w:color="auto"/>
            <w:right w:val="none" w:sz="0" w:space="0" w:color="auto"/>
          </w:divBdr>
          <w:divsChild>
            <w:div w:id="1041318583">
              <w:marLeft w:val="0"/>
              <w:marRight w:val="0"/>
              <w:marTop w:val="0"/>
              <w:marBottom w:val="0"/>
              <w:divBdr>
                <w:top w:val="none" w:sz="0" w:space="0" w:color="auto"/>
                <w:left w:val="none" w:sz="0" w:space="0" w:color="auto"/>
                <w:bottom w:val="none" w:sz="0" w:space="0" w:color="auto"/>
                <w:right w:val="none" w:sz="0" w:space="0" w:color="auto"/>
              </w:divBdr>
            </w:div>
          </w:divsChild>
        </w:div>
        <w:div w:id="191502616">
          <w:marLeft w:val="0"/>
          <w:marRight w:val="0"/>
          <w:marTop w:val="0"/>
          <w:marBottom w:val="0"/>
          <w:divBdr>
            <w:top w:val="none" w:sz="0" w:space="0" w:color="auto"/>
            <w:left w:val="none" w:sz="0" w:space="0" w:color="auto"/>
            <w:bottom w:val="none" w:sz="0" w:space="0" w:color="auto"/>
            <w:right w:val="none" w:sz="0" w:space="0" w:color="auto"/>
          </w:divBdr>
          <w:divsChild>
            <w:div w:id="381057023">
              <w:marLeft w:val="0"/>
              <w:marRight w:val="0"/>
              <w:marTop w:val="0"/>
              <w:marBottom w:val="0"/>
              <w:divBdr>
                <w:top w:val="none" w:sz="0" w:space="0" w:color="auto"/>
                <w:left w:val="none" w:sz="0" w:space="0" w:color="auto"/>
                <w:bottom w:val="none" w:sz="0" w:space="0" w:color="auto"/>
                <w:right w:val="none" w:sz="0" w:space="0" w:color="auto"/>
              </w:divBdr>
            </w:div>
          </w:divsChild>
        </w:div>
        <w:div w:id="202325605">
          <w:marLeft w:val="0"/>
          <w:marRight w:val="0"/>
          <w:marTop w:val="0"/>
          <w:marBottom w:val="0"/>
          <w:divBdr>
            <w:top w:val="none" w:sz="0" w:space="0" w:color="auto"/>
            <w:left w:val="none" w:sz="0" w:space="0" w:color="auto"/>
            <w:bottom w:val="none" w:sz="0" w:space="0" w:color="auto"/>
            <w:right w:val="none" w:sz="0" w:space="0" w:color="auto"/>
          </w:divBdr>
          <w:divsChild>
            <w:div w:id="1251811160">
              <w:marLeft w:val="0"/>
              <w:marRight w:val="0"/>
              <w:marTop w:val="0"/>
              <w:marBottom w:val="0"/>
              <w:divBdr>
                <w:top w:val="none" w:sz="0" w:space="0" w:color="auto"/>
                <w:left w:val="none" w:sz="0" w:space="0" w:color="auto"/>
                <w:bottom w:val="none" w:sz="0" w:space="0" w:color="auto"/>
                <w:right w:val="none" w:sz="0" w:space="0" w:color="auto"/>
              </w:divBdr>
            </w:div>
          </w:divsChild>
        </w:div>
        <w:div w:id="218057920">
          <w:marLeft w:val="0"/>
          <w:marRight w:val="0"/>
          <w:marTop w:val="0"/>
          <w:marBottom w:val="0"/>
          <w:divBdr>
            <w:top w:val="none" w:sz="0" w:space="0" w:color="auto"/>
            <w:left w:val="none" w:sz="0" w:space="0" w:color="auto"/>
            <w:bottom w:val="none" w:sz="0" w:space="0" w:color="auto"/>
            <w:right w:val="none" w:sz="0" w:space="0" w:color="auto"/>
          </w:divBdr>
          <w:divsChild>
            <w:div w:id="1529219690">
              <w:marLeft w:val="0"/>
              <w:marRight w:val="0"/>
              <w:marTop w:val="0"/>
              <w:marBottom w:val="0"/>
              <w:divBdr>
                <w:top w:val="none" w:sz="0" w:space="0" w:color="auto"/>
                <w:left w:val="none" w:sz="0" w:space="0" w:color="auto"/>
                <w:bottom w:val="none" w:sz="0" w:space="0" w:color="auto"/>
                <w:right w:val="none" w:sz="0" w:space="0" w:color="auto"/>
              </w:divBdr>
            </w:div>
          </w:divsChild>
        </w:div>
        <w:div w:id="340475061">
          <w:marLeft w:val="0"/>
          <w:marRight w:val="0"/>
          <w:marTop w:val="0"/>
          <w:marBottom w:val="0"/>
          <w:divBdr>
            <w:top w:val="none" w:sz="0" w:space="0" w:color="auto"/>
            <w:left w:val="none" w:sz="0" w:space="0" w:color="auto"/>
            <w:bottom w:val="none" w:sz="0" w:space="0" w:color="auto"/>
            <w:right w:val="none" w:sz="0" w:space="0" w:color="auto"/>
          </w:divBdr>
          <w:divsChild>
            <w:div w:id="373965812">
              <w:marLeft w:val="0"/>
              <w:marRight w:val="0"/>
              <w:marTop w:val="0"/>
              <w:marBottom w:val="0"/>
              <w:divBdr>
                <w:top w:val="none" w:sz="0" w:space="0" w:color="auto"/>
                <w:left w:val="none" w:sz="0" w:space="0" w:color="auto"/>
                <w:bottom w:val="none" w:sz="0" w:space="0" w:color="auto"/>
                <w:right w:val="none" w:sz="0" w:space="0" w:color="auto"/>
              </w:divBdr>
            </w:div>
          </w:divsChild>
        </w:div>
        <w:div w:id="407310827">
          <w:marLeft w:val="0"/>
          <w:marRight w:val="0"/>
          <w:marTop w:val="0"/>
          <w:marBottom w:val="0"/>
          <w:divBdr>
            <w:top w:val="none" w:sz="0" w:space="0" w:color="auto"/>
            <w:left w:val="none" w:sz="0" w:space="0" w:color="auto"/>
            <w:bottom w:val="none" w:sz="0" w:space="0" w:color="auto"/>
            <w:right w:val="none" w:sz="0" w:space="0" w:color="auto"/>
          </w:divBdr>
          <w:divsChild>
            <w:div w:id="1321034696">
              <w:marLeft w:val="0"/>
              <w:marRight w:val="0"/>
              <w:marTop w:val="0"/>
              <w:marBottom w:val="0"/>
              <w:divBdr>
                <w:top w:val="none" w:sz="0" w:space="0" w:color="auto"/>
                <w:left w:val="none" w:sz="0" w:space="0" w:color="auto"/>
                <w:bottom w:val="none" w:sz="0" w:space="0" w:color="auto"/>
                <w:right w:val="none" w:sz="0" w:space="0" w:color="auto"/>
              </w:divBdr>
            </w:div>
          </w:divsChild>
        </w:div>
        <w:div w:id="430903201">
          <w:marLeft w:val="0"/>
          <w:marRight w:val="0"/>
          <w:marTop w:val="0"/>
          <w:marBottom w:val="0"/>
          <w:divBdr>
            <w:top w:val="none" w:sz="0" w:space="0" w:color="auto"/>
            <w:left w:val="none" w:sz="0" w:space="0" w:color="auto"/>
            <w:bottom w:val="none" w:sz="0" w:space="0" w:color="auto"/>
            <w:right w:val="none" w:sz="0" w:space="0" w:color="auto"/>
          </w:divBdr>
          <w:divsChild>
            <w:div w:id="316302704">
              <w:marLeft w:val="0"/>
              <w:marRight w:val="0"/>
              <w:marTop w:val="0"/>
              <w:marBottom w:val="0"/>
              <w:divBdr>
                <w:top w:val="none" w:sz="0" w:space="0" w:color="auto"/>
                <w:left w:val="none" w:sz="0" w:space="0" w:color="auto"/>
                <w:bottom w:val="none" w:sz="0" w:space="0" w:color="auto"/>
                <w:right w:val="none" w:sz="0" w:space="0" w:color="auto"/>
              </w:divBdr>
            </w:div>
          </w:divsChild>
        </w:div>
        <w:div w:id="569924627">
          <w:marLeft w:val="0"/>
          <w:marRight w:val="0"/>
          <w:marTop w:val="0"/>
          <w:marBottom w:val="0"/>
          <w:divBdr>
            <w:top w:val="none" w:sz="0" w:space="0" w:color="auto"/>
            <w:left w:val="none" w:sz="0" w:space="0" w:color="auto"/>
            <w:bottom w:val="none" w:sz="0" w:space="0" w:color="auto"/>
            <w:right w:val="none" w:sz="0" w:space="0" w:color="auto"/>
          </w:divBdr>
          <w:divsChild>
            <w:div w:id="1839807913">
              <w:marLeft w:val="0"/>
              <w:marRight w:val="0"/>
              <w:marTop w:val="0"/>
              <w:marBottom w:val="0"/>
              <w:divBdr>
                <w:top w:val="none" w:sz="0" w:space="0" w:color="auto"/>
                <w:left w:val="none" w:sz="0" w:space="0" w:color="auto"/>
                <w:bottom w:val="none" w:sz="0" w:space="0" w:color="auto"/>
                <w:right w:val="none" w:sz="0" w:space="0" w:color="auto"/>
              </w:divBdr>
            </w:div>
          </w:divsChild>
        </w:div>
        <w:div w:id="607584696">
          <w:marLeft w:val="0"/>
          <w:marRight w:val="0"/>
          <w:marTop w:val="0"/>
          <w:marBottom w:val="0"/>
          <w:divBdr>
            <w:top w:val="none" w:sz="0" w:space="0" w:color="auto"/>
            <w:left w:val="none" w:sz="0" w:space="0" w:color="auto"/>
            <w:bottom w:val="none" w:sz="0" w:space="0" w:color="auto"/>
            <w:right w:val="none" w:sz="0" w:space="0" w:color="auto"/>
          </w:divBdr>
          <w:divsChild>
            <w:div w:id="772749350">
              <w:marLeft w:val="0"/>
              <w:marRight w:val="0"/>
              <w:marTop w:val="0"/>
              <w:marBottom w:val="0"/>
              <w:divBdr>
                <w:top w:val="none" w:sz="0" w:space="0" w:color="auto"/>
                <w:left w:val="none" w:sz="0" w:space="0" w:color="auto"/>
                <w:bottom w:val="none" w:sz="0" w:space="0" w:color="auto"/>
                <w:right w:val="none" w:sz="0" w:space="0" w:color="auto"/>
              </w:divBdr>
            </w:div>
          </w:divsChild>
        </w:div>
        <w:div w:id="703091855">
          <w:marLeft w:val="0"/>
          <w:marRight w:val="0"/>
          <w:marTop w:val="0"/>
          <w:marBottom w:val="0"/>
          <w:divBdr>
            <w:top w:val="none" w:sz="0" w:space="0" w:color="auto"/>
            <w:left w:val="none" w:sz="0" w:space="0" w:color="auto"/>
            <w:bottom w:val="none" w:sz="0" w:space="0" w:color="auto"/>
            <w:right w:val="none" w:sz="0" w:space="0" w:color="auto"/>
          </w:divBdr>
          <w:divsChild>
            <w:div w:id="1120149093">
              <w:marLeft w:val="0"/>
              <w:marRight w:val="0"/>
              <w:marTop w:val="0"/>
              <w:marBottom w:val="0"/>
              <w:divBdr>
                <w:top w:val="none" w:sz="0" w:space="0" w:color="auto"/>
                <w:left w:val="none" w:sz="0" w:space="0" w:color="auto"/>
                <w:bottom w:val="none" w:sz="0" w:space="0" w:color="auto"/>
                <w:right w:val="none" w:sz="0" w:space="0" w:color="auto"/>
              </w:divBdr>
            </w:div>
          </w:divsChild>
        </w:div>
        <w:div w:id="751850032">
          <w:marLeft w:val="0"/>
          <w:marRight w:val="0"/>
          <w:marTop w:val="0"/>
          <w:marBottom w:val="0"/>
          <w:divBdr>
            <w:top w:val="none" w:sz="0" w:space="0" w:color="auto"/>
            <w:left w:val="none" w:sz="0" w:space="0" w:color="auto"/>
            <w:bottom w:val="none" w:sz="0" w:space="0" w:color="auto"/>
            <w:right w:val="none" w:sz="0" w:space="0" w:color="auto"/>
          </w:divBdr>
          <w:divsChild>
            <w:div w:id="1821074280">
              <w:marLeft w:val="0"/>
              <w:marRight w:val="0"/>
              <w:marTop w:val="0"/>
              <w:marBottom w:val="0"/>
              <w:divBdr>
                <w:top w:val="none" w:sz="0" w:space="0" w:color="auto"/>
                <w:left w:val="none" w:sz="0" w:space="0" w:color="auto"/>
                <w:bottom w:val="none" w:sz="0" w:space="0" w:color="auto"/>
                <w:right w:val="none" w:sz="0" w:space="0" w:color="auto"/>
              </w:divBdr>
            </w:div>
          </w:divsChild>
        </w:div>
        <w:div w:id="776952483">
          <w:marLeft w:val="0"/>
          <w:marRight w:val="0"/>
          <w:marTop w:val="0"/>
          <w:marBottom w:val="0"/>
          <w:divBdr>
            <w:top w:val="none" w:sz="0" w:space="0" w:color="auto"/>
            <w:left w:val="none" w:sz="0" w:space="0" w:color="auto"/>
            <w:bottom w:val="none" w:sz="0" w:space="0" w:color="auto"/>
            <w:right w:val="none" w:sz="0" w:space="0" w:color="auto"/>
          </w:divBdr>
          <w:divsChild>
            <w:div w:id="986085799">
              <w:marLeft w:val="0"/>
              <w:marRight w:val="0"/>
              <w:marTop w:val="0"/>
              <w:marBottom w:val="0"/>
              <w:divBdr>
                <w:top w:val="none" w:sz="0" w:space="0" w:color="auto"/>
                <w:left w:val="none" w:sz="0" w:space="0" w:color="auto"/>
                <w:bottom w:val="none" w:sz="0" w:space="0" w:color="auto"/>
                <w:right w:val="none" w:sz="0" w:space="0" w:color="auto"/>
              </w:divBdr>
            </w:div>
          </w:divsChild>
        </w:div>
        <w:div w:id="862087299">
          <w:marLeft w:val="0"/>
          <w:marRight w:val="0"/>
          <w:marTop w:val="0"/>
          <w:marBottom w:val="0"/>
          <w:divBdr>
            <w:top w:val="none" w:sz="0" w:space="0" w:color="auto"/>
            <w:left w:val="none" w:sz="0" w:space="0" w:color="auto"/>
            <w:bottom w:val="none" w:sz="0" w:space="0" w:color="auto"/>
            <w:right w:val="none" w:sz="0" w:space="0" w:color="auto"/>
          </w:divBdr>
          <w:divsChild>
            <w:div w:id="994066461">
              <w:marLeft w:val="0"/>
              <w:marRight w:val="0"/>
              <w:marTop w:val="0"/>
              <w:marBottom w:val="0"/>
              <w:divBdr>
                <w:top w:val="none" w:sz="0" w:space="0" w:color="auto"/>
                <w:left w:val="none" w:sz="0" w:space="0" w:color="auto"/>
                <w:bottom w:val="none" w:sz="0" w:space="0" w:color="auto"/>
                <w:right w:val="none" w:sz="0" w:space="0" w:color="auto"/>
              </w:divBdr>
            </w:div>
          </w:divsChild>
        </w:div>
        <w:div w:id="864556335">
          <w:marLeft w:val="0"/>
          <w:marRight w:val="0"/>
          <w:marTop w:val="0"/>
          <w:marBottom w:val="0"/>
          <w:divBdr>
            <w:top w:val="none" w:sz="0" w:space="0" w:color="auto"/>
            <w:left w:val="none" w:sz="0" w:space="0" w:color="auto"/>
            <w:bottom w:val="none" w:sz="0" w:space="0" w:color="auto"/>
            <w:right w:val="none" w:sz="0" w:space="0" w:color="auto"/>
          </w:divBdr>
          <w:divsChild>
            <w:div w:id="1751003361">
              <w:marLeft w:val="0"/>
              <w:marRight w:val="0"/>
              <w:marTop w:val="0"/>
              <w:marBottom w:val="0"/>
              <w:divBdr>
                <w:top w:val="none" w:sz="0" w:space="0" w:color="auto"/>
                <w:left w:val="none" w:sz="0" w:space="0" w:color="auto"/>
                <w:bottom w:val="none" w:sz="0" w:space="0" w:color="auto"/>
                <w:right w:val="none" w:sz="0" w:space="0" w:color="auto"/>
              </w:divBdr>
            </w:div>
          </w:divsChild>
        </w:div>
        <w:div w:id="897320896">
          <w:marLeft w:val="0"/>
          <w:marRight w:val="0"/>
          <w:marTop w:val="0"/>
          <w:marBottom w:val="0"/>
          <w:divBdr>
            <w:top w:val="none" w:sz="0" w:space="0" w:color="auto"/>
            <w:left w:val="none" w:sz="0" w:space="0" w:color="auto"/>
            <w:bottom w:val="none" w:sz="0" w:space="0" w:color="auto"/>
            <w:right w:val="none" w:sz="0" w:space="0" w:color="auto"/>
          </w:divBdr>
          <w:divsChild>
            <w:div w:id="127940019">
              <w:marLeft w:val="0"/>
              <w:marRight w:val="0"/>
              <w:marTop w:val="0"/>
              <w:marBottom w:val="0"/>
              <w:divBdr>
                <w:top w:val="none" w:sz="0" w:space="0" w:color="auto"/>
                <w:left w:val="none" w:sz="0" w:space="0" w:color="auto"/>
                <w:bottom w:val="none" w:sz="0" w:space="0" w:color="auto"/>
                <w:right w:val="none" w:sz="0" w:space="0" w:color="auto"/>
              </w:divBdr>
            </w:div>
            <w:div w:id="1303923978">
              <w:marLeft w:val="0"/>
              <w:marRight w:val="0"/>
              <w:marTop w:val="0"/>
              <w:marBottom w:val="0"/>
              <w:divBdr>
                <w:top w:val="none" w:sz="0" w:space="0" w:color="auto"/>
                <w:left w:val="none" w:sz="0" w:space="0" w:color="auto"/>
                <w:bottom w:val="none" w:sz="0" w:space="0" w:color="auto"/>
                <w:right w:val="none" w:sz="0" w:space="0" w:color="auto"/>
              </w:divBdr>
            </w:div>
          </w:divsChild>
        </w:div>
        <w:div w:id="928002456">
          <w:marLeft w:val="0"/>
          <w:marRight w:val="0"/>
          <w:marTop w:val="0"/>
          <w:marBottom w:val="0"/>
          <w:divBdr>
            <w:top w:val="none" w:sz="0" w:space="0" w:color="auto"/>
            <w:left w:val="none" w:sz="0" w:space="0" w:color="auto"/>
            <w:bottom w:val="none" w:sz="0" w:space="0" w:color="auto"/>
            <w:right w:val="none" w:sz="0" w:space="0" w:color="auto"/>
          </w:divBdr>
          <w:divsChild>
            <w:div w:id="546496">
              <w:marLeft w:val="0"/>
              <w:marRight w:val="0"/>
              <w:marTop w:val="0"/>
              <w:marBottom w:val="0"/>
              <w:divBdr>
                <w:top w:val="none" w:sz="0" w:space="0" w:color="auto"/>
                <w:left w:val="none" w:sz="0" w:space="0" w:color="auto"/>
                <w:bottom w:val="none" w:sz="0" w:space="0" w:color="auto"/>
                <w:right w:val="none" w:sz="0" w:space="0" w:color="auto"/>
              </w:divBdr>
            </w:div>
          </w:divsChild>
        </w:div>
        <w:div w:id="932663098">
          <w:marLeft w:val="0"/>
          <w:marRight w:val="0"/>
          <w:marTop w:val="0"/>
          <w:marBottom w:val="0"/>
          <w:divBdr>
            <w:top w:val="none" w:sz="0" w:space="0" w:color="auto"/>
            <w:left w:val="none" w:sz="0" w:space="0" w:color="auto"/>
            <w:bottom w:val="none" w:sz="0" w:space="0" w:color="auto"/>
            <w:right w:val="none" w:sz="0" w:space="0" w:color="auto"/>
          </w:divBdr>
          <w:divsChild>
            <w:div w:id="386416375">
              <w:marLeft w:val="0"/>
              <w:marRight w:val="0"/>
              <w:marTop w:val="0"/>
              <w:marBottom w:val="0"/>
              <w:divBdr>
                <w:top w:val="none" w:sz="0" w:space="0" w:color="auto"/>
                <w:left w:val="none" w:sz="0" w:space="0" w:color="auto"/>
                <w:bottom w:val="none" w:sz="0" w:space="0" w:color="auto"/>
                <w:right w:val="none" w:sz="0" w:space="0" w:color="auto"/>
              </w:divBdr>
            </w:div>
          </w:divsChild>
        </w:div>
        <w:div w:id="968164840">
          <w:marLeft w:val="0"/>
          <w:marRight w:val="0"/>
          <w:marTop w:val="0"/>
          <w:marBottom w:val="0"/>
          <w:divBdr>
            <w:top w:val="none" w:sz="0" w:space="0" w:color="auto"/>
            <w:left w:val="none" w:sz="0" w:space="0" w:color="auto"/>
            <w:bottom w:val="none" w:sz="0" w:space="0" w:color="auto"/>
            <w:right w:val="none" w:sz="0" w:space="0" w:color="auto"/>
          </w:divBdr>
          <w:divsChild>
            <w:div w:id="663819417">
              <w:marLeft w:val="0"/>
              <w:marRight w:val="0"/>
              <w:marTop w:val="0"/>
              <w:marBottom w:val="0"/>
              <w:divBdr>
                <w:top w:val="none" w:sz="0" w:space="0" w:color="auto"/>
                <w:left w:val="none" w:sz="0" w:space="0" w:color="auto"/>
                <w:bottom w:val="none" w:sz="0" w:space="0" w:color="auto"/>
                <w:right w:val="none" w:sz="0" w:space="0" w:color="auto"/>
              </w:divBdr>
            </w:div>
          </w:divsChild>
        </w:div>
        <w:div w:id="980689367">
          <w:marLeft w:val="0"/>
          <w:marRight w:val="0"/>
          <w:marTop w:val="0"/>
          <w:marBottom w:val="0"/>
          <w:divBdr>
            <w:top w:val="none" w:sz="0" w:space="0" w:color="auto"/>
            <w:left w:val="none" w:sz="0" w:space="0" w:color="auto"/>
            <w:bottom w:val="none" w:sz="0" w:space="0" w:color="auto"/>
            <w:right w:val="none" w:sz="0" w:space="0" w:color="auto"/>
          </w:divBdr>
          <w:divsChild>
            <w:div w:id="133330440">
              <w:marLeft w:val="0"/>
              <w:marRight w:val="0"/>
              <w:marTop w:val="0"/>
              <w:marBottom w:val="0"/>
              <w:divBdr>
                <w:top w:val="none" w:sz="0" w:space="0" w:color="auto"/>
                <w:left w:val="none" w:sz="0" w:space="0" w:color="auto"/>
                <w:bottom w:val="none" w:sz="0" w:space="0" w:color="auto"/>
                <w:right w:val="none" w:sz="0" w:space="0" w:color="auto"/>
              </w:divBdr>
            </w:div>
          </w:divsChild>
        </w:div>
        <w:div w:id="982465177">
          <w:marLeft w:val="0"/>
          <w:marRight w:val="0"/>
          <w:marTop w:val="0"/>
          <w:marBottom w:val="0"/>
          <w:divBdr>
            <w:top w:val="none" w:sz="0" w:space="0" w:color="auto"/>
            <w:left w:val="none" w:sz="0" w:space="0" w:color="auto"/>
            <w:bottom w:val="none" w:sz="0" w:space="0" w:color="auto"/>
            <w:right w:val="none" w:sz="0" w:space="0" w:color="auto"/>
          </w:divBdr>
          <w:divsChild>
            <w:div w:id="808404061">
              <w:marLeft w:val="0"/>
              <w:marRight w:val="0"/>
              <w:marTop w:val="0"/>
              <w:marBottom w:val="0"/>
              <w:divBdr>
                <w:top w:val="none" w:sz="0" w:space="0" w:color="auto"/>
                <w:left w:val="none" w:sz="0" w:space="0" w:color="auto"/>
                <w:bottom w:val="none" w:sz="0" w:space="0" w:color="auto"/>
                <w:right w:val="none" w:sz="0" w:space="0" w:color="auto"/>
              </w:divBdr>
            </w:div>
          </w:divsChild>
        </w:div>
        <w:div w:id="991521344">
          <w:marLeft w:val="0"/>
          <w:marRight w:val="0"/>
          <w:marTop w:val="0"/>
          <w:marBottom w:val="0"/>
          <w:divBdr>
            <w:top w:val="none" w:sz="0" w:space="0" w:color="auto"/>
            <w:left w:val="none" w:sz="0" w:space="0" w:color="auto"/>
            <w:bottom w:val="none" w:sz="0" w:space="0" w:color="auto"/>
            <w:right w:val="none" w:sz="0" w:space="0" w:color="auto"/>
          </w:divBdr>
          <w:divsChild>
            <w:div w:id="547689582">
              <w:marLeft w:val="0"/>
              <w:marRight w:val="0"/>
              <w:marTop w:val="0"/>
              <w:marBottom w:val="0"/>
              <w:divBdr>
                <w:top w:val="none" w:sz="0" w:space="0" w:color="auto"/>
                <w:left w:val="none" w:sz="0" w:space="0" w:color="auto"/>
                <w:bottom w:val="none" w:sz="0" w:space="0" w:color="auto"/>
                <w:right w:val="none" w:sz="0" w:space="0" w:color="auto"/>
              </w:divBdr>
            </w:div>
          </w:divsChild>
        </w:div>
        <w:div w:id="998269008">
          <w:marLeft w:val="0"/>
          <w:marRight w:val="0"/>
          <w:marTop w:val="0"/>
          <w:marBottom w:val="0"/>
          <w:divBdr>
            <w:top w:val="none" w:sz="0" w:space="0" w:color="auto"/>
            <w:left w:val="none" w:sz="0" w:space="0" w:color="auto"/>
            <w:bottom w:val="none" w:sz="0" w:space="0" w:color="auto"/>
            <w:right w:val="none" w:sz="0" w:space="0" w:color="auto"/>
          </w:divBdr>
          <w:divsChild>
            <w:div w:id="1764111709">
              <w:marLeft w:val="0"/>
              <w:marRight w:val="0"/>
              <w:marTop w:val="0"/>
              <w:marBottom w:val="0"/>
              <w:divBdr>
                <w:top w:val="none" w:sz="0" w:space="0" w:color="auto"/>
                <w:left w:val="none" w:sz="0" w:space="0" w:color="auto"/>
                <w:bottom w:val="none" w:sz="0" w:space="0" w:color="auto"/>
                <w:right w:val="none" w:sz="0" w:space="0" w:color="auto"/>
              </w:divBdr>
            </w:div>
          </w:divsChild>
        </w:div>
        <w:div w:id="1009062011">
          <w:marLeft w:val="0"/>
          <w:marRight w:val="0"/>
          <w:marTop w:val="0"/>
          <w:marBottom w:val="0"/>
          <w:divBdr>
            <w:top w:val="none" w:sz="0" w:space="0" w:color="auto"/>
            <w:left w:val="none" w:sz="0" w:space="0" w:color="auto"/>
            <w:bottom w:val="none" w:sz="0" w:space="0" w:color="auto"/>
            <w:right w:val="none" w:sz="0" w:space="0" w:color="auto"/>
          </w:divBdr>
          <w:divsChild>
            <w:div w:id="364330860">
              <w:marLeft w:val="0"/>
              <w:marRight w:val="0"/>
              <w:marTop w:val="0"/>
              <w:marBottom w:val="0"/>
              <w:divBdr>
                <w:top w:val="none" w:sz="0" w:space="0" w:color="auto"/>
                <w:left w:val="none" w:sz="0" w:space="0" w:color="auto"/>
                <w:bottom w:val="none" w:sz="0" w:space="0" w:color="auto"/>
                <w:right w:val="none" w:sz="0" w:space="0" w:color="auto"/>
              </w:divBdr>
            </w:div>
          </w:divsChild>
        </w:div>
        <w:div w:id="1097822876">
          <w:marLeft w:val="0"/>
          <w:marRight w:val="0"/>
          <w:marTop w:val="0"/>
          <w:marBottom w:val="0"/>
          <w:divBdr>
            <w:top w:val="none" w:sz="0" w:space="0" w:color="auto"/>
            <w:left w:val="none" w:sz="0" w:space="0" w:color="auto"/>
            <w:bottom w:val="none" w:sz="0" w:space="0" w:color="auto"/>
            <w:right w:val="none" w:sz="0" w:space="0" w:color="auto"/>
          </w:divBdr>
          <w:divsChild>
            <w:div w:id="952131425">
              <w:marLeft w:val="0"/>
              <w:marRight w:val="0"/>
              <w:marTop w:val="0"/>
              <w:marBottom w:val="0"/>
              <w:divBdr>
                <w:top w:val="none" w:sz="0" w:space="0" w:color="auto"/>
                <w:left w:val="none" w:sz="0" w:space="0" w:color="auto"/>
                <w:bottom w:val="none" w:sz="0" w:space="0" w:color="auto"/>
                <w:right w:val="none" w:sz="0" w:space="0" w:color="auto"/>
              </w:divBdr>
            </w:div>
          </w:divsChild>
        </w:div>
        <w:div w:id="1170872524">
          <w:marLeft w:val="0"/>
          <w:marRight w:val="0"/>
          <w:marTop w:val="0"/>
          <w:marBottom w:val="0"/>
          <w:divBdr>
            <w:top w:val="none" w:sz="0" w:space="0" w:color="auto"/>
            <w:left w:val="none" w:sz="0" w:space="0" w:color="auto"/>
            <w:bottom w:val="none" w:sz="0" w:space="0" w:color="auto"/>
            <w:right w:val="none" w:sz="0" w:space="0" w:color="auto"/>
          </w:divBdr>
          <w:divsChild>
            <w:div w:id="148517186">
              <w:marLeft w:val="0"/>
              <w:marRight w:val="0"/>
              <w:marTop w:val="0"/>
              <w:marBottom w:val="0"/>
              <w:divBdr>
                <w:top w:val="none" w:sz="0" w:space="0" w:color="auto"/>
                <w:left w:val="none" w:sz="0" w:space="0" w:color="auto"/>
                <w:bottom w:val="none" w:sz="0" w:space="0" w:color="auto"/>
                <w:right w:val="none" w:sz="0" w:space="0" w:color="auto"/>
              </w:divBdr>
            </w:div>
          </w:divsChild>
        </w:div>
        <w:div w:id="1223828067">
          <w:marLeft w:val="0"/>
          <w:marRight w:val="0"/>
          <w:marTop w:val="0"/>
          <w:marBottom w:val="0"/>
          <w:divBdr>
            <w:top w:val="none" w:sz="0" w:space="0" w:color="auto"/>
            <w:left w:val="none" w:sz="0" w:space="0" w:color="auto"/>
            <w:bottom w:val="none" w:sz="0" w:space="0" w:color="auto"/>
            <w:right w:val="none" w:sz="0" w:space="0" w:color="auto"/>
          </w:divBdr>
          <w:divsChild>
            <w:div w:id="1683703591">
              <w:marLeft w:val="0"/>
              <w:marRight w:val="0"/>
              <w:marTop w:val="0"/>
              <w:marBottom w:val="0"/>
              <w:divBdr>
                <w:top w:val="none" w:sz="0" w:space="0" w:color="auto"/>
                <w:left w:val="none" w:sz="0" w:space="0" w:color="auto"/>
                <w:bottom w:val="none" w:sz="0" w:space="0" w:color="auto"/>
                <w:right w:val="none" w:sz="0" w:space="0" w:color="auto"/>
              </w:divBdr>
            </w:div>
          </w:divsChild>
        </w:div>
        <w:div w:id="1305281866">
          <w:marLeft w:val="0"/>
          <w:marRight w:val="0"/>
          <w:marTop w:val="0"/>
          <w:marBottom w:val="0"/>
          <w:divBdr>
            <w:top w:val="none" w:sz="0" w:space="0" w:color="auto"/>
            <w:left w:val="none" w:sz="0" w:space="0" w:color="auto"/>
            <w:bottom w:val="none" w:sz="0" w:space="0" w:color="auto"/>
            <w:right w:val="none" w:sz="0" w:space="0" w:color="auto"/>
          </w:divBdr>
          <w:divsChild>
            <w:div w:id="239557700">
              <w:marLeft w:val="0"/>
              <w:marRight w:val="0"/>
              <w:marTop w:val="0"/>
              <w:marBottom w:val="0"/>
              <w:divBdr>
                <w:top w:val="none" w:sz="0" w:space="0" w:color="auto"/>
                <w:left w:val="none" w:sz="0" w:space="0" w:color="auto"/>
                <w:bottom w:val="none" w:sz="0" w:space="0" w:color="auto"/>
                <w:right w:val="none" w:sz="0" w:space="0" w:color="auto"/>
              </w:divBdr>
            </w:div>
          </w:divsChild>
        </w:div>
        <w:div w:id="1313099624">
          <w:marLeft w:val="0"/>
          <w:marRight w:val="0"/>
          <w:marTop w:val="0"/>
          <w:marBottom w:val="0"/>
          <w:divBdr>
            <w:top w:val="none" w:sz="0" w:space="0" w:color="auto"/>
            <w:left w:val="none" w:sz="0" w:space="0" w:color="auto"/>
            <w:bottom w:val="none" w:sz="0" w:space="0" w:color="auto"/>
            <w:right w:val="none" w:sz="0" w:space="0" w:color="auto"/>
          </w:divBdr>
          <w:divsChild>
            <w:div w:id="120149443">
              <w:marLeft w:val="0"/>
              <w:marRight w:val="0"/>
              <w:marTop w:val="0"/>
              <w:marBottom w:val="0"/>
              <w:divBdr>
                <w:top w:val="none" w:sz="0" w:space="0" w:color="auto"/>
                <w:left w:val="none" w:sz="0" w:space="0" w:color="auto"/>
                <w:bottom w:val="none" w:sz="0" w:space="0" w:color="auto"/>
                <w:right w:val="none" w:sz="0" w:space="0" w:color="auto"/>
              </w:divBdr>
            </w:div>
          </w:divsChild>
        </w:div>
        <w:div w:id="1329135953">
          <w:marLeft w:val="0"/>
          <w:marRight w:val="0"/>
          <w:marTop w:val="0"/>
          <w:marBottom w:val="0"/>
          <w:divBdr>
            <w:top w:val="none" w:sz="0" w:space="0" w:color="auto"/>
            <w:left w:val="none" w:sz="0" w:space="0" w:color="auto"/>
            <w:bottom w:val="none" w:sz="0" w:space="0" w:color="auto"/>
            <w:right w:val="none" w:sz="0" w:space="0" w:color="auto"/>
          </w:divBdr>
          <w:divsChild>
            <w:div w:id="1218660819">
              <w:marLeft w:val="0"/>
              <w:marRight w:val="0"/>
              <w:marTop w:val="0"/>
              <w:marBottom w:val="0"/>
              <w:divBdr>
                <w:top w:val="none" w:sz="0" w:space="0" w:color="auto"/>
                <w:left w:val="none" w:sz="0" w:space="0" w:color="auto"/>
                <w:bottom w:val="none" w:sz="0" w:space="0" w:color="auto"/>
                <w:right w:val="none" w:sz="0" w:space="0" w:color="auto"/>
              </w:divBdr>
            </w:div>
          </w:divsChild>
        </w:div>
        <w:div w:id="1490824385">
          <w:marLeft w:val="0"/>
          <w:marRight w:val="0"/>
          <w:marTop w:val="0"/>
          <w:marBottom w:val="0"/>
          <w:divBdr>
            <w:top w:val="none" w:sz="0" w:space="0" w:color="auto"/>
            <w:left w:val="none" w:sz="0" w:space="0" w:color="auto"/>
            <w:bottom w:val="none" w:sz="0" w:space="0" w:color="auto"/>
            <w:right w:val="none" w:sz="0" w:space="0" w:color="auto"/>
          </w:divBdr>
          <w:divsChild>
            <w:div w:id="107895883">
              <w:marLeft w:val="0"/>
              <w:marRight w:val="0"/>
              <w:marTop w:val="0"/>
              <w:marBottom w:val="0"/>
              <w:divBdr>
                <w:top w:val="none" w:sz="0" w:space="0" w:color="auto"/>
                <w:left w:val="none" w:sz="0" w:space="0" w:color="auto"/>
                <w:bottom w:val="none" w:sz="0" w:space="0" w:color="auto"/>
                <w:right w:val="none" w:sz="0" w:space="0" w:color="auto"/>
              </w:divBdr>
            </w:div>
          </w:divsChild>
        </w:div>
        <w:div w:id="1602639594">
          <w:marLeft w:val="0"/>
          <w:marRight w:val="0"/>
          <w:marTop w:val="0"/>
          <w:marBottom w:val="0"/>
          <w:divBdr>
            <w:top w:val="none" w:sz="0" w:space="0" w:color="auto"/>
            <w:left w:val="none" w:sz="0" w:space="0" w:color="auto"/>
            <w:bottom w:val="none" w:sz="0" w:space="0" w:color="auto"/>
            <w:right w:val="none" w:sz="0" w:space="0" w:color="auto"/>
          </w:divBdr>
          <w:divsChild>
            <w:div w:id="1295722528">
              <w:marLeft w:val="0"/>
              <w:marRight w:val="0"/>
              <w:marTop w:val="0"/>
              <w:marBottom w:val="0"/>
              <w:divBdr>
                <w:top w:val="none" w:sz="0" w:space="0" w:color="auto"/>
                <w:left w:val="none" w:sz="0" w:space="0" w:color="auto"/>
                <w:bottom w:val="none" w:sz="0" w:space="0" w:color="auto"/>
                <w:right w:val="none" w:sz="0" w:space="0" w:color="auto"/>
              </w:divBdr>
            </w:div>
          </w:divsChild>
        </w:div>
        <w:div w:id="1642341571">
          <w:marLeft w:val="0"/>
          <w:marRight w:val="0"/>
          <w:marTop w:val="0"/>
          <w:marBottom w:val="0"/>
          <w:divBdr>
            <w:top w:val="none" w:sz="0" w:space="0" w:color="auto"/>
            <w:left w:val="none" w:sz="0" w:space="0" w:color="auto"/>
            <w:bottom w:val="none" w:sz="0" w:space="0" w:color="auto"/>
            <w:right w:val="none" w:sz="0" w:space="0" w:color="auto"/>
          </w:divBdr>
          <w:divsChild>
            <w:div w:id="1999574360">
              <w:marLeft w:val="0"/>
              <w:marRight w:val="0"/>
              <w:marTop w:val="0"/>
              <w:marBottom w:val="0"/>
              <w:divBdr>
                <w:top w:val="none" w:sz="0" w:space="0" w:color="auto"/>
                <w:left w:val="none" w:sz="0" w:space="0" w:color="auto"/>
                <w:bottom w:val="none" w:sz="0" w:space="0" w:color="auto"/>
                <w:right w:val="none" w:sz="0" w:space="0" w:color="auto"/>
              </w:divBdr>
            </w:div>
          </w:divsChild>
        </w:div>
        <w:div w:id="1645813029">
          <w:marLeft w:val="0"/>
          <w:marRight w:val="0"/>
          <w:marTop w:val="0"/>
          <w:marBottom w:val="0"/>
          <w:divBdr>
            <w:top w:val="none" w:sz="0" w:space="0" w:color="auto"/>
            <w:left w:val="none" w:sz="0" w:space="0" w:color="auto"/>
            <w:bottom w:val="none" w:sz="0" w:space="0" w:color="auto"/>
            <w:right w:val="none" w:sz="0" w:space="0" w:color="auto"/>
          </w:divBdr>
          <w:divsChild>
            <w:div w:id="2009824988">
              <w:marLeft w:val="0"/>
              <w:marRight w:val="0"/>
              <w:marTop w:val="0"/>
              <w:marBottom w:val="0"/>
              <w:divBdr>
                <w:top w:val="none" w:sz="0" w:space="0" w:color="auto"/>
                <w:left w:val="none" w:sz="0" w:space="0" w:color="auto"/>
                <w:bottom w:val="none" w:sz="0" w:space="0" w:color="auto"/>
                <w:right w:val="none" w:sz="0" w:space="0" w:color="auto"/>
              </w:divBdr>
            </w:div>
          </w:divsChild>
        </w:div>
        <w:div w:id="1695301798">
          <w:marLeft w:val="0"/>
          <w:marRight w:val="0"/>
          <w:marTop w:val="0"/>
          <w:marBottom w:val="0"/>
          <w:divBdr>
            <w:top w:val="none" w:sz="0" w:space="0" w:color="auto"/>
            <w:left w:val="none" w:sz="0" w:space="0" w:color="auto"/>
            <w:bottom w:val="none" w:sz="0" w:space="0" w:color="auto"/>
            <w:right w:val="none" w:sz="0" w:space="0" w:color="auto"/>
          </w:divBdr>
          <w:divsChild>
            <w:div w:id="84960149">
              <w:marLeft w:val="0"/>
              <w:marRight w:val="0"/>
              <w:marTop w:val="0"/>
              <w:marBottom w:val="0"/>
              <w:divBdr>
                <w:top w:val="none" w:sz="0" w:space="0" w:color="auto"/>
                <w:left w:val="none" w:sz="0" w:space="0" w:color="auto"/>
                <w:bottom w:val="none" w:sz="0" w:space="0" w:color="auto"/>
                <w:right w:val="none" w:sz="0" w:space="0" w:color="auto"/>
              </w:divBdr>
            </w:div>
          </w:divsChild>
        </w:div>
        <w:div w:id="1764063231">
          <w:marLeft w:val="0"/>
          <w:marRight w:val="0"/>
          <w:marTop w:val="0"/>
          <w:marBottom w:val="0"/>
          <w:divBdr>
            <w:top w:val="none" w:sz="0" w:space="0" w:color="auto"/>
            <w:left w:val="none" w:sz="0" w:space="0" w:color="auto"/>
            <w:bottom w:val="none" w:sz="0" w:space="0" w:color="auto"/>
            <w:right w:val="none" w:sz="0" w:space="0" w:color="auto"/>
          </w:divBdr>
          <w:divsChild>
            <w:div w:id="1238515065">
              <w:marLeft w:val="0"/>
              <w:marRight w:val="0"/>
              <w:marTop w:val="0"/>
              <w:marBottom w:val="0"/>
              <w:divBdr>
                <w:top w:val="none" w:sz="0" w:space="0" w:color="auto"/>
                <w:left w:val="none" w:sz="0" w:space="0" w:color="auto"/>
                <w:bottom w:val="none" w:sz="0" w:space="0" w:color="auto"/>
                <w:right w:val="none" w:sz="0" w:space="0" w:color="auto"/>
              </w:divBdr>
            </w:div>
          </w:divsChild>
        </w:div>
        <w:div w:id="1764493575">
          <w:marLeft w:val="0"/>
          <w:marRight w:val="0"/>
          <w:marTop w:val="0"/>
          <w:marBottom w:val="0"/>
          <w:divBdr>
            <w:top w:val="none" w:sz="0" w:space="0" w:color="auto"/>
            <w:left w:val="none" w:sz="0" w:space="0" w:color="auto"/>
            <w:bottom w:val="none" w:sz="0" w:space="0" w:color="auto"/>
            <w:right w:val="none" w:sz="0" w:space="0" w:color="auto"/>
          </w:divBdr>
          <w:divsChild>
            <w:div w:id="1582642920">
              <w:marLeft w:val="0"/>
              <w:marRight w:val="0"/>
              <w:marTop w:val="0"/>
              <w:marBottom w:val="0"/>
              <w:divBdr>
                <w:top w:val="none" w:sz="0" w:space="0" w:color="auto"/>
                <w:left w:val="none" w:sz="0" w:space="0" w:color="auto"/>
                <w:bottom w:val="none" w:sz="0" w:space="0" w:color="auto"/>
                <w:right w:val="none" w:sz="0" w:space="0" w:color="auto"/>
              </w:divBdr>
            </w:div>
          </w:divsChild>
        </w:div>
        <w:div w:id="1765832908">
          <w:marLeft w:val="0"/>
          <w:marRight w:val="0"/>
          <w:marTop w:val="0"/>
          <w:marBottom w:val="0"/>
          <w:divBdr>
            <w:top w:val="none" w:sz="0" w:space="0" w:color="auto"/>
            <w:left w:val="none" w:sz="0" w:space="0" w:color="auto"/>
            <w:bottom w:val="none" w:sz="0" w:space="0" w:color="auto"/>
            <w:right w:val="none" w:sz="0" w:space="0" w:color="auto"/>
          </w:divBdr>
          <w:divsChild>
            <w:div w:id="50422433">
              <w:marLeft w:val="0"/>
              <w:marRight w:val="0"/>
              <w:marTop w:val="0"/>
              <w:marBottom w:val="0"/>
              <w:divBdr>
                <w:top w:val="none" w:sz="0" w:space="0" w:color="auto"/>
                <w:left w:val="none" w:sz="0" w:space="0" w:color="auto"/>
                <w:bottom w:val="none" w:sz="0" w:space="0" w:color="auto"/>
                <w:right w:val="none" w:sz="0" w:space="0" w:color="auto"/>
              </w:divBdr>
            </w:div>
          </w:divsChild>
        </w:div>
        <w:div w:id="1833330380">
          <w:marLeft w:val="0"/>
          <w:marRight w:val="0"/>
          <w:marTop w:val="0"/>
          <w:marBottom w:val="0"/>
          <w:divBdr>
            <w:top w:val="none" w:sz="0" w:space="0" w:color="auto"/>
            <w:left w:val="none" w:sz="0" w:space="0" w:color="auto"/>
            <w:bottom w:val="none" w:sz="0" w:space="0" w:color="auto"/>
            <w:right w:val="none" w:sz="0" w:space="0" w:color="auto"/>
          </w:divBdr>
          <w:divsChild>
            <w:div w:id="1028603361">
              <w:marLeft w:val="0"/>
              <w:marRight w:val="0"/>
              <w:marTop w:val="0"/>
              <w:marBottom w:val="0"/>
              <w:divBdr>
                <w:top w:val="none" w:sz="0" w:space="0" w:color="auto"/>
                <w:left w:val="none" w:sz="0" w:space="0" w:color="auto"/>
                <w:bottom w:val="none" w:sz="0" w:space="0" w:color="auto"/>
                <w:right w:val="none" w:sz="0" w:space="0" w:color="auto"/>
              </w:divBdr>
            </w:div>
          </w:divsChild>
        </w:div>
        <w:div w:id="1905288784">
          <w:marLeft w:val="0"/>
          <w:marRight w:val="0"/>
          <w:marTop w:val="0"/>
          <w:marBottom w:val="0"/>
          <w:divBdr>
            <w:top w:val="none" w:sz="0" w:space="0" w:color="auto"/>
            <w:left w:val="none" w:sz="0" w:space="0" w:color="auto"/>
            <w:bottom w:val="none" w:sz="0" w:space="0" w:color="auto"/>
            <w:right w:val="none" w:sz="0" w:space="0" w:color="auto"/>
          </w:divBdr>
          <w:divsChild>
            <w:div w:id="1613170511">
              <w:marLeft w:val="0"/>
              <w:marRight w:val="0"/>
              <w:marTop w:val="0"/>
              <w:marBottom w:val="0"/>
              <w:divBdr>
                <w:top w:val="none" w:sz="0" w:space="0" w:color="auto"/>
                <w:left w:val="none" w:sz="0" w:space="0" w:color="auto"/>
                <w:bottom w:val="none" w:sz="0" w:space="0" w:color="auto"/>
                <w:right w:val="none" w:sz="0" w:space="0" w:color="auto"/>
              </w:divBdr>
            </w:div>
          </w:divsChild>
        </w:div>
        <w:div w:id="1937055102">
          <w:marLeft w:val="0"/>
          <w:marRight w:val="0"/>
          <w:marTop w:val="0"/>
          <w:marBottom w:val="0"/>
          <w:divBdr>
            <w:top w:val="none" w:sz="0" w:space="0" w:color="auto"/>
            <w:left w:val="none" w:sz="0" w:space="0" w:color="auto"/>
            <w:bottom w:val="none" w:sz="0" w:space="0" w:color="auto"/>
            <w:right w:val="none" w:sz="0" w:space="0" w:color="auto"/>
          </w:divBdr>
          <w:divsChild>
            <w:div w:id="1588613566">
              <w:marLeft w:val="0"/>
              <w:marRight w:val="0"/>
              <w:marTop w:val="0"/>
              <w:marBottom w:val="0"/>
              <w:divBdr>
                <w:top w:val="none" w:sz="0" w:space="0" w:color="auto"/>
                <w:left w:val="none" w:sz="0" w:space="0" w:color="auto"/>
                <w:bottom w:val="none" w:sz="0" w:space="0" w:color="auto"/>
                <w:right w:val="none" w:sz="0" w:space="0" w:color="auto"/>
              </w:divBdr>
            </w:div>
            <w:div w:id="1615744558">
              <w:marLeft w:val="0"/>
              <w:marRight w:val="0"/>
              <w:marTop w:val="0"/>
              <w:marBottom w:val="0"/>
              <w:divBdr>
                <w:top w:val="none" w:sz="0" w:space="0" w:color="auto"/>
                <w:left w:val="none" w:sz="0" w:space="0" w:color="auto"/>
                <w:bottom w:val="none" w:sz="0" w:space="0" w:color="auto"/>
                <w:right w:val="none" w:sz="0" w:space="0" w:color="auto"/>
              </w:divBdr>
            </w:div>
          </w:divsChild>
        </w:div>
        <w:div w:id="1939407125">
          <w:marLeft w:val="0"/>
          <w:marRight w:val="0"/>
          <w:marTop w:val="0"/>
          <w:marBottom w:val="0"/>
          <w:divBdr>
            <w:top w:val="none" w:sz="0" w:space="0" w:color="auto"/>
            <w:left w:val="none" w:sz="0" w:space="0" w:color="auto"/>
            <w:bottom w:val="none" w:sz="0" w:space="0" w:color="auto"/>
            <w:right w:val="none" w:sz="0" w:space="0" w:color="auto"/>
          </w:divBdr>
          <w:divsChild>
            <w:div w:id="1404334641">
              <w:marLeft w:val="0"/>
              <w:marRight w:val="0"/>
              <w:marTop w:val="0"/>
              <w:marBottom w:val="0"/>
              <w:divBdr>
                <w:top w:val="none" w:sz="0" w:space="0" w:color="auto"/>
                <w:left w:val="none" w:sz="0" w:space="0" w:color="auto"/>
                <w:bottom w:val="none" w:sz="0" w:space="0" w:color="auto"/>
                <w:right w:val="none" w:sz="0" w:space="0" w:color="auto"/>
              </w:divBdr>
            </w:div>
          </w:divsChild>
        </w:div>
        <w:div w:id="1942758207">
          <w:marLeft w:val="0"/>
          <w:marRight w:val="0"/>
          <w:marTop w:val="0"/>
          <w:marBottom w:val="0"/>
          <w:divBdr>
            <w:top w:val="none" w:sz="0" w:space="0" w:color="auto"/>
            <w:left w:val="none" w:sz="0" w:space="0" w:color="auto"/>
            <w:bottom w:val="none" w:sz="0" w:space="0" w:color="auto"/>
            <w:right w:val="none" w:sz="0" w:space="0" w:color="auto"/>
          </w:divBdr>
          <w:divsChild>
            <w:div w:id="1402870699">
              <w:marLeft w:val="0"/>
              <w:marRight w:val="0"/>
              <w:marTop w:val="0"/>
              <w:marBottom w:val="0"/>
              <w:divBdr>
                <w:top w:val="none" w:sz="0" w:space="0" w:color="auto"/>
                <w:left w:val="none" w:sz="0" w:space="0" w:color="auto"/>
                <w:bottom w:val="none" w:sz="0" w:space="0" w:color="auto"/>
                <w:right w:val="none" w:sz="0" w:space="0" w:color="auto"/>
              </w:divBdr>
            </w:div>
          </w:divsChild>
        </w:div>
        <w:div w:id="1983843965">
          <w:marLeft w:val="0"/>
          <w:marRight w:val="0"/>
          <w:marTop w:val="0"/>
          <w:marBottom w:val="0"/>
          <w:divBdr>
            <w:top w:val="none" w:sz="0" w:space="0" w:color="auto"/>
            <w:left w:val="none" w:sz="0" w:space="0" w:color="auto"/>
            <w:bottom w:val="none" w:sz="0" w:space="0" w:color="auto"/>
            <w:right w:val="none" w:sz="0" w:space="0" w:color="auto"/>
          </w:divBdr>
          <w:divsChild>
            <w:div w:id="591089132">
              <w:marLeft w:val="0"/>
              <w:marRight w:val="0"/>
              <w:marTop w:val="0"/>
              <w:marBottom w:val="0"/>
              <w:divBdr>
                <w:top w:val="none" w:sz="0" w:space="0" w:color="auto"/>
                <w:left w:val="none" w:sz="0" w:space="0" w:color="auto"/>
                <w:bottom w:val="none" w:sz="0" w:space="0" w:color="auto"/>
                <w:right w:val="none" w:sz="0" w:space="0" w:color="auto"/>
              </w:divBdr>
            </w:div>
          </w:divsChild>
        </w:div>
        <w:div w:id="2073113359">
          <w:marLeft w:val="0"/>
          <w:marRight w:val="0"/>
          <w:marTop w:val="0"/>
          <w:marBottom w:val="0"/>
          <w:divBdr>
            <w:top w:val="none" w:sz="0" w:space="0" w:color="auto"/>
            <w:left w:val="none" w:sz="0" w:space="0" w:color="auto"/>
            <w:bottom w:val="none" w:sz="0" w:space="0" w:color="auto"/>
            <w:right w:val="none" w:sz="0" w:space="0" w:color="auto"/>
          </w:divBdr>
          <w:divsChild>
            <w:div w:id="784926820">
              <w:marLeft w:val="0"/>
              <w:marRight w:val="0"/>
              <w:marTop w:val="0"/>
              <w:marBottom w:val="0"/>
              <w:divBdr>
                <w:top w:val="none" w:sz="0" w:space="0" w:color="auto"/>
                <w:left w:val="none" w:sz="0" w:space="0" w:color="auto"/>
                <w:bottom w:val="none" w:sz="0" w:space="0" w:color="auto"/>
                <w:right w:val="none" w:sz="0" w:space="0" w:color="auto"/>
              </w:divBdr>
            </w:div>
            <w:div w:id="2014142490">
              <w:marLeft w:val="0"/>
              <w:marRight w:val="0"/>
              <w:marTop w:val="0"/>
              <w:marBottom w:val="0"/>
              <w:divBdr>
                <w:top w:val="none" w:sz="0" w:space="0" w:color="auto"/>
                <w:left w:val="none" w:sz="0" w:space="0" w:color="auto"/>
                <w:bottom w:val="none" w:sz="0" w:space="0" w:color="auto"/>
                <w:right w:val="none" w:sz="0" w:space="0" w:color="auto"/>
              </w:divBdr>
            </w:div>
          </w:divsChild>
        </w:div>
        <w:div w:id="2086104364">
          <w:marLeft w:val="0"/>
          <w:marRight w:val="0"/>
          <w:marTop w:val="0"/>
          <w:marBottom w:val="0"/>
          <w:divBdr>
            <w:top w:val="none" w:sz="0" w:space="0" w:color="auto"/>
            <w:left w:val="none" w:sz="0" w:space="0" w:color="auto"/>
            <w:bottom w:val="none" w:sz="0" w:space="0" w:color="auto"/>
            <w:right w:val="none" w:sz="0" w:space="0" w:color="auto"/>
          </w:divBdr>
          <w:divsChild>
            <w:div w:id="1559047731">
              <w:marLeft w:val="0"/>
              <w:marRight w:val="0"/>
              <w:marTop w:val="0"/>
              <w:marBottom w:val="0"/>
              <w:divBdr>
                <w:top w:val="none" w:sz="0" w:space="0" w:color="auto"/>
                <w:left w:val="none" w:sz="0" w:space="0" w:color="auto"/>
                <w:bottom w:val="none" w:sz="0" w:space="0" w:color="auto"/>
                <w:right w:val="none" w:sz="0" w:space="0" w:color="auto"/>
              </w:divBdr>
            </w:div>
          </w:divsChild>
        </w:div>
        <w:div w:id="2129397885">
          <w:marLeft w:val="0"/>
          <w:marRight w:val="0"/>
          <w:marTop w:val="0"/>
          <w:marBottom w:val="0"/>
          <w:divBdr>
            <w:top w:val="none" w:sz="0" w:space="0" w:color="auto"/>
            <w:left w:val="none" w:sz="0" w:space="0" w:color="auto"/>
            <w:bottom w:val="none" w:sz="0" w:space="0" w:color="auto"/>
            <w:right w:val="none" w:sz="0" w:space="0" w:color="auto"/>
          </w:divBdr>
          <w:divsChild>
            <w:div w:id="710692549">
              <w:marLeft w:val="0"/>
              <w:marRight w:val="0"/>
              <w:marTop w:val="0"/>
              <w:marBottom w:val="0"/>
              <w:divBdr>
                <w:top w:val="none" w:sz="0" w:space="0" w:color="auto"/>
                <w:left w:val="none" w:sz="0" w:space="0" w:color="auto"/>
                <w:bottom w:val="none" w:sz="0" w:space="0" w:color="auto"/>
                <w:right w:val="none" w:sz="0" w:space="0" w:color="auto"/>
              </w:divBdr>
            </w:div>
            <w:div w:id="17723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524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8845021">
      <w:bodyDiv w:val="1"/>
      <w:marLeft w:val="0"/>
      <w:marRight w:val="0"/>
      <w:marTop w:val="0"/>
      <w:marBottom w:val="0"/>
      <w:divBdr>
        <w:top w:val="none" w:sz="0" w:space="0" w:color="auto"/>
        <w:left w:val="none" w:sz="0" w:space="0" w:color="auto"/>
        <w:bottom w:val="none" w:sz="0" w:space="0" w:color="auto"/>
        <w:right w:val="none" w:sz="0" w:space="0" w:color="auto"/>
      </w:divBdr>
    </w:div>
    <w:div w:id="375353343">
      <w:bodyDiv w:val="1"/>
      <w:marLeft w:val="0"/>
      <w:marRight w:val="0"/>
      <w:marTop w:val="0"/>
      <w:marBottom w:val="0"/>
      <w:divBdr>
        <w:top w:val="none" w:sz="0" w:space="0" w:color="auto"/>
        <w:left w:val="none" w:sz="0" w:space="0" w:color="auto"/>
        <w:bottom w:val="none" w:sz="0" w:space="0" w:color="auto"/>
        <w:right w:val="none" w:sz="0" w:space="0" w:color="auto"/>
      </w:divBdr>
    </w:div>
    <w:div w:id="376010518">
      <w:bodyDiv w:val="1"/>
      <w:marLeft w:val="0"/>
      <w:marRight w:val="0"/>
      <w:marTop w:val="0"/>
      <w:marBottom w:val="0"/>
      <w:divBdr>
        <w:top w:val="none" w:sz="0" w:space="0" w:color="auto"/>
        <w:left w:val="none" w:sz="0" w:space="0" w:color="auto"/>
        <w:bottom w:val="none" w:sz="0" w:space="0" w:color="auto"/>
        <w:right w:val="none" w:sz="0" w:space="0" w:color="auto"/>
      </w:divBdr>
    </w:div>
    <w:div w:id="382560326">
      <w:bodyDiv w:val="1"/>
      <w:marLeft w:val="0"/>
      <w:marRight w:val="0"/>
      <w:marTop w:val="0"/>
      <w:marBottom w:val="0"/>
      <w:divBdr>
        <w:top w:val="none" w:sz="0" w:space="0" w:color="auto"/>
        <w:left w:val="none" w:sz="0" w:space="0" w:color="auto"/>
        <w:bottom w:val="none" w:sz="0" w:space="0" w:color="auto"/>
        <w:right w:val="none" w:sz="0" w:space="0" w:color="auto"/>
      </w:divBdr>
    </w:div>
    <w:div w:id="402223521">
      <w:bodyDiv w:val="1"/>
      <w:marLeft w:val="0"/>
      <w:marRight w:val="0"/>
      <w:marTop w:val="0"/>
      <w:marBottom w:val="0"/>
      <w:divBdr>
        <w:top w:val="none" w:sz="0" w:space="0" w:color="auto"/>
        <w:left w:val="none" w:sz="0" w:space="0" w:color="auto"/>
        <w:bottom w:val="none" w:sz="0" w:space="0" w:color="auto"/>
        <w:right w:val="none" w:sz="0" w:space="0" w:color="auto"/>
      </w:divBdr>
    </w:div>
    <w:div w:id="417093198">
      <w:bodyDiv w:val="1"/>
      <w:marLeft w:val="0"/>
      <w:marRight w:val="0"/>
      <w:marTop w:val="0"/>
      <w:marBottom w:val="0"/>
      <w:divBdr>
        <w:top w:val="none" w:sz="0" w:space="0" w:color="auto"/>
        <w:left w:val="none" w:sz="0" w:space="0" w:color="auto"/>
        <w:bottom w:val="none" w:sz="0" w:space="0" w:color="auto"/>
        <w:right w:val="none" w:sz="0" w:space="0" w:color="auto"/>
      </w:divBdr>
      <w:divsChild>
        <w:div w:id="66147312">
          <w:marLeft w:val="0"/>
          <w:marRight w:val="0"/>
          <w:marTop w:val="0"/>
          <w:marBottom w:val="0"/>
          <w:divBdr>
            <w:top w:val="none" w:sz="0" w:space="0" w:color="auto"/>
            <w:left w:val="none" w:sz="0" w:space="0" w:color="auto"/>
            <w:bottom w:val="none" w:sz="0" w:space="0" w:color="auto"/>
            <w:right w:val="none" w:sz="0" w:space="0" w:color="auto"/>
          </w:divBdr>
          <w:divsChild>
            <w:div w:id="1225143360">
              <w:marLeft w:val="0"/>
              <w:marRight w:val="0"/>
              <w:marTop w:val="0"/>
              <w:marBottom w:val="0"/>
              <w:divBdr>
                <w:top w:val="none" w:sz="0" w:space="0" w:color="auto"/>
                <w:left w:val="none" w:sz="0" w:space="0" w:color="auto"/>
                <w:bottom w:val="none" w:sz="0" w:space="0" w:color="auto"/>
                <w:right w:val="none" w:sz="0" w:space="0" w:color="auto"/>
              </w:divBdr>
            </w:div>
          </w:divsChild>
        </w:div>
        <w:div w:id="69473813">
          <w:marLeft w:val="0"/>
          <w:marRight w:val="0"/>
          <w:marTop w:val="0"/>
          <w:marBottom w:val="0"/>
          <w:divBdr>
            <w:top w:val="none" w:sz="0" w:space="0" w:color="auto"/>
            <w:left w:val="none" w:sz="0" w:space="0" w:color="auto"/>
            <w:bottom w:val="none" w:sz="0" w:space="0" w:color="auto"/>
            <w:right w:val="none" w:sz="0" w:space="0" w:color="auto"/>
          </w:divBdr>
          <w:divsChild>
            <w:div w:id="682439907">
              <w:marLeft w:val="0"/>
              <w:marRight w:val="0"/>
              <w:marTop w:val="0"/>
              <w:marBottom w:val="0"/>
              <w:divBdr>
                <w:top w:val="none" w:sz="0" w:space="0" w:color="auto"/>
                <w:left w:val="none" w:sz="0" w:space="0" w:color="auto"/>
                <w:bottom w:val="none" w:sz="0" w:space="0" w:color="auto"/>
                <w:right w:val="none" w:sz="0" w:space="0" w:color="auto"/>
              </w:divBdr>
            </w:div>
          </w:divsChild>
        </w:div>
        <w:div w:id="77796624">
          <w:marLeft w:val="0"/>
          <w:marRight w:val="0"/>
          <w:marTop w:val="0"/>
          <w:marBottom w:val="0"/>
          <w:divBdr>
            <w:top w:val="none" w:sz="0" w:space="0" w:color="auto"/>
            <w:left w:val="none" w:sz="0" w:space="0" w:color="auto"/>
            <w:bottom w:val="none" w:sz="0" w:space="0" w:color="auto"/>
            <w:right w:val="none" w:sz="0" w:space="0" w:color="auto"/>
          </w:divBdr>
          <w:divsChild>
            <w:div w:id="1294749678">
              <w:marLeft w:val="0"/>
              <w:marRight w:val="0"/>
              <w:marTop w:val="0"/>
              <w:marBottom w:val="0"/>
              <w:divBdr>
                <w:top w:val="none" w:sz="0" w:space="0" w:color="auto"/>
                <w:left w:val="none" w:sz="0" w:space="0" w:color="auto"/>
                <w:bottom w:val="none" w:sz="0" w:space="0" w:color="auto"/>
                <w:right w:val="none" w:sz="0" w:space="0" w:color="auto"/>
              </w:divBdr>
            </w:div>
          </w:divsChild>
        </w:div>
        <w:div w:id="81073099">
          <w:marLeft w:val="0"/>
          <w:marRight w:val="0"/>
          <w:marTop w:val="0"/>
          <w:marBottom w:val="0"/>
          <w:divBdr>
            <w:top w:val="none" w:sz="0" w:space="0" w:color="auto"/>
            <w:left w:val="none" w:sz="0" w:space="0" w:color="auto"/>
            <w:bottom w:val="none" w:sz="0" w:space="0" w:color="auto"/>
            <w:right w:val="none" w:sz="0" w:space="0" w:color="auto"/>
          </w:divBdr>
          <w:divsChild>
            <w:div w:id="1667055837">
              <w:marLeft w:val="0"/>
              <w:marRight w:val="0"/>
              <w:marTop w:val="0"/>
              <w:marBottom w:val="0"/>
              <w:divBdr>
                <w:top w:val="none" w:sz="0" w:space="0" w:color="auto"/>
                <w:left w:val="none" w:sz="0" w:space="0" w:color="auto"/>
                <w:bottom w:val="none" w:sz="0" w:space="0" w:color="auto"/>
                <w:right w:val="none" w:sz="0" w:space="0" w:color="auto"/>
              </w:divBdr>
            </w:div>
          </w:divsChild>
        </w:div>
        <w:div w:id="139076416">
          <w:marLeft w:val="0"/>
          <w:marRight w:val="0"/>
          <w:marTop w:val="0"/>
          <w:marBottom w:val="0"/>
          <w:divBdr>
            <w:top w:val="none" w:sz="0" w:space="0" w:color="auto"/>
            <w:left w:val="none" w:sz="0" w:space="0" w:color="auto"/>
            <w:bottom w:val="none" w:sz="0" w:space="0" w:color="auto"/>
            <w:right w:val="none" w:sz="0" w:space="0" w:color="auto"/>
          </w:divBdr>
          <w:divsChild>
            <w:div w:id="1536575119">
              <w:marLeft w:val="0"/>
              <w:marRight w:val="0"/>
              <w:marTop w:val="0"/>
              <w:marBottom w:val="0"/>
              <w:divBdr>
                <w:top w:val="none" w:sz="0" w:space="0" w:color="auto"/>
                <w:left w:val="none" w:sz="0" w:space="0" w:color="auto"/>
                <w:bottom w:val="none" w:sz="0" w:space="0" w:color="auto"/>
                <w:right w:val="none" w:sz="0" w:space="0" w:color="auto"/>
              </w:divBdr>
            </w:div>
          </w:divsChild>
        </w:div>
        <w:div w:id="183133112">
          <w:marLeft w:val="0"/>
          <w:marRight w:val="0"/>
          <w:marTop w:val="0"/>
          <w:marBottom w:val="0"/>
          <w:divBdr>
            <w:top w:val="none" w:sz="0" w:space="0" w:color="auto"/>
            <w:left w:val="none" w:sz="0" w:space="0" w:color="auto"/>
            <w:bottom w:val="none" w:sz="0" w:space="0" w:color="auto"/>
            <w:right w:val="none" w:sz="0" w:space="0" w:color="auto"/>
          </w:divBdr>
          <w:divsChild>
            <w:div w:id="165369509">
              <w:marLeft w:val="0"/>
              <w:marRight w:val="0"/>
              <w:marTop w:val="0"/>
              <w:marBottom w:val="0"/>
              <w:divBdr>
                <w:top w:val="none" w:sz="0" w:space="0" w:color="auto"/>
                <w:left w:val="none" w:sz="0" w:space="0" w:color="auto"/>
                <w:bottom w:val="none" w:sz="0" w:space="0" w:color="auto"/>
                <w:right w:val="none" w:sz="0" w:space="0" w:color="auto"/>
              </w:divBdr>
            </w:div>
          </w:divsChild>
        </w:div>
        <w:div w:id="212734229">
          <w:marLeft w:val="0"/>
          <w:marRight w:val="0"/>
          <w:marTop w:val="0"/>
          <w:marBottom w:val="0"/>
          <w:divBdr>
            <w:top w:val="none" w:sz="0" w:space="0" w:color="auto"/>
            <w:left w:val="none" w:sz="0" w:space="0" w:color="auto"/>
            <w:bottom w:val="none" w:sz="0" w:space="0" w:color="auto"/>
            <w:right w:val="none" w:sz="0" w:space="0" w:color="auto"/>
          </w:divBdr>
          <w:divsChild>
            <w:div w:id="232275182">
              <w:marLeft w:val="0"/>
              <w:marRight w:val="0"/>
              <w:marTop w:val="0"/>
              <w:marBottom w:val="0"/>
              <w:divBdr>
                <w:top w:val="none" w:sz="0" w:space="0" w:color="auto"/>
                <w:left w:val="none" w:sz="0" w:space="0" w:color="auto"/>
                <w:bottom w:val="none" w:sz="0" w:space="0" w:color="auto"/>
                <w:right w:val="none" w:sz="0" w:space="0" w:color="auto"/>
              </w:divBdr>
            </w:div>
          </w:divsChild>
        </w:div>
        <w:div w:id="254367659">
          <w:marLeft w:val="0"/>
          <w:marRight w:val="0"/>
          <w:marTop w:val="0"/>
          <w:marBottom w:val="0"/>
          <w:divBdr>
            <w:top w:val="none" w:sz="0" w:space="0" w:color="auto"/>
            <w:left w:val="none" w:sz="0" w:space="0" w:color="auto"/>
            <w:bottom w:val="none" w:sz="0" w:space="0" w:color="auto"/>
            <w:right w:val="none" w:sz="0" w:space="0" w:color="auto"/>
          </w:divBdr>
          <w:divsChild>
            <w:div w:id="1595239815">
              <w:marLeft w:val="0"/>
              <w:marRight w:val="0"/>
              <w:marTop w:val="0"/>
              <w:marBottom w:val="0"/>
              <w:divBdr>
                <w:top w:val="none" w:sz="0" w:space="0" w:color="auto"/>
                <w:left w:val="none" w:sz="0" w:space="0" w:color="auto"/>
                <w:bottom w:val="none" w:sz="0" w:space="0" w:color="auto"/>
                <w:right w:val="none" w:sz="0" w:space="0" w:color="auto"/>
              </w:divBdr>
            </w:div>
          </w:divsChild>
        </w:div>
        <w:div w:id="274094675">
          <w:marLeft w:val="0"/>
          <w:marRight w:val="0"/>
          <w:marTop w:val="0"/>
          <w:marBottom w:val="0"/>
          <w:divBdr>
            <w:top w:val="none" w:sz="0" w:space="0" w:color="auto"/>
            <w:left w:val="none" w:sz="0" w:space="0" w:color="auto"/>
            <w:bottom w:val="none" w:sz="0" w:space="0" w:color="auto"/>
            <w:right w:val="none" w:sz="0" w:space="0" w:color="auto"/>
          </w:divBdr>
          <w:divsChild>
            <w:div w:id="338705162">
              <w:marLeft w:val="0"/>
              <w:marRight w:val="0"/>
              <w:marTop w:val="0"/>
              <w:marBottom w:val="0"/>
              <w:divBdr>
                <w:top w:val="none" w:sz="0" w:space="0" w:color="auto"/>
                <w:left w:val="none" w:sz="0" w:space="0" w:color="auto"/>
                <w:bottom w:val="none" w:sz="0" w:space="0" w:color="auto"/>
                <w:right w:val="none" w:sz="0" w:space="0" w:color="auto"/>
              </w:divBdr>
            </w:div>
            <w:div w:id="408499538">
              <w:marLeft w:val="0"/>
              <w:marRight w:val="0"/>
              <w:marTop w:val="0"/>
              <w:marBottom w:val="0"/>
              <w:divBdr>
                <w:top w:val="none" w:sz="0" w:space="0" w:color="auto"/>
                <w:left w:val="none" w:sz="0" w:space="0" w:color="auto"/>
                <w:bottom w:val="none" w:sz="0" w:space="0" w:color="auto"/>
                <w:right w:val="none" w:sz="0" w:space="0" w:color="auto"/>
              </w:divBdr>
            </w:div>
          </w:divsChild>
        </w:div>
        <w:div w:id="277571204">
          <w:marLeft w:val="0"/>
          <w:marRight w:val="0"/>
          <w:marTop w:val="0"/>
          <w:marBottom w:val="0"/>
          <w:divBdr>
            <w:top w:val="none" w:sz="0" w:space="0" w:color="auto"/>
            <w:left w:val="none" w:sz="0" w:space="0" w:color="auto"/>
            <w:bottom w:val="none" w:sz="0" w:space="0" w:color="auto"/>
            <w:right w:val="none" w:sz="0" w:space="0" w:color="auto"/>
          </w:divBdr>
          <w:divsChild>
            <w:div w:id="170918902">
              <w:marLeft w:val="0"/>
              <w:marRight w:val="0"/>
              <w:marTop w:val="0"/>
              <w:marBottom w:val="0"/>
              <w:divBdr>
                <w:top w:val="none" w:sz="0" w:space="0" w:color="auto"/>
                <w:left w:val="none" w:sz="0" w:space="0" w:color="auto"/>
                <w:bottom w:val="none" w:sz="0" w:space="0" w:color="auto"/>
                <w:right w:val="none" w:sz="0" w:space="0" w:color="auto"/>
              </w:divBdr>
            </w:div>
          </w:divsChild>
        </w:div>
        <w:div w:id="312492208">
          <w:marLeft w:val="0"/>
          <w:marRight w:val="0"/>
          <w:marTop w:val="0"/>
          <w:marBottom w:val="0"/>
          <w:divBdr>
            <w:top w:val="none" w:sz="0" w:space="0" w:color="auto"/>
            <w:left w:val="none" w:sz="0" w:space="0" w:color="auto"/>
            <w:bottom w:val="none" w:sz="0" w:space="0" w:color="auto"/>
            <w:right w:val="none" w:sz="0" w:space="0" w:color="auto"/>
          </w:divBdr>
          <w:divsChild>
            <w:div w:id="118426068">
              <w:marLeft w:val="0"/>
              <w:marRight w:val="0"/>
              <w:marTop w:val="0"/>
              <w:marBottom w:val="0"/>
              <w:divBdr>
                <w:top w:val="none" w:sz="0" w:space="0" w:color="auto"/>
                <w:left w:val="none" w:sz="0" w:space="0" w:color="auto"/>
                <w:bottom w:val="none" w:sz="0" w:space="0" w:color="auto"/>
                <w:right w:val="none" w:sz="0" w:space="0" w:color="auto"/>
              </w:divBdr>
            </w:div>
          </w:divsChild>
        </w:div>
        <w:div w:id="329330200">
          <w:marLeft w:val="0"/>
          <w:marRight w:val="0"/>
          <w:marTop w:val="0"/>
          <w:marBottom w:val="0"/>
          <w:divBdr>
            <w:top w:val="none" w:sz="0" w:space="0" w:color="auto"/>
            <w:left w:val="none" w:sz="0" w:space="0" w:color="auto"/>
            <w:bottom w:val="none" w:sz="0" w:space="0" w:color="auto"/>
            <w:right w:val="none" w:sz="0" w:space="0" w:color="auto"/>
          </w:divBdr>
          <w:divsChild>
            <w:div w:id="1711685337">
              <w:marLeft w:val="0"/>
              <w:marRight w:val="0"/>
              <w:marTop w:val="0"/>
              <w:marBottom w:val="0"/>
              <w:divBdr>
                <w:top w:val="none" w:sz="0" w:space="0" w:color="auto"/>
                <w:left w:val="none" w:sz="0" w:space="0" w:color="auto"/>
                <w:bottom w:val="none" w:sz="0" w:space="0" w:color="auto"/>
                <w:right w:val="none" w:sz="0" w:space="0" w:color="auto"/>
              </w:divBdr>
            </w:div>
          </w:divsChild>
        </w:div>
        <w:div w:id="410741108">
          <w:marLeft w:val="0"/>
          <w:marRight w:val="0"/>
          <w:marTop w:val="0"/>
          <w:marBottom w:val="0"/>
          <w:divBdr>
            <w:top w:val="none" w:sz="0" w:space="0" w:color="auto"/>
            <w:left w:val="none" w:sz="0" w:space="0" w:color="auto"/>
            <w:bottom w:val="none" w:sz="0" w:space="0" w:color="auto"/>
            <w:right w:val="none" w:sz="0" w:space="0" w:color="auto"/>
          </w:divBdr>
          <w:divsChild>
            <w:div w:id="2083867177">
              <w:marLeft w:val="0"/>
              <w:marRight w:val="0"/>
              <w:marTop w:val="0"/>
              <w:marBottom w:val="0"/>
              <w:divBdr>
                <w:top w:val="none" w:sz="0" w:space="0" w:color="auto"/>
                <w:left w:val="none" w:sz="0" w:space="0" w:color="auto"/>
                <w:bottom w:val="none" w:sz="0" w:space="0" w:color="auto"/>
                <w:right w:val="none" w:sz="0" w:space="0" w:color="auto"/>
              </w:divBdr>
            </w:div>
          </w:divsChild>
        </w:div>
        <w:div w:id="419955552">
          <w:marLeft w:val="0"/>
          <w:marRight w:val="0"/>
          <w:marTop w:val="0"/>
          <w:marBottom w:val="0"/>
          <w:divBdr>
            <w:top w:val="none" w:sz="0" w:space="0" w:color="auto"/>
            <w:left w:val="none" w:sz="0" w:space="0" w:color="auto"/>
            <w:bottom w:val="none" w:sz="0" w:space="0" w:color="auto"/>
            <w:right w:val="none" w:sz="0" w:space="0" w:color="auto"/>
          </w:divBdr>
          <w:divsChild>
            <w:div w:id="282461178">
              <w:marLeft w:val="0"/>
              <w:marRight w:val="0"/>
              <w:marTop w:val="0"/>
              <w:marBottom w:val="0"/>
              <w:divBdr>
                <w:top w:val="none" w:sz="0" w:space="0" w:color="auto"/>
                <w:left w:val="none" w:sz="0" w:space="0" w:color="auto"/>
                <w:bottom w:val="none" w:sz="0" w:space="0" w:color="auto"/>
                <w:right w:val="none" w:sz="0" w:space="0" w:color="auto"/>
              </w:divBdr>
            </w:div>
          </w:divsChild>
        </w:div>
        <w:div w:id="445198069">
          <w:marLeft w:val="0"/>
          <w:marRight w:val="0"/>
          <w:marTop w:val="0"/>
          <w:marBottom w:val="0"/>
          <w:divBdr>
            <w:top w:val="none" w:sz="0" w:space="0" w:color="auto"/>
            <w:left w:val="none" w:sz="0" w:space="0" w:color="auto"/>
            <w:bottom w:val="none" w:sz="0" w:space="0" w:color="auto"/>
            <w:right w:val="none" w:sz="0" w:space="0" w:color="auto"/>
          </w:divBdr>
          <w:divsChild>
            <w:div w:id="1837258031">
              <w:marLeft w:val="0"/>
              <w:marRight w:val="0"/>
              <w:marTop w:val="0"/>
              <w:marBottom w:val="0"/>
              <w:divBdr>
                <w:top w:val="none" w:sz="0" w:space="0" w:color="auto"/>
                <w:left w:val="none" w:sz="0" w:space="0" w:color="auto"/>
                <w:bottom w:val="none" w:sz="0" w:space="0" w:color="auto"/>
                <w:right w:val="none" w:sz="0" w:space="0" w:color="auto"/>
              </w:divBdr>
            </w:div>
          </w:divsChild>
        </w:div>
        <w:div w:id="468596399">
          <w:marLeft w:val="0"/>
          <w:marRight w:val="0"/>
          <w:marTop w:val="0"/>
          <w:marBottom w:val="0"/>
          <w:divBdr>
            <w:top w:val="none" w:sz="0" w:space="0" w:color="auto"/>
            <w:left w:val="none" w:sz="0" w:space="0" w:color="auto"/>
            <w:bottom w:val="none" w:sz="0" w:space="0" w:color="auto"/>
            <w:right w:val="none" w:sz="0" w:space="0" w:color="auto"/>
          </w:divBdr>
          <w:divsChild>
            <w:div w:id="929390920">
              <w:marLeft w:val="0"/>
              <w:marRight w:val="0"/>
              <w:marTop w:val="0"/>
              <w:marBottom w:val="0"/>
              <w:divBdr>
                <w:top w:val="none" w:sz="0" w:space="0" w:color="auto"/>
                <w:left w:val="none" w:sz="0" w:space="0" w:color="auto"/>
                <w:bottom w:val="none" w:sz="0" w:space="0" w:color="auto"/>
                <w:right w:val="none" w:sz="0" w:space="0" w:color="auto"/>
              </w:divBdr>
            </w:div>
          </w:divsChild>
        </w:div>
        <w:div w:id="514152878">
          <w:marLeft w:val="0"/>
          <w:marRight w:val="0"/>
          <w:marTop w:val="0"/>
          <w:marBottom w:val="0"/>
          <w:divBdr>
            <w:top w:val="none" w:sz="0" w:space="0" w:color="auto"/>
            <w:left w:val="none" w:sz="0" w:space="0" w:color="auto"/>
            <w:bottom w:val="none" w:sz="0" w:space="0" w:color="auto"/>
            <w:right w:val="none" w:sz="0" w:space="0" w:color="auto"/>
          </w:divBdr>
          <w:divsChild>
            <w:div w:id="176115028">
              <w:marLeft w:val="0"/>
              <w:marRight w:val="0"/>
              <w:marTop w:val="0"/>
              <w:marBottom w:val="0"/>
              <w:divBdr>
                <w:top w:val="none" w:sz="0" w:space="0" w:color="auto"/>
                <w:left w:val="none" w:sz="0" w:space="0" w:color="auto"/>
                <w:bottom w:val="none" w:sz="0" w:space="0" w:color="auto"/>
                <w:right w:val="none" w:sz="0" w:space="0" w:color="auto"/>
              </w:divBdr>
            </w:div>
          </w:divsChild>
        </w:div>
        <w:div w:id="530190718">
          <w:marLeft w:val="0"/>
          <w:marRight w:val="0"/>
          <w:marTop w:val="0"/>
          <w:marBottom w:val="0"/>
          <w:divBdr>
            <w:top w:val="none" w:sz="0" w:space="0" w:color="auto"/>
            <w:left w:val="none" w:sz="0" w:space="0" w:color="auto"/>
            <w:bottom w:val="none" w:sz="0" w:space="0" w:color="auto"/>
            <w:right w:val="none" w:sz="0" w:space="0" w:color="auto"/>
          </w:divBdr>
          <w:divsChild>
            <w:div w:id="1376152541">
              <w:marLeft w:val="0"/>
              <w:marRight w:val="0"/>
              <w:marTop w:val="0"/>
              <w:marBottom w:val="0"/>
              <w:divBdr>
                <w:top w:val="none" w:sz="0" w:space="0" w:color="auto"/>
                <w:left w:val="none" w:sz="0" w:space="0" w:color="auto"/>
                <w:bottom w:val="none" w:sz="0" w:space="0" w:color="auto"/>
                <w:right w:val="none" w:sz="0" w:space="0" w:color="auto"/>
              </w:divBdr>
            </w:div>
          </w:divsChild>
        </w:div>
        <w:div w:id="547375947">
          <w:marLeft w:val="0"/>
          <w:marRight w:val="0"/>
          <w:marTop w:val="0"/>
          <w:marBottom w:val="0"/>
          <w:divBdr>
            <w:top w:val="none" w:sz="0" w:space="0" w:color="auto"/>
            <w:left w:val="none" w:sz="0" w:space="0" w:color="auto"/>
            <w:bottom w:val="none" w:sz="0" w:space="0" w:color="auto"/>
            <w:right w:val="none" w:sz="0" w:space="0" w:color="auto"/>
          </w:divBdr>
          <w:divsChild>
            <w:div w:id="489905856">
              <w:marLeft w:val="0"/>
              <w:marRight w:val="0"/>
              <w:marTop w:val="0"/>
              <w:marBottom w:val="0"/>
              <w:divBdr>
                <w:top w:val="none" w:sz="0" w:space="0" w:color="auto"/>
                <w:left w:val="none" w:sz="0" w:space="0" w:color="auto"/>
                <w:bottom w:val="none" w:sz="0" w:space="0" w:color="auto"/>
                <w:right w:val="none" w:sz="0" w:space="0" w:color="auto"/>
              </w:divBdr>
            </w:div>
          </w:divsChild>
        </w:div>
        <w:div w:id="648555170">
          <w:marLeft w:val="0"/>
          <w:marRight w:val="0"/>
          <w:marTop w:val="0"/>
          <w:marBottom w:val="0"/>
          <w:divBdr>
            <w:top w:val="none" w:sz="0" w:space="0" w:color="auto"/>
            <w:left w:val="none" w:sz="0" w:space="0" w:color="auto"/>
            <w:bottom w:val="none" w:sz="0" w:space="0" w:color="auto"/>
            <w:right w:val="none" w:sz="0" w:space="0" w:color="auto"/>
          </w:divBdr>
          <w:divsChild>
            <w:div w:id="193814409">
              <w:marLeft w:val="0"/>
              <w:marRight w:val="0"/>
              <w:marTop w:val="0"/>
              <w:marBottom w:val="0"/>
              <w:divBdr>
                <w:top w:val="none" w:sz="0" w:space="0" w:color="auto"/>
                <w:left w:val="none" w:sz="0" w:space="0" w:color="auto"/>
                <w:bottom w:val="none" w:sz="0" w:space="0" w:color="auto"/>
                <w:right w:val="none" w:sz="0" w:space="0" w:color="auto"/>
              </w:divBdr>
            </w:div>
          </w:divsChild>
        </w:div>
        <w:div w:id="698093410">
          <w:marLeft w:val="0"/>
          <w:marRight w:val="0"/>
          <w:marTop w:val="0"/>
          <w:marBottom w:val="0"/>
          <w:divBdr>
            <w:top w:val="none" w:sz="0" w:space="0" w:color="auto"/>
            <w:left w:val="none" w:sz="0" w:space="0" w:color="auto"/>
            <w:bottom w:val="none" w:sz="0" w:space="0" w:color="auto"/>
            <w:right w:val="none" w:sz="0" w:space="0" w:color="auto"/>
          </w:divBdr>
          <w:divsChild>
            <w:div w:id="498617277">
              <w:marLeft w:val="0"/>
              <w:marRight w:val="0"/>
              <w:marTop w:val="0"/>
              <w:marBottom w:val="0"/>
              <w:divBdr>
                <w:top w:val="none" w:sz="0" w:space="0" w:color="auto"/>
                <w:left w:val="none" w:sz="0" w:space="0" w:color="auto"/>
                <w:bottom w:val="none" w:sz="0" w:space="0" w:color="auto"/>
                <w:right w:val="none" w:sz="0" w:space="0" w:color="auto"/>
              </w:divBdr>
            </w:div>
            <w:div w:id="1590506937">
              <w:marLeft w:val="0"/>
              <w:marRight w:val="0"/>
              <w:marTop w:val="0"/>
              <w:marBottom w:val="0"/>
              <w:divBdr>
                <w:top w:val="none" w:sz="0" w:space="0" w:color="auto"/>
                <w:left w:val="none" w:sz="0" w:space="0" w:color="auto"/>
                <w:bottom w:val="none" w:sz="0" w:space="0" w:color="auto"/>
                <w:right w:val="none" w:sz="0" w:space="0" w:color="auto"/>
              </w:divBdr>
            </w:div>
          </w:divsChild>
        </w:div>
        <w:div w:id="718550888">
          <w:marLeft w:val="0"/>
          <w:marRight w:val="0"/>
          <w:marTop w:val="0"/>
          <w:marBottom w:val="0"/>
          <w:divBdr>
            <w:top w:val="none" w:sz="0" w:space="0" w:color="auto"/>
            <w:left w:val="none" w:sz="0" w:space="0" w:color="auto"/>
            <w:bottom w:val="none" w:sz="0" w:space="0" w:color="auto"/>
            <w:right w:val="none" w:sz="0" w:space="0" w:color="auto"/>
          </w:divBdr>
          <w:divsChild>
            <w:div w:id="189033414">
              <w:marLeft w:val="0"/>
              <w:marRight w:val="0"/>
              <w:marTop w:val="0"/>
              <w:marBottom w:val="0"/>
              <w:divBdr>
                <w:top w:val="none" w:sz="0" w:space="0" w:color="auto"/>
                <w:left w:val="none" w:sz="0" w:space="0" w:color="auto"/>
                <w:bottom w:val="none" w:sz="0" w:space="0" w:color="auto"/>
                <w:right w:val="none" w:sz="0" w:space="0" w:color="auto"/>
              </w:divBdr>
            </w:div>
          </w:divsChild>
        </w:div>
        <w:div w:id="740447184">
          <w:marLeft w:val="0"/>
          <w:marRight w:val="0"/>
          <w:marTop w:val="0"/>
          <w:marBottom w:val="0"/>
          <w:divBdr>
            <w:top w:val="none" w:sz="0" w:space="0" w:color="auto"/>
            <w:left w:val="none" w:sz="0" w:space="0" w:color="auto"/>
            <w:bottom w:val="none" w:sz="0" w:space="0" w:color="auto"/>
            <w:right w:val="none" w:sz="0" w:space="0" w:color="auto"/>
          </w:divBdr>
          <w:divsChild>
            <w:div w:id="140000905">
              <w:marLeft w:val="0"/>
              <w:marRight w:val="0"/>
              <w:marTop w:val="0"/>
              <w:marBottom w:val="0"/>
              <w:divBdr>
                <w:top w:val="none" w:sz="0" w:space="0" w:color="auto"/>
                <w:left w:val="none" w:sz="0" w:space="0" w:color="auto"/>
                <w:bottom w:val="none" w:sz="0" w:space="0" w:color="auto"/>
                <w:right w:val="none" w:sz="0" w:space="0" w:color="auto"/>
              </w:divBdr>
            </w:div>
            <w:div w:id="494883597">
              <w:marLeft w:val="0"/>
              <w:marRight w:val="0"/>
              <w:marTop w:val="0"/>
              <w:marBottom w:val="0"/>
              <w:divBdr>
                <w:top w:val="none" w:sz="0" w:space="0" w:color="auto"/>
                <w:left w:val="none" w:sz="0" w:space="0" w:color="auto"/>
                <w:bottom w:val="none" w:sz="0" w:space="0" w:color="auto"/>
                <w:right w:val="none" w:sz="0" w:space="0" w:color="auto"/>
              </w:divBdr>
            </w:div>
          </w:divsChild>
        </w:div>
        <w:div w:id="789320047">
          <w:marLeft w:val="0"/>
          <w:marRight w:val="0"/>
          <w:marTop w:val="0"/>
          <w:marBottom w:val="0"/>
          <w:divBdr>
            <w:top w:val="none" w:sz="0" w:space="0" w:color="auto"/>
            <w:left w:val="none" w:sz="0" w:space="0" w:color="auto"/>
            <w:bottom w:val="none" w:sz="0" w:space="0" w:color="auto"/>
            <w:right w:val="none" w:sz="0" w:space="0" w:color="auto"/>
          </w:divBdr>
          <w:divsChild>
            <w:div w:id="2021925725">
              <w:marLeft w:val="0"/>
              <w:marRight w:val="0"/>
              <w:marTop w:val="0"/>
              <w:marBottom w:val="0"/>
              <w:divBdr>
                <w:top w:val="none" w:sz="0" w:space="0" w:color="auto"/>
                <w:left w:val="none" w:sz="0" w:space="0" w:color="auto"/>
                <w:bottom w:val="none" w:sz="0" w:space="0" w:color="auto"/>
                <w:right w:val="none" w:sz="0" w:space="0" w:color="auto"/>
              </w:divBdr>
            </w:div>
          </w:divsChild>
        </w:div>
        <w:div w:id="800658624">
          <w:marLeft w:val="0"/>
          <w:marRight w:val="0"/>
          <w:marTop w:val="0"/>
          <w:marBottom w:val="0"/>
          <w:divBdr>
            <w:top w:val="none" w:sz="0" w:space="0" w:color="auto"/>
            <w:left w:val="none" w:sz="0" w:space="0" w:color="auto"/>
            <w:bottom w:val="none" w:sz="0" w:space="0" w:color="auto"/>
            <w:right w:val="none" w:sz="0" w:space="0" w:color="auto"/>
          </w:divBdr>
          <w:divsChild>
            <w:div w:id="136647913">
              <w:marLeft w:val="0"/>
              <w:marRight w:val="0"/>
              <w:marTop w:val="0"/>
              <w:marBottom w:val="0"/>
              <w:divBdr>
                <w:top w:val="none" w:sz="0" w:space="0" w:color="auto"/>
                <w:left w:val="none" w:sz="0" w:space="0" w:color="auto"/>
                <w:bottom w:val="none" w:sz="0" w:space="0" w:color="auto"/>
                <w:right w:val="none" w:sz="0" w:space="0" w:color="auto"/>
              </w:divBdr>
            </w:div>
          </w:divsChild>
        </w:div>
        <w:div w:id="875578152">
          <w:marLeft w:val="0"/>
          <w:marRight w:val="0"/>
          <w:marTop w:val="0"/>
          <w:marBottom w:val="0"/>
          <w:divBdr>
            <w:top w:val="none" w:sz="0" w:space="0" w:color="auto"/>
            <w:left w:val="none" w:sz="0" w:space="0" w:color="auto"/>
            <w:bottom w:val="none" w:sz="0" w:space="0" w:color="auto"/>
            <w:right w:val="none" w:sz="0" w:space="0" w:color="auto"/>
          </w:divBdr>
          <w:divsChild>
            <w:div w:id="601766867">
              <w:marLeft w:val="0"/>
              <w:marRight w:val="0"/>
              <w:marTop w:val="0"/>
              <w:marBottom w:val="0"/>
              <w:divBdr>
                <w:top w:val="none" w:sz="0" w:space="0" w:color="auto"/>
                <w:left w:val="none" w:sz="0" w:space="0" w:color="auto"/>
                <w:bottom w:val="none" w:sz="0" w:space="0" w:color="auto"/>
                <w:right w:val="none" w:sz="0" w:space="0" w:color="auto"/>
              </w:divBdr>
            </w:div>
          </w:divsChild>
        </w:div>
        <w:div w:id="888692151">
          <w:marLeft w:val="0"/>
          <w:marRight w:val="0"/>
          <w:marTop w:val="0"/>
          <w:marBottom w:val="0"/>
          <w:divBdr>
            <w:top w:val="none" w:sz="0" w:space="0" w:color="auto"/>
            <w:left w:val="none" w:sz="0" w:space="0" w:color="auto"/>
            <w:bottom w:val="none" w:sz="0" w:space="0" w:color="auto"/>
            <w:right w:val="none" w:sz="0" w:space="0" w:color="auto"/>
          </w:divBdr>
          <w:divsChild>
            <w:div w:id="321277385">
              <w:marLeft w:val="0"/>
              <w:marRight w:val="0"/>
              <w:marTop w:val="0"/>
              <w:marBottom w:val="0"/>
              <w:divBdr>
                <w:top w:val="none" w:sz="0" w:space="0" w:color="auto"/>
                <w:left w:val="none" w:sz="0" w:space="0" w:color="auto"/>
                <w:bottom w:val="none" w:sz="0" w:space="0" w:color="auto"/>
                <w:right w:val="none" w:sz="0" w:space="0" w:color="auto"/>
              </w:divBdr>
            </w:div>
          </w:divsChild>
        </w:div>
        <w:div w:id="934023723">
          <w:marLeft w:val="0"/>
          <w:marRight w:val="0"/>
          <w:marTop w:val="0"/>
          <w:marBottom w:val="0"/>
          <w:divBdr>
            <w:top w:val="none" w:sz="0" w:space="0" w:color="auto"/>
            <w:left w:val="none" w:sz="0" w:space="0" w:color="auto"/>
            <w:bottom w:val="none" w:sz="0" w:space="0" w:color="auto"/>
            <w:right w:val="none" w:sz="0" w:space="0" w:color="auto"/>
          </w:divBdr>
          <w:divsChild>
            <w:div w:id="431242832">
              <w:marLeft w:val="0"/>
              <w:marRight w:val="0"/>
              <w:marTop w:val="0"/>
              <w:marBottom w:val="0"/>
              <w:divBdr>
                <w:top w:val="none" w:sz="0" w:space="0" w:color="auto"/>
                <w:left w:val="none" w:sz="0" w:space="0" w:color="auto"/>
                <w:bottom w:val="none" w:sz="0" w:space="0" w:color="auto"/>
                <w:right w:val="none" w:sz="0" w:space="0" w:color="auto"/>
              </w:divBdr>
            </w:div>
            <w:div w:id="640843629">
              <w:marLeft w:val="0"/>
              <w:marRight w:val="0"/>
              <w:marTop w:val="0"/>
              <w:marBottom w:val="0"/>
              <w:divBdr>
                <w:top w:val="none" w:sz="0" w:space="0" w:color="auto"/>
                <w:left w:val="none" w:sz="0" w:space="0" w:color="auto"/>
                <w:bottom w:val="none" w:sz="0" w:space="0" w:color="auto"/>
                <w:right w:val="none" w:sz="0" w:space="0" w:color="auto"/>
              </w:divBdr>
            </w:div>
          </w:divsChild>
        </w:div>
        <w:div w:id="966353425">
          <w:marLeft w:val="0"/>
          <w:marRight w:val="0"/>
          <w:marTop w:val="0"/>
          <w:marBottom w:val="0"/>
          <w:divBdr>
            <w:top w:val="none" w:sz="0" w:space="0" w:color="auto"/>
            <w:left w:val="none" w:sz="0" w:space="0" w:color="auto"/>
            <w:bottom w:val="none" w:sz="0" w:space="0" w:color="auto"/>
            <w:right w:val="none" w:sz="0" w:space="0" w:color="auto"/>
          </w:divBdr>
          <w:divsChild>
            <w:div w:id="2091078233">
              <w:marLeft w:val="0"/>
              <w:marRight w:val="0"/>
              <w:marTop w:val="0"/>
              <w:marBottom w:val="0"/>
              <w:divBdr>
                <w:top w:val="none" w:sz="0" w:space="0" w:color="auto"/>
                <w:left w:val="none" w:sz="0" w:space="0" w:color="auto"/>
                <w:bottom w:val="none" w:sz="0" w:space="0" w:color="auto"/>
                <w:right w:val="none" w:sz="0" w:space="0" w:color="auto"/>
              </w:divBdr>
            </w:div>
          </w:divsChild>
        </w:div>
        <w:div w:id="1053427488">
          <w:marLeft w:val="0"/>
          <w:marRight w:val="0"/>
          <w:marTop w:val="0"/>
          <w:marBottom w:val="0"/>
          <w:divBdr>
            <w:top w:val="none" w:sz="0" w:space="0" w:color="auto"/>
            <w:left w:val="none" w:sz="0" w:space="0" w:color="auto"/>
            <w:bottom w:val="none" w:sz="0" w:space="0" w:color="auto"/>
            <w:right w:val="none" w:sz="0" w:space="0" w:color="auto"/>
          </w:divBdr>
          <w:divsChild>
            <w:div w:id="2108384271">
              <w:marLeft w:val="0"/>
              <w:marRight w:val="0"/>
              <w:marTop w:val="0"/>
              <w:marBottom w:val="0"/>
              <w:divBdr>
                <w:top w:val="none" w:sz="0" w:space="0" w:color="auto"/>
                <w:left w:val="none" w:sz="0" w:space="0" w:color="auto"/>
                <w:bottom w:val="none" w:sz="0" w:space="0" w:color="auto"/>
                <w:right w:val="none" w:sz="0" w:space="0" w:color="auto"/>
              </w:divBdr>
            </w:div>
          </w:divsChild>
        </w:div>
        <w:div w:id="1102455068">
          <w:marLeft w:val="0"/>
          <w:marRight w:val="0"/>
          <w:marTop w:val="0"/>
          <w:marBottom w:val="0"/>
          <w:divBdr>
            <w:top w:val="none" w:sz="0" w:space="0" w:color="auto"/>
            <w:left w:val="none" w:sz="0" w:space="0" w:color="auto"/>
            <w:bottom w:val="none" w:sz="0" w:space="0" w:color="auto"/>
            <w:right w:val="none" w:sz="0" w:space="0" w:color="auto"/>
          </w:divBdr>
          <w:divsChild>
            <w:div w:id="682898944">
              <w:marLeft w:val="0"/>
              <w:marRight w:val="0"/>
              <w:marTop w:val="0"/>
              <w:marBottom w:val="0"/>
              <w:divBdr>
                <w:top w:val="none" w:sz="0" w:space="0" w:color="auto"/>
                <w:left w:val="none" w:sz="0" w:space="0" w:color="auto"/>
                <w:bottom w:val="none" w:sz="0" w:space="0" w:color="auto"/>
                <w:right w:val="none" w:sz="0" w:space="0" w:color="auto"/>
              </w:divBdr>
            </w:div>
          </w:divsChild>
        </w:div>
        <w:div w:id="1172452468">
          <w:marLeft w:val="0"/>
          <w:marRight w:val="0"/>
          <w:marTop w:val="0"/>
          <w:marBottom w:val="0"/>
          <w:divBdr>
            <w:top w:val="none" w:sz="0" w:space="0" w:color="auto"/>
            <w:left w:val="none" w:sz="0" w:space="0" w:color="auto"/>
            <w:bottom w:val="none" w:sz="0" w:space="0" w:color="auto"/>
            <w:right w:val="none" w:sz="0" w:space="0" w:color="auto"/>
          </w:divBdr>
          <w:divsChild>
            <w:div w:id="2031449815">
              <w:marLeft w:val="0"/>
              <w:marRight w:val="0"/>
              <w:marTop w:val="0"/>
              <w:marBottom w:val="0"/>
              <w:divBdr>
                <w:top w:val="none" w:sz="0" w:space="0" w:color="auto"/>
                <w:left w:val="none" w:sz="0" w:space="0" w:color="auto"/>
                <w:bottom w:val="none" w:sz="0" w:space="0" w:color="auto"/>
                <w:right w:val="none" w:sz="0" w:space="0" w:color="auto"/>
              </w:divBdr>
            </w:div>
          </w:divsChild>
        </w:div>
        <w:div w:id="1330795959">
          <w:marLeft w:val="0"/>
          <w:marRight w:val="0"/>
          <w:marTop w:val="0"/>
          <w:marBottom w:val="0"/>
          <w:divBdr>
            <w:top w:val="none" w:sz="0" w:space="0" w:color="auto"/>
            <w:left w:val="none" w:sz="0" w:space="0" w:color="auto"/>
            <w:bottom w:val="none" w:sz="0" w:space="0" w:color="auto"/>
            <w:right w:val="none" w:sz="0" w:space="0" w:color="auto"/>
          </w:divBdr>
          <w:divsChild>
            <w:div w:id="940137891">
              <w:marLeft w:val="0"/>
              <w:marRight w:val="0"/>
              <w:marTop w:val="0"/>
              <w:marBottom w:val="0"/>
              <w:divBdr>
                <w:top w:val="none" w:sz="0" w:space="0" w:color="auto"/>
                <w:left w:val="none" w:sz="0" w:space="0" w:color="auto"/>
                <w:bottom w:val="none" w:sz="0" w:space="0" w:color="auto"/>
                <w:right w:val="none" w:sz="0" w:space="0" w:color="auto"/>
              </w:divBdr>
            </w:div>
          </w:divsChild>
        </w:div>
        <w:div w:id="1393693618">
          <w:marLeft w:val="0"/>
          <w:marRight w:val="0"/>
          <w:marTop w:val="0"/>
          <w:marBottom w:val="0"/>
          <w:divBdr>
            <w:top w:val="none" w:sz="0" w:space="0" w:color="auto"/>
            <w:left w:val="none" w:sz="0" w:space="0" w:color="auto"/>
            <w:bottom w:val="none" w:sz="0" w:space="0" w:color="auto"/>
            <w:right w:val="none" w:sz="0" w:space="0" w:color="auto"/>
          </w:divBdr>
          <w:divsChild>
            <w:div w:id="1520461817">
              <w:marLeft w:val="0"/>
              <w:marRight w:val="0"/>
              <w:marTop w:val="0"/>
              <w:marBottom w:val="0"/>
              <w:divBdr>
                <w:top w:val="none" w:sz="0" w:space="0" w:color="auto"/>
                <w:left w:val="none" w:sz="0" w:space="0" w:color="auto"/>
                <w:bottom w:val="none" w:sz="0" w:space="0" w:color="auto"/>
                <w:right w:val="none" w:sz="0" w:space="0" w:color="auto"/>
              </w:divBdr>
            </w:div>
          </w:divsChild>
        </w:div>
        <w:div w:id="1409571923">
          <w:marLeft w:val="0"/>
          <w:marRight w:val="0"/>
          <w:marTop w:val="0"/>
          <w:marBottom w:val="0"/>
          <w:divBdr>
            <w:top w:val="none" w:sz="0" w:space="0" w:color="auto"/>
            <w:left w:val="none" w:sz="0" w:space="0" w:color="auto"/>
            <w:bottom w:val="none" w:sz="0" w:space="0" w:color="auto"/>
            <w:right w:val="none" w:sz="0" w:space="0" w:color="auto"/>
          </w:divBdr>
          <w:divsChild>
            <w:div w:id="1139885086">
              <w:marLeft w:val="0"/>
              <w:marRight w:val="0"/>
              <w:marTop w:val="0"/>
              <w:marBottom w:val="0"/>
              <w:divBdr>
                <w:top w:val="none" w:sz="0" w:space="0" w:color="auto"/>
                <w:left w:val="none" w:sz="0" w:space="0" w:color="auto"/>
                <w:bottom w:val="none" w:sz="0" w:space="0" w:color="auto"/>
                <w:right w:val="none" w:sz="0" w:space="0" w:color="auto"/>
              </w:divBdr>
            </w:div>
          </w:divsChild>
        </w:div>
        <w:div w:id="1434323551">
          <w:marLeft w:val="0"/>
          <w:marRight w:val="0"/>
          <w:marTop w:val="0"/>
          <w:marBottom w:val="0"/>
          <w:divBdr>
            <w:top w:val="none" w:sz="0" w:space="0" w:color="auto"/>
            <w:left w:val="none" w:sz="0" w:space="0" w:color="auto"/>
            <w:bottom w:val="none" w:sz="0" w:space="0" w:color="auto"/>
            <w:right w:val="none" w:sz="0" w:space="0" w:color="auto"/>
          </w:divBdr>
          <w:divsChild>
            <w:div w:id="858157977">
              <w:marLeft w:val="0"/>
              <w:marRight w:val="0"/>
              <w:marTop w:val="0"/>
              <w:marBottom w:val="0"/>
              <w:divBdr>
                <w:top w:val="none" w:sz="0" w:space="0" w:color="auto"/>
                <w:left w:val="none" w:sz="0" w:space="0" w:color="auto"/>
                <w:bottom w:val="none" w:sz="0" w:space="0" w:color="auto"/>
                <w:right w:val="none" w:sz="0" w:space="0" w:color="auto"/>
              </w:divBdr>
            </w:div>
          </w:divsChild>
        </w:div>
        <w:div w:id="1441299899">
          <w:marLeft w:val="0"/>
          <w:marRight w:val="0"/>
          <w:marTop w:val="0"/>
          <w:marBottom w:val="0"/>
          <w:divBdr>
            <w:top w:val="none" w:sz="0" w:space="0" w:color="auto"/>
            <w:left w:val="none" w:sz="0" w:space="0" w:color="auto"/>
            <w:bottom w:val="none" w:sz="0" w:space="0" w:color="auto"/>
            <w:right w:val="none" w:sz="0" w:space="0" w:color="auto"/>
          </w:divBdr>
          <w:divsChild>
            <w:div w:id="1949923182">
              <w:marLeft w:val="0"/>
              <w:marRight w:val="0"/>
              <w:marTop w:val="0"/>
              <w:marBottom w:val="0"/>
              <w:divBdr>
                <w:top w:val="none" w:sz="0" w:space="0" w:color="auto"/>
                <w:left w:val="none" w:sz="0" w:space="0" w:color="auto"/>
                <w:bottom w:val="none" w:sz="0" w:space="0" w:color="auto"/>
                <w:right w:val="none" w:sz="0" w:space="0" w:color="auto"/>
              </w:divBdr>
            </w:div>
          </w:divsChild>
        </w:div>
        <w:div w:id="1487894929">
          <w:marLeft w:val="0"/>
          <w:marRight w:val="0"/>
          <w:marTop w:val="0"/>
          <w:marBottom w:val="0"/>
          <w:divBdr>
            <w:top w:val="none" w:sz="0" w:space="0" w:color="auto"/>
            <w:left w:val="none" w:sz="0" w:space="0" w:color="auto"/>
            <w:bottom w:val="none" w:sz="0" w:space="0" w:color="auto"/>
            <w:right w:val="none" w:sz="0" w:space="0" w:color="auto"/>
          </w:divBdr>
          <w:divsChild>
            <w:div w:id="1405223648">
              <w:marLeft w:val="0"/>
              <w:marRight w:val="0"/>
              <w:marTop w:val="0"/>
              <w:marBottom w:val="0"/>
              <w:divBdr>
                <w:top w:val="none" w:sz="0" w:space="0" w:color="auto"/>
                <w:left w:val="none" w:sz="0" w:space="0" w:color="auto"/>
                <w:bottom w:val="none" w:sz="0" w:space="0" w:color="auto"/>
                <w:right w:val="none" w:sz="0" w:space="0" w:color="auto"/>
              </w:divBdr>
            </w:div>
          </w:divsChild>
        </w:div>
        <w:div w:id="1504710770">
          <w:marLeft w:val="0"/>
          <w:marRight w:val="0"/>
          <w:marTop w:val="0"/>
          <w:marBottom w:val="0"/>
          <w:divBdr>
            <w:top w:val="none" w:sz="0" w:space="0" w:color="auto"/>
            <w:left w:val="none" w:sz="0" w:space="0" w:color="auto"/>
            <w:bottom w:val="none" w:sz="0" w:space="0" w:color="auto"/>
            <w:right w:val="none" w:sz="0" w:space="0" w:color="auto"/>
          </w:divBdr>
          <w:divsChild>
            <w:div w:id="1419059431">
              <w:marLeft w:val="0"/>
              <w:marRight w:val="0"/>
              <w:marTop w:val="0"/>
              <w:marBottom w:val="0"/>
              <w:divBdr>
                <w:top w:val="none" w:sz="0" w:space="0" w:color="auto"/>
                <w:left w:val="none" w:sz="0" w:space="0" w:color="auto"/>
                <w:bottom w:val="none" w:sz="0" w:space="0" w:color="auto"/>
                <w:right w:val="none" w:sz="0" w:space="0" w:color="auto"/>
              </w:divBdr>
            </w:div>
          </w:divsChild>
        </w:div>
        <w:div w:id="1527906975">
          <w:marLeft w:val="0"/>
          <w:marRight w:val="0"/>
          <w:marTop w:val="0"/>
          <w:marBottom w:val="0"/>
          <w:divBdr>
            <w:top w:val="none" w:sz="0" w:space="0" w:color="auto"/>
            <w:left w:val="none" w:sz="0" w:space="0" w:color="auto"/>
            <w:bottom w:val="none" w:sz="0" w:space="0" w:color="auto"/>
            <w:right w:val="none" w:sz="0" w:space="0" w:color="auto"/>
          </w:divBdr>
          <w:divsChild>
            <w:div w:id="1802845627">
              <w:marLeft w:val="0"/>
              <w:marRight w:val="0"/>
              <w:marTop w:val="0"/>
              <w:marBottom w:val="0"/>
              <w:divBdr>
                <w:top w:val="none" w:sz="0" w:space="0" w:color="auto"/>
                <w:left w:val="none" w:sz="0" w:space="0" w:color="auto"/>
                <w:bottom w:val="none" w:sz="0" w:space="0" w:color="auto"/>
                <w:right w:val="none" w:sz="0" w:space="0" w:color="auto"/>
              </w:divBdr>
            </w:div>
          </w:divsChild>
        </w:div>
        <w:div w:id="1543709479">
          <w:marLeft w:val="0"/>
          <w:marRight w:val="0"/>
          <w:marTop w:val="0"/>
          <w:marBottom w:val="0"/>
          <w:divBdr>
            <w:top w:val="none" w:sz="0" w:space="0" w:color="auto"/>
            <w:left w:val="none" w:sz="0" w:space="0" w:color="auto"/>
            <w:bottom w:val="none" w:sz="0" w:space="0" w:color="auto"/>
            <w:right w:val="none" w:sz="0" w:space="0" w:color="auto"/>
          </w:divBdr>
          <w:divsChild>
            <w:div w:id="268466026">
              <w:marLeft w:val="0"/>
              <w:marRight w:val="0"/>
              <w:marTop w:val="0"/>
              <w:marBottom w:val="0"/>
              <w:divBdr>
                <w:top w:val="none" w:sz="0" w:space="0" w:color="auto"/>
                <w:left w:val="none" w:sz="0" w:space="0" w:color="auto"/>
                <w:bottom w:val="none" w:sz="0" w:space="0" w:color="auto"/>
                <w:right w:val="none" w:sz="0" w:space="0" w:color="auto"/>
              </w:divBdr>
            </w:div>
            <w:div w:id="726799558">
              <w:marLeft w:val="0"/>
              <w:marRight w:val="0"/>
              <w:marTop w:val="0"/>
              <w:marBottom w:val="0"/>
              <w:divBdr>
                <w:top w:val="none" w:sz="0" w:space="0" w:color="auto"/>
                <w:left w:val="none" w:sz="0" w:space="0" w:color="auto"/>
                <w:bottom w:val="none" w:sz="0" w:space="0" w:color="auto"/>
                <w:right w:val="none" w:sz="0" w:space="0" w:color="auto"/>
              </w:divBdr>
            </w:div>
            <w:div w:id="1207986713">
              <w:marLeft w:val="0"/>
              <w:marRight w:val="0"/>
              <w:marTop w:val="0"/>
              <w:marBottom w:val="0"/>
              <w:divBdr>
                <w:top w:val="none" w:sz="0" w:space="0" w:color="auto"/>
                <w:left w:val="none" w:sz="0" w:space="0" w:color="auto"/>
                <w:bottom w:val="none" w:sz="0" w:space="0" w:color="auto"/>
                <w:right w:val="none" w:sz="0" w:space="0" w:color="auto"/>
              </w:divBdr>
            </w:div>
          </w:divsChild>
        </w:div>
        <w:div w:id="1589270514">
          <w:marLeft w:val="0"/>
          <w:marRight w:val="0"/>
          <w:marTop w:val="0"/>
          <w:marBottom w:val="0"/>
          <w:divBdr>
            <w:top w:val="none" w:sz="0" w:space="0" w:color="auto"/>
            <w:left w:val="none" w:sz="0" w:space="0" w:color="auto"/>
            <w:bottom w:val="none" w:sz="0" w:space="0" w:color="auto"/>
            <w:right w:val="none" w:sz="0" w:space="0" w:color="auto"/>
          </w:divBdr>
          <w:divsChild>
            <w:div w:id="1713841017">
              <w:marLeft w:val="0"/>
              <w:marRight w:val="0"/>
              <w:marTop w:val="0"/>
              <w:marBottom w:val="0"/>
              <w:divBdr>
                <w:top w:val="none" w:sz="0" w:space="0" w:color="auto"/>
                <w:left w:val="none" w:sz="0" w:space="0" w:color="auto"/>
                <w:bottom w:val="none" w:sz="0" w:space="0" w:color="auto"/>
                <w:right w:val="none" w:sz="0" w:space="0" w:color="auto"/>
              </w:divBdr>
            </w:div>
            <w:div w:id="1759403848">
              <w:marLeft w:val="0"/>
              <w:marRight w:val="0"/>
              <w:marTop w:val="0"/>
              <w:marBottom w:val="0"/>
              <w:divBdr>
                <w:top w:val="none" w:sz="0" w:space="0" w:color="auto"/>
                <w:left w:val="none" w:sz="0" w:space="0" w:color="auto"/>
                <w:bottom w:val="none" w:sz="0" w:space="0" w:color="auto"/>
                <w:right w:val="none" w:sz="0" w:space="0" w:color="auto"/>
              </w:divBdr>
            </w:div>
          </w:divsChild>
        </w:div>
        <w:div w:id="1627084198">
          <w:marLeft w:val="0"/>
          <w:marRight w:val="0"/>
          <w:marTop w:val="0"/>
          <w:marBottom w:val="0"/>
          <w:divBdr>
            <w:top w:val="none" w:sz="0" w:space="0" w:color="auto"/>
            <w:left w:val="none" w:sz="0" w:space="0" w:color="auto"/>
            <w:bottom w:val="none" w:sz="0" w:space="0" w:color="auto"/>
            <w:right w:val="none" w:sz="0" w:space="0" w:color="auto"/>
          </w:divBdr>
          <w:divsChild>
            <w:div w:id="278076761">
              <w:marLeft w:val="0"/>
              <w:marRight w:val="0"/>
              <w:marTop w:val="0"/>
              <w:marBottom w:val="0"/>
              <w:divBdr>
                <w:top w:val="none" w:sz="0" w:space="0" w:color="auto"/>
                <w:left w:val="none" w:sz="0" w:space="0" w:color="auto"/>
                <w:bottom w:val="none" w:sz="0" w:space="0" w:color="auto"/>
                <w:right w:val="none" w:sz="0" w:space="0" w:color="auto"/>
              </w:divBdr>
            </w:div>
          </w:divsChild>
        </w:div>
        <w:div w:id="1641574004">
          <w:marLeft w:val="0"/>
          <w:marRight w:val="0"/>
          <w:marTop w:val="0"/>
          <w:marBottom w:val="0"/>
          <w:divBdr>
            <w:top w:val="none" w:sz="0" w:space="0" w:color="auto"/>
            <w:left w:val="none" w:sz="0" w:space="0" w:color="auto"/>
            <w:bottom w:val="none" w:sz="0" w:space="0" w:color="auto"/>
            <w:right w:val="none" w:sz="0" w:space="0" w:color="auto"/>
          </w:divBdr>
          <w:divsChild>
            <w:div w:id="323624851">
              <w:marLeft w:val="0"/>
              <w:marRight w:val="0"/>
              <w:marTop w:val="0"/>
              <w:marBottom w:val="0"/>
              <w:divBdr>
                <w:top w:val="none" w:sz="0" w:space="0" w:color="auto"/>
                <w:left w:val="none" w:sz="0" w:space="0" w:color="auto"/>
                <w:bottom w:val="none" w:sz="0" w:space="0" w:color="auto"/>
                <w:right w:val="none" w:sz="0" w:space="0" w:color="auto"/>
              </w:divBdr>
            </w:div>
            <w:div w:id="1182747680">
              <w:marLeft w:val="0"/>
              <w:marRight w:val="0"/>
              <w:marTop w:val="0"/>
              <w:marBottom w:val="0"/>
              <w:divBdr>
                <w:top w:val="none" w:sz="0" w:space="0" w:color="auto"/>
                <w:left w:val="none" w:sz="0" w:space="0" w:color="auto"/>
                <w:bottom w:val="none" w:sz="0" w:space="0" w:color="auto"/>
                <w:right w:val="none" w:sz="0" w:space="0" w:color="auto"/>
              </w:divBdr>
            </w:div>
          </w:divsChild>
        </w:div>
        <w:div w:id="1668168345">
          <w:marLeft w:val="0"/>
          <w:marRight w:val="0"/>
          <w:marTop w:val="0"/>
          <w:marBottom w:val="0"/>
          <w:divBdr>
            <w:top w:val="none" w:sz="0" w:space="0" w:color="auto"/>
            <w:left w:val="none" w:sz="0" w:space="0" w:color="auto"/>
            <w:bottom w:val="none" w:sz="0" w:space="0" w:color="auto"/>
            <w:right w:val="none" w:sz="0" w:space="0" w:color="auto"/>
          </w:divBdr>
          <w:divsChild>
            <w:div w:id="1878472954">
              <w:marLeft w:val="0"/>
              <w:marRight w:val="0"/>
              <w:marTop w:val="0"/>
              <w:marBottom w:val="0"/>
              <w:divBdr>
                <w:top w:val="none" w:sz="0" w:space="0" w:color="auto"/>
                <w:left w:val="none" w:sz="0" w:space="0" w:color="auto"/>
                <w:bottom w:val="none" w:sz="0" w:space="0" w:color="auto"/>
                <w:right w:val="none" w:sz="0" w:space="0" w:color="auto"/>
              </w:divBdr>
            </w:div>
          </w:divsChild>
        </w:div>
        <w:div w:id="1702319723">
          <w:marLeft w:val="0"/>
          <w:marRight w:val="0"/>
          <w:marTop w:val="0"/>
          <w:marBottom w:val="0"/>
          <w:divBdr>
            <w:top w:val="none" w:sz="0" w:space="0" w:color="auto"/>
            <w:left w:val="none" w:sz="0" w:space="0" w:color="auto"/>
            <w:bottom w:val="none" w:sz="0" w:space="0" w:color="auto"/>
            <w:right w:val="none" w:sz="0" w:space="0" w:color="auto"/>
          </w:divBdr>
          <w:divsChild>
            <w:div w:id="1939093277">
              <w:marLeft w:val="0"/>
              <w:marRight w:val="0"/>
              <w:marTop w:val="0"/>
              <w:marBottom w:val="0"/>
              <w:divBdr>
                <w:top w:val="none" w:sz="0" w:space="0" w:color="auto"/>
                <w:left w:val="none" w:sz="0" w:space="0" w:color="auto"/>
                <w:bottom w:val="none" w:sz="0" w:space="0" w:color="auto"/>
                <w:right w:val="none" w:sz="0" w:space="0" w:color="auto"/>
              </w:divBdr>
            </w:div>
          </w:divsChild>
        </w:div>
        <w:div w:id="1861621831">
          <w:marLeft w:val="0"/>
          <w:marRight w:val="0"/>
          <w:marTop w:val="0"/>
          <w:marBottom w:val="0"/>
          <w:divBdr>
            <w:top w:val="none" w:sz="0" w:space="0" w:color="auto"/>
            <w:left w:val="none" w:sz="0" w:space="0" w:color="auto"/>
            <w:bottom w:val="none" w:sz="0" w:space="0" w:color="auto"/>
            <w:right w:val="none" w:sz="0" w:space="0" w:color="auto"/>
          </w:divBdr>
          <w:divsChild>
            <w:div w:id="517350595">
              <w:marLeft w:val="0"/>
              <w:marRight w:val="0"/>
              <w:marTop w:val="0"/>
              <w:marBottom w:val="0"/>
              <w:divBdr>
                <w:top w:val="none" w:sz="0" w:space="0" w:color="auto"/>
                <w:left w:val="none" w:sz="0" w:space="0" w:color="auto"/>
                <w:bottom w:val="none" w:sz="0" w:space="0" w:color="auto"/>
                <w:right w:val="none" w:sz="0" w:space="0" w:color="auto"/>
              </w:divBdr>
            </w:div>
          </w:divsChild>
        </w:div>
        <w:div w:id="2037340378">
          <w:marLeft w:val="0"/>
          <w:marRight w:val="0"/>
          <w:marTop w:val="0"/>
          <w:marBottom w:val="0"/>
          <w:divBdr>
            <w:top w:val="none" w:sz="0" w:space="0" w:color="auto"/>
            <w:left w:val="none" w:sz="0" w:space="0" w:color="auto"/>
            <w:bottom w:val="none" w:sz="0" w:space="0" w:color="auto"/>
            <w:right w:val="none" w:sz="0" w:space="0" w:color="auto"/>
          </w:divBdr>
          <w:divsChild>
            <w:div w:id="1579174210">
              <w:marLeft w:val="0"/>
              <w:marRight w:val="0"/>
              <w:marTop w:val="0"/>
              <w:marBottom w:val="0"/>
              <w:divBdr>
                <w:top w:val="none" w:sz="0" w:space="0" w:color="auto"/>
                <w:left w:val="none" w:sz="0" w:space="0" w:color="auto"/>
                <w:bottom w:val="none" w:sz="0" w:space="0" w:color="auto"/>
                <w:right w:val="none" w:sz="0" w:space="0" w:color="auto"/>
              </w:divBdr>
            </w:div>
          </w:divsChild>
        </w:div>
        <w:div w:id="2140029293">
          <w:marLeft w:val="0"/>
          <w:marRight w:val="0"/>
          <w:marTop w:val="0"/>
          <w:marBottom w:val="0"/>
          <w:divBdr>
            <w:top w:val="none" w:sz="0" w:space="0" w:color="auto"/>
            <w:left w:val="none" w:sz="0" w:space="0" w:color="auto"/>
            <w:bottom w:val="none" w:sz="0" w:space="0" w:color="auto"/>
            <w:right w:val="none" w:sz="0" w:space="0" w:color="auto"/>
          </w:divBdr>
          <w:divsChild>
            <w:div w:id="241569529">
              <w:marLeft w:val="0"/>
              <w:marRight w:val="0"/>
              <w:marTop w:val="0"/>
              <w:marBottom w:val="0"/>
              <w:divBdr>
                <w:top w:val="none" w:sz="0" w:space="0" w:color="auto"/>
                <w:left w:val="none" w:sz="0" w:space="0" w:color="auto"/>
                <w:bottom w:val="none" w:sz="0" w:space="0" w:color="auto"/>
                <w:right w:val="none" w:sz="0" w:space="0" w:color="auto"/>
              </w:divBdr>
            </w:div>
          </w:divsChild>
        </w:div>
        <w:div w:id="2141917115">
          <w:marLeft w:val="0"/>
          <w:marRight w:val="0"/>
          <w:marTop w:val="0"/>
          <w:marBottom w:val="0"/>
          <w:divBdr>
            <w:top w:val="none" w:sz="0" w:space="0" w:color="auto"/>
            <w:left w:val="none" w:sz="0" w:space="0" w:color="auto"/>
            <w:bottom w:val="none" w:sz="0" w:space="0" w:color="auto"/>
            <w:right w:val="none" w:sz="0" w:space="0" w:color="auto"/>
          </w:divBdr>
          <w:divsChild>
            <w:div w:id="19143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4280">
      <w:bodyDiv w:val="1"/>
      <w:marLeft w:val="0"/>
      <w:marRight w:val="0"/>
      <w:marTop w:val="0"/>
      <w:marBottom w:val="0"/>
      <w:divBdr>
        <w:top w:val="none" w:sz="0" w:space="0" w:color="auto"/>
        <w:left w:val="none" w:sz="0" w:space="0" w:color="auto"/>
        <w:bottom w:val="none" w:sz="0" w:space="0" w:color="auto"/>
        <w:right w:val="none" w:sz="0" w:space="0" w:color="auto"/>
      </w:divBdr>
    </w:div>
    <w:div w:id="434524426">
      <w:bodyDiv w:val="1"/>
      <w:marLeft w:val="0"/>
      <w:marRight w:val="0"/>
      <w:marTop w:val="0"/>
      <w:marBottom w:val="0"/>
      <w:divBdr>
        <w:top w:val="none" w:sz="0" w:space="0" w:color="auto"/>
        <w:left w:val="none" w:sz="0" w:space="0" w:color="auto"/>
        <w:bottom w:val="none" w:sz="0" w:space="0" w:color="auto"/>
        <w:right w:val="none" w:sz="0" w:space="0" w:color="auto"/>
      </w:divBdr>
    </w:div>
    <w:div w:id="490562550">
      <w:bodyDiv w:val="1"/>
      <w:marLeft w:val="0"/>
      <w:marRight w:val="0"/>
      <w:marTop w:val="0"/>
      <w:marBottom w:val="0"/>
      <w:divBdr>
        <w:top w:val="none" w:sz="0" w:space="0" w:color="auto"/>
        <w:left w:val="none" w:sz="0" w:space="0" w:color="auto"/>
        <w:bottom w:val="none" w:sz="0" w:space="0" w:color="auto"/>
        <w:right w:val="none" w:sz="0" w:space="0" w:color="auto"/>
      </w:divBdr>
    </w:div>
    <w:div w:id="507453313">
      <w:bodyDiv w:val="1"/>
      <w:marLeft w:val="0"/>
      <w:marRight w:val="0"/>
      <w:marTop w:val="0"/>
      <w:marBottom w:val="0"/>
      <w:divBdr>
        <w:top w:val="none" w:sz="0" w:space="0" w:color="auto"/>
        <w:left w:val="none" w:sz="0" w:space="0" w:color="auto"/>
        <w:bottom w:val="none" w:sz="0" w:space="0" w:color="auto"/>
        <w:right w:val="none" w:sz="0" w:space="0" w:color="auto"/>
      </w:divBdr>
      <w:divsChild>
        <w:div w:id="598610316">
          <w:marLeft w:val="0"/>
          <w:marRight w:val="0"/>
          <w:marTop w:val="0"/>
          <w:marBottom w:val="0"/>
          <w:divBdr>
            <w:top w:val="none" w:sz="0" w:space="0" w:color="auto"/>
            <w:left w:val="none" w:sz="0" w:space="0" w:color="auto"/>
            <w:bottom w:val="none" w:sz="0" w:space="0" w:color="auto"/>
            <w:right w:val="none" w:sz="0" w:space="0" w:color="auto"/>
          </w:divBdr>
        </w:div>
        <w:div w:id="1109398050">
          <w:marLeft w:val="0"/>
          <w:marRight w:val="0"/>
          <w:marTop w:val="0"/>
          <w:marBottom w:val="0"/>
          <w:divBdr>
            <w:top w:val="none" w:sz="0" w:space="0" w:color="auto"/>
            <w:left w:val="none" w:sz="0" w:space="0" w:color="auto"/>
            <w:bottom w:val="none" w:sz="0" w:space="0" w:color="auto"/>
            <w:right w:val="none" w:sz="0" w:space="0" w:color="auto"/>
          </w:divBdr>
        </w:div>
      </w:divsChild>
    </w:div>
    <w:div w:id="541525327">
      <w:bodyDiv w:val="1"/>
      <w:marLeft w:val="0"/>
      <w:marRight w:val="0"/>
      <w:marTop w:val="0"/>
      <w:marBottom w:val="0"/>
      <w:divBdr>
        <w:top w:val="none" w:sz="0" w:space="0" w:color="auto"/>
        <w:left w:val="none" w:sz="0" w:space="0" w:color="auto"/>
        <w:bottom w:val="none" w:sz="0" w:space="0" w:color="auto"/>
        <w:right w:val="none" w:sz="0" w:space="0" w:color="auto"/>
      </w:divBdr>
    </w:div>
    <w:div w:id="593637349">
      <w:bodyDiv w:val="1"/>
      <w:marLeft w:val="0"/>
      <w:marRight w:val="0"/>
      <w:marTop w:val="0"/>
      <w:marBottom w:val="0"/>
      <w:divBdr>
        <w:top w:val="none" w:sz="0" w:space="0" w:color="auto"/>
        <w:left w:val="none" w:sz="0" w:space="0" w:color="auto"/>
        <w:bottom w:val="none" w:sz="0" w:space="0" w:color="auto"/>
        <w:right w:val="none" w:sz="0" w:space="0" w:color="auto"/>
      </w:divBdr>
      <w:divsChild>
        <w:div w:id="1244491332">
          <w:marLeft w:val="0"/>
          <w:marRight w:val="0"/>
          <w:marTop w:val="0"/>
          <w:marBottom w:val="0"/>
          <w:divBdr>
            <w:top w:val="none" w:sz="0" w:space="0" w:color="auto"/>
            <w:left w:val="none" w:sz="0" w:space="0" w:color="auto"/>
            <w:bottom w:val="none" w:sz="0" w:space="0" w:color="auto"/>
            <w:right w:val="none" w:sz="0" w:space="0" w:color="auto"/>
          </w:divBdr>
          <w:divsChild>
            <w:div w:id="1332175721">
              <w:marLeft w:val="0"/>
              <w:marRight w:val="0"/>
              <w:marTop w:val="0"/>
              <w:marBottom w:val="0"/>
              <w:divBdr>
                <w:top w:val="none" w:sz="0" w:space="0" w:color="auto"/>
                <w:left w:val="none" w:sz="0" w:space="0" w:color="auto"/>
                <w:bottom w:val="none" w:sz="0" w:space="0" w:color="auto"/>
                <w:right w:val="none" w:sz="0" w:space="0" w:color="auto"/>
              </w:divBdr>
            </w:div>
          </w:divsChild>
        </w:div>
        <w:div w:id="1967854051">
          <w:marLeft w:val="0"/>
          <w:marRight w:val="0"/>
          <w:marTop w:val="0"/>
          <w:marBottom w:val="0"/>
          <w:divBdr>
            <w:top w:val="none" w:sz="0" w:space="0" w:color="auto"/>
            <w:left w:val="none" w:sz="0" w:space="0" w:color="auto"/>
            <w:bottom w:val="none" w:sz="0" w:space="0" w:color="auto"/>
            <w:right w:val="none" w:sz="0" w:space="0" w:color="auto"/>
          </w:divBdr>
          <w:divsChild>
            <w:div w:id="17295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56941">
      <w:bodyDiv w:val="1"/>
      <w:marLeft w:val="0"/>
      <w:marRight w:val="0"/>
      <w:marTop w:val="0"/>
      <w:marBottom w:val="0"/>
      <w:divBdr>
        <w:top w:val="none" w:sz="0" w:space="0" w:color="auto"/>
        <w:left w:val="none" w:sz="0" w:space="0" w:color="auto"/>
        <w:bottom w:val="none" w:sz="0" w:space="0" w:color="auto"/>
        <w:right w:val="none" w:sz="0" w:space="0" w:color="auto"/>
      </w:divBdr>
    </w:div>
    <w:div w:id="614405415">
      <w:bodyDiv w:val="1"/>
      <w:marLeft w:val="0"/>
      <w:marRight w:val="0"/>
      <w:marTop w:val="0"/>
      <w:marBottom w:val="0"/>
      <w:divBdr>
        <w:top w:val="none" w:sz="0" w:space="0" w:color="auto"/>
        <w:left w:val="none" w:sz="0" w:space="0" w:color="auto"/>
        <w:bottom w:val="none" w:sz="0" w:space="0" w:color="auto"/>
        <w:right w:val="none" w:sz="0" w:space="0" w:color="auto"/>
      </w:divBdr>
    </w:div>
    <w:div w:id="635450351">
      <w:bodyDiv w:val="1"/>
      <w:marLeft w:val="0"/>
      <w:marRight w:val="0"/>
      <w:marTop w:val="0"/>
      <w:marBottom w:val="0"/>
      <w:divBdr>
        <w:top w:val="none" w:sz="0" w:space="0" w:color="auto"/>
        <w:left w:val="none" w:sz="0" w:space="0" w:color="auto"/>
        <w:bottom w:val="none" w:sz="0" w:space="0" w:color="auto"/>
        <w:right w:val="none" w:sz="0" w:space="0" w:color="auto"/>
      </w:divBdr>
      <w:divsChild>
        <w:div w:id="722488985">
          <w:marLeft w:val="0"/>
          <w:marRight w:val="0"/>
          <w:marTop w:val="0"/>
          <w:marBottom w:val="0"/>
          <w:divBdr>
            <w:top w:val="none" w:sz="0" w:space="0" w:color="auto"/>
            <w:left w:val="none" w:sz="0" w:space="0" w:color="auto"/>
            <w:bottom w:val="none" w:sz="0" w:space="0" w:color="auto"/>
            <w:right w:val="none" w:sz="0" w:space="0" w:color="auto"/>
          </w:divBdr>
          <w:divsChild>
            <w:div w:id="1636443770">
              <w:marLeft w:val="0"/>
              <w:marRight w:val="0"/>
              <w:marTop w:val="0"/>
              <w:marBottom w:val="0"/>
              <w:divBdr>
                <w:top w:val="none" w:sz="0" w:space="0" w:color="auto"/>
                <w:left w:val="none" w:sz="0" w:space="0" w:color="auto"/>
                <w:bottom w:val="none" w:sz="0" w:space="0" w:color="auto"/>
                <w:right w:val="none" w:sz="0" w:space="0" w:color="auto"/>
              </w:divBdr>
            </w:div>
          </w:divsChild>
        </w:div>
        <w:div w:id="1690569654">
          <w:marLeft w:val="0"/>
          <w:marRight w:val="0"/>
          <w:marTop w:val="0"/>
          <w:marBottom w:val="0"/>
          <w:divBdr>
            <w:top w:val="none" w:sz="0" w:space="0" w:color="auto"/>
            <w:left w:val="none" w:sz="0" w:space="0" w:color="auto"/>
            <w:bottom w:val="none" w:sz="0" w:space="0" w:color="auto"/>
            <w:right w:val="none" w:sz="0" w:space="0" w:color="auto"/>
          </w:divBdr>
          <w:divsChild>
            <w:div w:id="9805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40011">
      <w:bodyDiv w:val="1"/>
      <w:marLeft w:val="0"/>
      <w:marRight w:val="0"/>
      <w:marTop w:val="0"/>
      <w:marBottom w:val="0"/>
      <w:divBdr>
        <w:top w:val="none" w:sz="0" w:space="0" w:color="auto"/>
        <w:left w:val="none" w:sz="0" w:space="0" w:color="auto"/>
        <w:bottom w:val="none" w:sz="0" w:space="0" w:color="auto"/>
        <w:right w:val="none" w:sz="0" w:space="0" w:color="auto"/>
      </w:divBdr>
    </w:div>
    <w:div w:id="696155903">
      <w:bodyDiv w:val="1"/>
      <w:marLeft w:val="0"/>
      <w:marRight w:val="0"/>
      <w:marTop w:val="0"/>
      <w:marBottom w:val="0"/>
      <w:divBdr>
        <w:top w:val="none" w:sz="0" w:space="0" w:color="auto"/>
        <w:left w:val="none" w:sz="0" w:space="0" w:color="auto"/>
        <w:bottom w:val="none" w:sz="0" w:space="0" w:color="auto"/>
        <w:right w:val="none" w:sz="0" w:space="0" w:color="auto"/>
      </w:divBdr>
    </w:div>
    <w:div w:id="711005658">
      <w:bodyDiv w:val="1"/>
      <w:marLeft w:val="0"/>
      <w:marRight w:val="0"/>
      <w:marTop w:val="0"/>
      <w:marBottom w:val="0"/>
      <w:divBdr>
        <w:top w:val="none" w:sz="0" w:space="0" w:color="auto"/>
        <w:left w:val="none" w:sz="0" w:space="0" w:color="auto"/>
        <w:bottom w:val="none" w:sz="0" w:space="0" w:color="auto"/>
        <w:right w:val="none" w:sz="0" w:space="0" w:color="auto"/>
      </w:divBdr>
      <w:divsChild>
        <w:div w:id="1535999933">
          <w:marLeft w:val="0"/>
          <w:marRight w:val="0"/>
          <w:marTop w:val="0"/>
          <w:marBottom w:val="0"/>
          <w:divBdr>
            <w:top w:val="none" w:sz="0" w:space="0" w:color="auto"/>
            <w:left w:val="none" w:sz="0" w:space="0" w:color="auto"/>
            <w:bottom w:val="none" w:sz="0" w:space="0" w:color="auto"/>
            <w:right w:val="none" w:sz="0" w:space="0" w:color="auto"/>
          </w:divBdr>
        </w:div>
        <w:div w:id="1739326947">
          <w:marLeft w:val="0"/>
          <w:marRight w:val="0"/>
          <w:marTop w:val="0"/>
          <w:marBottom w:val="0"/>
          <w:divBdr>
            <w:top w:val="none" w:sz="0" w:space="0" w:color="auto"/>
            <w:left w:val="none" w:sz="0" w:space="0" w:color="auto"/>
            <w:bottom w:val="none" w:sz="0" w:space="0" w:color="auto"/>
            <w:right w:val="none" w:sz="0" w:space="0" w:color="auto"/>
          </w:divBdr>
        </w:div>
      </w:divsChild>
    </w:div>
    <w:div w:id="745810492">
      <w:bodyDiv w:val="1"/>
      <w:marLeft w:val="0"/>
      <w:marRight w:val="0"/>
      <w:marTop w:val="0"/>
      <w:marBottom w:val="0"/>
      <w:divBdr>
        <w:top w:val="none" w:sz="0" w:space="0" w:color="auto"/>
        <w:left w:val="none" w:sz="0" w:space="0" w:color="auto"/>
        <w:bottom w:val="none" w:sz="0" w:space="0" w:color="auto"/>
        <w:right w:val="none" w:sz="0" w:space="0" w:color="auto"/>
      </w:divBdr>
      <w:divsChild>
        <w:div w:id="588735404">
          <w:marLeft w:val="0"/>
          <w:marRight w:val="0"/>
          <w:marTop w:val="0"/>
          <w:marBottom w:val="0"/>
          <w:divBdr>
            <w:top w:val="none" w:sz="0" w:space="0" w:color="auto"/>
            <w:left w:val="none" w:sz="0" w:space="0" w:color="auto"/>
            <w:bottom w:val="none" w:sz="0" w:space="0" w:color="auto"/>
            <w:right w:val="none" w:sz="0" w:space="0" w:color="auto"/>
          </w:divBdr>
          <w:divsChild>
            <w:div w:id="1253663245">
              <w:marLeft w:val="0"/>
              <w:marRight w:val="0"/>
              <w:marTop w:val="0"/>
              <w:marBottom w:val="0"/>
              <w:divBdr>
                <w:top w:val="none" w:sz="0" w:space="0" w:color="auto"/>
                <w:left w:val="none" w:sz="0" w:space="0" w:color="auto"/>
                <w:bottom w:val="none" w:sz="0" w:space="0" w:color="auto"/>
                <w:right w:val="none" w:sz="0" w:space="0" w:color="auto"/>
              </w:divBdr>
            </w:div>
          </w:divsChild>
        </w:div>
        <w:div w:id="1061710320">
          <w:marLeft w:val="0"/>
          <w:marRight w:val="0"/>
          <w:marTop w:val="0"/>
          <w:marBottom w:val="0"/>
          <w:divBdr>
            <w:top w:val="none" w:sz="0" w:space="0" w:color="auto"/>
            <w:left w:val="none" w:sz="0" w:space="0" w:color="auto"/>
            <w:bottom w:val="none" w:sz="0" w:space="0" w:color="auto"/>
            <w:right w:val="none" w:sz="0" w:space="0" w:color="auto"/>
          </w:divBdr>
          <w:divsChild>
            <w:div w:id="14048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6609">
      <w:bodyDiv w:val="1"/>
      <w:marLeft w:val="0"/>
      <w:marRight w:val="0"/>
      <w:marTop w:val="0"/>
      <w:marBottom w:val="0"/>
      <w:divBdr>
        <w:top w:val="none" w:sz="0" w:space="0" w:color="auto"/>
        <w:left w:val="none" w:sz="0" w:space="0" w:color="auto"/>
        <w:bottom w:val="none" w:sz="0" w:space="0" w:color="auto"/>
        <w:right w:val="none" w:sz="0" w:space="0" w:color="auto"/>
      </w:divBdr>
    </w:div>
    <w:div w:id="82929378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0946201">
      <w:bodyDiv w:val="1"/>
      <w:marLeft w:val="0"/>
      <w:marRight w:val="0"/>
      <w:marTop w:val="0"/>
      <w:marBottom w:val="0"/>
      <w:divBdr>
        <w:top w:val="none" w:sz="0" w:space="0" w:color="auto"/>
        <w:left w:val="none" w:sz="0" w:space="0" w:color="auto"/>
        <w:bottom w:val="none" w:sz="0" w:space="0" w:color="auto"/>
        <w:right w:val="none" w:sz="0" w:space="0" w:color="auto"/>
      </w:divBdr>
    </w:div>
    <w:div w:id="854076125">
      <w:bodyDiv w:val="1"/>
      <w:marLeft w:val="0"/>
      <w:marRight w:val="0"/>
      <w:marTop w:val="0"/>
      <w:marBottom w:val="0"/>
      <w:divBdr>
        <w:top w:val="none" w:sz="0" w:space="0" w:color="auto"/>
        <w:left w:val="none" w:sz="0" w:space="0" w:color="auto"/>
        <w:bottom w:val="none" w:sz="0" w:space="0" w:color="auto"/>
        <w:right w:val="none" w:sz="0" w:space="0" w:color="auto"/>
      </w:divBdr>
    </w:div>
    <w:div w:id="854418577">
      <w:bodyDiv w:val="1"/>
      <w:marLeft w:val="0"/>
      <w:marRight w:val="0"/>
      <w:marTop w:val="0"/>
      <w:marBottom w:val="0"/>
      <w:divBdr>
        <w:top w:val="none" w:sz="0" w:space="0" w:color="auto"/>
        <w:left w:val="none" w:sz="0" w:space="0" w:color="auto"/>
        <w:bottom w:val="none" w:sz="0" w:space="0" w:color="auto"/>
        <w:right w:val="none" w:sz="0" w:space="0" w:color="auto"/>
      </w:divBdr>
      <w:divsChild>
        <w:div w:id="355228737">
          <w:marLeft w:val="0"/>
          <w:marRight w:val="0"/>
          <w:marTop w:val="0"/>
          <w:marBottom w:val="0"/>
          <w:divBdr>
            <w:top w:val="none" w:sz="0" w:space="0" w:color="auto"/>
            <w:left w:val="none" w:sz="0" w:space="0" w:color="auto"/>
            <w:bottom w:val="none" w:sz="0" w:space="0" w:color="auto"/>
            <w:right w:val="none" w:sz="0" w:space="0" w:color="auto"/>
          </w:divBdr>
          <w:divsChild>
            <w:div w:id="1573853550">
              <w:marLeft w:val="0"/>
              <w:marRight w:val="0"/>
              <w:marTop w:val="0"/>
              <w:marBottom w:val="0"/>
              <w:divBdr>
                <w:top w:val="none" w:sz="0" w:space="0" w:color="auto"/>
                <w:left w:val="none" w:sz="0" w:space="0" w:color="auto"/>
                <w:bottom w:val="none" w:sz="0" w:space="0" w:color="auto"/>
                <w:right w:val="none" w:sz="0" w:space="0" w:color="auto"/>
              </w:divBdr>
            </w:div>
          </w:divsChild>
        </w:div>
        <w:div w:id="466321296">
          <w:marLeft w:val="0"/>
          <w:marRight w:val="0"/>
          <w:marTop w:val="0"/>
          <w:marBottom w:val="0"/>
          <w:divBdr>
            <w:top w:val="none" w:sz="0" w:space="0" w:color="auto"/>
            <w:left w:val="none" w:sz="0" w:space="0" w:color="auto"/>
            <w:bottom w:val="none" w:sz="0" w:space="0" w:color="auto"/>
            <w:right w:val="none" w:sz="0" w:space="0" w:color="auto"/>
          </w:divBdr>
          <w:divsChild>
            <w:div w:id="1130854316">
              <w:marLeft w:val="0"/>
              <w:marRight w:val="0"/>
              <w:marTop w:val="0"/>
              <w:marBottom w:val="0"/>
              <w:divBdr>
                <w:top w:val="none" w:sz="0" w:space="0" w:color="auto"/>
                <w:left w:val="none" w:sz="0" w:space="0" w:color="auto"/>
                <w:bottom w:val="none" w:sz="0" w:space="0" w:color="auto"/>
                <w:right w:val="none" w:sz="0" w:space="0" w:color="auto"/>
              </w:divBdr>
            </w:div>
          </w:divsChild>
        </w:div>
        <w:div w:id="978652623">
          <w:marLeft w:val="0"/>
          <w:marRight w:val="0"/>
          <w:marTop w:val="0"/>
          <w:marBottom w:val="0"/>
          <w:divBdr>
            <w:top w:val="none" w:sz="0" w:space="0" w:color="auto"/>
            <w:left w:val="none" w:sz="0" w:space="0" w:color="auto"/>
            <w:bottom w:val="none" w:sz="0" w:space="0" w:color="auto"/>
            <w:right w:val="none" w:sz="0" w:space="0" w:color="auto"/>
          </w:divBdr>
          <w:divsChild>
            <w:div w:id="946235958">
              <w:marLeft w:val="0"/>
              <w:marRight w:val="0"/>
              <w:marTop w:val="0"/>
              <w:marBottom w:val="0"/>
              <w:divBdr>
                <w:top w:val="none" w:sz="0" w:space="0" w:color="auto"/>
                <w:left w:val="none" w:sz="0" w:space="0" w:color="auto"/>
                <w:bottom w:val="none" w:sz="0" w:space="0" w:color="auto"/>
                <w:right w:val="none" w:sz="0" w:space="0" w:color="auto"/>
              </w:divBdr>
            </w:div>
          </w:divsChild>
        </w:div>
        <w:div w:id="1112935920">
          <w:marLeft w:val="0"/>
          <w:marRight w:val="0"/>
          <w:marTop w:val="0"/>
          <w:marBottom w:val="0"/>
          <w:divBdr>
            <w:top w:val="none" w:sz="0" w:space="0" w:color="auto"/>
            <w:left w:val="none" w:sz="0" w:space="0" w:color="auto"/>
            <w:bottom w:val="none" w:sz="0" w:space="0" w:color="auto"/>
            <w:right w:val="none" w:sz="0" w:space="0" w:color="auto"/>
          </w:divBdr>
          <w:divsChild>
            <w:div w:id="1174341821">
              <w:marLeft w:val="0"/>
              <w:marRight w:val="0"/>
              <w:marTop w:val="0"/>
              <w:marBottom w:val="0"/>
              <w:divBdr>
                <w:top w:val="none" w:sz="0" w:space="0" w:color="auto"/>
                <w:left w:val="none" w:sz="0" w:space="0" w:color="auto"/>
                <w:bottom w:val="none" w:sz="0" w:space="0" w:color="auto"/>
                <w:right w:val="none" w:sz="0" w:space="0" w:color="auto"/>
              </w:divBdr>
            </w:div>
          </w:divsChild>
        </w:div>
        <w:div w:id="1547914567">
          <w:marLeft w:val="0"/>
          <w:marRight w:val="0"/>
          <w:marTop w:val="0"/>
          <w:marBottom w:val="0"/>
          <w:divBdr>
            <w:top w:val="none" w:sz="0" w:space="0" w:color="auto"/>
            <w:left w:val="none" w:sz="0" w:space="0" w:color="auto"/>
            <w:bottom w:val="none" w:sz="0" w:space="0" w:color="auto"/>
            <w:right w:val="none" w:sz="0" w:space="0" w:color="auto"/>
          </w:divBdr>
          <w:divsChild>
            <w:div w:id="999237897">
              <w:marLeft w:val="0"/>
              <w:marRight w:val="0"/>
              <w:marTop w:val="0"/>
              <w:marBottom w:val="0"/>
              <w:divBdr>
                <w:top w:val="none" w:sz="0" w:space="0" w:color="auto"/>
                <w:left w:val="none" w:sz="0" w:space="0" w:color="auto"/>
                <w:bottom w:val="none" w:sz="0" w:space="0" w:color="auto"/>
                <w:right w:val="none" w:sz="0" w:space="0" w:color="auto"/>
              </w:divBdr>
            </w:div>
          </w:divsChild>
        </w:div>
        <w:div w:id="1886601740">
          <w:marLeft w:val="0"/>
          <w:marRight w:val="0"/>
          <w:marTop w:val="0"/>
          <w:marBottom w:val="0"/>
          <w:divBdr>
            <w:top w:val="none" w:sz="0" w:space="0" w:color="auto"/>
            <w:left w:val="none" w:sz="0" w:space="0" w:color="auto"/>
            <w:bottom w:val="none" w:sz="0" w:space="0" w:color="auto"/>
            <w:right w:val="none" w:sz="0" w:space="0" w:color="auto"/>
          </w:divBdr>
          <w:divsChild>
            <w:div w:id="7479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1186">
      <w:bodyDiv w:val="1"/>
      <w:marLeft w:val="0"/>
      <w:marRight w:val="0"/>
      <w:marTop w:val="0"/>
      <w:marBottom w:val="0"/>
      <w:divBdr>
        <w:top w:val="none" w:sz="0" w:space="0" w:color="auto"/>
        <w:left w:val="none" w:sz="0" w:space="0" w:color="auto"/>
        <w:bottom w:val="none" w:sz="0" w:space="0" w:color="auto"/>
        <w:right w:val="none" w:sz="0" w:space="0" w:color="auto"/>
      </w:divBdr>
    </w:div>
    <w:div w:id="921993097">
      <w:bodyDiv w:val="1"/>
      <w:marLeft w:val="0"/>
      <w:marRight w:val="0"/>
      <w:marTop w:val="0"/>
      <w:marBottom w:val="0"/>
      <w:divBdr>
        <w:top w:val="none" w:sz="0" w:space="0" w:color="auto"/>
        <w:left w:val="none" w:sz="0" w:space="0" w:color="auto"/>
        <w:bottom w:val="none" w:sz="0" w:space="0" w:color="auto"/>
        <w:right w:val="none" w:sz="0" w:space="0" w:color="auto"/>
      </w:divBdr>
    </w:div>
    <w:div w:id="929392820">
      <w:bodyDiv w:val="1"/>
      <w:marLeft w:val="0"/>
      <w:marRight w:val="0"/>
      <w:marTop w:val="0"/>
      <w:marBottom w:val="0"/>
      <w:divBdr>
        <w:top w:val="none" w:sz="0" w:space="0" w:color="auto"/>
        <w:left w:val="none" w:sz="0" w:space="0" w:color="auto"/>
        <w:bottom w:val="none" w:sz="0" w:space="0" w:color="auto"/>
        <w:right w:val="none" w:sz="0" w:space="0" w:color="auto"/>
      </w:divBdr>
      <w:divsChild>
        <w:div w:id="896476898">
          <w:marLeft w:val="360"/>
          <w:marRight w:val="0"/>
          <w:marTop w:val="200"/>
          <w:marBottom w:val="0"/>
          <w:divBdr>
            <w:top w:val="none" w:sz="0" w:space="0" w:color="auto"/>
            <w:left w:val="none" w:sz="0" w:space="0" w:color="auto"/>
            <w:bottom w:val="none" w:sz="0" w:space="0" w:color="auto"/>
            <w:right w:val="none" w:sz="0" w:space="0" w:color="auto"/>
          </w:divBdr>
        </w:div>
      </w:divsChild>
    </w:div>
    <w:div w:id="974991943">
      <w:bodyDiv w:val="1"/>
      <w:marLeft w:val="0"/>
      <w:marRight w:val="0"/>
      <w:marTop w:val="0"/>
      <w:marBottom w:val="0"/>
      <w:divBdr>
        <w:top w:val="none" w:sz="0" w:space="0" w:color="auto"/>
        <w:left w:val="none" w:sz="0" w:space="0" w:color="auto"/>
        <w:bottom w:val="none" w:sz="0" w:space="0" w:color="auto"/>
        <w:right w:val="none" w:sz="0" w:space="0" w:color="auto"/>
      </w:divBdr>
    </w:div>
    <w:div w:id="992444085">
      <w:bodyDiv w:val="1"/>
      <w:marLeft w:val="0"/>
      <w:marRight w:val="0"/>
      <w:marTop w:val="0"/>
      <w:marBottom w:val="0"/>
      <w:divBdr>
        <w:top w:val="none" w:sz="0" w:space="0" w:color="auto"/>
        <w:left w:val="none" w:sz="0" w:space="0" w:color="auto"/>
        <w:bottom w:val="none" w:sz="0" w:space="0" w:color="auto"/>
        <w:right w:val="none" w:sz="0" w:space="0" w:color="auto"/>
      </w:divBdr>
    </w:div>
    <w:div w:id="993264315">
      <w:bodyDiv w:val="1"/>
      <w:marLeft w:val="0"/>
      <w:marRight w:val="0"/>
      <w:marTop w:val="0"/>
      <w:marBottom w:val="0"/>
      <w:divBdr>
        <w:top w:val="none" w:sz="0" w:space="0" w:color="auto"/>
        <w:left w:val="none" w:sz="0" w:space="0" w:color="auto"/>
        <w:bottom w:val="none" w:sz="0" w:space="0" w:color="auto"/>
        <w:right w:val="none" w:sz="0" w:space="0" w:color="auto"/>
      </w:divBdr>
    </w:div>
    <w:div w:id="995109579">
      <w:bodyDiv w:val="1"/>
      <w:marLeft w:val="0"/>
      <w:marRight w:val="0"/>
      <w:marTop w:val="0"/>
      <w:marBottom w:val="0"/>
      <w:divBdr>
        <w:top w:val="none" w:sz="0" w:space="0" w:color="auto"/>
        <w:left w:val="none" w:sz="0" w:space="0" w:color="auto"/>
        <w:bottom w:val="none" w:sz="0" w:space="0" w:color="auto"/>
        <w:right w:val="none" w:sz="0" w:space="0" w:color="auto"/>
      </w:divBdr>
      <w:divsChild>
        <w:div w:id="4090425">
          <w:marLeft w:val="0"/>
          <w:marRight w:val="0"/>
          <w:marTop w:val="0"/>
          <w:marBottom w:val="0"/>
          <w:divBdr>
            <w:top w:val="none" w:sz="0" w:space="0" w:color="auto"/>
            <w:left w:val="none" w:sz="0" w:space="0" w:color="auto"/>
            <w:bottom w:val="none" w:sz="0" w:space="0" w:color="auto"/>
            <w:right w:val="none" w:sz="0" w:space="0" w:color="auto"/>
          </w:divBdr>
          <w:divsChild>
            <w:div w:id="326058582">
              <w:marLeft w:val="0"/>
              <w:marRight w:val="0"/>
              <w:marTop w:val="0"/>
              <w:marBottom w:val="0"/>
              <w:divBdr>
                <w:top w:val="none" w:sz="0" w:space="0" w:color="auto"/>
                <w:left w:val="none" w:sz="0" w:space="0" w:color="auto"/>
                <w:bottom w:val="none" w:sz="0" w:space="0" w:color="auto"/>
                <w:right w:val="none" w:sz="0" w:space="0" w:color="auto"/>
              </w:divBdr>
            </w:div>
            <w:div w:id="1050302150">
              <w:marLeft w:val="0"/>
              <w:marRight w:val="0"/>
              <w:marTop w:val="0"/>
              <w:marBottom w:val="0"/>
              <w:divBdr>
                <w:top w:val="none" w:sz="0" w:space="0" w:color="auto"/>
                <w:left w:val="none" w:sz="0" w:space="0" w:color="auto"/>
                <w:bottom w:val="none" w:sz="0" w:space="0" w:color="auto"/>
                <w:right w:val="none" w:sz="0" w:space="0" w:color="auto"/>
              </w:divBdr>
            </w:div>
          </w:divsChild>
        </w:div>
        <w:div w:id="33508871">
          <w:marLeft w:val="0"/>
          <w:marRight w:val="0"/>
          <w:marTop w:val="0"/>
          <w:marBottom w:val="0"/>
          <w:divBdr>
            <w:top w:val="none" w:sz="0" w:space="0" w:color="auto"/>
            <w:left w:val="none" w:sz="0" w:space="0" w:color="auto"/>
            <w:bottom w:val="none" w:sz="0" w:space="0" w:color="auto"/>
            <w:right w:val="none" w:sz="0" w:space="0" w:color="auto"/>
          </w:divBdr>
          <w:divsChild>
            <w:div w:id="497036598">
              <w:marLeft w:val="0"/>
              <w:marRight w:val="0"/>
              <w:marTop w:val="0"/>
              <w:marBottom w:val="0"/>
              <w:divBdr>
                <w:top w:val="none" w:sz="0" w:space="0" w:color="auto"/>
                <w:left w:val="none" w:sz="0" w:space="0" w:color="auto"/>
                <w:bottom w:val="none" w:sz="0" w:space="0" w:color="auto"/>
                <w:right w:val="none" w:sz="0" w:space="0" w:color="auto"/>
              </w:divBdr>
            </w:div>
          </w:divsChild>
        </w:div>
        <w:div w:id="58792742">
          <w:marLeft w:val="0"/>
          <w:marRight w:val="0"/>
          <w:marTop w:val="0"/>
          <w:marBottom w:val="0"/>
          <w:divBdr>
            <w:top w:val="none" w:sz="0" w:space="0" w:color="auto"/>
            <w:left w:val="none" w:sz="0" w:space="0" w:color="auto"/>
            <w:bottom w:val="none" w:sz="0" w:space="0" w:color="auto"/>
            <w:right w:val="none" w:sz="0" w:space="0" w:color="auto"/>
          </w:divBdr>
          <w:divsChild>
            <w:div w:id="1552111736">
              <w:marLeft w:val="0"/>
              <w:marRight w:val="0"/>
              <w:marTop w:val="0"/>
              <w:marBottom w:val="0"/>
              <w:divBdr>
                <w:top w:val="none" w:sz="0" w:space="0" w:color="auto"/>
                <w:left w:val="none" w:sz="0" w:space="0" w:color="auto"/>
                <w:bottom w:val="none" w:sz="0" w:space="0" w:color="auto"/>
                <w:right w:val="none" w:sz="0" w:space="0" w:color="auto"/>
              </w:divBdr>
            </w:div>
          </w:divsChild>
        </w:div>
        <w:div w:id="104007181">
          <w:marLeft w:val="0"/>
          <w:marRight w:val="0"/>
          <w:marTop w:val="0"/>
          <w:marBottom w:val="0"/>
          <w:divBdr>
            <w:top w:val="none" w:sz="0" w:space="0" w:color="auto"/>
            <w:left w:val="none" w:sz="0" w:space="0" w:color="auto"/>
            <w:bottom w:val="none" w:sz="0" w:space="0" w:color="auto"/>
            <w:right w:val="none" w:sz="0" w:space="0" w:color="auto"/>
          </w:divBdr>
          <w:divsChild>
            <w:div w:id="1441949193">
              <w:marLeft w:val="0"/>
              <w:marRight w:val="0"/>
              <w:marTop w:val="0"/>
              <w:marBottom w:val="0"/>
              <w:divBdr>
                <w:top w:val="none" w:sz="0" w:space="0" w:color="auto"/>
                <w:left w:val="none" w:sz="0" w:space="0" w:color="auto"/>
                <w:bottom w:val="none" w:sz="0" w:space="0" w:color="auto"/>
                <w:right w:val="none" w:sz="0" w:space="0" w:color="auto"/>
              </w:divBdr>
            </w:div>
          </w:divsChild>
        </w:div>
        <w:div w:id="104037321">
          <w:marLeft w:val="0"/>
          <w:marRight w:val="0"/>
          <w:marTop w:val="0"/>
          <w:marBottom w:val="0"/>
          <w:divBdr>
            <w:top w:val="none" w:sz="0" w:space="0" w:color="auto"/>
            <w:left w:val="none" w:sz="0" w:space="0" w:color="auto"/>
            <w:bottom w:val="none" w:sz="0" w:space="0" w:color="auto"/>
            <w:right w:val="none" w:sz="0" w:space="0" w:color="auto"/>
          </w:divBdr>
          <w:divsChild>
            <w:div w:id="1468087811">
              <w:marLeft w:val="0"/>
              <w:marRight w:val="0"/>
              <w:marTop w:val="0"/>
              <w:marBottom w:val="0"/>
              <w:divBdr>
                <w:top w:val="none" w:sz="0" w:space="0" w:color="auto"/>
                <w:left w:val="none" w:sz="0" w:space="0" w:color="auto"/>
                <w:bottom w:val="none" w:sz="0" w:space="0" w:color="auto"/>
                <w:right w:val="none" w:sz="0" w:space="0" w:color="auto"/>
              </w:divBdr>
            </w:div>
          </w:divsChild>
        </w:div>
        <w:div w:id="134223092">
          <w:marLeft w:val="0"/>
          <w:marRight w:val="0"/>
          <w:marTop w:val="0"/>
          <w:marBottom w:val="0"/>
          <w:divBdr>
            <w:top w:val="none" w:sz="0" w:space="0" w:color="auto"/>
            <w:left w:val="none" w:sz="0" w:space="0" w:color="auto"/>
            <w:bottom w:val="none" w:sz="0" w:space="0" w:color="auto"/>
            <w:right w:val="none" w:sz="0" w:space="0" w:color="auto"/>
          </w:divBdr>
          <w:divsChild>
            <w:div w:id="1987582107">
              <w:marLeft w:val="0"/>
              <w:marRight w:val="0"/>
              <w:marTop w:val="0"/>
              <w:marBottom w:val="0"/>
              <w:divBdr>
                <w:top w:val="none" w:sz="0" w:space="0" w:color="auto"/>
                <w:left w:val="none" w:sz="0" w:space="0" w:color="auto"/>
                <w:bottom w:val="none" w:sz="0" w:space="0" w:color="auto"/>
                <w:right w:val="none" w:sz="0" w:space="0" w:color="auto"/>
              </w:divBdr>
            </w:div>
          </w:divsChild>
        </w:div>
        <w:div w:id="166332646">
          <w:marLeft w:val="0"/>
          <w:marRight w:val="0"/>
          <w:marTop w:val="0"/>
          <w:marBottom w:val="0"/>
          <w:divBdr>
            <w:top w:val="none" w:sz="0" w:space="0" w:color="auto"/>
            <w:left w:val="none" w:sz="0" w:space="0" w:color="auto"/>
            <w:bottom w:val="none" w:sz="0" w:space="0" w:color="auto"/>
            <w:right w:val="none" w:sz="0" w:space="0" w:color="auto"/>
          </w:divBdr>
          <w:divsChild>
            <w:div w:id="479032392">
              <w:marLeft w:val="0"/>
              <w:marRight w:val="0"/>
              <w:marTop w:val="0"/>
              <w:marBottom w:val="0"/>
              <w:divBdr>
                <w:top w:val="none" w:sz="0" w:space="0" w:color="auto"/>
                <w:left w:val="none" w:sz="0" w:space="0" w:color="auto"/>
                <w:bottom w:val="none" w:sz="0" w:space="0" w:color="auto"/>
                <w:right w:val="none" w:sz="0" w:space="0" w:color="auto"/>
              </w:divBdr>
            </w:div>
          </w:divsChild>
        </w:div>
        <w:div w:id="233394884">
          <w:marLeft w:val="0"/>
          <w:marRight w:val="0"/>
          <w:marTop w:val="0"/>
          <w:marBottom w:val="0"/>
          <w:divBdr>
            <w:top w:val="none" w:sz="0" w:space="0" w:color="auto"/>
            <w:left w:val="none" w:sz="0" w:space="0" w:color="auto"/>
            <w:bottom w:val="none" w:sz="0" w:space="0" w:color="auto"/>
            <w:right w:val="none" w:sz="0" w:space="0" w:color="auto"/>
          </w:divBdr>
          <w:divsChild>
            <w:div w:id="745341155">
              <w:marLeft w:val="0"/>
              <w:marRight w:val="0"/>
              <w:marTop w:val="0"/>
              <w:marBottom w:val="0"/>
              <w:divBdr>
                <w:top w:val="none" w:sz="0" w:space="0" w:color="auto"/>
                <w:left w:val="none" w:sz="0" w:space="0" w:color="auto"/>
                <w:bottom w:val="none" w:sz="0" w:space="0" w:color="auto"/>
                <w:right w:val="none" w:sz="0" w:space="0" w:color="auto"/>
              </w:divBdr>
            </w:div>
          </w:divsChild>
        </w:div>
        <w:div w:id="235481914">
          <w:marLeft w:val="0"/>
          <w:marRight w:val="0"/>
          <w:marTop w:val="0"/>
          <w:marBottom w:val="0"/>
          <w:divBdr>
            <w:top w:val="none" w:sz="0" w:space="0" w:color="auto"/>
            <w:left w:val="none" w:sz="0" w:space="0" w:color="auto"/>
            <w:bottom w:val="none" w:sz="0" w:space="0" w:color="auto"/>
            <w:right w:val="none" w:sz="0" w:space="0" w:color="auto"/>
          </w:divBdr>
          <w:divsChild>
            <w:div w:id="102383504">
              <w:marLeft w:val="0"/>
              <w:marRight w:val="0"/>
              <w:marTop w:val="0"/>
              <w:marBottom w:val="0"/>
              <w:divBdr>
                <w:top w:val="none" w:sz="0" w:space="0" w:color="auto"/>
                <w:left w:val="none" w:sz="0" w:space="0" w:color="auto"/>
                <w:bottom w:val="none" w:sz="0" w:space="0" w:color="auto"/>
                <w:right w:val="none" w:sz="0" w:space="0" w:color="auto"/>
              </w:divBdr>
            </w:div>
            <w:div w:id="233206902">
              <w:marLeft w:val="0"/>
              <w:marRight w:val="0"/>
              <w:marTop w:val="0"/>
              <w:marBottom w:val="0"/>
              <w:divBdr>
                <w:top w:val="none" w:sz="0" w:space="0" w:color="auto"/>
                <w:left w:val="none" w:sz="0" w:space="0" w:color="auto"/>
                <w:bottom w:val="none" w:sz="0" w:space="0" w:color="auto"/>
                <w:right w:val="none" w:sz="0" w:space="0" w:color="auto"/>
              </w:divBdr>
            </w:div>
          </w:divsChild>
        </w:div>
        <w:div w:id="258299697">
          <w:marLeft w:val="0"/>
          <w:marRight w:val="0"/>
          <w:marTop w:val="0"/>
          <w:marBottom w:val="0"/>
          <w:divBdr>
            <w:top w:val="none" w:sz="0" w:space="0" w:color="auto"/>
            <w:left w:val="none" w:sz="0" w:space="0" w:color="auto"/>
            <w:bottom w:val="none" w:sz="0" w:space="0" w:color="auto"/>
            <w:right w:val="none" w:sz="0" w:space="0" w:color="auto"/>
          </w:divBdr>
          <w:divsChild>
            <w:div w:id="1465539631">
              <w:marLeft w:val="0"/>
              <w:marRight w:val="0"/>
              <w:marTop w:val="0"/>
              <w:marBottom w:val="0"/>
              <w:divBdr>
                <w:top w:val="none" w:sz="0" w:space="0" w:color="auto"/>
                <w:left w:val="none" w:sz="0" w:space="0" w:color="auto"/>
                <w:bottom w:val="none" w:sz="0" w:space="0" w:color="auto"/>
                <w:right w:val="none" w:sz="0" w:space="0" w:color="auto"/>
              </w:divBdr>
            </w:div>
          </w:divsChild>
        </w:div>
        <w:div w:id="282159173">
          <w:marLeft w:val="0"/>
          <w:marRight w:val="0"/>
          <w:marTop w:val="0"/>
          <w:marBottom w:val="0"/>
          <w:divBdr>
            <w:top w:val="none" w:sz="0" w:space="0" w:color="auto"/>
            <w:left w:val="none" w:sz="0" w:space="0" w:color="auto"/>
            <w:bottom w:val="none" w:sz="0" w:space="0" w:color="auto"/>
            <w:right w:val="none" w:sz="0" w:space="0" w:color="auto"/>
          </w:divBdr>
          <w:divsChild>
            <w:div w:id="1742022429">
              <w:marLeft w:val="0"/>
              <w:marRight w:val="0"/>
              <w:marTop w:val="0"/>
              <w:marBottom w:val="0"/>
              <w:divBdr>
                <w:top w:val="none" w:sz="0" w:space="0" w:color="auto"/>
                <w:left w:val="none" w:sz="0" w:space="0" w:color="auto"/>
                <w:bottom w:val="none" w:sz="0" w:space="0" w:color="auto"/>
                <w:right w:val="none" w:sz="0" w:space="0" w:color="auto"/>
              </w:divBdr>
            </w:div>
          </w:divsChild>
        </w:div>
        <w:div w:id="340936500">
          <w:marLeft w:val="0"/>
          <w:marRight w:val="0"/>
          <w:marTop w:val="0"/>
          <w:marBottom w:val="0"/>
          <w:divBdr>
            <w:top w:val="none" w:sz="0" w:space="0" w:color="auto"/>
            <w:left w:val="none" w:sz="0" w:space="0" w:color="auto"/>
            <w:bottom w:val="none" w:sz="0" w:space="0" w:color="auto"/>
            <w:right w:val="none" w:sz="0" w:space="0" w:color="auto"/>
          </w:divBdr>
          <w:divsChild>
            <w:div w:id="734013493">
              <w:marLeft w:val="0"/>
              <w:marRight w:val="0"/>
              <w:marTop w:val="0"/>
              <w:marBottom w:val="0"/>
              <w:divBdr>
                <w:top w:val="none" w:sz="0" w:space="0" w:color="auto"/>
                <w:left w:val="none" w:sz="0" w:space="0" w:color="auto"/>
                <w:bottom w:val="none" w:sz="0" w:space="0" w:color="auto"/>
                <w:right w:val="none" w:sz="0" w:space="0" w:color="auto"/>
              </w:divBdr>
            </w:div>
          </w:divsChild>
        </w:div>
        <w:div w:id="352148209">
          <w:marLeft w:val="0"/>
          <w:marRight w:val="0"/>
          <w:marTop w:val="0"/>
          <w:marBottom w:val="0"/>
          <w:divBdr>
            <w:top w:val="none" w:sz="0" w:space="0" w:color="auto"/>
            <w:left w:val="none" w:sz="0" w:space="0" w:color="auto"/>
            <w:bottom w:val="none" w:sz="0" w:space="0" w:color="auto"/>
            <w:right w:val="none" w:sz="0" w:space="0" w:color="auto"/>
          </w:divBdr>
          <w:divsChild>
            <w:div w:id="291323559">
              <w:marLeft w:val="0"/>
              <w:marRight w:val="0"/>
              <w:marTop w:val="0"/>
              <w:marBottom w:val="0"/>
              <w:divBdr>
                <w:top w:val="none" w:sz="0" w:space="0" w:color="auto"/>
                <w:left w:val="none" w:sz="0" w:space="0" w:color="auto"/>
                <w:bottom w:val="none" w:sz="0" w:space="0" w:color="auto"/>
                <w:right w:val="none" w:sz="0" w:space="0" w:color="auto"/>
              </w:divBdr>
            </w:div>
          </w:divsChild>
        </w:div>
        <w:div w:id="376010000">
          <w:marLeft w:val="0"/>
          <w:marRight w:val="0"/>
          <w:marTop w:val="0"/>
          <w:marBottom w:val="0"/>
          <w:divBdr>
            <w:top w:val="none" w:sz="0" w:space="0" w:color="auto"/>
            <w:left w:val="none" w:sz="0" w:space="0" w:color="auto"/>
            <w:bottom w:val="none" w:sz="0" w:space="0" w:color="auto"/>
            <w:right w:val="none" w:sz="0" w:space="0" w:color="auto"/>
          </w:divBdr>
          <w:divsChild>
            <w:div w:id="1408457745">
              <w:marLeft w:val="0"/>
              <w:marRight w:val="0"/>
              <w:marTop w:val="0"/>
              <w:marBottom w:val="0"/>
              <w:divBdr>
                <w:top w:val="none" w:sz="0" w:space="0" w:color="auto"/>
                <w:left w:val="none" w:sz="0" w:space="0" w:color="auto"/>
                <w:bottom w:val="none" w:sz="0" w:space="0" w:color="auto"/>
                <w:right w:val="none" w:sz="0" w:space="0" w:color="auto"/>
              </w:divBdr>
            </w:div>
          </w:divsChild>
        </w:div>
        <w:div w:id="474224947">
          <w:marLeft w:val="0"/>
          <w:marRight w:val="0"/>
          <w:marTop w:val="0"/>
          <w:marBottom w:val="0"/>
          <w:divBdr>
            <w:top w:val="none" w:sz="0" w:space="0" w:color="auto"/>
            <w:left w:val="none" w:sz="0" w:space="0" w:color="auto"/>
            <w:bottom w:val="none" w:sz="0" w:space="0" w:color="auto"/>
            <w:right w:val="none" w:sz="0" w:space="0" w:color="auto"/>
          </w:divBdr>
          <w:divsChild>
            <w:div w:id="787700476">
              <w:marLeft w:val="0"/>
              <w:marRight w:val="0"/>
              <w:marTop w:val="0"/>
              <w:marBottom w:val="0"/>
              <w:divBdr>
                <w:top w:val="none" w:sz="0" w:space="0" w:color="auto"/>
                <w:left w:val="none" w:sz="0" w:space="0" w:color="auto"/>
                <w:bottom w:val="none" w:sz="0" w:space="0" w:color="auto"/>
                <w:right w:val="none" w:sz="0" w:space="0" w:color="auto"/>
              </w:divBdr>
            </w:div>
          </w:divsChild>
        </w:div>
        <w:div w:id="477038981">
          <w:marLeft w:val="0"/>
          <w:marRight w:val="0"/>
          <w:marTop w:val="0"/>
          <w:marBottom w:val="0"/>
          <w:divBdr>
            <w:top w:val="none" w:sz="0" w:space="0" w:color="auto"/>
            <w:left w:val="none" w:sz="0" w:space="0" w:color="auto"/>
            <w:bottom w:val="none" w:sz="0" w:space="0" w:color="auto"/>
            <w:right w:val="none" w:sz="0" w:space="0" w:color="auto"/>
          </w:divBdr>
          <w:divsChild>
            <w:div w:id="1960530810">
              <w:marLeft w:val="0"/>
              <w:marRight w:val="0"/>
              <w:marTop w:val="0"/>
              <w:marBottom w:val="0"/>
              <w:divBdr>
                <w:top w:val="none" w:sz="0" w:space="0" w:color="auto"/>
                <w:left w:val="none" w:sz="0" w:space="0" w:color="auto"/>
                <w:bottom w:val="none" w:sz="0" w:space="0" w:color="auto"/>
                <w:right w:val="none" w:sz="0" w:space="0" w:color="auto"/>
              </w:divBdr>
            </w:div>
          </w:divsChild>
        </w:div>
        <w:div w:id="591355711">
          <w:marLeft w:val="0"/>
          <w:marRight w:val="0"/>
          <w:marTop w:val="0"/>
          <w:marBottom w:val="0"/>
          <w:divBdr>
            <w:top w:val="none" w:sz="0" w:space="0" w:color="auto"/>
            <w:left w:val="none" w:sz="0" w:space="0" w:color="auto"/>
            <w:bottom w:val="none" w:sz="0" w:space="0" w:color="auto"/>
            <w:right w:val="none" w:sz="0" w:space="0" w:color="auto"/>
          </w:divBdr>
          <w:divsChild>
            <w:div w:id="299117869">
              <w:marLeft w:val="0"/>
              <w:marRight w:val="0"/>
              <w:marTop w:val="0"/>
              <w:marBottom w:val="0"/>
              <w:divBdr>
                <w:top w:val="none" w:sz="0" w:space="0" w:color="auto"/>
                <w:left w:val="none" w:sz="0" w:space="0" w:color="auto"/>
                <w:bottom w:val="none" w:sz="0" w:space="0" w:color="auto"/>
                <w:right w:val="none" w:sz="0" w:space="0" w:color="auto"/>
              </w:divBdr>
            </w:div>
          </w:divsChild>
        </w:div>
        <w:div w:id="649987518">
          <w:marLeft w:val="0"/>
          <w:marRight w:val="0"/>
          <w:marTop w:val="0"/>
          <w:marBottom w:val="0"/>
          <w:divBdr>
            <w:top w:val="none" w:sz="0" w:space="0" w:color="auto"/>
            <w:left w:val="none" w:sz="0" w:space="0" w:color="auto"/>
            <w:bottom w:val="none" w:sz="0" w:space="0" w:color="auto"/>
            <w:right w:val="none" w:sz="0" w:space="0" w:color="auto"/>
          </w:divBdr>
          <w:divsChild>
            <w:div w:id="1492484062">
              <w:marLeft w:val="0"/>
              <w:marRight w:val="0"/>
              <w:marTop w:val="0"/>
              <w:marBottom w:val="0"/>
              <w:divBdr>
                <w:top w:val="none" w:sz="0" w:space="0" w:color="auto"/>
                <w:left w:val="none" w:sz="0" w:space="0" w:color="auto"/>
                <w:bottom w:val="none" w:sz="0" w:space="0" w:color="auto"/>
                <w:right w:val="none" w:sz="0" w:space="0" w:color="auto"/>
              </w:divBdr>
            </w:div>
          </w:divsChild>
        </w:div>
        <w:div w:id="675158257">
          <w:marLeft w:val="0"/>
          <w:marRight w:val="0"/>
          <w:marTop w:val="0"/>
          <w:marBottom w:val="0"/>
          <w:divBdr>
            <w:top w:val="none" w:sz="0" w:space="0" w:color="auto"/>
            <w:left w:val="none" w:sz="0" w:space="0" w:color="auto"/>
            <w:bottom w:val="none" w:sz="0" w:space="0" w:color="auto"/>
            <w:right w:val="none" w:sz="0" w:space="0" w:color="auto"/>
          </w:divBdr>
          <w:divsChild>
            <w:div w:id="1796634894">
              <w:marLeft w:val="0"/>
              <w:marRight w:val="0"/>
              <w:marTop w:val="0"/>
              <w:marBottom w:val="0"/>
              <w:divBdr>
                <w:top w:val="none" w:sz="0" w:space="0" w:color="auto"/>
                <w:left w:val="none" w:sz="0" w:space="0" w:color="auto"/>
                <w:bottom w:val="none" w:sz="0" w:space="0" w:color="auto"/>
                <w:right w:val="none" w:sz="0" w:space="0" w:color="auto"/>
              </w:divBdr>
            </w:div>
          </w:divsChild>
        </w:div>
        <w:div w:id="683441587">
          <w:marLeft w:val="0"/>
          <w:marRight w:val="0"/>
          <w:marTop w:val="0"/>
          <w:marBottom w:val="0"/>
          <w:divBdr>
            <w:top w:val="none" w:sz="0" w:space="0" w:color="auto"/>
            <w:left w:val="none" w:sz="0" w:space="0" w:color="auto"/>
            <w:bottom w:val="none" w:sz="0" w:space="0" w:color="auto"/>
            <w:right w:val="none" w:sz="0" w:space="0" w:color="auto"/>
          </w:divBdr>
          <w:divsChild>
            <w:div w:id="1389576504">
              <w:marLeft w:val="0"/>
              <w:marRight w:val="0"/>
              <w:marTop w:val="0"/>
              <w:marBottom w:val="0"/>
              <w:divBdr>
                <w:top w:val="none" w:sz="0" w:space="0" w:color="auto"/>
                <w:left w:val="none" w:sz="0" w:space="0" w:color="auto"/>
                <w:bottom w:val="none" w:sz="0" w:space="0" w:color="auto"/>
                <w:right w:val="none" w:sz="0" w:space="0" w:color="auto"/>
              </w:divBdr>
            </w:div>
            <w:div w:id="1977635171">
              <w:marLeft w:val="0"/>
              <w:marRight w:val="0"/>
              <w:marTop w:val="0"/>
              <w:marBottom w:val="0"/>
              <w:divBdr>
                <w:top w:val="none" w:sz="0" w:space="0" w:color="auto"/>
                <w:left w:val="none" w:sz="0" w:space="0" w:color="auto"/>
                <w:bottom w:val="none" w:sz="0" w:space="0" w:color="auto"/>
                <w:right w:val="none" w:sz="0" w:space="0" w:color="auto"/>
              </w:divBdr>
            </w:div>
          </w:divsChild>
        </w:div>
        <w:div w:id="687100798">
          <w:marLeft w:val="0"/>
          <w:marRight w:val="0"/>
          <w:marTop w:val="0"/>
          <w:marBottom w:val="0"/>
          <w:divBdr>
            <w:top w:val="none" w:sz="0" w:space="0" w:color="auto"/>
            <w:left w:val="none" w:sz="0" w:space="0" w:color="auto"/>
            <w:bottom w:val="none" w:sz="0" w:space="0" w:color="auto"/>
            <w:right w:val="none" w:sz="0" w:space="0" w:color="auto"/>
          </w:divBdr>
          <w:divsChild>
            <w:div w:id="443039045">
              <w:marLeft w:val="0"/>
              <w:marRight w:val="0"/>
              <w:marTop w:val="0"/>
              <w:marBottom w:val="0"/>
              <w:divBdr>
                <w:top w:val="none" w:sz="0" w:space="0" w:color="auto"/>
                <w:left w:val="none" w:sz="0" w:space="0" w:color="auto"/>
                <w:bottom w:val="none" w:sz="0" w:space="0" w:color="auto"/>
                <w:right w:val="none" w:sz="0" w:space="0" w:color="auto"/>
              </w:divBdr>
            </w:div>
          </w:divsChild>
        </w:div>
        <w:div w:id="755177972">
          <w:marLeft w:val="0"/>
          <w:marRight w:val="0"/>
          <w:marTop w:val="0"/>
          <w:marBottom w:val="0"/>
          <w:divBdr>
            <w:top w:val="none" w:sz="0" w:space="0" w:color="auto"/>
            <w:left w:val="none" w:sz="0" w:space="0" w:color="auto"/>
            <w:bottom w:val="none" w:sz="0" w:space="0" w:color="auto"/>
            <w:right w:val="none" w:sz="0" w:space="0" w:color="auto"/>
          </w:divBdr>
          <w:divsChild>
            <w:div w:id="59445784">
              <w:marLeft w:val="0"/>
              <w:marRight w:val="0"/>
              <w:marTop w:val="0"/>
              <w:marBottom w:val="0"/>
              <w:divBdr>
                <w:top w:val="none" w:sz="0" w:space="0" w:color="auto"/>
                <w:left w:val="none" w:sz="0" w:space="0" w:color="auto"/>
                <w:bottom w:val="none" w:sz="0" w:space="0" w:color="auto"/>
                <w:right w:val="none" w:sz="0" w:space="0" w:color="auto"/>
              </w:divBdr>
            </w:div>
          </w:divsChild>
        </w:div>
        <w:div w:id="850218979">
          <w:marLeft w:val="0"/>
          <w:marRight w:val="0"/>
          <w:marTop w:val="0"/>
          <w:marBottom w:val="0"/>
          <w:divBdr>
            <w:top w:val="none" w:sz="0" w:space="0" w:color="auto"/>
            <w:left w:val="none" w:sz="0" w:space="0" w:color="auto"/>
            <w:bottom w:val="none" w:sz="0" w:space="0" w:color="auto"/>
            <w:right w:val="none" w:sz="0" w:space="0" w:color="auto"/>
          </w:divBdr>
          <w:divsChild>
            <w:div w:id="982809166">
              <w:marLeft w:val="0"/>
              <w:marRight w:val="0"/>
              <w:marTop w:val="0"/>
              <w:marBottom w:val="0"/>
              <w:divBdr>
                <w:top w:val="none" w:sz="0" w:space="0" w:color="auto"/>
                <w:left w:val="none" w:sz="0" w:space="0" w:color="auto"/>
                <w:bottom w:val="none" w:sz="0" w:space="0" w:color="auto"/>
                <w:right w:val="none" w:sz="0" w:space="0" w:color="auto"/>
              </w:divBdr>
            </w:div>
          </w:divsChild>
        </w:div>
        <w:div w:id="1012613546">
          <w:marLeft w:val="0"/>
          <w:marRight w:val="0"/>
          <w:marTop w:val="0"/>
          <w:marBottom w:val="0"/>
          <w:divBdr>
            <w:top w:val="none" w:sz="0" w:space="0" w:color="auto"/>
            <w:left w:val="none" w:sz="0" w:space="0" w:color="auto"/>
            <w:bottom w:val="none" w:sz="0" w:space="0" w:color="auto"/>
            <w:right w:val="none" w:sz="0" w:space="0" w:color="auto"/>
          </w:divBdr>
          <w:divsChild>
            <w:div w:id="458183450">
              <w:marLeft w:val="0"/>
              <w:marRight w:val="0"/>
              <w:marTop w:val="0"/>
              <w:marBottom w:val="0"/>
              <w:divBdr>
                <w:top w:val="none" w:sz="0" w:space="0" w:color="auto"/>
                <w:left w:val="none" w:sz="0" w:space="0" w:color="auto"/>
                <w:bottom w:val="none" w:sz="0" w:space="0" w:color="auto"/>
                <w:right w:val="none" w:sz="0" w:space="0" w:color="auto"/>
              </w:divBdr>
            </w:div>
          </w:divsChild>
        </w:div>
        <w:div w:id="1042092731">
          <w:marLeft w:val="0"/>
          <w:marRight w:val="0"/>
          <w:marTop w:val="0"/>
          <w:marBottom w:val="0"/>
          <w:divBdr>
            <w:top w:val="none" w:sz="0" w:space="0" w:color="auto"/>
            <w:left w:val="none" w:sz="0" w:space="0" w:color="auto"/>
            <w:bottom w:val="none" w:sz="0" w:space="0" w:color="auto"/>
            <w:right w:val="none" w:sz="0" w:space="0" w:color="auto"/>
          </w:divBdr>
          <w:divsChild>
            <w:div w:id="1078017050">
              <w:marLeft w:val="0"/>
              <w:marRight w:val="0"/>
              <w:marTop w:val="0"/>
              <w:marBottom w:val="0"/>
              <w:divBdr>
                <w:top w:val="none" w:sz="0" w:space="0" w:color="auto"/>
                <w:left w:val="none" w:sz="0" w:space="0" w:color="auto"/>
                <w:bottom w:val="none" w:sz="0" w:space="0" w:color="auto"/>
                <w:right w:val="none" w:sz="0" w:space="0" w:color="auto"/>
              </w:divBdr>
            </w:div>
          </w:divsChild>
        </w:div>
        <w:div w:id="1100755789">
          <w:marLeft w:val="0"/>
          <w:marRight w:val="0"/>
          <w:marTop w:val="0"/>
          <w:marBottom w:val="0"/>
          <w:divBdr>
            <w:top w:val="none" w:sz="0" w:space="0" w:color="auto"/>
            <w:left w:val="none" w:sz="0" w:space="0" w:color="auto"/>
            <w:bottom w:val="none" w:sz="0" w:space="0" w:color="auto"/>
            <w:right w:val="none" w:sz="0" w:space="0" w:color="auto"/>
          </w:divBdr>
          <w:divsChild>
            <w:div w:id="1792089549">
              <w:marLeft w:val="0"/>
              <w:marRight w:val="0"/>
              <w:marTop w:val="0"/>
              <w:marBottom w:val="0"/>
              <w:divBdr>
                <w:top w:val="none" w:sz="0" w:space="0" w:color="auto"/>
                <w:left w:val="none" w:sz="0" w:space="0" w:color="auto"/>
                <w:bottom w:val="none" w:sz="0" w:space="0" w:color="auto"/>
                <w:right w:val="none" w:sz="0" w:space="0" w:color="auto"/>
              </w:divBdr>
            </w:div>
          </w:divsChild>
        </w:div>
        <w:div w:id="1229925558">
          <w:marLeft w:val="0"/>
          <w:marRight w:val="0"/>
          <w:marTop w:val="0"/>
          <w:marBottom w:val="0"/>
          <w:divBdr>
            <w:top w:val="none" w:sz="0" w:space="0" w:color="auto"/>
            <w:left w:val="none" w:sz="0" w:space="0" w:color="auto"/>
            <w:bottom w:val="none" w:sz="0" w:space="0" w:color="auto"/>
            <w:right w:val="none" w:sz="0" w:space="0" w:color="auto"/>
          </w:divBdr>
          <w:divsChild>
            <w:div w:id="839737870">
              <w:marLeft w:val="0"/>
              <w:marRight w:val="0"/>
              <w:marTop w:val="0"/>
              <w:marBottom w:val="0"/>
              <w:divBdr>
                <w:top w:val="none" w:sz="0" w:space="0" w:color="auto"/>
                <w:left w:val="none" w:sz="0" w:space="0" w:color="auto"/>
                <w:bottom w:val="none" w:sz="0" w:space="0" w:color="auto"/>
                <w:right w:val="none" w:sz="0" w:space="0" w:color="auto"/>
              </w:divBdr>
            </w:div>
            <w:div w:id="1108084941">
              <w:marLeft w:val="0"/>
              <w:marRight w:val="0"/>
              <w:marTop w:val="0"/>
              <w:marBottom w:val="0"/>
              <w:divBdr>
                <w:top w:val="none" w:sz="0" w:space="0" w:color="auto"/>
                <w:left w:val="none" w:sz="0" w:space="0" w:color="auto"/>
                <w:bottom w:val="none" w:sz="0" w:space="0" w:color="auto"/>
                <w:right w:val="none" w:sz="0" w:space="0" w:color="auto"/>
              </w:divBdr>
            </w:div>
          </w:divsChild>
        </w:div>
        <w:div w:id="1294948924">
          <w:marLeft w:val="0"/>
          <w:marRight w:val="0"/>
          <w:marTop w:val="0"/>
          <w:marBottom w:val="0"/>
          <w:divBdr>
            <w:top w:val="none" w:sz="0" w:space="0" w:color="auto"/>
            <w:left w:val="none" w:sz="0" w:space="0" w:color="auto"/>
            <w:bottom w:val="none" w:sz="0" w:space="0" w:color="auto"/>
            <w:right w:val="none" w:sz="0" w:space="0" w:color="auto"/>
          </w:divBdr>
          <w:divsChild>
            <w:div w:id="1795521350">
              <w:marLeft w:val="0"/>
              <w:marRight w:val="0"/>
              <w:marTop w:val="0"/>
              <w:marBottom w:val="0"/>
              <w:divBdr>
                <w:top w:val="none" w:sz="0" w:space="0" w:color="auto"/>
                <w:left w:val="none" w:sz="0" w:space="0" w:color="auto"/>
                <w:bottom w:val="none" w:sz="0" w:space="0" w:color="auto"/>
                <w:right w:val="none" w:sz="0" w:space="0" w:color="auto"/>
              </w:divBdr>
            </w:div>
          </w:divsChild>
        </w:div>
        <w:div w:id="1325206151">
          <w:marLeft w:val="0"/>
          <w:marRight w:val="0"/>
          <w:marTop w:val="0"/>
          <w:marBottom w:val="0"/>
          <w:divBdr>
            <w:top w:val="none" w:sz="0" w:space="0" w:color="auto"/>
            <w:left w:val="none" w:sz="0" w:space="0" w:color="auto"/>
            <w:bottom w:val="none" w:sz="0" w:space="0" w:color="auto"/>
            <w:right w:val="none" w:sz="0" w:space="0" w:color="auto"/>
          </w:divBdr>
          <w:divsChild>
            <w:div w:id="588660769">
              <w:marLeft w:val="0"/>
              <w:marRight w:val="0"/>
              <w:marTop w:val="0"/>
              <w:marBottom w:val="0"/>
              <w:divBdr>
                <w:top w:val="none" w:sz="0" w:space="0" w:color="auto"/>
                <w:left w:val="none" w:sz="0" w:space="0" w:color="auto"/>
                <w:bottom w:val="none" w:sz="0" w:space="0" w:color="auto"/>
                <w:right w:val="none" w:sz="0" w:space="0" w:color="auto"/>
              </w:divBdr>
            </w:div>
          </w:divsChild>
        </w:div>
        <w:div w:id="1524323105">
          <w:marLeft w:val="0"/>
          <w:marRight w:val="0"/>
          <w:marTop w:val="0"/>
          <w:marBottom w:val="0"/>
          <w:divBdr>
            <w:top w:val="none" w:sz="0" w:space="0" w:color="auto"/>
            <w:left w:val="none" w:sz="0" w:space="0" w:color="auto"/>
            <w:bottom w:val="none" w:sz="0" w:space="0" w:color="auto"/>
            <w:right w:val="none" w:sz="0" w:space="0" w:color="auto"/>
          </w:divBdr>
          <w:divsChild>
            <w:div w:id="1095243423">
              <w:marLeft w:val="0"/>
              <w:marRight w:val="0"/>
              <w:marTop w:val="0"/>
              <w:marBottom w:val="0"/>
              <w:divBdr>
                <w:top w:val="none" w:sz="0" w:space="0" w:color="auto"/>
                <w:left w:val="none" w:sz="0" w:space="0" w:color="auto"/>
                <w:bottom w:val="none" w:sz="0" w:space="0" w:color="auto"/>
                <w:right w:val="none" w:sz="0" w:space="0" w:color="auto"/>
              </w:divBdr>
            </w:div>
          </w:divsChild>
        </w:div>
        <w:div w:id="1605573003">
          <w:marLeft w:val="0"/>
          <w:marRight w:val="0"/>
          <w:marTop w:val="0"/>
          <w:marBottom w:val="0"/>
          <w:divBdr>
            <w:top w:val="none" w:sz="0" w:space="0" w:color="auto"/>
            <w:left w:val="none" w:sz="0" w:space="0" w:color="auto"/>
            <w:bottom w:val="none" w:sz="0" w:space="0" w:color="auto"/>
            <w:right w:val="none" w:sz="0" w:space="0" w:color="auto"/>
          </w:divBdr>
          <w:divsChild>
            <w:div w:id="263923460">
              <w:marLeft w:val="0"/>
              <w:marRight w:val="0"/>
              <w:marTop w:val="0"/>
              <w:marBottom w:val="0"/>
              <w:divBdr>
                <w:top w:val="none" w:sz="0" w:space="0" w:color="auto"/>
                <w:left w:val="none" w:sz="0" w:space="0" w:color="auto"/>
                <w:bottom w:val="none" w:sz="0" w:space="0" w:color="auto"/>
                <w:right w:val="none" w:sz="0" w:space="0" w:color="auto"/>
              </w:divBdr>
            </w:div>
          </w:divsChild>
        </w:div>
        <w:div w:id="1650479974">
          <w:marLeft w:val="0"/>
          <w:marRight w:val="0"/>
          <w:marTop w:val="0"/>
          <w:marBottom w:val="0"/>
          <w:divBdr>
            <w:top w:val="none" w:sz="0" w:space="0" w:color="auto"/>
            <w:left w:val="none" w:sz="0" w:space="0" w:color="auto"/>
            <w:bottom w:val="none" w:sz="0" w:space="0" w:color="auto"/>
            <w:right w:val="none" w:sz="0" w:space="0" w:color="auto"/>
          </w:divBdr>
          <w:divsChild>
            <w:div w:id="1041638912">
              <w:marLeft w:val="0"/>
              <w:marRight w:val="0"/>
              <w:marTop w:val="0"/>
              <w:marBottom w:val="0"/>
              <w:divBdr>
                <w:top w:val="none" w:sz="0" w:space="0" w:color="auto"/>
                <w:left w:val="none" w:sz="0" w:space="0" w:color="auto"/>
                <w:bottom w:val="none" w:sz="0" w:space="0" w:color="auto"/>
                <w:right w:val="none" w:sz="0" w:space="0" w:color="auto"/>
              </w:divBdr>
            </w:div>
          </w:divsChild>
        </w:div>
        <w:div w:id="1650984077">
          <w:marLeft w:val="0"/>
          <w:marRight w:val="0"/>
          <w:marTop w:val="0"/>
          <w:marBottom w:val="0"/>
          <w:divBdr>
            <w:top w:val="none" w:sz="0" w:space="0" w:color="auto"/>
            <w:left w:val="none" w:sz="0" w:space="0" w:color="auto"/>
            <w:bottom w:val="none" w:sz="0" w:space="0" w:color="auto"/>
            <w:right w:val="none" w:sz="0" w:space="0" w:color="auto"/>
          </w:divBdr>
          <w:divsChild>
            <w:div w:id="985741255">
              <w:marLeft w:val="0"/>
              <w:marRight w:val="0"/>
              <w:marTop w:val="0"/>
              <w:marBottom w:val="0"/>
              <w:divBdr>
                <w:top w:val="none" w:sz="0" w:space="0" w:color="auto"/>
                <w:left w:val="none" w:sz="0" w:space="0" w:color="auto"/>
                <w:bottom w:val="none" w:sz="0" w:space="0" w:color="auto"/>
                <w:right w:val="none" w:sz="0" w:space="0" w:color="auto"/>
              </w:divBdr>
            </w:div>
          </w:divsChild>
        </w:div>
        <w:div w:id="1670447707">
          <w:marLeft w:val="0"/>
          <w:marRight w:val="0"/>
          <w:marTop w:val="0"/>
          <w:marBottom w:val="0"/>
          <w:divBdr>
            <w:top w:val="none" w:sz="0" w:space="0" w:color="auto"/>
            <w:left w:val="none" w:sz="0" w:space="0" w:color="auto"/>
            <w:bottom w:val="none" w:sz="0" w:space="0" w:color="auto"/>
            <w:right w:val="none" w:sz="0" w:space="0" w:color="auto"/>
          </w:divBdr>
          <w:divsChild>
            <w:div w:id="994068931">
              <w:marLeft w:val="0"/>
              <w:marRight w:val="0"/>
              <w:marTop w:val="0"/>
              <w:marBottom w:val="0"/>
              <w:divBdr>
                <w:top w:val="none" w:sz="0" w:space="0" w:color="auto"/>
                <w:left w:val="none" w:sz="0" w:space="0" w:color="auto"/>
                <w:bottom w:val="none" w:sz="0" w:space="0" w:color="auto"/>
                <w:right w:val="none" w:sz="0" w:space="0" w:color="auto"/>
              </w:divBdr>
            </w:div>
          </w:divsChild>
        </w:div>
        <w:div w:id="1703363433">
          <w:marLeft w:val="0"/>
          <w:marRight w:val="0"/>
          <w:marTop w:val="0"/>
          <w:marBottom w:val="0"/>
          <w:divBdr>
            <w:top w:val="none" w:sz="0" w:space="0" w:color="auto"/>
            <w:left w:val="none" w:sz="0" w:space="0" w:color="auto"/>
            <w:bottom w:val="none" w:sz="0" w:space="0" w:color="auto"/>
            <w:right w:val="none" w:sz="0" w:space="0" w:color="auto"/>
          </w:divBdr>
          <w:divsChild>
            <w:div w:id="1691447133">
              <w:marLeft w:val="0"/>
              <w:marRight w:val="0"/>
              <w:marTop w:val="0"/>
              <w:marBottom w:val="0"/>
              <w:divBdr>
                <w:top w:val="none" w:sz="0" w:space="0" w:color="auto"/>
                <w:left w:val="none" w:sz="0" w:space="0" w:color="auto"/>
                <w:bottom w:val="none" w:sz="0" w:space="0" w:color="auto"/>
                <w:right w:val="none" w:sz="0" w:space="0" w:color="auto"/>
              </w:divBdr>
            </w:div>
          </w:divsChild>
        </w:div>
        <w:div w:id="1709525539">
          <w:marLeft w:val="0"/>
          <w:marRight w:val="0"/>
          <w:marTop w:val="0"/>
          <w:marBottom w:val="0"/>
          <w:divBdr>
            <w:top w:val="none" w:sz="0" w:space="0" w:color="auto"/>
            <w:left w:val="none" w:sz="0" w:space="0" w:color="auto"/>
            <w:bottom w:val="none" w:sz="0" w:space="0" w:color="auto"/>
            <w:right w:val="none" w:sz="0" w:space="0" w:color="auto"/>
          </w:divBdr>
          <w:divsChild>
            <w:div w:id="426342664">
              <w:marLeft w:val="0"/>
              <w:marRight w:val="0"/>
              <w:marTop w:val="0"/>
              <w:marBottom w:val="0"/>
              <w:divBdr>
                <w:top w:val="none" w:sz="0" w:space="0" w:color="auto"/>
                <w:left w:val="none" w:sz="0" w:space="0" w:color="auto"/>
                <w:bottom w:val="none" w:sz="0" w:space="0" w:color="auto"/>
                <w:right w:val="none" w:sz="0" w:space="0" w:color="auto"/>
              </w:divBdr>
            </w:div>
          </w:divsChild>
        </w:div>
        <w:div w:id="1718696574">
          <w:marLeft w:val="0"/>
          <w:marRight w:val="0"/>
          <w:marTop w:val="0"/>
          <w:marBottom w:val="0"/>
          <w:divBdr>
            <w:top w:val="none" w:sz="0" w:space="0" w:color="auto"/>
            <w:left w:val="none" w:sz="0" w:space="0" w:color="auto"/>
            <w:bottom w:val="none" w:sz="0" w:space="0" w:color="auto"/>
            <w:right w:val="none" w:sz="0" w:space="0" w:color="auto"/>
          </w:divBdr>
          <w:divsChild>
            <w:div w:id="589778555">
              <w:marLeft w:val="0"/>
              <w:marRight w:val="0"/>
              <w:marTop w:val="0"/>
              <w:marBottom w:val="0"/>
              <w:divBdr>
                <w:top w:val="none" w:sz="0" w:space="0" w:color="auto"/>
                <w:left w:val="none" w:sz="0" w:space="0" w:color="auto"/>
                <w:bottom w:val="none" w:sz="0" w:space="0" w:color="auto"/>
                <w:right w:val="none" w:sz="0" w:space="0" w:color="auto"/>
              </w:divBdr>
            </w:div>
          </w:divsChild>
        </w:div>
        <w:div w:id="1722436371">
          <w:marLeft w:val="0"/>
          <w:marRight w:val="0"/>
          <w:marTop w:val="0"/>
          <w:marBottom w:val="0"/>
          <w:divBdr>
            <w:top w:val="none" w:sz="0" w:space="0" w:color="auto"/>
            <w:left w:val="none" w:sz="0" w:space="0" w:color="auto"/>
            <w:bottom w:val="none" w:sz="0" w:space="0" w:color="auto"/>
            <w:right w:val="none" w:sz="0" w:space="0" w:color="auto"/>
          </w:divBdr>
          <w:divsChild>
            <w:div w:id="2118139204">
              <w:marLeft w:val="0"/>
              <w:marRight w:val="0"/>
              <w:marTop w:val="0"/>
              <w:marBottom w:val="0"/>
              <w:divBdr>
                <w:top w:val="none" w:sz="0" w:space="0" w:color="auto"/>
                <w:left w:val="none" w:sz="0" w:space="0" w:color="auto"/>
                <w:bottom w:val="none" w:sz="0" w:space="0" w:color="auto"/>
                <w:right w:val="none" w:sz="0" w:space="0" w:color="auto"/>
              </w:divBdr>
            </w:div>
          </w:divsChild>
        </w:div>
        <w:div w:id="1787431944">
          <w:marLeft w:val="0"/>
          <w:marRight w:val="0"/>
          <w:marTop w:val="0"/>
          <w:marBottom w:val="0"/>
          <w:divBdr>
            <w:top w:val="none" w:sz="0" w:space="0" w:color="auto"/>
            <w:left w:val="none" w:sz="0" w:space="0" w:color="auto"/>
            <w:bottom w:val="none" w:sz="0" w:space="0" w:color="auto"/>
            <w:right w:val="none" w:sz="0" w:space="0" w:color="auto"/>
          </w:divBdr>
          <w:divsChild>
            <w:div w:id="754519744">
              <w:marLeft w:val="0"/>
              <w:marRight w:val="0"/>
              <w:marTop w:val="0"/>
              <w:marBottom w:val="0"/>
              <w:divBdr>
                <w:top w:val="none" w:sz="0" w:space="0" w:color="auto"/>
                <w:left w:val="none" w:sz="0" w:space="0" w:color="auto"/>
                <w:bottom w:val="none" w:sz="0" w:space="0" w:color="auto"/>
                <w:right w:val="none" w:sz="0" w:space="0" w:color="auto"/>
              </w:divBdr>
            </w:div>
          </w:divsChild>
        </w:div>
        <w:div w:id="1891381750">
          <w:marLeft w:val="0"/>
          <w:marRight w:val="0"/>
          <w:marTop w:val="0"/>
          <w:marBottom w:val="0"/>
          <w:divBdr>
            <w:top w:val="none" w:sz="0" w:space="0" w:color="auto"/>
            <w:left w:val="none" w:sz="0" w:space="0" w:color="auto"/>
            <w:bottom w:val="none" w:sz="0" w:space="0" w:color="auto"/>
            <w:right w:val="none" w:sz="0" w:space="0" w:color="auto"/>
          </w:divBdr>
          <w:divsChild>
            <w:div w:id="1757170533">
              <w:marLeft w:val="0"/>
              <w:marRight w:val="0"/>
              <w:marTop w:val="0"/>
              <w:marBottom w:val="0"/>
              <w:divBdr>
                <w:top w:val="none" w:sz="0" w:space="0" w:color="auto"/>
                <w:left w:val="none" w:sz="0" w:space="0" w:color="auto"/>
                <w:bottom w:val="none" w:sz="0" w:space="0" w:color="auto"/>
                <w:right w:val="none" w:sz="0" w:space="0" w:color="auto"/>
              </w:divBdr>
            </w:div>
          </w:divsChild>
        </w:div>
        <w:div w:id="1900748798">
          <w:marLeft w:val="0"/>
          <w:marRight w:val="0"/>
          <w:marTop w:val="0"/>
          <w:marBottom w:val="0"/>
          <w:divBdr>
            <w:top w:val="none" w:sz="0" w:space="0" w:color="auto"/>
            <w:left w:val="none" w:sz="0" w:space="0" w:color="auto"/>
            <w:bottom w:val="none" w:sz="0" w:space="0" w:color="auto"/>
            <w:right w:val="none" w:sz="0" w:space="0" w:color="auto"/>
          </w:divBdr>
          <w:divsChild>
            <w:div w:id="717168852">
              <w:marLeft w:val="0"/>
              <w:marRight w:val="0"/>
              <w:marTop w:val="0"/>
              <w:marBottom w:val="0"/>
              <w:divBdr>
                <w:top w:val="none" w:sz="0" w:space="0" w:color="auto"/>
                <w:left w:val="none" w:sz="0" w:space="0" w:color="auto"/>
                <w:bottom w:val="none" w:sz="0" w:space="0" w:color="auto"/>
                <w:right w:val="none" w:sz="0" w:space="0" w:color="auto"/>
              </w:divBdr>
            </w:div>
          </w:divsChild>
        </w:div>
        <w:div w:id="1904414938">
          <w:marLeft w:val="0"/>
          <w:marRight w:val="0"/>
          <w:marTop w:val="0"/>
          <w:marBottom w:val="0"/>
          <w:divBdr>
            <w:top w:val="none" w:sz="0" w:space="0" w:color="auto"/>
            <w:left w:val="none" w:sz="0" w:space="0" w:color="auto"/>
            <w:bottom w:val="none" w:sz="0" w:space="0" w:color="auto"/>
            <w:right w:val="none" w:sz="0" w:space="0" w:color="auto"/>
          </w:divBdr>
          <w:divsChild>
            <w:div w:id="1741709308">
              <w:marLeft w:val="0"/>
              <w:marRight w:val="0"/>
              <w:marTop w:val="0"/>
              <w:marBottom w:val="0"/>
              <w:divBdr>
                <w:top w:val="none" w:sz="0" w:space="0" w:color="auto"/>
                <w:left w:val="none" w:sz="0" w:space="0" w:color="auto"/>
                <w:bottom w:val="none" w:sz="0" w:space="0" w:color="auto"/>
                <w:right w:val="none" w:sz="0" w:space="0" w:color="auto"/>
              </w:divBdr>
            </w:div>
          </w:divsChild>
        </w:div>
        <w:div w:id="1930112266">
          <w:marLeft w:val="0"/>
          <w:marRight w:val="0"/>
          <w:marTop w:val="0"/>
          <w:marBottom w:val="0"/>
          <w:divBdr>
            <w:top w:val="none" w:sz="0" w:space="0" w:color="auto"/>
            <w:left w:val="none" w:sz="0" w:space="0" w:color="auto"/>
            <w:bottom w:val="none" w:sz="0" w:space="0" w:color="auto"/>
            <w:right w:val="none" w:sz="0" w:space="0" w:color="auto"/>
          </w:divBdr>
          <w:divsChild>
            <w:div w:id="1098718650">
              <w:marLeft w:val="0"/>
              <w:marRight w:val="0"/>
              <w:marTop w:val="0"/>
              <w:marBottom w:val="0"/>
              <w:divBdr>
                <w:top w:val="none" w:sz="0" w:space="0" w:color="auto"/>
                <w:left w:val="none" w:sz="0" w:space="0" w:color="auto"/>
                <w:bottom w:val="none" w:sz="0" w:space="0" w:color="auto"/>
                <w:right w:val="none" w:sz="0" w:space="0" w:color="auto"/>
              </w:divBdr>
            </w:div>
          </w:divsChild>
        </w:div>
        <w:div w:id="1982534646">
          <w:marLeft w:val="0"/>
          <w:marRight w:val="0"/>
          <w:marTop w:val="0"/>
          <w:marBottom w:val="0"/>
          <w:divBdr>
            <w:top w:val="none" w:sz="0" w:space="0" w:color="auto"/>
            <w:left w:val="none" w:sz="0" w:space="0" w:color="auto"/>
            <w:bottom w:val="none" w:sz="0" w:space="0" w:color="auto"/>
            <w:right w:val="none" w:sz="0" w:space="0" w:color="auto"/>
          </w:divBdr>
          <w:divsChild>
            <w:div w:id="300504220">
              <w:marLeft w:val="0"/>
              <w:marRight w:val="0"/>
              <w:marTop w:val="0"/>
              <w:marBottom w:val="0"/>
              <w:divBdr>
                <w:top w:val="none" w:sz="0" w:space="0" w:color="auto"/>
                <w:left w:val="none" w:sz="0" w:space="0" w:color="auto"/>
                <w:bottom w:val="none" w:sz="0" w:space="0" w:color="auto"/>
                <w:right w:val="none" w:sz="0" w:space="0" w:color="auto"/>
              </w:divBdr>
            </w:div>
          </w:divsChild>
        </w:div>
        <w:div w:id="2006201426">
          <w:marLeft w:val="0"/>
          <w:marRight w:val="0"/>
          <w:marTop w:val="0"/>
          <w:marBottom w:val="0"/>
          <w:divBdr>
            <w:top w:val="none" w:sz="0" w:space="0" w:color="auto"/>
            <w:left w:val="none" w:sz="0" w:space="0" w:color="auto"/>
            <w:bottom w:val="none" w:sz="0" w:space="0" w:color="auto"/>
            <w:right w:val="none" w:sz="0" w:space="0" w:color="auto"/>
          </w:divBdr>
          <w:divsChild>
            <w:div w:id="349526762">
              <w:marLeft w:val="0"/>
              <w:marRight w:val="0"/>
              <w:marTop w:val="0"/>
              <w:marBottom w:val="0"/>
              <w:divBdr>
                <w:top w:val="none" w:sz="0" w:space="0" w:color="auto"/>
                <w:left w:val="none" w:sz="0" w:space="0" w:color="auto"/>
                <w:bottom w:val="none" w:sz="0" w:space="0" w:color="auto"/>
                <w:right w:val="none" w:sz="0" w:space="0" w:color="auto"/>
              </w:divBdr>
            </w:div>
          </w:divsChild>
        </w:div>
        <w:div w:id="2059280340">
          <w:marLeft w:val="0"/>
          <w:marRight w:val="0"/>
          <w:marTop w:val="0"/>
          <w:marBottom w:val="0"/>
          <w:divBdr>
            <w:top w:val="none" w:sz="0" w:space="0" w:color="auto"/>
            <w:left w:val="none" w:sz="0" w:space="0" w:color="auto"/>
            <w:bottom w:val="none" w:sz="0" w:space="0" w:color="auto"/>
            <w:right w:val="none" w:sz="0" w:space="0" w:color="auto"/>
          </w:divBdr>
          <w:divsChild>
            <w:div w:id="1283920650">
              <w:marLeft w:val="0"/>
              <w:marRight w:val="0"/>
              <w:marTop w:val="0"/>
              <w:marBottom w:val="0"/>
              <w:divBdr>
                <w:top w:val="none" w:sz="0" w:space="0" w:color="auto"/>
                <w:left w:val="none" w:sz="0" w:space="0" w:color="auto"/>
                <w:bottom w:val="none" w:sz="0" w:space="0" w:color="auto"/>
                <w:right w:val="none" w:sz="0" w:space="0" w:color="auto"/>
              </w:divBdr>
            </w:div>
          </w:divsChild>
        </w:div>
        <w:div w:id="2091611975">
          <w:marLeft w:val="0"/>
          <w:marRight w:val="0"/>
          <w:marTop w:val="0"/>
          <w:marBottom w:val="0"/>
          <w:divBdr>
            <w:top w:val="none" w:sz="0" w:space="0" w:color="auto"/>
            <w:left w:val="none" w:sz="0" w:space="0" w:color="auto"/>
            <w:bottom w:val="none" w:sz="0" w:space="0" w:color="auto"/>
            <w:right w:val="none" w:sz="0" w:space="0" w:color="auto"/>
          </w:divBdr>
          <w:divsChild>
            <w:div w:id="1132212170">
              <w:marLeft w:val="0"/>
              <w:marRight w:val="0"/>
              <w:marTop w:val="0"/>
              <w:marBottom w:val="0"/>
              <w:divBdr>
                <w:top w:val="none" w:sz="0" w:space="0" w:color="auto"/>
                <w:left w:val="none" w:sz="0" w:space="0" w:color="auto"/>
                <w:bottom w:val="none" w:sz="0" w:space="0" w:color="auto"/>
                <w:right w:val="none" w:sz="0" w:space="0" w:color="auto"/>
              </w:divBdr>
            </w:div>
          </w:divsChild>
        </w:div>
        <w:div w:id="2137330879">
          <w:marLeft w:val="0"/>
          <w:marRight w:val="0"/>
          <w:marTop w:val="0"/>
          <w:marBottom w:val="0"/>
          <w:divBdr>
            <w:top w:val="none" w:sz="0" w:space="0" w:color="auto"/>
            <w:left w:val="none" w:sz="0" w:space="0" w:color="auto"/>
            <w:bottom w:val="none" w:sz="0" w:space="0" w:color="auto"/>
            <w:right w:val="none" w:sz="0" w:space="0" w:color="auto"/>
          </w:divBdr>
          <w:divsChild>
            <w:div w:id="1488206015">
              <w:marLeft w:val="0"/>
              <w:marRight w:val="0"/>
              <w:marTop w:val="0"/>
              <w:marBottom w:val="0"/>
              <w:divBdr>
                <w:top w:val="none" w:sz="0" w:space="0" w:color="auto"/>
                <w:left w:val="none" w:sz="0" w:space="0" w:color="auto"/>
                <w:bottom w:val="none" w:sz="0" w:space="0" w:color="auto"/>
                <w:right w:val="none" w:sz="0" w:space="0" w:color="auto"/>
              </w:divBdr>
            </w:div>
          </w:divsChild>
        </w:div>
        <w:div w:id="2139570620">
          <w:marLeft w:val="0"/>
          <w:marRight w:val="0"/>
          <w:marTop w:val="0"/>
          <w:marBottom w:val="0"/>
          <w:divBdr>
            <w:top w:val="none" w:sz="0" w:space="0" w:color="auto"/>
            <w:left w:val="none" w:sz="0" w:space="0" w:color="auto"/>
            <w:bottom w:val="none" w:sz="0" w:space="0" w:color="auto"/>
            <w:right w:val="none" w:sz="0" w:space="0" w:color="auto"/>
          </w:divBdr>
          <w:divsChild>
            <w:div w:id="1673488568">
              <w:marLeft w:val="0"/>
              <w:marRight w:val="0"/>
              <w:marTop w:val="0"/>
              <w:marBottom w:val="0"/>
              <w:divBdr>
                <w:top w:val="none" w:sz="0" w:space="0" w:color="auto"/>
                <w:left w:val="none" w:sz="0" w:space="0" w:color="auto"/>
                <w:bottom w:val="none" w:sz="0" w:space="0" w:color="auto"/>
                <w:right w:val="none" w:sz="0" w:space="0" w:color="auto"/>
              </w:divBdr>
            </w:div>
          </w:divsChild>
        </w:div>
        <w:div w:id="2145349162">
          <w:marLeft w:val="0"/>
          <w:marRight w:val="0"/>
          <w:marTop w:val="0"/>
          <w:marBottom w:val="0"/>
          <w:divBdr>
            <w:top w:val="none" w:sz="0" w:space="0" w:color="auto"/>
            <w:left w:val="none" w:sz="0" w:space="0" w:color="auto"/>
            <w:bottom w:val="none" w:sz="0" w:space="0" w:color="auto"/>
            <w:right w:val="none" w:sz="0" w:space="0" w:color="auto"/>
          </w:divBdr>
          <w:divsChild>
            <w:div w:id="10554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6171">
      <w:bodyDiv w:val="1"/>
      <w:marLeft w:val="0"/>
      <w:marRight w:val="0"/>
      <w:marTop w:val="0"/>
      <w:marBottom w:val="0"/>
      <w:divBdr>
        <w:top w:val="none" w:sz="0" w:space="0" w:color="auto"/>
        <w:left w:val="none" w:sz="0" w:space="0" w:color="auto"/>
        <w:bottom w:val="none" w:sz="0" w:space="0" w:color="auto"/>
        <w:right w:val="none" w:sz="0" w:space="0" w:color="auto"/>
      </w:divBdr>
    </w:div>
    <w:div w:id="1045449428">
      <w:bodyDiv w:val="1"/>
      <w:marLeft w:val="0"/>
      <w:marRight w:val="0"/>
      <w:marTop w:val="0"/>
      <w:marBottom w:val="0"/>
      <w:divBdr>
        <w:top w:val="none" w:sz="0" w:space="0" w:color="auto"/>
        <w:left w:val="none" w:sz="0" w:space="0" w:color="auto"/>
        <w:bottom w:val="none" w:sz="0" w:space="0" w:color="auto"/>
        <w:right w:val="none" w:sz="0" w:space="0" w:color="auto"/>
      </w:divBdr>
    </w:div>
    <w:div w:id="1083650581">
      <w:bodyDiv w:val="1"/>
      <w:marLeft w:val="0"/>
      <w:marRight w:val="0"/>
      <w:marTop w:val="0"/>
      <w:marBottom w:val="0"/>
      <w:divBdr>
        <w:top w:val="none" w:sz="0" w:space="0" w:color="auto"/>
        <w:left w:val="none" w:sz="0" w:space="0" w:color="auto"/>
        <w:bottom w:val="none" w:sz="0" w:space="0" w:color="auto"/>
        <w:right w:val="none" w:sz="0" w:space="0" w:color="auto"/>
      </w:divBdr>
    </w:div>
    <w:div w:id="1103107894">
      <w:bodyDiv w:val="1"/>
      <w:marLeft w:val="0"/>
      <w:marRight w:val="0"/>
      <w:marTop w:val="0"/>
      <w:marBottom w:val="0"/>
      <w:divBdr>
        <w:top w:val="none" w:sz="0" w:space="0" w:color="auto"/>
        <w:left w:val="none" w:sz="0" w:space="0" w:color="auto"/>
        <w:bottom w:val="none" w:sz="0" w:space="0" w:color="auto"/>
        <w:right w:val="none" w:sz="0" w:space="0" w:color="auto"/>
      </w:divBdr>
      <w:divsChild>
        <w:div w:id="227041054">
          <w:marLeft w:val="0"/>
          <w:marRight w:val="0"/>
          <w:marTop w:val="0"/>
          <w:marBottom w:val="0"/>
          <w:divBdr>
            <w:top w:val="none" w:sz="0" w:space="0" w:color="auto"/>
            <w:left w:val="none" w:sz="0" w:space="0" w:color="auto"/>
            <w:bottom w:val="none" w:sz="0" w:space="0" w:color="auto"/>
            <w:right w:val="none" w:sz="0" w:space="0" w:color="auto"/>
          </w:divBdr>
        </w:div>
        <w:div w:id="695695650">
          <w:marLeft w:val="0"/>
          <w:marRight w:val="0"/>
          <w:marTop w:val="0"/>
          <w:marBottom w:val="0"/>
          <w:divBdr>
            <w:top w:val="none" w:sz="0" w:space="0" w:color="auto"/>
            <w:left w:val="none" w:sz="0" w:space="0" w:color="auto"/>
            <w:bottom w:val="none" w:sz="0" w:space="0" w:color="auto"/>
            <w:right w:val="none" w:sz="0" w:space="0" w:color="auto"/>
          </w:divBdr>
        </w:div>
      </w:divsChild>
    </w:div>
    <w:div w:id="1139542574">
      <w:bodyDiv w:val="1"/>
      <w:marLeft w:val="0"/>
      <w:marRight w:val="0"/>
      <w:marTop w:val="0"/>
      <w:marBottom w:val="0"/>
      <w:divBdr>
        <w:top w:val="none" w:sz="0" w:space="0" w:color="auto"/>
        <w:left w:val="none" w:sz="0" w:space="0" w:color="auto"/>
        <w:bottom w:val="none" w:sz="0" w:space="0" w:color="auto"/>
        <w:right w:val="none" w:sz="0" w:space="0" w:color="auto"/>
      </w:divBdr>
      <w:divsChild>
        <w:div w:id="1084107240">
          <w:marLeft w:val="0"/>
          <w:marRight w:val="0"/>
          <w:marTop w:val="0"/>
          <w:marBottom w:val="0"/>
          <w:divBdr>
            <w:top w:val="none" w:sz="0" w:space="0" w:color="auto"/>
            <w:left w:val="none" w:sz="0" w:space="0" w:color="auto"/>
            <w:bottom w:val="none" w:sz="0" w:space="0" w:color="auto"/>
            <w:right w:val="none" w:sz="0" w:space="0" w:color="auto"/>
          </w:divBdr>
        </w:div>
        <w:div w:id="1279138013">
          <w:marLeft w:val="0"/>
          <w:marRight w:val="0"/>
          <w:marTop w:val="0"/>
          <w:marBottom w:val="0"/>
          <w:divBdr>
            <w:top w:val="none" w:sz="0" w:space="0" w:color="auto"/>
            <w:left w:val="none" w:sz="0" w:space="0" w:color="auto"/>
            <w:bottom w:val="none" w:sz="0" w:space="0" w:color="auto"/>
            <w:right w:val="none" w:sz="0" w:space="0" w:color="auto"/>
          </w:divBdr>
        </w:div>
        <w:div w:id="1611547731">
          <w:marLeft w:val="0"/>
          <w:marRight w:val="0"/>
          <w:marTop w:val="0"/>
          <w:marBottom w:val="0"/>
          <w:divBdr>
            <w:top w:val="none" w:sz="0" w:space="0" w:color="auto"/>
            <w:left w:val="none" w:sz="0" w:space="0" w:color="auto"/>
            <w:bottom w:val="none" w:sz="0" w:space="0" w:color="auto"/>
            <w:right w:val="none" w:sz="0" w:space="0" w:color="auto"/>
          </w:divBdr>
        </w:div>
      </w:divsChild>
    </w:div>
    <w:div w:id="116308822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9687482">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0482144">
      <w:bodyDiv w:val="1"/>
      <w:marLeft w:val="0"/>
      <w:marRight w:val="0"/>
      <w:marTop w:val="0"/>
      <w:marBottom w:val="0"/>
      <w:divBdr>
        <w:top w:val="none" w:sz="0" w:space="0" w:color="auto"/>
        <w:left w:val="none" w:sz="0" w:space="0" w:color="auto"/>
        <w:bottom w:val="none" w:sz="0" w:space="0" w:color="auto"/>
        <w:right w:val="none" w:sz="0" w:space="0" w:color="auto"/>
      </w:divBdr>
      <w:divsChild>
        <w:div w:id="1975802">
          <w:marLeft w:val="0"/>
          <w:marRight w:val="0"/>
          <w:marTop w:val="0"/>
          <w:marBottom w:val="0"/>
          <w:divBdr>
            <w:top w:val="none" w:sz="0" w:space="0" w:color="auto"/>
            <w:left w:val="none" w:sz="0" w:space="0" w:color="auto"/>
            <w:bottom w:val="none" w:sz="0" w:space="0" w:color="auto"/>
            <w:right w:val="none" w:sz="0" w:space="0" w:color="auto"/>
          </w:divBdr>
          <w:divsChild>
            <w:div w:id="1244952261">
              <w:marLeft w:val="0"/>
              <w:marRight w:val="0"/>
              <w:marTop w:val="0"/>
              <w:marBottom w:val="0"/>
              <w:divBdr>
                <w:top w:val="none" w:sz="0" w:space="0" w:color="auto"/>
                <w:left w:val="none" w:sz="0" w:space="0" w:color="auto"/>
                <w:bottom w:val="none" w:sz="0" w:space="0" w:color="auto"/>
                <w:right w:val="none" w:sz="0" w:space="0" w:color="auto"/>
              </w:divBdr>
            </w:div>
          </w:divsChild>
        </w:div>
        <w:div w:id="7100580">
          <w:marLeft w:val="0"/>
          <w:marRight w:val="0"/>
          <w:marTop w:val="0"/>
          <w:marBottom w:val="0"/>
          <w:divBdr>
            <w:top w:val="none" w:sz="0" w:space="0" w:color="auto"/>
            <w:left w:val="none" w:sz="0" w:space="0" w:color="auto"/>
            <w:bottom w:val="none" w:sz="0" w:space="0" w:color="auto"/>
            <w:right w:val="none" w:sz="0" w:space="0" w:color="auto"/>
          </w:divBdr>
          <w:divsChild>
            <w:div w:id="1090155248">
              <w:marLeft w:val="0"/>
              <w:marRight w:val="0"/>
              <w:marTop w:val="0"/>
              <w:marBottom w:val="0"/>
              <w:divBdr>
                <w:top w:val="none" w:sz="0" w:space="0" w:color="auto"/>
                <w:left w:val="none" w:sz="0" w:space="0" w:color="auto"/>
                <w:bottom w:val="none" w:sz="0" w:space="0" w:color="auto"/>
                <w:right w:val="none" w:sz="0" w:space="0" w:color="auto"/>
              </w:divBdr>
            </w:div>
          </w:divsChild>
        </w:div>
        <w:div w:id="43213261">
          <w:marLeft w:val="0"/>
          <w:marRight w:val="0"/>
          <w:marTop w:val="0"/>
          <w:marBottom w:val="0"/>
          <w:divBdr>
            <w:top w:val="none" w:sz="0" w:space="0" w:color="auto"/>
            <w:left w:val="none" w:sz="0" w:space="0" w:color="auto"/>
            <w:bottom w:val="none" w:sz="0" w:space="0" w:color="auto"/>
            <w:right w:val="none" w:sz="0" w:space="0" w:color="auto"/>
          </w:divBdr>
          <w:divsChild>
            <w:div w:id="1139955378">
              <w:marLeft w:val="0"/>
              <w:marRight w:val="0"/>
              <w:marTop w:val="0"/>
              <w:marBottom w:val="0"/>
              <w:divBdr>
                <w:top w:val="none" w:sz="0" w:space="0" w:color="auto"/>
                <w:left w:val="none" w:sz="0" w:space="0" w:color="auto"/>
                <w:bottom w:val="none" w:sz="0" w:space="0" w:color="auto"/>
                <w:right w:val="none" w:sz="0" w:space="0" w:color="auto"/>
              </w:divBdr>
            </w:div>
          </w:divsChild>
        </w:div>
        <w:div w:id="45496403">
          <w:marLeft w:val="0"/>
          <w:marRight w:val="0"/>
          <w:marTop w:val="0"/>
          <w:marBottom w:val="0"/>
          <w:divBdr>
            <w:top w:val="none" w:sz="0" w:space="0" w:color="auto"/>
            <w:left w:val="none" w:sz="0" w:space="0" w:color="auto"/>
            <w:bottom w:val="none" w:sz="0" w:space="0" w:color="auto"/>
            <w:right w:val="none" w:sz="0" w:space="0" w:color="auto"/>
          </w:divBdr>
          <w:divsChild>
            <w:div w:id="2115126517">
              <w:marLeft w:val="0"/>
              <w:marRight w:val="0"/>
              <w:marTop w:val="0"/>
              <w:marBottom w:val="0"/>
              <w:divBdr>
                <w:top w:val="none" w:sz="0" w:space="0" w:color="auto"/>
                <w:left w:val="none" w:sz="0" w:space="0" w:color="auto"/>
                <w:bottom w:val="none" w:sz="0" w:space="0" w:color="auto"/>
                <w:right w:val="none" w:sz="0" w:space="0" w:color="auto"/>
              </w:divBdr>
            </w:div>
          </w:divsChild>
        </w:div>
        <w:div w:id="55202754">
          <w:marLeft w:val="0"/>
          <w:marRight w:val="0"/>
          <w:marTop w:val="0"/>
          <w:marBottom w:val="0"/>
          <w:divBdr>
            <w:top w:val="none" w:sz="0" w:space="0" w:color="auto"/>
            <w:left w:val="none" w:sz="0" w:space="0" w:color="auto"/>
            <w:bottom w:val="none" w:sz="0" w:space="0" w:color="auto"/>
            <w:right w:val="none" w:sz="0" w:space="0" w:color="auto"/>
          </w:divBdr>
          <w:divsChild>
            <w:div w:id="1466000438">
              <w:marLeft w:val="0"/>
              <w:marRight w:val="0"/>
              <w:marTop w:val="0"/>
              <w:marBottom w:val="0"/>
              <w:divBdr>
                <w:top w:val="none" w:sz="0" w:space="0" w:color="auto"/>
                <w:left w:val="none" w:sz="0" w:space="0" w:color="auto"/>
                <w:bottom w:val="none" w:sz="0" w:space="0" w:color="auto"/>
                <w:right w:val="none" w:sz="0" w:space="0" w:color="auto"/>
              </w:divBdr>
            </w:div>
          </w:divsChild>
        </w:div>
        <w:div w:id="70664084">
          <w:marLeft w:val="0"/>
          <w:marRight w:val="0"/>
          <w:marTop w:val="0"/>
          <w:marBottom w:val="0"/>
          <w:divBdr>
            <w:top w:val="none" w:sz="0" w:space="0" w:color="auto"/>
            <w:left w:val="none" w:sz="0" w:space="0" w:color="auto"/>
            <w:bottom w:val="none" w:sz="0" w:space="0" w:color="auto"/>
            <w:right w:val="none" w:sz="0" w:space="0" w:color="auto"/>
          </w:divBdr>
          <w:divsChild>
            <w:div w:id="1489175696">
              <w:marLeft w:val="0"/>
              <w:marRight w:val="0"/>
              <w:marTop w:val="0"/>
              <w:marBottom w:val="0"/>
              <w:divBdr>
                <w:top w:val="none" w:sz="0" w:space="0" w:color="auto"/>
                <w:left w:val="none" w:sz="0" w:space="0" w:color="auto"/>
                <w:bottom w:val="none" w:sz="0" w:space="0" w:color="auto"/>
                <w:right w:val="none" w:sz="0" w:space="0" w:color="auto"/>
              </w:divBdr>
            </w:div>
          </w:divsChild>
        </w:div>
        <w:div w:id="76366955">
          <w:marLeft w:val="0"/>
          <w:marRight w:val="0"/>
          <w:marTop w:val="0"/>
          <w:marBottom w:val="0"/>
          <w:divBdr>
            <w:top w:val="none" w:sz="0" w:space="0" w:color="auto"/>
            <w:left w:val="none" w:sz="0" w:space="0" w:color="auto"/>
            <w:bottom w:val="none" w:sz="0" w:space="0" w:color="auto"/>
            <w:right w:val="none" w:sz="0" w:space="0" w:color="auto"/>
          </w:divBdr>
          <w:divsChild>
            <w:div w:id="1835487221">
              <w:marLeft w:val="0"/>
              <w:marRight w:val="0"/>
              <w:marTop w:val="0"/>
              <w:marBottom w:val="0"/>
              <w:divBdr>
                <w:top w:val="none" w:sz="0" w:space="0" w:color="auto"/>
                <w:left w:val="none" w:sz="0" w:space="0" w:color="auto"/>
                <w:bottom w:val="none" w:sz="0" w:space="0" w:color="auto"/>
                <w:right w:val="none" w:sz="0" w:space="0" w:color="auto"/>
              </w:divBdr>
            </w:div>
          </w:divsChild>
        </w:div>
        <w:div w:id="96095665">
          <w:marLeft w:val="0"/>
          <w:marRight w:val="0"/>
          <w:marTop w:val="0"/>
          <w:marBottom w:val="0"/>
          <w:divBdr>
            <w:top w:val="none" w:sz="0" w:space="0" w:color="auto"/>
            <w:left w:val="none" w:sz="0" w:space="0" w:color="auto"/>
            <w:bottom w:val="none" w:sz="0" w:space="0" w:color="auto"/>
            <w:right w:val="none" w:sz="0" w:space="0" w:color="auto"/>
          </w:divBdr>
          <w:divsChild>
            <w:div w:id="1786120676">
              <w:marLeft w:val="0"/>
              <w:marRight w:val="0"/>
              <w:marTop w:val="0"/>
              <w:marBottom w:val="0"/>
              <w:divBdr>
                <w:top w:val="none" w:sz="0" w:space="0" w:color="auto"/>
                <w:left w:val="none" w:sz="0" w:space="0" w:color="auto"/>
                <w:bottom w:val="none" w:sz="0" w:space="0" w:color="auto"/>
                <w:right w:val="none" w:sz="0" w:space="0" w:color="auto"/>
              </w:divBdr>
            </w:div>
          </w:divsChild>
        </w:div>
        <w:div w:id="100414023">
          <w:marLeft w:val="0"/>
          <w:marRight w:val="0"/>
          <w:marTop w:val="0"/>
          <w:marBottom w:val="0"/>
          <w:divBdr>
            <w:top w:val="none" w:sz="0" w:space="0" w:color="auto"/>
            <w:left w:val="none" w:sz="0" w:space="0" w:color="auto"/>
            <w:bottom w:val="none" w:sz="0" w:space="0" w:color="auto"/>
            <w:right w:val="none" w:sz="0" w:space="0" w:color="auto"/>
          </w:divBdr>
          <w:divsChild>
            <w:div w:id="281151212">
              <w:marLeft w:val="0"/>
              <w:marRight w:val="0"/>
              <w:marTop w:val="0"/>
              <w:marBottom w:val="0"/>
              <w:divBdr>
                <w:top w:val="none" w:sz="0" w:space="0" w:color="auto"/>
                <w:left w:val="none" w:sz="0" w:space="0" w:color="auto"/>
                <w:bottom w:val="none" w:sz="0" w:space="0" w:color="auto"/>
                <w:right w:val="none" w:sz="0" w:space="0" w:color="auto"/>
              </w:divBdr>
            </w:div>
          </w:divsChild>
        </w:div>
        <w:div w:id="131139436">
          <w:marLeft w:val="0"/>
          <w:marRight w:val="0"/>
          <w:marTop w:val="0"/>
          <w:marBottom w:val="0"/>
          <w:divBdr>
            <w:top w:val="none" w:sz="0" w:space="0" w:color="auto"/>
            <w:left w:val="none" w:sz="0" w:space="0" w:color="auto"/>
            <w:bottom w:val="none" w:sz="0" w:space="0" w:color="auto"/>
            <w:right w:val="none" w:sz="0" w:space="0" w:color="auto"/>
          </w:divBdr>
          <w:divsChild>
            <w:div w:id="389380048">
              <w:marLeft w:val="0"/>
              <w:marRight w:val="0"/>
              <w:marTop w:val="0"/>
              <w:marBottom w:val="0"/>
              <w:divBdr>
                <w:top w:val="none" w:sz="0" w:space="0" w:color="auto"/>
                <w:left w:val="none" w:sz="0" w:space="0" w:color="auto"/>
                <w:bottom w:val="none" w:sz="0" w:space="0" w:color="auto"/>
                <w:right w:val="none" w:sz="0" w:space="0" w:color="auto"/>
              </w:divBdr>
            </w:div>
          </w:divsChild>
        </w:div>
        <w:div w:id="134566526">
          <w:marLeft w:val="0"/>
          <w:marRight w:val="0"/>
          <w:marTop w:val="0"/>
          <w:marBottom w:val="0"/>
          <w:divBdr>
            <w:top w:val="none" w:sz="0" w:space="0" w:color="auto"/>
            <w:left w:val="none" w:sz="0" w:space="0" w:color="auto"/>
            <w:bottom w:val="none" w:sz="0" w:space="0" w:color="auto"/>
            <w:right w:val="none" w:sz="0" w:space="0" w:color="auto"/>
          </w:divBdr>
          <w:divsChild>
            <w:div w:id="40130943">
              <w:marLeft w:val="0"/>
              <w:marRight w:val="0"/>
              <w:marTop w:val="0"/>
              <w:marBottom w:val="0"/>
              <w:divBdr>
                <w:top w:val="none" w:sz="0" w:space="0" w:color="auto"/>
                <w:left w:val="none" w:sz="0" w:space="0" w:color="auto"/>
                <w:bottom w:val="none" w:sz="0" w:space="0" w:color="auto"/>
                <w:right w:val="none" w:sz="0" w:space="0" w:color="auto"/>
              </w:divBdr>
            </w:div>
          </w:divsChild>
        </w:div>
        <w:div w:id="216599260">
          <w:marLeft w:val="0"/>
          <w:marRight w:val="0"/>
          <w:marTop w:val="0"/>
          <w:marBottom w:val="0"/>
          <w:divBdr>
            <w:top w:val="none" w:sz="0" w:space="0" w:color="auto"/>
            <w:left w:val="none" w:sz="0" w:space="0" w:color="auto"/>
            <w:bottom w:val="none" w:sz="0" w:space="0" w:color="auto"/>
            <w:right w:val="none" w:sz="0" w:space="0" w:color="auto"/>
          </w:divBdr>
          <w:divsChild>
            <w:div w:id="265580405">
              <w:marLeft w:val="0"/>
              <w:marRight w:val="0"/>
              <w:marTop w:val="0"/>
              <w:marBottom w:val="0"/>
              <w:divBdr>
                <w:top w:val="none" w:sz="0" w:space="0" w:color="auto"/>
                <w:left w:val="none" w:sz="0" w:space="0" w:color="auto"/>
                <w:bottom w:val="none" w:sz="0" w:space="0" w:color="auto"/>
                <w:right w:val="none" w:sz="0" w:space="0" w:color="auto"/>
              </w:divBdr>
            </w:div>
          </w:divsChild>
        </w:div>
        <w:div w:id="218320980">
          <w:marLeft w:val="0"/>
          <w:marRight w:val="0"/>
          <w:marTop w:val="0"/>
          <w:marBottom w:val="0"/>
          <w:divBdr>
            <w:top w:val="none" w:sz="0" w:space="0" w:color="auto"/>
            <w:left w:val="none" w:sz="0" w:space="0" w:color="auto"/>
            <w:bottom w:val="none" w:sz="0" w:space="0" w:color="auto"/>
            <w:right w:val="none" w:sz="0" w:space="0" w:color="auto"/>
          </w:divBdr>
          <w:divsChild>
            <w:div w:id="853223087">
              <w:marLeft w:val="0"/>
              <w:marRight w:val="0"/>
              <w:marTop w:val="0"/>
              <w:marBottom w:val="0"/>
              <w:divBdr>
                <w:top w:val="none" w:sz="0" w:space="0" w:color="auto"/>
                <w:left w:val="none" w:sz="0" w:space="0" w:color="auto"/>
                <w:bottom w:val="none" w:sz="0" w:space="0" w:color="auto"/>
                <w:right w:val="none" w:sz="0" w:space="0" w:color="auto"/>
              </w:divBdr>
            </w:div>
          </w:divsChild>
        </w:div>
        <w:div w:id="238633923">
          <w:marLeft w:val="0"/>
          <w:marRight w:val="0"/>
          <w:marTop w:val="0"/>
          <w:marBottom w:val="0"/>
          <w:divBdr>
            <w:top w:val="none" w:sz="0" w:space="0" w:color="auto"/>
            <w:left w:val="none" w:sz="0" w:space="0" w:color="auto"/>
            <w:bottom w:val="none" w:sz="0" w:space="0" w:color="auto"/>
            <w:right w:val="none" w:sz="0" w:space="0" w:color="auto"/>
          </w:divBdr>
          <w:divsChild>
            <w:div w:id="1951937677">
              <w:marLeft w:val="0"/>
              <w:marRight w:val="0"/>
              <w:marTop w:val="0"/>
              <w:marBottom w:val="0"/>
              <w:divBdr>
                <w:top w:val="none" w:sz="0" w:space="0" w:color="auto"/>
                <w:left w:val="none" w:sz="0" w:space="0" w:color="auto"/>
                <w:bottom w:val="none" w:sz="0" w:space="0" w:color="auto"/>
                <w:right w:val="none" w:sz="0" w:space="0" w:color="auto"/>
              </w:divBdr>
            </w:div>
          </w:divsChild>
        </w:div>
        <w:div w:id="239146278">
          <w:marLeft w:val="0"/>
          <w:marRight w:val="0"/>
          <w:marTop w:val="0"/>
          <w:marBottom w:val="0"/>
          <w:divBdr>
            <w:top w:val="none" w:sz="0" w:space="0" w:color="auto"/>
            <w:left w:val="none" w:sz="0" w:space="0" w:color="auto"/>
            <w:bottom w:val="none" w:sz="0" w:space="0" w:color="auto"/>
            <w:right w:val="none" w:sz="0" w:space="0" w:color="auto"/>
          </w:divBdr>
          <w:divsChild>
            <w:div w:id="93328776">
              <w:marLeft w:val="0"/>
              <w:marRight w:val="0"/>
              <w:marTop w:val="0"/>
              <w:marBottom w:val="0"/>
              <w:divBdr>
                <w:top w:val="none" w:sz="0" w:space="0" w:color="auto"/>
                <w:left w:val="none" w:sz="0" w:space="0" w:color="auto"/>
                <w:bottom w:val="none" w:sz="0" w:space="0" w:color="auto"/>
                <w:right w:val="none" w:sz="0" w:space="0" w:color="auto"/>
              </w:divBdr>
            </w:div>
          </w:divsChild>
        </w:div>
        <w:div w:id="282419221">
          <w:marLeft w:val="0"/>
          <w:marRight w:val="0"/>
          <w:marTop w:val="0"/>
          <w:marBottom w:val="0"/>
          <w:divBdr>
            <w:top w:val="none" w:sz="0" w:space="0" w:color="auto"/>
            <w:left w:val="none" w:sz="0" w:space="0" w:color="auto"/>
            <w:bottom w:val="none" w:sz="0" w:space="0" w:color="auto"/>
            <w:right w:val="none" w:sz="0" w:space="0" w:color="auto"/>
          </w:divBdr>
          <w:divsChild>
            <w:div w:id="1750272828">
              <w:marLeft w:val="0"/>
              <w:marRight w:val="0"/>
              <w:marTop w:val="0"/>
              <w:marBottom w:val="0"/>
              <w:divBdr>
                <w:top w:val="none" w:sz="0" w:space="0" w:color="auto"/>
                <w:left w:val="none" w:sz="0" w:space="0" w:color="auto"/>
                <w:bottom w:val="none" w:sz="0" w:space="0" w:color="auto"/>
                <w:right w:val="none" w:sz="0" w:space="0" w:color="auto"/>
              </w:divBdr>
            </w:div>
          </w:divsChild>
        </w:div>
        <w:div w:id="291060444">
          <w:marLeft w:val="0"/>
          <w:marRight w:val="0"/>
          <w:marTop w:val="0"/>
          <w:marBottom w:val="0"/>
          <w:divBdr>
            <w:top w:val="none" w:sz="0" w:space="0" w:color="auto"/>
            <w:left w:val="none" w:sz="0" w:space="0" w:color="auto"/>
            <w:bottom w:val="none" w:sz="0" w:space="0" w:color="auto"/>
            <w:right w:val="none" w:sz="0" w:space="0" w:color="auto"/>
          </w:divBdr>
          <w:divsChild>
            <w:div w:id="933246593">
              <w:marLeft w:val="0"/>
              <w:marRight w:val="0"/>
              <w:marTop w:val="0"/>
              <w:marBottom w:val="0"/>
              <w:divBdr>
                <w:top w:val="none" w:sz="0" w:space="0" w:color="auto"/>
                <w:left w:val="none" w:sz="0" w:space="0" w:color="auto"/>
                <w:bottom w:val="none" w:sz="0" w:space="0" w:color="auto"/>
                <w:right w:val="none" w:sz="0" w:space="0" w:color="auto"/>
              </w:divBdr>
            </w:div>
          </w:divsChild>
        </w:div>
        <w:div w:id="292447757">
          <w:marLeft w:val="0"/>
          <w:marRight w:val="0"/>
          <w:marTop w:val="0"/>
          <w:marBottom w:val="0"/>
          <w:divBdr>
            <w:top w:val="none" w:sz="0" w:space="0" w:color="auto"/>
            <w:left w:val="none" w:sz="0" w:space="0" w:color="auto"/>
            <w:bottom w:val="none" w:sz="0" w:space="0" w:color="auto"/>
            <w:right w:val="none" w:sz="0" w:space="0" w:color="auto"/>
          </w:divBdr>
          <w:divsChild>
            <w:div w:id="307902839">
              <w:marLeft w:val="0"/>
              <w:marRight w:val="0"/>
              <w:marTop w:val="0"/>
              <w:marBottom w:val="0"/>
              <w:divBdr>
                <w:top w:val="none" w:sz="0" w:space="0" w:color="auto"/>
                <w:left w:val="none" w:sz="0" w:space="0" w:color="auto"/>
                <w:bottom w:val="none" w:sz="0" w:space="0" w:color="auto"/>
                <w:right w:val="none" w:sz="0" w:space="0" w:color="auto"/>
              </w:divBdr>
            </w:div>
          </w:divsChild>
        </w:div>
        <w:div w:id="294454598">
          <w:marLeft w:val="0"/>
          <w:marRight w:val="0"/>
          <w:marTop w:val="0"/>
          <w:marBottom w:val="0"/>
          <w:divBdr>
            <w:top w:val="none" w:sz="0" w:space="0" w:color="auto"/>
            <w:left w:val="none" w:sz="0" w:space="0" w:color="auto"/>
            <w:bottom w:val="none" w:sz="0" w:space="0" w:color="auto"/>
            <w:right w:val="none" w:sz="0" w:space="0" w:color="auto"/>
          </w:divBdr>
          <w:divsChild>
            <w:div w:id="1825002589">
              <w:marLeft w:val="0"/>
              <w:marRight w:val="0"/>
              <w:marTop w:val="0"/>
              <w:marBottom w:val="0"/>
              <w:divBdr>
                <w:top w:val="none" w:sz="0" w:space="0" w:color="auto"/>
                <w:left w:val="none" w:sz="0" w:space="0" w:color="auto"/>
                <w:bottom w:val="none" w:sz="0" w:space="0" w:color="auto"/>
                <w:right w:val="none" w:sz="0" w:space="0" w:color="auto"/>
              </w:divBdr>
            </w:div>
          </w:divsChild>
        </w:div>
        <w:div w:id="308753602">
          <w:marLeft w:val="0"/>
          <w:marRight w:val="0"/>
          <w:marTop w:val="0"/>
          <w:marBottom w:val="0"/>
          <w:divBdr>
            <w:top w:val="none" w:sz="0" w:space="0" w:color="auto"/>
            <w:left w:val="none" w:sz="0" w:space="0" w:color="auto"/>
            <w:bottom w:val="none" w:sz="0" w:space="0" w:color="auto"/>
            <w:right w:val="none" w:sz="0" w:space="0" w:color="auto"/>
          </w:divBdr>
          <w:divsChild>
            <w:div w:id="774130951">
              <w:marLeft w:val="0"/>
              <w:marRight w:val="0"/>
              <w:marTop w:val="0"/>
              <w:marBottom w:val="0"/>
              <w:divBdr>
                <w:top w:val="none" w:sz="0" w:space="0" w:color="auto"/>
                <w:left w:val="none" w:sz="0" w:space="0" w:color="auto"/>
                <w:bottom w:val="none" w:sz="0" w:space="0" w:color="auto"/>
                <w:right w:val="none" w:sz="0" w:space="0" w:color="auto"/>
              </w:divBdr>
            </w:div>
          </w:divsChild>
        </w:div>
        <w:div w:id="318005126">
          <w:marLeft w:val="0"/>
          <w:marRight w:val="0"/>
          <w:marTop w:val="0"/>
          <w:marBottom w:val="0"/>
          <w:divBdr>
            <w:top w:val="none" w:sz="0" w:space="0" w:color="auto"/>
            <w:left w:val="none" w:sz="0" w:space="0" w:color="auto"/>
            <w:bottom w:val="none" w:sz="0" w:space="0" w:color="auto"/>
            <w:right w:val="none" w:sz="0" w:space="0" w:color="auto"/>
          </w:divBdr>
          <w:divsChild>
            <w:div w:id="1427770733">
              <w:marLeft w:val="0"/>
              <w:marRight w:val="0"/>
              <w:marTop w:val="0"/>
              <w:marBottom w:val="0"/>
              <w:divBdr>
                <w:top w:val="none" w:sz="0" w:space="0" w:color="auto"/>
                <w:left w:val="none" w:sz="0" w:space="0" w:color="auto"/>
                <w:bottom w:val="none" w:sz="0" w:space="0" w:color="auto"/>
                <w:right w:val="none" w:sz="0" w:space="0" w:color="auto"/>
              </w:divBdr>
            </w:div>
          </w:divsChild>
        </w:div>
        <w:div w:id="319584235">
          <w:marLeft w:val="0"/>
          <w:marRight w:val="0"/>
          <w:marTop w:val="0"/>
          <w:marBottom w:val="0"/>
          <w:divBdr>
            <w:top w:val="none" w:sz="0" w:space="0" w:color="auto"/>
            <w:left w:val="none" w:sz="0" w:space="0" w:color="auto"/>
            <w:bottom w:val="none" w:sz="0" w:space="0" w:color="auto"/>
            <w:right w:val="none" w:sz="0" w:space="0" w:color="auto"/>
          </w:divBdr>
          <w:divsChild>
            <w:div w:id="199974312">
              <w:marLeft w:val="0"/>
              <w:marRight w:val="0"/>
              <w:marTop w:val="0"/>
              <w:marBottom w:val="0"/>
              <w:divBdr>
                <w:top w:val="none" w:sz="0" w:space="0" w:color="auto"/>
                <w:left w:val="none" w:sz="0" w:space="0" w:color="auto"/>
                <w:bottom w:val="none" w:sz="0" w:space="0" w:color="auto"/>
                <w:right w:val="none" w:sz="0" w:space="0" w:color="auto"/>
              </w:divBdr>
            </w:div>
          </w:divsChild>
        </w:div>
        <w:div w:id="327903558">
          <w:marLeft w:val="0"/>
          <w:marRight w:val="0"/>
          <w:marTop w:val="0"/>
          <w:marBottom w:val="0"/>
          <w:divBdr>
            <w:top w:val="none" w:sz="0" w:space="0" w:color="auto"/>
            <w:left w:val="none" w:sz="0" w:space="0" w:color="auto"/>
            <w:bottom w:val="none" w:sz="0" w:space="0" w:color="auto"/>
            <w:right w:val="none" w:sz="0" w:space="0" w:color="auto"/>
          </w:divBdr>
          <w:divsChild>
            <w:div w:id="2140956766">
              <w:marLeft w:val="0"/>
              <w:marRight w:val="0"/>
              <w:marTop w:val="0"/>
              <w:marBottom w:val="0"/>
              <w:divBdr>
                <w:top w:val="none" w:sz="0" w:space="0" w:color="auto"/>
                <w:left w:val="none" w:sz="0" w:space="0" w:color="auto"/>
                <w:bottom w:val="none" w:sz="0" w:space="0" w:color="auto"/>
                <w:right w:val="none" w:sz="0" w:space="0" w:color="auto"/>
              </w:divBdr>
            </w:div>
          </w:divsChild>
        </w:div>
        <w:div w:id="330257980">
          <w:marLeft w:val="0"/>
          <w:marRight w:val="0"/>
          <w:marTop w:val="0"/>
          <w:marBottom w:val="0"/>
          <w:divBdr>
            <w:top w:val="none" w:sz="0" w:space="0" w:color="auto"/>
            <w:left w:val="none" w:sz="0" w:space="0" w:color="auto"/>
            <w:bottom w:val="none" w:sz="0" w:space="0" w:color="auto"/>
            <w:right w:val="none" w:sz="0" w:space="0" w:color="auto"/>
          </w:divBdr>
          <w:divsChild>
            <w:div w:id="1673331519">
              <w:marLeft w:val="0"/>
              <w:marRight w:val="0"/>
              <w:marTop w:val="0"/>
              <w:marBottom w:val="0"/>
              <w:divBdr>
                <w:top w:val="none" w:sz="0" w:space="0" w:color="auto"/>
                <w:left w:val="none" w:sz="0" w:space="0" w:color="auto"/>
                <w:bottom w:val="none" w:sz="0" w:space="0" w:color="auto"/>
                <w:right w:val="none" w:sz="0" w:space="0" w:color="auto"/>
              </w:divBdr>
            </w:div>
          </w:divsChild>
        </w:div>
        <w:div w:id="364602919">
          <w:marLeft w:val="0"/>
          <w:marRight w:val="0"/>
          <w:marTop w:val="0"/>
          <w:marBottom w:val="0"/>
          <w:divBdr>
            <w:top w:val="none" w:sz="0" w:space="0" w:color="auto"/>
            <w:left w:val="none" w:sz="0" w:space="0" w:color="auto"/>
            <w:bottom w:val="none" w:sz="0" w:space="0" w:color="auto"/>
            <w:right w:val="none" w:sz="0" w:space="0" w:color="auto"/>
          </w:divBdr>
          <w:divsChild>
            <w:div w:id="1710032773">
              <w:marLeft w:val="0"/>
              <w:marRight w:val="0"/>
              <w:marTop w:val="0"/>
              <w:marBottom w:val="0"/>
              <w:divBdr>
                <w:top w:val="none" w:sz="0" w:space="0" w:color="auto"/>
                <w:left w:val="none" w:sz="0" w:space="0" w:color="auto"/>
                <w:bottom w:val="none" w:sz="0" w:space="0" w:color="auto"/>
                <w:right w:val="none" w:sz="0" w:space="0" w:color="auto"/>
              </w:divBdr>
            </w:div>
          </w:divsChild>
        </w:div>
        <w:div w:id="379938883">
          <w:marLeft w:val="0"/>
          <w:marRight w:val="0"/>
          <w:marTop w:val="0"/>
          <w:marBottom w:val="0"/>
          <w:divBdr>
            <w:top w:val="none" w:sz="0" w:space="0" w:color="auto"/>
            <w:left w:val="none" w:sz="0" w:space="0" w:color="auto"/>
            <w:bottom w:val="none" w:sz="0" w:space="0" w:color="auto"/>
            <w:right w:val="none" w:sz="0" w:space="0" w:color="auto"/>
          </w:divBdr>
          <w:divsChild>
            <w:div w:id="166361037">
              <w:marLeft w:val="0"/>
              <w:marRight w:val="0"/>
              <w:marTop w:val="0"/>
              <w:marBottom w:val="0"/>
              <w:divBdr>
                <w:top w:val="none" w:sz="0" w:space="0" w:color="auto"/>
                <w:left w:val="none" w:sz="0" w:space="0" w:color="auto"/>
                <w:bottom w:val="none" w:sz="0" w:space="0" w:color="auto"/>
                <w:right w:val="none" w:sz="0" w:space="0" w:color="auto"/>
              </w:divBdr>
            </w:div>
          </w:divsChild>
        </w:div>
        <w:div w:id="382142313">
          <w:marLeft w:val="0"/>
          <w:marRight w:val="0"/>
          <w:marTop w:val="0"/>
          <w:marBottom w:val="0"/>
          <w:divBdr>
            <w:top w:val="none" w:sz="0" w:space="0" w:color="auto"/>
            <w:left w:val="none" w:sz="0" w:space="0" w:color="auto"/>
            <w:bottom w:val="none" w:sz="0" w:space="0" w:color="auto"/>
            <w:right w:val="none" w:sz="0" w:space="0" w:color="auto"/>
          </w:divBdr>
          <w:divsChild>
            <w:div w:id="196819883">
              <w:marLeft w:val="0"/>
              <w:marRight w:val="0"/>
              <w:marTop w:val="0"/>
              <w:marBottom w:val="0"/>
              <w:divBdr>
                <w:top w:val="none" w:sz="0" w:space="0" w:color="auto"/>
                <w:left w:val="none" w:sz="0" w:space="0" w:color="auto"/>
                <w:bottom w:val="none" w:sz="0" w:space="0" w:color="auto"/>
                <w:right w:val="none" w:sz="0" w:space="0" w:color="auto"/>
              </w:divBdr>
            </w:div>
          </w:divsChild>
        </w:div>
        <w:div w:id="384373020">
          <w:marLeft w:val="0"/>
          <w:marRight w:val="0"/>
          <w:marTop w:val="0"/>
          <w:marBottom w:val="0"/>
          <w:divBdr>
            <w:top w:val="none" w:sz="0" w:space="0" w:color="auto"/>
            <w:left w:val="none" w:sz="0" w:space="0" w:color="auto"/>
            <w:bottom w:val="none" w:sz="0" w:space="0" w:color="auto"/>
            <w:right w:val="none" w:sz="0" w:space="0" w:color="auto"/>
          </w:divBdr>
          <w:divsChild>
            <w:div w:id="1661696626">
              <w:marLeft w:val="0"/>
              <w:marRight w:val="0"/>
              <w:marTop w:val="0"/>
              <w:marBottom w:val="0"/>
              <w:divBdr>
                <w:top w:val="none" w:sz="0" w:space="0" w:color="auto"/>
                <w:left w:val="none" w:sz="0" w:space="0" w:color="auto"/>
                <w:bottom w:val="none" w:sz="0" w:space="0" w:color="auto"/>
                <w:right w:val="none" w:sz="0" w:space="0" w:color="auto"/>
              </w:divBdr>
            </w:div>
          </w:divsChild>
        </w:div>
        <w:div w:id="388457256">
          <w:marLeft w:val="0"/>
          <w:marRight w:val="0"/>
          <w:marTop w:val="0"/>
          <w:marBottom w:val="0"/>
          <w:divBdr>
            <w:top w:val="none" w:sz="0" w:space="0" w:color="auto"/>
            <w:left w:val="none" w:sz="0" w:space="0" w:color="auto"/>
            <w:bottom w:val="none" w:sz="0" w:space="0" w:color="auto"/>
            <w:right w:val="none" w:sz="0" w:space="0" w:color="auto"/>
          </w:divBdr>
          <w:divsChild>
            <w:div w:id="1345519873">
              <w:marLeft w:val="0"/>
              <w:marRight w:val="0"/>
              <w:marTop w:val="0"/>
              <w:marBottom w:val="0"/>
              <w:divBdr>
                <w:top w:val="none" w:sz="0" w:space="0" w:color="auto"/>
                <w:left w:val="none" w:sz="0" w:space="0" w:color="auto"/>
                <w:bottom w:val="none" w:sz="0" w:space="0" w:color="auto"/>
                <w:right w:val="none" w:sz="0" w:space="0" w:color="auto"/>
              </w:divBdr>
            </w:div>
          </w:divsChild>
        </w:div>
        <w:div w:id="399207012">
          <w:marLeft w:val="0"/>
          <w:marRight w:val="0"/>
          <w:marTop w:val="0"/>
          <w:marBottom w:val="0"/>
          <w:divBdr>
            <w:top w:val="none" w:sz="0" w:space="0" w:color="auto"/>
            <w:left w:val="none" w:sz="0" w:space="0" w:color="auto"/>
            <w:bottom w:val="none" w:sz="0" w:space="0" w:color="auto"/>
            <w:right w:val="none" w:sz="0" w:space="0" w:color="auto"/>
          </w:divBdr>
          <w:divsChild>
            <w:div w:id="63530318">
              <w:marLeft w:val="0"/>
              <w:marRight w:val="0"/>
              <w:marTop w:val="0"/>
              <w:marBottom w:val="0"/>
              <w:divBdr>
                <w:top w:val="none" w:sz="0" w:space="0" w:color="auto"/>
                <w:left w:val="none" w:sz="0" w:space="0" w:color="auto"/>
                <w:bottom w:val="none" w:sz="0" w:space="0" w:color="auto"/>
                <w:right w:val="none" w:sz="0" w:space="0" w:color="auto"/>
              </w:divBdr>
            </w:div>
          </w:divsChild>
        </w:div>
        <w:div w:id="414330015">
          <w:marLeft w:val="0"/>
          <w:marRight w:val="0"/>
          <w:marTop w:val="0"/>
          <w:marBottom w:val="0"/>
          <w:divBdr>
            <w:top w:val="none" w:sz="0" w:space="0" w:color="auto"/>
            <w:left w:val="none" w:sz="0" w:space="0" w:color="auto"/>
            <w:bottom w:val="none" w:sz="0" w:space="0" w:color="auto"/>
            <w:right w:val="none" w:sz="0" w:space="0" w:color="auto"/>
          </w:divBdr>
          <w:divsChild>
            <w:div w:id="335110341">
              <w:marLeft w:val="0"/>
              <w:marRight w:val="0"/>
              <w:marTop w:val="0"/>
              <w:marBottom w:val="0"/>
              <w:divBdr>
                <w:top w:val="none" w:sz="0" w:space="0" w:color="auto"/>
                <w:left w:val="none" w:sz="0" w:space="0" w:color="auto"/>
                <w:bottom w:val="none" w:sz="0" w:space="0" w:color="auto"/>
                <w:right w:val="none" w:sz="0" w:space="0" w:color="auto"/>
              </w:divBdr>
            </w:div>
          </w:divsChild>
        </w:div>
        <w:div w:id="477261713">
          <w:marLeft w:val="0"/>
          <w:marRight w:val="0"/>
          <w:marTop w:val="0"/>
          <w:marBottom w:val="0"/>
          <w:divBdr>
            <w:top w:val="none" w:sz="0" w:space="0" w:color="auto"/>
            <w:left w:val="none" w:sz="0" w:space="0" w:color="auto"/>
            <w:bottom w:val="none" w:sz="0" w:space="0" w:color="auto"/>
            <w:right w:val="none" w:sz="0" w:space="0" w:color="auto"/>
          </w:divBdr>
          <w:divsChild>
            <w:div w:id="1681347093">
              <w:marLeft w:val="0"/>
              <w:marRight w:val="0"/>
              <w:marTop w:val="0"/>
              <w:marBottom w:val="0"/>
              <w:divBdr>
                <w:top w:val="none" w:sz="0" w:space="0" w:color="auto"/>
                <w:left w:val="none" w:sz="0" w:space="0" w:color="auto"/>
                <w:bottom w:val="none" w:sz="0" w:space="0" w:color="auto"/>
                <w:right w:val="none" w:sz="0" w:space="0" w:color="auto"/>
              </w:divBdr>
            </w:div>
          </w:divsChild>
        </w:div>
        <w:div w:id="480001612">
          <w:marLeft w:val="0"/>
          <w:marRight w:val="0"/>
          <w:marTop w:val="0"/>
          <w:marBottom w:val="0"/>
          <w:divBdr>
            <w:top w:val="none" w:sz="0" w:space="0" w:color="auto"/>
            <w:left w:val="none" w:sz="0" w:space="0" w:color="auto"/>
            <w:bottom w:val="none" w:sz="0" w:space="0" w:color="auto"/>
            <w:right w:val="none" w:sz="0" w:space="0" w:color="auto"/>
          </w:divBdr>
          <w:divsChild>
            <w:div w:id="1101145495">
              <w:marLeft w:val="0"/>
              <w:marRight w:val="0"/>
              <w:marTop w:val="0"/>
              <w:marBottom w:val="0"/>
              <w:divBdr>
                <w:top w:val="none" w:sz="0" w:space="0" w:color="auto"/>
                <w:left w:val="none" w:sz="0" w:space="0" w:color="auto"/>
                <w:bottom w:val="none" w:sz="0" w:space="0" w:color="auto"/>
                <w:right w:val="none" w:sz="0" w:space="0" w:color="auto"/>
              </w:divBdr>
            </w:div>
          </w:divsChild>
        </w:div>
        <w:div w:id="494810015">
          <w:marLeft w:val="0"/>
          <w:marRight w:val="0"/>
          <w:marTop w:val="0"/>
          <w:marBottom w:val="0"/>
          <w:divBdr>
            <w:top w:val="none" w:sz="0" w:space="0" w:color="auto"/>
            <w:left w:val="none" w:sz="0" w:space="0" w:color="auto"/>
            <w:bottom w:val="none" w:sz="0" w:space="0" w:color="auto"/>
            <w:right w:val="none" w:sz="0" w:space="0" w:color="auto"/>
          </w:divBdr>
          <w:divsChild>
            <w:div w:id="1324236908">
              <w:marLeft w:val="0"/>
              <w:marRight w:val="0"/>
              <w:marTop w:val="0"/>
              <w:marBottom w:val="0"/>
              <w:divBdr>
                <w:top w:val="none" w:sz="0" w:space="0" w:color="auto"/>
                <w:left w:val="none" w:sz="0" w:space="0" w:color="auto"/>
                <w:bottom w:val="none" w:sz="0" w:space="0" w:color="auto"/>
                <w:right w:val="none" w:sz="0" w:space="0" w:color="auto"/>
              </w:divBdr>
            </w:div>
          </w:divsChild>
        </w:div>
        <w:div w:id="495921835">
          <w:marLeft w:val="0"/>
          <w:marRight w:val="0"/>
          <w:marTop w:val="0"/>
          <w:marBottom w:val="0"/>
          <w:divBdr>
            <w:top w:val="none" w:sz="0" w:space="0" w:color="auto"/>
            <w:left w:val="none" w:sz="0" w:space="0" w:color="auto"/>
            <w:bottom w:val="none" w:sz="0" w:space="0" w:color="auto"/>
            <w:right w:val="none" w:sz="0" w:space="0" w:color="auto"/>
          </w:divBdr>
          <w:divsChild>
            <w:div w:id="1255548831">
              <w:marLeft w:val="0"/>
              <w:marRight w:val="0"/>
              <w:marTop w:val="0"/>
              <w:marBottom w:val="0"/>
              <w:divBdr>
                <w:top w:val="none" w:sz="0" w:space="0" w:color="auto"/>
                <w:left w:val="none" w:sz="0" w:space="0" w:color="auto"/>
                <w:bottom w:val="none" w:sz="0" w:space="0" w:color="auto"/>
                <w:right w:val="none" w:sz="0" w:space="0" w:color="auto"/>
              </w:divBdr>
            </w:div>
          </w:divsChild>
        </w:div>
        <w:div w:id="528420302">
          <w:marLeft w:val="0"/>
          <w:marRight w:val="0"/>
          <w:marTop w:val="0"/>
          <w:marBottom w:val="0"/>
          <w:divBdr>
            <w:top w:val="none" w:sz="0" w:space="0" w:color="auto"/>
            <w:left w:val="none" w:sz="0" w:space="0" w:color="auto"/>
            <w:bottom w:val="none" w:sz="0" w:space="0" w:color="auto"/>
            <w:right w:val="none" w:sz="0" w:space="0" w:color="auto"/>
          </w:divBdr>
          <w:divsChild>
            <w:div w:id="677852228">
              <w:marLeft w:val="0"/>
              <w:marRight w:val="0"/>
              <w:marTop w:val="0"/>
              <w:marBottom w:val="0"/>
              <w:divBdr>
                <w:top w:val="none" w:sz="0" w:space="0" w:color="auto"/>
                <w:left w:val="none" w:sz="0" w:space="0" w:color="auto"/>
                <w:bottom w:val="none" w:sz="0" w:space="0" w:color="auto"/>
                <w:right w:val="none" w:sz="0" w:space="0" w:color="auto"/>
              </w:divBdr>
            </w:div>
          </w:divsChild>
        </w:div>
        <w:div w:id="540829220">
          <w:marLeft w:val="0"/>
          <w:marRight w:val="0"/>
          <w:marTop w:val="0"/>
          <w:marBottom w:val="0"/>
          <w:divBdr>
            <w:top w:val="none" w:sz="0" w:space="0" w:color="auto"/>
            <w:left w:val="none" w:sz="0" w:space="0" w:color="auto"/>
            <w:bottom w:val="none" w:sz="0" w:space="0" w:color="auto"/>
            <w:right w:val="none" w:sz="0" w:space="0" w:color="auto"/>
          </w:divBdr>
          <w:divsChild>
            <w:div w:id="591858069">
              <w:marLeft w:val="0"/>
              <w:marRight w:val="0"/>
              <w:marTop w:val="0"/>
              <w:marBottom w:val="0"/>
              <w:divBdr>
                <w:top w:val="none" w:sz="0" w:space="0" w:color="auto"/>
                <w:left w:val="none" w:sz="0" w:space="0" w:color="auto"/>
                <w:bottom w:val="none" w:sz="0" w:space="0" w:color="auto"/>
                <w:right w:val="none" w:sz="0" w:space="0" w:color="auto"/>
              </w:divBdr>
            </w:div>
          </w:divsChild>
        </w:div>
        <w:div w:id="554699787">
          <w:marLeft w:val="0"/>
          <w:marRight w:val="0"/>
          <w:marTop w:val="0"/>
          <w:marBottom w:val="0"/>
          <w:divBdr>
            <w:top w:val="none" w:sz="0" w:space="0" w:color="auto"/>
            <w:left w:val="none" w:sz="0" w:space="0" w:color="auto"/>
            <w:bottom w:val="none" w:sz="0" w:space="0" w:color="auto"/>
            <w:right w:val="none" w:sz="0" w:space="0" w:color="auto"/>
          </w:divBdr>
          <w:divsChild>
            <w:div w:id="822620044">
              <w:marLeft w:val="0"/>
              <w:marRight w:val="0"/>
              <w:marTop w:val="0"/>
              <w:marBottom w:val="0"/>
              <w:divBdr>
                <w:top w:val="none" w:sz="0" w:space="0" w:color="auto"/>
                <w:left w:val="none" w:sz="0" w:space="0" w:color="auto"/>
                <w:bottom w:val="none" w:sz="0" w:space="0" w:color="auto"/>
                <w:right w:val="none" w:sz="0" w:space="0" w:color="auto"/>
              </w:divBdr>
            </w:div>
          </w:divsChild>
        </w:div>
        <w:div w:id="557866595">
          <w:marLeft w:val="0"/>
          <w:marRight w:val="0"/>
          <w:marTop w:val="0"/>
          <w:marBottom w:val="0"/>
          <w:divBdr>
            <w:top w:val="none" w:sz="0" w:space="0" w:color="auto"/>
            <w:left w:val="none" w:sz="0" w:space="0" w:color="auto"/>
            <w:bottom w:val="none" w:sz="0" w:space="0" w:color="auto"/>
            <w:right w:val="none" w:sz="0" w:space="0" w:color="auto"/>
          </w:divBdr>
          <w:divsChild>
            <w:div w:id="1505433092">
              <w:marLeft w:val="0"/>
              <w:marRight w:val="0"/>
              <w:marTop w:val="0"/>
              <w:marBottom w:val="0"/>
              <w:divBdr>
                <w:top w:val="none" w:sz="0" w:space="0" w:color="auto"/>
                <w:left w:val="none" w:sz="0" w:space="0" w:color="auto"/>
                <w:bottom w:val="none" w:sz="0" w:space="0" w:color="auto"/>
                <w:right w:val="none" w:sz="0" w:space="0" w:color="auto"/>
              </w:divBdr>
            </w:div>
          </w:divsChild>
        </w:div>
        <w:div w:id="561329160">
          <w:marLeft w:val="0"/>
          <w:marRight w:val="0"/>
          <w:marTop w:val="0"/>
          <w:marBottom w:val="0"/>
          <w:divBdr>
            <w:top w:val="none" w:sz="0" w:space="0" w:color="auto"/>
            <w:left w:val="none" w:sz="0" w:space="0" w:color="auto"/>
            <w:bottom w:val="none" w:sz="0" w:space="0" w:color="auto"/>
            <w:right w:val="none" w:sz="0" w:space="0" w:color="auto"/>
          </w:divBdr>
          <w:divsChild>
            <w:div w:id="384186740">
              <w:marLeft w:val="0"/>
              <w:marRight w:val="0"/>
              <w:marTop w:val="0"/>
              <w:marBottom w:val="0"/>
              <w:divBdr>
                <w:top w:val="none" w:sz="0" w:space="0" w:color="auto"/>
                <w:left w:val="none" w:sz="0" w:space="0" w:color="auto"/>
                <w:bottom w:val="none" w:sz="0" w:space="0" w:color="auto"/>
                <w:right w:val="none" w:sz="0" w:space="0" w:color="auto"/>
              </w:divBdr>
            </w:div>
          </w:divsChild>
        </w:div>
        <w:div w:id="565461312">
          <w:marLeft w:val="0"/>
          <w:marRight w:val="0"/>
          <w:marTop w:val="0"/>
          <w:marBottom w:val="0"/>
          <w:divBdr>
            <w:top w:val="none" w:sz="0" w:space="0" w:color="auto"/>
            <w:left w:val="none" w:sz="0" w:space="0" w:color="auto"/>
            <w:bottom w:val="none" w:sz="0" w:space="0" w:color="auto"/>
            <w:right w:val="none" w:sz="0" w:space="0" w:color="auto"/>
          </w:divBdr>
          <w:divsChild>
            <w:div w:id="1664507057">
              <w:marLeft w:val="0"/>
              <w:marRight w:val="0"/>
              <w:marTop w:val="0"/>
              <w:marBottom w:val="0"/>
              <w:divBdr>
                <w:top w:val="none" w:sz="0" w:space="0" w:color="auto"/>
                <w:left w:val="none" w:sz="0" w:space="0" w:color="auto"/>
                <w:bottom w:val="none" w:sz="0" w:space="0" w:color="auto"/>
                <w:right w:val="none" w:sz="0" w:space="0" w:color="auto"/>
              </w:divBdr>
            </w:div>
          </w:divsChild>
        </w:div>
        <w:div w:id="586305988">
          <w:marLeft w:val="0"/>
          <w:marRight w:val="0"/>
          <w:marTop w:val="0"/>
          <w:marBottom w:val="0"/>
          <w:divBdr>
            <w:top w:val="none" w:sz="0" w:space="0" w:color="auto"/>
            <w:left w:val="none" w:sz="0" w:space="0" w:color="auto"/>
            <w:bottom w:val="none" w:sz="0" w:space="0" w:color="auto"/>
            <w:right w:val="none" w:sz="0" w:space="0" w:color="auto"/>
          </w:divBdr>
          <w:divsChild>
            <w:div w:id="1516731368">
              <w:marLeft w:val="0"/>
              <w:marRight w:val="0"/>
              <w:marTop w:val="0"/>
              <w:marBottom w:val="0"/>
              <w:divBdr>
                <w:top w:val="none" w:sz="0" w:space="0" w:color="auto"/>
                <w:left w:val="none" w:sz="0" w:space="0" w:color="auto"/>
                <w:bottom w:val="none" w:sz="0" w:space="0" w:color="auto"/>
                <w:right w:val="none" w:sz="0" w:space="0" w:color="auto"/>
              </w:divBdr>
            </w:div>
          </w:divsChild>
        </w:div>
        <w:div w:id="587887728">
          <w:marLeft w:val="0"/>
          <w:marRight w:val="0"/>
          <w:marTop w:val="0"/>
          <w:marBottom w:val="0"/>
          <w:divBdr>
            <w:top w:val="none" w:sz="0" w:space="0" w:color="auto"/>
            <w:left w:val="none" w:sz="0" w:space="0" w:color="auto"/>
            <w:bottom w:val="none" w:sz="0" w:space="0" w:color="auto"/>
            <w:right w:val="none" w:sz="0" w:space="0" w:color="auto"/>
          </w:divBdr>
          <w:divsChild>
            <w:div w:id="1242452355">
              <w:marLeft w:val="0"/>
              <w:marRight w:val="0"/>
              <w:marTop w:val="0"/>
              <w:marBottom w:val="0"/>
              <w:divBdr>
                <w:top w:val="none" w:sz="0" w:space="0" w:color="auto"/>
                <w:left w:val="none" w:sz="0" w:space="0" w:color="auto"/>
                <w:bottom w:val="none" w:sz="0" w:space="0" w:color="auto"/>
                <w:right w:val="none" w:sz="0" w:space="0" w:color="auto"/>
              </w:divBdr>
            </w:div>
          </w:divsChild>
        </w:div>
        <w:div w:id="587928298">
          <w:marLeft w:val="0"/>
          <w:marRight w:val="0"/>
          <w:marTop w:val="0"/>
          <w:marBottom w:val="0"/>
          <w:divBdr>
            <w:top w:val="none" w:sz="0" w:space="0" w:color="auto"/>
            <w:left w:val="none" w:sz="0" w:space="0" w:color="auto"/>
            <w:bottom w:val="none" w:sz="0" w:space="0" w:color="auto"/>
            <w:right w:val="none" w:sz="0" w:space="0" w:color="auto"/>
          </w:divBdr>
          <w:divsChild>
            <w:div w:id="635110448">
              <w:marLeft w:val="0"/>
              <w:marRight w:val="0"/>
              <w:marTop w:val="0"/>
              <w:marBottom w:val="0"/>
              <w:divBdr>
                <w:top w:val="none" w:sz="0" w:space="0" w:color="auto"/>
                <w:left w:val="none" w:sz="0" w:space="0" w:color="auto"/>
                <w:bottom w:val="none" w:sz="0" w:space="0" w:color="auto"/>
                <w:right w:val="none" w:sz="0" w:space="0" w:color="auto"/>
              </w:divBdr>
            </w:div>
            <w:div w:id="770466016">
              <w:marLeft w:val="0"/>
              <w:marRight w:val="0"/>
              <w:marTop w:val="0"/>
              <w:marBottom w:val="0"/>
              <w:divBdr>
                <w:top w:val="none" w:sz="0" w:space="0" w:color="auto"/>
                <w:left w:val="none" w:sz="0" w:space="0" w:color="auto"/>
                <w:bottom w:val="none" w:sz="0" w:space="0" w:color="auto"/>
                <w:right w:val="none" w:sz="0" w:space="0" w:color="auto"/>
              </w:divBdr>
            </w:div>
          </w:divsChild>
        </w:div>
        <w:div w:id="596406403">
          <w:marLeft w:val="0"/>
          <w:marRight w:val="0"/>
          <w:marTop w:val="0"/>
          <w:marBottom w:val="0"/>
          <w:divBdr>
            <w:top w:val="none" w:sz="0" w:space="0" w:color="auto"/>
            <w:left w:val="none" w:sz="0" w:space="0" w:color="auto"/>
            <w:bottom w:val="none" w:sz="0" w:space="0" w:color="auto"/>
            <w:right w:val="none" w:sz="0" w:space="0" w:color="auto"/>
          </w:divBdr>
          <w:divsChild>
            <w:div w:id="828132712">
              <w:marLeft w:val="0"/>
              <w:marRight w:val="0"/>
              <w:marTop w:val="0"/>
              <w:marBottom w:val="0"/>
              <w:divBdr>
                <w:top w:val="none" w:sz="0" w:space="0" w:color="auto"/>
                <w:left w:val="none" w:sz="0" w:space="0" w:color="auto"/>
                <w:bottom w:val="none" w:sz="0" w:space="0" w:color="auto"/>
                <w:right w:val="none" w:sz="0" w:space="0" w:color="auto"/>
              </w:divBdr>
            </w:div>
          </w:divsChild>
        </w:div>
        <w:div w:id="634139367">
          <w:marLeft w:val="0"/>
          <w:marRight w:val="0"/>
          <w:marTop w:val="0"/>
          <w:marBottom w:val="0"/>
          <w:divBdr>
            <w:top w:val="none" w:sz="0" w:space="0" w:color="auto"/>
            <w:left w:val="none" w:sz="0" w:space="0" w:color="auto"/>
            <w:bottom w:val="none" w:sz="0" w:space="0" w:color="auto"/>
            <w:right w:val="none" w:sz="0" w:space="0" w:color="auto"/>
          </w:divBdr>
          <w:divsChild>
            <w:div w:id="2071070194">
              <w:marLeft w:val="0"/>
              <w:marRight w:val="0"/>
              <w:marTop w:val="0"/>
              <w:marBottom w:val="0"/>
              <w:divBdr>
                <w:top w:val="none" w:sz="0" w:space="0" w:color="auto"/>
                <w:left w:val="none" w:sz="0" w:space="0" w:color="auto"/>
                <w:bottom w:val="none" w:sz="0" w:space="0" w:color="auto"/>
                <w:right w:val="none" w:sz="0" w:space="0" w:color="auto"/>
              </w:divBdr>
            </w:div>
          </w:divsChild>
        </w:div>
        <w:div w:id="658922976">
          <w:marLeft w:val="0"/>
          <w:marRight w:val="0"/>
          <w:marTop w:val="0"/>
          <w:marBottom w:val="0"/>
          <w:divBdr>
            <w:top w:val="none" w:sz="0" w:space="0" w:color="auto"/>
            <w:left w:val="none" w:sz="0" w:space="0" w:color="auto"/>
            <w:bottom w:val="none" w:sz="0" w:space="0" w:color="auto"/>
            <w:right w:val="none" w:sz="0" w:space="0" w:color="auto"/>
          </w:divBdr>
          <w:divsChild>
            <w:div w:id="1127092209">
              <w:marLeft w:val="0"/>
              <w:marRight w:val="0"/>
              <w:marTop w:val="0"/>
              <w:marBottom w:val="0"/>
              <w:divBdr>
                <w:top w:val="none" w:sz="0" w:space="0" w:color="auto"/>
                <w:left w:val="none" w:sz="0" w:space="0" w:color="auto"/>
                <w:bottom w:val="none" w:sz="0" w:space="0" w:color="auto"/>
                <w:right w:val="none" w:sz="0" w:space="0" w:color="auto"/>
              </w:divBdr>
            </w:div>
          </w:divsChild>
        </w:div>
        <w:div w:id="677973947">
          <w:marLeft w:val="0"/>
          <w:marRight w:val="0"/>
          <w:marTop w:val="0"/>
          <w:marBottom w:val="0"/>
          <w:divBdr>
            <w:top w:val="none" w:sz="0" w:space="0" w:color="auto"/>
            <w:left w:val="none" w:sz="0" w:space="0" w:color="auto"/>
            <w:bottom w:val="none" w:sz="0" w:space="0" w:color="auto"/>
            <w:right w:val="none" w:sz="0" w:space="0" w:color="auto"/>
          </w:divBdr>
          <w:divsChild>
            <w:div w:id="1772238816">
              <w:marLeft w:val="0"/>
              <w:marRight w:val="0"/>
              <w:marTop w:val="0"/>
              <w:marBottom w:val="0"/>
              <w:divBdr>
                <w:top w:val="none" w:sz="0" w:space="0" w:color="auto"/>
                <w:left w:val="none" w:sz="0" w:space="0" w:color="auto"/>
                <w:bottom w:val="none" w:sz="0" w:space="0" w:color="auto"/>
                <w:right w:val="none" w:sz="0" w:space="0" w:color="auto"/>
              </w:divBdr>
            </w:div>
          </w:divsChild>
        </w:div>
        <w:div w:id="698043207">
          <w:marLeft w:val="0"/>
          <w:marRight w:val="0"/>
          <w:marTop w:val="0"/>
          <w:marBottom w:val="0"/>
          <w:divBdr>
            <w:top w:val="none" w:sz="0" w:space="0" w:color="auto"/>
            <w:left w:val="none" w:sz="0" w:space="0" w:color="auto"/>
            <w:bottom w:val="none" w:sz="0" w:space="0" w:color="auto"/>
            <w:right w:val="none" w:sz="0" w:space="0" w:color="auto"/>
          </w:divBdr>
          <w:divsChild>
            <w:div w:id="1812481086">
              <w:marLeft w:val="0"/>
              <w:marRight w:val="0"/>
              <w:marTop w:val="0"/>
              <w:marBottom w:val="0"/>
              <w:divBdr>
                <w:top w:val="none" w:sz="0" w:space="0" w:color="auto"/>
                <w:left w:val="none" w:sz="0" w:space="0" w:color="auto"/>
                <w:bottom w:val="none" w:sz="0" w:space="0" w:color="auto"/>
                <w:right w:val="none" w:sz="0" w:space="0" w:color="auto"/>
              </w:divBdr>
            </w:div>
          </w:divsChild>
        </w:div>
        <w:div w:id="706564140">
          <w:marLeft w:val="0"/>
          <w:marRight w:val="0"/>
          <w:marTop w:val="0"/>
          <w:marBottom w:val="0"/>
          <w:divBdr>
            <w:top w:val="none" w:sz="0" w:space="0" w:color="auto"/>
            <w:left w:val="none" w:sz="0" w:space="0" w:color="auto"/>
            <w:bottom w:val="none" w:sz="0" w:space="0" w:color="auto"/>
            <w:right w:val="none" w:sz="0" w:space="0" w:color="auto"/>
          </w:divBdr>
          <w:divsChild>
            <w:div w:id="1063215195">
              <w:marLeft w:val="0"/>
              <w:marRight w:val="0"/>
              <w:marTop w:val="0"/>
              <w:marBottom w:val="0"/>
              <w:divBdr>
                <w:top w:val="none" w:sz="0" w:space="0" w:color="auto"/>
                <w:left w:val="none" w:sz="0" w:space="0" w:color="auto"/>
                <w:bottom w:val="none" w:sz="0" w:space="0" w:color="auto"/>
                <w:right w:val="none" w:sz="0" w:space="0" w:color="auto"/>
              </w:divBdr>
            </w:div>
          </w:divsChild>
        </w:div>
        <w:div w:id="708799683">
          <w:marLeft w:val="0"/>
          <w:marRight w:val="0"/>
          <w:marTop w:val="0"/>
          <w:marBottom w:val="0"/>
          <w:divBdr>
            <w:top w:val="none" w:sz="0" w:space="0" w:color="auto"/>
            <w:left w:val="none" w:sz="0" w:space="0" w:color="auto"/>
            <w:bottom w:val="none" w:sz="0" w:space="0" w:color="auto"/>
            <w:right w:val="none" w:sz="0" w:space="0" w:color="auto"/>
          </w:divBdr>
          <w:divsChild>
            <w:div w:id="1589075809">
              <w:marLeft w:val="0"/>
              <w:marRight w:val="0"/>
              <w:marTop w:val="0"/>
              <w:marBottom w:val="0"/>
              <w:divBdr>
                <w:top w:val="none" w:sz="0" w:space="0" w:color="auto"/>
                <w:left w:val="none" w:sz="0" w:space="0" w:color="auto"/>
                <w:bottom w:val="none" w:sz="0" w:space="0" w:color="auto"/>
                <w:right w:val="none" w:sz="0" w:space="0" w:color="auto"/>
              </w:divBdr>
            </w:div>
          </w:divsChild>
        </w:div>
        <w:div w:id="717431525">
          <w:marLeft w:val="0"/>
          <w:marRight w:val="0"/>
          <w:marTop w:val="0"/>
          <w:marBottom w:val="0"/>
          <w:divBdr>
            <w:top w:val="none" w:sz="0" w:space="0" w:color="auto"/>
            <w:left w:val="none" w:sz="0" w:space="0" w:color="auto"/>
            <w:bottom w:val="none" w:sz="0" w:space="0" w:color="auto"/>
            <w:right w:val="none" w:sz="0" w:space="0" w:color="auto"/>
          </w:divBdr>
          <w:divsChild>
            <w:div w:id="929196457">
              <w:marLeft w:val="0"/>
              <w:marRight w:val="0"/>
              <w:marTop w:val="0"/>
              <w:marBottom w:val="0"/>
              <w:divBdr>
                <w:top w:val="none" w:sz="0" w:space="0" w:color="auto"/>
                <w:left w:val="none" w:sz="0" w:space="0" w:color="auto"/>
                <w:bottom w:val="none" w:sz="0" w:space="0" w:color="auto"/>
                <w:right w:val="none" w:sz="0" w:space="0" w:color="auto"/>
              </w:divBdr>
            </w:div>
          </w:divsChild>
        </w:div>
        <w:div w:id="718088097">
          <w:marLeft w:val="0"/>
          <w:marRight w:val="0"/>
          <w:marTop w:val="0"/>
          <w:marBottom w:val="0"/>
          <w:divBdr>
            <w:top w:val="none" w:sz="0" w:space="0" w:color="auto"/>
            <w:left w:val="none" w:sz="0" w:space="0" w:color="auto"/>
            <w:bottom w:val="none" w:sz="0" w:space="0" w:color="auto"/>
            <w:right w:val="none" w:sz="0" w:space="0" w:color="auto"/>
          </w:divBdr>
          <w:divsChild>
            <w:div w:id="893004207">
              <w:marLeft w:val="0"/>
              <w:marRight w:val="0"/>
              <w:marTop w:val="0"/>
              <w:marBottom w:val="0"/>
              <w:divBdr>
                <w:top w:val="none" w:sz="0" w:space="0" w:color="auto"/>
                <w:left w:val="none" w:sz="0" w:space="0" w:color="auto"/>
                <w:bottom w:val="none" w:sz="0" w:space="0" w:color="auto"/>
                <w:right w:val="none" w:sz="0" w:space="0" w:color="auto"/>
              </w:divBdr>
            </w:div>
          </w:divsChild>
        </w:div>
        <w:div w:id="766996988">
          <w:marLeft w:val="0"/>
          <w:marRight w:val="0"/>
          <w:marTop w:val="0"/>
          <w:marBottom w:val="0"/>
          <w:divBdr>
            <w:top w:val="none" w:sz="0" w:space="0" w:color="auto"/>
            <w:left w:val="none" w:sz="0" w:space="0" w:color="auto"/>
            <w:bottom w:val="none" w:sz="0" w:space="0" w:color="auto"/>
            <w:right w:val="none" w:sz="0" w:space="0" w:color="auto"/>
          </w:divBdr>
          <w:divsChild>
            <w:div w:id="1095904624">
              <w:marLeft w:val="0"/>
              <w:marRight w:val="0"/>
              <w:marTop w:val="0"/>
              <w:marBottom w:val="0"/>
              <w:divBdr>
                <w:top w:val="none" w:sz="0" w:space="0" w:color="auto"/>
                <w:left w:val="none" w:sz="0" w:space="0" w:color="auto"/>
                <w:bottom w:val="none" w:sz="0" w:space="0" w:color="auto"/>
                <w:right w:val="none" w:sz="0" w:space="0" w:color="auto"/>
              </w:divBdr>
            </w:div>
          </w:divsChild>
        </w:div>
        <w:div w:id="772289618">
          <w:marLeft w:val="0"/>
          <w:marRight w:val="0"/>
          <w:marTop w:val="0"/>
          <w:marBottom w:val="0"/>
          <w:divBdr>
            <w:top w:val="none" w:sz="0" w:space="0" w:color="auto"/>
            <w:left w:val="none" w:sz="0" w:space="0" w:color="auto"/>
            <w:bottom w:val="none" w:sz="0" w:space="0" w:color="auto"/>
            <w:right w:val="none" w:sz="0" w:space="0" w:color="auto"/>
          </w:divBdr>
          <w:divsChild>
            <w:div w:id="1293942979">
              <w:marLeft w:val="0"/>
              <w:marRight w:val="0"/>
              <w:marTop w:val="0"/>
              <w:marBottom w:val="0"/>
              <w:divBdr>
                <w:top w:val="none" w:sz="0" w:space="0" w:color="auto"/>
                <w:left w:val="none" w:sz="0" w:space="0" w:color="auto"/>
                <w:bottom w:val="none" w:sz="0" w:space="0" w:color="auto"/>
                <w:right w:val="none" w:sz="0" w:space="0" w:color="auto"/>
              </w:divBdr>
            </w:div>
          </w:divsChild>
        </w:div>
        <w:div w:id="832842292">
          <w:marLeft w:val="0"/>
          <w:marRight w:val="0"/>
          <w:marTop w:val="0"/>
          <w:marBottom w:val="0"/>
          <w:divBdr>
            <w:top w:val="none" w:sz="0" w:space="0" w:color="auto"/>
            <w:left w:val="none" w:sz="0" w:space="0" w:color="auto"/>
            <w:bottom w:val="none" w:sz="0" w:space="0" w:color="auto"/>
            <w:right w:val="none" w:sz="0" w:space="0" w:color="auto"/>
          </w:divBdr>
          <w:divsChild>
            <w:div w:id="1003045163">
              <w:marLeft w:val="0"/>
              <w:marRight w:val="0"/>
              <w:marTop w:val="0"/>
              <w:marBottom w:val="0"/>
              <w:divBdr>
                <w:top w:val="none" w:sz="0" w:space="0" w:color="auto"/>
                <w:left w:val="none" w:sz="0" w:space="0" w:color="auto"/>
                <w:bottom w:val="none" w:sz="0" w:space="0" w:color="auto"/>
                <w:right w:val="none" w:sz="0" w:space="0" w:color="auto"/>
              </w:divBdr>
            </w:div>
          </w:divsChild>
        </w:div>
        <w:div w:id="888883831">
          <w:marLeft w:val="0"/>
          <w:marRight w:val="0"/>
          <w:marTop w:val="0"/>
          <w:marBottom w:val="0"/>
          <w:divBdr>
            <w:top w:val="none" w:sz="0" w:space="0" w:color="auto"/>
            <w:left w:val="none" w:sz="0" w:space="0" w:color="auto"/>
            <w:bottom w:val="none" w:sz="0" w:space="0" w:color="auto"/>
            <w:right w:val="none" w:sz="0" w:space="0" w:color="auto"/>
          </w:divBdr>
          <w:divsChild>
            <w:div w:id="410590618">
              <w:marLeft w:val="0"/>
              <w:marRight w:val="0"/>
              <w:marTop w:val="0"/>
              <w:marBottom w:val="0"/>
              <w:divBdr>
                <w:top w:val="none" w:sz="0" w:space="0" w:color="auto"/>
                <w:left w:val="none" w:sz="0" w:space="0" w:color="auto"/>
                <w:bottom w:val="none" w:sz="0" w:space="0" w:color="auto"/>
                <w:right w:val="none" w:sz="0" w:space="0" w:color="auto"/>
              </w:divBdr>
            </w:div>
          </w:divsChild>
        </w:div>
        <w:div w:id="890506380">
          <w:marLeft w:val="0"/>
          <w:marRight w:val="0"/>
          <w:marTop w:val="0"/>
          <w:marBottom w:val="0"/>
          <w:divBdr>
            <w:top w:val="none" w:sz="0" w:space="0" w:color="auto"/>
            <w:left w:val="none" w:sz="0" w:space="0" w:color="auto"/>
            <w:bottom w:val="none" w:sz="0" w:space="0" w:color="auto"/>
            <w:right w:val="none" w:sz="0" w:space="0" w:color="auto"/>
          </w:divBdr>
          <w:divsChild>
            <w:div w:id="1545823744">
              <w:marLeft w:val="0"/>
              <w:marRight w:val="0"/>
              <w:marTop w:val="0"/>
              <w:marBottom w:val="0"/>
              <w:divBdr>
                <w:top w:val="none" w:sz="0" w:space="0" w:color="auto"/>
                <w:left w:val="none" w:sz="0" w:space="0" w:color="auto"/>
                <w:bottom w:val="none" w:sz="0" w:space="0" w:color="auto"/>
                <w:right w:val="none" w:sz="0" w:space="0" w:color="auto"/>
              </w:divBdr>
            </w:div>
          </w:divsChild>
        </w:div>
        <w:div w:id="902253115">
          <w:marLeft w:val="0"/>
          <w:marRight w:val="0"/>
          <w:marTop w:val="0"/>
          <w:marBottom w:val="0"/>
          <w:divBdr>
            <w:top w:val="none" w:sz="0" w:space="0" w:color="auto"/>
            <w:left w:val="none" w:sz="0" w:space="0" w:color="auto"/>
            <w:bottom w:val="none" w:sz="0" w:space="0" w:color="auto"/>
            <w:right w:val="none" w:sz="0" w:space="0" w:color="auto"/>
          </w:divBdr>
          <w:divsChild>
            <w:div w:id="341399573">
              <w:marLeft w:val="0"/>
              <w:marRight w:val="0"/>
              <w:marTop w:val="0"/>
              <w:marBottom w:val="0"/>
              <w:divBdr>
                <w:top w:val="none" w:sz="0" w:space="0" w:color="auto"/>
                <w:left w:val="none" w:sz="0" w:space="0" w:color="auto"/>
                <w:bottom w:val="none" w:sz="0" w:space="0" w:color="auto"/>
                <w:right w:val="none" w:sz="0" w:space="0" w:color="auto"/>
              </w:divBdr>
            </w:div>
          </w:divsChild>
        </w:div>
        <w:div w:id="907375343">
          <w:marLeft w:val="0"/>
          <w:marRight w:val="0"/>
          <w:marTop w:val="0"/>
          <w:marBottom w:val="0"/>
          <w:divBdr>
            <w:top w:val="none" w:sz="0" w:space="0" w:color="auto"/>
            <w:left w:val="none" w:sz="0" w:space="0" w:color="auto"/>
            <w:bottom w:val="none" w:sz="0" w:space="0" w:color="auto"/>
            <w:right w:val="none" w:sz="0" w:space="0" w:color="auto"/>
          </w:divBdr>
          <w:divsChild>
            <w:div w:id="57217337">
              <w:marLeft w:val="0"/>
              <w:marRight w:val="0"/>
              <w:marTop w:val="0"/>
              <w:marBottom w:val="0"/>
              <w:divBdr>
                <w:top w:val="none" w:sz="0" w:space="0" w:color="auto"/>
                <w:left w:val="none" w:sz="0" w:space="0" w:color="auto"/>
                <w:bottom w:val="none" w:sz="0" w:space="0" w:color="auto"/>
                <w:right w:val="none" w:sz="0" w:space="0" w:color="auto"/>
              </w:divBdr>
            </w:div>
          </w:divsChild>
        </w:div>
        <w:div w:id="907766365">
          <w:marLeft w:val="0"/>
          <w:marRight w:val="0"/>
          <w:marTop w:val="0"/>
          <w:marBottom w:val="0"/>
          <w:divBdr>
            <w:top w:val="none" w:sz="0" w:space="0" w:color="auto"/>
            <w:left w:val="none" w:sz="0" w:space="0" w:color="auto"/>
            <w:bottom w:val="none" w:sz="0" w:space="0" w:color="auto"/>
            <w:right w:val="none" w:sz="0" w:space="0" w:color="auto"/>
          </w:divBdr>
          <w:divsChild>
            <w:div w:id="1379741060">
              <w:marLeft w:val="0"/>
              <w:marRight w:val="0"/>
              <w:marTop w:val="0"/>
              <w:marBottom w:val="0"/>
              <w:divBdr>
                <w:top w:val="none" w:sz="0" w:space="0" w:color="auto"/>
                <w:left w:val="none" w:sz="0" w:space="0" w:color="auto"/>
                <w:bottom w:val="none" w:sz="0" w:space="0" w:color="auto"/>
                <w:right w:val="none" w:sz="0" w:space="0" w:color="auto"/>
              </w:divBdr>
            </w:div>
          </w:divsChild>
        </w:div>
        <w:div w:id="912399904">
          <w:marLeft w:val="0"/>
          <w:marRight w:val="0"/>
          <w:marTop w:val="0"/>
          <w:marBottom w:val="0"/>
          <w:divBdr>
            <w:top w:val="none" w:sz="0" w:space="0" w:color="auto"/>
            <w:left w:val="none" w:sz="0" w:space="0" w:color="auto"/>
            <w:bottom w:val="none" w:sz="0" w:space="0" w:color="auto"/>
            <w:right w:val="none" w:sz="0" w:space="0" w:color="auto"/>
          </w:divBdr>
          <w:divsChild>
            <w:div w:id="672150223">
              <w:marLeft w:val="0"/>
              <w:marRight w:val="0"/>
              <w:marTop w:val="0"/>
              <w:marBottom w:val="0"/>
              <w:divBdr>
                <w:top w:val="none" w:sz="0" w:space="0" w:color="auto"/>
                <w:left w:val="none" w:sz="0" w:space="0" w:color="auto"/>
                <w:bottom w:val="none" w:sz="0" w:space="0" w:color="auto"/>
                <w:right w:val="none" w:sz="0" w:space="0" w:color="auto"/>
              </w:divBdr>
            </w:div>
          </w:divsChild>
        </w:div>
        <w:div w:id="1033581259">
          <w:marLeft w:val="0"/>
          <w:marRight w:val="0"/>
          <w:marTop w:val="0"/>
          <w:marBottom w:val="0"/>
          <w:divBdr>
            <w:top w:val="none" w:sz="0" w:space="0" w:color="auto"/>
            <w:left w:val="none" w:sz="0" w:space="0" w:color="auto"/>
            <w:bottom w:val="none" w:sz="0" w:space="0" w:color="auto"/>
            <w:right w:val="none" w:sz="0" w:space="0" w:color="auto"/>
          </w:divBdr>
          <w:divsChild>
            <w:div w:id="1951930384">
              <w:marLeft w:val="0"/>
              <w:marRight w:val="0"/>
              <w:marTop w:val="0"/>
              <w:marBottom w:val="0"/>
              <w:divBdr>
                <w:top w:val="none" w:sz="0" w:space="0" w:color="auto"/>
                <w:left w:val="none" w:sz="0" w:space="0" w:color="auto"/>
                <w:bottom w:val="none" w:sz="0" w:space="0" w:color="auto"/>
                <w:right w:val="none" w:sz="0" w:space="0" w:color="auto"/>
              </w:divBdr>
            </w:div>
          </w:divsChild>
        </w:div>
        <w:div w:id="1034767564">
          <w:marLeft w:val="0"/>
          <w:marRight w:val="0"/>
          <w:marTop w:val="0"/>
          <w:marBottom w:val="0"/>
          <w:divBdr>
            <w:top w:val="none" w:sz="0" w:space="0" w:color="auto"/>
            <w:left w:val="none" w:sz="0" w:space="0" w:color="auto"/>
            <w:bottom w:val="none" w:sz="0" w:space="0" w:color="auto"/>
            <w:right w:val="none" w:sz="0" w:space="0" w:color="auto"/>
          </w:divBdr>
          <w:divsChild>
            <w:div w:id="1310401680">
              <w:marLeft w:val="0"/>
              <w:marRight w:val="0"/>
              <w:marTop w:val="0"/>
              <w:marBottom w:val="0"/>
              <w:divBdr>
                <w:top w:val="none" w:sz="0" w:space="0" w:color="auto"/>
                <w:left w:val="none" w:sz="0" w:space="0" w:color="auto"/>
                <w:bottom w:val="none" w:sz="0" w:space="0" w:color="auto"/>
                <w:right w:val="none" w:sz="0" w:space="0" w:color="auto"/>
              </w:divBdr>
            </w:div>
          </w:divsChild>
        </w:div>
        <w:div w:id="1054618591">
          <w:marLeft w:val="0"/>
          <w:marRight w:val="0"/>
          <w:marTop w:val="0"/>
          <w:marBottom w:val="0"/>
          <w:divBdr>
            <w:top w:val="none" w:sz="0" w:space="0" w:color="auto"/>
            <w:left w:val="none" w:sz="0" w:space="0" w:color="auto"/>
            <w:bottom w:val="none" w:sz="0" w:space="0" w:color="auto"/>
            <w:right w:val="none" w:sz="0" w:space="0" w:color="auto"/>
          </w:divBdr>
          <w:divsChild>
            <w:div w:id="73476034">
              <w:marLeft w:val="0"/>
              <w:marRight w:val="0"/>
              <w:marTop w:val="0"/>
              <w:marBottom w:val="0"/>
              <w:divBdr>
                <w:top w:val="none" w:sz="0" w:space="0" w:color="auto"/>
                <w:left w:val="none" w:sz="0" w:space="0" w:color="auto"/>
                <w:bottom w:val="none" w:sz="0" w:space="0" w:color="auto"/>
                <w:right w:val="none" w:sz="0" w:space="0" w:color="auto"/>
              </w:divBdr>
            </w:div>
          </w:divsChild>
        </w:div>
        <w:div w:id="1084381812">
          <w:marLeft w:val="0"/>
          <w:marRight w:val="0"/>
          <w:marTop w:val="0"/>
          <w:marBottom w:val="0"/>
          <w:divBdr>
            <w:top w:val="none" w:sz="0" w:space="0" w:color="auto"/>
            <w:left w:val="none" w:sz="0" w:space="0" w:color="auto"/>
            <w:bottom w:val="none" w:sz="0" w:space="0" w:color="auto"/>
            <w:right w:val="none" w:sz="0" w:space="0" w:color="auto"/>
          </w:divBdr>
          <w:divsChild>
            <w:div w:id="1243638843">
              <w:marLeft w:val="0"/>
              <w:marRight w:val="0"/>
              <w:marTop w:val="0"/>
              <w:marBottom w:val="0"/>
              <w:divBdr>
                <w:top w:val="none" w:sz="0" w:space="0" w:color="auto"/>
                <w:left w:val="none" w:sz="0" w:space="0" w:color="auto"/>
                <w:bottom w:val="none" w:sz="0" w:space="0" w:color="auto"/>
                <w:right w:val="none" w:sz="0" w:space="0" w:color="auto"/>
              </w:divBdr>
            </w:div>
          </w:divsChild>
        </w:div>
        <w:div w:id="1091852507">
          <w:marLeft w:val="0"/>
          <w:marRight w:val="0"/>
          <w:marTop w:val="0"/>
          <w:marBottom w:val="0"/>
          <w:divBdr>
            <w:top w:val="none" w:sz="0" w:space="0" w:color="auto"/>
            <w:left w:val="none" w:sz="0" w:space="0" w:color="auto"/>
            <w:bottom w:val="none" w:sz="0" w:space="0" w:color="auto"/>
            <w:right w:val="none" w:sz="0" w:space="0" w:color="auto"/>
          </w:divBdr>
          <w:divsChild>
            <w:div w:id="1519931696">
              <w:marLeft w:val="0"/>
              <w:marRight w:val="0"/>
              <w:marTop w:val="0"/>
              <w:marBottom w:val="0"/>
              <w:divBdr>
                <w:top w:val="none" w:sz="0" w:space="0" w:color="auto"/>
                <w:left w:val="none" w:sz="0" w:space="0" w:color="auto"/>
                <w:bottom w:val="none" w:sz="0" w:space="0" w:color="auto"/>
                <w:right w:val="none" w:sz="0" w:space="0" w:color="auto"/>
              </w:divBdr>
            </w:div>
          </w:divsChild>
        </w:div>
        <w:div w:id="1101754031">
          <w:marLeft w:val="0"/>
          <w:marRight w:val="0"/>
          <w:marTop w:val="0"/>
          <w:marBottom w:val="0"/>
          <w:divBdr>
            <w:top w:val="none" w:sz="0" w:space="0" w:color="auto"/>
            <w:left w:val="none" w:sz="0" w:space="0" w:color="auto"/>
            <w:bottom w:val="none" w:sz="0" w:space="0" w:color="auto"/>
            <w:right w:val="none" w:sz="0" w:space="0" w:color="auto"/>
          </w:divBdr>
          <w:divsChild>
            <w:div w:id="1429958535">
              <w:marLeft w:val="0"/>
              <w:marRight w:val="0"/>
              <w:marTop w:val="0"/>
              <w:marBottom w:val="0"/>
              <w:divBdr>
                <w:top w:val="none" w:sz="0" w:space="0" w:color="auto"/>
                <w:left w:val="none" w:sz="0" w:space="0" w:color="auto"/>
                <w:bottom w:val="none" w:sz="0" w:space="0" w:color="auto"/>
                <w:right w:val="none" w:sz="0" w:space="0" w:color="auto"/>
              </w:divBdr>
            </w:div>
          </w:divsChild>
        </w:div>
        <w:div w:id="1106853934">
          <w:marLeft w:val="0"/>
          <w:marRight w:val="0"/>
          <w:marTop w:val="0"/>
          <w:marBottom w:val="0"/>
          <w:divBdr>
            <w:top w:val="none" w:sz="0" w:space="0" w:color="auto"/>
            <w:left w:val="none" w:sz="0" w:space="0" w:color="auto"/>
            <w:bottom w:val="none" w:sz="0" w:space="0" w:color="auto"/>
            <w:right w:val="none" w:sz="0" w:space="0" w:color="auto"/>
          </w:divBdr>
          <w:divsChild>
            <w:div w:id="1624389177">
              <w:marLeft w:val="0"/>
              <w:marRight w:val="0"/>
              <w:marTop w:val="0"/>
              <w:marBottom w:val="0"/>
              <w:divBdr>
                <w:top w:val="none" w:sz="0" w:space="0" w:color="auto"/>
                <w:left w:val="none" w:sz="0" w:space="0" w:color="auto"/>
                <w:bottom w:val="none" w:sz="0" w:space="0" w:color="auto"/>
                <w:right w:val="none" w:sz="0" w:space="0" w:color="auto"/>
              </w:divBdr>
            </w:div>
          </w:divsChild>
        </w:div>
        <w:div w:id="1124035746">
          <w:marLeft w:val="0"/>
          <w:marRight w:val="0"/>
          <w:marTop w:val="0"/>
          <w:marBottom w:val="0"/>
          <w:divBdr>
            <w:top w:val="none" w:sz="0" w:space="0" w:color="auto"/>
            <w:left w:val="none" w:sz="0" w:space="0" w:color="auto"/>
            <w:bottom w:val="none" w:sz="0" w:space="0" w:color="auto"/>
            <w:right w:val="none" w:sz="0" w:space="0" w:color="auto"/>
          </w:divBdr>
          <w:divsChild>
            <w:div w:id="1991905987">
              <w:marLeft w:val="0"/>
              <w:marRight w:val="0"/>
              <w:marTop w:val="0"/>
              <w:marBottom w:val="0"/>
              <w:divBdr>
                <w:top w:val="none" w:sz="0" w:space="0" w:color="auto"/>
                <w:left w:val="none" w:sz="0" w:space="0" w:color="auto"/>
                <w:bottom w:val="none" w:sz="0" w:space="0" w:color="auto"/>
                <w:right w:val="none" w:sz="0" w:space="0" w:color="auto"/>
              </w:divBdr>
            </w:div>
          </w:divsChild>
        </w:div>
        <w:div w:id="1144664401">
          <w:marLeft w:val="0"/>
          <w:marRight w:val="0"/>
          <w:marTop w:val="0"/>
          <w:marBottom w:val="0"/>
          <w:divBdr>
            <w:top w:val="none" w:sz="0" w:space="0" w:color="auto"/>
            <w:left w:val="none" w:sz="0" w:space="0" w:color="auto"/>
            <w:bottom w:val="none" w:sz="0" w:space="0" w:color="auto"/>
            <w:right w:val="none" w:sz="0" w:space="0" w:color="auto"/>
          </w:divBdr>
          <w:divsChild>
            <w:div w:id="326131740">
              <w:marLeft w:val="0"/>
              <w:marRight w:val="0"/>
              <w:marTop w:val="0"/>
              <w:marBottom w:val="0"/>
              <w:divBdr>
                <w:top w:val="none" w:sz="0" w:space="0" w:color="auto"/>
                <w:left w:val="none" w:sz="0" w:space="0" w:color="auto"/>
                <w:bottom w:val="none" w:sz="0" w:space="0" w:color="auto"/>
                <w:right w:val="none" w:sz="0" w:space="0" w:color="auto"/>
              </w:divBdr>
            </w:div>
          </w:divsChild>
        </w:div>
        <w:div w:id="1146970110">
          <w:marLeft w:val="0"/>
          <w:marRight w:val="0"/>
          <w:marTop w:val="0"/>
          <w:marBottom w:val="0"/>
          <w:divBdr>
            <w:top w:val="none" w:sz="0" w:space="0" w:color="auto"/>
            <w:left w:val="none" w:sz="0" w:space="0" w:color="auto"/>
            <w:bottom w:val="none" w:sz="0" w:space="0" w:color="auto"/>
            <w:right w:val="none" w:sz="0" w:space="0" w:color="auto"/>
          </w:divBdr>
          <w:divsChild>
            <w:div w:id="283656739">
              <w:marLeft w:val="0"/>
              <w:marRight w:val="0"/>
              <w:marTop w:val="0"/>
              <w:marBottom w:val="0"/>
              <w:divBdr>
                <w:top w:val="none" w:sz="0" w:space="0" w:color="auto"/>
                <w:left w:val="none" w:sz="0" w:space="0" w:color="auto"/>
                <w:bottom w:val="none" w:sz="0" w:space="0" w:color="auto"/>
                <w:right w:val="none" w:sz="0" w:space="0" w:color="auto"/>
              </w:divBdr>
            </w:div>
          </w:divsChild>
        </w:div>
        <w:div w:id="1172260608">
          <w:marLeft w:val="0"/>
          <w:marRight w:val="0"/>
          <w:marTop w:val="0"/>
          <w:marBottom w:val="0"/>
          <w:divBdr>
            <w:top w:val="none" w:sz="0" w:space="0" w:color="auto"/>
            <w:left w:val="none" w:sz="0" w:space="0" w:color="auto"/>
            <w:bottom w:val="none" w:sz="0" w:space="0" w:color="auto"/>
            <w:right w:val="none" w:sz="0" w:space="0" w:color="auto"/>
          </w:divBdr>
          <w:divsChild>
            <w:div w:id="675115481">
              <w:marLeft w:val="0"/>
              <w:marRight w:val="0"/>
              <w:marTop w:val="0"/>
              <w:marBottom w:val="0"/>
              <w:divBdr>
                <w:top w:val="none" w:sz="0" w:space="0" w:color="auto"/>
                <w:left w:val="none" w:sz="0" w:space="0" w:color="auto"/>
                <w:bottom w:val="none" w:sz="0" w:space="0" w:color="auto"/>
                <w:right w:val="none" w:sz="0" w:space="0" w:color="auto"/>
              </w:divBdr>
            </w:div>
          </w:divsChild>
        </w:div>
        <w:div w:id="1226183704">
          <w:marLeft w:val="0"/>
          <w:marRight w:val="0"/>
          <w:marTop w:val="0"/>
          <w:marBottom w:val="0"/>
          <w:divBdr>
            <w:top w:val="none" w:sz="0" w:space="0" w:color="auto"/>
            <w:left w:val="none" w:sz="0" w:space="0" w:color="auto"/>
            <w:bottom w:val="none" w:sz="0" w:space="0" w:color="auto"/>
            <w:right w:val="none" w:sz="0" w:space="0" w:color="auto"/>
          </w:divBdr>
          <w:divsChild>
            <w:div w:id="423495322">
              <w:marLeft w:val="0"/>
              <w:marRight w:val="0"/>
              <w:marTop w:val="0"/>
              <w:marBottom w:val="0"/>
              <w:divBdr>
                <w:top w:val="none" w:sz="0" w:space="0" w:color="auto"/>
                <w:left w:val="none" w:sz="0" w:space="0" w:color="auto"/>
                <w:bottom w:val="none" w:sz="0" w:space="0" w:color="auto"/>
                <w:right w:val="none" w:sz="0" w:space="0" w:color="auto"/>
              </w:divBdr>
            </w:div>
          </w:divsChild>
        </w:div>
        <w:div w:id="1239753794">
          <w:marLeft w:val="0"/>
          <w:marRight w:val="0"/>
          <w:marTop w:val="0"/>
          <w:marBottom w:val="0"/>
          <w:divBdr>
            <w:top w:val="none" w:sz="0" w:space="0" w:color="auto"/>
            <w:left w:val="none" w:sz="0" w:space="0" w:color="auto"/>
            <w:bottom w:val="none" w:sz="0" w:space="0" w:color="auto"/>
            <w:right w:val="none" w:sz="0" w:space="0" w:color="auto"/>
          </w:divBdr>
          <w:divsChild>
            <w:div w:id="2086875805">
              <w:marLeft w:val="0"/>
              <w:marRight w:val="0"/>
              <w:marTop w:val="0"/>
              <w:marBottom w:val="0"/>
              <w:divBdr>
                <w:top w:val="none" w:sz="0" w:space="0" w:color="auto"/>
                <w:left w:val="none" w:sz="0" w:space="0" w:color="auto"/>
                <w:bottom w:val="none" w:sz="0" w:space="0" w:color="auto"/>
                <w:right w:val="none" w:sz="0" w:space="0" w:color="auto"/>
              </w:divBdr>
            </w:div>
          </w:divsChild>
        </w:div>
        <w:div w:id="1242566144">
          <w:marLeft w:val="0"/>
          <w:marRight w:val="0"/>
          <w:marTop w:val="0"/>
          <w:marBottom w:val="0"/>
          <w:divBdr>
            <w:top w:val="none" w:sz="0" w:space="0" w:color="auto"/>
            <w:left w:val="none" w:sz="0" w:space="0" w:color="auto"/>
            <w:bottom w:val="none" w:sz="0" w:space="0" w:color="auto"/>
            <w:right w:val="none" w:sz="0" w:space="0" w:color="auto"/>
          </w:divBdr>
          <w:divsChild>
            <w:div w:id="917177543">
              <w:marLeft w:val="0"/>
              <w:marRight w:val="0"/>
              <w:marTop w:val="0"/>
              <w:marBottom w:val="0"/>
              <w:divBdr>
                <w:top w:val="none" w:sz="0" w:space="0" w:color="auto"/>
                <w:left w:val="none" w:sz="0" w:space="0" w:color="auto"/>
                <w:bottom w:val="none" w:sz="0" w:space="0" w:color="auto"/>
                <w:right w:val="none" w:sz="0" w:space="0" w:color="auto"/>
              </w:divBdr>
            </w:div>
          </w:divsChild>
        </w:div>
        <w:div w:id="1245455401">
          <w:marLeft w:val="0"/>
          <w:marRight w:val="0"/>
          <w:marTop w:val="0"/>
          <w:marBottom w:val="0"/>
          <w:divBdr>
            <w:top w:val="none" w:sz="0" w:space="0" w:color="auto"/>
            <w:left w:val="none" w:sz="0" w:space="0" w:color="auto"/>
            <w:bottom w:val="none" w:sz="0" w:space="0" w:color="auto"/>
            <w:right w:val="none" w:sz="0" w:space="0" w:color="auto"/>
          </w:divBdr>
          <w:divsChild>
            <w:div w:id="680352890">
              <w:marLeft w:val="0"/>
              <w:marRight w:val="0"/>
              <w:marTop w:val="0"/>
              <w:marBottom w:val="0"/>
              <w:divBdr>
                <w:top w:val="none" w:sz="0" w:space="0" w:color="auto"/>
                <w:left w:val="none" w:sz="0" w:space="0" w:color="auto"/>
                <w:bottom w:val="none" w:sz="0" w:space="0" w:color="auto"/>
                <w:right w:val="none" w:sz="0" w:space="0" w:color="auto"/>
              </w:divBdr>
            </w:div>
          </w:divsChild>
        </w:div>
        <w:div w:id="1261983347">
          <w:marLeft w:val="0"/>
          <w:marRight w:val="0"/>
          <w:marTop w:val="0"/>
          <w:marBottom w:val="0"/>
          <w:divBdr>
            <w:top w:val="none" w:sz="0" w:space="0" w:color="auto"/>
            <w:left w:val="none" w:sz="0" w:space="0" w:color="auto"/>
            <w:bottom w:val="none" w:sz="0" w:space="0" w:color="auto"/>
            <w:right w:val="none" w:sz="0" w:space="0" w:color="auto"/>
          </w:divBdr>
          <w:divsChild>
            <w:div w:id="1783574283">
              <w:marLeft w:val="0"/>
              <w:marRight w:val="0"/>
              <w:marTop w:val="0"/>
              <w:marBottom w:val="0"/>
              <w:divBdr>
                <w:top w:val="none" w:sz="0" w:space="0" w:color="auto"/>
                <w:left w:val="none" w:sz="0" w:space="0" w:color="auto"/>
                <w:bottom w:val="none" w:sz="0" w:space="0" w:color="auto"/>
                <w:right w:val="none" w:sz="0" w:space="0" w:color="auto"/>
              </w:divBdr>
            </w:div>
          </w:divsChild>
        </w:div>
        <w:div w:id="1267302387">
          <w:marLeft w:val="0"/>
          <w:marRight w:val="0"/>
          <w:marTop w:val="0"/>
          <w:marBottom w:val="0"/>
          <w:divBdr>
            <w:top w:val="none" w:sz="0" w:space="0" w:color="auto"/>
            <w:left w:val="none" w:sz="0" w:space="0" w:color="auto"/>
            <w:bottom w:val="none" w:sz="0" w:space="0" w:color="auto"/>
            <w:right w:val="none" w:sz="0" w:space="0" w:color="auto"/>
          </w:divBdr>
          <w:divsChild>
            <w:div w:id="884565928">
              <w:marLeft w:val="0"/>
              <w:marRight w:val="0"/>
              <w:marTop w:val="0"/>
              <w:marBottom w:val="0"/>
              <w:divBdr>
                <w:top w:val="none" w:sz="0" w:space="0" w:color="auto"/>
                <w:left w:val="none" w:sz="0" w:space="0" w:color="auto"/>
                <w:bottom w:val="none" w:sz="0" w:space="0" w:color="auto"/>
                <w:right w:val="none" w:sz="0" w:space="0" w:color="auto"/>
              </w:divBdr>
            </w:div>
          </w:divsChild>
        </w:div>
        <w:div w:id="1270087848">
          <w:marLeft w:val="0"/>
          <w:marRight w:val="0"/>
          <w:marTop w:val="0"/>
          <w:marBottom w:val="0"/>
          <w:divBdr>
            <w:top w:val="none" w:sz="0" w:space="0" w:color="auto"/>
            <w:left w:val="none" w:sz="0" w:space="0" w:color="auto"/>
            <w:bottom w:val="none" w:sz="0" w:space="0" w:color="auto"/>
            <w:right w:val="none" w:sz="0" w:space="0" w:color="auto"/>
          </w:divBdr>
          <w:divsChild>
            <w:div w:id="1427923493">
              <w:marLeft w:val="0"/>
              <w:marRight w:val="0"/>
              <w:marTop w:val="0"/>
              <w:marBottom w:val="0"/>
              <w:divBdr>
                <w:top w:val="none" w:sz="0" w:space="0" w:color="auto"/>
                <w:left w:val="none" w:sz="0" w:space="0" w:color="auto"/>
                <w:bottom w:val="none" w:sz="0" w:space="0" w:color="auto"/>
                <w:right w:val="none" w:sz="0" w:space="0" w:color="auto"/>
              </w:divBdr>
            </w:div>
          </w:divsChild>
        </w:div>
        <w:div w:id="1306010074">
          <w:marLeft w:val="0"/>
          <w:marRight w:val="0"/>
          <w:marTop w:val="0"/>
          <w:marBottom w:val="0"/>
          <w:divBdr>
            <w:top w:val="none" w:sz="0" w:space="0" w:color="auto"/>
            <w:left w:val="none" w:sz="0" w:space="0" w:color="auto"/>
            <w:bottom w:val="none" w:sz="0" w:space="0" w:color="auto"/>
            <w:right w:val="none" w:sz="0" w:space="0" w:color="auto"/>
          </w:divBdr>
          <w:divsChild>
            <w:div w:id="43679681">
              <w:marLeft w:val="0"/>
              <w:marRight w:val="0"/>
              <w:marTop w:val="0"/>
              <w:marBottom w:val="0"/>
              <w:divBdr>
                <w:top w:val="none" w:sz="0" w:space="0" w:color="auto"/>
                <w:left w:val="none" w:sz="0" w:space="0" w:color="auto"/>
                <w:bottom w:val="none" w:sz="0" w:space="0" w:color="auto"/>
                <w:right w:val="none" w:sz="0" w:space="0" w:color="auto"/>
              </w:divBdr>
            </w:div>
          </w:divsChild>
        </w:div>
        <w:div w:id="1328284423">
          <w:marLeft w:val="0"/>
          <w:marRight w:val="0"/>
          <w:marTop w:val="0"/>
          <w:marBottom w:val="0"/>
          <w:divBdr>
            <w:top w:val="none" w:sz="0" w:space="0" w:color="auto"/>
            <w:left w:val="none" w:sz="0" w:space="0" w:color="auto"/>
            <w:bottom w:val="none" w:sz="0" w:space="0" w:color="auto"/>
            <w:right w:val="none" w:sz="0" w:space="0" w:color="auto"/>
          </w:divBdr>
          <w:divsChild>
            <w:div w:id="1643653075">
              <w:marLeft w:val="0"/>
              <w:marRight w:val="0"/>
              <w:marTop w:val="0"/>
              <w:marBottom w:val="0"/>
              <w:divBdr>
                <w:top w:val="none" w:sz="0" w:space="0" w:color="auto"/>
                <w:left w:val="none" w:sz="0" w:space="0" w:color="auto"/>
                <w:bottom w:val="none" w:sz="0" w:space="0" w:color="auto"/>
                <w:right w:val="none" w:sz="0" w:space="0" w:color="auto"/>
              </w:divBdr>
            </w:div>
          </w:divsChild>
        </w:div>
        <w:div w:id="1344476548">
          <w:marLeft w:val="0"/>
          <w:marRight w:val="0"/>
          <w:marTop w:val="0"/>
          <w:marBottom w:val="0"/>
          <w:divBdr>
            <w:top w:val="none" w:sz="0" w:space="0" w:color="auto"/>
            <w:left w:val="none" w:sz="0" w:space="0" w:color="auto"/>
            <w:bottom w:val="none" w:sz="0" w:space="0" w:color="auto"/>
            <w:right w:val="none" w:sz="0" w:space="0" w:color="auto"/>
          </w:divBdr>
          <w:divsChild>
            <w:div w:id="2093624996">
              <w:marLeft w:val="0"/>
              <w:marRight w:val="0"/>
              <w:marTop w:val="0"/>
              <w:marBottom w:val="0"/>
              <w:divBdr>
                <w:top w:val="none" w:sz="0" w:space="0" w:color="auto"/>
                <w:left w:val="none" w:sz="0" w:space="0" w:color="auto"/>
                <w:bottom w:val="none" w:sz="0" w:space="0" w:color="auto"/>
                <w:right w:val="none" w:sz="0" w:space="0" w:color="auto"/>
              </w:divBdr>
            </w:div>
          </w:divsChild>
        </w:div>
        <w:div w:id="1367439561">
          <w:marLeft w:val="0"/>
          <w:marRight w:val="0"/>
          <w:marTop w:val="0"/>
          <w:marBottom w:val="0"/>
          <w:divBdr>
            <w:top w:val="none" w:sz="0" w:space="0" w:color="auto"/>
            <w:left w:val="none" w:sz="0" w:space="0" w:color="auto"/>
            <w:bottom w:val="none" w:sz="0" w:space="0" w:color="auto"/>
            <w:right w:val="none" w:sz="0" w:space="0" w:color="auto"/>
          </w:divBdr>
          <w:divsChild>
            <w:div w:id="993028836">
              <w:marLeft w:val="0"/>
              <w:marRight w:val="0"/>
              <w:marTop w:val="0"/>
              <w:marBottom w:val="0"/>
              <w:divBdr>
                <w:top w:val="none" w:sz="0" w:space="0" w:color="auto"/>
                <w:left w:val="none" w:sz="0" w:space="0" w:color="auto"/>
                <w:bottom w:val="none" w:sz="0" w:space="0" w:color="auto"/>
                <w:right w:val="none" w:sz="0" w:space="0" w:color="auto"/>
              </w:divBdr>
            </w:div>
          </w:divsChild>
        </w:div>
        <w:div w:id="1368488503">
          <w:marLeft w:val="0"/>
          <w:marRight w:val="0"/>
          <w:marTop w:val="0"/>
          <w:marBottom w:val="0"/>
          <w:divBdr>
            <w:top w:val="none" w:sz="0" w:space="0" w:color="auto"/>
            <w:left w:val="none" w:sz="0" w:space="0" w:color="auto"/>
            <w:bottom w:val="none" w:sz="0" w:space="0" w:color="auto"/>
            <w:right w:val="none" w:sz="0" w:space="0" w:color="auto"/>
          </w:divBdr>
          <w:divsChild>
            <w:div w:id="1687974729">
              <w:marLeft w:val="0"/>
              <w:marRight w:val="0"/>
              <w:marTop w:val="0"/>
              <w:marBottom w:val="0"/>
              <w:divBdr>
                <w:top w:val="none" w:sz="0" w:space="0" w:color="auto"/>
                <w:left w:val="none" w:sz="0" w:space="0" w:color="auto"/>
                <w:bottom w:val="none" w:sz="0" w:space="0" w:color="auto"/>
                <w:right w:val="none" w:sz="0" w:space="0" w:color="auto"/>
              </w:divBdr>
            </w:div>
          </w:divsChild>
        </w:div>
        <w:div w:id="1377314463">
          <w:marLeft w:val="0"/>
          <w:marRight w:val="0"/>
          <w:marTop w:val="0"/>
          <w:marBottom w:val="0"/>
          <w:divBdr>
            <w:top w:val="none" w:sz="0" w:space="0" w:color="auto"/>
            <w:left w:val="none" w:sz="0" w:space="0" w:color="auto"/>
            <w:bottom w:val="none" w:sz="0" w:space="0" w:color="auto"/>
            <w:right w:val="none" w:sz="0" w:space="0" w:color="auto"/>
          </w:divBdr>
          <w:divsChild>
            <w:div w:id="880480583">
              <w:marLeft w:val="0"/>
              <w:marRight w:val="0"/>
              <w:marTop w:val="0"/>
              <w:marBottom w:val="0"/>
              <w:divBdr>
                <w:top w:val="none" w:sz="0" w:space="0" w:color="auto"/>
                <w:left w:val="none" w:sz="0" w:space="0" w:color="auto"/>
                <w:bottom w:val="none" w:sz="0" w:space="0" w:color="auto"/>
                <w:right w:val="none" w:sz="0" w:space="0" w:color="auto"/>
              </w:divBdr>
            </w:div>
          </w:divsChild>
        </w:div>
        <w:div w:id="1381175700">
          <w:marLeft w:val="0"/>
          <w:marRight w:val="0"/>
          <w:marTop w:val="0"/>
          <w:marBottom w:val="0"/>
          <w:divBdr>
            <w:top w:val="none" w:sz="0" w:space="0" w:color="auto"/>
            <w:left w:val="none" w:sz="0" w:space="0" w:color="auto"/>
            <w:bottom w:val="none" w:sz="0" w:space="0" w:color="auto"/>
            <w:right w:val="none" w:sz="0" w:space="0" w:color="auto"/>
          </w:divBdr>
          <w:divsChild>
            <w:div w:id="2089419101">
              <w:marLeft w:val="0"/>
              <w:marRight w:val="0"/>
              <w:marTop w:val="0"/>
              <w:marBottom w:val="0"/>
              <w:divBdr>
                <w:top w:val="none" w:sz="0" w:space="0" w:color="auto"/>
                <w:left w:val="none" w:sz="0" w:space="0" w:color="auto"/>
                <w:bottom w:val="none" w:sz="0" w:space="0" w:color="auto"/>
                <w:right w:val="none" w:sz="0" w:space="0" w:color="auto"/>
              </w:divBdr>
            </w:div>
          </w:divsChild>
        </w:div>
        <w:div w:id="1393386185">
          <w:marLeft w:val="0"/>
          <w:marRight w:val="0"/>
          <w:marTop w:val="0"/>
          <w:marBottom w:val="0"/>
          <w:divBdr>
            <w:top w:val="none" w:sz="0" w:space="0" w:color="auto"/>
            <w:left w:val="none" w:sz="0" w:space="0" w:color="auto"/>
            <w:bottom w:val="none" w:sz="0" w:space="0" w:color="auto"/>
            <w:right w:val="none" w:sz="0" w:space="0" w:color="auto"/>
          </w:divBdr>
          <w:divsChild>
            <w:div w:id="877468479">
              <w:marLeft w:val="0"/>
              <w:marRight w:val="0"/>
              <w:marTop w:val="0"/>
              <w:marBottom w:val="0"/>
              <w:divBdr>
                <w:top w:val="none" w:sz="0" w:space="0" w:color="auto"/>
                <w:left w:val="none" w:sz="0" w:space="0" w:color="auto"/>
                <w:bottom w:val="none" w:sz="0" w:space="0" w:color="auto"/>
                <w:right w:val="none" w:sz="0" w:space="0" w:color="auto"/>
              </w:divBdr>
            </w:div>
          </w:divsChild>
        </w:div>
        <w:div w:id="1398554148">
          <w:marLeft w:val="0"/>
          <w:marRight w:val="0"/>
          <w:marTop w:val="0"/>
          <w:marBottom w:val="0"/>
          <w:divBdr>
            <w:top w:val="none" w:sz="0" w:space="0" w:color="auto"/>
            <w:left w:val="none" w:sz="0" w:space="0" w:color="auto"/>
            <w:bottom w:val="none" w:sz="0" w:space="0" w:color="auto"/>
            <w:right w:val="none" w:sz="0" w:space="0" w:color="auto"/>
          </w:divBdr>
          <w:divsChild>
            <w:div w:id="920026750">
              <w:marLeft w:val="0"/>
              <w:marRight w:val="0"/>
              <w:marTop w:val="0"/>
              <w:marBottom w:val="0"/>
              <w:divBdr>
                <w:top w:val="none" w:sz="0" w:space="0" w:color="auto"/>
                <w:left w:val="none" w:sz="0" w:space="0" w:color="auto"/>
                <w:bottom w:val="none" w:sz="0" w:space="0" w:color="auto"/>
                <w:right w:val="none" w:sz="0" w:space="0" w:color="auto"/>
              </w:divBdr>
            </w:div>
          </w:divsChild>
        </w:div>
        <w:div w:id="1403992529">
          <w:marLeft w:val="0"/>
          <w:marRight w:val="0"/>
          <w:marTop w:val="0"/>
          <w:marBottom w:val="0"/>
          <w:divBdr>
            <w:top w:val="none" w:sz="0" w:space="0" w:color="auto"/>
            <w:left w:val="none" w:sz="0" w:space="0" w:color="auto"/>
            <w:bottom w:val="none" w:sz="0" w:space="0" w:color="auto"/>
            <w:right w:val="none" w:sz="0" w:space="0" w:color="auto"/>
          </w:divBdr>
          <w:divsChild>
            <w:div w:id="1409695450">
              <w:marLeft w:val="0"/>
              <w:marRight w:val="0"/>
              <w:marTop w:val="0"/>
              <w:marBottom w:val="0"/>
              <w:divBdr>
                <w:top w:val="none" w:sz="0" w:space="0" w:color="auto"/>
                <w:left w:val="none" w:sz="0" w:space="0" w:color="auto"/>
                <w:bottom w:val="none" w:sz="0" w:space="0" w:color="auto"/>
                <w:right w:val="none" w:sz="0" w:space="0" w:color="auto"/>
              </w:divBdr>
            </w:div>
          </w:divsChild>
        </w:div>
        <w:div w:id="1422797937">
          <w:marLeft w:val="0"/>
          <w:marRight w:val="0"/>
          <w:marTop w:val="0"/>
          <w:marBottom w:val="0"/>
          <w:divBdr>
            <w:top w:val="none" w:sz="0" w:space="0" w:color="auto"/>
            <w:left w:val="none" w:sz="0" w:space="0" w:color="auto"/>
            <w:bottom w:val="none" w:sz="0" w:space="0" w:color="auto"/>
            <w:right w:val="none" w:sz="0" w:space="0" w:color="auto"/>
          </w:divBdr>
          <w:divsChild>
            <w:div w:id="1492411351">
              <w:marLeft w:val="0"/>
              <w:marRight w:val="0"/>
              <w:marTop w:val="0"/>
              <w:marBottom w:val="0"/>
              <w:divBdr>
                <w:top w:val="none" w:sz="0" w:space="0" w:color="auto"/>
                <w:left w:val="none" w:sz="0" w:space="0" w:color="auto"/>
                <w:bottom w:val="none" w:sz="0" w:space="0" w:color="auto"/>
                <w:right w:val="none" w:sz="0" w:space="0" w:color="auto"/>
              </w:divBdr>
            </w:div>
          </w:divsChild>
        </w:div>
        <w:div w:id="1432703983">
          <w:marLeft w:val="0"/>
          <w:marRight w:val="0"/>
          <w:marTop w:val="0"/>
          <w:marBottom w:val="0"/>
          <w:divBdr>
            <w:top w:val="none" w:sz="0" w:space="0" w:color="auto"/>
            <w:left w:val="none" w:sz="0" w:space="0" w:color="auto"/>
            <w:bottom w:val="none" w:sz="0" w:space="0" w:color="auto"/>
            <w:right w:val="none" w:sz="0" w:space="0" w:color="auto"/>
          </w:divBdr>
          <w:divsChild>
            <w:div w:id="769199517">
              <w:marLeft w:val="0"/>
              <w:marRight w:val="0"/>
              <w:marTop w:val="0"/>
              <w:marBottom w:val="0"/>
              <w:divBdr>
                <w:top w:val="none" w:sz="0" w:space="0" w:color="auto"/>
                <w:left w:val="none" w:sz="0" w:space="0" w:color="auto"/>
                <w:bottom w:val="none" w:sz="0" w:space="0" w:color="auto"/>
                <w:right w:val="none" w:sz="0" w:space="0" w:color="auto"/>
              </w:divBdr>
            </w:div>
          </w:divsChild>
        </w:div>
        <w:div w:id="1440370182">
          <w:marLeft w:val="0"/>
          <w:marRight w:val="0"/>
          <w:marTop w:val="0"/>
          <w:marBottom w:val="0"/>
          <w:divBdr>
            <w:top w:val="none" w:sz="0" w:space="0" w:color="auto"/>
            <w:left w:val="none" w:sz="0" w:space="0" w:color="auto"/>
            <w:bottom w:val="none" w:sz="0" w:space="0" w:color="auto"/>
            <w:right w:val="none" w:sz="0" w:space="0" w:color="auto"/>
          </w:divBdr>
          <w:divsChild>
            <w:div w:id="2081714570">
              <w:marLeft w:val="0"/>
              <w:marRight w:val="0"/>
              <w:marTop w:val="0"/>
              <w:marBottom w:val="0"/>
              <w:divBdr>
                <w:top w:val="none" w:sz="0" w:space="0" w:color="auto"/>
                <w:left w:val="none" w:sz="0" w:space="0" w:color="auto"/>
                <w:bottom w:val="none" w:sz="0" w:space="0" w:color="auto"/>
                <w:right w:val="none" w:sz="0" w:space="0" w:color="auto"/>
              </w:divBdr>
            </w:div>
          </w:divsChild>
        </w:div>
        <w:div w:id="1447192459">
          <w:marLeft w:val="0"/>
          <w:marRight w:val="0"/>
          <w:marTop w:val="0"/>
          <w:marBottom w:val="0"/>
          <w:divBdr>
            <w:top w:val="none" w:sz="0" w:space="0" w:color="auto"/>
            <w:left w:val="none" w:sz="0" w:space="0" w:color="auto"/>
            <w:bottom w:val="none" w:sz="0" w:space="0" w:color="auto"/>
            <w:right w:val="none" w:sz="0" w:space="0" w:color="auto"/>
          </w:divBdr>
          <w:divsChild>
            <w:div w:id="1426657483">
              <w:marLeft w:val="0"/>
              <w:marRight w:val="0"/>
              <w:marTop w:val="0"/>
              <w:marBottom w:val="0"/>
              <w:divBdr>
                <w:top w:val="none" w:sz="0" w:space="0" w:color="auto"/>
                <w:left w:val="none" w:sz="0" w:space="0" w:color="auto"/>
                <w:bottom w:val="none" w:sz="0" w:space="0" w:color="auto"/>
                <w:right w:val="none" w:sz="0" w:space="0" w:color="auto"/>
              </w:divBdr>
            </w:div>
          </w:divsChild>
        </w:div>
        <w:div w:id="1457917062">
          <w:marLeft w:val="0"/>
          <w:marRight w:val="0"/>
          <w:marTop w:val="0"/>
          <w:marBottom w:val="0"/>
          <w:divBdr>
            <w:top w:val="none" w:sz="0" w:space="0" w:color="auto"/>
            <w:left w:val="none" w:sz="0" w:space="0" w:color="auto"/>
            <w:bottom w:val="none" w:sz="0" w:space="0" w:color="auto"/>
            <w:right w:val="none" w:sz="0" w:space="0" w:color="auto"/>
          </w:divBdr>
          <w:divsChild>
            <w:div w:id="1856534001">
              <w:marLeft w:val="0"/>
              <w:marRight w:val="0"/>
              <w:marTop w:val="0"/>
              <w:marBottom w:val="0"/>
              <w:divBdr>
                <w:top w:val="none" w:sz="0" w:space="0" w:color="auto"/>
                <w:left w:val="none" w:sz="0" w:space="0" w:color="auto"/>
                <w:bottom w:val="none" w:sz="0" w:space="0" w:color="auto"/>
                <w:right w:val="none" w:sz="0" w:space="0" w:color="auto"/>
              </w:divBdr>
            </w:div>
          </w:divsChild>
        </w:div>
        <w:div w:id="1468817605">
          <w:marLeft w:val="0"/>
          <w:marRight w:val="0"/>
          <w:marTop w:val="0"/>
          <w:marBottom w:val="0"/>
          <w:divBdr>
            <w:top w:val="none" w:sz="0" w:space="0" w:color="auto"/>
            <w:left w:val="none" w:sz="0" w:space="0" w:color="auto"/>
            <w:bottom w:val="none" w:sz="0" w:space="0" w:color="auto"/>
            <w:right w:val="none" w:sz="0" w:space="0" w:color="auto"/>
          </w:divBdr>
          <w:divsChild>
            <w:div w:id="410544391">
              <w:marLeft w:val="0"/>
              <w:marRight w:val="0"/>
              <w:marTop w:val="0"/>
              <w:marBottom w:val="0"/>
              <w:divBdr>
                <w:top w:val="none" w:sz="0" w:space="0" w:color="auto"/>
                <w:left w:val="none" w:sz="0" w:space="0" w:color="auto"/>
                <w:bottom w:val="none" w:sz="0" w:space="0" w:color="auto"/>
                <w:right w:val="none" w:sz="0" w:space="0" w:color="auto"/>
              </w:divBdr>
            </w:div>
          </w:divsChild>
        </w:div>
        <w:div w:id="1470047397">
          <w:marLeft w:val="0"/>
          <w:marRight w:val="0"/>
          <w:marTop w:val="0"/>
          <w:marBottom w:val="0"/>
          <w:divBdr>
            <w:top w:val="none" w:sz="0" w:space="0" w:color="auto"/>
            <w:left w:val="none" w:sz="0" w:space="0" w:color="auto"/>
            <w:bottom w:val="none" w:sz="0" w:space="0" w:color="auto"/>
            <w:right w:val="none" w:sz="0" w:space="0" w:color="auto"/>
          </w:divBdr>
          <w:divsChild>
            <w:div w:id="278687377">
              <w:marLeft w:val="0"/>
              <w:marRight w:val="0"/>
              <w:marTop w:val="0"/>
              <w:marBottom w:val="0"/>
              <w:divBdr>
                <w:top w:val="none" w:sz="0" w:space="0" w:color="auto"/>
                <w:left w:val="none" w:sz="0" w:space="0" w:color="auto"/>
                <w:bottom w:val="none" w:sz="0" w:space="0" w:color="auto"/>
                <w:right w:val="none" w:sz="0" w:space="0" w:color="auto"/>
              </w:divBdr>
            </w:div>
          </w:divsChild>
        </w:div>
        <w:div w:id="1480031061">
          <w:marLeft w:val="0"/>
          <w:marRight w:val="0"/>
          <w:marTop w:val="0"/>
          <w:marBottom w:val="0"/>
          <w:divBdr>
            <w:top w:val="none" w:sz="0" w:space="0" w:color="auto"/>
            <w:left w:val="none" w:sz="0" w:space="0" w:color="auto"/>
            <w:bottom w:val="none" w:sz="0" w:space="0" w:color="auto"/>
            <w:right w:val="none" w:sz="0" w:space="0" w:color="auto"/>
          </w:divBdr>
          <w:divsChild>
            <w:div w:id="1071805223">
              <w:marLeft w:val="0"/>
              <w:marRight w:val="0"/>
              <w:marTop w:val="0"/>
              <w:marBottom w:val="0"/>
              <w:divBdr>
                <w:top w:val="none" w:sz="0" w:space="0" w:color="auto"/>
                <w:left w:val="none" w:sz="0" w:space="0" w:color="auto"/>
                <w:bottom w:val="none" w:sz="0" w:space="0" w:color="auto"/>
                <w:right w:val="none" w:sz="0" w:space="0" w:color="auto"/>
              </w:divBdr>
            </w:div>
          </w:divsChild>
        </w:div>
        <w:div w:id="1488017467">
          <w:marLeft w:val="0"/>
          <w:marRight w:val="0"/>
          <w:marTop w:val="0"/>
          <w:marBottom w:val="0"/>
          <w:divBdr>
            <w:top w:val="none" w:sz="0" w:space="0" w:color="auto"/>
            <w:left w:val="none" w:sz="0" w:space="0" w:color="auto"/>
            <w:bottom w:val="none" w:sz="0" w:space="0" w:color="auto"/>
            <w:right w:val="none" w:sz="0" w:space="0" w:color="auto"/>
          </w:divBdr>
          <w:divsChild>
            <w:div w:id="1022786014">
              <w:marLeft w:val="0"/>
              <w:marRight w:val="0"/>
              <w:marTop w:val="0"/>
              <w:marBottom w:val="0"/>
              <w:divBdr>
                <w:top w:val="none" w:sz="0" w:space="0" w:color="auto"/>
                <w:left w:val="none" w:sz="0" w:space="0" w:color="auto"/>
                <w:bottom w:val="none" w:sz="0" w:space="0" w:color="auto"/>
                <w:right w:val="none" w:sz="0" w:space="0" w:color="auto"/>
              </w:divBdr>
            </w:div>
          </w:divsChild>
        </w:div>
        <w:div w:id="1511096101">
          <w:marLeft w:val="0"/>
          <w:marRight w:val="0"/>
          <w:marTop w:val="0"/>
          <w:marBottom w:val="0"/>
          <w:divBdr>
            <w:top w:val="none" w:sz="0" w:space="0" w:color="auto"/>
            <w:left w:val="none" w:sz="0" w:space="0" w:color="auto"/>
            <w:bottom w:val="none" w:sz="0" w:space="0" w:color="auto"/>
            <w:right w:val="none" w:sz="0" w:space="0" w:color="auto"/>
          </w:divBdr>
          <w:divsChild>
            <w:div w:id="210306364">
              <w:marLeft w:val="0"/>
              <w:marRight w:val="0"/>
              <w:marTop w:val="0"/>
              <w:marBottom w:val="0"/>
              <w:divBdr>
                <w:top w:val="none" w:sz="0" w:space="0" w:color="auto"/>
                <w:left w:val="none" w:sz="0" w:space="0" w:color="auto"/>
                <w:bottom w:val="none" w:sz="0" w:space="0" w:color="auto"/>
                <w:right w:val="none" w:sz="0" w:space="0" w:color="auto"/>
              </w:divBdr>
            </w:div>
          </w:divsChild>
        </w:div>
        <w:div w:id="1524442423">
          <w:marLeft w:val="0"/>
          <w:marRight w:val="0"/>
          <w:marTop w:val="0"/>
          <w:marBottom w:val="0"/>
          <w:divBdr>
            <w:top w:val="none" w:sz="0" w:space="0" w:color="auto"/>
            <w:left w:val="none" w:sz="0" w:space="0" w:color="auto"/>
            <w:bottom w:val="none" w:sz="0" w:space="0" w:color="auto"/>
            <w:right w:val="none" w:sz="0" w:space="0" w:color="auto"/>
          </w:divBdr>
          <w:divsChild>
            <w:div w:id="950011543">
              <w:marLeft w:val="0"/>
              <w:marRight w:val="0"/>
              <w:marTop w:val="0"/>
              <w:marBottom w:val="0"/>
              <w:divBdr>
                <w:top w:val="none" w:sz="0" w:space="0" w:color="auto"/>
                <w:left w:val="none" w:sz="0" w:space="0" w:color="auto"/>
                <w:bottom w:val="none" w:sz="0" w:space="0" w:color="auto"/>
                <w:right w:val="none" w:sz="0" w:space="0" w:color="auto"/>
              </w:divBdr>
            </w:div>
          </w:divsChild>
        </w:div>
        <w:div w:id="1535003397">
          <w:marLeft w:val="0"/>
          <w:marRight w:val="0"/>
          <w:marTop w:val="0"/>
          <w:marBottom w:val="0"/>
          <w:divBdr>
            <w:top w:val="none" w:sz="0" w:space="0" w:color="auto"/>
            <w:left w:val="none" w:sz="0" w:space="0" w:color="auto"/>
            <w:bottom w:val="none" w:sz="0" w:space="0" w:color="auto"/>
            <w:right w:val="none" w:sz="0" w:space="0" w:color="auto"/>
          </w:divBdr>
          <w:divsChild>
            <w:div w:id="323633773">
              <w:marLeft w:val="0"/>
              <w:marRight w:val="0"/>
              <w:marTop w:val="0"/>
              <w:marBottom w:val="0"/>
              <w:divBdr>
                <w:top w:val="none" w:sz="0" w:space="0" w:color="auto"/>
                <w:left w:val="none" w:sz="0" w:space="0" w:color="auto"/>
                <w:bottom w:val="none" w:sz="0" w:space="0" w:color="auto"/>
                <w:right w:val="none" w:sz="0" w:space="0" w:color="auto"/>
              </w:divBdr>
            </w:div>
          </w:divsChild>
        </w:div>
        <w:div w:id="1557013644">
          <w:marLeft w:val="0"/>
          <w:marRight w:val="0"/>
          <w:marTop w:val="0"/>
          <w:marBottom w:val="0"/>
          <w:divBdr>
            <w:top w:val="none" w:sz="0" w:space="0" w:color="auto"/>
            <w:left w:val="none" w:sz="0" w:space="0" w:color="auto"/>
            <w:bottom w:val="none" w:sz="0" w:space="0" w:color="auto"/>
            <w:right w:val="none" w:sz="0" w:space="0" w:color="auto"/>
          </w:divBdr>
          <w:divsChild>
            <w:div w:id="1073162475">
              <w:marLeft w:val="0"/>
              <w:marRight w:val="0"/>
              <w:marTop w:val="0"/>
              <w:marBottom w:val="0"/>
              <w:divBdr>
                <w:top w:val="none" w:sz="0" w:space="0" w:color="auto"/>
                <w:left w:val="none" w:sz="0" w:space="0" w:color="auto"/>
                <w:bottom w:val="none" w:sz="0" w:space="0" w:color="auto"/>
                <w:right w:val="none" w:sz="0" w:space="0" w:color="auto"/>
              </w:divBdr>
            </w:div>
          </w:divsChild>
        </w:div>
        <w:div w:id="1596399573">
          <w:marLeft w:val="0"/>
          <w:marRight w:val="0"/>
          <w:marTop w:val="0"/>
          <w:marBottom w:val="0"/>
          <w:divBdr>
            <w:top w:val="none" w:sz="0" w:space="0" w:color="auto"/>
            <w:left w:val="none" w:sz="0" w:space="0" w:color="auto"/>
            <w:bottom w:val="none" w:sz="0" w:space="0" w:color="auto"/>
            <w:right w:val="none" w:sz="0" w:space="0" w:color="auto"/>
          </w:divBdr>
          <w:divsChild>
            <w:div w:id="1272131843">
              <w:marLeft w:val="0"/>
              <w:marRight w:val="0"/>
              <w:marTop w:val="0"/>
              <w:marBottom w:val="0"/>
              <w:divBdr>
                <w:top w:val="none" w:sz="0" w:space="0" w:color="auto"/>
                <w:left w:val="none" w:sz="0" w:space="0" w:color="auto"/>
                <w:bottom w:val="none" w:sz="0" w:space="0" w:color="auto"/>
                <w:right w:val="none" w:sz="0" w:space="0" w:color="auto"/>
              </w:divBdr>
            </w:div>
          </w:divsChild>
        </w:div>
        <w:div w:id="1598178425">
          <w:marLeft w:val="0"/>
          <w:marRight w:val="0"/>
          <w:marTop w:val="0"/>
          <w:marBottom w:val="0"/>
          <w:divBdr>
            <w:top w:val="none" w:sz="0" w:space="0" w:color="auto"/>
            <w:left w:val="none" w:sz="0" w:space="0" w:color="auto"/>
            <w:bottom w:val="none" w:sz="0" w:space="0" w:color="auto"/>
            <w:right w:val="none" w:sz="0" w:space="0" w:color="auto"/>
          </w:divBdr>
          <w:divsChild>
            <w:div w:id="1329140236">
              <w:marLeft w:val="0"/>
              <w:marRight w:val="0"/>
              <w:marTop w:val="0"/>
              <w:marBottom w:val="0"/>
              <w:divBdr>
                <w:top w:val="none" w:sz="0" w:space="0" w:color="auto"/>
                <w:left w:val="none" w:sz="0" w:space="0" w:color="auto"/>
                <w:bottom w:val="none" w:sz="0" w:space="0" w:color="auto"/>
                <w:right w:val="none" w:sz="0" w:space="0" w:color="auto"/>
              </w:divBdr>
            </w:div>
          </w:divsChild>
        </w:div>
        <w:div w:id="1608805715">
          <w:marLeft w:val="0"/>
          <w:marRight w:val="0"/>
          <w:marTop w:val="0"/>
          <w:marBottom w:val="0"/>
          <w:divBdr>
            <w:top w:val="none" w:sz="0" w:space="0" w:color="auto"/>
            <w:left w:val="none" w:sz="0" w:space="0" w:color="auto"/>
            <w:bottom w:val="none" w:sz="0" w:space="0" w:color="auto"/>
            <w:right w:val="none" w:sz="0" w:space="0" w:color="auto"/>
          </w:divBdr>
          <w:divsChild>
            <w:div w:id="80100635">
              <w:marLeft w:val="0"/>
              <w:marRight w:val="0"/>
              <w:marTop w:val="0"/>
              <w:marBottom w:val="0"/>
              <w:divBdr>
                <w:top w:val="none" w:sz="0" w:space="0" w:color="auto"/>
                <w:left w:val="none" w:sz="0" w:space="0" w:color="auto"/>
                <w:bottom w:val="none" w:sz="0" w:space="0" w:color="auto"/>
                <w:right w:val="none" w:sz="0" w:space="0" w:color="auto"/>
              </w:divBdr>
            </w:div>
          </w:divsChild>
        </w:div>
        <w:div w:id="1623077219">
          <w:marLeft w:val="0"/>
          <w:marRight w:val="0"/>
          <w:marTop w:val="0"/>
          <w:marBottom w:val="0"/>
          <w:divBdr>
            <w:top w:val="none" w:sz="0" w:space="0" w:color="auto"/>
            <w:left w:val="none" w:sz="0" w:space="0" w:color="auto"/>
            <w:bottom w:val="none" w:sz="0" w:space="0" w:color="auto"/>
            <w:right w:val="none" w:sz="0" w:space="0" w:color="auto"/>
          </w:divBdr>
          <w:divsChild>
            <w:div w:id="114184043">
              <w:marLeft w:val="0"/>
              <w:marRight w:val="0"/>
              <w:marTop w:val="0"/>
              <w:marBottom w:val="0"/>
              <w:divBdr>
                <w:top w:val="none" w:sz="0" w:space="0" w:color="auto"/>
                <w:left w:val="none" w:sz="0" w:space="0" w:color="auto"/>
                <w:bottom w:val="none" w:sz="0" w:space="0" w:color="auto"/>
                <w:right w:val="none" w:sz="0" w:space="0" w:color="auto"/>
              </w:divBdr>
            </w:div>
          </w:divsChild>
        </w:div>
        <w:div w:id="1674647783">
          <w:marLeft w:val="0"/>
          <w:marRight w:val="0"/>
          <w:marTop w:val="0"/>
          <w:marBottom w:val="0"/>
          <w:divBdr>
            <w:top w:val="none" w:sz="0" w:space="0" w:color="auto"/>
            <w:left w:val="none" w:sz="0" w:space="0" w:color="auto"/>
            <w:bottom w:val="none" w:sz="0" w:space="0" w:color="auto"/>
            <w:right w:val="none" w:sz="0" w:space="0" w:color="auto"/>
          </w:divBdr>
          <w:divsChild>
            <w:div w:id="706494024">
              <w:marLeft w:val="0"/>
              <w:marRight w:val="0"/>
              <w:marTop w:val="0"/>
              <w:marBottom w:val="0"/>
              <w:divBdr>
                <w:top w:val="none" w:sz="0" w:space="0" w:color="auto"/>
                <w:left w:val="none" w:sz="0" w:space="0" w:color="auto"/>
                <w:bottom w:val="none" w:sz="0" w:space="0" w:color="auto"/>
                <w:right w:val="none" w:sz="0" w:space="0" w:color="auto"/>
              </w:divBdr>
            </w:div>
          </w:divsChild>
        </w:div>
        <w:div w:id="1725525238">
          <w:marLeft w:val="0"/>
          <w:marRight w:val="0"/>
          <w:marTop w:val="0"/>
          <w:marBottom w:val="0"/>
          <w:divBdr>
            <w:top w:val="none" w:sz="0" w:space="0" w:color="auto"/>
            <w:left w:val="none" w:sz="0" w:space="0" w:color="auto"/>
            <w:bottom w:val="none" w:sz="0" w:space="0" w:color="auto"/>
            <w:right w:val="none" w:sz="0" w:space="0" w:color="auto"/>
          </w:divBdr>
          <w:divsChild>
            <w:div w:id="684482186">
              <w:marLeft w:val="0"/>
              <w:marRight w:val="0"/>
              <w:marTop w:val="0"/>
              <w:marBottom w:val="0"/>
              <w:divBdr>
                <w:top w:val="none" w:sz="0" w:space="0" w:color="auto"/>
                <w:left w:val="none" w:sz="0" w:space="0" w:color="auto"/>
                <w:bottom w:val="none" w:sz="0" w:space="0" w:color="auto"/>
                <w:right w:val="none" w:sz="0" w:space="0" w:color="auto"/>
              </w:divBdr>
            </w:div>
          </w:divsChild>
        </w:div>
        <w:div w:id="1736272840">
          <w:marLeft w:val="0"/>
          <w:marRight w:val="0"/>
          <w:marTop w:val="0"/>
          <w:marBottom w:val="0"/>
          <w:divBdr>
            <w:top w:val="none" w:sz="0" w:space="0" w:color="auto"/>
            <w:left w:val="none" w:sz="0" w:space="0" w:color="auto"/>
            <w:bottom w:val="none" w:sz="0" w:space="0" w:color="auto"/>
            <w:right w:val="none" w:sz="0" w:space="0" w:color="auto"/>
          </w:divBdr>
          <w:divsChild>
            <w:div w:id="1053574672">
              <w:marLeft w:val="0"/>
              <w:marRight w:val="0"/>
              <w:marTop w:val="0"/>
              <w:marBottom w:val="0"/>
              <w:divBdr>
                <w:top w:val="none" w:sz="0" w:space="0" w:color="auto"/>
                <w:left w:val="none" w:sz="0" w:space="0" w:color="auto"/>
                <w:bottom w:val="none" w:sz="0" w:space="0" w:color="auto"/>
                <w:right w:val="none" w:sz="0" w:space="0" w:color="auto"/>
              </w:divBdr>
            </w:div>
          </w:divsChild>
        </w:div>
        <w:div w:id="1749422037">
          <w:marLeft w:val="0"/>
          <w:marRight w:val="0"/>
          <w:marTop w:val="0"/>
          <w:marBottom w:val="0"/>
          <w:divBdr>
            <w:top w:val="none" w:sz="0" w:space="0" w:color="auto"/>
            <w:left w:val="none" w:sz="0" w:space="0" w:color="auto"/>
            <w:bottom w:val="none" w:sz="0" w:space="0" w:color="auto"/>
            <w:right w:val="none" w:sz="0" w:space="0" w:color="auto"/>
          </w:divBdr>
          <w:divsChild>
            <w:div w:id="1701976368">
              <w:marLeft w:val="0"/>
              <w:marRight w:val="0"/>
              <w:marTop w:val="0"/>
              <w:marBottom w:val="0"/>
              <w:divBdr>
                <w:top w:val="none" w:sz="0" w:space="0" w:color="auto"/>
                <w:left w:val="none" w:sz="0" w:space="0" w:color="auto"/>
                <w:bottom w:val="none" w:sz="0" w:space="0" w:color="auto"/>
                <w:right w:val="none" w:sz="0" w:space="0" w:color="auto"/>
              </w:divBdr>
            </w:div>
          </w:divsChild>
        </w:div>
        <w:div w:id="1753239619">
          <w:marLeft w:val="0"/>
          <w:marRight w:val="0"/>
          <w:marTop w:val="0"/>
          <w:marBottom w:val="0"/>
          <w:divBdr>
            <w:top w:val="none" w:sz="0" w:space="0" w:color="auto"/>
            <w:left w:val="none" w:sz="0" w:space="0" w:color="auto"/>
            <w:bottom w:val="none" w:sz="0" w:space="0" w:color="auto"/>
            <w:right w:val="none" w:sz="0" w:space="0" w:color="auto"/>
          </w:divBdr>
          <w:divsChild>
            <w:div w:id="972444680">
              <w:marLeft w:val="0"/>
              <w:marRight w:val="0"/>
              <w:marTop w:val="0"/>
              <w:marBottom w:val="0"/>
              <w:divBdr>
                <w:top w:val="none" w:sz="0" w:space="0" w:color="auto"/>
                <w:left w:val="none" w:sz="0" w:space="0" w:color="auto"/>
                <w:bottom w:val="none" w:sz="0" w:space="0" w:color="auto"/>
                <w:right w:val="none" w:sz="0" w:space="0" w:color="auto"/>
              </w:divBdr>
            </w:div>
          </w:divsChild>
        </w:div>
        <w:div w:id="1758482681">
          <w:marLeft w:val="0"/>
          <w:marRight w:val="0"/>
          <w:marTop w:val="0"/>
          <w:marBottom w:val="0"/>
          <w:divBdr>
            <w:top w:val="none" w:sz="0" w:space="0" w:color="auto"/>
            <w:left w:val="none" w:sz="0" w:space="0" w:color="auto"/>
            <w:bottom w:val="none" w:sz="0" w:space="0" w:color="auto"/>
            <w:right w:val="none" w:sz="0" w:space="0" w:color="auto"/>
          </w:divBdr>
          <w:divsChild>
            <w:div w:id="1298608534">
              <w:marLeft w:val="0"/>
              <w:marRight w:val="0"/>
              <w:marTop w:val="0"/>
              <w:marBottom w:val="0"/>
              <w:divBdr>
                <w:top w:val="none" w:sz="0" w:space="0" w:color="auto"/>
                <w:left w:val="none" w:sz="0" w:space="0" w:color="auto"/>
                <w:bottom w:val="none" w:sz="0" w:space="0" w:color="auto"/>
                <w:right w:val="none" w:sz="0" w:space="0" w:color="auto"/>
              </w:divBdr>
            </w:div>
          </w:divsChild>
        </w:div>
        <w:div w:id="1762293736">
          <w:marLeft w:val="0"/>
          <w:marRight w:val="0"/>
          <w:marTop w:val="0"/>
          <w:marBottom w:val="0"/>
          <w:divBdr>
            <w:top w:val="none" w:sz="0" w:space="0" w:color="auto"/>
            <w:left w:val="none" w:sz="0" w:space="0" w:color="auto"/>
            <w:bottom w:val="none" w:sz="0" w:space="0" w:color="auto"/>
            <w:right w:val="none" w:sz="0" w:space="0" w:color="auto"/>
          </w:divBdr>
          <w:divsChild>
            <w:div w:id="2134862311">
              <w:marLeft w:val="0"/>
              <w:marRight w:val="0"/>
              <w:marTop w:val="0"/>
              <w:marBottom w:val="0"/>
              <w:divBdr>
                <w:top w:val="none" w:sz="0" w:space="0" w:color="auto"/>
                <w:left w:val="none" w:sz="0" w:space="0" w:color="auto"/>
                <w:bottom w:val="none" w:sz="0" w:space="0" w:color="auto"/>
                <w:right w:val="none" w:sz="0" w:space="0" w:color="auto"/>
              </w:divBdr>
            </w:div>
          </w:divsChild>
        </w:div>
        <w:div w:id="1800875220">
          <w:marLeft w:val="0"/>
          <w:marRight w:val="0"/>
          <w:marTop w:val="0"/>
          <w:marBottom w:val="0"/>
          <w:divBdr>
            <w:top w:val="none" w:sz="0" w:space="0" w:color="auto"/>
            <w:left w:val="none" w:sz="0" w:space="0" w:color="auto"/>
            <w:bottom w:val="none" w:sz="0" w:space="0" w:color="auto"/>
            <w:right w:val="none" w:sz="0" w:space="0" w:color="auto"/>
          </w:divBdr>
          <w:divsChild>
            <w:div w:id="609506563">
              <w:marLeft w:val="0"/>
              <w:marRight w:val="0"/>
              <w:marTop w:val="0"/>
              <w:marBottom w:val="0"/>
              <w:divBdr>
                <w:top w:val="none" w:sz="0" w:space="0" w:color="auto"/>
                <w:left w:val="none" w:sz="0" w:space="0" w:color="auto"/>
                <w:bottom w:val="none" w:sz="0" w:space="0" w:color="auto"/>
                <w:right w:val="none" w:sz="0" w:space="0" w:color="auto"/>
              </w:divBdr>
            </w:div>
          </w:divsChild>
        </w:div>
        <w:div w:id="1817336940">
          <w:marLeft w:val="0"/>
          <w:marRight w:val="0"/>
          <w:marTop w:val="0"/>
          <w:marBottom w:val="0"/>
          <w:divBdr>
            <w:top w:val="none" w:sz="0" w:space="0" w:color="auto"/>
            <w:left w:val="none" w:sz="0" w:space="0" w:color="auto"/>
            <w:bottom w:val="none" w:sz="0" w:space="0" w:color="auto"/>
            <w:right w:val="none" w:sz="0" w:space="0" w:color="auto"/>
          </w:divBdr>
          <w:divsChild>
            <w:div w:id="270086520">
              <w:marLeft w:val="0"/>
              <w:marRight w:val="0"/>
              <w:marTop w:val="0"/>
              <w:marBottom w:val="0"/>
              <w:divBdr>
                <w:top w:val="none" w:sz="0" w:space="0" w:color="auto"/>
                <w:left w:val="none" w:sz="0" w:space="0" w:color="auto"/>
                <w:bottom w:val="none" w:sz="0" w:space="0" w:color="auto"/>
                <w:right w:val="none" w:sz="0" w:space="0" w:color="auto"/>
              </w:divBdr>
            </w:div>
          </w:divsChild>
        </w:div>
        <w:div w:id="1825731081">
          <w:marLeft w:val="0"/>
          <w:marRight w:val="0"/>
          <w:marTop w:val="0"/>
          <w:marBottom w:val="0"/>
          <w:divBdr>
            <w:top w:val="none" w:sz="0" w:space="0" w:color="auto"/>
            <w:left w:val="none" w:sz="0" w:space="0" w:color="auto"/>
            <w:bottom w:val="none" w:sz="0" w:space="0" w:color="auto"/>
            <w:right w:val="none" w:sz="0" w:space="0" w:color="auto"/>
          </w:divBdr>
          <w:divsChild>
            <w:div w:id="882526369">
              <w:marLeft w:val="0"/>
              <w:marRight w:val="0"/>
              <w:marTop w:val="0"/>
              <w:marBottom w:val="0"/>
              <w:divBdr>
                <w:top w:val="none" w:sz="0" w:space="0" w:color="auto"/>
                <w:left w:val="none" w:sz="0" w:space="0" w:color="auto"/>
                <w:bottom w:val="none" w:sz="0" w:space="0" w:color="auto"/>
                <w:right w:val="none" w:sz="0" w:space="0" w:color="auto"/>
              </w:divBdr>
            </w:div>
          </w:divsChild>
        </w:div>
        <w:div w:id="1849514992">
          <w:marLeft w:val="0"/>
          <w:marRight w:val="0"/>
          <w:marTop w:val="0"/>
          <w:marBottom w:val="0"/>
          <w:divBdr>
            <w:top w:val="none" w:sz="0" w:space="0" w:color="auto"/>
            <w:left w:val="none" w:sz="0" w:space="0" w:color="auto"/>
            <w:bottom w:val="none" w:sz="0" w:space="0" w:color="auto"/>
            <w:right w:val="none" w:sz="0" w:space="0" w:color="auto"/>
          </w:divBdr>
          <w:divsChild>
            <w:div w:id="1728644916">
              <w:marLeft w:val="0"/>
              <w:marRight w:val="0"/>
              <w:marTop w:val="0"/>
              <w:marBottom w:val="0"/>
              <w:divBdr>
                <w:top w:val="none" w:sz="0" w:space="0" w:color="auto"/>
                <w:left w:val="none" w:sz="0" w:space="0" w:color="auto"/>
                <w:bottom w:val="none" w:sz="0" w:space="0" w:color="auto"/>
                <w:right w:val="none" w:sz="0" w:space="0" w:color="auto"/>
              </w:divBdr>
            </w:div>
          </w:divsChild>
        </w:div>
        <w:div w:id="1878738629">
          <w:marLeft w:val="0"/>
          <w:marRight w:val="0"/>
          <w:marTop w:val="0"/>
          <w:marBottom w:val="0"/>
          <w:divBdr>
            <w:top w:val="none" w:sz="0" w:space="0" w:color="auto"/>
            <w:left w:val="none" w:sz="0" w:space="0" w:color="auto"/>
            <w:bottom w:val="none" w:sz="0" w:space="0" w:color="auto"/>
            <w:right w:val="none" w:sz="0" w:space="0" w:color="auto"/>
          </w:divBdr>
          <w:divsChild>
            <w:div w:id="1921020849">
              <w:marLeft w:val="0"/>
              <w:marRight w:val="0"/>
              <w:marTop w:val="0"/>
              <w:marBottom w:val="0"/>
              <w:divBdr>
                <w:top w:val="none" w:sz="0" w:space="0" w:color="auto"/>
                <w:left w:val="none" w:sz="0" w:space="0" w:color="auto"/>
                <w:bottom w:val="none" w:sz="0" w:space="0" w:color="auto"/>
                <w:right w:val="none" w:sz="0" w:space="0" w:color="auto"/>
              </w:divBdr>
            </w:div>
          </w:divsChild>
        </w:div>
        <w:div w:id="1880045595">
          <w:marLeft w:val="0"/>
          <w:marRight w:val="0"/>
          <w:marTop w:val="0"/>
          <w:marBottom w:val="0"/>
          <w:divBdr>
            <w:top w:val="none" w:sz="0" w:space="0" w:color="auto"/>
            <w:left w:val="none" w:sz="0" w:space="0" w:color="auto"/>
            <w:bottom w:val="none" w:sz="0" w:space="0" w:color="auto"/>
            <w:right w:val="none" w:sz="0" w:space="0" w:color="auto"/>
          </w:divBdr>
          <w:divsChild>
            <w:div w:id="564100411">
              <w:marLeft w:val="0"/>
              <w:marRight w:val="0"/>
              <w:marTop w:val="0"/>
              <w:marBottom w:val="0"/>
              <w:divBdr>
                <w:top w:val="none" w:sz="0" w:space="0" w:color="auto"/>
                <w:left w:val="none" w:sz="0" w:space="0" w:color="auto"/>
                <w:bottom w:val="none" w:sz="0" w:space="0" w:color="auto"/>
                <w:right w:val="none" w:sz="0" w:space="0" w:color="auto"/>
              </w:divBdr>
            </w:div>
          </w:divsChild>
        </w:div>
        <w:div w:id="1889142699">
          <w:marLeft w:val="0"/>
          <w:marRight w:val="0"/>
          <w:marTop w:val="0"/>
          <w:marBottom w:val="0"/>
          <w:divBdr>
            <w:top w:val="none" w:sz="0" w:space="0" w:color="auto"/>
            <w:left w:val="none" w:sz="0" w:space="0" w:color="auto"/>
            <w:bottom w:val="none" w:sz="0" w:space="0" w:color="auto"/>
            <w:right w:val="none" w:sz="0" w:space="0" w:color="auto"/>
          </w:divBdr>
          <w:divsChild>
            <w:div w:id="1641106450">
              <w:marLeft w:val="0"/>
              <w:marRight w:val="0"/>
              <w:marTop w:val="0"/>
              <w:marBottom w:val="0"/>
              <w:divBdr>
                <w:top w:val="none" w:sz="0" w:space="0" w:color="auto"/>
                <w:left w:val="none" w:sz="0" w:space="0" w:color="auto"/>
                <w:bottom w:val="none" w:sz="0" w:space="0" w:color="auto"/>
                <w:right w:val="none" w:sz="0" w:space="0" w:color="auto"/>
              </w:divBdr>
            </w:div>
          </w:divsChild>
        </w:div>
        <w:div w:id="1895000440">
          <w:marLeft w:val="0"/>
          <w:marRight w:val="0"/>
          <w:marTop w:val="0"/>
          <w:marBottom w:val="0"/>
          <w:divBdr>
            <w:top w:val="none" w:sz="0" w:space="0" w:color="auto"/>
            <w:left w:val="none" w:sz="0" w:space="0" w:color="auto"/>
            <w:bottom w:val="none" w:sz="0" w:space="0" w:color="auto"/>
            <w:right w:val="none" w:sz="0" w:space="0" w:color="auto"/>
          </w:divBdr>
          <w:divsChild>
            <w:div w:id="804929293">
              <w:marLeft w:val="0"/>
              <w:marRight w:val="0"/>
              <w:marTop w:val="0"/>
              <w:marBottom w:val="0"/>
              <w:divBdr>
                <w:top w:val="none" w:sz="0" w:space="0" w:color="auto"/>
                <w:left w:val="none" w:sz="0" w:space="0" w:color="auto"/>
                <w:bottom w:val="none" w:sz="0" w:space="0" w:color="auto"/>
                <w:right w:val="none" w:sz="0" w:space="0" w:color="auto"/>
              </w:divBdr>
            </w:div>
          </w:divsChild>
        </w:div>
        <w:div w:id="1901556543">
          <w:marLeft w:val="0"/>
          <w:marRight w:val="0"/>
          <w:marTop w:val="0"/>
          <w:marBottom w:val="0"/>
          <w:divBdr>
            <w:top w:val="none" w:sz="0" w:space="0" w:color="auto"/>
            <w:left w:val="none" w:sz="0" w:space="0" w:color="auto"/>
            <w:bottom w:val="none" w:sz="0" w:space="0" w:color="auto"/>
            <w:right w:val="none" w:sz="0" w:space="0" w:color="auto"/>
          </w:divBdr>
          <w:divsChild>
            <w:div w:id="1500385621">
              <w:marLeft w:val="0"/>
              <w:marRight w:val="0"/>
              <w:marTop w:val="0"/>
              <w:marBottom w:val="0"/>
              <w:divBdr>
                <w:top w:val="none" w:sz="0" w:space="0" w:color="auto"/>
                <w:left w:val="none" w:sz="0" w:space="0" w:color="auto"/>
                <w:bottom w:val="none" w:sz="0" w:space="0" w:color="auto"/>
                <w:right w:val="none" w:sz="0" w:space="0" w:color="auto"/>
              </w:divBdr>
            </w:div>
          </w:divsChild>
        </w:div>
        <w:div w:id="1902204411">
          <w:marLeft w:val="0"/>
          <w:marRight w:val="0"/>
          <w:marTop w:val="0"/>
          <w:marBottom w:val="0"/>
          <w:divBdr>
            <w:top w:val="none" w:sz="0" w:space="0" w:color="auto"/>
            <w:left w:val="none" w:sz="0" w:space="0" w:color="auto"/>
            <w:bottom w:val="none" w:sz="0" w:space="0" w:color="auto"/>
            <w:right w:val="none" w:sz="0" w:space="0" w:color="auto"/>
          </w:divBdr>
          <w:divsChild>
            <w:div w:id="809519102">
              <w:marLeft w:val="0"/>
              <w:marRight w:val="0"/>
              <w:marTop w:val="0"/>
              <w:marBottom w:val="0"/>
              <w:divBdr>
                <w:top w:val="none" w:sz="0" w:space="0" w:color="auto"/>
                <w:left w:val="none" w:sz="0" w:space="0" w:color="auto"/>
                <w:bottom w:val="none" w:sz="0" w:space="0" w:color="auto"/>
                <w:right w:val="none" w:sz="0" w:space="0" w:color="auto"/>
              </w:divBdr>
            </w:div>
          </w:divsChild>
        </w:div>
        <w:div w:id="1914657252">
          <w:marLeft w:val="0"/>
          <w:marRight w:val="0"/>
          <w:marTop w:val="0"/>
          <w:marBottom w:val="0"/>
          <w:divBdr>
            <w:top w:val="none" w:sz="0" w:space="0" w:color="auto"/>
            <w:left w:val="none" w:sz="0" w:space="0" w:color="auto"/>
            <w:bottom w:val="none" w:sz="0" w:space="0" w:color="auto"/>
            <w:right w:val="none" w:sz="0" w:space="0" w:color="auto"/>
          </w:divBdr>
          <w:divsChild>
            <w:div w:id="610087278">
              <w:marLeft w:val="0"/>
              <w:marRight w:val="0"/>
              <w:marTop w:val="0"/>
              <w:marBottom w:val="0"/>
              <w:divBdr>
                <w:top w:val="none" w:sz="0" w:space="0" w:color="auto"/>
                <w:left w:val="none" w:sz="0" w:space="0" w:color="auto"/>
                <w:bottom w:val="none" w:sz="0" w:space="0" w:color="auto"/>
                <w:right w:val="none" w:sz="0" w:space="0" w:color="auto"/>
              </w:divBdr>
            </w:div>
          </w:divsChild>
        </w:div>
        <w:div w:id="1936160689">
          <w:marLeft w:val="0"/>
          <w:marRight w:val="0"/>
          <w:marTop w:val="0"/>
          <w:marBottom w:val="0"/>
          <w:divBdr>
            <w:top w:val="none" w:sz="0" w:space="0" w:color="auto"/>
            <w:left w:val="none" w:sz="0" w:space="0" w:color="auto"/>
            <w:bottom w:val="none" w:sz="0" w:space="0" w:color="auto"/>
            <w:right w:val="none" w:sz="0" w:space="0" w:color="auto"/>
          </w:divBdr>
          <w:divsChild>
            <w:div w:id="2121023579">
              <w:marLeft w:val="0"/>
              <w:marRight w:val="0"/>
              <w:marTop w:val="0"/>
              <w:marBottom w:val="0"/>
              <w:divBdr>
                <w:top w:val="none" w:sz="0" w:space="0" w:color="auto"/>
                <w:left w:val="none" w:sz="0" w:space="0" w:color="auto"/>
                <w:bottom w:val="none" w:sz="0" w:space="0" w:color="auto"/>
                <w:right w:val="none" w:sz="0" w:space="0" w:color="auto"/>
              </w:divBdr>
            </w:div>
          </w:divsChild>
        </w:div>
        <w:div w:id="1953783447">
          <w:marLeft w:val="0"/>
          <w:marRight w:val="0"/>
          <w:marTop w:val="0"/>
          <w:marBottom w:val="0"/>
          <w:divBdr>
            <w:top w:val="none" w:sz="0" w:space="0" w:color="auto"/>
            <w:left w:val="none" w:sz="0" w:space="0" w:color="auto"/>
            <w:bottom w:val="none" w:sz="0" w:space="0" w:color="auto"/>
            <w:right w:val="none" w:sz="0" w:space="0" w:color="auto"/>
          </w:divBdr>
          <w:divsChild>
            <w:div w:id="576785932">
              <w:marLeft w:val="0"/>
              <w:marRight w:val="0"/>
              <w:marTop w:val="0"/>
              <w:marBottom w:val="0"/>
              <w:divBdr>
                <w:top w:val="none" w:sz="0" w:space="0" w:color="auto"/>
                <w:left w:val="none" w:sz="0" w:space="0" w:color="auto"/>
                <w:bottom w:val="none" w:sz="0" w:space="0" w:color="auto"/>
                <w:right w:val="none" w:sz="0" w:space="0" w:color="auto"/>
              </w:divBdr>
            </w:div>
          </w:divsChild>
        </w:div>
        <w:div w:id="1987775481">
          <w:marLeft w:val="0"/>
          <w:marRight w:val="0"/>
          <w:marTop w:val="0"/>
          <w:marBottom w:val="0"/>
          <w:divBdr>
            <w:top w:val="none" w:sz="0" w:space="0" w:color="auto"/>
            <w:left w:val="none" w:sz="0" w:space="0" w:color="auto"/>
            <w:bottom w:val="none" w:sz="0" w:space="0" w:color="auto"/>
            <w:right w:val="none" w:sz="0" w:space="0" w:color="auto"/>
          </w:divBdr>
          <w:divsChild>
            <w:div w:id="404302457">
              <w:marLeft w:val="0"/>
              <w:marRight w:val="0"/>
              <w:marTop w:val="0"/>
              <w:marBottom w:val="0"/>
              <w:divBdr>
                <w:top w:val="none" w:sz="0" w:space="0" w:color="auto"/>
                <w:left w:val="none" w:sz="0" w:space="0" w:color="auto"/>
                <w:bottom w:val="none" w:sz="0" w:space="0" w:color="auto"/>
                <w:right w:val="none" w:sz="0" w:space="0" w:color="auto"/>
              </w:divBdr>
            </w:div>
          </w:divsChild>
        </w:div>
        <w:div w:id="2003308906">
          <w:marLeft w:val="0"/>
          <w:marRight w:val="0"/>
          <w:marTop w:val="0"/>
          <w:marBottom w:val="0"/>
          <w:divBdr>
            <w:top w:val="none" w:sz="0" w:space="0" w:color="auto"/>
            <w:left w:val="none" w:sz="0" w:space="0" w:color="auto"/>
            <w:bottom w:val="none" w:sz="0" w:space="0" w:color="auto"/>
            <w:right w:val="none" w:sz="0" w:space="0" w:color="auto"/>
          </w:divBdr>
          <w:divsChild>
            <w:div w:id="287519017">
              <w:marLeft w:val="0"/>
              <w:marRight w:val="0"/>
              <w:marTop w:val="0"/>
              <w:marBottom w:val="0"/>
              <w:divBdr>
                <w:top w:val="none" w:sz="0" w:space="0" w:color="auto"/>
                <w:left w:val="none" w:sz="0" w:space="0" w:color="auto"/>
                <w:bottom w:val="none" w:sz="0" w:space="0" w:color="auto"/>
                <w:right w:val="none" w:sz="0" w:space="0" w:color="auto"/>
              </w:divBdr>
            </w:div>
          </w:divsChild>
        </w:div>
        <w:div w:id="2045910364">
          <w:marLeft w:val="0"/>
          <w:marRight w:val="0"/>
          <w:marTop w:val="0"/>
          <w:marBottom w:val="0"/>
          <w:divBdr>
            <w:top w:val="none" w:sz="0" w:space="0" w:color="auto"/>
            <w:left w:val="none" w:sz="0" w:space="0" w:color="auto"/>
            <w:bottom w:val="none" w:sz="0" w:space="0" w:color="auto"/>
            <w:right w:val="none" w:sz="0" w:space="0" w:color="auto"/>
          </w:divBdr>
          <w:divsChild>
            <w:div w:id="724261944">
              <w:marLeft w:val="0"/>
              <w:marRight w:val="0"/>
              <w:marTop w:val="0"/>
              <w:marBottom w:val="0"/>
              <w:divBdr>
                <w:top w:val="none" w:sz="0" w:space="0" w:color="auto"/>
                <w:left w:val="none" w:sz="0" w:space="0" w:color="auto"/>
                <w:bottom w:val="none" w:sz="0" w:space="0" w:color="auto"/>
                <w:right w:val="none" w:sz="0" w:space="0" w:color="auto"/>
              </w:divBdr>
            </w:div>
          </w:divsChild>
        </w:div>
        <w:div w:id="2053112089">
          <w:marLeft w:val="0"/>
          <w:marRight w:val="0"/>
          <w:marTop w:val="0"/>
          <w:marBottom w:val="0"/>
          <w:divBdr>
            <w:top w:val="none" w:sz="0" w:space="0" w:color="auto"/>
            <w:left w:val="none" w:sz="0" w:space="0" w:color="auto"/>
            <w:bottom w:val="none" w:sz="0" w:space="0" w:color="auto"/>
            <w:right w:val="none" w:sz="0" w:space="0" w:color="auto"/>
          </w:divBdr>
          <w:divsChild>
            <w:div w:id="676007620">
              <w:marLeft w:val="0"/>
              <w:marRight w:val="0"/>
              <w:marTop w:val="0"/>
              <w:marBottom w:val="0"/>
              <w:divBdr>
                <w:top w:val="none" w:sz="0" w:space="0" w:color="auto"/>
                <w:left w:val="none" w:sz="0" w:space="0" w:color="auto"/>
                <w:bottom w:val="none" w:sz="0" w:space="0" w:color="auto"/>
                <w:right w:val="none" w:sz="0" w:space="0" w:color="auto"/>
              </w:divBdr>
            </w:div>
          </w:divsChild>
        </w:div>
        <w:div w:id="2070493357">
          <w:marLeft w:val="0"/>
          <w:marRight w:val="0"/>
          <w:marTop w:val="0"/>
          <w:marBottom w:val="0"/>
          <w:divBdr>
            <w:top w:val="none" w:sz="0" w:space="0" w:color="auto"/>
            <w:left w:val="none" w:sz="0" w:space="0" w:color="auto"/>
            <w:bottom w:val="none" w:sz="0" w:space="0" w:color="auto"/>
            <w:right w:val="none" w:sz="0" w:space="0" w:color="auto"/>
          </w:divBdr>
          <w:divsChild>
            <w:div w:id="662316942">
              <w:marLeft w:val="0"/>
              <w:marRight w:val="0"/>
              <w:marTop w:val="0"/>
              <w:marBottom w:val="0"/>
              <w:divBdr>
                <w:top w:val="none" w:sz="0" w:space="0" w:color="auto"/>
                <w:left w:val="none" w:sz="0" w:space="0" w:color="auto"/>
                <w:bottom w:val="none" w:sz="0" w:space="0" w:color="auto"/>
                <w:right w:val="none" w:sz="0" w:space="0" w:color="auto"/>
              </w:divBdr>
            </w:div>
          </w:divsChild>
        </w:div>
        <w:div w:id="2129617115">
          <w:marLeft w:val="0"/>
          <w:marRight w:val="0"/>
          <w:marTop w:val="0"/>
          <w:marBottom w:val="0"/>
          <w:divBdr>
            <w:top w:val="none" w:sz="0" w:space="0" w:color="auto"/>
            <w:left w:val="none" w:sz="0" w:space="0" w:color="auto"/>
            <w:bottom w:val="none" w:sz="0" w:space="0" w:color="auto"/>
            <w:right w:val="none" w:sz="0" w:space="0" w:color="auto"/>
          </w:divBdr>
          <w:divsChild>
            <w:div w:id="698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2602">
      <w:bodyDiv w:val="1"/>
      <w:marLeft w:val="0"/>
      <w:marRight w:val="0"/>
      <w:marTop w:val="0"/>
      <w:marBottom w:val="0"/>
      <w:divBdr>
        <w:top w:val="none" w:sz="0" w:space="0" w:color="auto"/>
        <w:left w:val="none" w:sz="0" w:space="0" w:color="auto"/>
        <w:bottom w:val="none" w:sz="0" w:space="0" w:color="auto"/>
        <w:right w:val="none" w:sz="0" w:space="0" w:color="auto"/>
      </w:divBdr>
      <w:divsChild>
        <w:div w:id="99033166">
          <w:marLeft w:val="0"/>
          <w:marRight w:val="0"/>
          <w:marTop w:val="0"/>
          <w:marBottom w:val="0"/>
          <w:divBdr>
            <w:top w:val="none" w:sz="0" w:space="0" w:color="auto"/>
            <w:left w:val="none" w:sz="0" w:space="0" w:color="auto"/>
            <w:bottom w:val="none" w:sz="0" w:space="0" w:color="auto"/>
            <w:right w:val="none" w:sz="0" w:space="0" w:color="auto"/>
          </w:divBdr>
          <w:divsChild>
            <w:div w:id="890962470">
              <w:marLeft w:val="0"/>
              <w:marRight w:val="0"/>
              <w:marTop w:val="0"/>
              <w:marBottom w:val="0"/>
              <w:divBdr>
                <w:top w:val="none" w:sz="0" w:space="0" w:color="auto"/>
                <w:left w:val="none" w:sz="0" w:space="0" w:color="auto"/>
                <w:bottom w:val="none" w:sz="0" w:space="0" w:color="auto"/>
                <w:right w:val="none" w:sz="0" w:space="0" w:color="auto"/>
              </w:divBdr>
            </w:div>
          </w:divsChild>
        </w:div>
        <w:div w:id="105925824">
          <w:marLeft w:val="0"/>
          <w:marRight w:val="0"/>
          <w:marTop w:val="0"/>
          <w:marBottom w:val="0"/>
          <w:divBdr>
            <w:top w:val="none" w:sz="0" w:space="0" w:color="auto"/>
            <w:left w:val="none" w:sz="0" w:space="0" w:color="auto"/>
            <w:bottom w:val="none" w:sz="0" w:space="0" w:color="auto"/>
            <w:right w:val="none" w:sz="0" w:space="0" w:color="auto"/>
          </w:divBdr>
          <w:divsChild>
            <w:div w:id="1844125805">
              <w:marLeft w:val="0"/>
              <w:marRight w:val="0"/>
              <w:marTop w:val="0"/>
              <w:marBottom w:val="0"/>
              <w:divBdr>
                <w:top w:val="none" w:sz="0" w:space="0" w:color="auto"/>
                <w:left w:val="none" w:sz="0" w:space="0" w:color="auto"/>
                <w:bottom w:val="none" w:sz="0" w:space="0" w:color="auto"/>
                <w:right w:val="none" w:sz="0" w:space="0" w:color="auto"/>
              </w:divBdr>
            </w:div>
          </w:divsChild>
        </w:div>
        <w:div w:id="217862754">
          <w:marLeft w:val="0"/>
          <w:marRight w:val="0"/>
          <w:marTop w:val="0"/>
          <w:marBottom w:val="0"/>
          <w:divBdr>
            <w:top w:val="none" w:sz="0" w:space="0" w:color="auto"/>
            <w:left w:val="none" w:sz="0" w:space="0" w:color="auto"/>
            <w:bottom w:val="none" w:sz="0" w:space="0" w:color="auto"/>
            <w:right w:val="none" w:sz="0" w:space="0" w:color="auto"/>
          </w:divBdr>
          <w:divsChild>
            <w:div w:id="1822580923">
              <w:marLeft w:val="0"/>
              <w:marRight w:val="0"/>
              <w:marTop w:val="0"/>
              <w:marBottom w:val="0"/>
              <w:divBdr>
                <w:top w:val="none" w:sz="0" w:space="0" w:color="auto"/>
                <w:left w:val="none" w:sz="0" w:space="0" w:color="auto"/>
                <w:bottom w:val="none" w:sz="0" w:space="0" w:color="auto"/>
                <w:right w:val="none" w:sz="0" w:space="0" w:color="auto"/>
              </w:divBdr>
            </w:div>
          </w:divsChild>
        </w:div>
        <w:div w:id="236790552">
          <w:marLeft w:val="0"/>
          <w:marRight w:val="0"/>
          <w:marTop w:val="0"/>
          <w:marBottom w:val="0"/>
          <w:divBdr>
            <w:top w:val="none" w:sz="0" w:space="0" w:color="auto"/>
            <w:left w:val="none" w:sz="0" w:space="0" w:color="auto"/>
            <w:bottom w:val="none" w:sz="0" w:space="0" w:color="auto"/>
            <w:right w:val="none" w:sz="0" w:space="0" w:color="auto"/>
          </w:divBdr>
          <w:divsChild>
            <w:div w:id="358168206">
              <w:marLeft w:val="0"/>
              <w:marRight w:val="0"/>
              <w:marTop w:val="0"/>
              <w:marBottom w:val="0"/>
              <w:divBdr>
                <w:top w:val="none" w:sz="0" w:space="0" w:color="auto"/>
                <w:left w:val="none" w:sz="0" w:space="0" w:color="auto"/>
                <w:bottom w:val="none" w:sz="0" w:space="0" w:color="auto"/>
                <w:right w:val="none" w:sz="0" w:space="0" w:color="auto"/>
              </w:divBdr>
            </w:div>
          </w:divsChild>
        </w:div>
        <w:div w:id="244994883">
          <w:marLeft w:val="0"/>
          <w:marRight w:val="0"/>
          <w:marTop w:val="0"/>
          <w:marBottom w:val="0"/>
          <w:divBdr>
            <w:top w:val="none" w:sz="0" w:space="0" w:color="auto"/>
            <w:left w:val="none" w:sz="0" w:space="0" w:color="auto"/>
            <w:bottom w:val="none" w:sz="0" w:space="0" w:color="auto"/>
            <w:right w:val="none" w:sz="0" w:space="0" w:color="auto"/>
          </w:divBdr>
          <w:divsChild>
            <w:div w:id="1780024511">
              <w:marLeft w:val="0"/>
              <w:marRight w:val="0"/>
              <w:marTop w:val="0"/>
              <w:marBottom w:val="0"/>
              <w:divBdr>
                <w:top w:val="none" w:sz="0" w:space="0" w:color="auto"/>
                <w:left w:val="none" w:sz="0" w:space="0" w:color="auto"/>
                <w:bottom w:val="none" w:sz="0" w:space="0" w:color="auto"/>
                <w:right w:val="none" w:sz="0" w:space="0" w:color="auto"/>
              </w:divBdr>
            </w:div>
          </w:divsChild>
        </w:div>
        <w:div w:id="258370255">
          <w:marLeft w:val="0"/>
          <w:marRight w:val="0"/>
          <w:marTop w:val="0"/>
          <w:marBottom w:val="0"/>
          <w:divBdr>
            <w:top w:val="none" w:sz="0" w:space="0" w:color="auto"/>
            <w:left w:val="none" w:sz="0" w:space="0" w:color="auto"/>
            <w:bottom w:val="none" w:sz="0" w:space="0" w:color="auto"/>
            <w:right w:val="none" w:sz="0" w:space="0" w:color="auto"/>
          </w:divBdr>
          <w:divsChild>
            <w:div w:id="606698536">
              <w:marLeft w:val="0"/>
              <w:marRight w:val="0"/>
              <w:marTop w:val="0"/>
              <w:marBottom w:val="0"/>
              <w:divBdr>
                <w:top w:val="none" w:sz="0" w:space="0" w:color="auto"/>
                <w:left w:val="none" w:sz="0" w:space="0" w:color="auto"/>
                <w:bottom w:val="none" w:sz="0" w:space="0" w:color="auto"/>
                <w:right w:val="none" w:sz="0" w:space="0" w:color="auto"/>
              </w:divBdr>
            </w:div>
            <w:div w:id="693388407">
              <w:marLeft w:val="0"/>
              <w:marRight w:val="0"/>
              <w:marTop w:val="0"/>
              <w:marBottom w:val="0"/>
              <w:divBdr>
                <w:top w:val="none" w:sz="0" w:space="0" w:color="auto"/>
                <w:left w:val="none" w:sz="0" w:space="0" w:color="auto"/>
                <w:bottom w:val="none" w:sz="0" w:space="0" w:color="auto"/>
                <w:right w:val="none" w:sz="0" w:space="0" w:color="auto"/>
              </w:divBdr>
            </w:div>
            <w:div w:id="829717596">
              <w:marLeft w:val="0"/>
              <w:marRight w:val="0"/>
              <w:marTop w:val="0"/>
              <w:marBottom w:val="0"/>
              <w:divBdr>
                <w:top w:val="none" w:sz="0" w:space="0" w:color="auto"/>
                <w:left w:val="none" w:sz="0" w:space="0" w:color="auto"/>
                <w:bottom w:val="none" w:sz="0" w:space="0" w:color="auto"/>
                <w:right w:val="none" w:sz="0" w:space="0" w:color="auto"/>
              </w:divBdr>
            </w:div>
          </w:divsChild>
        </w:div>
        <w:div w:id="278803814">
          <w:marLeft w:val="0"/>
          <w:marRight w:val="0"/>
          <w:marTop w:val="0"/>
          <w:marBottom w:val="0"/>
          <w:divBdr>
            <w:top w:val="none" w:sz="0" w:space="0" w:color="auto"/>
            <w:left w:val="none" w:sz="0" w:space="0" w:color="auto"/>
            <w:bottom w:val="none" w:sz="0" w:space="0" w:color="auto"/>
            <w:right w:val="none" w:sz="0" w:space="0" w:color="auto"/>
          </w:divBdr>
          <w:divsChild>
            <w:div w:id="529925391">
              <w:marLeft w:val="0"/>
              <w:marRight w:val="0"/>
              <w:marTop w:val="0"/>
              <w:marBottom w:val="0"/>
              <w:divBdr>
                <w:top w:val="none" w:sz="0" w:space="0" w:color="auto"/>
                <w:left w:val="none" w:sz="0" w:space="0" w:color="auto"/>
                <w:bottom w:val="none" w:sz="0" w:space="0" w:color="auto"/>
                <w:right w:val="none" w:sz="0" w:space="0" w:color="auto"/>
              </w:divBdr>
            </w:div>
          </w:divsChild>
        </w:div>
        <w:div w:id="371737016">
          <w:marLeft w:val="0"/>
          <w:marRight w:val="0"/>
          <w:marTop w:val="0"/>
          <w:marBottom w:val="0"/>
          <w:divBdr>
            <w:top w:val="none" w:sz="0" w:space="0" w:color="auto"/>
            <w:left w:val="none" w:sz="0" w:space="0" w:color="auto"/>
            <w:bottom w:val="none" w:sz="0" w:space="0" w:color="auto"/>
            <w:right w:val="none" w:sz="0" w:space="0" w:color="auto"/>
          </w:divBdr>
          <w:divsChild>
            <w:div w:id="507987523">
              <w:marLeft w:val="0"/>
              <w:marRight w:val="0"/>
              <w:marTop w:val="0"/>
              <w:marBottom w:val="0"/>
              <w:divBdr>
                <w:top w:val="none" w:sz="0" w:space="0" w:color="auto"/>
                <w:left w:val="none" w:sz="0" w:space="0" w:color="auto"/>
                <w:bottom w:val="none" w:sz="0" w:space="0" w:color="auto"/>
                <w:right w:val="none" w:sz="0" w:space="0" w:color="auto"/>
              </w:divBdr>
            </w:div>
          </w:divsChild>
        </w:div>
        <w:div w:id="418334010">
          <w:marLeft w:val="0"/>
          <w:marRight w:val="0"/>
          <w:marTop w:val="0"/>
          <w:marBottom w:val="0"/>
          <w:divBdr>
            <w:top w:val="none" w:sz="0" w:space="0" w:color="auto"/>
            <w:left w:val="none" w:sz="0" w:space="0" w:color="auto"/>
            <w:bottom w:val="none" w:sz="0" w:space="0" w:color="auto"/>
            <w:right w:val="none" w:sz="0" w:space="0" w:color="auto"/>
          </w:divBdr>
          <w:divsChild>
            <w:div w:id="580024622">
              <w:marLeft w:val="0"/>
              <w:marRight w:val="0"/>
              <w:marTop w:val="0"/>
              <w:marBottom w:val="0"/>
              <w:divBdr>
                <w:top w:val="none" w:sz="0" w:space="0" w:color="auto"/>
                <w:left w:val="none" w:sz="0" w:space="0" w:color="auto"/>
                <w:bottom w:val="none" w:sz="0" w:space="0" w:color="auto"/>
                <w:right w:val="none" w:sz="0" w:space="0" w:color="auto"/>
              </w:divBdr>
            </w:div>
          </w:divsChild>
        </w:div>
        <w:div w:id="453252062">
          <w:marLeft w:val="0"/>
          <w:marRight w:val="0"/>
          <w:marTop w:val="0"/>
          <w:marBottom w:val="0"/>
          <w:divBdr>
            <w:top w:val="none" w:sz="0" w:space="0" w:color="auto"/>
            <w:left w:val="none" w:sz="0" w:space="0" w:color="auto"/>
            <w:bottom w:val="none" w:sz="0" w:space="0" w:color="auto"/>
            <w:right w:val="none" w:sz="0" w:space="0" w:color="auto"/>
          </w:divBdr>
          <w:divsChild>
            <w:div w:id="1966497813">
              <w:marLeft w:val="0"/>
              <w:marRight w:val="0"/>
              <w:marTop w:val="0"/>
              <w:marBottom w:val="0"/>
              <w:divBdr>
                <w:top w:val="none" w:sz="0" w:space="0" w:color="auto"/>
                <w:left w:val="none" w:sz="0" w:space="0" w:color="auto"/>
                <w:bottom w:val="none" w:sz="0" w:space="0" w:color="auto"/>
                <w:right w:val="none" w:sz="0" w:space="0" w:color="auto"/>
              </w:divBdr>
            </w:div>
          </w:divsChild>
        </w:div>
        <w:div w:id="479618634">
          <w:marLeft w:val="0"/>
          <w:marRight w:val="0"/>
          <w:marTop w:val="0"/>
          <w:marBottom w:val="0"/>
          <w:divBdr>
            <w:top w:val="none" w:sz="0" w:space="0" w:color="auto"/>
            <w:left w:val="none" w:sz="0" w:space="0" w:color="auto"/>
            <w:bottom w:val="none" w:sz="0" w:space="0" w:color="auto"/>
            <w:right w:val="none" w:sz="0" w:space="0" w:color="auto"/>
          </w:divBdr>
          <w:divsChild>
            <w:div w:id="98113341">
              <w:marLeft w:val="0"/>
              <w:marRight w:val="0"/>
              <w:marTop w:val="0"/>
              <w:marBottom w:val="0"/>
              <w:divBdr>
                <w:top w:val="none" w:sz="0" w:space="0" w:color="auto"/>
                <w:left w:val="none" w:sz="0" w:space="0" w:color="auto"/>
                <w:bottom w:val="none" w:sz="0" w:space="0" w:color="auto"/>
                <w:right w:val="none" w:sz="0" w:space="0" w:color="auto"/>
              </w:divBdr>
            </w:div>
          </w:divsChild>
        </w:div>
        <w:div w:id="524905349">
          <w:marLeft w:val="0"/>
          <w:marRight w:val="0"/>
          <w:marTop w:val="0"/>
          <w:marBottom w:val="0"/>
          <w:divBdr>
            <w:top w:val="none" w:sz="0" w:space="0" w:color="auto"/>
            <w:left w:val="none" w:sz="0" w:space="0" w:color="auto"/>
            <w:bottom w:val="none" w:sz="0" w:space="0" w:color="auto"/>
            <w:right w:val="none" w:sz="0" w:space="0" w:color="auto"/>
          </w:divBdr>
          <w:divsChild>
            <w:div w:id="202714966">
              <w:marLeft w:val="0"/>
              <w:marRight w:val="0"/>
              <w:marTop w:val="0"/>
              <w:marBottom w:val="0"/>
              <w:divBdr>
                <w:top w:val="none" w:sz="0" w:space="0" w:color="auto"/>
                <w:left w:val="none" w:sz="0" w:space="0" w:color="auto"/>
                <w:bottom w:val="none" w:sz="0" w:space="0" w:color="auto"/>
                <w:right w:val="none" w:sz="0" w:space="0" w:color="auto"/>
              </w:divBdr>
            </w:div>
          </w:divsChild>
        </w:div>
        <w:div w:id="547688089">
          <w:marLeft w:val="0"/>
          <w:marRight w:val="0"/>
          <w:marTop w:val="0"/>
          <w:marBottom w:val="0"/>
          <w:divBdr>
            <w:top w:val="none" w:sz="0" w:space="0" w:color="auto"/>
            <w:left w:val="none" w:sz="0" w:space="0" w:color="auto"/>
            <w:bottom w:val="none" w:sz="0" w:space="0" w:color="auto"/>
            <w:right w:val="none" w:sz="0" w:space="0" w:color="auto"/>
          </w:divBdr>
          <w:divsChild>
            <w:div w:id="949118922">
              <w:marLeft w:val="0"/>
              <w:marRight w:val="0"/>
              <w:marTop w:val="0"/>
              <w:marBottom w:val="0"/>
              <w:divBdr>
                <w:top w:val="none" w:sz="0" w:space="0" w:color="auto"/>
                <w:left w:val="none" w:sz="0" w:space="0" w:color="auto"/>
                <w:bottom w:val="none" w:sz="0" w:space="0" w:color="auto"/>
                <w:right w:val="none" w:sz="0" w:space="0" w:color="auto"/>
              </w:divBdr>
            </w:div>
            <w:div w:id="1516841614">
              <w:marLeft w:val="0"/>
              <w:marRight w:val="0"/>
              <w:marTop w:val="0"/>
              <w:marBottom w:val="0"/>
              <w:divBdr>
                <w:top w:val="none" w:sz="0" w:space="0" w:color="auto"/>
                <w:left w:val="none" w:sz="0" w:space="0" w:color="auto"/>
                <w:bottom w:val="none" w:sz="0" w:space="0" w:color="auto"/>
                <w:right w:val="none" w:sz="0" w:space="0" w:color="auto"/>
              </w:divBdr>
            </w:div>
          </w:divsChild>
        </w:div>
        <w:div w:id="564224053">
          <w:marLeft w:val="0"/>
          <w:marRight w:val="0"/>
          <w:marTop w:val="0"/>
          <w:marBottom w:val="0"/>
          <w:divBdr>
            <w:top w:val="none" w:sz="0" w:space="0" w:color="auto"/>
            <w:left w:val="none" w:sz="0" w:space="0" w:color="auto"/>
            <w:bottom w:val="none" w:sz="0" w:space="0" w:color="auto"/>
            <w:right w:val="none" w:sz="0" w:space="0" w:color="auto"/>
          </w:divBdr>
          <w:divsChild>
            <w:div w:id="1051730173">
              <w:marLeft w:val="0"/>
              <w:marRight w:val="0"/>
              <w:marTop w:val="0"/>
              <w:marBottom w:val="0"/>
              <w:divBdr>
                <w:top w:val="none" w:sz="0" w:space="0" w:color="auto"/>
                <w:left w:val="none" w:sz="0" w:space="0" w:color="auto"/>
                <w:bottom w:val="none" w:sz="0" w:space="0" w:color="auto"/>
                <w:right w:val="none" w:sz="0" w:space="0" w:color="auto"/>
              </w:divBdr>
            </w:div>
          </w:divsChild>
        </w:div>
        <w:div w:id="601302675">
          <w:marLeft w:val="0"/>
          <w:marRight w:val="0"/>
          <w:marTop w:val="0"/>
          <w:marBottom w:val="0"/>
          <w:divBdr>
            <w:top w:val="none" w:sz="0" w:space="0" w:color="auto"/>
            <w:left w:val="none" w:sz="0" w:space="0" w:color="auto"/>
            <w:bottom w:val="none" w:sz="0" w:space="0" w:color="auto"/>
            <w:right w:val="none" w:sz="0" w:space="0" w:color="auto"/>
          </w:divBdr>
          <w:divsChild>
            <w:div w:id="1296065367">
              <w:marLeft w:val="0"/>
              <w:marRight w:val="0"/>
              <w:marTop w:val="0"/>
              <w:marBottom w:val="0"/>
              <w:divBdr>
                <w:top w:val="none" w:sz="0" w:space="0" w:color="auto"/>
                <w:left w:val="none" w:sz="0" w:space="0" w:color="auto"/>
                <w:bottom w:val="none" w:sz="0" w:space="0" w:color="auto"/>
                <w:right w:val="none" w:sz="0" w:space="0" w:color="auto"/>
              </w:divBdr>
            </w:div>
            <w:div w:id="1672565194">
              <w:marLeft w:val="0"/>
              <w:marRight w:val="0"/>
              <w:marTop w:val="0"/>
              <w:marBottom w:val="0"/>
              <w:divBdr>
                <w:top w:val="none" w:sz="0" w:space="0" w:color="auto"/>
                <w:left w:val="none" w:sz="0" w:space="0" w:color="auto"/>
                <w:bottom w:val="none" w:sz="0" w:space="0" w:color="auto"/>
                <w:right w:val="none" w:sz="0" w:space="0" w:color="auto"/>
              </w:divBdr>
            </w:div>
          </w:divsChild>
        </w:div>
        <w:div w:id="672486712">
          <w:marLeft w:val="0"/>
          <w:marRight w:val="0"/>
          <w:marTop w:val="0"/>
          <w:marBottom w:val="0"/>
          <w:divBdr>
            <w:top w:val="none" w:sz="0" w:space="0" w:color="auto"/>
            <w:left w:val="none" w:sz="0" w:space="0" w:color="auto"/>
            <w:bottom w:val="none" w:sz="0" w:space="0" w:color="auto"/>
            <w:right w:val="none" w:sz="0" w:space="0" w:color="auto"/>
          </w:divBdr>
          <w:divsChild>
            <w:div w:id="1945573876">
              <w:marLeft w:val="0"/>
              <w:marRight w:val="0"/>
              <w:marTop w:val="0"/>
              <w:marBottom w:val="0"/>
              <w:divBdr>
                <w:top w:val="none" w:sz="0" w:space="0" w:color="auto"/>
                <w:left w:val="none" w:sz="0" w:space="0" w:color="auto"/>
                <w:bottom w:val="none" w:sz="0" w:space="0" w:color="auto"/>
                <w:right w:val="none" w:sz="0" w:space="0" w:color="auto"/>
              </w:divBdr>
            </w:div>
          </w:divsChild>
        </w:div>
        <w:div w:id="673805116">
          <w:marLeft w:val="0"/>
          <w:marRight w:val="0"/>
          <w:marTop w:val="0"/>
          <w:marBottom w:val="0"/>
          <w:divBdr>
            <w:top w:val="none" w:sz="0" w:space="0" w:color="auto"/>
            <w:left w:val="none" w:sz="0" w:space="0" w:color="auto"/>
            <w:bottom w:val="none" w:sz="0" w:space="0" w:color="auto"/>
            <w:right w:val="none" w:sz="0" w:space="0" w:color="auto"/>
          </w:divBdr>
          <w:divsChild>
            <w:div w:id="1188131475">
              <w:marLeft w:val="0"/>
              <w:marRight w:val="0"/>
              <w:marTop w:val="0"/>
              <w:marBottom w:val="0"/>
              <w:divBdr>
                <w:top w:val="none" w:sz="0" w:space="0" w:color="auto"/>
                <w:left w:val="none" w:sz="0" w:space="0" w:color="auto"/>
                <w:bottom w:val="none" w:sz="0" w:space="0" w:color="auto"/>
                <w:right w:val="none" w:sz="0" w:space="0" w:color="auto"/>
              </w:divBdr>
            </w:div>
          </w:divsChild>
        </w:div>
        <w:div w:id="688529264">
          <w:marLeft w:val="0"/>
          <w:marRight w:val="0"/>
          <w:marTop w:val="0"/>
          <w:marBottom w:val="0"/>
          <w:divBdr>
            <w:top w:val="none" w:sz="0" w:space="0" w:color="auto"/>
            <w:left w:val="none" w:sz="0" w:space="0" w:color="auto"/>
            <w:bottom w:val="none" w:sz="0" w:space="0" w:color="auto"/>
            <w:right w:val="none" w:sz="0" w:space="0" w:color="auto"/>
          </w:divBdr>
          <w:divsChild>
            <w:div w:id="282735377">
              <w:marLeft w:val="0"/>
              <w:marRight w:val="0"/>
              <w:marTop w:val="0"/>
              <w:marBottom w:val="0"/>
              <w:divBdr>
                <w:top w:val="none" w:sz="0" w:space="0" w:color="auto"/>
                <w:left w:val="none" w:sz="0" w:space="0" w:color="auto"/>
                <w:bottom w:val="none" w:sz="0" w:space="0" w:color="auto"/>
                <w:right w:val="none" w:sz="0" w:space="0" w:color="auto"/>
              </w:divBdr>
            </w:div>
          </w:divsChild>
        </w:div>
        <w:div w:id="710108848">
          <w:marLeft w:val="0"/>
          <w:marRight w:val="0"/>
          <w:marTop w:val="0"/>
          <w:marBottom w:val="0"/>
          <w:divBdr>
            <w:top w:val="none" w:sz="0" w:space="0" w:color="auto"/>
            <w:left w:val="none" w:sz="0" w:space="0" w:color="auto"/>
            <w:bottom w:val="none" w:sz="0" w:space="0" w:color="auto"/>
            <w:right w:val="none" w:sz="0" w:space="0" w:color="auto"/>
          </w:divBdr>
          <w:divsChild>
            <w:div w:id="1659921343">
              <w:marLeft w:val="0"/>
              <w:marRight w:val="0"/>
              <w:marTop w:val="0"/>
              <w:marBottom w:val="0"/>
              <w:divBdr>
                <w:top w:val="none" w:sz="0" w:space="0" w:color="auto"/>
                <w:left w:val="none" w:sz="0" w:space="0" w:color="auto"/>
                <w:bottom w:val="none" w:sz="0" w:space="0" w:color="auto"/>
                <w:right w:val="none" w:sz="0" w:space="0" w:color="auto"/>
              </w:divBdr>
            </w:div>
          </w:divsChild>
        </w:div>
        <w:div w:id="711854167">
          <w:marLeft w:val="0"/>
          <w:marRight w:val="0"/>
          <w:marTop w:val="0"/>
          <w:marBottom w:val="0"/>
          <w:divBdr>
            <w:top w:val="none" w:sz="0" w:space="0" w:color="auto"/>
            <w:left w:val="none" w:sz="0" w:space="0" w:color="auto"/>
            <w:bottom w:val="none" w:sz="0" w:space="0" w:color="auto"/>
            <w:right w:val="none" w:sz="0" w:space="0" w:color="auto"/>
          </w:divBdr>
          <w:divsChild>
            <w:div w:id="525095726">
              <w:marLeft w:val="0"/>
              <w:marRight w:val="0"/>
              <w:marTop w:val="0"/>
              <w:marBottom w:val="0"/>
              <w:divBdr>
                <w:top w:val="none" w:sz="0" w:space="0" w:color="auto"/>
                <w:left w:val="none" w:sz="0" w:space="0" w:color="auto"/>
                <w:bottom w:val="none" w:sz="0" w:space="0" w:color="auto"/>
                <w:right w:val="none" w:sz="0" w:space="0" w:color="auto"/>
              </w:divBdr>
            </w:div>
          </w:divsChild>
        </w:div>
        <w:div w:id="711882076">
          <w:marLeft w:val="0"/>
          <w:marRight w:val="0"/>
          <w:marTop w:val="0"/>
          <w:marBottom w:val="0"/>
          <w:divBdr>
            <w:top w:val="none" w:sz="0" w:space="0" w:color="auto"/>
            <w:left w:val="none" w:sz="0" w:space="0" w:color="auto"/>
            <w:bottom w:val="none" w:sz="0" w:space="0" w:color="auto"/>
            <w:right w:val="none" w:sz="0" w:space="0" w:color="auto"/>
          </w:divBdr>
          <w:divsChild>
            <w:div w:id="606428518">
              <w:marLeft w:val="0"/>
              <w:marRight w:val="0"/>
              <w:marTop w:val="0"/>
              <w:marBottom w:val="0"/>
              <w:divBdr>
                <w:top w:val="none" w:sz="0" w:space="0" w:color="auto"/>
                <w:left w:val="none" w:sz="0" w:space="0" w:color="auto"/>
                <w:bottom w:val="none" w:sz="0" w:space="0" w:color="auto"/>
                <w:right w:val="none" w:sz="0" w:space="0" w:color="auto"/>
              </w:divBdr>
            </w:div>
          </w:divsChild>
        </w:div>
        <w:div w:id="755397033">
          <w:marLeft w:val="0"/>
          <w:marRight w:val="0"/>
          <w:marTop w:val="0"/>
          <w:marBottom w:val="0"/>
          <w:divBdr>
            <w:top w:val="none" w:sz="0" w:space="0" w:color="auto"/>
            <w:left w:val="none" w:sz="0" w:space="0" w:color="auto"/>
            <w:bottom w:val="none" w:sz="0" w:space="0" w:color="auto"/>
            <w:right w:val="none" w:sz="0" w:space="0" w:color="auto"/>
          </w:divBdr>
          <w:divsChild>
            <w:div w:id="484204862">
              <w:marLeft w:val="0"/>
              <w:marRight w:val="0"/>
              <w:marTop w:val="0"/>
              <w:marBottom w:val="0"/>
              <w:divBdr>
                <w:top w:val="none" w:sz="0" w:space="0" w:color="auto"/>
                <w:left w:val="none" w:sz="0" w:space="0" w:color="auto"/>
                <w:bottom w:val="none" w:sz="0" w:space="0" w:color="auto"/>
                <w:right w:val="none" w:sz="0" w:space="0" w:color="auto"/>
              </w:divBdr>
            </w:div>
          </w:divsChild>
        </w:div>
        <w:div w:id="821386979">
          <w:marLeft w:val="0"/>
          <w:marRight w:val="0"/>
          <w:marTop w:val="0"/>
          <w:marBottom w:val="0"/>
          <w:divBdr>
            <w:top w:val="none" w:sz="0" w:space="0" w:color="auto"/>
            <w:left w:val="none" w:sz="0" w:space="0" w:color="auto"/>
            <w:bottom w:val="none" w:sz="0" w:space="0" w:color="auto"/>
            <w:right w:val="none" w:sz="0" w:space="0" w:color="auto"/>
          </w:divBdr>
          <w:divsChild>
            <w:div w:id="6448066">
              <w:marLeft w:val="0"/>
              <w:marRight w:val="0"/>
              <w:marTop w:val="0"/>
              <w:marBottom w:val="0"/>
              <w:divBdr>
                <w:top w:val="none" w:sz="0" w:space="0" w:color="auto"/>
                <w:left w:val="none" w:sz="0" w:space="0" w:color="auto"/>
                <w:bottom w:val="none" w:sz="0" w:space="0" w:color="auto"/>
                <w:right w:val="none" w:sz="0" w:space="0" w:color="auto"/>
              </w:divBdr>
            </w:div>
            <w:div w:id="1800798421">
              <w:marLeft w:val="0"/>
              <w:marRight w:val="0"/>
              <w:marTop w:val="0"/>
              <w:marBottom w:val="0"/>
              <w:divBdr>
                <w:top w:val="none" w:sz="0" w:space="0" w:color="auto"/>
                <w:left w:val="none" w:sz="0" w:space="0" w:color="auto"/>
                <w:bottom w:val="none" w:sz="0" w:space="0" w:color="auto"/>
                <w:right w:val="none" w:sz="0" w:space="0" w:color="auto"/>
              </w:divBdr>
            </w:div>
          </w:divsChild>
        </w:div>
        <w:div w:id="831873644">
          <w:marLeft w:val="0"/>
          <w:marRight w:val="0"/>
          <w:marTop w:val="0"/>
          <w:marBottom w:val="0"/>
          <w:divBdr>
            <w:top w:val="none" w:sz="0" w:space="0" w:color="auto"/>
            <w:left w:val="none" w:sz="0" w:space="0" w:color="auto"/>
            <w:bottom w:val="none" w:sz="0" w:space="0" w:color="auto"/>
            <w:right w:val="none" w:sz="0" w:space="0" w:color="auto"/>
          </w:divBdr>
          <w:divsChild>
            <w:div w:id="145898548">
              <w:marLeft w:val="0"/>
              <w:marRight w:val="0"/>
              <w:marTop w:val="0"/>
              <w:marBottom w:val="0"/>
              <w:divBdr>
                <w:top w:val="none" w:sz="0" w:space="0" w:color="auto"/>
                <w:left w:val="none" w:sz="0" w:space="0" w:color="auto"/>
                <w:bottom w:val="none" w:sz="0" w:space="0" w:color="auto"/>
                <w:right w:val="none" w:sz="0" w:space="0" w:color="auto"/>
              </w:divBdr>
            </w:div>
          </w:divsChild>
        </w:div>
        <w:div w:id="848636294">
          <w:marLeft w:val="0"/>
          <w:marRight w:val="0"/>
          <w:marTop w:val="0"/>
          <w:marBottom w:val="0"/>
          <w:divBdr>
            <w:top w:val="none" w:sz="0" w:space="0" w:color="auto"/>
            <w:left w:val="none" w:sz="0" w:space="0" w:color="auto"/>
            <w:bottom w:val="none" w:sz="0" w:space="0" w:color="auto"/>
            <w:right w:val="none" w:sz="0" w:space="0" w:color="auto"/>
          </w:divBdr>
          <w:divsChild>
            <w:div w:id="1151867904">
              <w:marLeft w:val="0"/>
              <w:marRight w:val="0"/>
              <w:marTop w:val="0"/>
              <w:marBottom w:val="0"/>
              <w:divBdr>
                <w:top w:val="none" w:sz="0" w:space="0" w:color="auto"/>
                <w:left w:val="none" w:sz="0" w:space="0" w:color="auto"/>
                <w:bottom w:val="none" w:sz="0" w:space="0" w:color="auto"/>
                <w:right w:val="none" w:sz="0" w:space="0" w:color="auto"/>
              </w:divBdr>
            </w:div>
          </w:divsChild>
        </w:div>
        <w:div w:id="881865889">
          <w:marLeft w:val="0"/>
          <w:marRight w:val="0"/>
          <w:marTop w:val="0"/>
          <w:marBottom w:val="0"/>
          <w:divBdr>
            <w:top w:val="none" w:sz="0" w:space="0" w:color="auto"/>
            <w:left w:val="none" w:sz="0" w:space="0" w:color="auto"/>
            <w:bottom w:val="none" w:sz="0" w:space="0" w:color="auto"/>
            <w:right w:val="none" w:sz="0" w:space="0" w:color="auto"/>
          </w:divBdr>
          <w:divsChild>
            <w:div w:id="741366682">
              <w:marLeft w:val="0"/>
              <w:marRight w:val="0"/>
              <w:marTop w:val="0"/>
              <w:marBottom w:val="0"/>
              <w:divBdr>
                <w:top w:val="none" w:sz="0" w:space="0" w:color="auto"/>
                <w:left w:val="none" w:sz="0" w:space="0" w:color="auto"/>
                <w:bottom w:val="none" w:sz="0" w:space="0" w:color="auto"/>
                <w:right w:val="none" w:sz="0" w:space="0" w:color="auto"/>
              </w:divBdr>
            </w:div>
          </w:divsChild>
        </w:div>
        <w:div w:id="883641861">
          <w:marLeft w:val="0"/>
          <w:marRight w:val="0"/>
          <w:marTop w:val="0"/>
          <w:marBottom w:val="0"/>
          <w:divBdr>
            <w:top w:val="none" w:sz="0" w:space="0" w:color="auto"/>
            <w:left w:val="none" w:sz="0" w:space="0" w:color="auto"/>
            <w:bottom w:val="none" w:sz="0" w:space="0" w:color="auto"/>
            <w:right w:val="none" w:sz="0" w:space="0" w:color="auto"/>
          </w:divBdr>
          <w:divsChild>
            <w:div w:id="1819301792">
              <w:marLeft w:val="0"/>
              <w:marRight w:val="0"/>
              <w:marTop w:val="0"/>
              <w:marBottom w:val="0"/>
              <w:divBdr>
                <w:top w:val="none" w:sz="0" w:space="0" w:color="auto"/>
                <w:left w:val="none" w:sz="0" w:space="0" w:color="auto"/>
                <w:bottom w:val="none" w:sz="0" w:space="0" w:color="auto"/>
                <w:right w:val="none" w:sz="0" w:space="0" w:color="auto"/>
              </w:divBdr>
            </w:div>
          </w:divsChild>
        </w:div>
        <w:div w:id="951404191">
          <w:marLeft w:val="0"/>
          <w:marRight w:val="0"/>
          <w:marTop w:val="0"/>
          <w:marBottom w:val="0"/>
          <w:divBdr>
            <w:top w:val="none" w:sz="0" w:space="0" w:color="auto"/>
            <w:left w:val="none" w:sz="0" w:space="0" w:color="auto"/>
            <w:bottom w:val="none" w:sz="0" w:space="0" w:color="auto"/>
            <w:right w:val="none" w:sz="0" w:space="0" w:color="auto"/>
          </w:divBdr>
          <w:divsChild>
            <w:div w:id="970331662">
              <w:marLeft w:val="0"/>
              <w:marRight w:val="0"/>
              <w:marTop w:val="0"/>
              <w:marBottom w:val="0"/>
              <w:divBdr>
                <w:top w:val="none" w:sz="0" w:space="0" w:color="auto"/>
                <w:left w:val="none" w:sz="0" w:space="0" w:color="auto"/>
                <w:bottom w:val="none" w:sz="0" w:space="0" w:color="auto"/>
                <w:right w:val="none" w:sz="0" w:space="0" w:color="auto"/>
              </w:divBdr>
            </w:div>
          </w:divsChild>
        </w:div>
        <w:div w:id="1102841997">
          <w:marLeft w:val="0"/>
          <w:marRight w:val="0"/>
          <w:marTop w:val="0"/>
          <w:marBottom w:val="0"/>
          <w:divBdr>
            <w:top w:val="none" w:sz="0" w:space="0" w:color="auto"/>
            <w:left w:val="none" w:sz="0" w:space="0" w:color="auto"/>
            <w:bottom w:val="none" w:sz="0" w:space="0" w:color="auto"/>
            <w:right w:val="none" w:sz="0" w:space="0" w:color="auto"/>
          </w:divBdr>
          <w:divsChild>
            <w:div w:id="1254506502">
              <w:marLeft w:val="0"/>
              <w:marRight w:val="0"/>
              <w:marTop w:val="0"/>
              <w:marBottom w:val="0"/>
              <w:divBdr>
                <w:top w:val="none" w:sz="0" w:space="0" w:color="auto"/>
                <w:left w:val="none" w:sz="0" w:space="0" w:color="auto"/>
                <w:bottom w:val="none" w:sz="0" w:space="0" w:color="auto"/>
                <w:right w:val="none" w:sz="0" w:space="0" w:color="auto"/>
              </w:divBdr>
            </w:div>
          </w:divsChild>
        </w:div>
        <w:div w:id="1279876173">
          <w:marLeft w:val="0"/>
          <w:marRight w:val="0"/>
          <w:marTop w:val="0"/>
          <w:marBottom w:val="0"/>
          <w:divBdr>
            <w:top w:val="none" w:sz="0" w:space="0" w:color="auto"/>
            <w:left w:val="none" w:sz="0" w:space="0" w:color="auto"/>
            <w:bottom w:val="none" w:sz="0" w:space="0" w:color="auto"/>
            <w:right w:val="none" w:sz="0" w:space="0" w:color="auto"/>
          </w:divBdr>
          <w:divsChild>
            <w:div w:id="1641230561">
              <w:marLeft w:val="0"/>
              <w:marRight w:val="0"/>
              <w:marTop w:val="0"/>
              <w:marBottom w:val="0"/>
              <w:divBdr>
                <w:top w:val="none" w:sz="0" w:space="0" w:color="auto"/>
                <w:left w:val="none" w:sz="0" w:space="0" w:color="auto"/>
                <w:bottom w:val="none" w:sz="0" w:space="0" w:color="auto"/>
                <w:right w:val="none" w:sz="0" w:space="0" w:color="auto"/>
              </w:divBdr>
            </w:div>
          </w:divsChild>
        </w:div>
        <w:div w:id="1286082561">
          <w:marLeft w:val="0"/>
          <w:marRight w:val="0"/>
          <w:marTop w:val="0"/>
          <w:marBottom w:val="0"/>
          <w:divBdr>
            <w:top w:val="none" w:sz="0" w:space="0" w:color="auto"/>
            <w:left w:val="none" w:sz="0" w:space="0" w:color="auto"/>
            <w:bottom w:val="none" w:sz="0" w:space="0" w:color="auto"/>
            <w:right w:val="none" w:sz="0" w:space="0" w:color="auto"/>
          </w:divBdr>
          <w:divsChild>
            <w:div w:id="2115634802">
              <w:marLeft w:val="0"/>
              <w:marRight w:val="0"/>
              <w:marTop w:val="0"/>
              <w:marBottom w:val="0"/>
              <w:divBdr>
                <w:top w:val="none" w:sz="0" w:space="0" w:color="auto"/>
                <w:left w:val="none" w:sz="0" w:space="0" w:color="auto"/>
                <w:bottom w:val="none" w:sz="0" w:space="0" w:color="auto"/>
                <w:right w:val="none" w:sz="0" w:space="0" w:color="auto"/>
              </w:divBdr>
            </w:div>
          </w:divsChild>
        </w:div>
        <w:div w:id="1305038190">
          <w:marLeft w:val="0"/>
          <w:marRight w:val="0"/>
          <w:marTop w:val="0"/>
          <w:marBottom w:val="0"/>
          <w:divBdr>
            <w:top w:val="none" w:sz="0" w:space="0" w:color="auto"/>
            <w:left w:val="none" w:sz="0" w:space="0" w:color="auto"/>
            <w:bottom w:val="none" w:sz="0" w:space="0" w:color="auto"/>
            <w:right w:val="none" w:sz="0" w:space="0" w:color="auto"/>
          </w:divBdr>
          <w:divsChild>
            <w:div w:id="1349017455">
              <w:marLeft w:val="0"/>
              <w:marRight w:val="0"/>
              <w:marTop w:val="0"/>
              <w:marBottom w:val="0"/>
              <w:divBdr>
                <w:top w:val="none" w:sz="0" w:space="0" w:color="auto"/>
                <w:left w:val="none" w:sz="0" w:space="0" w:color="auto"/>
                <w:bottom w:val="none" w:sz="0" w:space="0" w:color="auto"/>
                <w:right w:val="none" w:sz="0" w:space="0" w:color="auto"/>
              </w:divBdr>
            </w:div>
          </w:divsChild>
        </w:div>
        <w:div w:id="1357775716">
          <w:marLeft w:val="0"/>
          <w:marRight w:val="0"/>
          <w:marTop w:val="0"/>
          <w:marBottom w:val="0"/>
          <w:divBdr>
            <w:top w:val="none" w:sz="0" w:space="0" w:color="auto"/>
            <w:left w:val="none" w:sz="0" w:space="0" w:color="auto"/>
            <w:bottom w:val="none" w:sz="0" w:space="0" w:color="auto"/>
            <w:right w:val="none" w:sz="0" w:space="0" w:color="auto"/>
          </w:divBdr>
          <w:divsChild>
            <w:div w:id="138034690">
              <w:marLeft w:val="0"/>
              <w:marRight w:val="0"/>
              <w:marTop w:val="0"/>
              <w:marBottom w:val="0"/>
              <w:divBdr>
                <w:top w:val="none" w:sz="0" w:space="0" w:color="auto"/>
                <w:left w:val="none" w:sz="0" w:space="0" w:color="auto"/>
                <w:bottom w:val="none" w:sz="0" w:space="0" w:color="auto"/>
                <w:right w:val="none" w:sz="0" w:space="0" w:color="auto"/>
              </w:divBdr>
            </w:div>
            <w:div w:id="2087342068">
              <w:marLeft w:val="0"/>
              <w:marRight w:val="0"/>
              <w:marTop w:val="0"/>
              <w:marBottom w:val="0"/>
              <w:divBdr>
                <w:top w:val="none" w:sz="0" w:space="0" w:color="auto"/>
                <w:left w:val="none" w:sz="0" w:space="0" w:color="auto"/>
                <w:bottom w:val="none" w:sz="0" w:space="0" w:color="auto"/>
                <w:right w:val="none" w:sz="0" w:space="0" w:color="auto"/>
              </w:divBdr>
            </w:div>
          </w:divsChild>
        </w:div>
        <w:div w:id="1362632978">
          <w:marLeft w:val="0"/>
          <w:marRight w:val="0"/>
          <w:marTop w:val="0"/>
          <w:marBottom w:val="0"/>
          <w:divBdr>
            <w:top w:val="none" w:sz="0" w:space="0" w:color="auto"/>
            <w:left w:val="none" w:sz="0" w:space="0" w:color="auto"/>
            <w:bottom w:val="none" w:sz="0" w:space="0" w:color="auto"/>
            <w:right w:val="none" w:sz="0" w:space="0" w:color="auto"/>
          </w:divBdr>
          <w:divsChild>
            <w:div w:id="1721830676">
              <w:marLeft w:val="0"/>
              <w:marRight w:val="0"/>
              <w:marTop w:val="0"/>
              <w:marBottom w:val="0"/>
              <w:divBdr>
                <w:top w:val="none" w:sz="0" w:space="0" w:color="auto"/>
                <w:left w:val="none" w:sz="0" w:space="0" w:color="auto"/>
                <w:bottom w:val="none" w:sz="0" w:space="0" w:color="auto"/>
                <w:right w:val="none" w:sz="0" w:space="0" w:color="auto"/>
              </w:divBdr>
            </w:div>
          </w:divsChild>
        </w:div>
        <w:div w:id="1418088807">
          <w:marLeft w:val="0"/>
          <w:marRight w:val="0"/>
          <w:marTop w:val="0"/>
          <w:marBottom w:val="0"/>
          <w:divBdr>
            <w:top w:val="none" w:sz="0" w:space="0" w:color="auto"/>
            <w:left w:val="none" w:sz="0" w:space="0" w:color="auto"/>
            <w:bottom w:val="none" w:sz="0" w:space="0" w:color="auto"/>
            <w:right w:val="none" w:sz="0" w:space="0" w:color="auto"/>
          </w:divBdr>
          <w:divsChild>
            <w:div w:id="49967551">
              <w:marLeft w:val="0"/>
              <w:marRight w:val="0"/>
              <w:marTop w:val="0"/>
              <w:marBottom w:val="0"/>
              <w:divBdr>
                <w:top w:val="none" w:sz="0" w:space="0" w:color="auto"/>
                <w:left w:val="none" w:sz="0" w:space="0" w:color="auto"/>
                <w:bottom w:val="none" w:sz="0" w:space="0" w:color="auto"/>
                <w:right w:val="none" w:sz="0" w:space="0" w:color="auto"/>
              </w:divBdr>
            </w:div>
          </w:divsChild>
        </w:div>
        <w:div w:id="1512908768">
          <w:marLeft w:val="0"/>
          <w:marRight w:val="0"/>
          <w:marTop w:val="0"/>
          <w:marBottom w:val="0"/>
          <w:divBdr>
            <w:top w:val="none" w:sz="0" w:space="0" w:color="auto"/>
            <w:left w:val="none" w:sz="0" w:space="0" w:color="auto"/>
            <w:bottom w:val="none" w:sz="0" w:space="0" w:color="auto"/>
            <w:right w:val="none" w:sz="0" w:space="0" w:color="auto"/>
          </w:divBdr>
          <w:divsChild>
            <w:div w:id="259607592">
              <w:marLeft w:val="0"/>
              <w:marRight w:val="0"/>
              <w:marTop w:val="0"/>
              <w:marBottom w:val="0"/>
              <w:divBdr>
                <w:top w:val="none" w:sz="0" w:space="0" w:color="auto"/>
                <w:left w:val="none" w:sz="0" w:space="0" w:color="auto"/>
                <w:bottom w:val="none" w:sz="0" w:space="0" w:color="auto"/>
                <w:right w:val="none" w:sz="0" w:space="0" w:color="auto"/>
              </w:divBdr>
            </w:div>
            <w:div w:id="1166674443">
              <w:marLeft w:val="0"/>
              <w:marRight w:val="0"/>
              <w:marTop w:val="0"/>
              <w:marBottom w:val="0"/>
              <w:divBdr>
                <w:top w:val="none" w:sz="0" w:space="0" w:color="auto"/>
                <w:left w:val="none" w:sz="0" w:space="0" w:color="auto"/>
                <w:bottom w:val="none" w:sz="0" w:space="0" w:color="auto"/>
                <w:right w:val="none" w:sz="0" w:space="0" w:color="auto"/>
              </w:divBdr>
            </w:div>
          </w:divsChild>
        </w:div>
        <w:div w:id="1552881342">
          <w:marLeft w:val="0"/>
          <w:marRight w:val="0"/>
          <w:marTop w:val="0"/>
          <w:marBottom w:val="0"/>
          <w:divBdr>
            <w:top w:val="none" w:sz="0" w:space="0" w:color="auto"/>
            <w:left w:val="none" w:sz="0" w:space="0" w:color="auto"/>
            <w:bottom w:val="none" w:sz="0" w:space="0" w:color="auto"/>
            <w:right w:val="none" w:sz="0" w:space="0" w:color="auto"/>
          </w:divBdr>
          <w:divsChild>
            <w:div w:id="1804929981">
              <w:marLeft w:val="0"/>
              <w:marRight w:val="0"/>
              <w:marTop w:val="0"/>
              <w:marBottom w:val="0"/>
              <w:divBdr>
                <w:top w:val="none" w:sz="0" w:space="0" w:color="auto"/>
                <w:left w:val="none" w:sz="0" w:space="0" w:color="auto"/>
                <w:bottom w:val="none" w:sz="0" w:space="0" w:color="auto"/>
                <w:right w:val="none" w:sz="0" w:space="0" w:color="auto"/>
              </w:divBdr>
            </w:div>
          </w:divsChild>
        </w:div>
        <w:div w:id="1575772052">
          <w:marLeft w:val="0"/>
          <w:marRight w:val="0"/>
          <w:marTop w:val="0"/>
          <w:marBottom w:val="0"/>
          <w:divBdr>
            <w:top w:val="none" w:sz="0" w:space="0" w:color="auto"/>
            <w:left w:val="none" w:sz="0" w:space="0" w:color="auto"/>
            <w:bottom w:val="none" w:sz="0" w:space="0" w:color="auto"/>
            <w:right w:val="none" w:sz="0" w:space="0" w:color="auto"/>
          </w:divBdr>
          <w:divsChild>
            <w:div w:id="66848661">
              <w:marLeft w:val="0"/>
              <w:marRight w:val="0"/>
              <w:marTop w:val="0"/>
              <w:marBottom w:val="0"/>
              <w:divBdr>
                <w:top w:val="none" w:sz="0" w:space="0" w:color="auto"/>
                <w:left w:val="none" w:sz="0" w:space="0" w:color="auto"/>
                <w:bottom w:val="none" w:sz="0" w:space="0" w:color="auto"/>
                <w:right w:val="none" w:sz="0" w:space="0" w:color="auto"/>
              </w:divBdr>
            </w:div>
          </w:divsChild>
        </w:div>
        <w:div w:id="1598441681">
          <w:marLeft w:val="0"/>
          <w:marRight w:val="0"/>
          <w:marTop w:val="0"/>
          <w:marBottom w:val="0"/>
          <w:divBdr>
            <w:top w:val="none" w:sz="0" w:space="0" w:color="auto"/>
            <w:left w:val="none" w:sz="0" w:space="0" w:color="auto"/>
            <w:bottom w:val="none" w:sz="0" w:space="0" w:color="auto"/>
            <w:right w:val="none" w:sz="0" w:space="0" w:color="auto"/>
          </w:divBdr>
          <w:divsChild>
            <w:div w:id="1009334242">
              <w:marLeft w:val="0"/>
              <w:marRight w:val="0"/>
              <w:marTop w:val="0"/>
              <w:marBottom w:val="0"/>
              <w:divBdr>
                <w:top w:val="none" w:sz="0" w:space="0" w:color="auto"/>
                <w:left w:val="none" w:sz="0" w:space="0" w:color="auto"/>
                <w:bottom w:val="none" w:sz="0" w:space="0" w:color="auto"/>
                <w:right w:val="none" w:sz="0" w:space="0" w:color="auto"/>
              </w:divBdr>
            </w:div>
          </w:divsChild>
        </w:div>
        <w:div w:id="1614941446">
          <w:marLeft w:val="0"/>
          <w:marRight w:val="0"/>
          <w:marTop w:val="0"/>
          <w:marBottom w:val="0"/>
          <w:divBdr>
            <w:top w:val="none" w:sz="0" w:space="0" w:color="auto"/>
            <w:left w:val="none" w:sz="0" w:space="0" w:color="auto"/>
            <w:bottom w:val="none" w:sz="0" w:space="0" w:color="auto"/>
            <w:right w:val="none" w:sz="0" w:space="0" w:color="auto"/>
          </w:divBdr>
          <w:divsChild>
            <w:div w:id="300618636">
              <w:marLeft w:val="0"/>
              <w:marRight w:val="0"/>
              <w:marTop w:val="0"/>
              <w:marBottom w:val="0"/>
              <w:divBdr>
                <w:top w:val="none" w:sz="0" w:space="0" w:color="auto"/>
                <w:left w:val="none" w:sz="0" w:space="0" w:color="auto"/>
                <w:bottom w:val="none" w:sz="0" w:space="0" w:color="auto"/>
                <w:right w:val="none" w:sz="0" w:space="0" w:color="auto"/>
              </w:divBdr>
            </w:div>
          </w:divsChild>
        </w:div>
        <w:div w:id="1662584582">
          <w:marLeft w:val="0"/>
          <w:marRight w:val="0"/>
          <w:marTop w:val="0"/>
          <w:marBottom w:val="0"/>
          <w:divBdr>
            <w:top w:val="none" w:sz="0" w:space="0" w:color="auto"/>
            <w:left w:val="none" w:sz="0" w:space="0" w:color="auto"/>
            <w:bottom w:val="none" w:sz="0" w:space="0" w:color="auto"/>
            <w:right w:val="none" w:sz="0" w:space="0" w:color="auto"/>
          </w:divBdr>
          <w:divsChild>
            <w:div w:id="620038">
              <w:marLeft w:val="0"/>
              <w:marRight w:val="0"/>
              <w:marTop w:val="0"/>
              <w:marBottom w:val="0"/>
              <w:divBdr>
                <w:top w:val="none" w:sz="0" w:space="0" w:color="auto"/>
                <w:left w:val="none" w:sz="0" w:space="0" w:color="auto"/>
                <w:bottom w:val="none" w:sz="0" w:space="0" w:color="auto"/>
                <w:right w:val="none" w:sz="0" w:space="0" w:color="auto"/>
              </w:divBdr>
            </w:div>
          </w:divsChild>
        </w:div>
        <w:div w:id="1693266774">
          <w:marLeft w:val="0"/>
          <w:marRight w:val="0"/>
          <w:marTop w:val="0"/>
          <w:marBottom w:val="0"/>
          <w:divBdr>
            <w:top w:val="none" w:sz="0" w:space="0" w:color="auto"/>
            <w:left w:val="none" w:sz="0" w:space="0" w:color="auto"/>
            <w:bottom w:val="none" w:sz="0" w:space="0" w:color="auto"/>
            <w:right w:val="none" w:sz="0" w:space="0" w:color="auto"/>
          </w:divBdr>
          <w:divsChild>
            <w:div w:id="977951693">
              <w:marLeft w:val="0"/>
              <w:marRight w:val="0"/>
              <w:marTop w:val="0"/>
              <w:marBottom w:val="0"/>
              <w:divBdr>
                <w:top w:val="none" w:sz="0" w:space="0" w:color="auto"/>
                <w:left w:val="none" w:sz="0" w:space="0" w:color="auto"/>
                <w:bottom w:val="none" w:sz="0" w:space="0" w:color="auto"/>
                <w:right w:val="none" w:sz="0" w:space="0" w:color="auto"/>
              </w:divBdr>
            </w:div>
            <w:div w:id="1283655602">
              <w:marLeft w:val="0"/>
              <w:marRight w:val="0"/>
              <w:marTop w:val="0"/>
              <w:marBottom w:val="0"/>
              <w:divBdr>
                <w:top w:val="none" w:sz="0" w:space="0" w:color="auto"/>
                <w:left w:val="none" w:sz="0" w:space="0" w:color="auto"/>
                <w:bottom w:val="none" w:sz="0" w:space="0" w:color="auto"/>
                <w:right w:val="none" w:sz="0" w:space="0" w:color="auto"/>
              </w:divBdr>
            </w:div>
          </w:divsChild>
        </w:div>
        <w:div w:id="1838616852">
          <w:marLeft w:val="0"/>
          <w:marRight w:val="0"/>
          <w:marTop w:val="0"/>
          <w:marBottom w:val="0"/>
          <w:divBdr>
            <w:top w:val="none" w:sz="0" w:space="0" w:color="auto"/>
            <w:left w:val="none" w:sz="0" w:space="0" w:color="auto"/>
            <w:bottom w:val="none" w:sz="0" w:space="0" w:color="auto"/>
            <w:right w:val="none" w:sz="0" w:space="0" w:color="auto"/>
          </w:divBdr>
          <w:divsChild>
            <w:div w:id="635838989">
              <w:marLeft w:val="0"/>
              <w:marRight w:val="0"/>
              <w:marTop w:val="0"/>
              <w:marBottom w:val="0"/>
              <w:divBdr>
                <w:top w:val="none" w:sz="0" w:space="0" w:color="auto"/>
                <w:left w:val="none" w:sz="0" w:space="0" w:color="auto"/>
                <w:bottom w:val="none" w:sz="0" w:space="0" w:color="auto"/>
                <w:right w:val="none" w:sz="0" w:space="0" w:color="auto"/>
              </w:divBdr>
            </w:div>
          </w:divsChild>
        </w:div>
        <w:div w:id="1892886686">
          <w:marLeft w:val="0"/>
          <w:marRight w:val="0"/>
          <w:marTop w:val="0"/>
          <w:marBottom w:val="0"/>
          <w:divBdr>
            <w:top w:val="none" w:sz="0" w:space="0" w:color="auto"/>
            <w:left w:val="none" w:sz="0" w:space="0" w:color="auto"/>
            <w:bottom w:val="none" w:sz="0" w:space="0" w:color="auto"/>
            <w:right w:val="none" w:sz="0" w:space="0" w:color="auto"/>
          </w:divBdr>
          <w:divsChild>
            <w:div w:id="427702526">
              <w:marLeft w:val="0"/>
              <w:marRight w:val="0"/>
              <w:marTop w:val="0"/>
              <w:marBottom w:val="0"/>
              <w:divBdr>
                <w:top w:val="none" w:sz="0" w:space="0" w:color="auto"/>
                <w:left w:val="none" w:sz="0" w:space="0" w:color="auto"/>
                <w:bottom w:val="none" w:sz="0" w:space="0" w:color="auto"/>
                <w:right w:val="none" w:sz="0" w:space="0" w:color="auto"/>
              </w:divBdr>
            </w:div>
          </w:divsChild>
        </w:div>
        <w:div w:id="1951662546">
          <w:marLeft w:val="0"/>
          <w:marRight w:val="0"/>
          <w:marTop w:val="0"/>
          <w:marBottom w:val="0"/>
          <w:divBdr>
            <w:top w:val="none" w:sz="0" w:space="0" w:color="auto"/>
            <w:left w:val="none" w:sz="0" w:space="0" w:color="auto"/>
            <w:bottom w:val="none" w:sz="0" w:space="0" w:color="auto"/>
            <w:right w:val="none" w:sz="0" w:space="0" w:color="auto"/>
          </w:divBdr>
          <w:divsChild>
            <w:div w:id="909343672">
              <w:marLeft w:val="0"/>
              <w:marRight w:val="0"/>
              <w:marTop w:val="0"/>
              <w:marBottom w:val="0"/>
              <w:divBdr>
                <w:top w:val="none" w:sz="0" w:space="0" w:color="auto"/>
                <w:left w:val="none" w:sz="0" w:space="0" w:color="auto"/>
                <w:bottom w:val="none" w:sz="0" w:space="0" w:color="auto"/>
                <w:right w:val="none" w:sz="0" w:space="0" w:color="auto"/>
              </w:divBdr>
            </w:div>
          </w:divsChild>
        </w:div>
        <w:div w:id="2015304181">
          <w:marLeft w:val="0"/>
          <w:marRight w:val="0"/>
          <w:marTop w:val="0"/>
          <w:marBottom w:val="0"/>
          <w:divBdr>
            <w:top w:val="none" w:sz="0" w:space="0" w:color="auto"/>
            <w:left w:val="none" w:sz="0" w:space="0" w:color="auto"/>
            <w:bottom w:val="none" w:sz="0" w:space="0" w:color="auto"/>
            <w:right w:val="none" w:sz="0" w:space="0" w:color="auto"/>
          </w:divBdr>
          <w:divsChild>
            <w:div w:id="166362110">
              <w:marLeft w:val="0"/>
              <w:marRight w:val="0"/>
              <w:marTop w:val="0"/>
              <w:marBottom w:val="0"/>
              <w:divBdr>
                <w:top w:val="none" w:sz="0" w:space="0" w:color="auto"/>
                <w:left w:val="none" w:sz="0" w:space="0" w:color="auto"/>
                <w:bottom w:val="none" w:sz="0" w:space="0" w:color="auto"/>
                <w:right w:val="none" w:sz="0" w:space="0" w:color="auto"/>
              </w:divBdr>
            </w:div>
          </w:divsChild>
        </w:div>
        <w:div w:id="2031638188">
          <w:marLeft w:val="0"/>
          <w:marRight w:val="0"/>
          <w:marTop w:val="0"/>
          <w:marBottom w:val="0"/>
          <w:divBdr>
            <w:top w:val="none" w:sz="0" w:space="0" w:color="auto"/>
            <w:left w:val="none" w:sz="0" w:space="0" w:color="auto"/>
            <w:bottom w:val="none" w:sz="0" w:space="0" w:color="auto"/>
            <w:right w:val="none" w:sz="0" w:space="0" w:color="auto"/>
          </w:divBdr>
          <w:divsChild>
            <w:div w:id="1328826386">
              <w:marLeft w:val="0"/>
              <w:marRight w:val="0"/>
              <w:marTop w:val="0"/>
              <w:marBottom w:val="0"/>
              <w:divBdr>
                <w:top w:val="none" w:sz="0" w:space="0" w:color="auto"/>
                <w:left w:val="none" w:sz="0" w:space="0" w:color="auto"/>
                <w:bottom w:val="none" w:sz="0" w:space="0" w:color="auto"/>
                <w:right w:val="none" w:sz="0" w:space="0" w:color="auto"/>
              </w:divBdr>
            </w:div>
          </w:divsChild>
        </w:div>
        <w:div w:id="2062248245">
          <w:marLeft w:val="0"/>
          <w:marRight w:val="0"/>
          <w:marTop w:val="0"/>
          <w:marBottom w:val="0"/>
          <w:divBdr>
            <w:top w:val="none" w:sz="0" w:space="0" w:color="auto"/>
            <w:left w:val="none" w:sz="0" w:space="0" w:color="auto"/>
            <w:bottom w:val="none" w:sz="0" w:space="0" w:color="auto"/>
            <w:right w:val="none" w:sz="0" w:space="0" w:color="auto"/>
          </w:divBdr>
          <w:divsChild>
            <w:div w:id="1897737546">
              <w:marLeft w:val="0"/>
              <w:marRight w:val="0"/>
              <w:marTop w:val="0"/>
              <w:marBottom w:val="0"/>
              <w:divBdr>
                <w:top w:val="none" w:sz="0" w:space="0" w:color="auto"/>
                <w:left w:val="none" w:sz="0" w:space="0" w:color="auto"/>
                <w:bottom w:val="none" w:sz="0" w:space="0" w:color="auto"/>
                <w:right w:val="none" w:sz="0" w:space="0" w:color="auto"/>
              </w:divBdr>
            </w:div>
          </w:divsChild>
        </w:div>
        <w:div w:id="2087025400">
          <w:marLeft w:val="0"/>
          <w:marRight w:val="0"/>
          <w:marTop w:val="0"/>
          <w:marBottom w:val="0"/>
          <w:divBdr>
            <w:top w:val="none" w:sz="0" w:space="0" w:color="auto"/>
            <w:left w:val="none" w:sz="0" w:space="0" w:color="auto"/>
            <w:bottom w:val="none" w:sz="0" w:space="0" w:color="auto"/>
            <w:right w:val="none" w:sz="0" w:space="0" w:color="auto"/>
          </w:divBdr>
          <w:divsChild>
            <w:div w:id="635329679">
              <w:marLeft w:val="0"/>
              <w:marRight w:val="0"/>
              <w:marTop w:val="0"/>
              <w:marBottom w:val="0"/>
              <w:divBdr>
                <w:top w:val="none" w:sz="0" w:space="0" w:color="auto"/>
                <w:left w:val="none" w:sz="0" w:space="0" w:color="auto"/>
                <w:bottom w:val="none" w:sz="0" w:space="0" w:color="auto"/>
                <w:right w:val="none" w:sz="0" w:space="0" w:color="auto"/>
              </w:divBdr>
            </w:div>
          </w:divsChild>
        </w:div>
        <w:div w:id="2128699700">
          <w:marLeft w:val="0"/>
          <w:marRight w:val="0"/>
          <w:marTop w:val="0"/>
          <w:marBottom w:val="0"/>
          <w:divBdr>
            <w:top w:val="none" w:sz="0" w:space="0" w:color="auto"/>
            <w:left w:val="none" w:sz="0" w:space="0" w:color="auto"/>
            <w:bottom w:val="none" w:sz="0" w:space="0" w:color="auto"/>
            <w:right w:val="none" w:sz="0" w:space="0" w:color="auto"/>
          </w:divBdr>
          <w:divsChild>
            <w:div w:id="18050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739">
      <w:bodyDiv w:val="1"/>
      <w:marLeft w:val="0"/>
      <w:marRight w:val="0"/>
      <w:marTop w:val="0"/>
      <w:marBottom w:val="0"/>
      <w:divBdr>
        <w:top w:val="none" w:sz="0" w:space="0" w:color="auto"/>
        <w:left w:val="none" w:sz="0" w:space="0" w:color="auto"/>
        <w:bottom w:val="none" w:sz="0" w:space="0" w:color="auto"/>
        <w:right w:val="none" w:sz="0" w:space="0" w:color="auto"/>
      </w:divBdr>
    </w:div>
    <w:div w:id="1254436681">
      <w:bodyDiv w:val="1"/>
      <w:marLeft w:val="0"/>
      <w:marRight w:val="0"/>
      <w:marTop w:val="0"/>
      <w:marBottom w:val="0"/>
      <w:divBdr>
        <w:top w:val="none" w:sz="0" w:space="0" w:color="auto"/>
        <w:left w:val="none" w:sz="0" w:space="0" w:color="auto"/>
        <w:bottom w:val="none" w:sz="0" w:space="0" w:color="auto"/>
        <w:right w:val="none" w:sz="0" w:space="0" w:color="auto"/>
      </w:divBdr>
      <w:divsChild>
        <w:div w:id="1861375">
          <w:marLeft w:val="0"/>
          <w:marRight w:val="0"/>
          <w:marTop w:val="0"/>
          <w:marBottom w:val="0"/>
          <w:divBdr>
            <w:top w:val="none" w:sz="0" w:space="0" w:color="auto"/>
            <w:left w:val="none" w:sz="0" w:space="0" w:color="auto"/>
            <w:bottom w:val="none" w:sz="0" w:space="0" w:color="auto"/>
            <w:right w:val="none" w:sz="0" w:space="0" w:color="auto"/>
          </w:divBdr>
          <w:divsChild>
            <w:div w:id="1723746882">
              <w:marLeft w:val="0"/>
              <w:marRight w:val="0"/>
              <w:marTop w:val="0"/>
              <w:marBottom w:val="0"/>
              <w:divBdr>
                <w:top w:val="none" w:sz="0" w:space="0" w:color="auto"/>
                <w:left w:val="none" w:sz="0" w:space="0" w:color="auto"/>
                <w:bottom w:val="none" w:sz="0" w:space="0" w:color="auto"/>
                <w:right w:val="none" w:sz="0" w:space="0" w:color="auto"/>
              </w:divBdr>
            </w:div>
            <w:div w:id="1954943965">
              <w:marLeft w:val="0"/>
              <w:marRight w:val="0"/>
              <w:marTop w:val="0"/>
              <w:marBottom w:val="0"/>
              <w:divBdr>
                <w:top w:val="none" w:sz="0" w:space="0" w:color="auto"/>
                <w:left w:val="none" w:sz="0" w:space="0" w:color="auto"/>
                <w:bottom w:val="none" w:sz="0" w:space="0" w:color="auto"/>
                <w:right w:val="none" w:sz="0" w:space="0" w:color="auto"/>
              </w:divBdr>
            </w:div>
          </w:divsChild>
        </w:div>
        <w:div w:id="4282806">
          <w:marLeft w:val="0"/>
          <w:marRight w:val="0"/>
          <w:marTop w:val="0"/>
          <w:marBottom w:val="0"/>
          <w:divBdr>
            <w:top w:val="none" w:sz="0" w:space="0" w:color="auto"/>
            <w:left w:val="none" w:sz="0" w:space="0" w:color="auto"/>
            <w:bottom w:val="none" w:sz="0" w:space="0" w:color="auto"/>
            <w:right w:val="none" w:sz="0" w:space="0" w:color="auto"/>
          </w:divBdr>
          <w:divsChild>
            <w:div w:id="2108958883">
              <w:marLeft w:val="0"/>
              <w:marRight w:val="0"/>
              <w:marTop w:val="0"/>
              <w:marBottom w:val="0"/>
              <w:divBdr>
                <w:top w:val="none" w:sz="0" w:space="0" w:color="auto"/>
                <w:left w:val="none" w:sz="0" w:space="0" w:color="auto"/>
                <w:bottom w:val="none" w:sz="0" w:space="0" w:color="auto"/>
                <w:right w:val="none" w:sz="0" w:space="0" w:color="auto"/>
              </w:divBdr>
            </w:div>
          </w:divsChild>
        </w:div>
        <w:div w:id="19429254">
          <w:marLeft w:val="0"/>
          <w:marRight w:val="0"/>
          <w:marTop w:val="0"/>
          <w:marBottom w:val="0"/>
          <w:divBdr>
            <w:top w:val="none" w:sz="0" w:space="0" w:color="auto"/>
            <w:left w:val="none" w:sz="0" w:space="0" w:color="auto"/>
            <w:bottom w:val="none" w:sz="0" w:space="0" w:color="auto"/>
            <w:right w:val="none" w:sz="0" w:space="0" w:color="auto"/>
          </w:divBdr>
          <w:divsChild>
            <w:div w:id="953832357">
              <w:marLeft w:val="0"/>
              <w:marRight w:val="0"/>
              <w:marTop w:val="0"/>
              <w:marBottom w:val="0"/>
              <w:divBdr>
                <w:top w:val="none" w:sz="0" w:space="0" w:color="auto"/>
                <w:left w:val="none" w:sz="0" w:space="0" w:color="auto"/>
                <w:bottom w:val="none" w:sz="0" w:space="0" w:color="auto"/>
                <w:right w:val="none" w:sz="0" w:space="0" w:color="auto"/>
              </w:divBdr>
            </w:div>
          </w:divsChild>
        </w:div>
        <w:div w:id="122501265">
          <w:marLeft w:val="0"/>
          <w:marRight w:val="0"/>
          <w:marTop w:val="0"/>
          <w:marBottom w:val="0"/>
          <w:divBdr>
            <w:top w:val="none" w:sz="0" w:space="0" w:color="auto"/>
            <w:left w:val="none" w:sz="0" w:space="0" w:color="auto"/>
            <w:bottom w:val="none" w:sz="0" w:space="0" w:color="auto"/>
            <w:right w:val="none" w:sz="0" w:space="0" w:color="auto"/>
          </w:divBdr>
          <w:divsChild>
            <w:div w:id="1570191487">
              <w:marLeft w:val="0"/>
              <w:marRight w:val="0"/>
              <w:marTop w:val="0"/>
              <w:marBottom w:val="0"/>
              <w:divBdr>
                <w:top w:val="none" w:sz="0" w:space="0" w:color="auto"/>
                <w:left w:val="none" w:sz="0" w:space="0" w:color="auto"/>
                <w:bottom w:val="none" w:sz="0" w:space="0" w:color="auto"/>
                <w:right w:val="none" w:sz="0" w:space="0" w:color="auto"/>
              </w:divBdr>
            </w:div>
          </w:divsChild>
        </w:div>
        <w:div w:id="211888493">
          <w:marLeft w:val="0"/>
          <w:marRight w:val="0"/>
          <w:marTop w:val="0"/>
          <w:marBottom w:val="0"/>
          <w:divBdr>
            <w:top w:val="none" w:sz="0" w:space="0" w:color="auto"/>
            <w:left w:val="none" w:sz="0" w:space="0" w:color="auto"/>
            <w:bottom w:val="none" w:sz="0" w:space="0" w:color="auto"/>
            <w:right w:val="none" w:sz="0" w:space="0" w:color="auto"/>
          </w:divBdr>
          <w:divsChild>
            <w:div w:id="810832385">
              <w:marLeft w:val="0"/>
              <w:marRight w:val="0"/>
              <w:marTop w:val="0"/>
              <w:marBottom w:val="0"/>
              <w:divBdr>
                <w:top w:val="none" w:sz="0" w:space="0" w:color="auto"/>
                <w:left w:val="none" w:sz="0" w:space="0" w:color="auto"/>
                <w:bottom w:val="none" w:sz="0" w:space="0" w:color="auto"/>
                <w:right w:val="none" w:sz="0" w:space="0" w:color="auto"/>
              </w:divBdr>
            </w:div>
          </w:divsChild>
        </w:div>
        <w:div w:id="216824922">
          <w:marLeft w:val="0"/>
          <w:marRight w:val="0"/>
          <w:marTop w:val="0"/>
          <w:marBottom w:val="0"/>
          <w:divBdr>
            <w:top w:val="none" w:sz="0" w:space="0" w:color="auto"/>
            <w:left w:val="none" w:sz="0" w:space="0" w:color="auto"/>
            <w:bottom w:val="none" w:sz="0" w:space="0" w:color="auto"/>
            <w:right w:val="none" w:sz="0" w:space="0" w:color="auto"/>
          </w:divBdr>
          <w:divsChild>
            <w:div w:id="1820538984">
              <w:marLeft w:val="0"/>
              <w:marRight w:val="0"/>
              <w:marTop w:val="0"/>
              <w:marBottom w:val="0"/>
              <w:divBdr>
                <w:top w:val="none" w:sz="0" w:space="0" w:color="auto"/>
                <w:left w:val="none" w:sz="0" w:space="0" w:color="auto"/>
                <w:bottom w:val="none" w:sz="0" w:space="0" w:color="auto"/>
                <w:right w:val="none" w:sz="0" w:space="0" w:color="auto"/>
              </w:divBdr>
            </w:div>
          </w:divsChild>
        </w:div>
        <w:div w:id="295792846">
          <w:marLeft w:val="0"/>
          <w:marRight w:val="0"/>
          <w:marTop w:val="0"/>
          <w:marBottom w:val="0"/>
          <w:divBdr>
            <w:top w:val="none" w:sz="0" w:space="0" w:color="auto"/>
            <w:left w:val="none" w:sz="0" w:space="0" w:color="auto"/>
            <w:bottom w:val="none" w:sz="0" w:space="0" w:color="auto"/>
            <w:right w:val="none" w:sz="0" w:space="0" w:color="auto"/>
          </w:divBdr>
          <w:divsChild>
            <w:div w:id="1957637300">
              <w:marLeft w:val="0"/>
              <w:marRight w:val="0"/>
              <w:marTop w:val="0"/>
              <w:marBottom w:val="0"/>
              <w:divBdr>
                <w:top w:val="none" w:sz="0" w:space="0" w:color="auto"/>
                <w:left w:val="none" w:sz="0" w:space="0" w:color="auto"/>
                <w:bottom w:val="none" w:sz="0" w:space="0" w:color="auto"/>
                <w:right w:val="none" w:sz="0" w:space="0" w:color="auto"/>
              </w:divBdr>
            </w:div>
          </w:divsChild>
        </w:div>
        <w:div w:id="341861997">
          <w:marLeft w:val="0"/>
          <w:marRight w:val="0"/>
          <w:marTop w:val="0"/>
          <w:marBottom w:val="0"/>
          <w:divBdr>
            <w:top w:val="none" w:sz="0" w:space="0" w:color="auto"/>
            <w:left w:val="none" w:sz="0" w:space="0" w:color="auto"/>
            <w:bottom w:val="none" w:sz="0" w:space="0" w:color="auto"/>
            <w:right w:val="none" w:sz="0" w:space="0" w:color="auto"/>
          </w:divBdr>
          <w:divsChild>
            <w:div w:id="1611277882">
              <w:marLeft w:val="0"/>
              <w:marRight w:val="0"/>
              <w:marTop w:val="0"/>
              <w:marBottom w:val="0"/>
              <w:divBdr>
                <w:top w:val="none" w:sz="0" w:space="0" w:color="auto"/>
                <w:left w:val="none" w:sz="0" w:space="0" w:color="auto"/>
                <w:bottom w:val="none" w:sz="0" w:space="0" w:color="auto"/>
                <w:right w:val="none" w:sz="0" w:space="0" w:color="auto"/>
              </w:divBdr>
            </w:div>
          </w:divsChild>
        </w:div>
        <w:div w:id="358969832">
          <w:marLeft w:val="0"/>
          <w:marRight w:val="0"/>
          <w:marTop w:val="0"/>
          <w:marBottom w:val="0"/>
          <w:divBdr>
            <w:top w:val="none" w:sz="0" w:space="0" w:color="auto"/>
            <w:left w:val="none" w:sz="0" w:space="0" w:color="auto"/>
            <w:bottom w:val="none" w:sz="0" w:space="0" w:color="auto"/>
            <w:right w:val="none" w:sz="0" w:space="0" w:color="auto"/>
          </w:divBdr>
          <w:divsChild>
            <w:div w:id="2067102425">
              <w:marLeft w:val="0"/>
              <w:marRight w:val="0"/>
              <w:marTop w:val="0"/>
              <w:marBottom w:val="0"/>
              <w:divBdr>
                <w:top w:val="none" w:sz="0" w:space="0" w:color="auto"/>
                <w:left w:val="none" w:sz="0" w:space="0" w:color="auto"/>
                <w:bottom w:val="none" w:sz="0" w:space="0" w:color="auto"/>
                <w:right w:val="none" w:sz="0" w:space="0" w:color="auto"/>
              </w:divBdr>
            </w:div>
          </w:divsChild>
        </w:div>
        <w:div w:id="371005876">
          <w:marLeft w:val="0"/>
          <w:marRight w:val="0"/>
          <w:marTop w:val="0"/>
          <w:marBottom w:val="0"/>
          <w:divBdr>
            <w:top w:val="none" w:sz="0" w:space="0" w:color="auto"/>
            <w:left w:val="none" w:sz="0" w:space="0" w:color="auto"/>
            <w:bottom w:val="none" w:sz="0" w:space="0" w:color="auto"/>
            <w:right w:val="none" w:sz="0" w:space="0" w:color="auto"/>
          </w:divBdr>
          <w:divsChild>
            <w:div w:id="1361466985">
              <w:marLeft w:val="0"/>
              <w:marRight w:val="0"/>
              <w:marTop w:val="0"/>
              <w:marBottom w:val="0"/>
              <w:divBdr>
                <w:top w:val="none" w:sz="0" w:space="0" w:color="auto"/>
                <w:left w:val="none" w:sz="0" w:space="0" w:color="auto"/>
                <w:bottom w:val="none" w:sz="0" w:space="0" w:color="auto"/>
                <w:right w:val="none" w:sz="0" w:space="0" w:color="auto"/>
              </w:divBdr>
            </w:div>
          </w:divsChild>
        </w:div>
        <w:div w:id="391582135">
          <w:marLeft w:val="0"/>
          <w:marRight w:val="0"/>
          <w:marTop w:val="0"/>
          <w:marBottom w:val="0"/>
          <w:divBdr>
            <w:top w:val="none" w:sz="0" w:space="0" w:color="auto"/>
            <w:left w:val="none" w:sz="0" w:space="0" w:color="auto"/>
            <w:bottom w:val="none" w:sz="0" w:space="0" w:color="auto"/>
            <w:right w:val="none" w:sz="0" w:space="0" w:color="auto"/>
          </w:divBdr>
          <w:divsChild>
            <w:div w:id="284122896">
              <w:marLeft w:val="0"/>
              <w:marRight w:val="0"/>
              <w:marTop w:val="0"/>
              <w:marBottom w:val="0"/>
              <w:divBdr>
                <w:top w:val="none" w:sz="0" w:space="0" w:color="auto"/>
                <w:left w:val="none" w:sz="0" w:space="0" w:color="auto"/>
                <w:bottom w:val="none" w:sz="0" w:space="0" w:color="auto"/>
                <w:right w:val="none" w:sz="0" w:space="0" w:color="auto"/>
              </w:divBdr>
            </w:div>
          </w:divsChild>
        </w:div>
        <w:div w:id="492186510">
          <w:marLeft w:val="0"/>
          <w:marRight w:val="0"/>
          <w:marTop w:val="0"/>
          <w:marBottom w:val="0"/>
          <w:divBdr>
            <w:top w:val="none" w:sz="0" w:space="0" w:color="auto"/>
            <w:left w:val="none" w:sz="0" w:space="0" w:color="auto"/>
            <w:bottom w:val="none" w:sz="0" w:space="0" w:color="auto"/>
            <w:right w:val="none" w:sz="0" w:space="0" w:color="auto"/>
          </w:divBdr>
          <w:divsChild>
            <w:div w:id="1073429629">
              <w:marLeft w:val="0"/>
              <w:marRight w:val="0"/>
              <w:marTop w:val="0"/>
              <w:marBottom w:val="0"/>
              <w:divBdr>
                <w:top w:val="none" w:sz="0" w:space="0" w:color="auto"/>
                <w:left w:val="none" w:sz="0" w:space="0" w:color="auto"/>
                <w:bottom w:val="none" w:sz="0" w:space="0" w:color="auto"/>
                <w:right w:val="none" w:sz="0" w:space="0" w:color="auto"/>
              </w:divBdr>
            </w:div>
          </w:divsChild>
        </w:div>
        <w:div w:id="666399194">
          <w:marLeft w:val="0"/>
          <w:marRight w:val="0"/>
          <w:marTop w:val="0"/>
          <w:marBottom w:val="0"/>
          <w:divBdr>
            <w:top w:val="none" w:sz="0" w:space="0" w:color="auto"/>
            <w:left w:val="none" w:sz="0" w:space="0" w:color="auto"/>
            <w:bottom w:val="none" w:sz="0" w:space="0" w:color="auto"/>
            <w:right w:val="none" w:sz="0" w:space="0" w:color="auto"/>
          </w:divBdr>
          <w:divsChild>
            <w:div w:id="1221093968">
              <w:marLeft w:val="0"/>
              <w:marRight w:val="0"/>
              <w:marTop w:val="0"/>
              <w:marBottom w:val="0"/>
              <w:divBdr>
                <w:top w:val="none" w:sz="0" w:space="0" w:color="auto"/>
                <w:left w:val="none" w:sz="0" w:space="0" w:color="auto"/>
                <w:bottom w:val="none" w:sz="0" w:space="0" w:color="auto"/>
                <w:right w:val="none" w:sz="0" w:space="0" w:color="auto"/>
              </w:divBdr>
            </w:div>
          </w:divsChild>
        </w:div>
        <w:div w:id="677345734">
          <w:marLeft w:val="0"/>
          <w:marRight w:val="0"/>
          <w:marTop w:val="0"/>
          <w:marBottom w:val="0"/>
          <w:divBdr>
            <w:top w:val="none" w:sz="0" w:space="0" w:color="auto"/>
            <w:left w:val="none" w:sz="0" w:space="0" w:color="auto"/>
            <w:bottom w:val="none" w:sz="0" w:space="0" w:color="auto"/>
            <w:right w:val="none" w:sz="0" w:space="0" w:color="auto"/>
          </w:divBdr>
          <w:divsChild>
            <w:div w:id="1872179618">
              <w:marLeft w:val="0"/>
              <w:marRight w:val="0"/>
              <w:marTop w:val="0"/>
              <w:marBottom w:val="0"/>
              <w:divBdr>
                <w:top w:val="none" w:sz="0" w:space="0" w:color="auto"/>
                <w:left w:val="none" w:sz="0" w:space="0" w:color="auto"/>
                <w:bottom w:val="none" w:sz="0" w:space="0" w:color="auto"/>
                <w:right w:val="none" w:sz="0" w:space="0" w:color="auto"/>
              </w:divBdr>
            </w:div>
          </w:divsChild>
        </w:div>
        <w:div w:id="701785342">
          <w:marLeft w:val="0"/>
          <w:marRight w:val="0"/>
          <w:marTop w:val="0"/>
          <w:marBottom w:val="0"/>
          <w:divBdr>
            <w:top w:val="none" w:sz="0" w:space="0" w:color="auto"/>
            <w:left w:val="none" w:sz="0" w:space="0" w:color="auto"/>
            <w:bottom w:val="none" w:sz="0" w:space="0" w:color="auto"/>
            <w:right w:val="none" w:sz="0" w:space="0" w:color="auto"/>
          </w:divBdr>
          <w:divsChild>
            <w:div w:id="894270731">
              <w:marLeft w:val="0"/>
              <w:marRight w:val="0"/>
              <w:marTop w:val="0"/>
              <w:marBottom w:val="0"/>
              <w:divBdr>
                <w:top w:val="none" w:sz="0" w:space="0" w:color="auto"/>
                <w:left w:val="none" w:sz="0" w:space="0" w:color="auto"/>
                <w:bottom w:val="none" w:sz="0" w:space="0" w:color="auto"/>
                <w:right w:val="none" w:sz="0" w:space="0" w:color="auto"/>
              </w:divBdr>
            </w:div>
          </w:divsChild>
        </w:div>
        <w:div w:id="723991366">
          <w:marLeft w:val="0"/>
          <w:marRight w:val="0"/>
          <w:marTop w:val="0"/>
          <w:marBottom w:val="0"/>
          <w:divBdr>
            <w:top w:val="none" w:sz="0" w:space="0" w:color="auto"/>
            <w:left w:val="none" w:sz="0" w:space="0" w:color="auto"/>
            <w:bottom w:val="none" w:sz="0" w:space="0" w:color="auto"/>
            <w:right w:val="none" w:sz="0" w:space="0" w:color="auto"/>
          </w:divBdr>
          <w:divsChild>
            <w:div w:id="1477456287">
              <w:marLeft w:val="0"/>
              <w:marRight w:val="0"/>
              <w:marTop w:val="0"/>
              <w:marBottom w:val="0"/>
              <w:divBdr>
                <w:top w:val="none" w:sz="0" w:space="0" w:color="auto"/>
                <w:left w:val="none" w:sz="0" w:space="0" w:color="auto"/>
                <w:bottom w:val="none" w:sz="0" w:space="0" w:color="auto"/>
                <w:right w:val="none" w:sz="0" w:space="0" w:color="auto"/>
              </w:divBdr>
            </w:div>
          </w:divsChild>
        </w:div>
        <w:div w:id="749084414">
          <w:marLeft w:val="0"/>
          <w:marRight w:val="0"/>
          <w:marTop w:val="0"/>
          <w:marBottom w:val="0"/>
          <w:divBdr>
            <w:top w:val="none" w:sz="0" w:space="0" w:color="auto"/>
            <w:left w:val="none" w:sz="0" w:space="0" w:color="auto"/>
            <w:bottom w:val="none" w:sz="0" w:space="0" w:color="auto"/>
            <w:right w:val="none" w:sz="0" w:space="0" w:color="auto"/>
          </w:divBdr>
          <w:divsChild>
            <w:div w:id="958535369">
              <w:marLeft w:val="0"/>
              <w:marRight w:val="0"/>
              <w:marTop w:val="0"/>
              <w:marBottom w:val="0"/>
              <w:divBdr>
                <w:top w:val="none" w:sz="0" w:space="0" w:color="auto"/>
                <w:left w:val="none" w:sz="0" w:space="0" w:color="auto"/>
                <w:bottom w:val="none" w:sz="0" w:space="0" w:color="auto"/>
                <w:right w:val="none" w:sz="0" w:space="0" w:color="auto"/>
              </w:divBdr>
            </w:div>
          </w:divsChild>
        </w:div>
        <w:div w:id="775753864">
          <w:marLeft w:val="0"/>
          <w:marRight w:val="0"/>
          <w:marTop w:val="0"/>
          <w:marBottom w:val="0"/>
          <w:divBdr>
            <w:top w:val="none" w:sz="0" w:space="0" w:color="auto"/>
            <w:left w:val="none" w:sz="0" w:space="0" w:color="auto"/>
            <w:bottom w:val="none" w:sz="0" w:space="0" w:color="auto"/>
            <w:right w:val="none" w:sz="0" w:space="0" w:color="auto"/>
          </w:divBdr>
          <w:divsChild>
            <w:div w:id="1041250426">
              <w:marLeft w:val="0"/>
              <w:marRight w:val="0"/>
              <w:marTop w:val="0"/>
              <w:marBottom w:val="0"/>
              <w:divBdr>
                <w:top w:val="none" w:sz="0" w:space="0" w:color="auto"/>
                <w:left w:val="none" w:sz="0" w:space="0" w:color="auto"/>
                <w:bottom w:val="none" w:sz="0" w:space="0" w:color="auto"/>
                <w:right w:val="none" w:sz="0" w:space="0" w:color="auto"/>
              </w:divBdr>
            </w:div>
          </w:divsChild>
        </w:div>
        <w:div w:id="852761155">
          <w:marLeft w:val="0"/>
          <w:marRight w:val="0"/>
          <w:marTop w:val="0"/>
          <w:marBottom w:val="0"/>
          <w:divBdr>
            <w:top w:val="none" w:sz="0" w:space="0" w:color="auto"/>
            <w:left w:val="none" w:sz="0" w:space="0" w:color="auto"/>
            <w:bottom w:val="none" w:sz="0" w:space="0" w:color="auto"/>
            <w:right w:val="none" w:sz="0" w:space="0" w:color="auto"/>
          </w:divBdr>
          <w:divsChild>
            <w:div w:id="1176379953">
              <w:marLeft w:val="0"/>
              <w:marRight w:val="0"/>
              <w:marTop w:val="0"/>
              <w:marBottom w:val="0"/>
              <w:divBdr>
                <w:top w:val="none" w:sz="0" w:space="0" w:color="auto"/>
                <w:left w:val="none" w:sz="0" w:space="0" w:color="auto"/>
                <w:bottom w:val="none" w:sz="0" w:space="0" w:color="auto"/>
                <w:right w:val="none" w:sz="0" w:space="0" w:color="auto"/>
              </w:divBdr>
            </w:div>
          </w:divsChild>
        </w:div>
        <w:div w:id="861019924">
          <w:marLeft w:val="0"/>
          <w:marRight w:val="0"/>
          <w:marTop w:val="0"/>
          <w:marBottom w:val="0"/>
          <w:divBdr>
            <w:top w:val="none" w:sz="0" w:space="0" w:color="auto"/>
            <w:left w:val="none" w:sz="0" w:space="0" w:color="auto"/>
            <w:bottom w:val="none" w:sz="0" w:space="0" w:color="auto"/>
            <w:right w:val="none" w:sz="0" w:space="0" w:color="auto"/>
          </w:divBdr>
          <w:divsChild>
            <w:div w:id="678627657">
              <w:marLeft w:val="0"/>
              <w:marRight w:val="0"/>
              <w:marTop w:val="0"/>
              <w:marBottom w:val="0"/>
              <w:divBdr>
                <w:top w:val="none" w:sz="0" w:space="0" w:color="auto"/>
                <w:left w:val="none" w:sz="0" w:space="0" w:color="auto"/>
                <w:bottom w:val="none" w:sz="0" w:space="0" w:color="auto"/>
                <w:right w:val="none" w:sz="0" w:space="0" w:color="auto"/>
              </w:divBdr>
            </w:div>
          </w:divsChild>
        </w:div>
        <w:div w:id="892079610">
          <w:marLeft w:val="0"/>
          <w:marRight w:val="0"/>
          <w:marTop w:val="0"/>
          <w:marBottom w:val="0"/>
          <w:divBdr>
            <w:top w:val="none" w:sz="0" w:space="0" w:color="auto"/>
            <w:left w:val="none" w:sz="0" w:space="0" w:color="auto"/>
            <w:bottom w:val="none" w:sz="0" w:space="0" w:color="auto"/>
            <w:right w:val="none" w:sz="0" w:space="0" w:color="auto"/>
          </w:divBdr>
          <w:divsChild>
            <w:div w:id="1197891789">
              <w:marLeft w:val="0"/>
              <w:marRight w:val="0"/>
              <w:marTop w:val="0"/>
              <w:marBottom w:val="0"/>
              <w:divBdr>
                <w:top w:val="none" w:sz="0" w:space="0" w:color="auto"/>
                <w:left w:val="none" w:sz="0" w:space="0" w:color="auto"/>
                <w:bottom w:val="none" w:sz="0" w:space="0" w:color="auto"/>
                <w:right w:val="none" w:sz="0" w:space="0" w:color="auto"/>
              </w:divBdr>
            </w:div>
          </w:divsChild>
        </w:div>
        <w:div w:id="900560638">
          <w:marLeft w:val="0"/>
          <w:marRight w:val="0"/>
          <w:marTop w:val="0"/>
          <w:marBottom w:val="0"/>
          <w:divBdr>
            <w:top w:val="none" w:sz="0" w:space="0" w:color="auto"/>
            <w:left w:val="none" w:sz="0" w:space="0" w:color="auto"/>
            <w:bottom w:val="none" w:sz="0" w:space="0" w:color="auto"/>
            <w:right w:val="none" w:sz="0" w:space="0" w:color="auto"/>
          </w:divBdr>
          <w:divsChild>
            <w:div w:id="1224371753">
              <w:marLeft w:val="0"/>
              <w:marRight w:val="0"/>
              <w:marTop w:val="0"/>
              <w:marBottom w:val="0"/>
              <w:divBdr>
                <w:top w:val="none" w:sz="0" w:space="0" w:color="auto"/>
                <w:left w:val="none" w:sz="0" w:space="0" w:color="auto"/>
                <w:bottom w:val="none" w:sz="0" w:space="0" w:color="auto"/>
                <w:right w:val="none" w:sz="0" w:space="0" w:color="auto"/>
              </w:divBdr>
            </w:div>
          </w:divsChild>
        </w:div>
        <w:div w:id="963268629">
          <w:marLeft w:val="0"/>
          <w:marRight w:val="0"/>
          <w:marTop w:val="0"/>
          <w:marBottom w:val="0"/>
          <w:divBdr>
            <w:top w:val="none" w:sz="0" w:space="0" w:color="auto"/>
            <w:left w:val="none" w:sz="0" w:space="0" w:color="auto"/>
            <w:bottom w:val="none" w:sz="0" w:space="0" w:color="auto"/>
            <w:right w:val="none" w:sz="0" w:space="0" w:color="auto"/>
          </w:divBdr>
          <w:divsChild>
            <w:div w:id="1202354920">
              <w:marLeft w:val="0"/>
              <w:marRight w:val="0"/>
              <w:marTop w:val="0"/>
              <w:marBottom w:val="0"/>
              <w:divBdr>
                <w:top w:val="none" w:sz="0" w:space="0" w:color="auto"/>
                <w:left w:val="none" w:sz="0" w:space="0" w:color="auto"/>
                <w:bottom w:val="none" w:sz="0" w:space="0" w:color="auto"/>
                <w:right w:val="none" w:sz="0" w:space="0" w:color="auto"/>
              </w:divBdr>
            </w:div>
          </w:divsChild>
        </w:div>
        <w:div w:id="969626164">
          <w:marLeft w:val="0"/>
          <w:marRight w:val="0"/>
          <w:marTop w:val="0"/>
          <w:marBottom w:val="0"/>
          <w:divBdr>
            <w:top w:val="none" w:sz="0" w:space="0" w:color="auto"/>
            <w:left w:val="none" w:sz="0" w:space="0" w:color="auto"/>
            <w:bottom w:val="none" w:sz="0" w:space="0" w:color="auto"/>
            <w:right w:val="none" w:sz="0" w:space="0" w:color="auto"/>
          </w:divBdr>
          <w:divsChild>
            <w:div w:id="1267932267">
              <w:marLeft w:val="0"/>
              <w:marRight w:val="0"/>
              <w:marTop w:val="0"/>
              <w:marBottom w:val="0"/>
              <w:divBdr>
                <w:top w:val="none" w:sz="0" w:space="0" w:color="auto"/>
                <w:left w:val="none" w:sz="0" w:space="0" w:color="auto"/>
                <w:bottom w:val="none" w:sz="0" w:space="0" w:color="auto"/>
                <w:right w:val="none" w:sz="0" w:space="0" w:color="auto"/>
              </w:divBdr>
            </w:div>
          </w:divsChild>
        </w:div>
        <w:div w:id="1065954408">
          <w:marLeft w:val="0"/>
          <w:marRight w:val="0"/>
          <w:marTop w:val="0"/>
          <w:marBottom w:val="0"/>
          <w:divBdr>
            <w:top w:val="none" w:sz="0" w:space="0" w:color="auto"/>
            <w:left w:val="none" w:sz="0" w:space="0" w:color="auto"/>
            <w:bottom w:val="none" w:sz="0" w:space="0" w:color="auto"/>
            <w:right w:val="none" w:sz="0" w:space="0" w:color="auto"/>
          </w:divBdr>
          <w:divsChild>
            <w:div w:id="48187172">
              <w:marLeft w:val="0"/>
              <w:marRight w:val="0"/>
              <w:marTop w:val="0"/>
              <w:marBottom w:val="0"/>
              <w:divBdr>
                <w:top w:val="none" w:sz="0" w:space="0" w:color="auto"/>
                <w:left w:val="none" w:sz="0" w:space="0" w:color="auto"/>
                <w:bottom w:val="none" w:sz="0" w:space="0" w:color="auto"/>
                <w:right w:val="none" w:sz="0" w:space="0" w:color="auto"/>
              </w:divBdr>
            </w:div>
          </w:divsChild>
        </w:div>
        <w:div w:id="1152327860">
          <w:marLeft w:val="0"/>
          <w:marRight w:val="0"/>
          <w:marTop w:val="0"/>
          <w:marBottom w:val="0"/>
          <w:divBdr>
            <w:top w:val="none" w:sz="0" w:space="0" w:color="auto"/>
            <w:left w:val="none" w:sz="0" w:space="0" w:color="auto"/>
            <w:bottom w:val="none" w:sz="0" w:space="0" w:color="auto"/>
            <w:right w:val="none" w:sz="0" w:space="0" w:color="auto"/>
          </w:divBdr>
          <w:divsChild>
            <w:div w:id="983465888">
              <w:marLeft w:val="0"/>
              <w:marRight w:val="0"/>
              <w:marTop w:val="0"/>
              <w:marBottom w:val="0"/>
              <w:divBdr>
                <w:top w:val="none" w:sz="0" w:space="0" w:color="auto"/>
                <w:left w:val="none" w:sz="0" w:space="0" w:color="auto"/>
                <w:bottom w:val="none" w:sz="0" w:space="0" w:color="auto"/>
                <w:right w:val="none" w:sz="0" w:space="0" w:color="auto"/>
              </w:divBdr>
            </w:div>
          </w:divsChild>
        </w:div>
        <w:div w:id="1225916538">
          <w:marLeft w:val="0"/>
          <w:marRight w:val="0"/>
          <w:marTop w:val="0"/>
          <w:marBottom w:val="0"/>
          <w:divBdr>
            <w:top w:val="none" w:sz="0" w:space="0" w:color="auto"/>
            <w:left w:val="none" w:sz="0" w:space="0" w:color="auto"/>
            <w:bottom w:val="none" w:sz="0" w:space="0" w:color="auto"/>
            <w:right w:val="none" w:sz="0" w:space="0" w:color="auto"/>
          </w:divBdr>
          <w:divsChild>
            <w:div w:id="1411080134">
              <w:marLeft w:val="0"/>
              <w:marRight w:val="0"/>
              <w:marTop w:val="0"/>
              <w:marBottom w:val="0"/>
              <w:divBdr>
                <w:top w:val="none" w:sz="0" w:space="0" w:color="auto"/>
                <w:left w:val="none" w:sz="0" w:space="0" w:color="auto"/>
                <w:bottom w:val="none" w:sz="0" w:space="0" w:color="auto"/>
                <w:right w:val="none" w:sz="0" w:space="0" w:color="auto"/>
              </w:divBdr>
            </w:div>
          </w:divsChild>
        </w:div>
        <w:div w:id="1266689812">
          <w:marLeft w:val="0"/>
          <w:marRight w:val="0"/>
          <w:marTop w:val="0"/>
          <w:marBottom w:val="0"/>
          <w:divBdr>
            <w:top w:val="none" w:sz="0" w:space="0" w:color="auto"/>
            <w:left w:val="none" w:sz="0" w:space="0" w:color="auto"/>
            <w:bottom w:val="none" w:sz="0" w:space="0" w:color="auto"/>
            <w:right w:val="none" w:sz="0" w:space="0" w:color="auto"/>
          </w:divBdr>
          <w:divsChild>
            <w:div w:id="1199702985">
              <w:marLeft w:val="0"/>
              <w:marRight w:val="0"/>
              <w:marTop w:val="0"/>
              <w:marBottom w:val="0"/>
              <w:divBdr>
                <w:top w:val="none" w:sz="0" w:space="0" w:color="auto"/>
                <w:left w:val="none" w:sz="0" w:space="0" w:color="auto"/>
                <w:bottom w:val="none" w:sz="0" w:space="0" w:color="auto"/>
                <w:right w:val="none" w:sz="0" w:space="0" w:color="auto"/>
              </w:divBdr>
            </w:div>
          </w:divsChild>
        </w:div>
        <w:div w:id="1322347346">
          <w:marLeft w:val="0"/>
          <w:marRight w:val="0"/>
          <w:marTop w:val="0"/>
          <w:marBottom w:val="0"/>
          <w:divBdr>
            <w:top w:val="none" w:sz="0" w:space="0" w:color="auto"/>
            <w:left w:val="none" w:sz="0" w:space="0" w:color="auto"/>
            <w:bottom w:val="none" w:sz="0" w:space="0" w:color="auto"/>
            <w:right w:val="none" w:sz="0" w:space="0" w:color="auto"/>
          </w:divBdr>
          <w:divsChild>
            <w:div w:id="160588909">
              <w:marLeft w:val="0"/>
              <w:marRight w:val="0"/>
              <w:marTop w:val="0"/>
              <w:marBottom w:val="0"/>
              <w:divBdr>
                <w:top w:val="none" w:sz="0" w:space="0" w:color="auto"/>
                <w:left w:val="none" w:sz="0" w:space="0" w:color="auto"/>
                <w:bottom w:val="none" w:sz="0" w:space="0" w:color="auto"/>
                <w:right w:val="none" w:sz="0" w:space="0" w:color="auto"/>
              </w:divBdr>
            </w:div>
          </w:divsChild>
        </w:div>
        <w:div w:id="1378235838">
          <w:marLeft w:val="0"/>
          <w:marRight w:val="0"/>
          <w:marTop w:val="0"/>
          <w:marBottom w:val="0"/>
          <w:divBdr>
            <w:top w:val="none" w:sz="0" w:space="0" w:color="auto"/>
            <w:left w:val="none" w:sz="0" w:space="0" w:color="auto"/>
            <w:bottom w:val="none" w:sz="0" w:space="0" w:color="auto"/>
            <w:right w:val="none" w:sz="0" w:space="0" w:color="auto"/>
          </w:divBdr>
          <w:divsChild>
            <w:div w:id="1352607762">
              <w:marLeft w:val="0"/>
              <w:marRight w:val="0"/>
              <w:marTop w:val="0"/>
              <w:marBottom w:val="0"/>
              <w:divBdr>
                <w:top w:val="none" w:sz="0" w:space="0" w:color="auto"/>
                <w:left w:val="none" w:sz="0" w:space="0" w:color="auto"/>
                <w:bottom w:val="none" w:sz="0" w:space="0" w:color="auto"/>
                <w:right w:val="none" w:sz="0" w:space="0" w:color="auto"/>
              </w:divBdr>
            </w:div>
            <w:div w:id="1425960386">
              <w:marLeft w:val="0"/>
              <w:marRight w:val="0"/>
              <w:marTop w:val="0"/>
              <w:marBottom w:val="0"/>
              <w:divBdr>
                <w:top w:val="none" w:sz="0" w:space="0" w:color="auto"/>
                <w:left w:val="none" w:sz="0" w:space="0" w:color="auto"/>
                <w:bottom w:val="none" w:sz="0" w:space="0" w:color="auto"/>
                <w:right w:val="none" w:sz="0" w:space="0" w:color="auto"/>
              </w:divBdr>
            </w:div>
          </w:divsChild>
        </w:div>
        <w:div w:id="1401782049">
          <w:marLeft w:val="0"/>
          <w:marRight w:val="0"/>
          <w:marTop w:val="0"/>
          <w:marBottom w:val="0"/>
          <w:divBdr>
            <w:top w:val="none" w:sz="0" w:space="0" w:color="auto"/>
            <w:left w:val="none" w:sz="0" w:space="0" w:color="auto"/>
            <w:bottom w:val="none" w:sz="0" w:space="0" w:color="auto"/>
            <w:right w:val="none" w:sz="0" w:space="0" w:color="auto"/>
          </w:divBdr>
          <w:divsChild>
            <w:div w:id="1500732218">
              <w:marLeft w:val="0"/>
              <w:marRight w:val="0"/>
              <w:marTop w:val="0"/>
              <w:marBottom w:val="0"/>
              <w:divBdr>
                <w:top w:val="none" w:sz="0" w:space="0" w:color="auto"/>
                <w:left w:val="none" w:sz="0" w:space="0" w:color="auto"/>
                <w:bottom w:val="none" w:sz="0" w:space="0" w:color="auto"/>
                <w:right w:val="none" w:sz="0" w:space="0" w:color="auto"/>
              </w:divBdr>
            </w:div>
          </w:divsChild>
        </w:div>
        <w:div w:id="1409764599">
          <w:marLeft w:val="0"/>
          <w:marRight w:val="0"/>
          <w:marTop w:val="0"/>
          <w:marBottom w:val="0"/>
          <w:divBdr>
            <w:top w:val="none" w:sz="0" w:space="0" w:color="auto"/>
            <w:left w:val="none" w:sz="0" w:space="0" w:color="auto"/>
            <w:bottom w:val="none" w:sz="0" w:space="0" w:color="auto"/>
            <w:right w:val="none" w:sz="0" w:space="0" w:color="auto"/>
          </w:divBdr>
          <w:divsChild>
            <w:div w:id="1078283452">
              <w:marLeft w:val="0"/>
              <w:marRight w:val="0"/>
              <w:marTop w:val="0"/>
              <w:marBottom w:val="0"/>
              <w:divBdr>
                <w:top w:val="none" w:sz="0" w:space="0" w:color="auto"/>
                <w:left w:val="none" w:sz="0" w:space="0" w:color="auto"/>
                <w:bottom w:val="none" w:sz="0" w:space="0" w:color="auto"/>
                <w:right w:val="none" w:sz="0" w:space="0" w:color="auto"/>
              </w:divBdr>
            </w:div>
          </w:divsChild>
        </w:div>
        <w:div w:id="1424914222">
          <w:marLeft w:val="0"/>
          <w:marRight w:val="0"/>
          <w:marTop w:val="0"/>
          <w:marBottom w:val="0"/>
          <w:divBdr>
            <w:top w:val="none" w:sz="0" w:space="0" w:color="auto"/>
            <w:left w:val="none" w:sz="0" w:space="0" w:color="auto"/>
            <w:bottom w:val="none" w:sz="0" w:space="0" w:color="auto"/>
            <w:right w:val="none" w:sz="0" w:space="0" w:color="auto"/>
          </w:divBdr>
          <w:divsChild>
            <w:div w:id="1379402724">
              <w:marLeft w:val="0"/>
              <w:marRight w:val="0"/>
              <w:marTop w:val="0"/>
              <w:marBottom w:val="0"/>
              <w:divBdr>
                <w:top w:val="none" w:sz="0" w:space="0" w:color="auto"/>
                <w:left w:val="none" w:sz="0" w:space="0" w:color="auto"/>
                <w:bottom w:val="none" w:sz="0" w:space="0" w:color="auto"/>
                <w:right w:val="none" w:sz="0" w:space="0" w:color="auto"/>
              </w:divBdr>
            </w:div>
          </w:divsChild>
        </w:div>
        <w:div w:id="1461723071">
          <w:marLeft w:val="0"/>
          <w:marRight w:val="0"/>
          <w:marTop w:val="0"/>
          <w:marBottom w:val="0"/>
          <w:divBdr>
            <w:top w:val="none" w:sz="0" w:space="0" w:color="auto"/>
            <w:left w:val="none" w:sz="0" w:space="0" w:color="auto"/>
            <w:bottom w:val="none" w:sz="0" w:space="0" w:color="auto"/>
            <w:right w:val="none" w:sz="0" w:space="0" w:color="auto"/>
          </w:divBdr>
          <w:divsChild>
            <w:div w:id="1864398121">
              <w:marLeft w:val="0"/>
              <w:marRight w:val="0"/>
              <w:marTop w:val="0"/>
              <w:marBottom w:val="0"/>
              <w:divBdr>
                <w:top w:val="none" w:sz="0" w:space="0" w:color="auto"/>
                <w:left w:val="none" w:sz="0" w:space="0" w:color="auto"/>
                <w:bottom w:val="none" w:sz="0" w:space="0" w:color="auto"/>
                <w:right w:val="none" w:sz="0" w:space="0" w:color="auto"/>
              </w:divBdr>
            </w:div>
          </w:divsChild>
        </w:div>
        <w:div w:id="1462067732">
          <w:marLeft w:val="0"/>
          <w:marRight w:val="0"/>
          <w:marTop w:val="0"/>
          <w:marBottom w:val="0"/>
          <w:divBdr>
            <w:top w:val="none" w:sz="0" w:space="0" w:color="auto"/>
            <w:left w:val="none" w:sz="0" w:space="0" w:color="auto"/>
            <w:bottom w:val="none" w:sz="0" w:space="0" w:color="auto"/>
            <w:right w:val="none" w:sz="0" w:space="0" w:color="auto"/>
          </w:divBdr>
          <w:divsChild>
            <w:div w:id="2124762390">
              <w:marLeft w:val="0"/>
              <w:marRight w:val="0"/>
              <w:marTop w:val="0"/>
              <w:marBottom w:val="0"/>
              <w:divBdr>
                <w:top w:val="none" w:sz="0" w:space="0" w:color="auto"/>
                <w:left w:val="none" w:sz="0" w:space="0" w:color="auto"/>
                <w:bottom w:val="none" w:sz="0" w:space="0" w:color="auto"/>
                <w:right w:val="none" w:sz="0" w:space="0" w:color="auto"/>
              </w:divBdr>
            </w:div>
          </w:divsChild>
        </w:div>
        <w:div w:id="1516650842">
          <w:marLeft w:val="0"/>
          <w:marRight w:val="0"/>
          <w:marTop w:val="0"/>
          <w:marBottom w:val="0"/>
          <w:divBdr>
            <w:top w:val="none" w:sz="0" w:space="0" w:color="auto"/>
            <w:left w:val="none" w:sz="0" w:space="0" w:color="auto"/>
            <w:bottom w:val="none" w:sz="0" w:space="0" w:color="auto"/>
            <w:right w:val="none" w:sz="0" w:space="0" w:color="auto"/>
          </w:divBdr>
          <w:divsChild>
            <w:div w:id="380639366">
              <w:marLeft w:val="0"/>
              <w:marRight w:val="0"/>
              <w:marTop w:val="0"/>
              <w:marBottom w:val="0"/>
              <w:divBdr>
                <w:top w:val="none" w:sz="0" w:space="0" w:color="auto"/>
                <w:left w:val="none" w:sz="0" w:space="0" w:color="auto"/>
                <w:bottom w:val="none" w:sz="0" w:space="0" w:color="auto"/>
                <w:right w:val="none" w:sz="0" w:space="0" w:color="auto"/>
              </w:divBdr>
            </w:div>
          </w:divsChild>
        </w:div>
        <w:div w:id="1516797587">
          <w:marLeft w:val="0"/>
          <w:marRight w:val="0"/>
          <w:marTop w:val="0"/>
          <w:marBottom w:val="0"/>
          <w:divBdr>
            <w:top w:val="none" w:sz="0" w:space="0" w:color="auto"/>
            <w:left w:val="none" w:sz="0" w:space="0" w:color="auto"/>
            <w:bottom w:val="none" w:sz="0" w:space="0" w:color="auto"/>
            <w:right w:val="none" w:sz="0" w:space="0" w:color="auto"/>
          </w:divBdr>
          <w:divsChild>
            <w:div w:id="727455061">
              <w:marLeft w:val="0"/>
              <w:marRight w:val="0"/>
              <w:marTop w:val="0"/>
              <w:marBottom w:val="0"/>
              <w:divBdr>
                <w:top w:val="none" w:sz="0" w:space="0" w:color="auto"/>
                <w:left w:val="none" w:sz="0" w:space="0" w:color="auto"/>
                <w:bottom w:val="none" w:sz="0" w:space="0" w:color="auto"/>
                <w:right w:val="none" w:sz="0" w:space="0" w:color="auto"/>
              </w:divBdr>
            </w:div>
            <w:div w:id="1616596179">
              <w:marLeft w:val="0"/>
              <w:marRight w:val="0"/>
              <w:marTop w:val="0"/>
              <w:marBottom w:val="0"/>
              <w:divBdr>
                <w:top w:val="none" w:sz="0" w:space="0" w:color="auto"/>
                <w:left w:val="none" w:sz="0" w:space="0" w:color="auto"/>
                <w:bottom w:val="none" w:sz="0" w:space="0" w:color="auto"/>
                <w:right w:val="none" w:sz="0" w:space="0" w:color="auto"/>
              </w:divBdr>
            </w:div>
          </w:divsChild>
        </w:div>
        <w:div w:id="1538544972">
          <w:marLeft w:val="0"/>
          <w:marRight w:val="0"/>
          <w:marTop w:val="0"/>
          <w:marBottom w:val="0"/>
          <w:divBdr>
            <w:top w:val="none" w:sz="0" w:space="0" w:color="auto"/>
            <w:left w:val="none" w:sz="0" w:space="0" w:color="auto"/>
            <w:bottom w:val="none" w:sz="0" w:space="0" w:color="auto"/>
            <w:right w:val="none" w:sz="0" w:space="0" w:color="auto"/>
          </w:divBdr>
          <w:divsChild>
            <w:div w:id="2004234689">
              <w:marLeft w:val="0"/>
              <w:marRight w:val="0"/>
              <w:marTop w:val="0"/>
              <w:marBottom w:val="0"/>
              <w:divBdr>
                <w:top w:val="none" w:sz="0" w:space="0" w:color="auto"/>
                <w:left w:val="none" w:sz="0" w:space="0" w:color="auto"/>
                <w:bottom w:val="none" w:sz="0" w:space="0" w:color="auto"/>
                <w:right w:val="none" w:sz="0" w:space="0" w:color="auto"/>
              </w:divBdr>
            </w:div>
          </w:divsChild>
        </w:div>
        <w:div w:id="1581403481">
          <w:marLeft w:val="0"/>
          <w:marRight w:val="0"/>
          <w:marTop w:val="0"/>
          <w:marBottom w:val="0"/>
          <w:divBdr>
            <w:top w:val="none" w:sz="0" w:space="0" w:color="auto"/>
            <w:left w:val="none" w:sz="0" w:space="0" w:color="auto"/>
            <w:bottom w:val="none" w:sz="0" w:space="0" w:color="auto"/>
            <w:right w:val="none" w:sz="0" w:space="0" w:color="auto"/>
          </w:divBdr>
          <w:divsChild>
            <w:div w:id="371730023">
              <w:marLeft w:val="0"/>
              <w:marRight w:val="0"/>
              <w:marTop w:val="0"/>
              <w:marBottom w:val="0"/>
              <w:divBdr>
                <w:top w:val="none" w:sz="0" w:space="0" w:color="auto"/>
                <w:left w:val="none" w:sz="0" w:space="0" w:color="auto"/>
                <w:bottom w:val="none" w:sz="0" w:space="0" w:color="auto"/>
                <w:right w:val="none" w:sz="0" w:space="0" w:color="auto"/>
              </w:divBdr>
            </w:div>
          </w:divsChild>
        </w:div>
        <w:div w:id="1596596954">
          <w:marLeft w:val="0"/>
          <w:marRight w:val="0"/>
          <w:marTop w:val="0"/>
          <w:marBottom w:val="0"/>
          <w:divBdr>
            <w:top w:val="none" w:sz="0" w:space="0" w:color="auto"/>
            <w:left w:val="none" w:sz="0" w:space="0" w:color="auto"/>
            <w:bottom w:val="none" w:sz="0" w:space="0" w:color="auto"/>
            <w:right w:val="none" w:sz="0" w:space="0" w:color="auto"/>
          </w:divBdr>
          <w:divsChild>
            <w:div w:id="1371614207">
              <w:marLeft w:val="0"/>
              <w:marRight w:val="0"/>
              <w:marTop w:val="0"/>
              <w:marBottom w:val="0"/>
              <w:divBdr>
                <w:top w:val="none" w:sz="0" w:space="0" w:color="auto"/>
                <w:left w:val="none" w:sz="0" w:space="0" w:color="auto"/>
                <w:bottom w:val="none" w:sz="0" w:space="0" w:color="auto"/>
                <w:right w:val="none" w:sz="0" w:space="0" w:color="auto"/>
              </w:divBdr>
            </w:div>
          </w:divsChild>
        </w:div>
        <w:div w:id="1638073057">
          <w:marLeft w:val="0"/>
          <w:marRight w:val="0"/>
          <w:marTop w:val="0"/>
          <w:marBottom w:val="0"/>
          <w:divBdr>
            <w:top w:val="none" w:sz="0" w:space="0" w:color="auto"/>
            <w:left w:val="none" w:sz="0" w:space="0" w:color="auto"/>
            <w:bottom w:val="none" w:sz="0" w:space="0" w:color="auto"/>
            <w:right w:val="none" w:sz="0" w:space="0" w:color="auto"/>
          </w:divBdr>
          <w:divsChild>
            <w:div w:id="497044127">
              <w:marLeft w:val="0"/>
              <w:marRight w:val="0"/>
              <w:marTop w:val="0"/>
              <w:marBottom w:val="0"/>
              <w:divBdr>
                <w:top w:val="none" w:sz="0" w:space="0" w:color="auto"/>
                <w:left w:val="none" w:sz="0" w:space="0" w:color="auto"/>
                <w:bottom w:val="none" w:sz="0" w:space="0" w:color="auto"/>
                <w:right w:val="none" w:sz="0" w:space="0" w:color="auto"/>
              </w:divBdr>
            </w:div>
          </w:divsChild>
        </w:div>
        <w:div w:id="1641616258">
          <w:marLeft w:val="0"/>
          <w:marRight w:val="0"/>
          <w:marTop w:val="0"/>
          <w:marBottom w:val="0"/>
          <w:divBdr>
            <w:top w:val="none" w:sz="0" w:space="0" w:color="auto"/>
            <w:left w:val="none" w:sz="0" w:space="0" w:color="auto"/>
            <w:bottom w:val="none" w:sz="0" w:space="0" w:color="auto"/>
            <w:right w:val="none" w:sz="0" w:space="0" w:color="auto"/>
          </w:divBdr>
          <w:divsChild>
            <w:div w:id="1076779470">
              <w:marLeft w:val="0"/>
              <w:marRight w:val="0"/>
              <w:marTop w:val="0"/>
              <w:marBottom w:val="0"/>
              <w:divBdr>
                <w:top w:val="none" w:sz="0" w:space="0" w:color="auto"/>
                <w:left w:val="none" w:sz="0" w:space="0" w:color="auto"/>
                <w:bottom w:val="none" w:sz="0" w:space="0" w:color="auto"/>
                <w:right w:val="none" w:sz="0" w:space="0" w:color="auto"/>
              </w:divBdr>
            </w:div>
          </w:divsChild>
        </w:div>
        <w:div w:id="1700933299">
          <w:marLeft w:val="0"/>
          <w:marRight w:val="0"/>
          <w:marTop w:val="0"/>
          <w:marBottom w:val="0"/>
          <w:divBdr>
            <w:top w:val="none" w:sz="0" w:space="0" w:color="auto"/>
            <w:left w:val="none" w:sz="0" w:space="0" w:color="auto"/>
            <w:bottom w:val="none" w:sz="0" w:space="0" w:color="auto"/>
            <w:right w:val="none" w:sz="0" w:space="0" w:color="auto"/>
          </w:divBdr>
          <w:divsChild>
            <w:div w:id="161431916">
              <w:marLeft w:val="0"/>
              <w:marRight w:val="0"/>
              <w:marTop w:val="0"/>
              <w:marBottom w:val="0"/>
              <w:divBdr>
                <w:top w:val="none" w:sz="0" w:space="0" w:color="auto"/>
                <w:left w:val="none" w:sz="0" w:space="0" w:color="auto"/>
                <w:bottom w:val="none" w:sz="0" w:space="0" w:color="auto"/>
                <w:right w:val="none" w:sz="0" w:space="0" w:color="auto"/>
              </w:divBdr>
            </w:div>
          </w:divsChild>
        </w:div>
        <w:div w:id="1755711623">
          <w:marLeft w:val="0"/>
          <w:marRight w:val="0"/>
          <w:marTop w:val="0"/>
          <w:marBottom w:val="0"/>
          <w:divBdr>
            <w:top w:val="none" w:sz="0" w:space="0" w:color="auto"/>
            <w:left w:val="none" w:sz="0" w:space="0" w:color="auto"/>
            <w:bottom w:val="none" w:sz="0" w:space="0" w:color="auto"/>
            <w:right w:val="none" w:sz="0" w:space="0" w:color="auto"/>
          </w:divBdr>
          <w:divsChild>
            <w:div w:id="1828328338">
              <w:marLeft w:val="0"/>
              <w:marRight w:val="0"/>
              <w:marTop w:val="0"/>
              <w:marBottom w:val="0"/>
              <w:divBdr>
                <w:top w:val="none" w:sz="0" w:space="0" w:color="auto"/>
                <w:left w:val="none" w:sz="0" w:space="0" w:color="auto"/>
                <w:bottom w:val="none" w:sz="0" w:space="0" w:color="auto"/>
                <w:right w:val="none" w:sz="0" w:space="0" w:color="auto"/>
              </w:divBdr>
            </w:div>
            <w:div w:id="1958103081">
              <w:marLeft w:val="0"/>
              <w:marRight w:val="0"/>
              <w:marTop w:val="0"/>
              <w:marBottom w:val="0"/>
              <w:divBdr>
                <w:top w:val="none" w:sz="0" w:space="0" w:color="auto"/>
                <w:left w:val="none" w:sz="0" w:space="0" w:color="auto"/>
                <w:bottom w:val="none" w:sz="0" w:space="0" w:color="auto"/>
                <w:right w:val="none" w:sz="0" w:space="0" w:color="auto"/>
              </w:divBdr>
            </w:div>
          </w:divsChild>
        </w:div>
        <w:div w:id="1897204047">
          <w:marLeft w:val="0"/>
          <w:marRight w:val="0"/>
          <w:marTop w:val="0"/>
          <w:marBottom w:val="0"/>
          <w:divBdr>
            <w:top w:val="none" w:sz="0" w:space="0" w:color="auto"/>
            <w:left w:val="none" w:sz="0" w:space="0" w:color="auto"/>
            <w:bottom w:val="none" w:sz="0" w:space="0" w:color="auto"/>
            <w:right w:val="none" w:sz="0" w:space="0" w:color="auto"/>
          </w:divBdr>
          <w:divsChild>
            <w:div w:id="1168520545">
              <w:marLeft w:val="0"/>
              <w:marRight w:val="0"/>
              <w:marTop w:val="0"/>
              <w:marBottom w:val="0"/>
              <w:divBdr>
                <w:top w:val="none" w:sz="0" w:space="0" w:color="auto"/>
                <w:left w:val="none" w:sz="0" w:space="0" w:color="auto"/>
                <w:bottom w:val="none" w:sz="0" w:space="0" w:color="auto"/>
                <w:right w:val="none" w:sz="0" w:space="0" w:color="auto"/>
              </w:divBdr>
            </w:div>
          </w:divsChild>
        </w:div>
        <w:div w:id="1972706234">
          <w:marLeft w:val="0"/>
          <w:marRight w:val="0"/>
          <w:marTop w:val="0"/>
          <w:marBottom w:val="0"/>
          <w:divBdr>
            <w:top w:val="none" w:sz="0" w:space="0" w:color="auto"/>
            <w:left w:val="none" w:sz="0" w:space="0" w:color="auto"/>
            <w:bottom w:val="none" w:sz="0" w:space="0" w:color="auto"/>
            <w:right w:val="none" w:sz="0" w:space="0" w:color="auto"/>
          </w:divBdr>
          <w:divsChild>
            <w:div w:id="1340305362">
              <w:marLeft w:val="0"/>
              <w:marRight w:val="0"/>
              <w:marTop w:val="0"/>
              <w:marBottom w:val="0"/>
              <w:divBdr>
                <w:top w:val="none" w:sz="0" w:space="0" w:color="auto"/>
                <w:left w:val="none" w:sz="0" w:space="0" w:color="auto"/>
                <w:bottom w:val="none" w:sz="0" w:space="0" w:color="auto"/>
                <w:right w:val="none" w:sz="0" w:space="0" w:color="auto"/>
              </w:divBdr>
            </w:div>
          </w:divsChild>
        </w:div>
        <w:div w:id="2067871968">
          <w:marLeft w:val="0"/>
          <w:marRight w:val="0"/>
          <w:marTop w:val="0"/>
          <w:marBottom w:val="0"/>
          <w:divBdr>
            <w:top w:val="none" w:sz="0" w:space="0" w:color="auto"/>
            <w:left w:val="none" w:sz="0" w:space="0" w:color="auto"/>
            <w:bottom w:val="none" w:sz="0" w:space="0" w:color="auto"/>
            <w:right w:val="none" w:sz="0" w:space="0" w:color="auto"/>
          </w:divBdr>
          <w:divsChild>
            <w:div w:id="1925408962">
              <w:marLeft w:val="0"/>
              <w:marRight w:val="0"/>
              <w:marTop w:val="0"/>
              <w:marBottom w:val="0"/>
              <w:divBdr>
                <w:top w:val="none" w:sz="0" w:space="0" w:color="auto"/>
                <w:left w:val="none" w:sz="0" w:space="0" w:color="auto"/>
                <w:bottom w:val="none" w:sz="0" w:space="0" w:color="auto"/>
                <w:right w:val="none" w:sz="0" w:space="0" w:color="auto"/>
              </w:divBdr>
            </w:div>
          </w:divsChild>
        </w:div>
        <w:div w:id="2103602116">
          <w:marLeft w:val="0"/>
          <w:marRight w:val="0"/>
          <w:marTop w:val="0"/>
          <w:marBottom w:val="0"/>
          <w:divBdr>
            <w:top w:val="none" w:sz="0" w:space="0" w:color="auto"/>
            <w:left w:val="none" w:sz="0" w:space="0" w:color="auto"/>
            <w:bottom w:val="none" w:sz="0" w:space="0" w:color="auto"/>
            <w:right w:val="none" w:sz="0" w:space="0" w:color="auto"/>
          </w:divBdr>
          <w:divsChild>
            <w:div w:id="260266037">
              <w:marLeft w:val="0"/>
              <w:marRight w:val="0"/>
              <w:marTop w:val="0"/>
              <w:marBottom w:val="0"/>
              <w:divBdr>
                <w:top w:val="none" w:sz="0" w:space="0" w:color="auto"/>
                <w:left w:val="none" w:sz="0" w:space="0" w:color="auto"/>
                <w:bottom w:val="none" w:sz="0" w:space="0" w:color="auto"/>
                <w:right w:val="none" w:sz="0" w:space="0" w:color="auto"/>
              </w:divBdr>
            </w:div>
          </w:divsChild>
        </w:div>
        <w:div w:id="2113741588">
          <w:marLeft w:val="0"/>
          <w:marRight w:val="0"/>
          <w:marTop w:val="0"/>
          <w:marBottom w:val="0"/>
          <w:divBdr>
            <w:top w:val="none" w:sz="0" w:space="0" w:color="auto"/>
            <w:left w:val="none" w:sz="0" w:space="0" w:color="auto"/>
            <w:bottom w:val="none" w:sz="0" w:space="0" w:color="auto"/>
            <w:right w:val="none" w:sz="0" w:space="0" w:color="auto"/>
          </w:divBdr>
          <w:divsChild>
            <w:div w:id="1365902369">
              <w:marLeft w:val="0"/>
              <w:marRight w:val="0"/>
              <w:marTop w:val="0"/>
              <w:marBottom w:val="0"/>
              <w:divBdr>
                <w:top w:val="none" w:sz="0" w:space="0" w:color="auto"/>
                <w:left w:val="none" w:sz="0" w:space="0" w:color="auto"/>
                <w:bottom w:val="none" w:sz="0" w:space="0" w:color="auto"/>
                <w:right w:val="none" w:sz="0" w:space="0" w:color="auto"/>
              </w:divBdr>
            </w:div>
          </w:divsChild>
        </w:div>
        <w:div w:id="2142725174">
          <w:marLeft w:val="0"/>
          <w:marRight w:val="0"/>
          <w:marTop w:val="0"/>
          <w:marBottom w:val="0"/>
          <w:divBdr>
            <w:top w:val="none" w:sz="0" w:space="0" w:color="auto"/>
            <w:left w:val="none" w:sz="0" w:space="0" w:color="auto"/>
            <w:bottom w:val="none" w:sz="0" w:space="0" w:color="auto"/>
            <w:right w:val="none" w:sz="0" w:space="0" w:color="auto"/>
          </w:divBdr>
          <w:divsChild>
            <w:div w:id="10354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8045">
      <w:bodyDiv w:val="1"/>
      <w:marLeft w:val="0"/>
      <w:marRight w:val="0"/>
      <w:marTop w:val="0"/>
      <w:marBottom w:val="0"/>
      <w:divBdr>
        <w:top w:val="none" w:sz="0" w:space="0" w:color="auto"/>
        <w:left w:val="none" w:sz="0" w:space="0" w:color="auto"/>
        <w:bottom w:val="none" w:sz="0" w:space="0" w:color="auto"/>
        <w:right w:val="none" w:sz="0" w:space="0" w:color="auto"/>
      </w:divBdr>
    </w:div>
    <w:div w:id="1292521163">
      <w:bodyDiv w:val="1"/>
      <w:marLeft w:val="0"/>
      <w:marRight w:val="0"/>
      <w:marTop w:val="0"/>
      <w:marBottom w:val="0"/>
      <w:divBdr>
        <w:top w:val="none" w:sz="0" w:space="0" w:color="auto"/>
        <w:left w:val="none" w:sz="0" w:space="0" w:color="auto"/>
        <w:bottom w:val="none" w:sz="0" w:space="0" w:color="auto"/>
        <w:right w:val="none" w:sz="0" w:space="0" w:color="auto"/>
      </w:divBdr>
    </w:div>
    <w:div w:id="1324161323">
      <w:bodyDiv w:val="1"/>
      <w:marLeft w:val="0"/>
      <w:marRight w:val="0"/>
      <w:marTop w:val="0"/>
      <w:marBottom w:val="0"/>
      <w:divBdr>
        <w:top w:val="none" w:sz="0" w:space="0" w:color="auto"/>
        <w:left w:val="none" w:sz="0" w:space="0" w:color="auto"/>
        <w:bottom w:val="none" w:sz="0" w:space="0" w:color="auto"/>
        <w:right w:val="none" w:sz="0" w:space="0" w:color="auto"/>
      </w:divBdr>
    </w:div>
    <w:div w:id="1324772535">
      <w:bodyDiv w:val="1"/>
      <w:marLeft w:val="0"/>
      <w:marRight w:val="0"/>
      <w:marTop w:val="0"/>
      <w:marBottom w:val="0"/>
      <w:divBdr>
        <w:top w:val="none" w:sz="0" w:space="0" w:color="auto"/>
        <w:left w:val="none" w:sz="0" w:space="0" w:color="auto"/>
        <w:bottom w:val="none" w:sz="0" w:space="0" w:color="auto"/>
        <w:right w:val="none" w:sz="0" w:space="0" w:color="auto"/>
      </w:divBdr>
    </w:div>
    <w:div w:id="1339309416">
      <w:bodyDiv w:val="1"/>
      <w:marLeft w:val="0"/>
      <w:marRight w:val="0"/>
      <w:marTop w:val="0"/>
      <w:marBottom w:val="0"/>
      <w:divBdr>
        <w:top w:val="none" w:sz="0" w:space="0" w:color="auto"/>
        <w:left w:val="none" w:sz="0" w:space="0" w:color="auto"/>
        <w:bottom w:val="none" w:sz="0" w:space="0" w:color="auto"/>
        <w:right w:val="none" w:sz="0" w:space="0" w:color="auto"/>
      </w:divBdr>
    </w:div>
    <w:div w:id="1342585101">
      <w:bodyDiv w:val="1"/>
      <w:marLeft w:val="0"/>
      <w:marRight w:val="0"/>
      <w:marTop w:val="0"/>
      <w:marBottom w:val="0"/>
      <w:divBdr>
        <w:top w:val="none" w:sz="0" w:space="0" w:color="auto"/>
        <w:left w:val="none" w:sz="0" w:space="0" w:color="auto"/>
        <w:bottom w:val="none" w:sz="0" w:space="0" w:color="auto"/>
        <w:right w:val="none" w:sz="0" w:space="0" w:color="auto"/>
      </w:divBdr>
    </w:div>
    <w:div w:id="1389913486">
      <w:bodyDiv w:val="1"/>
      <w:marLeft w:val="0"/>
      <w:marRight w:val="0"/>
      <w:marTop w:val="0"/>
      <w:marBottom w:val="0"/>
      <w:divBdr>
        <w:top w:val="none" w:sz="0" w:space="0" w:color="auto"/>
        <w:left w:val="none" w:sz="0" w:space="0" w:color="auto"/>
        <w:bottom w:val="none" w:sz="0" w:space="0" w:color="auto"/>
        <w:right w:val="none" w:sz="0" w:space="0" w:color="auto"/>
      </w:divBdr>
    </w:div>
    <w:div w:id="1470438930">
      <w:bodyDiv w:val="1"/>
      <w:marLeft w:val="0"/>
      <w:marRight w:val="0"/>
      <w:marTop w:val="0"/>
      <w:marBottom w:val="0"/>
      <w:divBdr>
        <w:top w:val="none" w:sz="0" w:space="0" w:color="auto"/>
        <w:left w:val="none" w:sz="0" w:space="0" w:color="auto"/>
        <w:bottom w:val="none" w:sz="0" w:space="0" w:color="auto"/>
        <w:right w:val="none" w:sz="0" w:space="0" w:color="auto"/>
      </w:divBdr>
    </w:div>
    <w:div w:id="1535271249">
      <w:bodyDiv w:val="1"/>
      <w:marLeft w:val="0"/>
      <w:marRight w:val="0"/>
      <w:marTop w:val="0"/>
      <w:marBottom w:val="0"/>
      <w:divBdr>
        <w:top w:val="none" w:sz="0" w:space="0" w:color="auto"/>
        <w:left w:val="none" w:sz="0" w:space="0" w:color="auto"/>
        <w:bottom w:val="none" w:sz="0" w:space="0" w:color="auto"/>
        <w:right w:val="none" w:sz="0" w:space="0" w:color="auto"/>
      </w:divBdr>
    </w:div>
    <w:div w:id="1542785253">
      <w:bodyDiv w:val="1"/>
      <w:marLeft w:val="0"/>
      <w:marRight w:val="0"/>
      <w:marTop w:val="0"/>
      <w:marBottom w:val="0"/>
      <w:divBdr>
        <w:top w:val="none" w:sz="0" w:space="0" w:color="auto"/>
        <w:left w:val="none" w:sz="0" w:space="0" w:color="auto"/>
        <w:bottom w:val="none" w:sz="0" w:space="0" w:color="auto"/>
        <w:right w:val="none" w:sz="0" w:space="0" w:color="auto"/>
      </w:divBdr>
    </w:div>
    <w:div w:id="1580745989">
      <w:bodyDiv w:val="1"/>
      <w:marLeft w:val="0"/>
      <w:marRight w:val="0"/>
      <w:marTop w:val="0"/>
      <w:marBottom w:val="0"/>
      <w:divBdr>
        <w:top w:val="none" w:sz="0" w:space="0" w:color="auto"/>
        <w:left w:val="none" w:sz="0" w:space="0" w:color="auto"/>
        <w:bottom w:val="none" w:sz="0" w:space="0" w:color="auto"/>
        <w:right w:val="none" w:sz="0" w:space="0" w:color="auto"/>
      </w:divBdr>
    </w:div>
    <w:div w:id="1601793712">
      <w:bodyDiv w:val="1"/>
      <w:marLeft w:val="0"/>
      <w:marRight w:val="0"/>
      <w:marTop w:val="0"/>
      <w:marBottom w:val="0"/>
      <w:divBdr>
        <w:top w:val="none" w:sz="0" w:space="0" w:color="auto"/>
        <w:left w:val="none" w:sz="0" w:space="0" w:color="auto"/>
        <w:bottom w:val="none" w:sz="0" w:space="0" w:color="auto"/>
        <w:right w:val="none" w:sz="0" w:space="0" w:color="auto"/>
      </w:divBdr>
      <w:divsChild>
        <w:div w:id="1884323181">
          <w:marLeft w:val="360"/>
          <w:marRight w:val="0"/>
          <w:marTop w:val="200"/>
          <w:marBottom w:val="0"/>
          <w:divBdr>
            <w:top w:val="none" w:sz="0" w:space="0" w:color="auto"/>
            <w:left w:val="none" w:sz="0" w:space="0" w:color="auto"/>
            <w:bottom w:val="none" w:sz="0" w:space="0" w:color="auto"/>
            <w:right w:val="none" w:sz="0" w:space="0" w:color="auto"/>
          </w:divBdr>
        </w:div>
      </w:divsChild>
    </w:div>
    <w:div w:id="1619608051">
      <w:bodyDiv w:val="1"/>
      <w:marLeft w:val="0"/>
      <w:marRight w:val="0"/>
      <w:marTop w:val="0"/>
      <w:marBottom w:val="0"/>
      <w:divBdr>
        <w:top w:val="none" w:sz="0" w:space="0" w:color="auto"/>
        <w:left w:val="none" w:sz="0" w:space="0" w:color="auto"/>
        <w:bottom w:val="none" w:sz="0" w:space="0" w:color="auto"/>
        <w:right w:val="none" w:sz="0" w:space="0" w:color="auto"/>
      </w:divBdr>
    </w:div>
    <w:div w:id="1701054774">
      <w:bodyDiv w:val="1"/>
      <w:marLeft w:val="0"/>
      <w:marRight w:val="0"/>
      <w:marTop w:val="0"/>
      <w:marBottom w:val="0"/>
      <w:divBdr>
        <w:top w:val="none" w:sz="0" w:space="0" w:color="auto"/>
        <w:left w:val="none" w:sz="0" w:space="0" w:color="auto"/>
        <w:bottom w:val="none" w:sz="0" w:space="0" w:color="auto"/>
        <w:right w:val="none" w:sz="0" w:space="0" w:color="auto"/>
      </w:divBdr>
    </w:div>
    <w:div w:id="1720206195">
      <w:bodyDiv w:val="1"/>
      <w:marLeft w:val="0"/>
      <w:marRight w:val="0"/>
      <w:marTop w:val="0"/>
      <w:marBottom w:val="0"/>
      <w:divBdr>
        <w:top w:val="none" w:sz="0" w:space="0" w:color="auto"/>
        <w:left w:val="none" w:sz="0" w:space="0" w:color="auto"/>
        <w:bottom w:val="none" w:sz="0" w:space="0" w:color="auto"/>
        <w:right w:val="none" w:sz="0" w:space="0" w:color="auto"/>
      </w:divBdr>
    </w:div>
    <w:div w:id="1729840189">
      <w:bodyDiv w:val="1"/>
      <w:marLeft w:val="0"/>
      <w:marRight w:val="0"/>
      <w:marTop w:val="0"/>
      <w:marBottom w:val="0"/>
      <w:divBdr>
        <w:top w:val="none" w:sz="0" w:space="0" w:color="auto"/>
        <w:left w:val="none" w:sz="0" w:space="0" w:color="auto"/>
        <w:bottom w:val="none" w:sz="0" w:space="0" w:color="auto"/>
        <w:right w:val="none" w:sz="0" w:space="0" w:color="auto"/>
      </w:divBdr>
    </w:div>
    <w:div w:id="1734161944">
      <w:bodyDiv w:val="1"/>
      <w:marLeft w:val="0"/>
      <w:marRight w:val="0"/>
      <w:marTop w:val="0"/>
      <w:marBottom w:val="0"/>
      <w:divBdr>
        <w:top w:val="none" w:sz="0" w:space="0" w:color="auto"/>
        <w:left w:val="none" w:sz="0" w:space="0" w:color="auto"/>
        <w:bottom w:val="none" w:sz="0" w:space="0" w:color="auto"/>
        <w:right w:val="none" w:sz="0" w:space="0" w:color="auto"/>
      </w:divBdr>
    </w:div>
    <w:div w:id="1736316009">
      <w:bodyDiv w:val="1"/>
      <w:marLeft w:val="0"/>
      <w:marRight w:val="0"/>
      <w:marTop w:val="0"/>
      <w:marBottom w:val="0"/>
      <w:divBdr>
        <w:top w:val="none" w:sz="0" w:space="0" w:color="auto"/>
        <w:left w:val="none" w:sz="0" w:space="0" w:color="auto"/>
        <w:bottom w:val="none" w:sz="0" w:space="0" w:color="auto"/>
        <w:right w:val="none" w:sz="0" w:space="0" w:color="auto"/>
      </w:divBdr>
    </w:div>
    <w:div w:id="1758481051">
      <w:bodyDiv w:val="1"/>
      <w:marLeft w:val="0"/>
      <w:marRight w:val="0"/>
      <w:marTop w:val="0"/>
      <w:marBottom w:val="0"/>
      <w:divBdr>
        <w:top w:val="none" w:sz="0" w:space="0" w:color="auto"/>
        <w:left w:val="none" w:sz="0" w:space="0" w:color="auto"/>
        <w:bottom w:val="none" w:sz="0" w:space="0" w:color="auto"/>
        <w:right w:val="none" w:sz="0" w:space="0" w:color="auto"/>
      </w:divBdr>
    </w:div>
    <w:div w:id="1839228701">
      <w:bodyDiv w:val="1"/>
      <w:marLeft w:val="0"/>
      <w:marRight w:val="0"/>
      <w:marTop w:val="0"/>
      <w:marBottom w:val="0"/>
      <w:divBdr>
        <w:top w:val="none" w:sz="0" w:space="0" w:color="auto"/>
        <w:left w:val="none" w:sz="0" w:space="0" w:color="auto"/>
        <w:bottom w:val="none" w:sz="0" w:space="0" w:color="auto"/>
        <w:right w:val="none" w:sz="0" w:space="0" w:color="auto"/>
      </w:divBdr>
    </w:div>
    <w:div w:id="1878926804">
      <w:bodyDiv w:val="1"/>
      <w:marLeft w:val="0"/>
      <w:marRight w:val="0"/>
      <w:marTop w:val="0"/>
      <w:marBottom w:val="0"/>
      <w:divBdr>
        <w:top w:val="none" w:sz="0" w:space="0" w:color="auto"/>
        <w:left w:val="none" w:sz="0" w:space="0" w:color="auto"/>
        <w:bottom w:val="none" w:sz="0" w:space="0" w:color="auto"/>
        <w:right w:val="none" w:sz="0" w:space="0" w:color="auto"/>
      </w:divBdr>
    </w:div>
    <w:div w:id="1914462347">
      <w:bodyDiv w:val="1"/>
      <w:marLeft w:val="0"/>
      <w:marRight w:val="0"/>
      <w:marTop w:val="0"/>
      <w:marBottom w:val="0"/>
      <w:divBdr>
        <w:top w:val="none" w:sz="0" w:space="0" w:color="auto"/>
        <w:left w:val="none" w:sz="0" w:space="0" w:color="auto"/>
        <w:bottom w:val="none" w:sz="0" w:space="0" w:color="auto"/>
        <w:right w:val="none" w:sz="0" w:space="0" w:color="auto"/>
      </w:divBdr>
    </w:div>
    <w:div w:id="1938711116">
      <w:bodyDiv w:val="1"/>
      <w:marLeft w:val="0"/>
      <w:marRight w:val="0"/>
      <w:marTop w:val="0"/>
      <w:marBottom w:val="0"/>
      <w:divBdr>
        <w:top w:val="none" w:sz="0" w:space="0" w:color="auto"/>
        <w:left w:val="none" w:sz="0" w:space="0" w:color="auto"/>
        <w:bottom w:val="none" w:sz="0" w:space="0" w:color="auto"/>
        <w:right w:val="none" w:sz="0" w:space="0" w:color="auto"/>
      </w:divBdr>
      <w:divsChild>
        <w:div w:id="1786244">
          <w:marLeft w:val="0"/>
          <w:marRight w:val="0"/>
          <w:marTop w:val="0"/>
          <w:marBottom w:val="0"/>
          <w:divBdr>
            <w:top w:val="none" w:sz="0" w:space="0" w:color="auto"/>
            <w:left w:val="none" w:sz="0" w:space="0" w:color="auto"/>
            <w:bottom w:val="none" w:sz="0" w:space="0" w:color="auto"/>
            <w:right w:val="none" w:sz="0" w:space="0" w:color="auto"/>
          </w:divBdr>
          <w:divsChild>
            <w:div w:id="1512572912">
              <w:marLeft w:val="0"/>
              <w:marRight w:val="0"/>
              <w:marTop w:val="0"/>
              <w:marBottom w:val="0"/>
              <w:divBdr>
                <w:top w:val="none" w:sz="0" w:space="0" w:color="auto"/>
                <w:left w:val="none" w:sz="0" w:space="0" w:color="auto"/>
                <w:bottom w:val="none" w:sz="0" w:space="0" w:color="auto"/>
                <w:right w:val="none" w:sz="0" w:space="0" w:color="auto"/>
              </w:divBdr>
            </w:div>
          </w:divsChild>
        </w:div>
        <w:div w:id="3093718">
          <w:marLeft w:val="0"/>
          <w:marRight w:val="0"/>
          <w:marTop w:val="0"/>
          <w:marBottom w:val="0"/>
          <w:divBdr>
            <w:top w:val="none" w:sz="0" w:space="0" w:color="auto"/>
            <w:left w:val="none" w:sz="0" w:space="0" w:color="auto"/>
            <w:bottom w:val="none" w:sz="0" w:space="0" w:color="auto"/>
            <w:right w:val="none" w:sz="0" w:space="0" w:color="auto"/>
          </w:divBdr>
          <w:divsChild>
            <w:div w:id="1963029605">
              <w:marLeft w:val="0"/>
              <w:marRight w:val="0"/>
              <w:marTop w:val="0"/>
              <w:marBottom w:val="0"/>
              <w:divBdr>
                <w:top w:val="none" w:sz="0" w:space="0" w:color="auto"/>
                <w:left w:val="none" w:sz="0" w:space="0" w:color="auto"/>
                <w:bottom w:val="none" w:sz="0" w:space="0" w:color="auto"/>
                <w:right w:val="none" w:sz="0" w:space="0" w:color="auto"/>
              </w:divBdr>
            </w:div>
          </w:divsChild>
        </w:div>
        <w:div w:id="36322542">
          <w:marLeft w:val="0"/>
          <w:marRight w:val="0"/>
          <w:marTop w:val="0"/>
          <w:marBottom w:val="0"/>
          <w:divBdr>
            <w:top w:val="none" w:sz="0" w:space="0" w:color="auto"/>
            <w:left w:val="none" w:sz="0" w:space="0" w:color="auto"/>
            <w:bottom w:val="none" w:sz="0" w:space="0" w:color="auto"/>
            <w:right w:val="none" w:sz="0" w:space="0" w:color="auto"/>
          </w:divBdr>
          <w:divsChild>
            <w:div w:id="1348680655">
              <w:marLeft w:val="0"/>
              <w:marRight w:val="0"/>
              <w:marTop w:val="0"/>
              <w:marBottom w:val="0"/>
              <w:divBdr>
                <w:top w:val="none" w:sz="0" w:space="0" w:color="auto"/>
                <w:left w:val="none" w:sz="0" w:space="0" w:color="auto"/>
                <w:bottom w:val="none" w:sz="0" w:space="0" w:color="auto"/>
                <w:right w:val="none" w:sz="0" w:space="0" w:color="auto"/>
              </w:divBdr>
            </w:div>
          </w:divsChild>
        </w:div>
        <w:div w:id="39212399">
          <w:marLeft w:val="0"/>
          <w:marRight w:val="0"/>
          <w:marTop w:val="0"/>
          <w:marBottom w:val="0"/>
          <w:divBdr>
            <w:top w:val="none" w:sz="0" w:space="0" w:color="auto"/>
            <w:left w:val="none" w:sz="0" w:space="0" w:color="auto"/>
            <w:bottom w:val="none" w:sz="0" w:space="0" w:color="auto"/>
            <w:right w:val="none" w:sz="0" w:space="0" w:color="auto"/>
          </w:divBdr>
          <w:divsChild>
            <w:div w:id="891386952">
              <w:marLeft w:val="0"/>
              <w:marRight w:val="0"/>
              <w:marTop w:val="0"/>
              <w:marBottom w:val="0"/>
              <w:divBdr>
                <w:top w:val="none" w:sz="0" w:space="0" w:color="auto"/>
                <w:left w:val="none" w:sz="0" w:space="0" w:color="auto"/>
                <w:bottom w:val="none" w:sz="0" w:space="0" w:color="auto"/>
                <w:right w:val="none" w:sz="0" w:space="0" w:color="auto"/>
              </w:divBdr>
            </w:div>
          </w:divsChild>
        </w:div>
        <w:div w:id="67461294">
          <w:marLeft w:val="0"/>
          <w:marRight w:val="0"/>
          <w:marTop w:val="0"/>
          <w:marBottom w:val="0"/>
          <w:divBdr>
            <w:top w:val="none" w:sz="0" w:space="0" w:color="auto"/>
            <w:left w:val="none" w:sz="0" w:space="0" w:color="auto"/>
            <w:bottom w:val="none" w:sz="0" w:space="0" w:color="auto"/>
            <w:right w:val="none" w:sz="0" w:space="0" w:color="auto"/>
          </w:divBdr>
          <w:divsChild>
            <w:div w:id="1416393209">
              <w:marLeft w:val="0"/>
              <w:marRight w:val="0"/>
              <w:marTop w:val="0"/>
              <w:marBottom w:val="0"/>
              <w:divBdr>
                <w:top w:val="none" w:sz="0" w:space="0" w:color="auto"/>
                <w:left w:val="none" w:sz="0" w:space="0" w:color="auto"/>
                <w:bottom w:val="none" w:sz="0" w:space="0" w:color="auto"/>
                <w:right w:val="none" w:sz="0" w:space="0" w:color="auto"/>
              </w:divBdr>
            </w:div>
          </w:divsChild>
        </w:div>
        <w:div w:id="69931885">
          <w:marLeft w:val="0"/>
          <w:marRight w:val="0"/>
          <w:marTop w:val="0"/>
          <w:marBottom w:val="0"/>
          <w:divBdr>
            <w:top w:val="none" w:sz="0" w:space="0" w:color="auto"/>
            <w:left w:val="none" w:sz="0" w:space="0" w:color="auto"/>
            <w:bottom w:val="none" w:sz="0" w:space="0" w:color="auto"/>
            <w:right w:val="none" w:sz="0" w:space="0" w:color="auto"/>
          </w:divBdr>
          <w:divsChild>
            <w:div w:id="144588881">
              <w:marLeft w:val="0"/>
              <w:marRight w:val="0"/>
              <w:marTop w:val="0"/>
              <w:marBottom w:val="0"/>
              <w:divBdr>
                <w:top w:val="none" w:sz="0" w:space="0" w:color="auto"/>
                <w:left w:val="none" w:sz="0" w:space="0" w:color="auto"/>
                <w:bottom w:val="none" w:sz="0" w:space="0" w:color="auto"/>
                <w:right w:val="none" w:sz="0" w:space="0" w:color="auto"/>
              </w:divBdr>
            </w:div>
          </w:divsChild>
        </w:div>
        <w:div w:id="104810780">
          <w:marLeft w:val="0"/>
          <w:marRight w:val="0"/>
          <w:marTop w:val="0"/>
          <w:marBottom w:val="0"/>
          <w:divBdr>
            <w:top w:val="none" w:sz="0" w:space="0" w:color="auto"/>
            <w:left w:val="none" w:sz="0" w:space="0" w:color="auto"/>
            <w:bottom w:val="none" w:sz="0" w:space="0" w:color="auto"/>
            <w:right w:val="none" w:sz="0" w:space="0" w:color="auto"/>
          </w:divBdr>
          <w:divsChild>
            <w:div w:id="2007660436">
              <w:marLeft w:val="0"/>
              <w:marRight w:val="0"/>
              <w:marTop w:val="0"/>
              <w:marBottom w:val="0"/>
              <w:divBdr>
                <w:top w:val="none" w:sz="0" w:space="0" w:color="auto"/>
                <w:left w:val="none" w:sz="0" w:space="0" w:color="auto"/>
                <w:bottom w:val="none" w:sz="0" w:space="0" w:color="auto"/>
                <w:right w:val="none" w:sz="0" w:space="0" w:color="auto"/>
              </w:divBdr>
            </w:div>
          </w:divsChild>
        </w:div>
        <w:div w:id="111747625">
          <w:marLeft w:val="0"/>
          <w:marRight w:val="0"/>
          <w:marTop w:val="0"/>
          <w:marBottom w:val="0"/>
          <w:divBdr>
            <w:top w:val="none" w:sz="0" w:space="0" w:color="auto"/>
            <w:left w:val="none" w:sz="0" w:space="0" w:color="auto"/>
            <w:bottom w:val="none" w:sz="0" w:space="0" w:color="auto"/>
            <w:right w:val="none" w:sz="0" w:space="0" w:color="auto"/>
          </w:divBdr>
          <w:divsChild>
            <w:div w:id="910699003">
              <w:marLeft w:val="0"/>
              <w:marRight w:val="0"/>
              <w:marTop w:val="0"/>
              <w:marBottom w:val="0"/>
              <w:divBdr>
                <w:top w:val="none" w:sz="0" w:space="0" w:color="auto"/>
                <w:left w:val="none" w:sz="0" w:space="0" w:color="auto"/>
                <w:bottom w:val="none" w:sz="0" w:space="0" w:color="auto"/>
                <w:right w:val="none" w:sz="0" w:space="0" w:color="auto"/>
              </w:divBdr>
            </w:div>
          </w:divsChild>
        </w:div>
        <w:div w:id="117719599">
          <w:marLeft w:val="0"/>
          <w:marRight w:val="0"/>
          <w:marTop w:val="0"/>
          <w:marBottom w:val="0"/>
          <w:divBdr>
            <w:top w:val="none" w:sz="0" w:space="0" w:color="auto"/>
            <w:left w:val="none" w:sz="0" w:space="0" w:color="auto"/>
            <w:bottom w:val="none" w:sz="0" w:space="0" w:color="auto"/>
            <w:right w:val="none" w:sz="0" w:space="0" w:color="auto"/>
          </w:divBdr>
          <w:divsChild>
            <w:div w:id="116679657">
              <w:marLeft w:val="0"/>
              <w:marRight w:val="0"/>
              <w:marTop w:val="0"/>
              <w:marBottom w:val="0"/>
              <w:divBdr>
                <w:top w:val="none" w:sz="0" w:space="0" w:color="auto"/>
                <w:left w:val="none" w:sz="0" w:space="0" w:color="auto"/>
                <w:bottom w:val="none" w:sz="0" w:space="0" w:color="auto"/>
                <w:right w:val="none" w:sz="0" w:space="0" w:color="auto"/>
              </w:divBdr>
            </w:div>
          </w:divsChild>
        </w:div>
        <w:div w:id="135608727">
          <w:marLeft w:val="0"/>
          <w:marRight w:val="0"/>
          <w:marTop w:val="0"/>
          <w:marBottom w:val="0"/>
          <w:divBdr>
            <w:top w:val="none" w:sz="0" w:space="0" w:color="auto"/>
            <w:left w:val="none" w:sz="0" w:space="0" w:color="auto"/>
            <w:bottom w:val="none" w:sz="0" w:space="0" w:color="auto"/>
            <w:right w:val="none" w:sz="0" w:space="0" w:color="auto"/>
          </w:divBdr>
          <w:divsChild>
            <w:div w:id="227573155">
              <w:marLeft w:val="0"/>
              <w:marRight w:val="0"/>
              <w:marTop w:val="0"/>
              <w:marBottom w:val="0"/>
              <w:divBdr>
                <w:top w:val="none" w:sz="0" w:space="0" w:color="auto"/>
                <w:left w:val="none" w:sz="0" w:space="0" w:color="auto"/>
                <w:bottom w:val="none" w:sz="0" w:space="0" w:color="auto"/>
                <w:right w:val="none" w:sz="0" w:space="0" w:color="auto"/>
              </w:divBdr>
            </w:div>
          </w:divsChild>
        </w:div>
        <w:div w:id="146557478">
          <w:marLeft w:val="0"/>
          <w:marRight w:val="0"/>
          <w:marTop w:val="0"/>
          <w:marBottom w:val="0"/>
          <w:divBdr>
            <w:top w:val="none" w:sz="0" w:space="0" w:color="auto"/>
            <w:left w:val="none" w:sz="0" w:space="0" w:color="auto"/>
            <w:bottom w:val="none" w:sz="0" w:space="0" w:color="auto"/>
            <w:right w:val="none" w:sz="0" w:space="0" w:color="auto"/>
          </w:divBdr>
          <w:divsChild>
            <w:div w:id="2074114817">
              <w:marLeft w:val="0"/>
              <w:marRight w:val="0"/>
              <w:marTop w:val="0"/>
              <w:marBottom w:val="0"/>
              <w:divBdr>
                <w:top w:val="none" w:sz="0" w:space="0" w:color="auto"/>
                <w:left w:val="none" w:sz="0" w:space="0" w:color="auto"/>
                <w:bottom w:val="none" w:sz="0" w:space="0" w:color="auto"/>
                <w:right w:val="none" w:sz="0" w:space="0" w:color="auto"/>
              </w:divBdr>
            </w:div>
          </w:divsChild>
        </w:div>
        <w:div w:id="154995713">
          <w:marLeft w:val="0"/>
          <w:marRight w:val="0"/>
          <w:marTop w:val="0"/>
          <w:marBottom w:val="0"/>
          <w:divBdr>
            <w:top w:val="none" w:sz="0" w:space="0" w:color="auto"/>
            <w:left w:val="none" w:sz="0" w:space="0" w:color="auto"/>
            <w:bottom w:val="none" w:sz="0" w:space="0" w:color="auto"/>
            <w:right w:val="none" w:sz="0" w:space="0" w:color="auto"/>
          </w:divBdr>
          <w:divsChild>
            <w:div w:id="1877346255">
              <w:marLeft w:val="0"/>
              <w:marRight w:val="0"/>
              <w:marTop w:val="0"/>
              <w:marBottom w:val="0"/>
              <w:divBdr>
                <w:top w:val="none" w:sz="0" w:space="0" w:color="auto"/>
                <w:left w:val="none" w:sz="0" w:space="0" w:color="auto"/>
                <w:bottom w:val="none" w:sz="0" w:space="0" w:color="auto"/>
                <w:right w:val="none" w:sz="0" w:space="0" w:color="auto"/>
              </w:divBdr>
            </w:div>
          </w:divsChild>
        </w:div>
        <w:div w:id="208305643">
          <w:marLeft w:val="0"/>
          <w:marRight w:val="0"/>
          <w:marTop w:val="0"/>
          <w:marBottom w:val="0"/>
          <w:divBdr>
            <w:top w:val="none" w:sz="0" w:space="0" w:color="auto"/>
            <w:left w:val="none" w:sz="0" w:space="0" w:color="auto"/>
            <w:bottom w:val="none" w:sz="0" w:space="0" w:color="auto"/>
            <w:right w:val="none" w:sz="0" w:space="0" w:color="auto"/>
          </w:divBdr>
          <w:divsChild>
            <w:div w:id="1242719106">
              <w:marLeft w:val="0"/>
              <w:marRight w:val="0"/>
              <w:marTop w:val="0"/>
              <w:marBottom w:val="0"/>
              <w:divBdr>
                <w:top w:val="none" w:sz="0" w:space="0" w:color="auto"/>
                <w:left w:val="none" w:sz="0" w:space="0" w:color="auto"/>
                <w:bottom w:val="none" w:sz="0" w:space="0" w:color="auto"/>
                <w:right w:val="none" w:sz="0" w:space="0" w:color="auto"/>
              </w:divBdr>
            </w:div>
          </w:divsChild>
        </w:div>
        <w:div w:id="211119769">
          <w:marLeft w:val="0"/>
          <w:marRight w:val="0"/>
          <w:marTop w:val="0"/>
          <w:marBottom w:val="0"/>
          <w:divBdr>
            <w:top w:val="none" w:sz="0" w:space="0" w:color="auto"/>
            <w:left w:val="none" w:sz="0" w:space="0" w:color="auto"/>
            <w:bottom w:val="none" w:sz="0" w:space="0" w:color="auto"/>
            <w:right w:val="none" w:sz="0" w:space="0" w:color="auto"/>
          </w:divBdr>
          <w:divsChild>
            <w:div w:id="1125851686">
              <w:marLeft w:val="0"/>
              <w:marRight w:val="0"/>
              <w:marTop w:val="0"/>
              <w:marBottom w:val="0"/>
              <w:divBdr>
                <w:top w:val="none" w:sz="0" w:space="0" w:color="auto"/>
                <w:left w:val="none" w:sz="0" w:space="0" w:color="auto"/>
                <w:bottom w:val="none" w:sz="0" w:space="0" w:color="auto"/>
                <w:right w:val="none" w:sz="0" w:space="0" w:color="auto"/>
              </w:divBdr>
            </w:div>
          </w:divsChild>
        </w:div>
        <w:div w:id="215312538">
          <w:marLeft w:val="0"/>
          <w:marRight w:val="0"/>
          <w:marTop w:val="0"/>
          <w:marBottom w:val="0"/>
          <w:divBdr>
            <w:top w:val="none" w:sz="0" w:space="0" w:color="auto"/>
            <w:left w:val="none" w:sz="0" w:space="0" w:color="auto"/>
            <w:bottom w:val="none" w:sz="0" w:space="0" w:color="auto"/>
            <w:right w:val="none" w:sz="0" w:space="0" w:color="auto"/>
          </w:divBdr>
          <w:divsChild>
            <w:div w:id="1760710128">
              <w:marLeft w:val="0"/>
              <w:marRight w:val="0"/>
              <w:marTop w:val="0"/>
              <w:marBottom w:val="0"/>
              <w:divBdr>
                <w:top w:val="none" w:sz="0" w:space="0" w:color="auto"/>
                <w:left w:val="none" w:sz="0" w:space="0" w:color="auto"/>
                <w:bottom w:val="none" w:sz="0" w:space="0" w:color="auto"/>
                <w:right w:val="none" w:sz="0" w:space="0" w:color="auto"/>
              </w:divBdr>
            </w:div>
          </w:divsChild>
        </w:div>
        <w:div w:id="228468631">
          <w:marLeft w:val="0"/>
          <w:marRight w:val="0"/>
          <w:marTop w:val="0"/>
          <w:marBottom w:val="0"/>
          <w:divBdr>
            <w:top w:val="none" w:sz="0" w:space="0" w:color="auto"/>
            <w:left w:val="none" w:sz="0" w:space="0" w:color="auto"/>
            <w:bottom w:val="none" w:sz="0" w:space="0" w:color="auto"/>
            <w:right w:val="none" w:sz="0" w:space="0" w:color="auto"/>
          </w:divBdr>
          <w:divsChild>
            <w:div w:id="936866871">
              <w:marLeft w:val="0"/>
              <w:marRight w:val="0"/>
              <w:marTop w:val="0"/>
              <w:marBottom w:val="0"/>
              <w:divBdr>
                <w:top w:val="none" w:sz="0" w:space="0" w:color="auto"/>
                <w:left w:val="none" w:sz="0" w:space="0" w:color="auto"/>
                <w:bottom w:val="none" w:sz="0" w:space="0" w:color="auto"/>
                <w:right w:val="none" w:sz="0" w:space="0" w:color="auto"/>
              </w:divBdr>
            </w:div>
          </w:divsChild>
        </w:div>
        <w:div w:id="264776172">
          <w:marLeft w:val="0"/>
          <w:marRight w:val="0"/>
          <w:marTop w:val="0"/>
          <w:marBottom w:val="0"/>
          <w:divBdr>
            <w:top w:val="none" w:sz="0" w:space="0" w:color="auto"/>
            <w:left w:val="none" w:sz="0" w:space="0" w:color="auto"/>
            <w:bottom w:val="none" w:sz="0" w:space="0" w:color="auto"/>
            <w:right w:val="none" w:sz="0" w:space="0" w:color="auto"/>
          </w:divBdr>
          <w:divsChild>
            <w:div w:id="571045286">
              <w:marLeft w:val="0"/>
              <w:marRight w:val="0"/>
              <w:marTop w:val="0"/>
              <w:marBottom w:val="0"/>
              <w:divBdr>
                <w:top w:val="none" w:sz="0" w:space="0" w:color="auto"/>
                <w:left w:val="none" w:sz="0" w:space="0" w:color="auto"/>
                <w:bottom w:val="none" w:sz="0" w:space="0" w:color="auto"/>
                <w:right w:val="none" w:sz="0" w:space="0" w:color="auto"/>
              </w:divBdr>
            </w:div>
          </w:divsChild>
        </w:div>
        <w:div w:id="274335077">
          <w:marLeft w:val="0"/>
          <w:marRight w:val="0"/>
          <w:marTop w:val="0"/>
          <w:marBottom w:val="0"/>
          <w:divBdr>
            <w:top w:val="none" w:sz="0" w:space="0" w:color="auto"/>
            <w:left w:val="none" w:sz="0" w:space="0" w:color="auto"/>
            <w:bottom w:val="none" w:sz="0" w:space="0" w:color="auto"/>
            <w:right w:val="none" w:sz="0" w:space="0" w:color="auto"/>
          </w:divBdr>
          <w:divsChild>
            <w:div w:id="1947074717">
              <w:marLeft w:val="0"/>
              <w:marRight w:val="0"/>
              <w:marTop w:val="0"/>
              <w:marBottom w:val="0"/>
              <w:divBdr>
                <w:top w:val="none" w:sz="0" w:space="0" w:color="auto"/>
                <w:left w:val="none" w:sz="0" w:space="0" w:color="auto"/>
                <w:bottom w:val="none" w:sz="0" w:space="0" w:color="auto"/>
                <w:right w:val="none" w:sz="0" w:space="0" w:color="auto"/>
              </w:divBdr>
            </w:div>
          </w:divsChild>
        </w:div>
        <w:div w:id="291251230">
          <w:marLeft w:val="0"/>
          <w:marRight w:val="0"/>
          <w:marTop w:val="0"/>
          <w:marBottom w:val="0"/>
          <w:divBdr>
            <w:top w:val="none" w:sz="0" w:space="0" w:color="auto"/>
            <w:left w:val="none" w:sz="0" w:space="0" w:color="auto"/>
            <w:bottom w:val="none" w:sz="0" w:space="0" w:color="auto"/>
            <w:right w:val="none" w:sz="0" w:space="0" w:color="auto"/>
          </w:divBdr>
          <w:divsChild>
            <w:div w:id="304506654">
              <w:marLeft w:val="0"/>
              <w:marRight w:val="0"/>
              <w:marTop w:val="0"/>
              <w:marBottom w:val="0"/>
              <w:divBdr>
                <w:top w:val="none" w:sz="0" w:space="0" w:color="auto"/>
                <w:left w:val="none" w:sz="0" w:space="0" w:color="auto"/>
                <w:bottom w:val="none" w:sz="0" w:space="0" w:color="auto"/>
                <w:right w:val="none" w:sz="0" w:space="0" w:color="auto"/>
              </w:divBdr>
            </w:div>
          </w:divsChild>
        </w:div>
        <w:div w:id="292098366">
          <w:marLeft w:val="0"/>
          <w:marRight w:val="0"/>
          <w:marTop w:val="0"/>
          <w:marBottom w:val="0"/>
          <w:divBdr>
            <w:top w:val="none" w:sz="0" w:space="0" w:color="auto"/>
            <w:left w:val="none" w:sz="0" w:space="0" w:color="auto"/>
            <w:bottom w:val="none" w:sz="0" w:space="0" w:color="auto"/>
            <w:right w:val="none" w:sz="0" w:space="0" w:color="auto"/>
          </w:divBdr>
          <w:divsChild>
            <w:div w:id="353966219">
              <w:marLeft w:val="0"/>
              <w:marRight w:val="0"/>
              <w:marTop w:val="0"/>
              <w:marBottom w:val="0"/>
              <w:divBdr>
                <w:top w:val="none" w:sz="0" w:space="0" w:color="auto"/>
                <w:left w:val="none" w:sz="0" w:space="0" w:color="auto"/>
                <w:bottom w:val="none" w:sz="0" w:space="0" w:color="auto"/>
                <w:right w:val="none" w:sz="0" w:space="0" w:color="auto"/>
              </w:divBdr>
            </w:div>
          </w:divsChild>
        </w:div>
        <w:div w:id="298531425">
          <w:marLeft w:val="0"/>
          <w:marRight w:val="0"/>
          <w:marTop w:val="0"/>
          <w:marBottom w:val="0"/>
          <w:divBdr>
            <w:top w:val="none" w:sz="0" w:space="0" w:color="auto"/>
            <w:left w:val="none" w:sz="0" w:space="0" w:color="auto"/>
            <w:bottom w:val="none" w:sz="0" w:space="0" w:color="auto"/>
            <w:right w:val="none" w:sz="0" w:space="0" w:color="auto"/>
          </w:divBdr>
          <w:divsChild>
            <w:div w:id="321860842">
              <w:marLeft w:val="0"/>
              <w:marRight w:val="0"/>
              <w:marTop w:val="0"/>
              <w:marBottom w:val="0"/>
              <w:divBdr>
                <w:top w:val="none" w:sz="0" w:space="0" w:color="auto"/>
                <w:left w:val="none" w:sz="0" w:space="0" w:color="auto"/>
                <w:bottom w:val="none" w:sz="0" w:space="0" w:color="auto"/>
                <w:right w:val="none" w:sz="0" w:space="0" w:color="auto"/>
              </w:divBdr>
            </w:div>
          </w:divsChild>
        </w:div>
        <w:div w:id="306323630">
          <w:marLeft w:val="0"/>
          <w:marRight w:val="0"/>
          <w:marTop w:val="0"/>
          <w:marBottom w:val="0"/>
          <w:divBdr>
            <w:top w:val="none" w:sz="0" w:space="0" w:color="auto"/>
            <w:left w:val="none" w:sz="0" w:space="0" w:color="auto"/>
            <w:bottom w:val="none" w:sz="0" w:space="0" w:color="auto"/>
            <w:right w:val="none" w:sz="0" w:space="0" w:color="auto"/>
          </w:divBdr>
          <w:divsChild>
            <w:div w:id="1604799834">
              <w:marLeft w:val="0"/>
              <w:marRight w:val="0"/>
              <w:marTop w:val="0"/>
              <w:marBottom w:val="0"/>
              <w:divBdr>
                <w:top w:val="none" w:sz="0" w:space="0" w:color="auto"/>
                <w:left w:val="none" w:sz="0" w:space="0" w:color="auto"/>
                <w:bottom w:val="none" w:sz="0" w:space="0" w:color="auto"/>
                <w:right w:val="none" w:sz="0" w:space="0" w:color="auto"/>
              </w:divBdr>
            </w:div>
          </w:divsChild>
        </w:div>
        <w:div w:id="311326964">
          <w:marLeft w:val="0"/>
          <w:marRight w:val="0"/>
          <w:marTop w:val="0"/>
          <w:marBottom w:val="0"/>
          <w:divBdr>
            <w:top w:val="none" w:sz="0" w:space="0" w:color="auto"/>
            <w:left w:val="none" w:sz="0" w:space="0" w:color="auto"/>
            <w:bottom w:val="none" w:sz="0" w:space="0" w:color="auto"/>
            <w:right w:val="none" w:sz="0" w:space="0" w:color="auto"/>
          </w:divBdr>
          <w:divsChild>
            <w:div w:id="1313757344">
              <w:marLeft w:val="0"/>
              <w:marRight w:val="0"/>
              <w:marTop w:val="0"/>
              <w:marBottom w:val="0"/>
              <w:divBdr>
                <w:top w:val="none" w:sz="0" w:space="0" w:color="auto"/>
                <w:left w:val="none" w:sz="0" w:space="0" w:color="auto"/>
                <w:bottom w:val="none" w:sz="0" w:space="0" w:color="auto"/>
                <w:right w:val="none" w:sz="0" w:space="0" w:color="auto"/>
              </w:divBdr>
            </w:div>
          </w:divsChild>
        </w:div>
        <w:div w:id="311565994">
          <w:marLeft w:val="0"/>
          <w:marRight w:val="0"/>
          <w:marTop w:val="0"/>
          <w:marBottom w:val="0"/>
          <w:divBdr>
            <w:top w:val="none" w:sz="0" w:space="0" w:color="auto"/>
            <w:left w:val="none" w:sz="0" w:space="0" w:color="auto"/>
            <w:bottom w:val="none" w:sz="0" w:space="0" w:color="auto"/>
            <w:right w:val="none" w:sz="0" w:space="0" w:color="auto"/>
          </w:divBdr>
          <w:divsChild>
            <w:div w:id="81881296">
              <w:marLeft w:val="0"/>
              <w:marRight w:val="0"/>
              <w:marTop w:val="0"/>
              <w:marBottom w:val="0"/>
              <w:divBdr>
                <w:top w:val="none" w:sz="0" w:space="0" w:color="auto"/>
                <w:left w:val="none" w:sz="0" w:space="0" w:color="auto"/>
                <w:bottom w:val="none" w:sz="0" w:space="0" w:color="auto"/>
                <w:right w:val="none" w:sz="0" w:space="0" w:color="auto"/>
              </w:divBdr>
            </w:div>
          </w:divsChild>
        </w:div>
        <w:div w:id="332688889">
          <w:marLeft w:val="0"/>
          <w:marRight w:val="0"/>
          <w:marTop w:val="0"/>
          <w:marBottom w:val="0"/>
          <w:divBdr>
            <w:top w:val="none" w:sz="0" w:space="0" w:color="auto"/>
            <w:left w:val="none" w:sz="0" w:space="0" w:color="auto"/>
            <w:bottom w:val="none" w:sz="0" w:space="0" w:color="auto"/>
            <w:right w:val="none" w:sz="0" w:space="0" w:color="auto"/>
          </w:divBdr>
          <w:divsChild>
            <w:div w:id="294454603">
              <w:marLeft w:val="0"/>
              <w:marRight w:val="0"/>
              <w:marTop w:val="0"/>
              <w:marBottom w:val="0"/>
              <w:divBdr>
                <w:top w:val="none" w:sz="0" w:space="0" w:color="auto"/>
                <w:left w:val="none" w:sz="0" w:space="0" w:color="auto"/>
                <w:bottom w:val="none" w:sz="0" w:space="0" w:color="auto"/>
                <w:right w:val="none" w:sz="0" w:space="0" w:color="auto"/>
              </w:divBdr>
            </w:div>
          </w:divsChild>
        </w:div>
        <w:div w:id="336620721">
          <w:marLeft w:val="0"/>
          <w:marRight w:val="0"/>
          <w:marTop w:val="0"/>
          <w:marBottom w:val="0"/>
          <w:divBdr>
            <w:top w:val="none" w:sz="0" w:space="0" w:color="auto"/>
            <w:left w:val="none" w:sz="0" w:space="0" w:color="auto"/>
            <w:bottom w:val="none" w:sz="0" w:space="0" w:color="auto"/>
            <w:right w:val="none" w:sz="0" w:space="0" w:color="auto"/>
          </w:divBdr>
          <w:divsChild>
            <w:div w:id="912009636">
              <w:marLeft w:val="0"/>
              <w:marRight w:val="0"/>
              <w:marTop w:val="0"/>
              <w:marBottom w:val="0"/>
              <w:divBdr>
                <w:top w:val="none" w:sz="0" w:space="0" w:color="auto"/>
                <w:left w:val="none" w:sz="0" w:space="0" w:color="auto"/>
                <w:bottom w:val="none" w:sz="0" w:space="0" w:color="auto"/>
                <w:right w:val="none" w:sz="0" w:space="0" w:color="auto"/>
              </w:divBdr>
            </w:div>
          </w:divsChild>
        </w:div>
        <w:div w:id="342440021">
          <w:marLeft w:val="0"/>
          <w:marRight w:val="0"/>
          <w:marTop w:val="0"/>
          <w:marBottom w:val="0"/>
          <w:divBdr>
            <w:top w:val="none" w:sz="0" w:space="0" w:color="auto"/>
            <w:left w:val="none" w:sz="0" w:space="0" w:color="auto"/>
            <w:bottom w:val="none" w:sz="0" w:space="0" w:color="auto"/>
            <w:right w:val="none" w:sz="0" w:space="0" w:color="auto"/>
          </w:divBdr>
          <w:divsChild>
            <w:div w:id="44565324">
              <w:marLeft w:val="0"/>
              <w:marRight w:val="0"/>
              <w:marTop w:val="0"/>
              <w:marBottom w:val="0"/>
              <w:divBdr>
                <w:top w:val="none" w:sz="0" w:space="0" w:color="auto"/>
                <w:left w:val="none" w:sz="0" w:space="0" w:color="auto"/>
                <w:bottom w:val="none" w:sz="0" w:space="0" w:color="auto"/>
                <w:right w:val="none" w:sz="0" w:space="0" w:color="auto"/>
              </w:divBdr>
            </w:div>
          </w:divsChild>
        </w:div>
        <w:div w:id="351149755">
          <w:marLeft w:val="0"/>
          <w:marRight w:val="0"/>
          <w:marTop w:val="0"/>
          <w:marBottom w:val="0"/>
          <w:divBdr>
            <w:top w:val="none" w:sz="0" w:space="0" w:color="auto"/>
            <w:left w:val="none" w:sz="0" w:space="0" w:color="auto"/>
            <w:bottom w:val="none" w:sz="0" w:space="0" w:color="auto"/>
            <w:right w:val="none" w:sz="0" w:space="0" w:color="auto"/>
          </w:divBdr>
          <w:divsChild>
            <w:div w:id="803737315">
              <w:marLeft w:val="0"/>
              <w:marRight w:val="0"/>
              <w:marTop w:val="0"/>
              <w:marBottom w:val="0"/>
              <w:divBdr>
                <w:top w:val="none" w:sz="0" w:space="0" w:color="auto"/>
                <w:left w:val="none" w:sz="0" w:space="0" w:color="auto"/>
                <w:bottom w:val="none" w:sz="0" w:space="0" w:color="auto"/>
                <w:right w:val="none" w:sz="0" w:space="0" w:color="auto"/>
              </w:divBdr>
            </w:div>
          </w:divsChild>
        </w:div>
        <w:div w:id="361712379">
          <w:marLeft w:val="0"/>
          <w:marRight w:val="0"/>
          <w:marTop w:val="0"/>
          <w:marBottom w:val="0"/>
          <w:divBdr>
            <w:top w:val="none" w:sz="0" w:space="0" w:color="auto"/>
            <w:left w:val="none" w:sz="0" w:space="0" w:color="auto"/>
            <w:bottom w:val="none" w:sz="0" w:space="0" w:color="auto"/>
            <w:right w:val="none" w:sz="0" w:space="0" w:color="auto"/>
          </w:divBdr>
          <w:divsChild>
            <w:div w:id="857231997">
              <w:marLeft w:val="0"/>
              <w:marRight w:val="0"/>
              <w:marTop w:val="0"/>
              <w:marBottom w:val="0"/>
              <w:divBdr>
                <w:top w:val="none" w:sz="0" w:space="0" w:color="auto"/>
                <w:left w:val="none" w:sz="0" w:space="0" w:color="auto"/>
                <w:bottom w:val="none" w:sz="0" w:space="0" w:color="auto"/>
                <w:right w:val="none" w:sz="0" w:space="0" w:color="auto"/>
              </w:divBdr>
            </w:div>
          </w:divsChild>
        </w:div>
        <w:div w:id="370499786">
          <w:marLeft w:val="0"/>
          <w:marRight w:val="0"/>
          <w:marTop w:val="0"/>
          <w:marBottom w:val="0"/>
          <w:divBdr>
            <w:top w:val="none" w:sz="0" w:space="0" w:color="auto"/>
            <w:left w:val="none" w:sz="0" w:space="0" w:color="auto"/>
            <w:bottom w:val="none" w:sz="0" w:space="0" w:color="auto"/>
            <w:right w:val="none" w:sz="0" w:space="0" w:color="auto"/>
          </w:divBdr>
          <w:divsChild>
            <w:div w:id="1521502834">
              <w:marLeft w:val="0"/>
              <w:marRight w:val="0"/>
              <w:marTop w:val="0"/>
              <w:marBottom w:val="0"/>
              <w:divBdr>
                <w:top w:val="none" w:sz="0" w:space="0" w:color="auto"/>
                <w:left w:val="none" w:sz="0" w:space="0" w:color="auto"/>
                <w:bottom w:val="none" w:sz="0" w:space="0" w:color="auto"/>
                <w:right w:val="none" w:sz="0" w:space="0" w:color="auto"/>
              </w:divBdr>
            </w:div>
          </w:divsChild>
        </w:div>
        <w:div w:id="384914790">
          <w:marLeft w:val="0"/>
          <w:marRight w:val="0"/>
          <w:marTop w:val="0"/>
          <w:marBottom w:val="0"/>
          <w:divBdr>
            <w:top w:val="none" w:sz="0" w:space="0" w:color="auto"/>
            <w:left w:val="none" w:sz="0" w:space="0" w:color="auto"/>
            <w:bottom w:val="none" w:sz="0" w:space="0" w:color="auto"/>
            <w:right w:val="none" w:sz="0" w:space="0" w:color="auto"/>
          </w:divBdr>
          <w:divsChild>
            <w:div w:id="370884383">
              <w:marLeft w:val="0"/>
              <w:marRight w:val="0"/>
              <w:marTop w:val="0"/>
              <w:marBottom w:val="0"/>
              <w:divBdr>
                <w:top w:val="none" w:sz="0" w:space="0" w:color="auto"/>
                <w:left w:val="none" w:sz="0" w:space="0" w:color="auto"/>
                <w:bottom w:val="none" w:sz="0" w:space="0" w:color="auto"/>
                <w:right w:val="none" w:sz="0" w:space="0" w:color="auto"/>
              </w:divBdr>
            </w:div>
          </w:divsChild>
        </w:div>
        <w:div w:id="403570944">
          <w:marLeft w:val="0"/>
          <w:marRight w:val="0"/>
          <w:marTop w:val="0"/>
          <w:marBottom w:val="0"/>
          <w:divBdr>
            <w:top w:val="none" w:sz="0" w:space="0" w:color="auto"/>
            <w:left w:val="none" w:sz="0" w:space="0" w:color="auto"/>
            <w:bottom w:val="none" w:sz="0" w:space="0" w:color="auto"/>
            <w:right w:val="none" w:sz="0" w:space="0" w:color="auto"/>
          </w:divBdr>
          <w:divsChild>
            <w:div w:id="2078556051">
              <w:marLeft w:val="0"/>
              <w:marRight w:val="0"/>
              <w:marTop w:val="0"/>
              <w:marBottom w:val="0"/>
              <w:divBdr>
                <w:top w:val="none" w:sz="0" w:space="0" w:color="auto"/>
                <w:left w:val="none" w:sz="0" w:space="0" w:color="auto"/>
                <w:bottom w:val="none" w:sz="0" w:space="0" w:color="auto"/>
                <w:right w:val="none" w:sz="0" w:space="0" w:color="auto"/>
              </w:divBdr>
            </w:div>
          </w:divsChild>
        </w:div>
        <w:div w:id="415518237">
          <w:marLeft w:val="0"/>
          <w:marRight w:val="0"/>
          <w:marTop w:val="0"/>
          <w:marBottom w:val="0"/>
          <w:divBdr>
            <w:top w:val="none" w:sz="0" w:space="0" w:color="auto"/>
            <w:left w:val="none" w:sz="0" w:space="0" w:color="auto"/>
            <w:bottom w:val="none" w:sz="0" w:space="0" w:color="auto"/>
            <w:right w:val="none" w:sz="0" w:space="0" w:color="auto"/>
          </w:divBdr>
          <w:divsChild>
            <w:div w:id="917834980">
              <w:marLeft w:val="0"/>
              <w:marRight w:val="0"/>
              <w:marTop w:val="0"/>
              <w:marBottom w:val="0"/>
              <w:divBdr>
                <w:top w:val="none" w:sz="0" w:space="0" w:color="auto"/>
                <w:left w:val="none" w:sz="0" w:space="0" w:color="auto"/>
                <w:bottom w:val="none" w:sz="0" w:space="0" w:color="auto"/>
                <w:right w:val="none" w:sz="0" w:space="0" w:color="auto"/>
              </w:divBdr>
            </w:div>
          </w:divsChild>
        </w:div>
        <w:div w:id="428088314">
          <w:marLeft w:val="0"/>
          <w:marRight w:val="0"/>
          <w:marTop w:val="0"/>
          <w:marBottom w:val="0"/>
          <w:divBdr>
            <w:top w:val="none" w:sz="0" w:space="0" w:color="auto"/>
            <w:left w:val="none" w:sz="0" w:space="0" w:color="auto"/>
            <w:bottom w:val="none" w:sz="0" w:space="0" w:color="auto"/>
            <w:right w:val="none" w:sz="0" w:space="0" w:color="auto"/>
          </w:divBdr>
          <w:divsChild>
            <w:div w:id="754715446">
              <w:marLeft w:val="0"/>
              <w:marRight w:val="0"/>
              <w:marTop w:val="0"/>
              <w:marBottom w:val="0"/>
              <w:divBdr>
                <w:top w:val="none" w:sz="0" w:space="0" w:color="auto"/>
                <w:left w:val="none" w:sz="0" w:space="0" w:color="auto"/>
                <w:bottom w:val="none" w:sz="0" w:space="0" w:color="auto"/>
                <w:right w:val="none" w:sz="0" w:space="0" w:color="auto"/>
              </w:divBdr>
            </w:div>
          </w:divsChild>
        </w:div>
        <w:div w:id="498691860">
          <w:marLeft w:val="0"/>
          <w:marRight w:val="0"/>
          <w:marTop w:val="0"/>
          <w:marBottom w:val="0"/>
          <w:divBdr>
            <w:top w:val="none" w:sz="0" w:space="0" w:color="auto"/>
            <w:left w:val="none" w:sz="0" w:space="0" w:color="auto"/>
            <w:bottom w:val="none" w:sz="0" w:space="0" w:color="auto"/>
            <w:right w:val="none" w:sz="0" w:space="0" w:color="auto"/>
          </w:divBdr>
          <w:divsChild>
            <w:div w:id="88239102">
              <w:marLeft w:val="0"/>
              <w:marRight w:val="0"/>
              <w:marTop w:val="0"/>
              <w:marBottom w:val="0"/>
              <w:divBdr>
                <w:top w:val="none" w:sz="0" w:space="0" w:color="auto"/>
                <w:left w:val="none" w:sz="0" w:space="0" w:color="auto"/>
                <w:bottom w:val="none" w:sz="0" w:space="0" w:color="auto"/>
                <w:right w:val="none" w:sz="0" w:space="0" w:color="auto"/>
              </w:divBdr>
            </w:div>
          </w:divsChild>
        </w:div>
        <w:div w:id="499009091">
          <w:marLeft w:val="0"/>
          <w:marRight w:val="0"/>
          <w:marTop w:val="0"/>
          <w:marBottom w:val="0"/>
          <w:divBdr>
            <w:top w:val="none" w:sz="0" w:space="0" w:color="auto"/>
            <w:left w:val="none" w:sz="0" w:space="0" w:color="auto"/>
            <w:bottom w:val="none" w:sz="0" w:space="0" w:color="auto"/>
            <w:right w:val="none" w:sz="0" w:space="0" w:color="auto"/>
          </w:divBdr>
          <w:divsChild>
            <w:div w:id="1738937663">
              <w:marLeft w:val="0"/>
              <w:marRight w:val="0"/>
              <w:marTop w:val="0"/>
              <w:marBottom w:val="0"/>
              <w:divBdr>
                <w:top w:val="none" w:sz="0" w:space="0" w:color="auto"/>
                <w:left w:val="none" w:sz="0" w:space="0" w:color="auto"/>
                <w:bottom w:val="none" w:sz="0" w:space="0" w:color="auto"/>
                <w:right w:val="none" w:sz="0" w:space="0" w:color="auto"/>
              </w:divBdr>
            </w:div>
          </w:divsChild>
        </w:div>
        <w:div w:id="501744044">
          <w:marLeft w:val="0"/>
          <w:marRight w:val="0"/>
          <w:marTop w:val="0"/>
          <w:marBottom w:val="0"/>
          <w:divBdr>
            <w:top w:val="none" w:sz="0" w:space="0" w:color="auto"/>
            <w:left w:val="none" w:sz="0" w:space="0" w:color="auto"/>
            <w:bottom w:val="none" w:sz="0" w:space="0" w:color="auto"/>
            <w:right w:val="none" w:sz="0" w:space="0" w:color="auto"/>
          </w:divBdr>
          <w:divsChild>
            <w:div w:id="961880094">
              <w:marLeft w:val="0"/>
              <w:marRight w:val="0"/>
              <w:marTop w:val="0"/>
              <w:marBottom w:val="0"/>
              <w:divBdr>
                <w:top w:val="none" w:sz="0" w:space="0" w:color="auto"/>
                <w:left w:val="none" w:sz="0" w:space="0" w:color="auto"/>
                <w:bottom w:val="none" w:sz="0" w:space="0" w:color="auto"/>
                <w:right w:val="none" w:sz="0" w:space="0" w:color="auto"/>
              </w:divBdr>
            </w:div>
          </w:divsChild>
        </w:div>
        <w:div w:id="502471147">
          <w:marLeft w:val="0"/>
          <w:marRight w:val="0"/>
          <w:marTop w:val="0"/>
          <w:marBottom w:val="0"/>
          <w:divBdr>
            <w:top w:val="none" w:sz="0" w:space="0" w:color="auto"/>
            <w:left w:val="none" w:sz="0" w:space="0" w:color="auto"/>
            <w:bottom w:val="none" w:sz="0" w:space="0" w:color="auto"/>
            <w:right w:val="none" w:sz="0" w:space="0" w:color="auto"/>
          </w:divBdr>
          <w:divsChild>
            <w:div w:id="351299088">
              <w:marLeft w:val="0"/>
              <w:marRight w:val="0"/>
              <w:marTop w:val="0"/>
              <w:marBottom w:val="0"/>
              <w:divBdr>
                <w:top w:val="none" w:sz="0" w:space="0" w:color="auto"/>
                <w:left w:val="none" w:sz="0" w:space="0" w:color="auto"/>
                <w:bottom w:val="none" w:sz="0" w:space="0" w:color="auto"/>
                <w:right w:val="none" w:sz="0" w:space="0" w:color="auto"/>
              </w:divBdr>
            </w:div>
          </w:divsChild>
        </w:div>
        <w:div w:id="536702747">
          <w:marLeft w:val="0"/>
          <w:marRight w:val="0"/>
          <w:marTop w:val="0"/>
          <w:marBottom w:val="0"/>
          <w:divBdr>
            <w:top w:val="none" w:sz="0" w:space="0" w:color="auto"/>
            <w:left w:val="none" w:sz="0" w:space="0" w:color="auto"/>
            <w:bottom w:val="none" w:sz="0" w:space="0" w:color="auto"/>
            <w:right w:val="none" w:sz="0" w:space="0" w:color="auto"/>
          </w:divBdr>
          <w:divsChild>
            <w:div w:id="764810989">
              <w:marLeft w:val="0"/>
              <w:marRight w:val="0"/>
              <w:marTop w:val="0"/>
              <w:marBottom w:val="0"/>
              <w:divBdr>
                <w:top w:val="none" w:sz="0" w:space="0" w:color="auto"/>
                <w:left w:val="none" w:sz="0" w:space="0" w:color="auto"/>
                <w:bottom w:val="none" w:sz="0" w:space="0" w:color="auto"/>
                <w:right w:val="none" w:sz="0" w:space="0" w:color="auto"/>
              </w:divBdr>
            </w:div>
          </w:divsChild>
        </w:div>
        <w:div w:id="561137297">
          <w:marLeft w:val="0"/>
          <w:marRight w:val="0"/>
          <w:marTop w:val="0"/>
          <w:marBottom w:val="0"/>
          <w:divBdr>
            <w:top w:val="none" w:sz="0" w:space="0" w:color="auto"/>
            <w:left w:val="none" w:sz="0" w:space="0" w:color="auto"/>
            <w:bottom w:val="none" w:sz="0" w:space="0" w:color="auto"/>
            <w:right w:val="none" w:sz="0" w:space="0" w:color="auto"/>
          </w:divBdr>
          <w:divsChild>
            <w:div w:id="340426622">
              <w:marLeft w:val="0"/>
              <w:marRight w:val="0"/>
              <w:marTop w:val="0"/>
              <w:marBottom w:val="0"/>
              <w:divBdr>
                <w:top w:val="none" w:sz="0" w:space="0" w:color="auto"/>
                <w:left w:val="none" w:sz="0" w:space="0" w:color="auto"/>
                <w:bottom w:val="none" w:sz="0" w:space="0" w:color="auto"/>
                <w:right w:val="none" w:sz="0" w:space="0" w:color="auto"/>
              </w:divBdr>
            </w:div>
          </w:divsChild>
        </w:div>
        <w:div w:id="562059984">
          <w:marLeft w:val="0"/>
          <w:marRight w:val="0"/>
          <w:marTop w:val="0"/>
          <w:marBottom w:val="0"/>
          <w:divBdr>
            <w:top w:val="none" w:sz="0" w:space="0" w:color="auto"/>
            <w:left w:val="none" w:sz="0" w:space="0" w:color="auto"/>
            <w:bottom w:val="none" w:sz="0" w:space="0" w:color="auto"/>
            <w:right w:val="none" w:sz="0" w:space="0" w:color="auto"/>
          </w:divBdr>
          <w:divsChild>
            <w:div w:id="1828278876">
              <w:marLeft w:val="0"/>
              <w:marRight w:val="0"/>
              <w:marTop w:val="0"/>
              <w:marBottom w:val="0"/>
              <w:divBdr>
                <w:top w:val="none" w:sz="0" w:space="0" w:color="auto"/>
                <w:left w:val="none" w:sz="0" w:space="0" w:color="auto"/>
                <w:bottom w:val="none" w:sz="0" w:space="0" w:color="auto"/>
                <w:right w:val="none" w:sz="0" w:space="0" w:color="auto"/>
              </w:divBdr>
            </w:div>
          </w:divsChild>
        </w:div>
        <w:div w:id="574704557">
          <w:marLeft w:val="0"/>
          <w:marRight w:val="0"/>
          <w:marTop w:val="0"/>
          <w:marBottom w:val="0"/>
          <w:divBdr>
            <w:top w:val="none" w:sz="0" w:space="0" w:color="auto"/>
            <w:left w:val="none" w:sz="0" w:space="0" w:color="auto"/>
            <w:bottom w:val="none" w:sz="0" w:space="0" w:color="auto"/>
            <w:right w:val="none" w:sz="0" w:space="0" w:color="auto"/>
          </w:divBdr>
          <w:divsChild>
            <w:div w:id="1809468906">
              <w:marLeft w:val="0"/>
              <w:marRight w:val="0"/>
              <w:marTop w:val="0"/>
              <w:marBottom w:val="0"/>
              <w:divBdr>
                <w:top w:val="none" w:sz="0" w:space="0" w:color="auto"/>
                <w:left w:val="none" w:sz="0" w:space="0" w:color="auto"/>
                <w:bottom w:val="none" w:sz="0" w:space="0" w:color="auto"/>
                <w:right w:val="none" w:sz="0" w:space="0" w:color="auto"/>
              </w:divBdr>
            </w:div>
          </w:divsChild>
        </w:div>
        <w:div w:id="598417582">
          <w:marLeft w:val="0"/>
          <w:marRight w:val="0"/>
          <w:marTop w:val="0"/>
          <w:marBottom w:val="0"/>
          <w:divBdr>
            <w:top w:val="none" w:sz="0" w:space="0" w:color="auto"/>
            <w:left w:val="none" w:sz="0" w:space="0" w:color="auto"/>
            <w:bottom w:val="none" w:sz="0" w:space="0" w:color="auto"/>
            <w:right w:val="none" w:sz="0" w:space="0" w:color="auto"/>
          </w:divBdr>
          <w:divsChild>
            <w:div w:id="1288896866">
              <w:marLeft w:val="0"/>
              <w:marRight w:val="0"/>
              <w:marTop w:val="0"/>
              <w:marBottom w:val="0"/>
              <w:divBdr>
                <w:top w:val="none" w:sz="0" w:space="0" w:color="auto"/>
                <w:left w:val="none" w:sz="0" w:space="0" w:color="auto"/>
                <w:bottom w:val="none" w:sz="0" w:space="0" w:color="auto"/>
                <w:right w:val="none" w:sz="0" w:space="0" w:color="auto"/>
              </w:divBdr>
            </w:div>
          </w:divsChild>
        </w:div>
        <w:div w:id="638606928">
          <w:marLeft w:val="0"/>
          <w:marRight w:val="0"/>
          <w:marTop w:val="0"/>
          <w:marBottom w:val="0"/>
          <w:divBdr>
            <w:top w:val="none" w:sz="0" w:space="0" w:color="auto"/>
            <w:left w:val="none" w:sz="0" w:space="0" w:color="auto"/>
            <w:bottom w:val="none" w:sz="0" w:space="0" w:color="auto"/>
            <w:right w:val="none" w:sz="0" w:space="0" w:color="auto"/>
          </w:divBdr>
          <w:divsChild>
            <w:div w:id="1873180278">
              <w:marLeft w:val="0"/>
              <w:marRight w:val="0"/>
              <w:marTop w:val="0"/>
              <w:marBottom w:val="0"/>
              <w:divBdr>
                <w:top w:val="none" w:sz="0" w:space="0" w:color="auto"/>
                <w:left w:val="none" w:sz="0" w:space="0" w:color="auto"/>
                <w:bottom w:val="none" w:sz="0" w:space="0" w:color="auto"/>
                <w:right w:val="none" w:sz="0" w:space="0" w:color="auto"/>
              </w:divBdr>
            </w:div>
          </w:divsChild>
        </w:div>
        <w:div w:id="648899957">
          <w:marLeft w:val="0"/>
          <w:marRight w:val="0"/>
          <w:marTop w:val="0"/>
          <w:marBottom w:val="0"/>
          <w:divBdr>
            <w:top w:val="none" w:sz="0" w:space="0" w:color="auto"/>
            <w:left w:val="none" w:sz="0" w:space="0" w:color="auto"/>
            <w:bottom w:val="none" w:sz="0" w:space="0" w:color="auto"/>
            <w:right w:val="none" w:sz="0" w:space="0" w:color="auto"/>
          </w:divBdr>
          <w:divsChild>
            <w:div w:id="1431466443">
              <w:marLeft w:val="0"/>
              <w:marRight w:val="0"/>
              <w:marTop w:val="0"/>
              <w:marBottom w:val="0"/>
              <w:divBdr>
                <w:top w:val="none" w:sz="0" w:space="0" w:color="auto"/>
                <w:left w:val="none" w:sz="0" w:space="0" w:color="auto"/>
                <w:bottom w:val="none" w:sz="0" w:space="0" w:color="auto"/>
                <w:right w:val="none" w:sz="0" w:space="0" w:color="auto"/>
              </w:divBdr>
            </w:div>
          </w:divsChild>
        </w:div>
        <w:div w:id="652442167">
          <w:marLeft w:val="0"/>
          <w:marRight w:val="0"/>
          <w:marTop w:val="0"/>
          <w:marBottom w:val="0"/>
          <w:divBdr>
            <w:top w:val="none" w:sz="0" w:space="0" w:color="auto"/>
            <w:left w:val="none" w:sz="0" w:space="0" w:color="auto"/>
            <w:bottom w:val="none" w:sz="0" w:space="0" w:color="auto"/>
            <w:right w:val="none" w:sz="0" w:space="0" w:color="auto"/>
          </w:divBdr>
          <w:divsChild>
            <w:div w:id="1880317172">
              <w:marLeft w:val="0"/>
              <w:marRight w:val="0"/>
              <w:marTop w:val="0"/>
              <w:marBottom w:val="0"/>
              <w:divBdr>
                <w:top w:val="none" w:sz="0" w:space="0" w:color="auto"/>
                <w:left w:val="none" w:sz="0" w:space="0" w:color="auto"/>
                <w:bottom w:val="none" w:sz="0" w:space="0" w:color="auto"/>
                <w:right w:val="none" w:sz="0" w:space="0" w:color="auto"/>
              </w:divBdr>
            </w:div>
          </w:divsChild>
        </w:div>
        <w:div w:id="688990475">
          <w:marLeft w:val="0"/>
          <w:marRight w:val="0"/>
          <w:marTop w:val="0"/>
          <w:marBottom w:val="0"/>
          <w:divBdr>
            <w:top w:val="none" w:sz="0" w:space="0" w:color="auto"/>
            <w:left w:val="none" w:sz="0" w:space="0" w:color="auto"/>
            <w:bottom w:val="none" w:sz="0" w:space="0" w:color="auto"/>
            <w:right w:val="none" w:sz="0" w:space="0" w:color="auto"/>
          </w:divBdr>
          <w:divsChild>
            <w:div w:id="537087820">
              <w:marLeft w:val="0"/>
              <w:marRight w:val="0"/>
              <w:marTop w:val="0"/>
              <w:marBottom w:val="0"/>
              <w:divBdr>
                <w:top w:val="none" w:sz="0" w:space="0" w:color="auto"/>
                <w:left w:val="none" w:sz="0" w:space="0" w:color="auto"/>
                <w:bottom w:val="none" w:sz="0" w:space="0" w:color="auto"/>
                <w:right w:val="none" w:sz="0" w:space="0" w:color="auto"/>
              </w:divBdr>
            </w:div>
          </w:divsChild>
        </w:div>
        <w:div w:id="714890449">
          <w:marLeft w:val="0"/>
          <w:marRight w:val="0"/>
          <w:marTop w:val="0"/>
          <w:marBottom w:val="0"/>
          <w:divBdr>
            <w:top w:val="none" w:sz="0" w:space="0" w:color="auto"/>
            <w:left w:val="none" w:sz="0" w:space="0" w:color="auto"/>
            <w:bottom w:val="none" w:sz="0" w:space="0" w:color="auto"/>
            <w:right w:val="none" w:sz="0" w:space="0" w:color="auto"/>
          </w:divBdr>
          <w:divsChild>
            <w:div w:id="1375546542">
              <w:marLeft w:val="0"/>
              <w:marRight w:val="0"/>
              <w:marTop w:val="0"/>
              <w:marBottom w:val="0"/>
              <w:divBdr>
                <w:top w:val="none" w:sz="0" w:space="0" w:color="auto"/>
                <w:left w:val="none" w:sz="0" w:space="0" w:color="auto"/>
                <w:bottom w:val="none" w:sz="0" w:space="0" w:color="auto"/>
                <w:right w:val="none" w:sz="0" w:space="0" w:color="auto"/>
              </w:divBdr>
            </w:div>
          </w:divsChild>
        </w:div>
        <w:div w:id="718631871">
          <w:marLeft w:val="0"/>
          <w:marRight w:val="0"/>
          <w:marTop w:val="0"/>
          <w:marBottom w:val="0"/>
          <w:divBdr>
            <w:top w:val="none" w:sz="0" w:space="0" w:color="auto"/>
            <w:left w:val="none" w:sz="0" w:space="0" w:color="auto"/>
            <w:bottom w:val="none" w:sz="0" w:space="0" w:color="auto"/>
            <w:right w:val="none" w:sz="0" w:space="0" w:color="auto"/>
          </w:divBdr>
          <w:divsChild>
            <w:div w:id="1938632528">
              <w:marLeft w:val="0"/>
              <w:marRight w:val="0"/>
              <w:marTop w:val="0"/>
              <w:marBottom w:val="0"/>
              <w:divBdr>
                <w:top w:val="none" w:sz="0" w:space="0" w:color="auto"/>
                <w:left w:val="none" w:sz="0" w:space="0" w:color="auto"/>
                <w:bottom w:val="none" w:sz="0" w:space="0" w:color="auto"/>
                <w:right w:val="none" w:sz="0" w:space="0" w:color="auto"/>
              </w:divBdr>
            </w:div>
          </w:divsChild>
        </w:div>
        <w:div w:id="775372792">
          <w:marLeft w:val="0"/>
          <w:marRight w:val="0"/>
          <w:marTop w:val="0"/>
          <w:marBottom w:val="0"/>
          <w:divBdr>
            <w:top w:val="none" w:sz="0" w:space="0" w:color="auto"/>
            <w:left w:val="none" w:sz="0" w:space="0" w:color="auto"/>
            <w:bottom w:val="none" w:sz="0" w:space="0" w:color="auto"/>
            <w:right w:val="none" w:sz="0" w:space="0" w:color="auto"/>
          </w:divBdr>
          <w:divsChild>
            <w:div w:id="494079375">
              <w:marLeft w:val="0"/>
              <w:marRight w:val="0"/>
              <w:marTop w:val="0"/>
              <w:marBottom w:val="0"/>
              <w:divBdr>
                <w:top w:val="none" w:sz="0" w:space="0" w:color="auto"/>
                <w:left w:val="none" w:sz="0" w:space="0" w:color="auto"/>
                <w:bottom w:val="none" w:sz="0" w:space="0" w:color="auto"/>
                <w:right w:val="none" w:sz="0" w:space="0" w:color="auto"/>
              </w:divBdr>
            </w:div>
          </w:divsChild>
        </w:div>
        <w:div w:id="777332776">
          <w:marLeft w:val="0"/>
          <w:marRight w:val="0"/>
          <w:marTop w:val="0"/>
          <w:marBottom w:val="0"/>
          <w:divBdr>
            <w:top w:val="none" w:sz="0" w:space="0" w:color="auto"/>
            <w:left w:val="none" w:sz="0" w:space="0" w:color="auto"/>
            <w:bottom w:val="none" w:sz="0" w:space="0" w:color="auto"/>
            <w:right w:val="none" w:sz="0" w:space="0" w:color="auto"/>
          </w:divBdr>
          <w:divsChild>
            <w:div w:id="1658799574">
              <w:marLeft w:val="0"/>
              <w:marRight w:val="0"/>
              <w:marTop w:val="0"/>
              <w:marBottom w:val="0"/>
              <w:divBdr>
                <w:top w:val="none" w:sz="0" w:space="0" w:color="auto"/>
                <w:left w:val="none" w:sz="0" w:space="0" w:color="auto"/>
                <w:bottom w:val="none" w:sz="0" w:space="0" w:color="auto"/>
                <w:right w:val="none" w:sz="0" w:space="0" w:color="auto"/>
              </w:divBdr>
            </w:div>
          </w:divsChild>
        </w:div>
        <w:div w:id="782916991">
          <w:marLeft w:val="0"/>
          <w:marRight w:val="0"/>
          <w:marTop w:val="0"/>
          <w:marBottom w:val="0"/>
          <w:divBdr>
            <w:top w:val="none" w:sz="0" w:space="0" w:color="auto"/>
            <w:left w:val="none" w:sz="0" w:space="0" w:color="auto"/>
            <w:bottom w:val="none" w:sz="0" w:space="0" w:color="auto"/>
            <w:right w:val="none" w:sz="0" w:space="0" w:color="auto"/>
          </w:divBdr>
          <w:divsChild>
            <w:div w:id="465204380">
              <w:marLeft w:val="0"/>
              <w:marRight w:val="0"/>
              <w:marTop w:val="0"/>
              <w:marBottom w:val="0"/>
              <w:divBdr>
                <w:top w:val="none" w:sz="0" w:space="0" w:color="auto"/>
                <w:left w:val="none" w:sz="0" w:space="0" w:color="auto"/>
                <w:bottom w:val="none" w:sz="0" w:space="0" w:color="auto"/>
                <w:right w:val="none" w:sz="0" w:space="0" w:color="auto"/>
              </w:divBdr>
            </w:div>
          </w:divsChild>
        </w:div>
        <w:div w:id="902520622">
          <w:marLeft w:val="0"/>
          <w:marRight w:val="0"/>
          <w:marTop w:val="0"/>
          <w:marBottom w:val="0"/>
          <w:divBdr>
            <w:top w:val="none" w:sz="0" w:space="0" w:color="auto"/>
            <w:left w:val="none" w:sz="0" w:space="0" w:color="auto"/>
            <w:bottom w:val="none" w:sz="0" w:space="0" w:color="auto"/>
            <w:right w:val="none" w:sz="0" w:space="0" w:color="auto"/>
          </w:divBdr>
          <w:divsChild>
            <w:div w:id="1139809080">
              <w:marLeft w:val="0"/>
              <w:marRight w:val="0"/>
              <w:marTop w:val="0"/>
              <w:marBottom w:val="0"/>
              <w:divBdr>
                <w:top w:val="none" w:sz="0" w:space="0" w:color="auto"/>
                <w:left w:val="none" w:sz="0" w:space="0" w:color="auto"/>
                <w:bottom w:val="none" w:sz="0" w:space="0" w:color="auto"/>
                <w:right w:val="none" w:sz="0" w:space="0" w:color="auto"/>
              </w:divBdr>
            </w:div>
          </w:divsChild>
        </w:div>
        <w:div w:id="909002943">
          <w:marLeft w:val="0"/>
          <w:marRight w:val="0"/>
          <w:marTop w:val="0"/>
          <w:marBottom w:val="0"/>
          <w:divBdr>
            <w:top w:val="none" w:sz="0" w:space="0" w:color="auto"/>
            <w:left w:val="none" w:sz="0" w:space="0" w:color="auto"/>
            <w:bottom w:val="none" w:sz="0" w:space="0" w:color="auto"/>
            <w:right w:val="none" w:sz="0" w:space="0" w:color="auto"/>
          </w:divBdr>
          <w:divsChild>
            <w:div w:id="617222010">
              <w:marLeft w:val="0"/>
              <w:marRight w:val="0"/>
              <w:marTop w:val="0"/>
              <w:marBottom w:val="0"/>
              <w:divBdr>
                <w:top w:val="none" w:sz="0" w:space="0" w:color="auto"/>
                <w:left w:val="none" w:sz="0" w:space="0" w:color="auto"/>
                <w:bottom w:val="none" w:sz="0" w:space="0" w:color="auto"/>
                <w:right w:val="none" w:sz="0" w:space="0" w:color="auto"/>
              </w:divBdr>
            </w:div>
          </w:divsChild>
        </w:div>
        <w:div w:id="918825770">
          <w:marLeft w:val="0"/>
          <w:marRight w:val="0"/>
          <w:marTop w:val="0"/>
          <w:marBottom w:val="0"/>
          <w:divBdr>
            <w:top w:val="none" w:sz="0" w:space="0" w:color="auto"/>
            <w:left w:val="none" w:sz="0" w:space="0" w:color="auto"/>
            <w:bottom w:val="none" w:sz="0" w:space="0" w:color="auto"/>
            <w:right w:val="none" w:sz="0" w:space="0" w:color="auto"/>
          </w:divBdr>
          <w:divsChild>
            <w:div w:id="407312911">
              <w:marLeft w:val="0"/>
              <w:marRight w:val="0"/>
              <w:marTop w:val="0"/>
              <w:marBottom w:val="0"/>
              <w:divBdr>
                <w:top w:val="none" w:sz="0" w:space="0" w:color="auto"/>
                <w:left w:val="none" w:sz="0" w:space="0" w:color="auto"/>
                <w:bottom w:val="none" w:sz="0" w:space="0" w:color="auto"/>
                <w:right w:val="none" w:sz="0" w:space="0" w:color="auto"/>
              </w:divBdr>
            </w:div>
          </w:divsChild>
        </w:div>
        <w:div w:id="954022140">
          <w:marLeft w:val="0"/>
          <w:marRight w:val="0"/>
          <w:marTop w:val="0"/>
          <w:marBottom w:val="0"/>
          <w:divBdr>
            <w:top w:val="none" w:sz="0" w:space="0" w:color="auto"/>
            <w:left w:val="none" w:sz="0" w:space="0" w:color="auto"/>
            <w:bottom w:val="none" w:sz="0" w:space="0" w:color="auto"/>
            <w:right w:val="none" w:sz="0" w:space="0" w:color="auto"/>
          </w:divBdr>
          <w:divsChild>
            <w:div w:id="722674932">
              <w:marLeft w:val="0"/>
              <w:marRight w:val="0"/>
              <w:marTop w:val="0"/>
              <w:marBottom w:val="0"/>
              <w:divBdr>
                <w:top w:val="none" w:sz="0" w:space="0" w:color="auto"/>
                <w:left w:val="none" w:sz="0" w:space="0" w:color="auto"/>
                <w:bottom w:val="none" w:sz="0" w:space="0" w:color="auto"/>
                <w:right w:val="none" w:sz="0" w:space="0" w:color="auto"/>
              </w:divBdr>
            </w:div>
          </w:divsChild>
        </w:div>
        <w:div w:id="954603165">
          <w:marLeft w:val="0"/>
          <w:marRight w:val="0"/>
          <w:marTop w:val="0"/>
          <w:marBottom w:val="0"/>
          <w:divBdr>
            <w:top w:val="none" w:sz="0" w:space="0" w:color="auto"/>
            <w:left w:val="none" w:sz="0" w:space="0" w:color="auto"/>
            <w:bottom w:val="none" w:sz="0" w:space="0" w:color="auto"/>
            <w:right w:val="none" w:sz="0" w:space="0" w:color="auto"/>
          </w:divBdr>
          <w:divsChild>
            <w:div w:id="1559047433">
              <w:marLeft w:val="0"/>
              <w:marRight w:val="0"/>
              <w:marTop w:val="0"/>
              <w:marBottom w:val="0"/>
              <w:divBdr>
                <w:top w:val="none" w:sz="0" w:space="0" w:color="auto"/>
                <w:left w:val="none" w:sz="0" w:space="0" w:color="auto"/>
                <w:bottom w:val="none" w:sz="0" w:space="0" w:color="auto"/>
                <w:right w:val="none" w:sz="0" w:space="0" w:color="auto"/>
              </w:divBdr>
            </w:div>
          </w:divsChild>
        </w:div>
        <w:div w:id="962231012">
          <w:marLeft w:val="0"/>
          <w:marRight w:val="0"/>
          <w:marTop w:val="0"/>
          <w:marBottom w:val="0"/>
          <w:divBdr>
            <w:top w:val="none" w:sz="0" w:space="0" w:color="auto"/>
            <w:left w:val="none" w:sz="0" w:space="0" w:color="auto"/>
            <w:bottom w:val="none" w:sz="0" w:space="0" w:color="auto"/>
            <w:right w:val="none" w:sz="0" w:space="0" w:color="auto"/>
          </w:divBdr>
          <w:divsChild>
            <w:div w:id="173961052">
              <w:marLeft w:val="0"/>
              <w:marRight w:val="0"/>
              <w:marTop w:val="0"/>
              <w:marBottom w:val="0"/>
              <w:divBdr>
                <w:top w:val="none" w:sz="0" w:space="0" w:color="auto"/>
                <w:left w:val="none" w:sz="0" w:space="0" w:color="auto"/>
                <w:bottom w:val="none" w:sz="0" w:space="0" w:color="auto"/>
                <w:right w:val="none" w:sz="0" w:space="0" w:color="auto"/>
              </w:divBdr>
            </w:div>
          </w:divsChild>
        </w:div>
        <w:div w:id="1013651639">
          <w:marLeft w:val="0"/>
          <w:marRight w:val="0"/>
          <w:marTop w:val="0"/>
          <w:marBottom w:val="0"/>
          <w:divBdr>
            <w:top w:val="none" w:sz="0" w:space="0" w:color="auto"/>
            <w:left w:val="none" w:sz="0" w:space="0" w:color="auto"/>
            <w:bottom w:val="none" w:sz="0" w:space="0" w:color="auto"/>
            <w:right w:val="none" w:sz="0" w:space="0" w:color="auto"/>
          </w:divBdr>
          <w:divsChild>
            <w:div w:id="1037000672">
              <w:marLeft w:val="0"/>
              <w:marRight w:val="0"/>
              <w:marTop w:val="0"/>
              <w:marBottom w:val="0"/>
              <w:divBdr>
                <w:top w:val="none" w:sz="0" w:space="0" w:color="auto"/>
                <w:left w:val="none" w:sz="0" w:space="0" w:color="auto"/>
                <w:bottom w:val="none" w:sz="0" w:space="0" w:color="auto"/>
                <w:right w:val="none" w:sz="0" w:space="0" w:color="auto"/>
              </w:divBdr>
            </w:div>
          </w:divsChild>
        </w:div>
        <w:div w:id="1023171580">
          <w:marLeft w:val="0"/>
          <w:marRight w:val="0"/>
          <w:marTop w:val="0"/>
          <w:marBottom w:val="0"/>
          <w:divBdr>
            <w:top w:val="none" w:sz="0" w:space="0" w:color="auto"/>
            <w:left w:val="none" w:sz="0" w:space="0" w:color="auto"/>
            <w:bottom w:val="none" w:sz="0" w:space="0" w:color="auto"/>
            <w:right w:val="none" w:sz="0" w:space="0" w:color="auto"/>
          </w:divBdr>
          <w:divsChild>
            <w:div w:id="308436320">
              <w:marLeft w:val="0"/>
              <w:marRight w:val="0"/>
              <w:marTop w:val="0"/>
              <w:marBottom w:val="0"/>
              <w:divBdr>
                <w:top w:val="none" w:sz="0" w:space="0" w:color="auto"/>
                <w:left w:val="none" w:sz="0" w:space="0" w:color="auto"/>
                <w:bottom w:val="none" w:sz="0" w:space="0" w:color="auto"/>
                <w:right w:val="none" w:sz="0" w:space="0" w:color="auto"/>
              </w:divBdr>
            </w:div>
          </w:divsChild>
        </w:div>
        <w:div w:id="1034845219">
          <w:marLeft w:val="0"/>
          <w:marRight w:val="0"/>
          <w:marTop w:val="0"/>
          <w:marBottom w:val="0"/>
          <w:divBdr>
            <w:top w:val="none" w:sz="0" w:space="0" w:color="auto"/>
            <w:left w:val="none" w:sz="0" w:space="0" w:color="auto"/>
            <w:bottom w:val="none" w:sz="0" w:space="0" w:color="auto"/>
            <w:right w:val="none" w:sz="0" w:space="0" w:color="auto"/>
          </w:divBdr>
          <w:divsChild>
            <w:div w:id="617686714">
              <w:marLeft w:val="0"/>
              <w:marRight w:val="0"/>
              <w:marTop w:val="0"/>
              <w:marBottom w:val="0"/>
              <w:divBdr>
                <w:top w:val="none" w:sz="0" w:space="0" w:color="auto"/>
                <w:left w:val="none" w:sz="0" w:space="0" w:color="auto"/>
                <w:bottom w:val="none" w:sz="0" w:space="0" w:color="auto"/>
                <w:right w:val="none" w:sz="0" w:space="0" w:color="auto"/>
              </w:divBdr>
            </w:div>
          </w:divsChild>
        </w:div>
        <w:div w:id="1037047043">
          <w:marLeft w:val="0"/>
          <w:marRight w:val="0"/>
          <w:marTop w:val="0"/>
          <w:marBottom w:val="0"/>
          <w:divBdr>
            <w:top w:val="none" w:sz="0" w:space="0" w:color="auto"/>
            <w:left w:val="none" w:sz="0" w:space="0" w:color="auto"/>
            <w:bottom w:val="none" w:sz="0" w:space="0" w:color="auto"/>
            <w:right w:val="none" w:sz="0" w:space="0" w:color="auto"/>
          </w:divBdr>
          <w:divsChild>
            <w:div w:id="658654958">
              <w:marLeft w:val="0"/>
              <w:marRight w:val="0"/>
              <w:marTop w:val="0"/>
              <w:marBottom w:val="0"/>
              <w:divBdr>
                <w:top w:val="none" w:sz="0" w:space="0" w:color="auto"/>
                <w:left w:val="none" w:sz="0" w:space="0" w:color="auto"/>
                <w:bottom w:val="none" w:sz="0" w:space="0" w:color="auto"/>
                <w:right w:val="none" w:sz="0" w:space="0" w:color="auto"/>
              </w:divBdr>
            </w:div>
          </w:divsChild>
        </w:div>
        <w:div w:id="1045443457">
          <w:marLeft w:val="0"/>
          <w:marRight w:val="0"/>
          <w:marTop w:val="0"/>
          <w:marBottom w:val="0"/>
          <w:divBdr>
            <w:top w:val="none" w:sz="0" w:space="0" w:color="auto"/>
            <w:left w:val="none" w:sz="0" w:space="0" w:color="auto"/>
            <w:bottom w:val="none" w:sz="0" w:space="0" w:color="auto"/>
            <w:right w:val="none" w:sz="0" w:space="0" w:color="auto"/>
          </w:divBdr>
          <w:divsChild>
            <w:div w:id="595553990">
              <w:marLeft w:val="0"/>
              <w:marRight w:val="0"/>
              <w:marTop w:val="0"/>
              <w:marBottom w:val="0"/>
              <w:divBdr>
                <w:top w:val="none" w:sz="0" w:space="0" w:color="auto"/>
                <w:left w:val="none" w:sz="0" w:space="0" w:color="auto"/>
                <w:bottom w:val="none" w:sz="0" w:space="0" w:color="auto"/>
                <w:right w:val="none" w:sz="0" w:space="0" w:color="auto"/>
              </w:divBdr>
            </w:div>
          </w:divsChild>
        </w:div>
        <w:div w:id="1056708312">
          <w:marLeft w:val="0"/>
          <w:marRight w:val="0"/>
          <w:marTop w:val="0"/>
          <w:marBottom w:val="0"/>
          <w:divBdr>
            <w:top w:val="none" w:sz="0" w:space="0" w:color="auto"/>
            <w:left w:val="none" w:sz="0" w:space="0" w:color="auto"/>
            <w:bottom w:val="none" w:sz="0" w:space="0" w:color="auto"/>
            <w:right w:val="none" w:sz="0" w:space="0" w:color="auto"/>
          </w:divBdr>
          <w:divsChild>
            <w:div w:id="1947496130">
              <w:marLeft w:val="0"/>
              <w:marRight w:val="0"/>
              <w:marTop w:val="0"/>
              <w:marBottom w:val="0"/>
              <w:divBdr>
                <w:top w:val="none" w:sz="0" w:space="0" w:color="auto"/>
                <w:left w:val="none" w:sz="0" w:space="0" w:color="auto"/>
                <w:bottom w:val="none" w:sz="0" w:space="0" w:color="auto"/>
                <w:right w:val="none" w:sz="0" w:space="0" w:color="auto"/>
              </w:divBdr>
            </w:div>
          </w:divsChild>
        </w:div>
        <w:div w:id="1068501190">
          <w:marLeft w:val="0"/>
          <w:marRight w:val="0"/>
          <w:marTop w:val="0"/>
          <w:marBottom w:val="0"/>
          <w:divBdr>
            <w:top w:val="none" w:sz="0" w:space="0" w:color="auto"/>
            <w:left w:val="none" w:sz="0" w:space="0" w:color="auto"/>
            <w:bottom w:val="none" w:sz="0" w:space="0" w:color="auto"/>
            <w:right w:val="none" w:sz="0" w:space="0" w:color="auto"/>
          </w:divBdr>
          <w:divsChild>
            <w:div w:id="1214079385">
              <w:marLeft w:val="0"/>
              <w:marRight w:val="0"/>
              <w:marTop w:val="0"/>
              <w:marBottom w:val="0"/>
              <w:divBdr>
                <w:top w:val="none" w:sz="0" w:space="0" w:color="auto"/>
                <w:left w:val="none" w:sz="0" w:space="0" w:color="auto"/>
                <w:bottom w:val="none" w:sz="0" w:space="0" w:color="auto"/>
                <w:right w:val="none" w:sz="0" w:space="0" w:color="auto"/>
              </w:divBdr>
            </w:div>
          </w:divsChild>
        </w:div>
        <w:div w:id="1088382406">
          <w:marLeft w:val="0"/>
          <w:marRight w:val="0"/>
          <w:marTop w:val="0"/>
          <w:marBottom w:val="0"/>
          <w:divBdr>
            <w:top w:val="none" w:sz="0" w:space="0" w:color="auto"/>
            <w:left w:val="none" w:sz="0" w:space="0" w:color="auto"/>
            <w:bottom w:val="none" w:sz="0" w:space="0" w:color="auto"/>
            <w:right w:val="none" w:sz="0" w:space="0" w:color="auto"/>
          </w:divBdr>
          <w:divsChild>
            <w:div w:id="1463960379">
              <w:marLeft w:val="0"/>
              <w:marRight w:val="0"/>
              <w:marTop w:val="0"/>
              <w:marBottom w:val="0"/>
              <w:divBdr>
                <w:top w:val="none" w:sz="0" w:space="0" w:color="auto"/>
                <w:left w:val="none" w:sz="0" w:space="0" w:color="auto"/>
                <w:bottom w:val="none" w:sz="0" w:space="0" w:color="auto"/>
                <w:right w:val="none" w:sz="0" w:space="0" w:color="auto"/>
              </w:divBdr>
            </w:div>
          </w:divsChild>
        </w:div>
        <w:div w:id="1093041713">
          <w:marLeft w:val="0"/>
          <w:marRight w:val="0"/>
          <w:marTop w:val="0"/>
          <w:marBottom w:val="0"/>
          <w:divBdr>
            <w:top w:val="none" w:sz="0" w:space="0" w:color="auto"/>
            <w:left w:val="none" w:sz="0" w:space="0" w:color="auto"/>
            <w:bottom w:val="none" w:sz="0" w:space="0" w:color="auto"/>
            <w:right w:val="none" w:sz="0" w:space="0" w:color="auto"/>
          </w:divBdr>
          <w:divsChild>
            <w:div w:id="760033098">
              <w:marLeft w:val="0"/>
              <w:marRight w:val="0"/>
              <w:marTop w:val="0"/>
              <w:marBottom w:val="0"/>
              <w:divBdr>
                <w:top w:val="none" w:sz="0" w:space="0" w:color="auto"/>
                <w:left w:val="none" w:sz="0" w:space="0" w:color="auto"/>
                <w:bottom w:val="none" w:sz="0" w:space="0" w:color="auto"/>
                <w:right w:val="none" w:sz="0" w:space="0" w:color="auto"/>
              </w:divBdr>
            </w:div>
          </w:divsChild>
        </w:div>
        <w:div w:id="1116019242">
          <w:marLeft w:val="0"/>
          <w:marRight w:val="0"/>
          <w:marTop w:val="0"/>
          <w:marBottom w:val="0"/>
          <w:divBdr>
            <w:top w:val="none" w:sz="0" w:space="0" w:color="auto"/>
            <w:left w:val="none" w:sz="0" w:space="0" w:color="auto"/>
            <w:bottom w:val="none" w:sz="0" w:space="0" w:color="auto"/>
            <w:right w:val="none" w:sz="0" w:space="0" w:color="auto"/>
          </w:divBdr>
          <w:divsChild>
            <w:div w:id="1701588934">
              <w:marLeft w:val="0"/>
              <w:marRight w:val="0"/>
              <w:marTop w:val="0"/>
              <w:marBottom w:val="0"/>
              <w:divBdr>
                <w:top w:val="none" w:sz="0" w:space="0" w:color="auto"/>
                <w:left w:val="none" w:sz="0" w:space="0" w:color="auto"/>
                <w:bottom w:val="none" w:sz="0" w:space="0" w:color="auto"/>
                <w:right w:val="none" w:sz="0" w:space="0" w:color="auto"/>
              </w:divBdr>
            </w:div>
          </w:divsChild>
        </w:div>
        <w:div w:id="1131285858">
          <w:marLeft w:val="0"/>
          <w:marRight w:val="0"/>
          <w:marTop w:val="0"/>
          <w:marBottom w:val="0"/>
          <w:divBdr>
            <w:top w:val="none" w:sz="0" w:space="0" w:color="auto"/>
            <w:left w:val="none" w:sz="0" w:space="0" w:color="auto"/>
            <w:bottom w:val="none" w:sz="0" w:space="0" w:color="auto"/>
            <w:right w:val="none" w:sz="0" w:space="0" w:color="auto"/>
          </w:divBdr>
          <w:divsChild>
            <w:div w:id="1462573350">
              <w:marLeft w:val="0"/>
              <w:marRight w:val="0"/>
              <w:marTop w:val="0"/>
              <w:marBottom w:val="0"/>
              <w:divBdr>
                <w:top w:val="none" w:sz="0" w:space="0" w:color="auto"/>
                <w:left w:val="none" w:sz="0" w:space="0" w:color="auto"/>
                <w:bottom w:val="none" w:sz="0" w:space="0" w:color="auto"/>
                <w:right w:val="none" w:sz="0" w:space="0" w:color="auto"/>
              </w:divBdr>
            </w:div>
          </w:divsChild>
        </w:div>
        <w:div w:id="1149597073">
          <w:marLeft w:val="0"/>
          <w:marRight w:val="0"/>
          <w:marTop w:val="0"/>
          <w:marBottom w:val="0"/>
          <w:divBdr>
            <w:top w:val="none" w:sz="0" w:space="0" w:color="auto"/>
            <w:left w:val="none" w:sz="0" w:space="0" w:color="auto"/>
            <w:bottom w:val="none" w:sz="0" w:space="0" w:color="auto"/>
            <w:right w:val="none" w:sz="0" w:space="0" w:color="auto"/>
          </w:divBdr>
          <w:divsChild>
            <w:div w:id="1348872210">
              <w:marLeft w:val="0"/>
              <w:marRight w:val="0"/>
              <w:marTop w:val="0"/>
              <w:marBottom w:val="0"/>
              <w:divBdr>
                <w:top w:val="none" w:sz="0" w:space="0" w:color="auto"/>
                <w:left w:val="none" w:sz="0" w:space="0" w:color="auto"/>
                <w:bottom w:val="none" w:sz="0" w:space="0" w:color="auto"/>
                <w:right w:val="none" w:sz="0" w:space="0" w:color="auto"/>
              </w:divBdr>
            </w:div>
          </w:divsChild>
        </w:div>
        <w:div w:id="1156461421">
          <w:marLeft w:val="0"/>
          <w:marRight w:val="0"/>
          <w:marTop w:val="0"/>
          <w:marBottom w:val="0"/>
          <w:divBdr>
            <w:top w:val="none" w:sz="0" w:space="0" w:color="auto"/>
            <w:left w:val="none" w:sz="0" w:space="0" w:color="auto"/>
            <w:bottom w:val="none" w:sz="0" w:space="0" w:color="auto"/>
            <w:right w:val="none" w:sz="0" w:space="0" w:color="auto"/>
          </w:divBdr>
          <w:divsChild>
            <w:div w:id="1532259167">
              <w:marLeft w:val="0"/>
              <w:marRight w:val="0"/>
              <w:marTop w:val="0"/>
              <w:marBottom w:val="0"/>
              <w:divBdr>
                <w:top w:val="none" w:sz="0" w:space="0" w:color="auto"/>
                <w:left w:val="none" w:sz="0" w:space="0" w:color="auto"/>
                <w:bottom w:val="none" w:sz="0" w:space="0" w:color="auto"/>
                <w:right w:val="none" w:sz="0" w:space="0" w:color="auto"/>
              </w:divBdr>
            </w:div>
          </w:divsChild>
        </w:div>
        <w:div w:id="1164928657">
          <w:marLeft w:val="0"/>
          <w:marRight w:val="0"/>
          <w:marTop w:val="0"/>
          <w:marBottom w:val="0"/>
          <w:divBdr>
            <w:top w:val="none" w:sz="0" w:space="0" w:color="auto"/>
            <w:left w:val="none" w:sz="0" w:space="0" w:color="auto"/>
            <w:bottom w:val="none" w:sz="0" w:space="0" w:color="auto"/>
            <w:right w:val="none" w:sz="0" w:space="0" w:color="auto"/>
          </w:divBdr>
          <w:divsChild>
            <w:div w:id="1049302923">
              <w:marLeft w:val="0"/>
              <w:marRight w:val="0"/>
              <w:marTop w:val="0"/>
              <w:marBottom w:val="0"/>
              <w:divBdr>
                <w:top w:val="none" w:sz="0" w:space="0" w:color="auto"/>
                <w:left w:val="none" w:sz="0" w:space="0" w:color="auto"/>
                <w:bottom w:val="none" w:sz="0" w:space="0" w:color="auto"/>
                <w:right w:val="none" w:sz="0" w:space="0" w:color="auto"/>
              </w:divBdr>
            </w:div>
          </w:divsChild>
        </w:div>
        <w:div w:id="1171799886">
          <w:marLeft w:val="0"/>
          <w:marRight w:val="0"/>
          <w:marTop w:val="0"/>
          <w:marBottom w:val="0"/>
          <w:divBdr>
            <w:top w:val="none" w:sz="0" w:space="0" w:color="auto"/>
            <w:left w:val="none" w:sz="0" w:space="0" w:color="auto"/>
            <w:bottom w:val="none" w:sz="0" w:space="0" w:color="auto"/>
            <w:right w:val="none" w:sz="0" w:space="0" w:color="auto"/>
          </w:divBdr>
          <w:divsChild>
            <w:div w:id="1140733287">
              <w:marLeft w:val="0"/>
              <w:marRight w:val="0"/>
              <w:marTop w:val="0"/>
              <w:marBottom w:val="0"/>
              <w:divBdr>
                <w:top w:val="none" w:sz="0" w:space="0" w:color="auto"/>
                <w:left w:val="none" w:sz="0" w:space="0" w:color="auto"/>
                <w:bottom w:val="none" w:sz="0" w:space="0" w:color="auto"/>
                <w:right w:val="none" w:sz="0" w:space="0" w:color="auto"/>
              </w:divBdr>
            </w:div>
          </w:divsChild>
        </w:div>
        <w:div w:id="1225069184">
          <w:marLeft w:val="0"/>
          <w:marRight w:val="0"/>
          <w:marTop w:val="0"/>
          <w:marBottom w:val="0"/>
          <w:divBdr>
            <w:top w:val="none" w:sz="0" w:space="0" w:color="auto"/>
            <w:left w:val="none" w:sz="0" w:space="0" w:color="auto"/>
            <w:bottom w:val="none" w:sz="0" w:space="0" w:color="auto"/>
            <w:right w:val="none" w:sz="0" w:space="0" w:color="auto"/>
          </w:divBdr>
          <w:divsChild>
            <w:div w:id="983923849">
              <w:marLeft w:val="0"/>
              <w:marRight w:val="0"/>
              <w:marTop w:val="0"/>
              <w:marBottom w:val="0"/>
              <w:divBdr>
                <w:top w:val="none" w:sz="0" w:space="0" w:color="auto"/>
                <w:left w:val="none" w:sz="0" w:space="0" w:color="auto"/>
                <w:bottom w:val="none" w:sz="0" w:space="0" w:color="auto"/>
                <w:right w:val="none" w:sz="0" w:space="0" w:color="auto"/>
              </w:divBdr>
            </w:div>
          </w:divsChild>
        </w:div>
        <w:div w:id="1262105575">
          <w:marLeft w:val="0"/>
          <w:marRight w:val="0"/>
          <w:marTop w:val="0"/>
          <w:marBottom w:val="0"/>
          <w:divBdr>
            <w:top w:val="none" w:sz="0" w:space="0" w:color="auto"/>
            <w:left w:val="none" w:sz="0" w:space="0" w:color="auto"/>
            <w:bottom w:val="none" w:sz="0" w:space="0" w:color="auto"/>
            <w:right w:val="none" w:sz="0" w:space="0" w:color="auto"/>
          </w:divBdr>
          <w:divsChild>
            <w:div w:id="29452360">
              <w:marLeft w:val="0"/>
              <w:marRight w:val="0"/>
              <w:marTop w:val="0"/>
              <w:marBottom w:val="0"/>
              <w:divBdr>
                <w:top w:val="none" w:sz="0" w:space="0" w:color="auto"/>
                <w:left w:val="none" w:sz="0" w:space="0" w:color="auto"/>
                <w:bottom w:val="none" w:sz="0" w:space="0" w:color="auto"/>
                <w:right w:val="none" w:sz="0" w:space="0" w:color="auto"/>
              </w:divBdr>
            </w:div>
          </w:divsChild>
        </w:div>
        <w:div w:id="1286037339">
          <w:marLeft w:val="0"/>
          <w:marRight w:val="0"/>
          <w:marTop w:val="0"/>
          <w:marBottom w:val="0"/>
          <w:divBdr>
            <w:top w:val="none" w:sz="0" w:space="0" w:color="auto"/>
            <w:left w:val="none" w:sz="0" w:space="0" w:color="auto"/>
            <w:bottom w:val="none" w:sz="0" w:space="0" w:color="auto"/>
            <w:right w:val="none" w:sz="0" w:space="0" w:color="auto"/>
          </w:divBdr>
          <w:divsChild>
            <w:div w:id="1496725209">
              <w:marLeft w:val="0"/>
              <w:marRight w:val="0"/>
              <w:marTop w:val="0"/>
              <w:marBottom w:val="0"/>
              <w:divBdr>
                <w:top w:val="none" w:sz="0" w:space="0" w:color="auto"/>
                <w:left w:val="none" w:sz="0" w:space="0" w:color="auto"/>
                <w:bottom w:val="none" w:sz="0" w:space="0" w:color="auto"/>
                <w:right w:val="none" w:sz="0" w:space="0" w:color="auto"/>
              </w:divBdr>
            </w:div>
          </w:divsChild>
        </w:div>
        <w:div w:id="1290862715">
          <w:marLeft w:val="0"/>
          <w:marRight w:val="0"/>
          <w:marTop w:val="0"/>
          <w:marBottom w:val="0"/>
          <w:divBdr>
            <w:top w:val="none" w:sz="0" w:space="0" w:color="auto"/>
            <w:left w:val="none" w:sz="0" w:space="0" w:color="auto"/>
            <w:bottom w:val="none" w:sz="0" w:space="0" w:color="auto"/>
            <w:right w:val="none" w:sz="0" w:space="0" w:color="auto"/>
          </w:divBdr>
          <w:divsChild>
            <w:div w:id="88039229">
              <w:marLeft w:val="0"/>
              <w:marRight w:val="0"/>
              <w:marTop w:val="0"/>
              <w:marBottom w:val="0"/>
              <w:divBdr>
                <w:top w:val="none" w:sz="0" w:space="0" w:color="auto"/>
                <w:left w:val="none" w:sz="0" w:space="0" w:color="auto"/>
                <w:bottom w:val="none" w:sz="0" w:space="0" w:color="auto"/>
                <w:right w:val="none" w:sz="0" w:space="0" w:color="auto"/>
              </w:divBdr>
            </w:div>
          </w:divsChild>
        </w:div>
        <w:div w:id="1293751812">
          <w:marLeft w:val="0"/>
          <w:marRight w:val="0"/>
          <w:marTop w:val="0"/>
          <w:marBottom w:val="0"/>
          <w:divBdr>
            <w:top w:val="none" w:sz="0" w:space="0" w:color="auto"/>
            <w:left w:val="none" w:sz="0" w:space="0" w:color="auto"/>
            <w:bottom w:val="none" w:sz="0" w:space="0" w:color="auto"/>
            <w:right w:val="none" w:sz="0" w:space="0" w:color="auto"/>
          </w:divBdr>
          <w:divsChild>
            <w:div w:id="1447969578">
              <w:marLeft w:val="0"/>
              <w:marRight w:val="0"/>
              <w:marTop w:val="0"/>
              <w:marBottom w:val="0"/>
              <w:divBdr>
                <w:top w:val="none" w:sz="0" w:space="0" w:color="auto"/>
                <w:left w:val="none" w:sz="0" w:space="0" w:color="auto"/>
                <w:bottom w:val="none" w:sz="0" w:space="0" w:color="auto"/>
                <w:right w:val="none" w:sz="0" w:space="0" w:color="auto"/>
              </w:divBdr>
            </w:div>
          </w:divsChild>
        </w:div>
        <w:div w:id="1305509126">
          <w:marLeft w:val="0"/>
          <w:marRight w:val="0"/>
          <w:marTop w:val="0"/>
          <w:marBottom w:val="0"/>
          <w:divBdr>
            <w:top w:val="none" w:sz="0" w:space="0" w:color="auto"/>
            <w:left w:val="none" w:sz="0" w:space="0" w:color="auto"/>
            <w:bottom w:val="none" w:sz="0" w:space="0" w:color="auto"/>
            <w:right w:val="none" w:sz="0" w:space="0" w:color="auto"/>
          </w:divBdr>
          <w:divsChild>
            <w:div w:id="553348149">
              <w:marLeft w:val="0"/>
              <w:marRight w:val="0"/>
              <w:marTop w:val="0"/>
              <w:marBottom w:val="0"/>
              <w:divBdr>
                <w:top w:val="none" w:sz="0" w:space="0" w:color="auto"/>
                <w:left w:val="none" w:sz="0" w:space="0" w:color="auto"/>
                <w:bottom w:val="none" w:sz="0" w:space="0" w:color="auto"/>
                <w:right w:val="none" w:sz="0" w:space="0" w:color="auto"/>
              </w:divBdr>
            </w:div>
          </w:divsChild>
        </w:div>
        <w:div w:id="1324429219">
          <w:marLeft w:val="0"/>
          <w:marRight w:val="0"/>
          <w:marTop w:val="0"/>
          <w:marBottom w:val="0"/>
          <w:divBdr>
            <w:top w:val="none" w:sz="0" w:space="0" w:color="auto"/>
            <w:left w:val="none" w:sz="0" w:space="0" w:color="auto"/>
            <w:bottom w:val="none" w:sz="0" w:space="0" w:color="auto"/>
            <w:right w:val="none" w:sz="0" w:space="0" w:color="auto"/>
          </w:divBdr>
          <w:divsChild>
            <w:div w:id="1048187267">
              <w:marLeft w:val="0"/>
              <w:marRight w:val="0"/>
              <w:marTop w:val="0"/>
              <w:marBottom w:val="0"/>
              <w:divBdr>
                <w:top w:val="none" w:sz="0" w:space="0" w:color="auto"/>
                <w:left w:val="none" w:sz="0" w:space="0" w:color="auto"/>
                <w:bottom w:val="none" w:sz="0" w:space="0" w:color="auto"/>
                <w:right w:val="none" w:sz="0" w:space="0" w:color="auto"/>
              </w:divBdr>
            </w:div>
          </w:divsChild>
        </w:div>
        <w:div w:id="1328555231">
          <w:marLeft w:val="0"/>
          <w:marRight w:val="0"/>
          <w:marTop w:val="0"/>
          <w:marBottom w:val="0"/>
          <w:divBdr>
            <w:top w:val="none" w:sz="0" w:space="0" w:color="auto"/>
            <w:left w:val="none" w:sz="0" w:space="0" w:color="auto"/>
            <w:bottom w:val="none" w:sz="0" w:space="0" w:color="auto"/>
            <w:right w:val="none" w:sz="0" w:space="0" w:color="auto"/>
          </w:divBdr>
          <w:divsChild>
            <w:div w:id="1149522305">
              <w:marLeft w:val="0"/>
              <w:marRight w:val="0"/>
              <w:marTop w:val="0"/>
              <w:marBottom w:val="0"/>
              <w:divBdr>
                <w:top w:val="none" w:sz="0" w:space="0" w:color="auto"/>
                <w:left w:val="none" w:sz="0" w:space="0" w:color="auto"/>
                <w:bottom w:val="none" w:sz="0" w:space="0" w:color="auto"/>
                <w:right w:val="none" w:sz="0" w:space="0" w:color="auto"/>
              </w:divBdr>
            </w:div>
          </w:divsChild>
        </w:div>
        <w:div w:id="1350251596">
          <w:marLeft w:val="0"/>
          <w:marRight w:val="0"/>
          <w:marTop w:val="0"/>
          <w:marBottom w:val="0"/>
          <w:divBdr>
            <w:top w:val="none" w:sz="0" w:space="0" w:color="auto"/>
            <w:left w:val="none" w:sz="0" w:space="0" w:color="auto"/>
            <w:bottom w:val="none" w:sz="0" w:space="0" w:color="auto"/>
            <w:right w:val="none" w:sz="0" w:space="0" w:color="auto"/>
          </w:divBdr>
          <w:divsChild>
            <w:div w:id="1557282389">
              <w:marLeft w:val="0"/>
              <w:marRight w:val="0"/>
              <w:marTop w:val="0"/>
              <w:marBottom w:val="0"/>
              <w:divBdr>
                <w:top w:val="none" w:sz="0" w:space="0" w:color="auto"/>
                <w:left w:val="none" w:sz="0" w:space="0" w:color="auto"/>
                <w:bottom w:val="none" w:sz="0" w:space="0" w:color="auto"/>
                <w:right w:val="none" w:sz="0" w:space="0" w:color="auto"/>
              </w:divBdr>
            </w:div>
          </w:divsChild>
        </w:div>
        <w:div w:id="1360619643">
          <w:marLeft w:val="0"/>
          <w:marRight w:val="0"/>
          <w:marTop w:val="0"/>
          <w:marBottom w:val="0"/>
          <w:divBdr>
            <w:top w:val="none" w:sz="0" w:space="0" w:color="auto"/>
            <w:left w:val="none" w:sz="0" w:space="0" w:color="auto"/>
            <w:bottom w:val="none" w:sz="0" w:space="0" w:color="auto"/>
            <w:right w:val="none" w:sz="0" w:space="0" w:color="auto"/>
          </w:divBdr>
          <w:divsChild>
            <w:div w:id="1537278791">
              <w:marLeft w:val="0"/>
              <w:marRight w:val="0"/>
              <w:marTop w:val="0"/>
              <w:marBottom w:val="0"/>
              <w:divBdr>
                <w:top w:val="none" w:sz="0" w:space="0" w:color="auto"/>
                <w:left w:val="none" w:sz="0" w:space="0" w:color="auto"/>
                <w:bottom w:val="none" w:sz="0" w:space="0" w:color="auto"/>
                <w:right w:val="none" w:sz="0" w:space="0" w:color="auto"/>
              </w:divBdr>
            </w:div>
          </w:divsChild>
        </w:div>
        <w:div w:id="1364406539">
          <w:marLeft w:val="0"/>
          <w:marRight w:val="0"/>
          <w:marTop w:val="0"/>
          <w:marBottom w:val="0"/>
          <w:divBdr>
            <w:top w:val="none" w:sz="0" w:space="0" w:color="auto"/>
            <w:left w:val="none" w:sz="0" w:space="0" w:color="auto"/>
            <w:bottom w:val="none" w:sz="0" w:space="0" w:color="auto"/>
            <w:right w:val="none" w:sz="0" w:space="0" w:color="auto"/>
          </w:divBdr>
          <w:divsChild>
            <w:div w:id="1896698234">
              <w:marLeft w:val="0"/>
              <w:marRight w:val="0"/>
              <w:marTop w:val="0"/>
              <w:marBottom w:val="0"/>
              <w:divBdr>
                <w:top w:val="none" w:sz="0" w:space="0" w:color="auto"/>
                <w:left w:val="none" w:sz="0" w:space="0" w:color="auto"/>
                <w:bottom w:val="none" w:sz="0" w:space="0" w:color="auto"/>
                <w:right w:val="none" w:sz="0" w:space="0" w:color="auto"/>
              </w:divBdr>
            </w:div>
          </w:divsChild>
        </w:div>
        <w:div w:id="1393700738">
          <w:marLeft w:val="0"/>
          <w:marRight w:val="0"/>
          <w:marTop w:val="0"/>
          <w:marBottom w:val="0"/>
          <w:divBdr>
            <w:top w:val="none" w:sz="0" w:space="0" w:color="auto"/>
            <w:left w:val="none" w:sz="0" w:space="0" w:color="auto"/>
            <w:bottom w:val="none" w:sz="0" w:space="0" w:color="auto"/>
            <w:right w:val="none" w:sz="0" w:space="0" w:color="auto"/>
          </w:divBdr>
          <w:divsChild>
            <w:div w:id="866213053">
              <w:marLeft w:val="0"/>
              <w:marRight w:val="0"/>
              <w:marTop w:val="0"/>
              <w:marBottom w:val="0"/>
              <w:divBdr>
                <w:top w:val="none" w:sz="0" w:space="0" w:color="auto"/>
                <w:left w:val="none" w:sz="0" w:space="0" w:color="auto"/>
                <w:bottom w:val="none" w:sz="0" w:space="0" w:color="auto"/>
                <w:right w:val="none" w:sz="0" w:space="0" w:color="auto"/>
              </w:divBdr>
            </w:div>
          </w:divsChild>
        </w:div>
        <w:div w:id="1398437289">
          <w:marLeft w:val="0"/>
          <w:marRight w:val="0"/>
          <w:marTop w:val="0"/>
          <w:marBottom w:val="0"/>
          <w:divBdr>
            <w:top w:val="none" w:sz="0" w:space="0" w:color="auto"/>
            <w:left w:val="none" w:sz="0" w:space="0" w:color="auto"/>
            <w:bottom w:val="none" w:sz="0" w:space="0" w:color="auto"/>
            <w:right w:val="none" w:sz="0" w:space="0" w:color="auto"/>
          </w:divBdr>
          <w:divsChild>
            <w:div w:id="2062055234">
              <w:marLeft w:val="0"/>
              <w:marRight w:val="0"/>
              <w:marTop w:val="0"/>
              <w:marBottom w:val="0"/>
              <w:divBdr>
                <w:top w:val="none" w:sz="0" w:space="0" w:color="auto"/>
                <w:left w:val="none" w:sz="0" w:space="0" w:color="auto"/>
                <w:bottom w:val="none" w:sz="0" w:space="0" w:color="auto"/>
                <w:right w:val="none" w:sz="0" w:space="0" w:color="auto"/>
              </w:divBdr>
            </w:div>
          </w:divsChild>
        </w:div>
        <w:div w:id="1402943519">
          <w:marLeft w:val="0"/>
          <w:marRight w:val="0"/>
          <w:marTop w:val="0"/>
          <w:marBottom w:val="0"/>
          <w:divBdr>
            <w:top w:val="none" w:sz="0" w:space="0" w:color="auto"/>
            <w:left w:val="none" w:sz="0" w:space="0" w:color="auto"/>
            <w:bottom w:val="none" w:sz="0" w:space="0" w:color="auto"/>
            <w:right w:val="none" w:sz="0" w:space="0" w:color="auto"/>
          </w:divBdr>
          <w:divsChild>
            <w:div w:id="203568958">
              <w:marLeft w:val="0"/>
              <w:marRight w:val="0"/>
              <w:marTop w:val="0"/>
              <w:marBottom w:val="0"/>
              <w:divBdr>
                <w:top w:val="none" w:sz="0" w:space="0" w:color="auto"/>
                <w:left w:val="none" w:sz="0" w:space="0" w:color="auto"/>
                <w:bottom w:val="none" w:sz="0" w:space="0" w:color="auto"/>
                <w:right w:val="none" w:sz="0" w:space="0" w:color="auto"/>
              </w:divBdr>
            </w:div>
          </w:divsChild>
        </w:div>
        <w:div w:id="1473016059">
          <w:marLeft w:val="0"/>
          <w:marRight w:val="0"/>
          <w:marTop w:val="0"/>
          <w:marBottom w:val="0"/>
          <w:divBdr>
            <w:top w:val="none" w:sz="0" w:space="0" w:color="auto"/>
            <w:left w:val="none" w:sz="0" w:space="0" w:color="auto"/>
            <w:bottom w:val="none" w:sz="0" w:space="0" w:color="auto"/>
            <w:right w:val="none" w:sz="0" w:space="0" w:color="auto"/>
          </w:divBdr>
          <w:divsChild>
            <w:div w:id="1879275881">
              <w:marLeft w:val="0"/>
              <w:marRight w:val="0"/>
              <w:marTop w:val="0"/>
              <w:marBottom w:val="0"/>
              <w:divBdr>
                <w:top w:val="none" w:sz="0" w:space="0" w:color="auto"/>
                <w:left w:val="none" w:sz="0" w:space="0" w:color="auto"/>
                <w:bottom w:val="none" w:sz="0" w:space="0" w:color="auto"/>
                <w:right w:val="none" w:sz="0" w:space="0" w:color="auto"/>
              </w:divBdr>
            </w:div>
          </w:divsChild>
        </w:div>
        <w:div w:id="1516991983">
          <w:marLeft w:val="0"/>
          <w:marRight w:val="0"/>
          <w:marTop w:val="0"/>
          <w:marBottom w:val="0"/>
          <w:divBdr>
            <w:top w:val="none" w:sz="0" w:space="0" w:color="auto"/>
            <w:left w:val="none" w:sz="0" w:space="0" w:color="auto"/>
            <w:bottom w:val="none" w:sz="0" w:space="0" w:color="auto"/>
            <w:right w:val="none" w:sz="0" w:space="0" w:color="auto"/>
          </w:divBdr>
          <w:divsChild>
            <w:div w:id="639656212">
              <w:marLeft w:val="0"/>
              <w:marRight w:val="0"/>
              <w:marTop w:val="0"/>
              <w:marBottom w:val="0"/>
              <w:divBdr>
                <w:top w:val="none" w:sz="0" w:space="0" w:color="auto"/>
                <w:left w:val="none" w:sz="0" w:space="0" w:color="auto"/>
                <w:bottom w:val="none" w:sz="0" w:space="0" w:color="auto"/>
                <w:right w:val="none" w:sz="0" w:space="0" w:color="auto"/>
              </w:divBdr>
            </w:div>
          </w:divsChild>
        </w:div>
        <w:div w:id="1523788517">
          <w:marLeft w:val="0"/>
          <w:marRight w:val="0"/>
          <w:marTop w:val="0"/>
          <w:marBottom w:val="0"/>
          <w:divBdr>
            <w:top w:val="none" w:sz="0" w:space="0" w:color="auto"/>
            <w:left w:val="none" w:sz="0" w:space="0" w:color="auto"/>
            <w:bottom w:val="none" w:sz="0" w:space="0" w:color="auto"/>
            <w:right w:val="none" w:sz="0" w:space="0" w:color="auto"/>
          </w:divBdr>
          <w:divsChild>
            <w:div w:id="434518603">
              <w:marLeft w:val="0"/>
              <w:marRight w:val="0"/>
              <w:marTop w:val="0"/>
              <w:marBottom w:val="0"/>
              <w:divBdr>
                <w:top w:val="none" w:sz="0" w:space="0" w:color="auto"/>
                <w:left w:val="none" w:sz="0" w:space="0" w:color="auto"/>
                <w:bottom w:val="none" w:sz="0" w:space="0" w:color="auto"/>
                <w:right w:val="none" w:sz="0" w:space="0" w:color="auto"/>
              </w:divBdr>
            </w:div>
          </w:divsChild>
        </w:div>
        <w:div w:id="1540388798">
          <w:marLeft w:val="0"/>
          <w:marRight w:val="0"/>
          <w:marTop w:val="0"/>
          <w:marBottom w:val="0"/>
          <w:divBdr>
            <w:top w:val="none" w:sz="0" w:space="0" w:color="auto"/>
            <w:left w:val="none" w:sz="0" w:space="0" w:color="auto"/>
            <w:bottom w:val="none" w:sz="0" w:space="0" w:color="auto"/>
            <w:right w:val="none" w:sz="0" w:space="0" w:color="auto"/>
          </w:divBdr>
          <w:divsChild>
            <w:div w:id="601107371">
              <w:marLeft w:val="0"/>
              <w:marRight w:val="0"/>
              <w:marTop w:val="0"/>
              <w:marBottom w:val="0"/>
              <w:divBdr>
                <w:top w:val="none" w:sz="0" w:space="0" w:color="auto"/>
                <w:left w:val="none" w:sz="0" w:space="0" w:color="auto"/>
                <w:bottom w:val="none" w:sz="0" w:space="0" w:color="auto"/>
                <w:right w:val="none" w:sz="0" w:space="0" w:color="auto"/>
              </w:divBdr>
            </w:div>
          </w:divsChild>
        </w:div>
        <w:div w:id="1578858371">
          <w:marLeft w:val="0"/>
          <w:marRight w:val="0"/>
          <w:marTop w:val="0"/>
          <w:marBottom w:val="0"/>
          <w:divBdr>
            <w:top w:val="none" w:sz="0" w:space="0" w:color="auto"/>
            <w:left w:val="none" w:sz="0" w:space="0" w:color="auto"/>
            <w:bottom w:val="none" w:sz="0" w:space="0" w:color="auto"/>
            <w:right w:val="none" w:sz="0" w:space="0" w:color="auto"/>
          </w:divBdr>
          <w:divsChild>
            <w:div w:id="1370180766">
              <w:marLeft w:val="0"/>
              <w:marRight w:val="0"/>
              <w:marTop w:val="0"/>
              <w:marBottom w:val="0"/>
              <w:divBdr>
                <w:top w:val="none" w:sz="0" w:space="0" w:color="auto"/>
                <w:left w:val="none" w:sz="0" w:space="0" w:color="auto"/>
                <w:bottom w:val="none" w:sz="0" w:space="0" w:color="auto"/>
                <w:right w:val="none" w:sz="0" w:space="0" w:color="auto"/>
              </w:divBdr>
            </w:div>
          </w:divsChild>
        </w:div>
        <w:div w:id="1601796159">
          <w:marLeft w:val="0"/>
          <w:marRight w:val="0"/>
          <w:marTop w:val="0"/>
          <w:marBottom w:val="0"/>
          <w:divBdr>
            <w:top w:val="none" w:sz="0" w:space="0" w:color="auto"/>
            <w:left w:val="none" w:sz="0" w:space="0" w:color="auto"/>
            <w:bottom w:val="none" w:sz="0" w:space="0" w:color="auto"/>
            <w:right w:val="none" w:sz="0" w:space="0" w:color="auto"/>
          </w:divBdr>
          <w:divsChild>
            <w:div w:id="1895656068">
              <w:marLeft w:val="0"/>
              <w:marRight w:val="0"/>
              <w:marTop w:val="0"/>
              <w:marBottom w:val="0"/>
              <w:divBdr>
                <w:top w:val="none" w:sz="0" w:space="0" w:color="auto"/>
                <w:left w:val="none" w:sz="0" w:space="0" w:color="auto"/>
                <w:bottom w:val="none" w:sz="0" w:space="0" w:color="auto"/>
                <w:right w:val="none" w:sz="0" w:space="0" w:color="auto"/>
              </w:divBdr>
            </w:div>
          </w:divsChild>
        </w:div>
        <w:div w:id="1604612347">
          <w:marLeft w:val="0"/>
          <w:marRight w:val="0"/>
          <w:marTop w:val="0"/>
          <w:marBottom w:val="0"/>
          <w:divBdr>
            <w:top w:val="none" w:sz="0" w:space="0" w:color="auto"/>
            <w:left w:val="none" w:sz="0" w:space="0" w:color="auto"/>
            <w:bottom w:val="none" w:sz="0" w:space="0" w:color="auto"/>
            <w:right w:val="none" w:sz="0" w:space="0" w:color="auto"/>
          </w:divBdr>
          <w:divsChild>
            <w:div w:id="1587765227">
              <w:marLeft w:val="0"/>
              <w:marRight w:val="0"/>
              <w:marTop w:val="0"/>
              <w:marBottom w:val="0"/>
              <w:divBdr>
                <w:top w:val="none" w:sz="0" w:space="0" w:color="auto"/>
                <w:left w:val="none" w:sz="0" w:space="0" w:color="auto"/>
                <w:bottom w:val="none" w:sz="0" w:space="0" w:color="auto"/>
                <w:right w:val="none" w:sz="0" w:space="0" w:color="auto"/>
              </w:divBdr>
            </w:div>
          </w:divsChild>
        </w:div>
        <w:div w:id="1606839846">
          <w:marLeft w:val="0"/>
          <w:marRight w:val="0"/>
          <w:marTop w:val="0"/>
          <w:marBottom w:val="0"/>
          <w:divBdr>
            <w:top w:val="none" w:sz="0" w:space="0" w:color="auto"/>
            <w:left w:val="none" w:sz="0" w:space="0" w:color="auto"/>
            <w:bottom w:val="none" w:sz="0" w:space="0" w:color="auto"/>
            <w:right w:val="none" w:sz="0" w:space="0" w:color="auto"/>
          </w:divBdr>
          <w:divsChild>
            <w:div w:id="444619054">
              <w:marLeft w:val="0"/>
              <w:marRight w:val="0"/>
              <w:marTop w:val="0"/>
              <w:marBottom w:val="0"/>
              <w:divBdr>
                <w:top w:val="none" w:sz="0" w:space="0" w:color="auto"/>
                <w:left w:val="none" w:sz="0" w:space="0" w:color="auto"/>
                <w:bottom w:val="none" w:sz="0" w:space="0" w:color="auto"/>
                <w:right w:val="none" w:sz="0" w:space="0" w:color="auto"/>
              </w:divBdr>
            </w:div>
          </w:divsChild>
        </w:div>
        <w:div w:id="1611662706">
          <w:marLeft w:val="0"/>
          <w:marRight w:val="0"/>
          <w:marTop w:val="0"/>
          <w:marBottom w:val="0"/>
          <w:divBdr>
            <w:top w:val="none" w:sz="0" w:space="0" w:color="auto"/>
            <w:left w:val="none" w:sz="0" w:space="0" w:color="auto"/>
            <w:bottom w:val="none" w:sz="0" w:space="0" w:color="auto"/>
            <w:right w:val="none" w:sz="0" w:space="0" w:color="auto"/>
          </w:divBdr>
          <w:divsChild>
            <w:div w:id="523324387">
              <w:marLeft w:val="0"/>
              <w:marRight w:val="0"/>
              <w:marTop w:val="0"/>
              <w:marBottom w:val="0"/>
              <w:divBdr>
                <w:top w:val="none" w:sz="0" w:space="0" w:color="auto"/>
                <w:left w:val="none" w:sz="0" w:space="0" w:color="auto"/>
                <w:bottom w:val="none" w:sz="0" w:space="0" w:color="auto"/>
                <w:right w:val="none" w:sz="0" w:space="0" w:color="auto"/>
              </w:divBdr>
            </w:div>
          </w:divsChild>
        </w:div>
        <w:div w:id="1613320752">
          <w:marLeft w:val="0"/>
          <w:marRight w:val="0"/>
          <w:marTop w:val="0"/>
          <w:marBottom w:val="0"/>
          <w:divBdr>
            <w:top w:val="none" w:sz="0" w:space="0" w:color="auto"/>
            <w:left w:val="none" w:sz="0" w:space="0" w:color="auto"/>
            <w:bottom w:val="none" w:sz="0" w:space="0" w:color="auto"/>
            <w:right w:val="none" w:sz="0" w:space="0" w:color="auto"/>
          </w:divBdr>
          <w:divsChild>
            <w:div w:id="906526574">
              <w:marLeft w:val="0"/>
              <w:marRight w:val="0"/>
              <w:marTop w:val="0"/>
              <w:marBottom w:val="0"/>
              <w:divBdr>
                <w:top w:val="none" w:sz="0" w:space="0" w:color="auto"/>
                <w:left w:val="none" w:sz="0" w:space="0" w:color="auto"/>
                <w:bottom w:val="none" w:sz="0" w:space="0" w:color="auto"/>
                <w:right w:val="none" w:sz="0" w:space="0" w:color="auto"/>
              </w:divBdr>
            </w:div>
          </w:divsChild>
        </w:div>
        <w:div w:id="1644042570">
          <w:marLeft w:val="0"/>
          <w:marRight w:val="0"/>
          <w:marTop w:val="0"/>
          <w:marBottom w:val="0"/>
          <w:divBdr>
            <w:top w:val="none" w:sz="0" w:space="0" w:color="auto"/>
            <w:left w:val="none" w:sz="0" w:space="0" w:color="auto"/>
            <w:bottom w:val="none" w:sz="0" w:space="0" w:color="auto"/>
            <w:right w:val="none" w:sz="0" w:space="0" w:color="auto"/>
          </w:divBdr>
          <w:divsChild>
            <w:div w:id="1635408398">
              <w:marLeft w:val="0"/>
              <w:marRight w:val="0"/>
              <w:marTop w:val="0"/>
              <w:marBottom w:val="0"/>
              <w:divBdr>
                <w:top w:val="none" w:sz="0" w:space="0" w:color="auto"/>
                <w:left w:val="none" w:sz="0" w:space="0" w:color="auto"/>
                <w:bottom w:val="none" w:sz="0" w:space="0" w:color="auto"/>
                <w:right w:val="none" w:sz="0" w:space="0" w:color="auto"/>
              </w:divBdr>
            </w:div>
          </w:divsChild>
        </w:div>
        <w:div w:id="1686052467">
          <w:marLeft w:val="0"/>
          <w:marRight w:val="0"/>
          <w:marTop w:val="0"/>
          <w:marBottom w:val="0"/>
          <w:divBdr>
            <w:top w:val="none" w:sz="0" w:space="0" w:color="auto"/>
            <w:left w:val="none" w:sz="0" w:space="0" w:color="auto"/>
            <w:bottom w:val="none" w:sz="0" w:space="0" w:color="auto"/>
            <w:right w:val="none" w:sz="0" w:space="0" w:color="auto"/>
          </w:divBdr>
          <w:divsChild>
            <w:div w:id="733703298">
              <w:marLeft w:val="0"/>
              <w:marRight w:val="0"/>
              <w:marTop w:val="0"/>
              <w:marBottom w:val="0"/>
              <w:divBdr>
                <w:top w:val="none" w:sz="0" w:space="0" w:color="auto"/>
                <w:left w:val="none" w:sz="0" w:space="0" w:color="auto"/>
                <w:bottom w:val="none" w:sz="0" w:space="0" w:color="auto"/>
                <w:right w:val="none" w:sz="0" w:space="0" w:color="auto"/>
              </w:divBdr>
            </w:div>
          </w:divsChild>
        </w:div>
        <w:div w:id="1690255481">
          <w:marLeft w:val="0"/>
          <w:marRight w:val="0"/>
          <w:marTop w:val="0"/>
          <w:marBottom w:val="0"/>
          <w:divBdr>
            <w:top w:val="none" w:sz="0" w:space="0" w:color="auto"/>
            <w:left w:val="none" w:sz="0" w:space="0" w:color="auto"/>
            <w:bottom w:val="none" w:sz="0" w:space="0" w:color="auto"/>
            <w:right w:val="none" w:sz="0" w:space="0" w:color="auto"/>
          </w:divBdr>
          <w:divsChild>
            <w:div w:id="983898226">
              <w:marLeft w:val="0"/>
              <w:marRight w:val="0"/>
              <w:marTop w:val="0"/>
              <w:marBottom w:val="0"/>
              <w:divBdr>
                <w:top w:val="none" w:sz="0" w:space="0" w:color="auto"/>
                <w:left w:val="none" w:sz="0" w:space="0" w:color="auto"/>
                <w:bottom w:val="none" w:sz="0" w:space="0" w:color="auto"/>
                <w:right w:val="none" w:sz="0" w:space="0" w:color="auto"/>
              </w:divBdr>
            </w:div>
          </w:divsChild>
        </w:div>
        <w:div w:id="1690597145">
          <w:marLeft w:val="0"/>
          <w:marRight w:val="0"/>
          <w:marTop w:val="0"/>
          <w:marBottom w:val="0"/>
          <w:divBdr>
            <w:top w:val="none" w:sz="0" w:space="0" w:color="auto"/>
            <w:left w:val="none" w:sz="0" w:space="0" w:color="auto"/>
            <w:bottom w:val="none" w:sz="0" w:space="0" w:color="auto"/>
            <w:right w:val="none" w:sz="0" w:space="0" w:color="auto"/>
          </w:divBdr>
          <w:divsChild>
            <w:div w:id="2115859009">
              <w:marLeft w:val="0"/>
              <w:marRight w:val="0"/>
              <w:marTop w:val="0"/>
              <w:marBottom w:val="0"/>
              <w:divBdr>
                <w:top w:val="none" w:sz="0" w:space="0" w:color="auto"/>
                <w:left w:val="none" w:sz="0" w:space="0" w:color="auto"/>
                <w:bottom w:val="none" w:sz="0" w:space="0" w:color="auto"/>
                <w:right w:val="none" w:sz="0" w:space="0" w:color="auto"/>
              </w:divBdr>
            </w:div>
          </w:divsChild>
        </w:div>
        <w:div w:id="1697804874">
          <w:marLeft w:val="0"/>
          <w:marRight w:val="0"/>
          <w:marTop w:val="0"/>
          <w:marBottom w:val="0"/>
          <w:divBdr>
            <w:top w:val="none" w:sz="0" w:space="0" w:color="auto"/>
            <w:left w:val="none" w:sz="0" w:space="0" w:color="auto"/>
            <w:bottom w:val="none" w:sz="0" w:space="0" w:color="auto"/>
            <w:right w:val="none" w:sz="0" w:space="0" w:color="auto"/>
          </w:divBdr>
          <w:divsChild>
            <w:div w:id="1055590887">
              <w:marLeft w:val="0"/>
              <w:marRight w:val="0"/>
              <w:marTop w:val="0"/>
              <w:marBottom w:val="0"/>
              <w:divBdr>
                <w:top w:val="none" w:sz="0" w:space="0" w:color="auto"/>
                <w:left w:val="none" w:sz="0" w:space="0" w:color="auto"/>
                <w:bottom w:val="none" w:sz="0" w:space="0" w:color="auto"/>
                <w:right w:val="none" w:sz="0" w:space="0" w:color="auto"/>
              </w:divBdr>
            </w:div>
          </w:divsChild>
        </w:div>
        <w:div w:id="1716194365">
          <w:marLeft w:val="0"/>
          <w:marRight w:val="0"/>
          <w:marTop w:val="0"/>
          <w:marBottom w:val="0"/>
          <w:divBdr>
            <w:top w:val="none" w:sz="0" w:space="0" w:color="auto"/>
            <w:left w:val="none" w:sz="0" w:space="0" w:color="auto"/>
            <w:bottom w:val="none" w:sz="0" w:space="0" w:color="auto"/>
            <w:right w:val="none" w:sz="0" w:space="0" w:color="auto"/>
          </w:divBdr>
          <w:divsChild>
            <w:div w:id="1127088568">
              <w:marLeft w:val="0"/>
              <w:marRight w:val="0"/>
              <w:marTop w:val="0"/>
              <w:marBottom w:val="0"/>
              <w:divBdr>
                <w:top w:val="none" w:sz="0" w:space="0" w:color="auto"/>
                <w:left w:val="none" w:sz="0" w:space="0" w:color="auto"/>
                <w:bottom w:val="none" w:sz="0" w:space="0" w:color="auto"/>
                <w:right w:val="none" w:sz="0" w:space="0" w:color="auto"/>
              </w:divBdr>
            </w:div>
          </w:divsChild>
        </w:div>
        <w:div w:id="1719280914">
          <w:marLeft w:val="0"/>
          <w:marRight w:val="0"/>
          <w:marTop w:val="0"/>
          <w:marBottom w:val="0"/>
          <w:divBdr>
            <w:top w:val="none" w:sz="0" w:space="0" w:color="auto"/>
            <w:left w:val="none" w:sz="0" w:space="0" w:color="auto"/>
            <w:bottom w:val="none" w:sz="0" w:space="0" w:color="auto"/>
            <w:right w:val="none" w:sz="0" w:space="0" w:color="auto"/>
          </w:divBdr>
          <w:divsChild>
            <w:div w:id="2079404575">
              <w:marLeft w:val="0"/>
              <w:marRight w:val="0"/>
              <w:marTop w:val="0"/>
              <w:marBottom w:val="0"/>
              <w:divBdr>
                <w:top w:val="none" w:sz="0" w:space="0" w:color="auto"/>
                <w:left w:val="none" w:sz="0" w:space="0" w:color="auto"/>
                <w:bottom w:val="none" w:sz="0" w:space="0" w:color="auto"/>
                <w:right w:val="none" w:sz="0" w:space="0" w:color="auto"/>
              </w:divBdr>
            </w:div>
          </w:divsChild>
        </w:div>
        <w:div w:id="1755275839">
          <w:marLeft w:val="0"/>
          <w:marRight w:val="0"/>
          <w:marTop w:val="0"/>
          <w:marBottom w:val="0"/>
          <w:divBdr>
            <w:top w:val="none" w:sz="0" w:space="0" w:color="auto"/>
            <w:left w:val="none" w:sz="0" w:space="0" w:color="auto"/>
            <w:bottom w:val="none" w:sz="0" w:space="0" w:color="auto"/>
            <w:right w:val="none" w:sz="0" w:space="0" w:color="auto"/>
          </w:divBdr>
          <w:divsChild>
            <w:div w:id="1053769959">
              <w:marLeft w:val="0"/>
              <w:marRight w:val="0"/>
              <w:marTop w:val="0"/>
              <w:marBottom w:val="0"/>
              <w:divBdr>
                <w:top w:val="none" w:sz="0" w:space="0" w:color="auto"/>
                <w:left w:val="none" w:sz="0" w:space="0" w:color="auto"/>
                <w:bottom w:val="none" w:sz="0" w:space="0" w:color="auto"/>
                <w:right w:val="none" w:sz="0" w:space="0" w:color="auto"/>
              </w:divBdr>
            </w:div>
          </w:divsChild>
        </w:div>
        <w:div w:id="1762289618">
          <w:marLeft w:val="0"/>
          <w:marRight w:val="0"/>
          <w:marTop w:val="0"/>
          <w:marBottom w:val="0"/>
          <w:divBdr>
            <w:top w:val="none" w:sz="0" w:space="0" w:color="auto"/>
            <w:left w:val="none" w:sz="0" w:space="0" w:color="auto"/>
            <w:bottom w:val="none" w:sz="0" w:space="0" w:color="auto"/>
            <w:right w:val="none" w:sz="0" w:space="0" w:color="auto"/>
          </w:divBdr>
          <w:divsChild>
            <w:div w:id="1718433555">
              <w:marLeft w:val="0"/>
              <w:marRight w:val="0"/>
              <w:marTop w:val="0"/>
              <w:marBottom w:val="0"/>
              <w:divBdr>
                <w:top w:val="none" w:sz="0" w:space="0" w:color="auto"/>
                <w:left w:val="none" w:sz="0" w:space="0" w:color="auto"/>
                <w:bottom w:val="none" w:sz="0" w:space="0" w:color="auto"/>
                <w:right w:val="none" w:sz="0" w:space="0" w:color="auto"/>
              </w:divBdr>
            </w:div>
          </w:divsChild>
        </w:div>
        <w:div w:id="1765107897">
          <w:marLeft w:val="0"/>
          <w:marRight w:val="0"/>
          <w:marTop w:val="0"/>
          <w:marBottom w:val="0"/>
          <w:divBdr>
            <w:top w:val="none" w:sz="0" w:space="0" w:color="auto"/>
            <w:left w:val="none" w:sz="0" w:space="0" w:color="auto"/>
            <w:bottom w:val="none" w:sz="0" w:space="0" w:color="auto"/>
            <w:right w:val="none" w:sz="0" w:space="0" w:color="auto"/>
          </w:divBdr>
          <w:divsChild>
            <w:div w:id="1244336529">
              <w:marLeft w:val="0"/>
              <w:marRight w:val="0"/>
              <w:marTop w:val="0"/>
              <w:marBottom w:val="0"/>
              <w:divBdr>
                <w:top w:val="none" w:sz="0" w:space="0" w:color="auto"/>
                <w:left w:val="none" w:sz="0" w:space="0" w:color="auto"/>
                <w:bottom w:val="none" w:sz="0" w:space="0" w:color="auto"/>
                <w:right w:val="none" w:sz="0" w:space="0" w:color="auto"/>
              </w:divBdr>
            </w:div>
          </w:divsChild>
        </w:div>
        <w:div w:id="1775978548">
          <w:marLeft w:val="0"/>
          <w:marRight w:val="0"/>
          <w:marTop w:val="0"/>
          <w:marBottom w:val="0"/>
          <w:divBdr>
            <w:top w:val="none" w:sz="0" w:space="0" w:color="auto"/>
            <w:left w:val="none" w:sz="0" w:space="0" w:color="auto"/>
            <w:bottom w:val="none" w:sz="0" w:space="0" w:color="auto"/>
            <w:right w:val="none" w:sz="0" w:space="0" w:color="auto"/>
          </w:divBdr>
          <w:divsChild>
            <w:div w:id="1953825815">
              <w:marLeft w:val="0"/>
              <w:marRight w:val="0"/>
              <w:marTop w:val="0"/>
              <w:marBottom w:val="0"/>
              <w:divBdr>
                <w:top w:val="none" w:sz="0" w:space="0" w:color="auto"/>
                <w:left w:val="none" w:sz="0" w:space="0" w:color="auto"/>
                <w:bottom w:val="none" w:sz="0" w:space="0" w:color="auto"/>
                <w:right w:val="none" w:sz="0" w:space="0" w:color="auto"/>
              </w:divBdr>
            </w:div>
          </w:divsChild>
        </w:div>
        <w:div w:id="1776830692">
          <w:marLeft w:val="0"/>
          <w:marRight w:val="0"/>
          <w:marTop w:val="0"/>
          <w:marBottom w:val="0"/>
          <w:divBdr>
            <w:top w:val="none" w:sz="0" w:space="0" w:color="auto"/>
            <w:left w:val="none" w:sz="0" w:space="0" w:color="auto"/>
            <w:bottom w:val="none" w:sz="0" w:space="0" w:color="auto"/>
            <w:right w:val="none" w:sz="0" w:space="0" w:color="auto"/>
          </w:divBdr>
          <w:divsChild>
            <w:div w:id="1935236005">
              <w:marLeft w:val="0"/>
              <w:marRight w:val="0"/>
              <w:marTop w:val="0"/>
              <w:marBottom w:val="0"/>
              <w:divBdr>
                <w:top w:val="none" w:sz="0" w:space="0" w:color="auto"/>
                <w:left w:val="none" w:sz="0" w:space="0" w:color="auto"/>
                <w:bottom w:val="none" w:sz="0" w:space="0" w:color="auto"/>
                <w:right w:val="none" w:sz="0" w:space="0" w:color="auto"/>
              </w:divBdr>
            </w:div>
          </w:divsChild>
        </w:div>
        <w:div w:id="1810661364">
          <w:marLeft w:val="0"/>
          <w:marRight w:val="0"/>
          <w:marTop w:val="0"/>
          <w:marBottom w:val="0"/>
          <w:divBdr>
            <w:top w:val="none" w:sz="0" w:space="0" w:color="auto"/>
            <w:left w:val="none" w:sz="0" w:space="0" w:color="auto"/>
            <w:bottom w:val="none" w:sz="0" w:space="0" w:color="auto"/>
            <w:right w:val="none" w:sz="0" w:space="0" w:color="auto"/>
          </w:divBdr>
          <w:divsChild>
            <w:div w:id="500780704">
              <w:marLeft w:val="0"/>
              <w:marRight w:val="0"/>
              <w:marTop w:val="0"/>
              <w:marBottom w:val="0"/>
              <w:divBdr>
                <w:top w:val="none" w:sz="0" w:space="0" w:color="auto"/>
                <w:left w:val="none" w:sz="0" w:space="0" w:color="auto"/>
                <w:bottom w:val="none" w:sz="0" w:space="0" w:color="auto"/>
                <w:right w:val="none" w:sz="0" w:space="0" w:color="auto"/>
              </w:divBdr>
            </w:div>
            <w:div w:id="1789424411">
              <w:marLeft w:val="0"/>
              <w:marRight w:val="0"/>
              <w:marTop w:val="0"/>
              <w:marBottom w:val="0"/>
              <w:divBdr>
                <w:top w:val="none" w:sz="0" w:space="0" w:color="auto"/>
                <w:left w:val="none" w:sz="0" w:space="0" w:color="auto"/>
                <w:bottom w:val="none" w:sz="0" w:space="0" w:color="auto"/>
                <w:right w:val="none" w:sz="0" w:space="0" w:color="auto"/>
              </w:divBdr>
            </w:div>
          </w:divsChild>
        </w:div>
        <w:div w:id="1824156621">
          <w:marLeft w:val="0"/>
          <w:marRight w:val="0"/>
          <w:marTop w:val="0"/>
          <w:marBottom w:val="0"/>
          <w:divBdr>
            <w:top w:val="none" w:sz="0" w:space="0" w:color="auto"/>
            <w:left w:val="none" w:sz="0" w:space="0" w:color="auto"/>
            <w:bottom w:val="none" w:sz="0" w:space="0" w:color="auto"/>
            <w:right w:val="none" w:sz="0" w:space="0" w:color="auto"/>
          </w:divBdr>
          <w:divsChild>
            <w:div w:id="1431125339">
              <w:marLeft w:val="0"/>
              <w:marRight w:val="0"/>
              <w:marTop w:val="0"/>
              <w:marBottom w:val="0"/>
              <w:divBdr>
                <w:top w:val="none" w:sz="0" w:space="0" w:color="auto"/>
                <w:left w:val="none" w:sz="0" w:space="0" w:color="auto"/>
                <w:bottom w:val="none" w:sz="0" w:space="0" w:color="auto"/>
                <w:right w:val="none" w:sz="0" w:space="0" w:color="auto"/>
              </w:divBdr>
            </w:div>
          </w:divsChild>
        </w:div>
        <w:div w:id="1832407459">
          <w:marLeft w:val="0"/>
          <w:marRight w:val="0"/>
          <w:marTop w:val="0"/>
          <w:marBottom w:val="0"/>
          <w:divBdr>
            <w:top w:val="none" w:sz="0" w:space="0" w:color="auto"/>
            <w:left w:val="none" w:sz="0" w:space="0" w:color="auto"/>
            <w:bottom w:val="none" w:sz="0" w:space="0" w:color="auto"/>
            <w:right w:val="none" w:sz="0" w:space="0" w:color="auto"/>
          </w:divBdr>
          <w:divsChild>
            <w:div w:id="1942833200">
              <w:marLeft w:val="0"/>
              <w:marRight w:val="0"/>
              <w:marTop w:val="0"/>
              <w:marBottom w:val="0"/>
              <w:divBdr>
                <w:top w:val="none" w:sz="0" w:space="0" w:color="auto"/>
                <w:left w:val="none" w:sz="0" w:space="0" w:color="auto"/>
                <w:bottom w:val="none" w:sz="0" w:space="0" w:color="auto"/>
                <w:right w:val="none" w:sz="0" w:space="0" w:color="auto"/>
              </w:divBdr>
            </w:div>
          </w:divsChild>
        </w:div>
        <w:div w:id="1851329222">
          <w:marLeft w:val="0"/>
          <w:marRight w:val="0"/>
          <w:marTop w:val="0"/>
          <w:marBottom w:val="0"/>
          <w:divBdr>
            <w:top w:val="none" w:sz="0" w:space="0" w:color="auto"/>
            <w:left w:val="none" w:sz="0" w:space="0" w:color="auto"/>
            <w:bottom w:val="none" w:sz="0" w:space="0" w:color="auto"/>
            <w:right w:val="none" w:sz="0" w:space="0" w:color="auto"/>
          </w:divBdr>
          <w:divsChild>
            <w:div w:id="791707029">
              <w:marLeft w:val="0"/>
              <w:marRight w:val="0"/>
              <w:marTop w:val="0"/>
              <w:marBottom w:val="0"/>
              <w:divBdr>
                <w:top w:val="none" w:sz="0" w:space="0" w:color="auto"/>
                <w:left w:val="none" w:sz="0" w:space="0" w:color="auto"/>
                <w:bottom w:val="none" w:sz="0" w:space="0" w:color="auto"/>
                <w:right w:val="none" w:sz="0" w:space="0" w:color="auto"/>
              </w:divBdr>
            </w:div>
          </w:divsChild>
        </w:div>
        <w:div w:id="1882550895">
          <w:marLeft w:val="0"/>
          <w:marRight w:val="0"/>
          <w:marTop w:val="0"/>
          <w:marBottom w:val="0"/>
          <w:divBdr>
            <w:top w:val="none" w:sz="0" w:space="0" w:color="auto"/>
            <w:left w:val="none" w:sz="0" w:space="0" w:color="auto"/>
            <w:bottom w:val="none" w:sz="0" w:space="0" w:color="auto"/>
            <w:right w:val="none" w:sz="0" w:space="0" w:color="auto"/>
          </w:divBdr>
          <w:divsChild>
            <w:div w:id="351809936">
              <w:marLeft w:val="0"/>
              <w:marRight w:val="0"/>
              <w:marTop w:val="0"/>
              <w:marBottom w:val="0"/>
              <w:divBdr>
                <w:top w:val="none" w:sz="0" w:space="0" w:color="auto"/>
                <w:left w:val="none" w:sz="0" w:space="0" w:color="auto"/>
                <w:bottom w:val="none" w:sz="0" w:space="0" w:color="auto"/>
                <w:right w:val="none" w:sz="0" w:space="0" w:color="auto"/>
              </w:divBdr>
            </w:div>
          </w:divsChild>
        </w:div>
        <w:div w:id="1889142168">
          <w:marLeft w:val="0"/>
          <w:marRight w:val="0"/>
          <w:marTop w:val="0"/>
          <w:marBottom w:val="0"/>
          <w:divBdr>
            <w:top w:val="none" w:sz="0" w:space="0" w:color="auto"/>
            <w:left w:val="none" w:sz="0" w:space="0" w:color="auto"/>
            <w:bottom w:val="none" w:sz="0" w:space="0" w:color="auto"/>
            <w:right w:val="none" w:sz="0" w:space="0" w:color="auto"/>
          </w:divBdr>
          <w:divsChild>
            <w:div w:id="899905737">
              <w:marLeft w:val="0"/>
              <w:marRight w:val="0"/>
              <w:marTop w:val="0"/>
              <w:marBottom w:val="0"/>
              <w:divBdr>
                <w:top w:val="none" w:sz="0" w:space="0" w:color="auto"/>
                <w:left w:val="none" w:sz="0" w:space="0" w:color="auto"/>
                <w:bottom w:val="none" w:sz="0" w:space="0" w:color="auto"/>
                <w:right w:val="none" w:sz="0" w:space="0" w:color="auto"/>
              </w:divBdr>
            </w:div>
          </w:divsChild>
        </w:div>
        <w:div w:id="1895462144">
          <w:marLeft w:val="0"/>
          <w:marRight w:val="0"/>
          <w:marTop w:val="0"/>
          <w:marBottom w:val="0"/>
          <w:divBdr>
            <w:top w:val="none" w:sz="0" w:space="0" w:color="auto"/>
            <w:left w:val="none" w:sz="0" w:space="0" w:color="auto"/>
            <w:bottom w:val="none" w:sz="0" w:space="0" w:color="auto"/>
            <w:right w:val="none" w:sz="0" w:space="0" w:color="auto"/>
          </w:divBdr>
          <w:divsChild>
            <w:div w:id="2141681288">
              <w:marLeft w:val="0"/>
              <w:marRight w:val="0"/>
              <w:marTop w:val="0"/>
              <w:marBottom w:val="0"/>
              <w:divBdr>
                <w:top w:val="none" w:sz="0" w:space="0" w:color="auto"/>
                <w:left w:val="none" w:sz="0" w:space="0" w:color="auto"/>
                <w:bottom w:val="none" w:sz="0" w:space="0" w:color="auto"/>
                <w:right w:val="none" w:sz="0" w:space="0" w:color="auto"/>
              </w:divBdr>
            </w:div>
          </w:divsChild>
        </w:div>
        <w:div w:id="1939826047">
          <w:marLeft w:val="0"/>
          <w:marRight w:val="0"/>
          <w:marTop w:val="0"/>
          <w:marBottom w:val="0"/>
          <w:divBdr>
            <w:top w:val="none" w:sz="0" w:space="0" w:color="auto"/>
            <w:left w:val="none" w:sz="0" w:space="0" w:color="auto"/>
            <w:bottom w:val="none" w:sz="0" w:space="0" w:color="auto"/>
            <w:right w:val="none" w:sz="0" w:space="0" w:color="auto"/>
          </w:divBdr>
          <w:divsChild>
            <w:div w:id="1101335873">
              <w:marLeft w:val="0"/>
              <w:marRight w:val="0"/>
              <w:marTop w:val="0"/>
              <w:marBottom w:val="0"/>
              <w:divBdr>
                <w:top w:val="none" w:sz="0" w:space="0" w:color="auto"/>
                <w:left w:val="none" w:sz="0" w:space="0" w:color="auto"/>
                <w:bottom w:val="none" w:sz="0" w:space="0" w:color="auto"/>
                <w:right w:val="none" w:sz="0" w:space="0" w:color="auto"/>
              </w:divBdr>
            </w:div>
          </w:divsChild>
        </w:div>
        <w:div w:id="1948926052">
          <w:marLeft w:val="0"/>
          <w:marRight w:val="0"/>
          <w:marTop w:val="0"/>
          <w:marBottom w:val="0"/>
          <w:divBdr>
            <w:top w:val="none" w:sz="0" w:space="0" w:color="auto"/>
            <w:left w:val="none" w:sz="0" w:space="0" w:color="auto"/>
            <w:bottom w:val="none" w:sz="0" w:space="0" w:color="auto"/>
            <w:right w:val="none" w:sz="0" w:space="0" w:color="auto"/>
          </w:divBdr>
          <w:divsChild>
            <w:div w:id="1476337839">
              <w:marLeft w:val="0"/>
              <w:marRight w:val="0"/>
              <w:marTop w:val="0"/>
              <w:marBottom w:val="0"/>
              <w:divBdr>
                <w:top w:val="none" w:sz="0" w:space="0" w:color="auto"/>
                <w:left w:val="none" w:sz="0" w:space="0" w:color="auto"/>
                <w:bottom w:val="none" w:sz="0" w:space="0" w:color="auto"/>
                <w:right w:val="none" w:sz="0" w:space="0" w:color="auto"/>
              </w:divBdr>
            </w:div>
          </w:divsChild>
        </w:div>
        <w:div w:id="1959025717">
          <w:marLeft w:val="0"/>
          <w:marRight w:val="0"/>
          <w:marTop w:val="0"/>
          <w:marBottom w:val="0"/>
          <w:divBdr>
            <w:top w:val="none" w:sz="0" w:space="0" w:color="auto"/>
            <w:left w:val="none" w:sz="0" w:space="0" w:color="auto"/>
            <w:bottom w:val="none" w:sz="0" w:space="0" w:color="auto"/>
            <w:right w:val="none" w:sz="0" w:space="0" w:color="auto"/>
          </w:divBdr>
          <w:divsChild>
            <w:div w:id="1602374014">
              <w:marLeft w:val="0"/>
              <w:marRight w:val="0"/>
              <w:marTop w:val="0"/>
              <w:marBottom w:val="0"/>
              <w:divBdr>
                <w:top w:val="none" w:sz="0" w:space="0" w:color="auto"/>
                <w:left w:val="none" w:sz="0" w:space="0" w:color="auto"/>
                <w:bottom w:val="none" w:sz="0" w:space="0" w:color="auto"/>
                <w:right w:val="none" w:sz="0" w:space="0" w:color="auto"/>
              </w:divBdr>
            </w:div>
          </w:divsChild>
        </w:div>
        <w:div w:id="1985504718">
          <w:marLeft w:val="0"/>
          <w:marRight w:val="0"/>
          <w:marTop w:val="0"/>
          <w:marBottom w:val="0"/>
          <w:divBdr>
            <w:top w:val="none" w:sz="0" w:space="0" w:color="auto"/>
            <w:left w:val="none" w:sz="0" w:space="0" w:color="auto"/>
            <w:bottom w:val="none" w:sz="0" w:space="0" w:color="auto"/>
            <w:right w:val="none" w:sz="0" w:space="0" w:color="auto"/>
          </w:divBdr>
          <w:divsChild>
            <w:div w:id="140461824">
              <w:marLeft w:val="0"/>
              <w:marRight w:val="0"/>
              <w:marTop w:val="0"/>
              <w:marBottom w:val="0"/>
              <w:divBdr>
                <w:top w:val="none" w:sz="0" w:space="0" w:color="auto"/>
                <w:left w:val="none" w:sz="0" w:space="0" w:color="auto"/>
                <w:bottom w:val="none" w:sz="0" w:space="0" w:color="auto"/>
                <w:right w:val="none" w:sz="0" w:space="0" w:color="auto"/>
              </w:divBdr>
            </w:div>
          </w:divsChild>
        </w:div>
        <w:div w:id="2000694757">
          <w:marLeft w:val="0"/>
          <w:marRight w:val="0"/>
          <w:marTop w:val="0"/>
          <w:marBottom w:val="0"/>
          <w:divBdr>
            <w:top w:val="none" w:sz="0" w:space="0" w:color="auto"/>
            <w:left w:val="none" w:sz="0" w:space="0" w:color="auto"/>
            <w:bottom w:val="none" w:sz="0" w:space="0" w:color="auto"/>
            <w:right w:val="none" w:sz="0" w:space="0" w:color="auto"/>
          </w:divBdr>
          <w:divsChild>
            <w:div w:id="1451164645">
              <w:marLeft w:val="0"/>
              <w:marRight w:val="0"/>
              <w:marTop w:val="0"/>
              <w:marBottom w:val="0"/>
              <w:divBdr>
                <w:top w:val="none" w:sz="0" w:space="0" w:color="auto"/>
                <w:left w:val="none" w:sz="0" w:space="0" w:color="auto"/>
                <w:bottom w:val="none" w:sz="0" w:space="0" w:color="auto"/>
                <w:right w:val="none" w:sz="0" w:space="0" w:color="auto"/>
              </w:divBdr>
            </w:div>
          </w:divsChild>
        </w:div>
        <w:div w:id="2007979089">
          <w:marLeft w:val="0"/>
          <w:marRight w:val="0"/>
          <w:marTop w:val="0"/>
          <w:marBottom w:val="0"/>
          <w:divBdr>
            <w:top w:val="none" w:sz="0" w:space="0" w:color="auto"/>
            <w:left w:val="none" w:sz="0" w:space="0" w:color="auto"/>
            <w:bottom w:val="none" w:sz="0" w:space="0" w:color="auto"/>
            <w:right w:val="none" w:sz="0" w:space="0" w:color="auto"/>
          </w:divBdr>
          <w:divsChild>
            <w:div w:id="1861818526">
              <w:marLeft w:val="0"/>
              <w:marRight w:val="0"/>
              <w:marTop w:val="0"/>
              <w:marBottom w:val="0"/>
              <w:divBdr>
                <w:top w:val="none" w:sz="0" w:space="0" w:color="auto"/>
                <w:left w:val="none" w:sz="0" w:space="0" w:color="auto"/>
                <w:bottom w:val="none" w:sz="0" w:space="0" w:color="auto"/>
                <w:right w:val="none" w:sz="0" w:space="0" w:color="auto"/>
              </w:divBdr>
            </w:div>
          </w:divsChild>
        </w:div>
        <w:div w:id="2009405940">
          <w:marLeft w:val="0"/>
          <w:marRight w:val="0"/>
          <w:marTop w:val="0"/>
          <w:marBottom w:val="0"/>
          <w:divBdr>
            <w:top w:val="none" w:sz="0" w:space="0" w:color="auto"/>
            <w:left w:val="none" w:sz="0" w:space="0" w:color="auto"/>
            <w:bottom w:val="none" w:sz="0" w:space="0" w:color="auto"/>
            <w:right w:val="none" w:sz="0" w:space="0" w:color="auto"/>
          </w:divBdr>
          <w:divsChild>
            <w:div w:id="631906242">
              <w:marLeft w:val="0"/>
              <w:marRight w:val="0"/>
              <w:marTop w:val="0"/>
              <w:marBottom w:val="0"/>
              <w:divBdr>
                <w:top w:val="none" w:sz="0" w:space="0" w:color="auto"/>
                <w:left w:val="none" w:sz="0" w:space="0" w:color="auto"/>
                <w:bottom w:val="none" w:sz="0" w:space="0" w:color="auto"/>
                <w:right w:val="none" w:sz="0" w:space="0" w:color="auto"/>
              </w:divBdr>
            </w:div>
          </w:divsChild>
        </w:div>
        <w:div w:id="2010788826">
          <w:marLeft w:val="0"/>
          <w:marRight w:val="0"/>
          <w:marTop w:val="0"/>
          <w:marBottom w:val="0"/>
          <w:divBdr>
            <w:top w:val="none" w:sz="0" w:space="0" w:color="auto"/>
            <w:left w:val="none" w:sz="0" w:space="0" w:color="auto"/>
            <w:bottom w:val="none" w:sz="0" w:space="0" w:color="auto"/>
            <w:right w:val="none" w:sz="0" w:space="0" w:color="auto"/>
          </w:divBdr>
          <w:divsChild>
            <w:div w:id="1850900425">
              <w:marLeft w:val="0"/>
              <w:marRight w:val="0"/>
              <w:marTop w:val="0"/>
              <w:marBottom w:val="0"/>
              <w:divBdr>
                <w:top w:val="none" w:sz="0" w:space="0" w:color="auto"/>
                <w:left w:val="none" w:sz="0" w:space="0" w:color="auto"/>
                <w:bottom w:val="none" w:sz="0" w:space="0" w:color="auto"/>
                <w:right w:val="none" w:sz="0" w:space="0" w:color="auto"/>
              </w:divBdr>
            </w:div>
          </w:divsChild>
        </w:div>
        <w:div w:id="2030715741">
          <w:marLeft w:val="0"/>
          <w:marRight w:val="0"/>
          <w:marTop w:val="0"/>
          <w:marBottom w:val="0"/>
          <w:divBdr>
            <w:top w:val="none" w:sz="0" w:space="0" w:color="auto"/>
            <w:left w:val="none" w:sz="0" w:space="0" w:color="auto"/>
            <w:bottom w:val="none" w:sz="0" w:space="0" w:color="auto"/>
            <w:right w:val="none" w:sz="0" w:space="0" w:color="auto"/>
          </w:divBdr>
          <w:divsChild>
            <w:div w:id="1476531868">
              <w:marLeft w:val="0"/>
              <w:marRight w:val="0"/>
              <w:marTop w:val="0"/>
              <w:marBottom w:val="0"/>
              <w:divBdr>
                <w:top w:val="none" w:sz="0" w:space="0" w:color="auto"/>
                <w:left w:val="none" w:sz="0" w:space="0" w:color="auto"/>
                <w:bottom w:val="none" w:sz="0" w:space="0" w:color="auto"/>
                <w:right w:val="none" w:sz="0" w:space="0" w:color="auto"/>
              </w:divBdr>
            </w:div>
          </w:divsChild>
        </w:div>
        <w:div w:id="2030981397">
          <w:marLeft w:val="0"/>
          <w:marRight w:val="0"/>
          <w:marTop w:val="0"/>
          <w:marBottom w:val="0"/>
          <w:divBdr>
            <w:top w:val="none" w:sz="0" w:space="0" w:color="auto"/>
            <w:left w:val="none" w:sz="0" w:space="0" w:color="auto"/>
            <w:bottom w:val="none" w:sz="0" w:space="0" w:color="auto"/>
            <w:right w:val="none" w:sz="0" w:space="0" w:color="auto"/>
          </w:divBdr>
          <w:divsChild>
            <w:div w:id="1437866593">
              <w:marLeft w:val="0"/>
              <w:marRight w:val="0"/>
              <w:marTop w:val="0"/>
              <w:marBottom w:val="0"/>
              <w:divBdr>
                <w:top w:val="none" w:sz="0" w:space="0" w:color="auto"/>
                <w:left w:val="none" w:sz="0" w:space="0" w:color="auto"/>
                <w:bottom w:val="none" w:sz="0" w:space="0" w:color="auto"/>
                <w:right w:val="none" w:sz="0" w:space="0" w:color="auto"/>
              </w:divBdr>
            </w:div>
          </w:divsChild>
        </w:div>
        <w:div w:id="2054428140">
          <w:marLeft w:val="0"/>
          <w:marRight w:val="0"/>
          <w:marTop w:val="0"/>
          <w:marBottom w:val="0"/>
          <w:divBdr>
            <w:top w:val="none" w:sz="0" w:space="0" w:color="auto"/>
            <w:left w:val="none" w:sz="0" w:space="0" w:color="auto"/>
            <w:bottom w:val="none" w:sz="0" w:space="0" w:color="auto"/>
            <w:right w:val="none" w:sz="0" w:space="0" w:color="auto"/>
          </w:divBdr>
          <w:divsChild>
            <w:div w:id="331682914">
              <w:marLeft w:val="0"/>
              <w:marRight w:val="0"/>
              <w:marTop w:val="0"/>
              <w:marBottom w:val="0"/>
              <w:divBdr>
                <w:top w:val="none" w:sz="0" w:space="0" w:color="auto"/>
                <w:left w:val="none" w:sz="0" w:space="0" w:color="auto"/>
                <w:bottom w:val="none" w:sz="0" w:space="0" w:color="auto"/>
                <w:right w:val="none" w:sz="0" w:space="0" w:color="auto"/>
              </w:divBdr>
            </w:div>
          </w:divsChild>
        </w:div>
        <w:div w:id="2057005789">
          <w:marLeft w:val="0"/>
          <w:marRight w:val="0"/>
          <w:marTop w:val="0"/>
          <w:marBottom w:val="0"/>
          <w:divBdr>
            <w:top w:val="none" w:sz="0" w:space="0" w:color="auto"/>
            <w:left w:val="none" w:sz="0" w:space="0" w:color="auto"/>
            <w:bottom w:val="none" w:sz="0" w:space="0" w:color="auto"/>
            <w:right w:val="none" w:sz="0" w:space="0" w:color="auto"/>
          </w:divBdr>
          <w:divsChild>
            <w:div w:id="725643545">
              <w:marLeft w:val="0"/>
              <w:marRight w:val="0"/>
              <w:marTop w:val="0"/>
              <w:marBottom w:val="0"/>
              <w:divBdr>
                <w:top w:val="none" w:sz="0" w:space="0" w:color="auto"/>
                <w:left w:val="none" w:sz="0" w:space="0" w:color="auto"/>
                <w:bottom w:val="none" w:sz="0" w:space="0" w:color="auto"/>
                <w:right w:val="none" w:sz="0" w:space="0" w:color="auto"/>
              </w:divBdr>
            </w:div>
          </w:divsChild>
        </w:div>
        <w:div w:id="2075351232">
          <w:marLeft w:val="0"/>
          <w:marRight w:val="0"/>
          <w:marTop w:val="0"/>
          <w:marBottom w:val="0"/>
          <w:divBdr>
            <w:top w:val="none" w:sz="0" w:space="0" w:color="auto"/>
            <w:left w:val="none" w:sz="0" w:space="0" w:color="auto"/>
            <w:bottom w:val="none" w:sz="0" w:space="0" w:color="auto"/>
            <w:right w:val="none" w:sz="0" w:space="0" w:color="auto"/>
          </w:divBdr>
          <w:divsChild>
            <w:div w:id="1653825619">
              <w:marLeft w:val="0"/>
              <w:marRight w:val="0"/>
              <w:marTop w:val="0"/>
              <w:marBottom w:val="0"/>
              <w:divBdr>
                <w:top w:val="none" w:sz="0" w:space="0" w:color="auto"/>
                <w:left w:val="none" w:sz="0" w:space="0" w:color="auto"/>
                <w:bottom w:val="none" w:sz="0" w:space="0" w:color="auto"/>
                <w:right w:val="none" w:sz="0" w:space="0" w:color="auto"/>
              </w:divBdr>
            </w:div>
          </w:divsChild>
        </w:div>
        <w:div w:id="2087339778">
          <w:marLeft w:val="0"/>
          <w:marRight w:val="0"/>
          <w:marTop w:val="0"/>
          <w:marBottom w:val="0"/>
          <w:divBdr>
            <w:top w:val="none" w:sz="0" w:space="0" w:color="auto"/>
            <w:left w:val="none" w:sz="0" w:space="0" w:color="auto"/>
            <w:bottom w:val="none" w:sz="0" w:space="0" w:color="auto"/>
            <w:right w:val="none" w:sz="0" w:space="0" w:color="auto"/>
          </w:divBdr>
          <w:divsChild>
            <w:div w:id="1667827015">
              <w:marLeft w:val="0"/>
              <w:marRight w:val="0"/>
              <w:marTop w:val="0"/>
              <w:marBottom w:val="0"/>
              <w:divBdr>
                <w:top w:val="none" w:sz="0" w:space="0" w:color="auto"/>
                <w:left w:val="none" w:sz="0" w:space="0" w:color="auto"/>
                <w:bottom w:val="none" w:sz="0" w:space="0" w:color="auto"/>
                <w:right w:val="none" w:sz="0" w:space="0" w:color="auto"/>
              </w:divBdr>
            </w:div>
          </w:divsChild>
        </w:div>
        <w:div w:id="2103256313">
          <w:marLeft w:val="0"/>
          <w:marRight w:val="0"/>
          <w:marTop w:val="0"/>
          <w:marBottom w:val="0"/>
          <w:divBdr>
            <w:top w:val="none" w:sz="0" w:space="0" w:color="auto"/>
            <w:left w:val="none" w:sz="0" w:space="0" w:color="auto"/>
            <w:bottom w:val="none" w:sz="0" w:space="0" w:color="auto"/>
            <w:right w:val="none" w:sz="0" w:space="0" w:color="auto"/>
          </w:divBdr>
          <w:divsChild>
            <w:div w:id="1033188539">
              <w:marLeft w:val="0"/>
              <w:marRight w:val="0"/>
              <w:marTop w:val="0"/>
              <w:marBottom w:val="0"/>
              <w:divBdr>
                <w:top w:val="none" w:sz="0" w:space="0" w:color="auto"/>
                <w:left w:val="none" w:sz="0" w:space="0" w:color="auto"/>
                <w:bottom w:val="none" w:sz="0" w:space="0" w:color="auto"/>
                <w:right w:val="none" w:sz="0" w:space="0" w:color="auto"/>
              </w:divBdr>
            </w:div>
          </w:divsChild>
        </w:div>
        <w:div w:id="2106077495">
          <w:marLeft w:val="0"/>
          <w:marRight w:val="0"/>
          <w:marTop w:val="0"/>
          <w:marBottom w:val="0"/>
          <w:divBdr>
            <w:top w:val="none" w:sz="0" w:space="0" w:color="auto"/>
            <w:left w:val="none" w:sz="0" w:space="0" w:color="auto"/>
            <w:bottom w:val="none" w:sz="0" w:space="0" w:color="auto"/>
            <w:right w:val="none" w:sz="0" w:space="0" w:color="auto"/>
          </w:divBdr>
          <w:divsChild>
            <w:div w:id="181172039">
              <w:marLeft w:val="0"/>
              <w:marRight w:val="0"/>
              <w:marTop w:val="0"/>
              <w:marBottom w:val="0"/>
              <w:divBdr>
                <w:top w:val="none" w:sz="0" w:space="0" w:color="auto"/>
                <w:left w:val="none" w:sz="0" w:space="0" w:color="auto"/>
                <w:bottom w:val="none" w:sz="0" w:space="0" w:color="auto"/>
                <w:right w:val="none" w:sz="0" w:space="0" w:color="auto"/>
              </w:divBdr>
            </w:div>
          </w:divsChild>
        </w:div>
        <w:div w:id="2114011376">
          <w:marLeft w:val="0"/>
          <w:marRight w:val="0"/>
          <w:marTop w:val="0"/>
          <w:marBottom w:val="0"/>
          <w:divBdr>
            <w:top w:val="none" w:sz="0" w:space="0" w:color="auto"/>
            <w:left w:val="none" w:sz="0" w:space="0" w:color="auto"/>
            <w:bottom w:val="none" w:sz="0" w:space="0" w:color="auto"/>
            <w:right w:val="none" w:sz="0" w:space="0" w:color="auto"/>
          </w:divBdr>
          <w:divsChild>
            <w:div w:id="12500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8443">
      <w:bodyDiv w:val="1"/>
      <w:marLeft w:val="0"/>
      <w:marRight w:val="0"/>
      <w:marTop w:val="0"/>
      <w:marBottom w:val="0"/>
      <w:divBdr>
        <w:top w:val="none" w:sz="0" w:space="0" w:color="auto"/>
        <w:left w:val="none" w:sz="0" w:space="0" w:color="auto"/>
        <w:bottom w:val="none" w:sz="0" w:space="0" w:color="auto"/>
        <w:right w:val="none" w:sz="0" w:space="0" w:color="auto"/>
      </w:divBdr>
      <w:divsChild>
        <w:div w:id="825588508">
          <w:marLeft w:val="0"/>
          <w:marRight w:val="0"/>
          <w:marTop w:val="0"/>
          <w:marBottom w:val="0"/>
          <w:divBdr>
            <w:top w:val="none" w:sz="0" w:space="0" w:color="auto"/>
            <w:left w:val="none" w:sz="0" w:space="0" w:color="auto"/>
            <w:bottom w:val="none" w:sz="0" w:space="0" w:color="auto"/>
            <w:right w:val="none" w:sz="0" w:space="0" w:color="auto"/>
          </w:divBdr>
          <w:divsChild>
            <w:div w:id="205797007">
              <w:marLeft w:val="0"/>
              <w:marRight w:val="0"/>
              <w:marTop w:val="0"/>
              <w:marBottom w:val="0"/>
              <w:divBdr>
                <w:top w:val="none" w:sz="0" w:space="0" w:color="auto"/>
                <w:left w:val="none" w:sz="0" w:space="0" w:color="auto"/>
                <w:bottom w:val="none" w:sz="0" w:space="0" w:color="auto"/>
                <w:right w:val="none" w:sz="0" w:space="0" w:color="auto"/>
              </w:divBdr>
            </w:div>
          </w:divsChild>
        </w:div>
        <w:div w:id="1641961907">
          <w:marLeft w:val="0"/>
          <w:marRight w:val="0"/>
          <w:marTop w:val="0"/>
          <w:marBottom w:val="0"/>
          <w:divBdr>
            <w:top w:val="none" w:sz="0" w:space="0" w:color="auto"/>
            <w:left w:val="none" w:sz="0" w:space="0" w:color="auto"/>
            <w:bottom w:val="none" w:sz="0" w:space="0" w:color="auto"/>
            <w:right w:val="none" w:sz="0" w:space="0" w:color="auto"/>
          </w:divBdr>
          <w:divsChild>
            <w:div w:id="5422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779">
      <w:bodyDiv w:val="1"/>
      <w:marLeft w:val="0"/>
      <w:marRight w:val="0"/>
      <w:marTop w:val="0"/>
      <w:marBottom w:val="0"/>
      <w:divBdr>
        <w:top w:val="none" w:sz="0" w:space="0" w:color="auto"/>
        <w:left w:val="none" w:sz="0" w:space="0" w:color="auto"/>
        <w:bottom w:val="none" w:sz="0" w:space="0" w:color="auto"/>
        <w:right w:val="none" w:sz="0" w:space="0" w:color="auto"/>
      </w:divBdr>
      <w:divsChild>
        <w:div w:id="689718557">
          <w:marLeft w:val="1080"/>
          <w:marRight w:val="0"/>
          <w:marTop w:val="1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4531739">
      <w:bodyDiv w:val="1"/>
      <w:marLeft w:val="0"/>
      <w:marRight w:val="0"/>
      <w:marTop w:val="0"/>
      <w:marBottom w:val="0"/>
      <w:divBdr>
        <w:top w:val="none" w:sz="0" w:space="0" w:color="auto"/>
        <w:left w:val="none" w:sz="0" w:space="0" w:color="auto"/>
        <w:bottom w:val="none" w:sz="0" w:space="0" w:color="auto"/>
        <w:right w:val="none" w:sz="0" w:space="0" w:color="auto"/>
      </w:divBdr>
      <w:divsChild>
        <w:div w:id="931908">
          <w:marLeft w:val="0"/>
          <w:marRight w:val="0"/>
          <w:marTop w:val="0"/>
          <w:marBottom w:val="0"/>
          <w:divBdr>
            <w:top w:val="none" w:sz="0" w:space="0" w:color="auto"/>
            <w:left w:val="none" w:sz="0" w:space="0" w:color="auto"/>
            <w:bottom w:val="none" w:sz="0" w:space="0" w:color="auto"/>
            <w:right w:val="none" w:sz="0" w:space="0" w:color="auto"/>
          </w:divBdr>
          <w:divsChild>
            <w:div w:id="961229701">
              <w:marLeft w:val="0"/>
              <w:marRight w:val="0"/>
              <w:marTop w:val="0"/>
              <w:marBottom w:val="0"/>
              <w:divBdr>
                <w:top w:val="none" w:sz="0" w:space="0" w:color="auto"/>
                <w:left w:val="none" w:sz="0" w:space="0" w:color="auto"/>
                <w:bottom w:val="none" w:sz="0" w:space="0" w:color="auto"/>
                <w:right w:val="none" w:sz="0" w:space="0" w:color="auto"/>
              </w:divBdr>
            </w:div>
          </w:divsChild>
        </w:div>
        <w:div w:id="1858884">
          <w:marLeft w:val="0"/>
          <w:marRight w:val="0"/>
          <w:marTop w:val="0"/>
          <w:marBottom w:val="0"/>
          <w:divBdr>
            <w:top w:val="none" w:sz="0" w:space="0" w:color="auto"/>
            <w:left w:val="none" w:sz="0" w:space="0" w:color="auto"/>
            <w:bottom w:val="none" w:sz="0" w:space="0" w:color="auto"/>
            <w:right w:val="none" w:sz="0" w:space="0" w:color="auto"/>
          </w:divBdr>
          <w:divsChild>
            <w:div w:id="741761401">
              <w:marLeft w:val="0"/>
              <w:marRight w:val="0"/>
              <w:marTop w:val="0"/>
              <w:marBottom w:val="0"/>
              <w:divBdr>
                <w:top w:val="none" w:sz="0" w:space="0" w:color="auto"/>
                <w:left w:val="none" w:sz="0" w:space="0" w:color="auto"/>
                <w:bottom w:val="none" w:sz="0" w:space="0" w:color="auto"/>
                <w:right w:val="none" w:sz="0" w:space="0" w:color="auto"/>
              </w:divBdr>
            </w:div>
          </w:divsChild>
        </w:div>
        <w:div w:id="18704607">
          <w:marLeft w:val="0"/>
          <w:marRight w:val="0"/>
          <w:marTop w:val="0"/>
          <w:marBottom w:val="0"/>
          <w:divBdr>
            <w:top w:val="none" w:sz="0" w:space="0" w:color="auto"/>
            <w:left w:val="none" w:sz="0" w:space="0" w:color="auto"/>
            <w:bottom w:val="none" w:sz="0" w:space="0" w:color="auto"/>
            <w:right w:val="none" w:sz="0" w:space="0" w:color="auto"/>
          </w:divBdr>
          <w:divsChild>
            <w:div w:id="1415475868">
              <w:marLeft w:val="0"/>
              <w:marRight w:val="0"/>
              <w:marTop w:val="0"/>
              <w:marBottom w:val="0"/>
              <w:divBdr>
                <w:top w:val="none" w:sz="0" w:space="0" w:color="auto"/>
                <w:left w:val="none" w:sz="0" w:space="0" w:color="auto"/>
                <w:bottom w:val="none" w:sz="0" w:space="0" w:color="auto"/>
                <w:right w:val="none" w:sz="0" w:space="0" w:color="auto"/>
              </w:divBdr>
            </w:div>
          </w:divsChild>
        </w:div>
        <w:div w:id="20128148">
          <w:marLeft w:val="0"/>
          <w:marRight w:val="0"/>
          <w:marTop w:val="0"/>
          <w:marBottom w:val="0"/>
          <w:divBdr>
            <w:top w:val="none" w:sz="0" w:space="0" w:color="auto"/>
            <w:left w:val="none" w:sz="0" w:space="0" w:color="auto"/>
            <w:bottom w:val="none" w:sz="0" w:space="0" w:color="auto"/>
            <w:right w:val="none" w:sz="0" w:space="0" w:color="auto"/>
          </w:divBdr>
          <w:divsChild>
            <w:div w:id="693656109">
              <w:marLeft w:val="0"/>
              <w:marRight w:val="0"/>
              <w:marTop w:val="0"/>
              <w:marBottom w:val="0"/>
              <w:divBdr>
                <w:top w:val="none" w:sz="0" w:space="0" w:color="auto"/>
                <w:left w:val="none" w:sz="0" w:space="0" w:color="auto"/>
                <w:bottom w:val="none" w:sz="0" w:space="0" w:color="auto"/>
                <w:right w:val="none" w:sz="0" w:space="0" w:color="auto"/>
              </w:divBdr>
            </w:div>
          </w:divsChild>
        </w:div>
        <w:div w:id="22293852">
          <w:marLeft w:val="0"/>
          <w:marRight w:val="0"/>
          <w:marTop w:val="0"/>
          <w:marBottom w:val="0"/>
          <w:divBdr>
            <w:top w:val="none" w:sz="0" w:space="0" w:color="auto"/>
            <w:left w:val="none" w:sz="0" w:space="0" w:color="auto"/>
            <w:bottom w:val="none" w:sz="0" w:space="0" w:color="auto"/>
            <w:right w:val="none" w:sz="0" w:space="0" w:color="auto"/>
          </w:divBdr>
          <w:divsChild>
            <w:div w:id="1081487603">
              <w:marLeft w:val="0"/>
              <w:marRight w:val="0"/>
              <w:marTop w:val="0"/>
              <w:marBottom w:val="0"/>
              <w:divBdr>
                <w:top w:val="none" w:sz="0" w:space="0" w:color="auto"/>
                <w:left w:val="none" w:sz="0" w:space="0" w:color="auto"/>
                <w:bottom w:val="none" w:sz="0" w:space="0" w:color="auto"/>
                <w:right w:val="none" w:sz="0" w:space="0" w:color="auto"/>
              </w:divBdr>
            </w:div>
          </w:divsChild>
        </w:div>
        <w:div w:id="26294537">
          <w:marLeft w:val="0"/>
          <w:marRight w:val="0"/>
          <w:marTop w:val="0"/>
          <w:marBottom w:val="0"/>
          <w:divBdr>
            <w:top w:val="none" w:sz="0" w:space="0" w:color="auto"/>
            <w:left w:val="none" w:sz="0" w:space="0" w:color="auto"/>
            <w:bottom w:val="none" w:sz="0" w:space="0" w:color="auto"/>
            <w:right w:val="none" w:sz="0" w:space="0" w:color="auto"/>
          </w:divBdr>
          <w:divsChild>
            <w:div w:id="250552379">
              <w:marLeft w:val="0"/>
              <w:marRight w:val="0"/>
              <w:marTop w:val="0"/>
              <w:marBottom w:val="0"/>
              <w:divBdr>
                <w:top w:val="none" w:sz="0" w:space="0" w:color="auto"/>
                <w:left w:val="none" w:sz="0" w:space="0" w:color="auto"/>
                <w:bottom w:val="none" w:sz="0" w:space="0" w:color="auto"/>
                <w:right w:val="none" w:sz="0" w:space="0" w:color="auto"/>
              </w:divBdr>
            </w:div>
          </w:divsChild>
        </w:div>
        <w:div w:id="32928499">
          <w:marLeft w:val="0"/>
          <w:marRight w:val="0"/>
          <w:marTop w:val="0"/>
          <w:marBottom w:val="0"/>
          <w:divBdr>
            <w:top w:val="none" w:sz="0" w:space="0" w:color="auto"/>
            <w:left w:val="none" w:sz="0" w:space="0" w:color="auto"/>
            <w:bottom w:val="none" w:sz="0" w:space="0" w:color="auto"/>
            <w:right w:val="none" w:sz="0" w:space="0" w:color="auto"/>
          </w:divBdr>
          <w:divsChild>
            <w:div w:id="362092702">
              <w:marLeft w:val="0"/>
              <w:marRight w:val="0"/>
              <w:marTop w:val="0"/>
              <w:marBottom w:val="0"/>
              <w:divBdr>
                <w:top w:val="none" w:sz="0" w:space="0" w:color="auto"/>
                <w:left w:val="none" w:sz="0" w:space="0" w:color="auto"/>
                <w:bottom w:val="none" w:sz="0" w:space="0" w:color="auto"/>
                <w:right w:val="none" w:sz="0" w:space="0" w:color="auto"/>
              </w:divBdr>
            </w:div>
          </w:divsChild>
        </w:div>
        <w:div w:id="38827313">
          <w:marLeft w:val="0"/>
          <w:marRight w:val="0"/>
          <w:marTop w:val="0"/>
          <w:marBottom w:val="0"/>
          <w:divBdr>
            <w:top w:val="none" w:sz="0" w:space="0" w:color="auto"/>
            <w:left w:val="none" w:sz="0" w:space="0" w:color="auto"/>
            <w:bottom w:val="none" w:sz="0" w:space="0" w:color="auto"/>
            <w:right w:val="none" w:sz="0" w:space="0" w:color="auto"/>
          </w:divBdr>
          <w:divsChild>
            <w:div w:id="388192813">
              <w:marLeft w:val="0"/>
              <w:marRight w:val="0"/>
              <w:marTop w:val="0"/>
              <w:marBottom w:val="0"/>
              <w:divBdr>
                <w:top w:val="none" w:sz="0" w:space="0" w:color="auto"/>
                <w:left w:val="none" w:sz="0" w:space="0" w:color="auto"/>
                <w:bottom w:val="none" w:sz="0" w:space="0" w:color="auto"/>
                <w:right w:val="none" w:sz="0" w:space="0" w:color="auto"/>
              </w:divBdr>
            </w:div>
          </w:divsChild>
        </w:div>
        <w:div w:id="56361562">
          <w:marLeft w:val="0"/>
          <w:marRight w:val="0"/>
          <w:marTop w:val="0"/>
          <w:marBottom w:val="0"/>
          <w:divBdr>
            <w:top w:val="none" w:sz="0" w:space="0" w:color="auto"/>
            <w:left w:val="none" w:sz="0" w:space="0" w:color="auto"/>
            <w:bottom w:val="none" w:sz="0" w:space="0" w:color="auto"/>
            <w:right w:val="none" w:sz="0" w:space="0" w:color="auto"/>
          </w:divBdr>
          <w:divsChild>
            <w:div w:id="1462306973">
              <w:marLeft w:val="0"/>
              <w:marRight w:val="0"/>
              <w:marTop w:val="0"/>
              <w:marBottom w:val="0"/>
              <w:divBdr>
                <w:top w:val="none" w:sz="0" w:space="0" w:color="auto"/>
                <w:left w:val="none" w:sz="0" w:space="0" w:color="auto"/>
                <w:bottom w:val="none" w:sz="0" w:space="0" w:color="auto"/>
                <w:right w:val="none" w:sz="0" w:space="0" w:color="auto"/>
              </w:divBdr>
            </w:div>
          </w:divsChild>
        </w:div>
        <w:div w:id="67773699">
          <w:marLeft w:val="0"/>
          <w:marRight w:val="0"/>
          <w:marTop w:val="0"/>
          <w:marBottom w:val="0"/>
          <w:divBdr>
            <w:top w:val="none" w:sz="0" w:space="0" w:color="auto"/>
            <w:left w:val="none" w:sz="0" w:space="0" w:color="auto"/>
            <w:bottom w:val="none" w:sz="0" w:space="0" w:color="auto"/>
            <w:right w:val="none" w:sz="0" w:space="0" w:color="auto"/>
          </w:divBdr>
          <w:divsChild>
            <w:div w:id="1754473605">
              <w:marLeft w:val="0"/>
              <w:marRight w:val="0"/>
              <w:marTop w:val="0"/>
              <w:marBottom w:val="0"/>
              <w:divBdr>
                <w:top w:val="none" w:sz="0" w:space="0" w:color="auto"/>
                <w:left w:val="none" w:sz="0" w:space="0" w:color="auto"/>
                <w:bottom w:val="none" w:sz="0" w:space="0" w:color="auto"/>
                <w:right w:val="none" w:sz="0" w:space="0" w:color="auto"/>
              </w:divBdr>
            </w:div>
          </w:divsChild>
        </w:div>
        <w:div w:id="85422987">
          <w:marLeft w:val="0"/>
          <w:marRight w:val="0"/>
          <w:marTop w:val="0"/>
          <w:marBottom w:val="0"/>
          <w:divBdr>
            <w:top w:val="none" w:sz="0" w:space="0" w:color="auto"/>
            <w:left w:val="none" w:sz="0" w:space="0" w:color="auto"/>
            <w:bottom w:val="none" w:sz="0" w:space="0" w:color="auto"/>
            <w:right w:val="none" w:sz="0" w:space="0" w:color="auto"/>
          </w:divBdr>
          <w:divsChild>
            <w:div w:id="599877206">
              <w:marLeft w:val="0"/>
              <w:marRight w:val="0"/>
              <w:marTop w:val="0"/>
              <w:marBottom w:val="0"/>
              <w:divBdr>
                <w:top w:val="none" w:sz="0" w:space="0" w:color="auto"/>
                <w:left w:val="none" w:sz="0" w:space="0" w:color="auto"/>
                <w:bottom w:val="none" w:sz="0" w:space="0" w:color="auto"/>
                <w:right w:val="none" w:sz="0" w:space="0" w:color="auto"/>
              </w:divBdr>
            </w:div>
          </w:divsChild>
        </w:div>
        <w:div w:id="128866182">
          <w:marLeft w:val="0"/>
          <w:marRight w:val="0"/>
          <w:marTop w:val="0"/>
          <w:marBottom w:val="0"/>
          <w:divBdr>
            <w:top w:val="none" w:sz="0" w:space="0" w:color="auto"/>
            <w:left w:val="none" w:sz="0" w:space="0" w:color="auto"/>
            <w:bottom w:val="none" w:sz="0" w:space="0" w:color="auto"/>
            <w:right w:val="none" w:sz="0" w:space="0" w:color="auto"/>
          </w:divBdr>
          <w:divsChild>
            <w:div w:id="1748183340">
              <w:marLeft w:val="0"/>
              <w:marRight w:val="0"/>
              <w:marTop w:val="0"/>
              <w:marBottom w:val="0"/>
              <w:divBdr>
                <w:top w:val="none" w:sz="0" w:space="0" w:color="auto"/>
                <w:left w:val="none" w:sz="0" w:space="0" w:color="auto"/>
                <w:bottom w:val="none" w:sz="0" w:space="0" w:color="auto"/>
                <w:right w:val="none" w:sz="0" w:space="0" w:color="auto"/>
              </w:divBdr>
            </w:div>
          </w:divsChild>
        </w:div>
        <w:div w:id="147746119">
          <w:marLeft w:val="0"/>
          <w:marRight w:val="0"/>
          <w:marTop w:val="0"/>
          <w:marBottom w:val="0"/>
          <w:divBdr>
            <w:top w:val="none" w:sz="0" w:space="0" w:color="auto"/>
            <w:left w:val="none" w:sz="0" w:space="0" w:color="auto"/>
            <w:bottom w:val="none" w:sz="0" w:space="0" w:color="auto"/>
            <w:right w:val="none" w:sz="0" w:space="0" w:color="auto"/>
          </w:divBdr>
          <w:divsChild>
            <w:div w:id="556284452">
              <w:marLeft w:val="0"/>
              <w:marRight w:val="0"/>
              <w:marTop w:val="0"/>
              <w:marBottom w:val="0"/>
              <w:divBdr>
                <w:top w:val="none" w:sz="0" w:space="0" w:color="auto"/>
                <w:left w:val="none" w:sz="0" w:space="0" w:color="auto"/>
                <w:bottom w:val="none" w:sz="0" w:space="0" w:color="auto"/>
                <w:right w:val="none" w:sz="0" w:space="0" w:color="auto"/>
              </w:divBdr>
            </w:div>
          </w:divsChild>
        </w:div>
        <w:div w:id="177161219">
          <w:marLeft w:val="0"/>
          <w:marRight w:val="0"/>
          <w:marTop w:val="0"/>
          <w:marBottom w:val="0"/>
          <w:divBdr>
            <w:top w:val="none" w:sz="0" w:space="0" w:color="auto"/>
            <w:left w:val="none" w:sz="0" w:space="0" w:color="auto"/>
            <w:bottom w:val="none" w:sz="0" w:space="0" w:color="auto"/>
            <w:right w:val="none" w:sz="0" w:space="0" w:color="auto"/>
          </w:divBdr>
          <w:divsChild>
            <w:div w:id="282543716">
              <w:marLeft w:val="0"/>
              <w:marRight w:val="0"/>
              <w:marTop w:val="0"/>
              <w:marBottom w:val="0"/>
              <w:divBdr>
                <w:top w:val="none" w:sz="0" w:space="0" w:color="auto"/>
                <w:left w:val="none" w:sz="0" w:space="0" w:color="auto"/>
                <w:bottom w:val="none" w:sz="0" w:space="0" w:color="auto"/>
                <w:right w:val="none" w:sz="0" w:space="0" w:color="auto"/>
              </w:divBdr>
            </w:div>
          </w:divsChild>
        </w:div>
        <w:div w:id="203758678">
          <w:marLeft w:val="0"/>
          <w:marRight w:val="0"/>
          <w:marTop w:val="0"/>
          <w:marBottom w:val="0"/>
          <w:divBdr>
            <w:top w:val="none" w:sz="0" w:space="0" w:color="auto"/>
            <w:left w:val="none" w:sz="0" w:space="0" w:color="auto"/>
            <w:bottom w:val="none" w:sz="0" w:space="0" w:color="auto"/>
            <w:right w:val="none" w:sz="0" w:space="0" w:color="auto"/>
          </w:divBdr>
          <w:divsChild>
            <w:div w:id="1051343396">
              <w:marLeft w:val="0"/>
              <w:marRight w:val="0"/>
              <w:marTop w:val="0"/>
              <w:marBottom w:val="0"/>
              <w:divBdr>
                <w:top w:val="none" w:sz="0" w:space="0" w:color="auto"/>
                <w:left w:val="none" w:sz="0" w:space="0" w:color="auto"/>
                <w:bottom w:val="none" w:sz="0" w:space="0" w:color="auto"/>
                <w:right w:val="none" w:sz="0" w:space="0" w:color="auto"/>
              </w:divBdr>
            </w:div>
          </w:divsChild>
        </w:div>
        <w:div w:id="210651591">
          <w:marLeft w:val="0"/>
          <w:marRight w:val="0"/>
          <w:marTop w:val="0"/>
          <w:marBottom w:val="0"/>
          <w:divBdr>
            <w:top w:val="none" w:sz="0" w:space="0" w:color="auto"/>
            <w:left w:val="none" w:sz="0" w:space="0" w:color="auto"/>
            <w:bottom w:val="none" w:sz="0" w:space="0" w:color="auto"/>
            <w:right w:val="none" w:sz="0" w:space="0" w:color="auto"/>
          </w:divBdr>
          <w:divsChild>
            <w:div w:id="557088453">
              <w:marLeft w:val="0"/>
              <w:marRight w:val="0"/>
              <w:marTop w:val="0"/>
              <w:marBottom w:val="0"/>
              <w:divBdr>
                <w:top w:val="none" w:sz="0" w:space="0" w:color="auto"/>
                <w:left w:val="none" w:sz="0" w:space="0" w:color="auto"/>
                <w:bottom w:val="none" w:sz="0" w:space="0" w:color="auto"/>
                <w:right w:val="none" w:sz="0" w:space="0" w:color="auto"/>
              </w:divBdr>
            </w:div>
          </w:divsChild>
        </w:div>
        <w:div w:id="229657737">
          <w:marLeft w:val="0"/>
          <w:marRight w:val="0"/>
          <w:marTop w:val="0"/>
          <w:marBottom w:val="0"/>
          <w:divBdr>
            <w:top w:val="none" w:sz="0" w:space="0" w:color="auto"/>
            <w:left w:val="none" w:sz="0" w:space="0" w:color="auto"/>
            <w:bottom w:val="none" w:sz="0" w:space="0" w:color="auto"/>
            <w:right w:val="none" w:sz="0" w:space="0" w:color="auto"/>
          </w:divBdr>
          <w:divsChild>
            <w:div w:id="1663503001">
              <w:marLeft w:val="0"/>
              <w:marRight w:val="0"/>
              <w:marTop w:val="0"/>
              <w:marBottom w:val="0"/>
              <w:divBdr>
                <w:top w:val="none" w:sz="0" w:space="0" w:color="auto"/>
                <w:left w:val="none" w:sz="0" w:space="0" w:color="auto"/>
                <w:bottom w:val="none" w:sz="0" w:space="0" w:color="auto"/>
                <w:right w:val="none" w:sz="0" w:space="0" w:color="auto"/>
              </w:divBdr>
            </w:div>
          </w:divsChild>
        </w:div>
        <w:div w:id="245310827">
          <w:marLeft w:val="0"/>
          <w:marRight w:val="0"/>
          <w:marTop w:val="0"/>
          <w:marBottom w:val="0"/>
          <w:divBdr>
            <w:top w:val="none" w:sz="0" w:space="0" w:color="auto"/>
            <w:left w:val="none" w:sz="0" w:space="0" w:color="auto"/>
            <w:bottom w:val="none" w:sz="0" w:space="0" w:color="auto"/>
            <w:right w:val="none" w:sz="0" w:space="0" w:color="auto"/>
          </w:divBdr>
          <w:divsChild>
            <w:div w:id="980161491">
              <w:marLeft w:val="0"/>
              <w:marRight w:val="0"/>
              <w:marTop w:val="0"/>
              <w:marBottom w:val="0"/>
              <w:divBdr>
                <w:top w:val="none" w:sz="0" w:space="0" w:color="auto"/>
                <w:left w:val="none" w:sz="0" w:space="0" w:color="auto"/>
                <w:bottom w:val="none" w:sz="0" w:space="0" w:color="auto"/>
                <w:right w:val="none" w:sz="0" w:space="0" w:color="auto"/>
              </w:divBdr>
            </w:div>
          </w:divsChild>
        </w:div>
        <w:div w:id="252278887">
          <w:marLeft w:val="0"/>
          <w:marRight w:val="0"/>
          <w:marTop w:val="0"/>
          <w:marBottom w:val="0"/>
          <w:divBdr>
            <w:top w:val="none" w:sz="0" w:space="0" w:color="auto"/>
            <w:left w:val="none" w:sz="0" w:space="0" w:color="auto"/>
            <w:bottom w:val="none" w:sz="0" w:space="0" w:color="auto"/>
            <w:right w:val="none" w:sz="0" w:space="0" w:color="auto"/>
          </w:divBdr>
          <w:divsChild>
            <w:div w:id="927541531">
              <w:marLeft w:val="0"/>
              <w:marRight w:val="0"/>
              <w:marTop w:val="0"/>
              <w:marBottom w:val="0"/>
              <w:divBdr>
                <w:top w:val="none" w:sz="0" w:space="0" w:color="auto"/>
                <w:left w:val="none" w:sz="0" w:space="0" w:color="auto"/>
                <w:bottom w:val="none" w:sz="0" w:space="0" w:color="auto"/>
                <w:right w:val="none" w:sz="0" w:space="0" w:color="auto"/>
              </w:divBdr>
            </w:div>
          </w:divsChild>
        </w:div>
        <w:div w:id="263854047">
          <w:marLeft w:val="0"/>
          <w:marRight w:val="0"/>
          <w:marTop w:val="0"/>
          <w:marBottom w:val="0"/>
          <w:divBdr>
            <w:top w:val="none" w:sz="0" w:space="0" w:color="auto"/>
            <w:left w:val="none" w:sz="0" w:space="0" w:color="auto"/>
            <w:bottom w:val="none" w:sz="0" w:space="0" w:color="auto"/>
            <w:right w:val="none" w:sz="0" w:space="0" w:color="auto"/>
          </w:divBdr>
          <w:divsChild>
            <w:div w:id="128129877">
              <w:marLeft w:val="0"/>
              <w:marRight w:val="0"/>
              <w:marTop w:val="0"/>
              <w:marBottom w:val="0"/>
              <w:divBdr>
                <w:top w:val="none" w:sz="0" w:space="0" w:color="auto"/>
                <w:left w:val="none" w:sz="0" w:space="0" w:color="auto"/>
                <w:bottom w:val="none" w:sz="0" w:space="0" w:color="auto"/>
                <w:right w:val="none" w:sz="0" w:space="0" w:color="auto"/>
              </w:divBdr>
            </w:div>
          </w:divsChild>
        </w:div>
        <w:div w:id="286862543">
          <w:marLeft w:val="0"/>
          <w:marRight w:val="0"/>
          <w:marTop w:val="0"/>
          <w:marBottom w:val="0"/>
          <w:divBdr>
            <w:top w:val="none" w:sz="0" w:space="0" w:color="auto"/>
            <w:left w:val="none" w:sz="0" w:space="0" w:color="auto"/>
            <w:bottom w:val="none" w:sz="0" w:space="0" w:color="auto"/>
            <w:right w:val="none" w:sz="0" w:space="0" w:color="auto"/>
          </w:divBdr>
          <w:divsChild>
            <w:div w:id="741875921">
              <w:marLeft w:val="0"/>
              <w:marRight w:val="0"/>
              <w:marTop w:val="0"/>
              <w:marBottom w:val="0"/>
              <w:divBdr>
                <w:top w:val="none" w:sz="0" w:space="0" w:color="auto"/>
                <w:left w:val="none" w:sz="0" w:space="0" w:color="auto"/>
                <w:bottom w:val="none" w:sz="0" w:space="0" w:color="auto"/>
                <w:right w:val="none" w:sz="0" w:space="0" w:color="auto"/>
              </w:divBdr>
            </w:div>
          </w:divsChild>
        </w:div>
        <w:div w:id="306519435">
          <w:marLeft w:val="0"/>
          <w:marRight w:val="0"/>
          <w:marTop w:val="0"/>
          <w:marBottom w:val="0"/>
          <w:divBdr>
            <w:top w:val="none" w:sz="0" w:space="0" w:color="auto"/>
            <w:left w:val="none" w:sz="0" w:space="0" w:color="auto"/>
            <w:bottom w:val="none" w:sz="0" w:space="0" w:color="auto"/>
            <w:right w:val="none" w:sz="0" w:space="0" w:color="auto"/>
          </w:divBdr>
          <w:divsChild>
            <w:div w:id="1412047044">
              <w:marLeft w:val="0"/>
              <w:marRight w:val="0"/>
              <w:marTop w:val="0"/>
              <w:marBottom w:val="0"/>
              <w:divBdr>
                <w:top w:val="none" w:sz="0" w:space="0" w:color="auto"/>
                <w:left w:val="none" w:sz="0" w:space="0" w:color="auto"/>
                <w:bottom w:val="none" w:sz="0" w:space="0" w:color="auto"/>
                <w:right w:val="none" w:sz="0" w:space="0" w:color="auto"/>
              </w:divBdr>
            </w:div>
          </w:divsChild>
        </w:div>
        <w:div w:id="308168044">
          <w:marLeft w:val="0"/>
          <w:marRight w:val="0"/>
          <w:marTop w:val="0"/>
          <w:marBottom w:val="0"/>
          <w:divBdr>
            <w:top w:val="none" w:sz="0" w:space="0" w:color="auto"/>
            <w:left w:val="none" w:sz="0" w:space="0" w:color="auto"/>
            <w:bottom w:val="none" w:sz="0" w:space="0" w:color="auto"/>
            <w:right w:val="none" w:sz="0" w:space="0" w:color="auto"/>
          </w:divBdr>
          <w:divsChild>
            <w:div w:id="894240655">
              <w:marLeft w:val="0"/>
              <w:marRight w:val="0"/>
              <w:marTop w:val="0"/>
              <w:marBottom w:val="0"/>
              <w:divBdr>
                <w:top w:val="none" w:sz="0" w:space="0" w:color="auto"/>
                <w:left w:val="none" w:sz="0" w:space="0" w:color="auto"/>
                <w:bottom w:val="none" w:sz="0" w:space="0" w:color="auto"/>
                <w:right w:val="none" w:sz="0" w:space="0" w:color="auto"/>
              </w:divBdr>
            </w:div>
          </w:divsChild>
        </w:div>
        <w:div w:id="313871791">
          <w:marLeft w:val="0"/>
          <w:marRight w:val="0"/>
          <w:marTop w:val="0"/>
          <w:marBottom w:val="0"/>
          <w:divBdr>
            <w:top w:val="none" w:sz="0" w:space="0" w:color="auto"/>
            <w:left w:val="none" w:sz="0" w:space="0" w:color="auto"/>
            <w:bottom w:val="none" w:sz="0" w:space="0" w:color="auto"/>
            <w:right w:val="none" w:sz="0" w:space="0" w:color="auto"/>
          </w:divBdr>
          <w:divsChild>
            <w:div w:id="1156872368">
              <w:marLeft w:val="0"/>
              <w:marRight w:val="0"/>
              <w:marTop w:val="0"/>
              <w:marBottom w:val="0"/>
              <w:divBdr>
                <w:top w:val="none" w:sz="0" w:space="0" w:color="auto"/>
                <w:left w:val="none" w:sz="0" w:space="0" w:color="auto"/>
                <w:bottom w:val="none" w:sz="0" w:space="0" w:color="auto"/>
                <w:right w:val="none" w:sz="0" w:space="0" w:color="auto"/>
              </w:divBdr>
            </w:div>
          </w:divsChild>
        </w:div>
        <w:div w:id="321278712">
          <w:marLeft w:val="0"/>
          <w:marRight w:val="0"/>
          <w:marTop w:val="0"/>
          <w:marBottom w:val="0"/>
          <w:divBdr>
            <w:top w:val="none" w:sz="0" w:space="0" w:color="auto"/>
            <w:left w:val="none" w:sz="0" w:space="0" w:color="auto"/>
            <w:bottom w:val="none" w:sz="0" w:space="0" w:color="auto"/>
            <w:right w:val="none" w:sz="0" w:space="0" w:color="auto"/>
          </w:divBdr>
          <w:divsChild>
            <w:div w:id="2056614704">
              <w:marLeft w:val="0"/>
              <w:marRight w:val="0"/>
              <w:marTop w:val="0"/>
              <w:marBottom w:val="0"/>
              <w:divBdr>
                <w:top w:val="none" w:sz="0" w:space="0" w:color="auto"/>
                <w:left w:val="none" w:sz="0" w:space="0" w:color="auto"/>
                <w:bottom w:val="none" w:sz="0" w:space="0" w:color="auto"/>
                <w:right w:val="none" w:sz="0" w:space="0" w:color="auto"/>
              </w:divBdr>
            </w:div>
          </w:divsChild>
        </w:div>
        <w:div w:id="343214163">
          <w:marLeft w:val="0"/>
          <w:marRight w:val="0"/>
          <w:marTop w:val="0"/>
          <w:marBottom w:val="0"/>
          <w:divBdr>
            <w:top w:val="none" w:sz="0" w:space="0" w:color="auto"/>
            <w:left w:val="none" w:sz="0" w:space="0" w:color="auto"/>
            <w:bottom w:val="none" w:sz="0" w:space="0" w:color="auto"/>
            <w:right w:val="none" w:sz="0" w:space="0" w:color="auto"/>
          </w:divBdr>
          <w:divsChild>
            <w:div w:id="181477652">
              <w:marLeft w:val="0"/>
              <w:marRight w:val="0"/>
              <w:marTop w:val="0"/>
              <w:marBottom w:val="0"/>
              <w:divBdr>
                <w:top w:val="none" w:sz="0" w:space="0" w:color="auto"/>
                <w:left w:val="none" w:sz="0" w:space="0" w:color="auto"/>
                <w:bottom w:val="none" w:sz="0" w:space="0" w:color="auto"/>
                <w:right w:val="none" w:sz="0" w:space="0" w:color="auto"/>
              </w:divBdr>
            </w:div>
          </w:divsChild>
        </w:div>
        <w:div w:id="362484110">
          <w:marLeft w:val="0"/>
          <w:marRight w:val="0"/>
          <w:marTop w:val="0"/>
          <w:marBottom w:val="0"/>
          <w:divBdr>
            <w:top w:val="none" w:sz="0" w:space="0" w:color="auto"/>
            <w:left w:val="none" w:sz="0" w:space="0" w:color="auto"/>
            <w:bottom w:val="none" w:sz="0" w:space="0" w:color="auto"/>
            <w:right w:val="none" w:sz="0" w:space="0" w:color="auto"/>
          </w:divBdr>
          <w:divsChild>
            <w:div w:id="1405568082">
              <w:marLeft w:val="0"/>
              <w:marRight w:val="0"/>
              <w:marTop w:val="0"/>
              <w:marBottom w:val="0"/>
              <w:divBdr>
                <w:top w:val="none" w:sz="0" w:space="0" w:color="auto"/>
                <w:left w:val="none" w:sz="0" w:space="0" w:color="auto"/>
                <w:bottom w:val="none" w:sz="0" w:space="0" w:color="auto"/>
                <w:right w:val="none" w:sz="0" w:space="0" w:color="auto"/>
              </w:divBdr>
            </w:div>
          </w:divsChild>
        </w:div>
        <w:div w:id="373653267">
          <w:marLeft w:val="0"/>
          <w:marRight w:val="0"/>
          <w:marTop w:val="0"/>
          <w:marBottom w:val="0"/>
          <w:divBdr>
            <w:top w:val="none" w:sz="0" w:space="0" w:color="auto"/>
            <w:left w:val="none" w:sz="0" w:space="0" w:color="auto"/>
            <w:bottom w:val="none" w:sz="0" w:space="0" w:color="auto"/>
            <w:right w:val="none" w:sz="0" w:space="0" w:color="auto"/>
          </w:divBdr>
          <w:divsChild>
            <w:div w:id="1534028601">
              <w:marLeft w:val="0"/>
              <w:marRight w:val="0"/>
              <w:marTop w:val="0"/>
              <w:marBottom w:val="0"/>
              <w:divBdr>
                <w:top w:val="none" w:sz="0" w:space="0" w:color="auto"/>
                <w:left w:val="none" w:sz="0" w:space="0" w:color="auto"/>
                <w:bottom w:val="none" w:sz="0" w:space="0" w:color="auto"/>
                <w:right w:val="none" w:sz="0" w:space="0" w:color="auto"/>
              </w:divBdr>
            </w:div>
          </w:divsChild>
        </w:div>
        <w:div w:id="432437793">
          <w:marLeft w:val="0"/>
          <w:marRight w:val="0"/>
          <w:marTop w:val="0"/>
          <w:marBottom w:val="0"/>
          <w:divBdr>
            <w:top w:val="none" w:sz="0" w:space="0" w:color="auto"/>
            <w:left w:val="none" w:sz="0" w:space="0" w:color="auto"/>
            <w:bottom w:val="none" w:sz="0" w:space="0" w:color="auto"/>
            <w:right w:val="none" w:sz="0" w:space="0" w:color="auto"/>
          </w:divBdr>
          <w:divsChild>
            <w:div w:id="447091634">
              <w:marLeft w:val="0"/>
              <w:marRight w:val="0"/>
              <w:marTop w:val="0"/>
              <w:marBottom w:val="0"/>
              <w:divBdr>
                <w:top w:val="none" w:sz="0" w:space="0" w:color="auto"/>
                <w:left w:val="none" w:sz="0" w:space="0" w:color="auto"/>
                <w:bottom w:val="none" w:sz="0" w:space="0" w:color="auto"/>
                <w:right w:val="none" w:sz="0" w:space="0" w:color="auto"/>
              </w:divBdr>
            </w:div>
          </w:divsChild>
        </w:div>
        <w:div w:id="441002592">
          <w:marLeft w:val="0"/>
          <w:marRight w:val="0"/>
          <w:marTop w:val="0"/>
          <w:marBottom w:val="0"/>
          <w:divBdr>
            <w:top w:val="none" w:sz="0" w:space="0" w:color="auto"/>
            <w:left w:val="none" w:sz="0" w:space="0" w:color="auto"/>
            <w:bottom w:val="none" w:sz="0" w:space="0" w:color="auto"/>
            <w:right w:val="none" w:sz="0" w:space="0" w:color="auto"/>
          </w:divBdr>
          <w:divsChild>
            <w:div w:id="1897160798">
              <w:marLeft w:val="0"/>
              <w:marRight w:val="0"/>
              <w:marTop w:val="0"/>
              <w:marBottom w:val="0"/>
              <w:divBdr>
                <w:top w:val="none" w:sz="0" w:space="0" w:color="auto"/>
                <w:left w:val="none" w:sz="0" w:space="0" w:color="auto"/>
                <w:bottom w:val="none" w:sz="0" w:space="0" w:color="auto"/>
                <w:right w:val="none" w:sz="0" w:space="0" w:color="auto"/>
              </w:divBdr>
            </w:div>
          </w:divsChild>
        </w:div>
        <w:div w:id="452290148">
          <w:marLeft w:val="0"/>
          <w:marRight w:val="0"/>
          <w:marTop w:val="0"/>
          <w:marBottom w:val="0"/>
          <w:divBdr>
            <w:top w:val="none" w:sz="0" w:space="0" w:color="auto"/>
            <w:left w:val="none" w:sz="0" w:space="0" w:color="auto"/>
            <w:bottom w:val="none" w:sz="0" w:space="0" w:color="auto"/>
            <w:right w:val="none" w:sz="0" w:space="0" w:color="auto"/>
          </w:divBdr>
          <w:divsChild>
            <w:div w:id="1507473833">
              <w:marLeft w:val="0"/>
              <w:marRight w:val="0"/>
              <w:marTop w:val="0"/>
              <w:marBottom w:val="0"/>
              <w:divBdr>
                <w:top w:val="none" w:sz="0" w:space="0" w:color="auto"/>
                <w:left w:val="none" w:sz="0" w:space="0" w:color="auto"/>
                <w:bottom w:val="none" w:sz="0" w:space="0" w:color="auto"/>
                <w:right w:val="none" w:sz="0" w:space="0" w:color="auto"/>
              </w:divBdr>
            </w:div>
          </w:divsChild>
        </w:div>
        <w:div w:id="507257688">
          <w:marLeft w:val="0"/>
          <w:marRight w:val="0"/>
          <w:marTop w:val="0"/>
          <w:marBottom w:val="0"/>
          <w:divBdr>
            <w:top w:val="none" w:sz="0" w:space="0" w:color="auto"/>
            <w:left w:val="none" w:sz="0" w:space="0" w:color="auto"/>
            <w:bottom w:val="none" w:sz="0" w:space="0" w:color="auto"/>
            <w:right w:val="none" w:sz="0" w:space="0" w:color="auto"/>
          </w:divBdr>
          <w:divsChild>
            <w:div w:id="1011881162">
              <w:marLeft w:val="0"/>
              <w:marRight w:val="0"/>
              <w:marTop w:val="0"/>
              <w:marBottom w:val="0"/>
              <w:divBdr>
                <w:top w:val="none" w:sz="0" w:space="0" w:color="auto"/>
                <w:left w:val="none" w:sz="0" w:space="0" w:color="auto"/>
                <w:bottom w:val="none" w:sz="0" w:space="0" w:color="auto"/>
                <w:right w:val="none" w:sz="0" w:space="0" w:color="auto"/>
              </w:divBdr>
            </w:div>
          </w:divsChild>
        </w:div>
        <w:div w:id="526068572">
          <w:marLeft w:val="0"/>
          <w:marRight w:val="0"/>
          <w:marTop w:val="0"/>
          <w:marBottom w:val="0"/>
          <w:divBdr>
            <w:top w:val="none" w:sz="0" w:space="0" w:color="auto"/>
            <w:left w:val="none" w:sz="0" w:space="0" w:color="auto"/>
            <w:bottom w:val="none" w:sz="0" w:space="0" w:color="auto"/>
            <w:right w:val="none" w:sz="0" w:space="0" w:color="auto"/>
          </w:divBdr>
          <w:divsChild>
            <w:div w:id="646276794">
              <w:marLeft w:val="0"/>
              <w:marRight w:val="0"/>
              <w:marTop w:val="0"/>
              <w:marBottom w:val="0"/>
              <w:divBdr>
                <w:top w:val="none" w:sz="0" w:space="0" w:color="auto"/>
                <w:left w:val="none" w:sz="0" w:space="0" w:color="auto"/>
                <w:bottom w:val="none" w:sz="0" w:space="0" w:color="auto"/>
                <w:right w:val="none" w:sz="0" w:space="0" w:color="auto"/>
              </w:divBdr>
            </w:div>
          </w:divsChild>
        </w:div>
        <w:div w:id="549465675">
          <w:marLeft w:val="0"/>
          <w:marRight w:val="0"/>
          <w:marTop w:val="0"/>
          <w:marBottom w:val="0"/>
          <w:divBdr>
            <w:top w:val="none" w:sz="0" w:space="0" w:color="auto"/>
            <w:left w:val="none" w:sz="0" w:space="0" w:color="auto"/>
            <w:bottom w:val="none" w:sz="0" w:space="0" w:color="auto"/>
            <w:right w:val="none" w:sz="0" w:space="0" w:color="auto"/>
          </w:divBdr>
          <w:divsChild>
            <w:div w:id="1818568721">
              <w:marLeft w:val="0"/>
              <w:marRight w:val="0"/>
              <w:marTop w:val="0"/>
              <w:marBottom w:val="0"/>
              <w:divBdr>
                <w:top w:val="none" w:sz="0" w:space="0" w:color="auto"/>
                <w:left w:val="none" w:sz="0" w:space="0" w:color="auto"/>
                <w:bottom w:val="none" w:sz="0" w:space="0" w:color="auto"/>
                <w:right w:val="none" w:sz="0" w:space="0" w:color="auto"/>
              </w:divBdr>
            </w:div>
          </w:divsChild>
        </w:div>
        <w:div w:id="602154570">
          <w:marLeft w:val="0"/>
          <w:marRight w:val="0"/>
          <w:marTop w:val="0"/>
          <w:marBottom w:val="0"/>
          <w:divBdr>
            <w:top w:val="none" w:sz="0" w:space="0" w:color="auto"/>
            <w:left w:val="none" w:sz="0" w:space="0" w:color="auto"/>
            <w:bottom w:val="none" w:sz="0" w:space="0" w:color="auto"/>
            <w:right w:val="none" w:sz="0" w:space="0" w:color="auto"/>
          </w:divBdr>
          <w:divsChild>
            <w:div w:id="1582521952">
              <w:marLeft w:val="0"/>
              <w:marRight w:val="0"/>
              <w:marTop w:val="0"/>
              <w:marBottom w:val="0"/>
              <w:divBdr>
                <w:top w:val="none" w:sz="0" w:space="0" w:color="auto"/>
                <w:left w:val="none" w:sz="0" w:space="0" w:color="auto"/>
                <w:bottom w:val="none" w:sz="0" w:space="0" w:color="auto"/>
                <w:right w:val="none" w:sz="0" w:space="0" w:color="auto"/>
              </w:divBdr>
            </w:div>
          </w:divsChild>
        </w:div>
        <w:div w:id="609046590">
          <w:marLeft w:val="0"/>
          <w:marRight w:val="0"/>
          <w:marTop w:val="0"/>
          <w:marBottom w:val="0"/>
          <w:divBdr>
            <w:top w:val="none" w:sz="0" w:space="0" w:color="auto"/>
            <w:left w:val="none" w:sz="0" w:space="0" w:color="auto"/>
            <w:bottom w:val="none" w:sz="0" w:space="0" w:color="auto"/>
            <w:right w:val="none" w:sz="0" w:space="0" w:color="auto"/>
          </w:divBdr>
          <w:divsChild>
            <w:div w:id="1001391776">
              <w:marLeft w:val="0"/>
              <w:marRight w:val="0"/>
              <w:marTop w:val="0"/>
              <w:marBottom w:val="0"/>
              <w:divBdr>
                <w:top w:val="none" w:sz="0" w:space="0" w:color="auto"/>
                <w:left w:val="none" w:sz="0" w:space="0" w:color="auto"/>
                <w:bottom w:val="none" w:sz="0" w:space="0" w:color="auto"/>
                <w:right w:val="none" w:sz="0" w:space="0" w:color="auto"/>
              </w:divBdr>
            </w:div>
          </w:divsChild>
        </w:div>
        <w:div w:id="629408863">
          <w:marLeft w:val="0"/>
          <w:marRight w:val="0"/>
          <w:marTop w:val="0"/>
          <w:marBottom w:val="0"/>
          <w:divBdr>
            <w:top w:val="none" w:sz="0" w:space="0" w:color="auto"/>
            <w:left w:val="none" w:sz="0" w:space="0" w:color="auto"/>
            <w:bottom w:val="none" w:sz="0" w:space="0" w:color="auto"/>
            <w:right w:val="none" w:sz="0" w:space="0" w:color="auto"/>
          </w:divBdr>
          <w:divsChild>
            <w:div w:id="673533531">
              <w:marLeft w:val="0"/>
              <w:marRight w:val="0"/>
              <w:marTop w:val="0"/>
              <w:marBottom w:val="0"/>
              <w:divBdr>
                <w:top w:val="none" w:sz="0" w:space="0" w:color="auto"/>
                <w:left w:val="none" w:sz="0" w:space="0" w:color="auto"/>
                <w:bottom w:val="none" w:sz="0" w:space="0" w:color="auto"/>
                <w:right w:val="none" w:sz="0" w:space="0" w:color="auto"/>
              </w:divBdr>
            </w:div>
          </w:divsChild>
        </w:div>
        <w:div w:id="638803996">
          <w:marLeft w:val="0"/>
          <w:marRight w:val="0"/>
          <w:marTop w:val="0"/>
          <w:marBottom w:val="0"/>
          <w:divBdr>
            <w:top w:val="none" w:sz="0" w:space="0" w:color="auto"/>
            <w:left w:val="none" w:sz="0" w:space="0" w:color="auto"/>
            <w:bottom w:val="none" w:sz="0" w:space="0" w:color="auto"/>
            <w:right w:val="none" w:sz="0" w:space="0" w:color="auto"/>
          </w:divBdr>
          <w:divsChild>
            <w:div w:id="307252457">
              <w:marLeft w:val="0"/>
              <w:marRight w:val="0"/>
              <w:marTop w:val="0"/>
              <w:marBottom w:val="0"/>
              <w:divBdr>
                <w:top w:val="none" w:sz="0" w:space="0" w:color="auto"/>
                <w:left w:val="none" w:sz="0" w:space="0" w:color="auto"/>
                <w:bottom w:val="none" w:sz="0" w:space="0" w:color="auto"/>
                <w:right w:val="none" w:sz="0" w:space="0" w:color="auto"/>
              </w:divBdr>
            </w:div>
          </w:divsChild>
        </w:div>
        <w:div w:id="659692617">
          <w:marLeft w:val="0"/>
          <w:marRight w:val="0"/>
          <w:marTop w:val="0"/>
          <w:marBottom w:val="0"/>
          <w:divBdr>
            <w:top w:val="none" w:sz="0" w:space="0" w:color="auto"/>
            <w:left w:val="none" w:sz="0" w:space="0" w:color="auto"/>
            <w:bottom w:val="none" w:sz="0" w:space="0" w:color="auto"/>
            <w:right w:val="none" w:sz="0" w:space="0" w:color="auto"/>
          </w:divBdr>
          <w:divsChild>
            <w:div w:id="1454210328">
              <w:marLeft w:val="0"/>
              <w:marRight w:val="0"/>
              <w:marTop w:val="0"/>
              <w:marBottom w:val="0"/>
              <w:divBdr>
                <w:top w:val="none" w:sz="0" w:space="0" w:color="auto"/>
                <w:left w:val="none" w:sz="0" w:space="0" w:color="auto"/>
                <w:bottom w:val="none" w:sz="0" w:space="0" w:color="auto"/>
                <w:right w:val="none" w:sz="0" w:space="0" w:color="auto"/>
              </w:divBdr>
            </w:div>
          </w:divsChild>
        </w:div>
        <w:div w:id="678240234">
          <w:marLeft w:val="0"/>
          <w:marRight w:val="0"/>
          <w:marTop w:val="0"/>
          <w:marBottom w:val="0"/>
          <w:divBdr>
            <w:top w:val="none" w:sz="0" w:space="0" w:color="auto"/>
            <w:left w:val="none" w:sz="0" w:space="0" w:color="auto"/>
            <w:bottom w:val="none" w:sz="0" w:space="0" w:color="auto"/>
            <w:right w:val="none" w:sz="0" w:space="0" w:color="auto"/>
          </w:divBdr>
          <w:divsChild>
            <w:div w:id="1495292542">
              <w:marLeft w:val="0"/>
              <w:marRight w:val="0"/>
              <w:marTop w:val="0"/>
              <w:marBottom w:val="0"/>
              <w:divBdr>
                <w:top w:val="none" w:sz="0" w:space="0" w:color="auto"/>
                <w:left w:val="none" w:sz="0" w:space="0" w:color="auto"/>
                <w:bottom w:val="none" w:sz="0" w:space="0" w:color="auto"/>
                <w:right w:val="none" w:sz="0" w:space="0" w:color="auto"/>
              </w:divBdr>
            </w:div>
          </w:divsChild>
        </w:div>
        <w:div w:id="688264860">
          <w:marLeft w:val="0"/>
          <w:marRight w:val="0"/>
          <w:marTop w:val="0"/>
          <w:marBottom w:val="0"/>
          <w:divBdr>
            <w:top w:val="none" w:sz="0" w:space="0" w:color="auto"/>
            <w:left w:val="none" w:sz="0" w:space="0" w:color="auto"/>
            <w:bottom w:val="none" w:sz="0" w:space="0" w:color="auto"/>
            <w:right w:val="none" w:sz="0" w:space="0" w:color="auto"/>
          </w:divBdr>
          <w:divsChild>
            <w:div w:id="837572802">
              <w:marLeft w:val="0"/>
              <w:marRight w:val="0"/>
              <w:marTop w:val="0"/>
              <w:marBottom w:val="0"/>
              <w:divBdr>
                <w:top w:val="none" w:sz="0" w:space="0" w:color="auto"/>
                <w:left w:val="none" w:sz="0" w:space="0" w:color="auto"/>
                <w:bottom w:val="none" w:sz="0" w:space="0" w:color="auto"/>
                <w:right w:val="none" w:sz="0" w:space="0" w:color="auto"/>
              </w:divBdr>
            </w:div>
          </w:divsChild>
        </w:div>
        <w:div w:id="707805454">
          <w:marLeft w:val="0"/>
          <w:marRight w:val="0"/>
          <w:marTop w:val="0"/>
          <w:marBottom w:val="0"/>
          <w:divBdr>
            <w:top w:val="none" w:sz="0" w:space="0" w:color="auto"/>
            <w:left w:val="none" w:sz="0" w:space="0" w:color="auto"/>
            <w:bottom w:val="none" w:sz="0" w:space="0" w:color="auto"/>
            <w:right w:val="none" w:sz="0" w:space="0" w:color="auto"/>
          </w:divBdr>
          <w:divsChild>
            <w:div w:id="1220439162">
              <w:marLeft w:val="0"/>
              <w:marRight w:val="0"/>
              <w:marTop w:val="0"/>
              <w:marBottom w:val="0"/>
              <w:divBdr>
                <w:top w:val="none" w:sz="0" w:space="0" w:color="auto"/>
                <w:left w:val="none" w:sz="0" w:space="0" w:color="auto"/>
                <w:bottom w:val="none" w:sz="0" w:space="0" w:color="auto"/>
                <w:right w:val="none" w:sz="0" w:space="0" w:color="auto"/>
              </w:divBdr>
            </w:div>
          </w:divsChild>
        </w:div>
        <w:div w:id="767118273">
          <w:marLeft w:val="0"/>
          <w:marRight w:val="0"/>
          <w:marTop w:val="0"/>
          <w:marBottom w:val="0"/>
          <w:divBdr>
            <w:top w:val="none" w:sz="0" w:space="0" w:color="auto"/>
            <w:left w:val="none" w:sz="0" w:space="0" w:color="auto"/>
            <w:bottom w:val="none" w:sz="0" w:space="0" w:color="auto"/>
            <w:right w:val="none" w:sz="0" w:space="0" w:color="auto"/>
          </w:divBdr>
          <w:divsChild>
            <w:div w:id="825509344">
              <w:marLeft w:val="0"/>
              <w:marRight w:val="0"/>
              <w:marTop w:val="0"/>
              <w:marBottom w:val="0"/>
              <w:divBdr>
                <w:top w:val="none" w:sz="0" w:space="0" w:color="auto"/>
                <w:left w:val="none" w:sz="0" w:space="0" w:color="auto"/>
                <w:bottom w:val="none" w:sz="0" w:space="0" w:color="auto"/>
                <w:right w:val="none" w:sz="0" w:space="0" w:color="auto"/>
              </w:divBdr>
            </w:div>
          </w:divsChild>
        </w:div>
        <w:div w:id="773864125">
          <w:marLeft w:val="0"/>
          <w:marRight w:val="0"/>
          <w:marTop w:val="0"/>
          <w:marBottom w:val="0"/>
          <w:divBdr>
            <w:top w:val="none" w:sz="0" w:space="0" w:color="auto"/>
            <w:left w:val="none" w:sz="0" w:space="0" w:color="auto"/>
            <w:bottom w:val="none" w:sz="0" w:space="0" w:color="auto"/>
            <w:right w:val="none" w:sz="0" w:space="0" w:color="auto"/>
          </w:divBdr>
          <w:divsChild>
            <w:div w:id="145634479">
              <w:marLeft w:val="0"/>
              <w:marRight w:val="0"/>
              <w:marTop w:val="0"/>
              <w:marBottom w:val="0"/>
              <w:divBdr>
                <w:top w:val="none" w:sz="0" w:space="0" w:color="auto"/>
                <w:left w:val="none" w:sz="0" w:space="0" w:color="auto"/>
                <w:bottom w:val="none" w:sz="0" w:space="0" w:color="auto"/>
                <w:right w:val="none" w:sz="0" w:space="0" w:color="auto"/>
              </w:divBdr>
            </w:div>
          </w:divsChild>
        </w:div>
        <w:div w:id="774248858">
          <w:marLeft w:val="0"/>
          <w:marRight w:val="0"/>
          <w:marTop w:val="0"/>
          <w:marBottom w:val="0"/>
          <w:divBdr>
            <w:top w:val="none" w:sz="0" w:space="0" w:color="auto"/>
            <w:left w:val="none" w:sz="0" w:space="0" w:color="auto"/>
            <w:bottom w:val="none" w:sz="0" w:space="0" w:color="auto"/>
            <w:right w:val="none" w:sz="0" w:space="0" w:color="auto"/>
          </w:divBdr>
          <w:divsChild>
            <w:div w:id="1367294228">
              <w:marLeft w:val="0"/>
              <w:marRight w:val="0"/>
              <w:marTop w:val="0"/>
              <w:marBottom w:val="0"/>
              <w:divBdr>
                <w:top w:val="none" w:sz="0" w:space="0" w:color="auto"/>
                <w:left w:val="none" w:sz="0" w:space="0" w:color="auto"/>
                <w:bottom w:val="none" w:sz="0" w:space="0" w:color="auto"/>
                <w:right w:val="none" w:sz="0" w:space="0" w:color="auto"/>
              </w:divBdr>
            </w:div>
          </w:divsChild>
        </w:div>
        <w:div w:id="785586990">
          <w:marLeft w:val="0"/>
          <w:marRight w:val="0"/>
          <w:marTop w:val="0"/>
          <w:marBottom w:val="0"/>
          <w:divBdr>
            <w:top w:val="none" w:sz="0" w:space="0" w:color="auto"/>
            <w:left w:val="none" w:sz="0" w:space="0" w:color="auto"/>
            <w:bottom w:val="none" w:sz="0" w:space="0" w:color="auto"/>
            <w:right w:val="none" w:sz="0" w:space="0" w:color="auto"/>
          </w:divBdr>
          <w:divsChild>
            <w:div w:id="459422372">
              <w:marLeft w:val="0"/>
              <w:marRight w:val="0"/>
              <w:marTop w:val="0"/>
              <w:marBottom w:val="0"/>
              <w:divBdr>
                <w:top w:val="none" w:sz="0" w:space="0" w:color="auto"/>
                <w:left w:val="none" w:sz="0" w:space="0" w:color="auto"/>
                <w:bottom w:val="none" w:sz="0" w:space="0" w:color="auto"/>
                <w:right w:val="none" w:sz="0" w:space="0" w:color="auto"/>
              </w:divBdr>
            </w:div>
          </w:divsChild>
        </w:div>
        <w:div w:id="809173463">
          <w:marLeft w:val="0"/>
          <w:marRight w:val="0"/>
          <w:marTop w:val="0"/>
          <w:marBottom w:val="0"/>
          <w:divBdr>
            <w:top w:val="none" w:sz="0" w:space="0" w:color="auto"/>
            <w:left w:val="none" w:sz="0" w:space="0" w:color="auto"/>
            <w:bottom w:val="none" w:sz="0" w:space="0" w:color="auto"/>
            <w:right w:val="none" w:sz="0" w:space="0" w:color="auto"/>
          </w:divBdr>
          <w:divsChild>
            <w:div w:id="1129590672">
              <w:marLeft w:val="0"/>
              <w:marRight w:val="0"/>
              <w:marTop w:val="0"/>
              <w:marBottom w:val="0"/>
              <w:divBdr>
                <w:top w:val="none" w:sz="0" w:space="0" w:color="auto"/>
                <w:left w:val="none" w:sz="0" w:space="0" w:color="auto"/>
                <w:bottom w:val="none" w:sz="0" w:space="0" w:color="auto"/>
                <w:right w:val="none" w:sz="0" w:space="0" w:color="auto"/>
              </w:divBdr>
            </w:div>
          </w:divsChild>
        </w:div>
        <w:div w:id="829101719">
          <w:marLeft w:val="0"/>
          <w:marRight w:val="0"/>
          <w:marTop w:val="0"/>
          <w:marBottom w:val="0"/>
          <w:divBdr>
            <w:top w:val="none" w:sz="0" w:space="0" w:color="auto"/>
            <w:left w:val="none" w:sz="0" w:space="0" w:color="auto"/>
            <w:bottom w:val="none" w:sz="0" w:space="0" w:color="auto"/>
            <w:right w:val="none" w:sz="0" w:space="0" w:color="auto"/>
          </w:divBdr>
          <w:divsChild>
            <w:div w:id="80878315">
              <w:marLeft w:val="0"/>
              <w:marRight w:val="0"/>
              <w:marTop w:val="0"/>
              <w:marBottom w:val="0"/>
              <w:divBdr>
                <w:top w:val="none" w:sz="0" w:space="0" w:color="auto"/>
                <w:left w:val="none" w:sz="0" w:space="0" w:color="auto"/>
                <w:bottom w:val="none" w:sz="0" w:space="0" w:color="auto"/>
                <w:right w:val="none" w:sz="0" w:space="0" w:color="auto"/>
              </w:divBdr>
            </w:div>
            <w:div w:id="778989584">
              <w:marLeft w:val="0"/>
              <w:marRight w:val="0"/>
              <w:marTop w:val="0"/>
              <w:marBottom w:val="0"/>
              <w:divBdr>
                <w:top w:val="none" w:sz="0" w:space="0" w:color="auto"/>
                <w:left w:val="none" w:sz="0" w:space="0" w:color="auto"/>
                <w:bottom w:val="none" w:sz="0" w:space="0" w:color="auto"/>
                <w:right w:val="none" w:sz="0" w:space="0" w:color="auto"/>
              </w:divBdr>
            </w:div>
          </w:divsChild>
        </w:div>
        <w:div w:id="843400159">
          <w:marLeft w:val="0"/>
          <w:marRight w:val="0"/>
          <w:marTop w:val="0"/>
          <w:marBottom w:val="0"/>
          <w:divBdr>
            <w:top w:val="none" w:sz="0" w:space="0" w:color="auto"/>
            <w:left w:val="none" w:sz="0" w:space="0" w:color="auto"/>
            <w:bottom w:val="none" w:sz="0" w:space="0" w:color="auto"/>
            <w:right w:val="none" w:sz="0" w:space="0" w:color="auto"/>
          </w:divBdr>
          <w:divsChild>
            <w:div w:id="1332835758">
              <w:marLeft w:val="0"/>
              <w:marRight w:val="0"/>
              <w:marTop w:val="0"/>
              <w:marBottom w:val="0"/>
              <w:divBdr>
                <w:top w:val="none" w:sz="0" w:space="0" w:color="auto"/>
                <w:left w:val="none" w:sz="0" w:space="0" w:color="auto"/>
                <w:bottom w:val="none" w:sz="0" w:space="0" w:color="auto"/>
                <w:right w:val="none" w:sz="0" w:space="0" w:color="auto"/>
              </w:divBdr>
            </w:div>
          </w:divsChild>
        </w:div>
        <w:div w:id="884411948">
          <w:marLeft w:val="0"/>
          <w:marRight w:val="0"/>
          <w:marTop w:val="0"/>
          <w:marBottom w:val="0"/>
          <w:divBdr>
            <w:top w:val="none" w:sz="0" w:space="0" w:color="auto"/>
            <w:left w:val="none" w:sz="0" w:space="0" w:color="auto"/>
            <w:bottom w:val="none" w:sz="0" w:space="0" w:color="auto"/>
            <w:right w:val="none" w:sz="0" w:space="0" w:color="auto"/>
          </w:divBdr>
          <w:divsChild>
            <w:div w:id="127824879">
              <w:marLeft w:val="0"/>
              <w:marRight w:val="0"/>
              <w:marTop w:val="0"/>
              <w:marBottom w:val="0"/>
              <w:divBdr>
                <w:top w:val="none" w:sz="0" w:space="0" w:color="auto"/>
                <w:left w:val="none" w:sz="0" w:space="0" w:color="auto"/>
                <w:bottom w:val="none" w:sz="0" w:space="0" w:color="auto"/>
                <w:right w:val="none" w:sz="0" w:space="0" w:color="auto"/>
              </w:divBdr>
            </w:div>
          </w:divsChild>
        </w:div>
        <w:div w:id="887454904">
          <w:marLeft w:val="0"/>
          <w:marRight w:val="0"/>
          <w:marTop w:val="0"/>
          <w:marBottom w:val="0"/>
          <w:divBdr>
            <w:top w:val="none" w:sz="0" w:space="0" w:color="auto"/>
            <w:left w:val="none" w:sz="0" w:space="0" w:color="auto"/>
            <w:bottom w:val="none" w:sz="0" w:space="0" w:color="auto"/>
            <w:right w:val="none" w:sz="0" w:space="0" w:color="auto"/>
          </w:divBdr>
          <w:divsChild>
            <w:div w:id="1497304226">
              <w:marLeft w:val="0"/>
              <w:marRight w:val="0"/>
              <w:marTop w:val="0"/>
              <w:marBottom w:val="0"/>
              <w:divBdr>
                <w:top w:val="none" w:sz="0" w:space="0" w:color="auto"/>
                <w:left w:val="none" w:sz="0" w:space="0" w:color="auto"/>
                <w:bottom w:val="none" w:sz="0" w:space="0" w:color="auto"/>
                <w:right w:val="none" w:sz="0" w:space="0" w:color="auto"/>
              </w:divBdr>
            </w:div>
          </w:divsChild>
        </w:div>
        <w:div w:id="900288500">
          <w:marLeft w:val="0"/>
          <w:marRight w:val="0"/>
          <w:marTop w:val="0"/>
          <w:marBottom w:val="0"/>
          <w:divBdr>
            <w:top w:val="none" w:sz="0" w:space="0" w:color="auto"/>
            <w:left w:val="none" w:sz="0" w:space="0" w:color="auto"/>
            <w:bottom w:val="none" w:sz="0" w:space="0" w:color="auto"/>
            <w:right w:val="none" w:sz="0" w:space="0" w:color="auto"/>
          </w:divBdr>
          <w:divsChild>
            <w:div w:id="46882724">
              <w:marLeft w:val="0"/>
              <w:marRight w:val="0"/>
              <w:marTop w:val="0"/>
              <w:marBottom w:val="0"/>
              <w:divBdr>
                <w:top w:val="none" w:sz="0" w:space="0" w:color="auto"/>
                <w:left w:val="none" w:sz="0" w:space="0" w:color="auto"/>
                <w:bottom w:val="none" w:sz="0" w:space="0" w:color="auto"/>
                <w:right w:val="none" w:sz="0" w:space="0" w:color="auto"/>
              </w:divBdr>
            </w:div>
          </w:divsChild>
        </w:div>
        <w:div w:id="912618876">
          <w:marLeft w:val="0"/>
          <w:marRight w:val="0"/>
          <w:marTop w:val="0"/>
          <w:marBottom w:val="0"/>
          <w:divBdr>
            <w:top w:val="none" w:sz="0" w:space="0" w:color="auto"/>
            <w:left w:val="none" w:sz="0" w:space="0" w:color="auto"/>
            <w:bottom w:val="none" w:sz="0" w:space="0" w:color="auto"/>
            <w:right w:val="none" w:sz="0" w:space="0" w:color="auto"/>
          </w:divBdr>
          <w:divsChild>
            <w:div w:id="648171257">
              <w:marLeft w:val="0"/>
              <w:marRight w:val="0"/>
              <w:marTop w:val="0"/>
              <w:marBottom w:val="0"/>
              <w:divBdr>
                <w:top w:val="none" w:sz="0" w:space="0" w:color="auto"/>
                <w:left w:val="none" w:sz="0" w:space="0" w:color="auto"/>
                <w:bottom w:val="none" w:sz="0" w:space="0" w:color="auto"/>
                <w:right w:val="none" w:sz="0" w:space="0" w:color="auto"/>
              </w:divBdr>
            </w:div>
          </w:divsChild>
        </w:div>
        <w:div w:id="919750868">
          <w:marLeft w:val="0"/>
          <w:marRight w:val="0"/>
          <w:marTop w:val="0"/>
          <w:marBottom w:val="0"/>
          <w:divBdr>
            <w:top w:val="none" w:sz="0" w:space="0" w:color="auto"/>
            <w:left w:val="none" w:sz="0" w:space="0" w:color="auto"/>
            <w:bottom w:val="none" w:sz="0" w:space="0" w:color="auto"/>
            <w:right w:val="none" w:sz="0" w:space="0" w:color="auto"/>
          </w:divBdr>
          <w:divsChild>
            <w:div w:id="596863261">
              <w:marLeft w:val="0"/>
              <w:marRight w:val="0"/>
              <w:marTop w:val="0"/>
              <w:marBottom w:val="0"/>
              <w:divBdr>
                <w:top w:val="none" w:sz="0" w:space="0" w:color="auto"/>
                <w:left w:val="none" w:sz="0" w:space="0" w:color="auto"/>
                <w:bottom w:val="none" w:sz="0" w:space="0" w:color="auto"/>
                <w:right w:val="none" w:sz="0" w:space="0" w:color="auto"/>
              </w:divBdr>
            </w:div>
          </w:divsChild>
        </w:div>
        <w:div w:id="944505910">
          <w:marLeft w:val="0"/>
          <w:marRight w:val="0"/>
          <w:marTop w:val="0"/>
          <w:marBottom w:val="0"/>
          <w:divBdr>
            <w:top w:val="none" w:sz="0" w:space="0" w:color="auto"/>
            <w:left w:val="none" w:sz="0" w:space="0" w:color="auto"/>
            <w:bottom w:val="none" w:sz="0" w:space="0" w:color="auto"/>
            <w:right w:val="none" w:sz="0" w:space="0" w:color="auto"/>
          </w:divBdr>
          <w:divsChild>
            <w:div w:id="1339042133">
              <w:marLeft w:val="0"/>
              <w:marRight w:val="0"/>
              <w:marTop w:val="0"/>
              <w:marBottom w:val="0"/>
              <w:divBdr>
                <w:top w:val="none" w:sz="0" w:space="0" w:color="auto"/>
                <w:left w:val="none" w:sz="0" w:space="0" w:color="auto"/>
                <w:bottom w:val="none" w:sz="0" w:space="0" w:color="auto"/>
                <w:right w:val="none" w:sz="0" w:space="0" w:color="auto"/>
              </w:divBdr>
            </w:div>
          </w:divsChild>
        </w:div>
        <w:div w:id="944575037">
          <w:marLeft w:val="0"/>
          <w:marRight w:val="0"/>
          <w:marTop w:val="0"/>
          <w:marBottom w:val="0"/>
          <w:divBdr>
            <w:top w:val="none" w:sz="0" w:space="0" w:color="auto"/>
            <w:left w:val="none" w:sz="0" w:space="0" w:color="auto"/>
            <w:bottom w:val="none" w:sz="0" w:space="0" w:color="auto"/>
            <w:right w:val="none" w:sz="0" w:space="0" w:color="auto"/>
          </w:divBdr>
          <w:divsChild>
            <w:div w:id="1141966209">
              <w:marLeft w:val="0"/>
              <w:marRight w:val="0"/>
              <w:marTop w:val="0"/>
              <w:marBottom w:val="0"/>
              <w:divBdr>
                <w:top w:val="none" w:sz="0" w:space="0" w:color="auto"/>
                <w:left w:val="none" w:sz="0" w:space="0" w:color="auto"/>
                <w:bottom w:val="none" w:sz="0" w:space="0" w:color="auto"/>
                <w:right w:val="none" w:sz="0" w:space="0" w:color="auto"/>
              </w:divBdr>
            </w:div>
          </w:divsChild>
        </w:div>
        <w:div w:id="962417241">
          <w:marLeft w:val="0"/>
          <w:marRight w:val="0"/>
          <w:marTop w:val="0"/>
          <w:marBottom w:val="0"/>
          <w:divBdr>
            <w:top w:val="none" w:sz="0" w:space="0" w:color="auto"/>
            <w:left w:val="none" w:sz="0" w:space="0" w:color="auto"/>
            <w:bottom w:val="none" w:sz="0" w:space="0" w:color="auto"/>
            <w:right w:val="none" w:sz="0" w:space="0" w:color="auto"/>
          </w:divBdr>
          <w:divsChild>
            <w:div w:id="704718312">
              <w:marLeft w:val="0"/>
              <w:marRight w:val="0"/>
              <w:marTop w:val="0"/>
              <w:marBottom w:val="0"/>
              <w:divBdr>
                <w:top w:val="none" w:sz="0" w:space="0" w:color="auto"/>
                <w:left w:val="none" w:sz="0" w:space="0" w:color="auto"/>
                <w:bottom w:val="none" w:sz="0" w:space="0" w:color="auto"/>
                <w:right w:val="none" w:sz="0" w:space="0" w:color="auto"/>
              </w:divBdr>
            </w:div>
          </w:divsChild>
        </w:div>
        <w:div w:id="972370005">
          <w:marLeft w:val="0"/>
          <w:marRight w:val="0"/>
          <w:marTop w:val="0"/>
          <w:marBottom w:val="0"/>
          <w:divBdr>
            <w:top w:val="none" w:sz="0" w:space="0" w:color="auto"/>
            <w:left w:val="none" w:sz="0" w:space="0" w:color="auto"/>
            <w:bottom w:val="none" w:sz="0" w:space="0" w:color="auto"/>
            <w:right w:val="none" w:sz="0" w:space="0" w:color="auto"/>
          </w:divBdr>
          <w:divsChild>
            <w:div w:id="1935749989">
              <w:marLeft w:val="0"/>
              <w:marRight w:val="0"/>
              <w:marTop w:val="0"/>
              <w:marBottom w:val="0"/>
              <w:divBdr>
                <w:top w:val="none" w:sz="0" w:space="0" w:color="auto"/>
                <w:left w:val="none" w:sz="0" w:space="0" w:color="auto"/>
                <w:bottom w:val="none" w:sz="0" w:space="0" w:color="auto"/>
                <w:right w:val="none" w:sz="0" w:space="0" w:color="auto"/>
              </w:divBdr>
            </w:div>
          </w:divsChild>
        </w:div>
        <w:div w:id="996104607">
          <w:marLeft w:val="0"/>
          <w:marRight w:val="0"/>
          <w:marTop w:val="0"/>
          <w:marBottom w:val="0"/>
          <w:divBdr>
            <w:top w:val="none" w:sz="0" w:space="0" w:color="auto"/>
            <w:left w:val="none" w:sz="0" w:space="0" w:color="auto"/>
            <w:bottom w:val="none" w:sz="0" w:space="0" w:color="auto"/>
            <w:right w:val="none" w:sz="0" w:space="0" w:color="auto"/>
          </w:divBdr>
          <w:divsChild>
            <w:div w:id="2079863690">
              <w:marLeft w:val="0"/>
              <w:marRight w:val="0"/>
              <w:marTop w:val="0"/>
              <w:marBottom w:val="0"/>
              <w:divBdr>
                <w:top w:val="none" w:sz="0" w:space="0" w:color="auto"/>
                <w:left w:val="none" w:sz="0" w:space="0" w:color="auto"/>
                <w:bottom w:val="none" w:sz="0" w:space="0" w:color="auto"/>
                <w:right w:val="none" w:sz="0" w:space="0" w:color="auto"/>
              </w:divBdr>
            </w:div>
          </w:divsChild>
        </w:div>
        <w:div w:id="1002465673">
          <w:marLeft w:val="0"/>
          <w:marRight w:val="0"/>
          <w:marTop w:val="0"/>
          <w:marBottom w:val="0"/>
          <w:divBdr>
            <w:top w:val="none" w:sz="0" w:space="0" w:color="auto"/>
            <w:left w:val="none" w:sz="0" w:space="0" w:color="auto"/>
            <w:bottom w:val="none" w:sz="0" w:space="0" w:color="auto"/>
            <w:right w:val="none" w:sz="0" w:space="0" w:color="auto"/>
          </w:divBdr>
          <w:divsChild>
            <w:div w:id="1046568478">
              <w:marLeft w:val="0"/>
              <w:marRight w:val="0"/>
              <w:marTop w:val="0"/>
              <w:marBottom w:val="0"/>
              <w:divBdr>
                <w:top w:val="none" w:sz="0" w:space="0" w:color="auto"/>
                <w:left w:val="none" w:sz="0" w:space="0" w:color="auto"/>
                <w:bottom w:val="none" w:sz="0" w:space="0" w:color="auto"/>
                <w:right w:val="none" w:sz="0" w:space="0" w:color="auto"/>
              </w:divBdr>
            </w:div>
          </w:divsChild>
        </w:div>
        <w:div w:id="1007756807">
          <w:marLeft w:val="0"/>
          <w:marRight w:val="0"/>
          <w:marTop w:val="0"/>
          <w:marBottom w:val="0"/>
          <w:divBdr>
            <w:top w:val="none" w:sz="0" w:space="0" w:color="auto"/>
            <w:left w:val="none" w:sz="0" w:space="0" w:color="auto"/>
            <w:bottom w:val="none" w:sz="0" w:space="0" w:color="auto"/>
            <w:right w:val="none" w:sz="0" w:space="0" w:color="auto"/>
          </w:divBdr>
          <w:divsChild>
            <w:div w:id="1580560276">
              <w:marLeft w:val="0"/>
              <w:marRight w:val="0"/>
              <w:marTop w:val="0"/>
              <w:marBottom w:val="0"/>
              <w:divBdr>
                <w:top w:val="none" w:sz="0" w:space="0" w:color="auto"/>
                <w:left w:val="none" w:sz="0" w:space="0" w:color="auto"/>
                <w:bottom w:val="none" w:sz="0" w:space="0" w:color="auto"/>
                <w:right w:val="none" w:sz="0" w:space="0" w:color="auto"/>
              </w:divBdr>
            </w:div>
          </w:divsChild>
        </w:div>
        <w:div w:id="1025445006">
          <w:marLeft w:val="0"/>
          <w:marRight w:val="0"/>
          <w:marTop w:val="0"/>
          <w:marBottom w:val="0"/>
          <w:divBdr>
            <w:top w:val="none" w:sz="0" w:space="0" w:color="auto"/>
            <w:left w:val="none" w:sz="0" w:space="0" w:color="auto"/>
            <w:bottom w:val="none" w:sz="0" w:space="0" w:color="auto"/>
            <w:right w:val="none" w:sz="0" w:space="0" w:color="auto"/>
          </w:divBdr>
          <w:divsChild>
            <w:div w:id="1908877346">
              <w:marLeft w:val="0"/>
              <w:marRight w:val="0"/>
              <w:marTop w:val="0"/>
              <w:marBottom w:val="0"/>
              <w:divBdr>
                <w:top w:val="none" w:sz="0" w:space="0" w:color="auto"/>
                <w:left w:val="none" w:sz="0" w:space="0" w:color="auto"/>
                <w:bottom w:val="none" w:sz="0" w:space="0" w:color="auto"/>
                <w:right w:val="none" w:sz="0" w:space="0" w:color="auto"/>
              </w:divBdr>
            </w:div>
          </w:divsChild>
        </w:div>
        <w:div w:id="1058940722">
          <w:marLeft w:val="0"/>
          <w:marRight w:val="0"/>
          <w:marTop w:val="0"/>
          <w:marBottom w:val="0"/>
          <w:divBdr>
            <w:top w:val="none" w:sz="0" w:space="0" w:color="auto"/>
            <w:left w:val="none" w:sz="0" w:space="0" w:color="auto"/>
            <w:bottom w:val="none" w:sz="0" w:space="0" w:color="auto"/>
            <w:right w:val="none" w:sz="0" w:space="0" w:color="auto"/>
          </w:divBdr>
          <w:divsChild>
            <w:div w:id="221213285">
              <w:marLeft w:val="0"/>
              <w:marRight w:val="0"/>
              <w:marTop w:val="0"/>
              <w:marBottom w:val="0"/>
              <w:divBdr>
                <w:top w:val="none" w:sz="0" w:space="0" w:color="auto"/>
                <w:left w:val="none" w:sz="0" w:space="0" w:color="auto"/>
                <w:bottom w:val="none" w:sz="0" w:space="0" w:color="auto"/>
                <w:right w:val="none" w:sz="0" w:space="0" w:color="auto"/>
              </w:divBdr>
            </w:div>
          </w:divsChild>
        </w:div>
        <w:div w:id="1062289753">
          <w:marLeft w:val="0"/>
          <w:marRight w:val="0"/>
          <w:marTop w:val="0"/>
          <w:marBottom w:val="0"/>
          <w:divBdr>
            <w:top w:val="none" w:sz="0" w:space="0" w:color="auto"/>
            <w:left w:val="none" w:sz="0" w:space="0" w:color="auto"/>
            <w:bottom w:val="none" w:sz="0" w:space="0" w:color="auto"/>
            <w:right w:val="none" w:sz="0" w:space="0" w:color="auto"/>
          </w:divBdr>
          <w:divsChild>
            <w:div w:id="1332444224">
              <w:marLeft w:val="0"/>
              <w:marRight w:val="0"/>
              <w:marTop w:val="0"/>
              <w:marBottom w:val="0"/>
              <w:divBdr>
                <w:top w:val="none" w:sz="0" w:space="0" w:color="auto"/>
                <w:left w:val="none" w:sz="0" w:space="0" w:color="auto"/>
                <w:bottom w:val="none" w:sz="0" w:space="0" w:color="auto"/>
                <w:right w:val="none" w:sz="0" w:space="0" w:color="auto"/>
              </w:divBdr>
            </w:div>
          </w:divsChild>
        </w:div>
        <w:div w:id="1066225637">
          <w:marLeft w:val="0"/>
          <w:marRight w:val="0"/>
          <w:marTop w:val="0"/>
          <w:marBottom w:val="0"/>
          <w:divBdr>
            <w:top w:val="none" w:sz="0" w:space="0" w:color="auto"/>
            <w:left w:val="none" w:sz="0" w:space="0" w:color="auto"/>
            <w:bottom w:val="none" w:sz="0" w:space="0" w:color="auto"/>
            <w:right w:val="none" w:sz="0" w:space="0" w:color="auto"/>
          </w:divBdr>
          <w:divsChild>
            <w:div w:id="1397557417">
              <w:marLeft w:val="0"/>
              <w:marRight w:val="0"/>
              <w:marTop w:val="0"/>
              <w:marBottom w:val="0"/>
              <w:divBdr>
                <w:top w:val="none" w:sz="0" w:space="0" w:color="auto"/>
                <w:left w:val="none" w:sz="0" w:space="0" w:color="auto"/>
                <w:bottom w:val="none" w:sz="0" w:space="0" w:color="auto"/>
                <w:right w:val="none" w:sz="0" w:space="0" w:color="auto"/>
              </w:divBdr>
            </w:div>
          </w:divsChild>
        </w:div>
        <w:div w:id="1068386488">
          <w:marLeft w:val="0"/>
          <w:marRight w:val="0"/>
          <w:marTop w:val="0"/>
          <w:marBottom w:val="0"/>
          <w:divBdr>
            <w:top w:val="none" w:sz="0" w:space="0" w:color="auto"/>
            <w:left w:val="none" w:sz="0" w:space="0" w:color="auto"/>
            <w:bottom w:val="none" w:sz="0" w:space="0" w:color="auto"/>
            <w:right w:val="none" w:sz="0" w:space="0" w:color="auto"/>
          </w:divBdr>
          <w:divsChild>
            <w:div w:id="308436119">
              <w:marLeft w:val="0"/>
              <w:marRight w:val="0"/>
              <w:marTop w:val="0"/>
              <w:marBottom w:val="0"/>
              <w:divBdr>
                <w:top w:val="none" w:sz="0" w:space="0" w:color="auto"/>
                <w:left w:val="none" w:sz="0" w:space="0" w:color="auto"/>
                <w:bottom w:val="none" w:sz="0" w:space="0" w:color="auto"/>
                <w:right w:val="none" w:sz="0" w:space="0" w:color="auto"/>
              </w:divBdr>
            </w:div>
          </w:divsChild>
        </w:div>
        <w:div w:id="1144391117">
          <w:marLeft w:val="0"/>
          <w:marRight w:val="0"/>
          <w:marTop w:val="0"/>
          <w:marBottom w:val="0"/>
          <w:divBdr>
            <w:top w:val="none" w:sz="0" w:space="0" w:color="auto"/>
            <w:left w:val="none" w:sz="0" w:space="0" w:color="auto"/>
            <w:bottom w:val="none" w:sz="0" w:space="0" w:color="auto"/>
            <w:right w:val="none" w:sz="0" w:space="0" w:color="auto"/>
          </w:divBdr>
          <w:divsChild>
            <w:div w:id="1861502045">
              <w:marLeft w:val="0"/>
              <w:marRight w:val="0"/>
              <w:marTop w:val="0"/>
              <w:marBottom w:val="0"/>
              <w:divBdr>
                <w:top w:val="none" w:sz="0" w:space="0" w:color="auto"/>
                <w:left w:val="none" w:sz="0" w:space="0" w:color="auto"/>
                <w:bottom w:val="none" w:sz="0" w:space="0" w:color="auto"/>
                <w:right w:val="none" w:sz="0" w:space="0" w:color="auto"/>
              </w:divBdr>
            </w:div>
          </w:divsChild>
        </w:div>
        <w:div w:id="1149789762">
          <w:marLeft w:val="0"/>
          <w:marRight w:val="0"/>
          <w:marTop w:val="0"/>
          <w:marBottom w:val="0"/>
          <w:divBdr>
            <w:top w:val="none" w:sz="0" w:space="0" w:color="auto"/>
            <w:left w:val="none" w:sz="0" w:space="0" w:color="auto"/>
            <w:bottom w:val="none" w:sz="0" w:space="0" w:color="auto"/>
            <w:right w:val="none" w:sz="0" w:space="0" w:color="auto"/>
          </w:divBdr>
          <w:divsChild>
            <w:div w:id="1110125022">
              <w:marLeft w:val="0"/>
              <w:marRight w:val="0"/>
              <w:marTop w:val="0"/>
              <w:marBottom w:val="0"/>
              <w:divBdr>
                <w:top w:val="none" w:sz="0" w:space="0" w:color="auto"/>
                <w:left w:val="none" w:sz="0" w:space="0" w:color="auto"/>
                <w:bottom w:val="none" w:sz="0" w:space="0" w:color="auto"/>
                <w:right w:val="none" w:sz="0" w:space="0" w:color="auto"/>
              </w:divBdr>
            </w:div>
          </w:divsChild>
        </w:div>
        <w:div w:id="1159150100">
          <w:marLeft w:val="0"/>
          <w:marRight w:val="0"/>
          <w:marTop w:val="0"/>
          <w:marBottom w:val="0"/>
          <w:divBdr>
            <w:top w:val="none" w:sz="0" w:space="0" w:color="auto"/>
            <w:left w:val="none" w:sz="0" w:space="0" w:color="auto"/>
            <w:bottom w:val="none" w:sz="0" w:space="0" w:color="auto"/>
            <w:right w:val="none" w:sz="0" w:space="0" w:color="auto"/>
          </w:divBdr>
          <w:divsChild>
            <w:div w:id="893467617">
              <w:marLeft w:val="0"/>
              <w:marRight w:val="0"/>
              <w:marTop w:val="0"/>
              <w:marBottom w:val="0"/>
              <w:divBdr>
                <w:top w:val="none" w:sz="0" w:space="0" w:color="auto"/>
                <w:left w:val="none" w:sz="0" w:space="0" w:color="auto"/>
                <w:bottom w:val="none" w:sz="0" w:space="0" w:color="auto"/>
                <w:right w:val="none" w:sz="0" w:space="0" w:color="auto"/>
              </w:divBdr>
            </w:div>
          </w:divsChild>
        </w:div>
        <w:div w:id="1168710785">
          <w:marLeft w:val="0"/>
          <w:marRight w:val="0"/>
          <w:marTop w:val="0"/>
          <w:marBottom w:val="0"/>
          <w:divBdr>
            <w:top w:val="none" w:sz="0" w:space="0" w:color="auto"/>
            <w:left w:val="none" w:sz="0" w:space="0" w:color="auto"/>
            <w:bottom w:val="none" w:sz="0" w:space="0" w:color="auto"/>
            <w:right w:val="none" w:sz="0" w:space="0" w:color="auto"/>
          </w:divBdr>
          <w:divsChild>
            <w:div w:id="778909138">
              <w:marLeft w:val="0"/>
              <w:marRight w:val="0"/>
              <w:marTop w:val="0"/>
              <w:marBottom w:val="0"/>
              <w:divBdr>
                <w:top w:val="none" w:sz="0" w:space="0" w:color="auto"/>
                <w:left w:val="none" w:sz="0" w:space="0" w:color="auto"/>
                <w:bottom w:val="none" w:sz="0" w:space="0" w:color="auto"/>
                <w:right w:val="none" w:sz="0" w:space="0" w:color="auto"/>
              </w:divBdr>
            </w:div>
          </w:divsChild>
        </w:div>
        <w:div w:id="1193610372">
          <w:marLeft w:val="0"/>
          <w:marRight w:val="0"/>
          <w:marTop w:val="0"/>
          <w:marBottom w:val="0"/>
          <w:divBdr>
            <w:top w:val="none" w:sz="0" w:space="0" w:color="auto"/>
            <w:left w:val="none" w:sz="0" w:space="0" w:color="auto"/>
            <w:bottom w:val="none" w:sz="0" w:space="0" w:color="auto"/>
            <w:right w:val="none" w:sz="0" w:space="0" w:color="auto"/>
          </w:divBdr>
          <w:divsChild>
            <w:div w:id="1690180371">
              <w:marLeft w:val="0"/>
              <w:marRight w:val="0"/>
              <w:marTop w:val="0"/>
              <w:marBottom w:val="0"/>
              <w:divBdr>
                <w:top w:val="none" w:sz="0" w:space="0" w:color="auto"/>
                <w:left w:val="none" w:sz="0" w:space="0" w:color="auto"/>
                <w:bottom w:val="none" w:sz="0" w:space="0" w:color="auto"/>
                <w:right w:val="none" w:sz="0" w:space="0" w:color="auto"/>
              </w:divBdr>
            </w:div>
          </w:divsChild>
        </w:div>
        <w:div w:id="1204754815">
          <w:marLeft w:val="0"/>
          <w:marRight w:val="0"/>
          <w:marTop w:val="0"/>
          <w:marBottom w:val="0"/>
          <w:divBdr>
            <w:top w:val="none" w:sz="0" w:space="0" w:color="auto"/>
            <w:left w:val="none" w:sz="0" w:space="0" w:color="auto"/>
            <w:bottom w:val="none" w:sz="0" w:space="0" w:color="auto"/>
            <w:right w:val="none" w:sz="0" w:space="0" w:color="auto"/>
          </w:divBdr>
          <w:divsChild>
            <w:div w:id="1204437949">
              <w:marLeft w:val="0"/>
              <w:marRight w:val="0"/>
              <w:marTop w:val="0"/>
              <w:marBottom w:val="0"/>
              <w:divBdr>
                <w:top w:val="none" w:sz="0" w:space="0" w:color="auto"/>
                <w:left w:val="none" w:sz="0" w:space="0" w:color="auto"/>
                <w:bottom w:val="none" w:sz="0" w:space="0" w:color="auto"/>
                <w:right w:val="none" w:sz="0" w:space="0" w:color="auto"/>
              </w:divBdr>
            </w:div>
          </w:divsChild>
        </w:div>
        <w:div w:id="1216964663">
          <w:marLeft w:val="0"/>
          <w:marRight w:val="0"/>
          <w:marTop w:val="0"/>
          <w:marBottom w:val="0"/>
          <w:divBdr>
            <w:top w:val="none" w:sz="0" w:space="0" w:color="auto"/>
            <w:left w:val="none" w:sz="0" w:space="0" w:color="auto"/>
            <w:bottom w:val="none" w:sz="0" w:space="0" w:color="auto"/>
            <w:right w:val="none" w:sz="0" w:space="0" w:color="auto"/>
          </w:divBdr>
          <w:divsChild>
            <w:div w:id="1597012472">
              <w:marLeft w:val="0"/>
              <w:marRight w:val="0"/>
              <w:marTop w:val="0"/>
              <w:marBottom w:val="0"/>
              <w:divBdr>
                <w:top w:val="none" w:sz="0" w:space="0" w:color="auto"/>
                <w:left w:val="none" w:sz="0" w:space="0" w:color="auto"/>
                <w:bottom w:val="none" w:sz="0" w:space="0" w:color="auto"/>
                <w:right w:val="none" w:sz="0" w:space="0" w:color="auto"/>
              </w:divBdr>
            </w:div>
          </w:divsChild>
        </w:div>
        <w:div w:id="1238706299">
          <w:marLeft w:val="0"/>
          <w:marRight w:val="0"/>
          <w:marTop w:val="0"/>
          <w:marBottom w:val="0"/>
          <w:divBdr>
            <w:top w:val="none" w:sz="0" w:space="0" w:color="auto"/>
            <w:left w:val="none" w:sz="0" w:space="0" w:color="auto"/>
            <w:bottom w:val="none" w:sz="0" w:space="0" w:color="auto"/>
            <w:right w:val="none" w:sz="0" w:space="0" w:color="auto"/>
          </w:divBdr>
          <w:divsChild>
            <w:div w:id="457841781">
              <w:marLeft w:val="0"/>
              <w:marRight w:val="0"/>
              <w:marTop w:val="0"/>
              <w:marBottom w:val="0"/>
              <w:divBdr>
                <w:top w:val="none" w:sz="0" w:space="0" w:color="auto"/>
                <w:left w:val="none" w:sz="0" w:space="0" w:color="auto"/>
                <w:bottom w:val="none" w:sz="0" w:space="0" w:color="auto"/>
                <w:right w:val="none" w:sz="0" w:space="0" w:color="auto"/>
              </w:divBdr>
            </w:div>
          </w:divsChild>
        </w:div>
        <w:div w:id="1239553567">
          <w:marLeft w:val="0"/>
          <w:marRight w:val="0"/>
          <w:marTop w:val="0"/>
          <w:marBottom w:val="0"/>
          <w:divBdr>
            <w:top w:val="none" w:sz="0" w:space="0" w:color="auto"/>
            <w:left w:val="none" w:sz="0" w:space="0" w:color="auto"/>
            <w:bottom w:val="none" w:sz="0" w:space="0" w:color="auto"/>
            <w:right w:val="none" w:sz="0" w:space="0" w:color="auto"/>
          </w:divBdr>
          <w:divsChild>
            <w:div w:id="1651903140">
              <w:marLeft w:val="0"/>
              <w:marRight w:val="0"/>
              <w:marTop w:val="0"/>
              <w:marBottom w:val="0"/>
              <w:divBdr>
                <w:top w:val="none" w:sz="0" w:space="0" w:color="auto"/>
                <w:left w:val="none" w:sz="0" w:space="0" w:color="auto"/>
                <w:bottom w:val="none" w:sz="0" w:space="0" w:color="auto"/>
                <w:right w:val="none" w:sz="0" w:space="0" w:color="auto"/>
              </w:divBdr>
            </w:div>
          </w:divsChild>
        </w:div>
        <w:div w:id="1253315543">
          <w:marLeft w:val="0"/>
          <w:marRight w:val="0"/>
          <w:marTop w:val="0"/>
          <w:marBottom w:val="0"/>
          <w:divBdr>
            <w:top w:val="none" w:sz="0" w:space="0" w:color="auto"/>
            <w:left w:val="none" w:sz="0" w:space="0" w:color="auto"/>
            <w:bottom w:val="none" w:sz="0" w:space="0" w:color="auto"/>
            <w:right w:val="none" w:sz="0" w:space="0" w:color="auto"/>
          </w:divBdr>
          <w:divsChild>
            <w:div w:id="136843794">
              <w:marLeft w:val="0"/>
              <w:marRight w:val="0"/>
              <w:marTop w:val="0"/>
              <w:marBottom w:val="0"/>
              <w:divBdr>
                <w:top w:val="none" w:sz="0" w:space="0" w:color="auto"/>
                <w:left w:val="none" w:sz="0" w:space="0" w:color="auto"/>
                <w:bottom w:val="none" w:sz="0" w:space="0" w:color="auto"/>
                <w:right w:val="none" w:sz="0" w:space="0" w:color="auto"/>
              </w:divBdr>
            </w:div>
          </w:divsChild>
        </w:div>
        <w:div w:id="1262686741">
          <w:marLeft w:val="0"/>
          <w:marRight w:val="0"/>
          <w:marTop w:val="0"/>
          <w:marBottom w:val="0"/>
          <w:divBdr>
            <w:top w:val="none" w:sz="0" w:space="0" w:color="auto"/>
            <w:left w:val="none" w:sz="0" w:space="0" w:color="auto"/>
            <w:bottom w:val="none" w:sz="0" w:space="0" w:color="auto"/>
            <w:right w:val="none" w:sz="0" w:space="0" w:color="auto"/>
          </w:divBdr>
          <w:divsChild>
            <w:div w:id="1547445519">
              <w:marLeft w:val="0"/>
              <w:marRight w:val="0"/>
              <w:marTop w:val="0"/>
              <w:marBottom w:val="0"/>
              <w:divBdr>
                <w:top w:val="none" w:sz="0" w:space="0" w:color="auto"/>
                <w:left w:val="none" w:sz="0" w:space="0" w:color="auto"/>
                <w:bottom w:val="none" w:sz="0" w:space="0" w:color="auto"/>
                <w:right w:val="none" w:sz="0" w:space="0" w:color="auto"/>
              </w:divBdr>
            </w:div>
          </w:divsChild>
        </w:div>
        <w:div w:id="1267418920">
          <w:marLeft w:val="0"/>
          <w:marRight w:val="0"/>
          <w:marTop w:val="0"/>
          <w:marBottom w:val="0"/>
          <w:divBdr>
            <w:top w:val="none" w:sz="0" w:space="0" w:color="auto"/>
            <w:left w:val="none" w:sz="0" w:space="0" w:color="auto"/>
            <w:bottom w:val="none" w:sz="0" w:space="0" w:color="auto"/>
            <w:right w:val="none" w:sz="0" w:space="0" w:color="auto"/>
          </w:divBdr>
          <w:divsChild>
            <w:div w:id="16588901">
              <w:marLeft w:val="0"/>
              <w:marRight w:val="0"/>
              <w:marTop w:val="0"/>
              <w:marBottom w:val="0"/>
              <w:divBdr>
                <w:top w:val="none" w:sz="0" w:space="0" w:color="auto"/>
                <w:left w:val="none" w:sz="0" w:space="0" w:color="auto"/>
                <w:bottom w:val="none" w:sz="0" w:space="0" w:color="auto"/>
                <w:right w:val="none" w:sz="0" w:space="0" w:color="auto"/>
              </w:divBdr>
            </w:div>
          </w:divsChild>
        </w:div>
        <w:div w:id="1275746162">
          <w:marLeft w:val="0"/>
          <w:marRight w:val="0"/>
          <w:marTop w:val="0"/>
          <w:marBottom w:val="0"/>
          <w:divBdr>
            <w:top w:val="none" w:sz="0" w:space="0" w:color="auto"/>
            <w:left w:val="none" w:sz="0" w:space="0" w:color="auto"/>
            <w:bottom w:val="none" w:sz="0" w:space="0" w:color="auto"/>
            <w:right w:val="none" w:sz="0" w:space="0" w:color="auto"/>
          </w:divBdr>
          <w:divsChild>
            <w:div w:id="1143502348">
              <w:marLeft w:val="0"/>
              <w:marRight w:val="0"/>
              <w:marTop w:val="0"/>
              <w:marBottom w:val="0"/>
              <w:divBdr>
                <w:top w:val="none" w:sz="0" w:space="0" w:color="auto"/>
                <w:left w:val="none" w:sz="0" w:space="0" w:color="auto"/>
                <w:bottom w:val="none" w:sz="0" w:space="0" w:color="auto"/>
                <w:right w:val="none" w:sz="0" w:space="0" w:color="auto"/>
              </w:divBdr>
            </w:div>
          </w:divsChild>
        </w:div>
        <w:div w:id="1282952813">
          <w:marLeft w:val="0"/>
          <w:marRight w:val="0"/>
          <w:marTop w:val="0"/>
          <w:marBottom w:val="0"/>
          <w:divBdr>
            <w:top w:val="none" w:sz="0" w:space="0" w:color="auto"/>
            <w:left w:val="none" w:sz="0" w:space="0" w:color="auto"/>
            <w:bottom w:val="none" w:sz="0" w:space="0" w:color="auto"/>
            <w:right w:val="none" w:sz="0" w:space="0" w:color="auto"/>
          </w:divBdr>
          <w:divsChild>
            <w:div w:id="160197304">
              <w:marLeft w:val="0"/>
              <w:marRight w:val="0"/>
              <w:marTop w:val="0"/>
              <w:marBottom w:val="0"/>
              <w:divBdr>
                <w:top w:val="none" w:sz="0" w:space="0" w:color="auto"/>
                <w:left w:val="none" w:sz="0" w:space="0" w:color="auto"/>
                <w:bottom w:val="none" w:sz="0" w:space="0" w:color="auto"/>
                <w:right w:val="none" w:sz="0" w:space="0" w:color="auto"/>
              </w:divBdr>
            </w:div>
          </w:divsChild>
        </w:div>
        <w:div w:id="1291745518">
          <w:marLeft w:val="0"/>
          <w:marRight w:val="0"/>
          <w:marTop w:val="0"/>
          <w:marBottom w:val="0"/>
          <w:divBdr>
            <w:top w:val="none" w:sz="0" w:space="0" w:color="auto"/>
            <w:left w:val="none" w:sz="0" w:space="0" w:color="auto"/>
            <w:bottom w:val="none" w:sz="0" w:space="0" w:color="auto"/>
            <w:right w:val="none" w:sz="0" w:space="0" w:color="auto"/>
          </w:divBdr>
          <w:divsChild>
            <w:div w:id="1991712982">
              <w:marLeft w:val="0"/>
              <w:marRight w:val="0"/>
              <w:marTop w:val="0"/>
              <w:marBottom w:val="0"/>
              <w:divBdr>
                <w:top w:val="none" w:sz="0" w:space="0" w:color="auto"/>
                <w:left w:val="none" w:sz="0" w:space="0" w:color="auto"/>
                <w:bottom w:val="none" w:sz="0" w:space="0" w:color="auto"/>
                <w:right w:val="none" w:sz="0" w:space="0" w:color="auto"/>
              </w:divBdr>
            </w:div>
          </w:divsChild>
        </w:div>
        <w:div w:id="1294559405">
          <w:marLeft w:val="0"/>
          <w:marRight w:val="0"/>
          <w:marTop w:val="0"/>
          <w:marBottom w:val="0"/>
          <w:divBdr>
            <w:top w:val="none" w:sz="0" w:space="0" w:color="auto"/>
            <w:left w:val="none" w:sz="0" w:space="0" w:color="auto"/>
            <w:bottom w:val="none" w:sz="0" w:space="0" w:color="auto"/>
            <w:right w:val="none" w:sz="0" w:space="0" w:color="auto"/>
          </w:divBdr>
          <w:divsChild>
            <w:div w:id="525754653">
              <w:marLeft w:val="0"/>
              <w:marRight w:val="0"/>
              <w:marTop w:val="0"/>
              <w:marBottom w:val="0"/>
              <w:divBdr>
                <w:top w:val="none" w:sz="0" w:space="0" w:color="auto"/>
                <w:left w:val="none" w:sz="0" w:space="0" w:color="auto"/>
                <w:bottom w:val="none" w:sz="0" w:space="0" w:color="auto"/>
                <w:right w:val="none" w:sz="0" w:space="0" w:color="auto"/>
              </w:divBdr>
            </w:div>
          </w:divsChild>
        </w:div>
        <w:div w:id="1342776923">
          <w:marLeft w:val="0"/>
          <w:marRight w:val="0"/>
          <w:marTop w:val="0"/>
          <w:marBottom w:val="0"/>
          <w:divBdr>
            <w:top w:val="none" w:sz="0" w:space="0" w:color="auto"/>
            <w:left w:val="none" w:sz="0" w:space="0" w:color="auto"/>
            <w:bottom w:val="none" w:sz="0" w:space="0" w:color="auto"/>
            <w:right w:val="none" w:sz="0" w:space="0" w:color="auto"/>
          </w:divBdr>
          <w:divsChild>
            <w:div w:id="1992831659">
              <w:marLeft w:val="0"/>
              <w:marRight w:val="0"/>
              <w:marTop w:val="0"/>
              <w:marBottom w:val="0"/>
              <w:divBdr>
                <w:top w:val="none" w:sz="0" w:space="0" w:color="auto"/>
                <w:left w:val="none" w:sz="0" w:space="0" w:color="auto"/>
                <w:bottom w:val="none" w:sz="0" w:space="0" w:color="auto"/>
                <w:right w:val="none" w:sz="0" w:space="0" w:color="auto"/>
              </w:divBdr>
            </w:div>
          </w:divsChild>
        </w:div>
        <w:div w:id="1346134100">
          <w:marLeft w:val="0"/>
          <w:marRight w:val="0"/>
          <w:marTop w:val="0"/>
          <w:marBottom w:val="0"/>
          <w:divBdr>
            <w:top w:val="none" w:sz="0" w:space="0" w:color="auto"/>
            <w:left w:val="none" w:sz="0" w:space="0" w:color="auto"/>
            <w:bottom w:val="none" w:sz="0" w:space="0" w:color="auto"/>
            <w:right w:val="none" w:sz="0" w:space="0" w:color="auto"/>
          </w:divBdr>
          <w:divsChild>
            <w:div w:id="676470067">
              <w:marLeft w:val="0"/>
              <w:marRight w:val="0"/>
              <w:marTop w:val="0"/>
              <w:marBottom w:val="0"/>
              <w:divBdr>
                <w:top w:val="none" w:sz="0" w:space="0" w:color="auto"/>
                <w:left w:val="none" w:sz="0" w:space="0" w:color="auto"/>
                <w:bottom w:val="none" w:sz="0" w:space="0" w:color="auto"/>
                <w:right w:val="none" w:sz="0" w:space="0" w:color="auto"/>
              </w:divBdr>
            </w:div>
          </w:divsChild>
        </w:div>
        <w:div w:id="1375616458">
          <w:marLeft w:val="0"/>
          <w:marRight w:val="0"/>
          <w:marTop w:val="0"/>
          <w:marBottom w:val="0"/>
          <w:divBdr>
            <w:top w:val="none" w:sz="0" w:space="0" w:color="auto"/>
            <w:left w:val="none" w:sz="0" w:space="0" w:color="auto"/>
            <w:bottom w:val="none" w:sz="0" w:space="0" w:color="auto"/>
            <w:right w:val="none" w:sz="0" w:space="0" w:color="auto"/>
          </w:divBdr>
          <w:divsChild>
            <w:div w:id="1437866855">
              <w:marLeft w:val="0"/>
              <w:marRight w:val="0"/>
              <w:marTop w:val="0"/>
              <w:marBottom w:val="0"/>
              <w:divBdr>
                <w:top w:val="none" w:sz="0" w:space="0" w:color="auto"/>
                <w:left w:val="none" w:sz="0" w:space="0" w:color="auto"/>
                <w:bottom w:val="none" w:sz="0" w:space="0" w:color="auto"/>
                <w:right w:val="none" w:sz="0" w:space="0" w:color="auto"/>
              </w:divBdr>
            </w:div>
          </w:divsChild>
        </w:div>
        <w:div w:id="1377244570">
          <w:marLeft w:val="0"/>
          <w:marRight w:val="0"/>
          <w:marTop w:val="0"/>
          <w:marBottom w:val="0"/>
          <w:divBdr>
            <w:top w:val="none" w:sz="0" w:space="0" w:color="auto"/>
            <w:left w:val="none" w:sz="0" w:space="0" w:color="auto"/>
            <w:bottom w:val="none" w:sz="0" w:space="0" w:color="auto"/>
            <w:right w:val="none" w:sz="0" w:space="0" w:color="auto"/>
          </w:divBdr>
          <w:divsChild>
            <w:div w:id="1588730097">
              <w:marLeft w:val="0"/>
              <w:marRight w:val="0"/>
              <w:marTop w:val="0"/>
              <w:marBottom w:val="0"/>
              <w:divBdr>
                <w:top w:val="none" w:sz="0" w:space="0" w:color="auto"/>
                <w:left w:val="none" w:sz="0" w:space="0" w:color="auto"/>
                <w:bottom w:val="none" w:sz="0" w:space="0" w:color="auto"/>
                <w:right w:val="none" w:sz="0" w:space="0" w:color="auto"/>
              </w:divBdr>
            </w:div>
          </w:divsChild>
        </w:div>
        <w:div w:id="1405906443">
          <w:marLeft w:val="0"/>
          <w:marRight w:val="0"/>
          <w:marTop w:val="0"/>
          <w:marBottom w:val="0"/>
          <w:divBdr>
            <w:top w:val="none" w:sz="0" w:space="0" w:color="auto"/>
            <w:left w:val="none" w:sz="0" w:space="0" w:color="auto"/>
            <w:bottom w:val="none" w:sz="0" w:space="0" w:color="auto"/>
            <w:right w:val="none" w:sz="0" w:space="0" w:color="auto"/>
          </w:divBdr>
          <w:divsChild>
            <w:div w:id="975766413">
              <w:marLeft w:val="0"/>
              <w:marRight w:val="0"/>
              <w:marTop w:val="0"/>
              <w:marBottom w:val="0"/>
              <w:divBdr>
                <w:top w:val="none" w:sz="0" w:space="0" w:color="auto"/>
                <w:left w:val="none" w:sz="0" w:space="0" w:color="auto"/>
                <w:bottom w:val="none" w:sz="0" w:space="0" w:color="auto"/>
                <w:right w:val="none" w:sz="0" w:space="0" w:color="auto"/>
              </w:divBdr>
            </w:div>
          </w:divsChild>
        </w:div>
        <w:div w:id="1424910997">
          <w:marLeft w:val="0"/>
          <w:marRight w:val="0"/>
          <w:marTop w:val="0"/>
          <w:marBottom w:val="0"/>
          <w:divBdr>
            <w:top w:val="none" w:sz="0" w:space="0" w:color="auto"/>
            <w:left w:val="none" w:sz="0" w:space="0" w:color="auto"/>
            <w:bottom w:val="none" w:sz="0" w:space="0" w:color="auto"/>
            <w:right w:val="none" w:sz="0" w:space="0" w:color="auto"/>
          </w:divBdr>
          <w:divsChild>
            <w:div w:id="66388594">
              <w:marLeft w:val="0"/>
              <w:marRight w:val="0"/>
              <w:marTop w:val="0"/>
              <w:marBottom w:val="0"/>
              <w:divBdr>
                <w:top w:val="none" w:sz="0" w:space="0" w:color="auto"/>
                <w:left w:val="none" w:sz="0" w:space="0" w:color="auto"/>
                <w:bottom w:val="none" w:sz="0" w:space="0" w:color="auto"/>
                <w:right w:val="none" w:sz="0" w:space="0" w:color="auto"/>
              </w:divBdr>
            </w:div>
          </w:divsChild>
        </w:div>
        <w:div w:id="1425881011">
          <w:marLeft w:val="0"/>
          <w:marRight w:val="0"/>
          <w:marTop w:val="0"/>
          <w:marBottom w:val="0"/>
          <w:divBdr>
            <w:top w:val="none" w:sz="0" w:space="0" w:color="auto"/>
            <w:left w:val="none" w:sz="0" w:space="0" w:color="auto"/>
            <w:bottom w:val="none" w:sz="0" w:space="0" w:color="auto"/>
            <w:right w:val="none" w:sz="0" w:space="0" w:color="auto"/>
          </w:divBdr>
          <w:divsChild>
            <w:div w:id="704216715">
              <w:marLeft w:val="0"/>
              <w:marRight w:val="0"/>
              <w:marTop w:val="0"/>
              <w:marBottom w:val="0"/>
              <w:divBdr>
                <w:top w:val="none" w:sz="0" w:space="0" w:color="auto"/>
                <w:left w:val="none" w:sz="0" w:space="0" w:color="auto"/>
                <w:bottom w:val="none" w:sz="0" w:space="0" w:color="auto"/>
                <w:right w:val="none" w:sz="0" w:space="0" w:color="auto"/>
              </w:divBdr>
            </w:div>
          </w:divsChild>
        </w:div>
        <w:div w:id="1447233599">
          <w:marLeft w:val="0"/>
          <w:marRight w:val="0"/>
          <w:marTop w:val="0"/>
          <w:marBottom w:val="0"/>
          <w:divBdr>
            <w:top w:val="none" w:sz="0" w:space="0" w:color="auto"/>
            <w:left w:val="none" w:sz="0" w:space="0" w:color="auto"/>
            <w:bottom w:val="none" w:sz="0" w:space="0" w:color="auto"/>
            <w:right w:val="none" w:sz="0" w:space="0" w:color="auto"/>
          </w:divBdr>
          <w:divsChild>
            <w:div w:id="905336880">
              <w:marLeft w:val="0"/>
              <w:marRight w:val="0"/>
              <w:marTop w:val="0"/>
              <w:marBottom w:val="0"/>
              <w:divBdr>
                <w:top w:val="none" w:sz="0" w:space="0" w:color="auto"/>
                <w:left w:val="none" w:sz="0" w:space="0" w:color="auto"/>
                <w:bottom w:val="none" w:sz="0" w:space="0" w:color="auto"/>
                <w:right w:val="none" w:sz="0" w:space="0" w:color="auto"/>
              </w:divBdr>
            </w:div>
          </w:divsChild>
        </w:div>
        <w:div w:id="1462648258">
          <w:marLeft w:val="0"/>
          <w:marRight w:val="0"/>
          <w:marTop w:val="0"/>
          <w:marBottom w:val="0"/>
          <w:divBdr>
            <w:top w:val="none" w:sz="0" w:space="0" w:color="auto"/>
            <w:left w:val="none" w:sz="0" w:space="0" w:color="auto"/>
            <w:bottom w:val="none" w:sz="0" w:space="0" w:color="auto"/>
            <w:right w:val="none" w:sz="0" w:space="0" w:color="auto"/>
          </w:divBdr>
          <w:divsChild>
            <w:div w:id="259066856">
              <w:marLeft w:val="0"/>
              <w:marRight w:val="0"/>
              <w:marTop w:val="0"/>
              <w:marBottom w:val="0"/>
              <w:divBdr>
                <w:top w:val="none" w:sz="0" w:space="0" w:color="auto"/>
                <w:left w:val="none" w:sz="0" w:space="0" w:color="auto"/>
                <w:bottom w:val="none" w:sz="0" w:space="0" w:color="auto"/>
                <w:right w:val="none" w:sz="0" w:space="0" w:color="auto"/>
              </w:divBdr>
            </w:div>
          </w:divsChild>
        </w:div>
        <w:div w:id="1472940331">
          <w:marLeft w:val="0"/>
          <w:marRight w:val="0"/>
          <w:marTop w:val="0"/>
          <w:marBottom w:val="0"/>
          <w:divBdr>
            <w:top w:val="none" w:sz="0" w:space="0" w:color="auto"/>
            <w:left w:val="none" w:sz="0" w:space="0" w:color="auto"/>
            <w:bottom w:val="none" w:sz="0" w:space="0" w:color="auto"/>
            <w:right w:val="none" w:sz="0" w:space="0" w:color="auto"/>
          </w:divBdr>
          <w:divsChild>
            <w:div w:id="1196312260">
              <w:marLeft w:val="0"/>
              <w:marRight w:val="0"/>
              <w:marTop w:val="0"/>
              <w:marBottom w:val="0"/>
              <w:divBdr>
                <w:top w:val="none" w:sz="0" w:space="0" w:color="auto"/>
                <w:left w:val="none" w:sz="0" w:space="0" w:color="auto"/>
                <w:bottom w:val="none" w:sz="0" w:space="0" w:color="auto"/>
                <w:right w:val="none" w:sz="0" w:space="0" w:color="auto"/>
              </w:divBdr>
            </w:div>
          </w:divsChild>
        </w:div>
        <w:div w:id="1475484577">
          <w:marLeft w:val="0"/>
          <w:marRight w:val="0"/>
          <w:marTop w:val="0"/>
          <w:marBottom w:val="0"/>
          <w:divBdr>
            <w:top w:val="none" w:sz="0" w:space="0" w:color="auto"/>
            <w:left w:val="none" w:sz="0" w:space="0" w:color="auto"/>
            <w:bottom w:val="none" w:sz="0" w:space="0" w:color="auto"/>
            <w:right w:val="none" w:sz="0" w:space="0" w:color="auto"/>
          </w:divBdr>
          <w:divsChild>
            <w:div w:id="195044784">
              <w:marLeft w:val="0"/>
              <w:marRight w:val="0"/>
              <w:marTop w:val="0"/>
              <w:marBottom w:val="0"/>
              <w:divBdr>
                <w:top w:val="none" w:sz="0" w:space="0" w:color="auto"/>
                <w:left w:val="none" w:sz="0" w:space="0" w:color="auto"/>
                <w:bottom w:val="none" w:sz="0" w:space="0" w:color="auto"/>
                <w:right w:val="none" w:sz="0" w:space="0" w:color="auto"/>
              </w:divBdr>
            </w:div>
          </w:divsChild>
        </w:div>
        <w:div w:id="1492985007">
          <w:marLeft w:val="0"/>
          <w:marRight w:val="0"/>
          <w:marTop w:val="0"/>
          <w:marBottom w:val="0"/>
          <w:divBdr>
            <w:top w:val="none" w:sz="0" w:space="0" w:color="auto"/>
            <w:left w:val="none" w:sz="0" w:space="0" w:color="auto"/>
            <w:bottom w:val="none" w:sz="0" w:space="0" w:color="auto"/>
            <w:right w:val="none" w:sz="0" w:space="0" w:color="auto"/>
          </w:divBdr>
          <w:divsChild>
            <w:div w:id="576936825">
              <w:marLeft w:val="0"/>
              <w:marRight w:val="0"/>
              <w:marTop w:val="0"/>
              <w:marBottom w:val="0"/>
              <w:divBdr>
                <w:top w:val="none" w:sz="0" w:space="0" w:color="auto"/>
                <w:left w:val="none" w:sz="0" w:space="0" w:color="auto"/>
                <w:bottom w:val="none" w:sz="0" w:space="0" w:color="auto"/>
                <w:right w:val="none" w:sz="0" w:space="0" w:color="auto"/>
              </w:divBdr>
            </w:div>
          </w:divsChild>
        </w:div>
        <w:div w:id="1493644106">
          <w:marLeft w:val="0"/>
          <w:marRight w:val="0"/>
          <w:marTop w:val="0"/>
          <w:marBottom w:val="0"/>
          <w:divBdr>
            <w:top w:val="none" w:sz="0" w:space="0" w:color="auto"/>
            <w:left w:val="none" w:sz="0" w:space="0" w:color="auto"/>
            <w:bottom w:val="none" w:sz="0" w:space="0" w:color="auto"/>
            <w:right w:val="none" w:sz="0" w:space="0" w:color="auto"/>
          </w:divBdr>
          <w:divsChild>
            <w:div w:id="173612537">
              <w:marLeft w:val="0"/>
              <w:marRight w:val="0"/>
              <w:marTop w:val="0"/>
              <w:marBottom w:val="0"/>
              <w:divBdr>
                <w:top w:val="none" w:sz="0" w:space="0" w:color="auto"/>
                <w:left w:val="none" w:sz="0" w:space="0" w:color="auto"/>
                <w:bottom w:val="none" w:sz="0" w:space="0" w:color="auto"/>
                <w:right w:val="none" w:sz="0" w:space="0" w:color="auto"/>
              </w:divBdr>
            </w:div>
          </w:divsChild>
        </w:div>
        <w:div w:id="1515613425">
          <w:marLeft w:val="0"/>
          <w:marRight w:val="0"/>
          <w:marTop w:val="0"/>
          <w:marBottom w:val="0"/>
          <w:divBdr>
            <w:top w:val="none" w:sz="0" w:space="0" w:color="auto"/>
            <w:left w:val="none" w:sz="0" w:space="0" w:color="auto"/>
            <w:bottom w:val="none" w:sz="0" w:space="0" w:color="auto"/>
            <w:right w:val="none" w:sz="0" w:space="0" w:color="auto"/>
          </w:divBdr>
          <w:divsChild>
            <w:div w:id="1027635721">
              <w:marLeft w:val="0"/>
              <w:marRight w:val="0"/>
              <w:marTop w:val="0"/>
              <w:marBottom w:val="0"/>
              <w:divBdr>
                <w:top w:val="none" w:sz="0" w:space="0" w:color="auto"/>
                <w:left w:val="none" w:sz="0" w:space="0" w:color="auto"/>
                <w:bottom w:val="none" w:sz="0" w:space="0" w:color="auto"/>
                <w:right w:val="none" w:sz="0" w:space="0" w:color="auto"/>
              </w:divBdr>
            </w:div>
          </w:divsChild>
        </w:div>
        <w:div w:id="1581597798">
          <w:marLeft w:val="0"/>
          <w:marRight w:val="0"/>
          <w:marTop w:val="0"/>
          <w:marBottom w:val="0"/>
          <w:divBdr>
            <w:top w:val="none" w:sz="0" w:space="0" w:color="auto"/>
            <w:left w:val="none" w:sz="0" w:space="0" w:color="auto"/>
            <w:bottom w:val="none" w:sz="0" w:space="0" w:color="auto"/>
            <w:right w:val="none" w:sz="0" w:space="0" w:color="auto"/>
          </w:divBdr>
          <w:divsChild>
            <w:div w:id="755127578">
              <w:marLeft w:val="0"/>
              <w:marRight w:val="0"/>
              <w:marTop w:val="0"/>
              <w:marBottom w:val="0"/>
              <w:divBdr>
                <w:top w:val="none" w:sz="0" w:space="0" w:color="auto"/>
                <w:left w:val="none" w:sz="0" w:space="0" w:color="auto"/>
                <w:bottom w:val="none" w:sz="0" w:space="0" w:color="auto"/>
                <w:right w:val="none" w:sz="0" w:space="0" w:color="auto"/>
              </w:divBdr>
            </w:div>
          </w:divsChild>
        </w:div>
        <w:div w:id="1585989404">
          <w:marLeft w:val="0"/>
          <w:marRight w:val="0"/>
          <w:marTop w:val="0"/>
          <w:marBottom w:val="0"/>
          <w:divBdr>
            <w:top w:val="none" w:sz="0" w:space="0" w:color="auto"/>
            <w:left w:val="none" w:sz="0" w:space="0" w:color="auto"/>
            <w:bottom w:val="none" w:sz="0" w:space="0" w:color="auto"/>
            <w:right w:val="none" w:sz="0" w:space="0" w:color="auto"/>
          </w:divBdr>
          <w:divsChild>
            <w:div w:id="1958364694">
              <w:marLeft w:val="0"/>
              <w:marRight w:val="0"/>
              <w:marTop w:val="0"/>
              <w:marBottom w:val="0"/>
              <w:divBdr>
                <w:top w:val="none" w:sz="0" w:space="0" w:color="auto"/>
                <w:left w:val="none" w:sz="0" w:space="0" w:color="auto"/>
                <w:bottom w:val="none" w:sz="0" w:space="0" w:color="auto"/>
                <w:right w:val="none" w:sz="0" w:space="0" w:color="auto"/>
              </w:divBdr>
            </w:div>
          </w:divsChild>
        </w:div>
        <w:div w:id="1591498122">
          <w:marLeft w:val="0"/>
          <w:marRight w:val="0"/>
          <w:marTop w:val="0"/>
          <w:marBottom w:val="0"/>
          <w:divBdr>
            <w:top w:val="none" w:sz="0" w:space="0" w:color="auto"/>
            <w:left w:val="none" w:sz="0" w:space="0" w:color="auto"/>
            <w:bottom w:val="none" w:sz="0" w:space="0" w:color="auto"/>
            <w:right w:val="none" w:sz="0" w:space="0" w:color="auto"/>
          </w:divBdr>
          <w:divsChild>
            <w:div w:id="241179239">
              <w:marLeft w:val="0"/>
              <w:marRight w:val="0"/>
              <w:marTop w:val="0"/>
              <w:marBottom w:val="0"/>
              <w:divBdr>
                <w:top w:val="none" w:sz="0" w:space="0" w:color="auto"/>
                <w:left w:val="none" w:sz="0" w:space="0" w:color="auto"/>
                <w:bottom w:val="none" w:sz="0" w:space="0" w:color="auto"/>
                <w:right w:val="none" w:sz="0" w:space="0" w:color="auto"/>
              </w:divBdr>
            </w:div>
          </w:divsChild>
        </w:div>
        <w:div w:id="1598364421">
          <w:marLeft w:val="0"/>
          <w:marRight w:val="0"/>
          <w:marTop w:val="0"/>
          <w:marBottom w:val="0"/>
          <w:divBdr>
            <w:top w:val="none" w:sz="0" w:space="0" w:color="auto"/>
            <w:left w:val="none" w:sz="0" w:space="0" w:color="auto"/>
            <w:bottom w:val="none" w:sz="0" w:space="0" w:color="auto"/>
            <w:right w:val="none" w:sz="0" w:space="0" w:color="auto"/>
          </w:divBdr>
          <w:divsChild>
            <w:div w:id="166017654">
              <w:marLeft w:val="0"/>
              <w:marRight w:val="0"/>
              <w:marTop w:val="0"/>
              <w:marBottom w:val="0"/>
              <w:divBdr>
                <w:top w:val="none" w:sz="0" w:space="0" w:color="auto"/>
                <w:left w:val="none" w:sz="0" w:space="0" w:color="auto"/>
                <w:bottom w:val="none" w:sz="0" w:space="0" w:color="auto"/>
                <w:right w:val="none" w:sz="0" w:space="0" w:color="auto"/>
              </w:divBdr>
            </w:div>
          </w:divsChild>
        </w:div>
        <w:div w:id="1604336425">
          <w:marLeft w:val="0"/>
          <w:marRight w:val="0"/>
          <w:marTop w:val="0"/>
          <w:marBottom w:val="0"/>
          <w:divBdr>
            <w:top w:val="none" w:sz="0" w:space="0" w:color="auto"/>
            <w:left w:val="none" w:sz="0" w:space="0" w:color="auto"/>
            <w:bottom w:val="none" w:sz="0" w:space="0" w:color="auto"/>
            <w:right w:val="none" w:sz="0" w:space="0" w:color="auto"/>
          </w:divBdr>
          <w:divsChild>
            <w:div w:id="1815292126">
              <w:marLeft w:val="0"/>
              <w:marRight w:val="0"/>
              <w:marTop w:val="0"/>
              <w:marBottom w:val="0"/>
              <w:divBdr>
                <w:top w:val="none" w:sz="0" w:space="0" w:color="auto"/>
                <w:left w:val="none" w:sz="0" w:space="0" w:color="auto"/>
                <w:bottom w:val="none" w:sz="0" w:space="0" w:color="auto"/>
                <w:right w:val="none" w:sz="0" w:space="0" w:color="auto"/>
              </w:divBdr>
            </w:div>
          </w:divsChild>
        </w:div>
        <w:div w:id="1653872165">
          <w:marLeft w:val="0"/>
          <w:marRight w:val="0"/>
          <w:marTop w:val="0"/>
          <w:marBottom w:val="0"/>
          <w:divBdr>
            <w:top w:val="none" w:sz="0" w:space="0" w:color="auto"/>
            <w:left w:val="none" w:sz="0" w:space="0" w:color="auto"/>
            <w:bottom w:val="none" w:sz="0" w:space="0" w:color="auto"/>
            <w:right w:val="none" w:sz="0" w:space="0" w:color="auto"/>
          </w:divBdr>
          <w:divsChild>
            <w:div w:id="2131851709">
              <w:marLeft w:val="0"/>
              <w:marRight w:val="0"/>
              <w:marTop w:val="0"/>
              <w:marBottom w:val="0"/>
              <w:divBdr>
                <w:top w:val="none" w:sz="0" w:space="0" w:color="auto"/>
                <w:left w:val="none" w:sz="0" w:space="0" w:color="auto"/>
                <w:bottom w:val="none" w:sz="0" w:space="0" w:color="auto"/>
                <w:right w:val="none" w:sz="0" w:space="0" w:color="auto"/>
              </w:divBdr>
            </w:div>
          </w:divsChild>
        </w:div>
        <w:div w:id="1665821849">
          <w:marLeft w:val="0"/>
          <w:marRight w:val="0"/>
          <w:marTop w:val="0"/>
          <w:marBottom w:val="0"/>
          <w:divBdr>
            <w:top w:val="none" w:sz="0" w:space="0" w:color="auto"/>
            <w:left w:val="none" w:sz="0" w:space="0" w:color="auto"/>
            <w:bottom w:val="none" w:sz="0" w:space="0" w:color="auto"/>
            <w:right w:val="none" w:sz="0" w:space="0" w:color="auto"/>
          </w:divBdr>
          <w:divsChild>
            <w:div w:id="1294367128">
              <w:marLeft w:val="0"/>
              <w:marRight w:val="0"/>
              <w:marTop w:val="0"/>
              <w:marBottom w:val="0"/>
              <w:divBdr>
                <w:top w:val="none" w:sz="0" w:space="0" w:color="auto"/>
                <w:left w:val="none" w:sz="0" w:space="0" w:color="auto"/>
                <w:bottom w:val="none" w:sz="0" w:space="0" w:color="auto"/>
                <w:right w:val="none" w:sz="0" w:space="0" w:color="auto"/>
              </w:divBdr>
            </w:div>
          </w:divsChild>
        </w:div>
        <w:div w:id="1668944464">
          <w:marLeft w:val="0"/>
          <w:marRight w:val="0"/>
          <w:marTop w:val="0"/>
          <w:marBottom w:val="0"/>
          <w:divBdr>
            <w:top w:val="none" w:sz="0" w:space="0" w:color="auto"/>
            <w:left w:val="none" w:sz="0" w:space="0" w:color="auto"/>
            <w:bottom w:val="none" w:sz="0" w:space="0" w:color="auto"/>
            <w:right w:val="none" w:sz="0" w:space="0" w:color="auto"/>
          </w:divBdr>
          <w:divsChild>
            <w:div w:id="1028676397">
              <w:marLeft w:val="0"/>
              <w:marRight w:val="0"/>
              <w:marTop w:val="0"/>
              <w:marBottom w:val="0"/>
              <w:divBdr>
                <w:top w:val="none" w:sz="0" w:space="0" w:color="auto"/>
                <w:left w:val="none" w:sz="0" w:space="0" w:color="auto"/>
                <w:bottom w:val="none" w:sz="0" w:space="0" w:color="auto"/>
                <w:right w:val="none" w:sz="0" w:space="0" w:color="auto"/>
              </w:divBdr>
            </w:div>
          </w:divsChild>
        </w:div>
        <w:div w:id="1688170143">
          <w:marLeft w:val="0"/>
          <w:marRight w:val="0"/>
          <w:marTop w:val="0"/>
          <w:marBottom w:val="0"/>
          <w:divBdr>
            <w:top w:val="none" w:sz="0" w:space="0" w:color="auto"/>
            <w:left w:val="none" w:sz="0" w:space="0" w:color="auto"/>
            <w:bottom w:val="none" w:sz="0" w:space="0" w:color="auto"/>
            <w:right w:val="none" w:sz="0" w:space="0" w:color="auto"/>
          </w:divBdr>
          <w:divsChild>
            <w:div w:id="1312639334">
              <w:marLeft w:val="0"/>
              <w:marRight w:val="0"/>
              <w:marTop w:val="0"/>
              <w:marBottom w:val="0"/>
              <w:divBdr>
                <w:top w:val="none" w:sz="0" w:space="0" w:color="auto"/>
                <w:left w:val="none" w:sz="0" w:space="0" w:color="auto"/>
                <w:bottom w:val="none" w:sz="0" w:space="0" w:color="auto"/>
                <w:right w:val="none" w:sz="0" w:space="0" w:color="auto"/>
              </w:divBdr>
            </w:div>
          </w:divsChild>
        </w:div>
        <w:div w:id="1707485300">
          <w:marLeft w:val="0"/>
          <w:marRight w:val="0"/>
          <w:marTop w:val="0"/>
          <w:marBottom w:val="0"/>
          <w:divBdr>
            <w:top w:val="none" w:sz="0" w:space="0" w:color="auto"/>
            <w:left w:val="none" w:sz="0" w:space="0" w:color="auto"/>
            <w:bottom w:val="none" w:sz="0" w:space="0" w:color="auto"/>
            <w:right w:val="none" w:sz="0" w:space="0" w:color="auto"/>
          </w:divBdr>
          <w:divsChild>
            <w:div w:id="1960725619">
              <w:marLeft w:val="0"/>
              <w:marRight w:val="0"/>
              <w:marTop w:val="0"/>
              <w:marBottom w:val="0"/>
              <w:divBdr>
                <w:top w:val="none" w:sz="0" w:space="0" w:color="auto"/>
                <w:left w:val="none" w:sz="0" w:space="0" w:color="auto"/>
                <w:bottom w:val="none" w:sz="0" w:space="0" w:color="auto"/>
                <w:right w:val="none" w:sz="0" w:space="0" w:color="auto"/>
              </w:divBdr>
            </w:div>
          </w:divsChild>
        </w:div>
        <w:div w:id="1714427346">
          <w:marLeft w:val="0"/>
          <w:marRight w:val="0"/>
          <w:marTop w:val="0"/>
          <w:marBottom w:val="0"/>
          <w:divBdr>
            <w:top w:val="none" w:sz="0" w:space="0" w:color="auto"/>
            <w:left w:val="none" w:sz="0" w:space="0" w:color="auto"/>
            <w:bottom w:val="none" w:sz="0" w:space="0" w:color="auto"/>
            <w:right w:val="none" w:sz="0" w:space="0" w:color="auto"/>
          </w:divBdr>
          <w:divsChild>
            <w:div w:id="1670449005">
              <w:marLeft w:val="0"/>
              <w:marRight w:val="0"/>
              <w:marTop w:val="0"/>
              <w:marBottom w:val="0"/>
              <w:divBdr>
                <w:top w:val="none" w:sz="0" w:space="0" w:color="auto"/>
                <w:left w:val="none" w:sz="0" w:space="0" w:color="auto"/>
                <w:bottom w:val="none" w:sz="0" w:space="0" w:color="auto"/>
                <w:right w:val="none" w:sz="0" w:space="0" w:color="auto"/>
              </w:divBdr>
            </w:div>
          </w:divsChild>
        </w:div>
        <w:div w:id="1799496191">
          <w:marLeft w:val="0"/>
          <w:marRight w:val="0"/>
          <w:marTop w:val="0"/>
          <w:marBottom w:val="0"/>
          <w:divBdr>
            <w:top w:val="none" w:sz="0" w:space="0" w:color="auto"/>
            <w:left w:val="none" w:sz="0" w:space="0" w:color="auto"/>
            <w:bottom w:val="none" w:sz="0" w:space="0" w:color="auto"/>
            <w:right w:val="none" w:sz="0" w:space="0" w:color="auto"/>
          </w:divBdr>
          <w:divsChild>
            <w:div w:id="730345948">
              <w:marLeft w:val="0"/>
              <w:marRight w:val="0"/>
              <w:marTop w:val="0"/>
              <w:marBottom w:val="0"/>
              <w:divBdr>
                <w:top w:val="none" w:sz="0" w:space="0" w:color="auto"/>
                <w:left w:val="none" w:sz="0" w:space="0" w:color="auto"/>
                <w:bottom w:val="none" w:sz="0" w:space="0" w:color="auto"/>
                <w:right w:val="none" w:sz="0" w:space="0" w:color="auto"/>
              </w:divBdr>
            </w:div>
          </w:divsChild>
        </w:div>
        <w:div w:id="1806777249">
          <w:marLeft w:val="0"/>
          <w:marRight w:val="0"/>
          <w:marTop w:val="0"/>
          <w:marBottom w:val="0"/>
          <w:divBdr>
            <w:top w:val="none" w:sz="0" w:space="0" w:color="auto"/>
            <w:left w:val="none" w:sz="0" w:space="0" w:color="auto"/>
            <w:bottom w:val="none" w:sz="0" w:space="0" w:color="auto"/>
            <w:right w:val="none" w:sz="0" w:space="0" w:color="auto"/>
          </w:divBdr>
          <w:divsChild>
            <w:div w:id="1233662138">
              <w:marLeft w:val="0"/>
              <w:marRight w:val="0"/>
              <w:marTop w:val="0"/>
              <w:marBottom w:val="0"/>
              <w:divBdr>
                <w:top w:val="none" w:sz="0" w:space="0" w:color="auto"/>
                <w:left w:val="none" w:sz="0" w:space="0" w:color="auto"/>
                <w:bottom w:val="none" w:sz="0" w:space="0" w:color="auto"/>
                <w:right w:val="none" w:sz="0" w:space="0" w:color="auto"/>
              </w:divBdr>
            </w:div>
          </w:divsChild>
        </w:div>
        <w:div w:id="1808276824">
          <w:marLeft w:val="0"/>
          <w:marRight w:val="0"/>
          <w:marTop w:val="0"/>
          <w:marBottom w:val="0"/>
          <w:divBdr>
            <w:top w:val="none" w:sz="0" w:space="0" w:color="auto"/>
            <w:left w:val="none" w:sz="0" w:space="0" w:color="auto"/>
            <w:bottom w:val="none" w:sz="0" w:space="0" w:color="auto"/>
            <w:right w:val="none" w:sz="0" w:space="0" w:color="auto"/>
          </w:divBdr>
          <w:divsChild>
            <w:div w:id="1706327488">
              <w:marLeft w:val="0"/>
              <w:marRight w:val="0"/>
              <w:marTop w:val="0"/>
              <w:marBottom w:val="0"/>
              <w:divBdr>
                <w:top w:val="none" w:sz="0" w:space="0" w:color="auto"/>
                <w:left w:val="none" w:sz="0" w:space="0" w:color="auto"/>
                <w:bottom w:val="none" w:sz="0" w:space="0" w:color="auto"/>
                <w:right w:val="none" w:sz="0" w:space="0" w:color="auto"/>
              </w:divBdr>
            </w:div>
          </w:divsChild>
        </w:div>
        <w:div w:id="1821456214">
          <w:marLeft w:val="0"/>
          <w:marRight w:val="0"/>
          <w:marTop w:val="0"/>
          <w:marBottom w:val="0"/>
          <w:divBdr>
            <w:top w:val="none" w:sz="0" w:space="0" w:color="auto"/>
            <w:left w:val="none" w:sz="0" w:space="0" w:color="auto"/>
            <w:bottom w:val="none" w:sz="0" w:space="0" w:color="auto"/>
            <w:right w:val="none" w:sz="0" w:space="0" w:color="auto"/>
          </w:divBdr>
          <w:divsChild>
            <w:div w:id="786585128">
              <w:marLeft w:val="0"/>
              <w:marRight w:val="0"/>
              <w:marTop w:val="0"/>
              <w:marBottom w:val="0"/>
              <w:divBdr>
                <w:top w:val="none" w:sz="0" w:space="0" w:color="auto"/>
                <w:left w:val="none" w:sz="0" w:space="0" w:color="auto"/>
                <w:bottom w:val="none" w:sz="0" w:space="0" w:color="auto"/>
                <w:right w:val="none" w:sz="0" w:space="0" w:color="auto"/>
              </w:divBdr>
            </w:div>
          </w:divsChild>
        </w:div>
        <w:div w:id="1826241749">
          <w:marLeft w:val="0"/>
          <w:marRight w:val="0"/>
          <w:marTop w:val="0"/>
          <w:marBottom w:val="0"/>
          <w:divBdr>
            <w:top w:val="none" w:sz="0" w:space="0" w:color="auto"/>
            <w:left w:val="none" w:sz="0" w:space="0" w:color="auto"/>
            <w:bottom w:val="none" w:sz="0" w:space="0" w:color="auto"/>
            <w:right w:val="none" w:sz="0" w:space="0" w:color="auto"/>
          </w:divBdr>
          <w:divsChild>
            <w:div w:id="1809012178">
              <w:marLeft w:val="0"/>
              <w:marRight w:val="0"/>
              <w:marTop w:val="0"/>
              <w:marBottom w:val="0"/>
              <w:divBdr>
                <w:top w:val="none" w:sz="0" w:space="0" w:color="auto"/>
                <w:left w:val="none" w:sz="0" w:space="0" w:color="auto"/>
                <w:bottom w:val="none" w:sz="0" w:space="0" w:color="auto"/>
                <w:right w:val="none" w:sz="0" w:space="0" w:color="auto"/>
              </w:divBdr>
            </w:div>
          </w:divsChild>
        </w:div>
        <w:div w:id="1832872218">
          <w:marLeft w:val="0"/>
          <w:marRight w:val="0"/>
          <w:marTop w:val="0"/>
          <w:marBottom w:val="0"/>
          <w:divBdr>
            <w:top w:val="none" w:sz="0" w:space="0" w:color="auto"/>
            <w:left w:val="none" w:sz="0" w:space="0" w:color="auto"/>
            <w:bottom w:val="none" w:sz="0" w:space="0" w:color="auto"/>
            <w:right w:val="none" w:sz="0" w:space="0" w:color="auto"/>
          </w:divBdr>
          <w:divsChild>
            <w:div w:id="1636642525">
              <w:marLeft w:val="0"/>
              <w:marRight w:val="0"/>
              <w:marTop w:val="0"/>
              <w:marBottom w:val="0"/>
              <w:divBdr>
                <w:top w:val="none" w:sz="0" w:space="0" w:color="auto"/>
                <w:left w:val="none" w:sz="0" w:space="0" w:color="auto"/>
                <w:bottom w:val="none" w:sz="0" w:space="0" w:color="auto"/>
                <w:right w:val="none" w:sz="0" w:space="0" w:color="auto"/>
              </w:divBdr>
            </w:div>
          </w:divsChild>
        </w:div>
        <w:div w:id="1833911406">
          <w:marLeft w:val="0"/>
          <w:marRight w:val="0"/>
          <w:marTop w:val="0"/>
          <w:marBottom w:val="0"/>
          <w:divBdr>
            <w:top w:val="none" w:sz="0" w:space="0" w:color="auto"/>
            <w:left w:val="none" w:sz="0" w:space="0" w:color="auto"/>
            <w:bottom w:val="none" w:sz="0" w:space="0" w:color="auto"/>
            <w:right w:val="none" w:sz="0" w:space="0" w:color="auto"/>
          </w:divBdr>
          <w:divsChild>
            <w:div w:id="1746149531">
              <w:marLeft w:val="0"/>
              <w:marRight w:val="0"/>
              <w:marTop w:val="0"/>
              <w:marBottom w:val="0"/>
              <w:divBdr>
                <w:top w:val="none" w:sz="0" w:space="0" w:color="auto"/>
                <w:left w:val="none" w:sz="0" w:space="0" w:color="auto"/>
                <w:bottom w:val="none" w:sz="0" w:space="0" w:color="auto"/>
                <w:right w:val="none" w:sz="0" w:space="0" w:color="auto"/>
              </w:divBdr>
            </w:div>
          </w:divsChild>
        </w:div>
        <w:div w:id="1890415333">
          <w:marLeft w:val="0"/>
          <w:marRight w:val="0"/>
          <w:marTop w:val="0"/>
          <w:marBottom w:val="0"/>
          <w:divBdr>
            <w:top w:val="none" w:sz="0" w:space="0" w:color="auto"/>
            <w:left w:val="none" w:sz="0" w:space="0" w:color="auto"/>
            <w:bottom w:val="none" w:sz="0" w:space="0" w:color="auto"/>
            <w:right w:val="none" w:sz="0" w:space="0" w:color="auto"/>
          </w:divBdr>
          <w:divsChild>
            <w:div w:id="1028681402">
              <w:marLeft w:val="0"/>
              <w:marRight w:val="0"/>
              <w:marTop w:val="0"/>
              <w:marBottom w:val="0"/>
              <w:divBdr>
                <w:top w:val="none" w:sz="0" w:space="0" w:color="auto"/>
                <w:left w:val="none" w:sz="0" w:space="0" w:color="auto"/>
                <w:bottom w:val="none" w:sz="0" w:space="0" w:color="auto"/>
                <w:right w:val="none" w:sz="0" w:space="0" w:color="auto"/>
              </w:divBdr>
            </w:div>
          </w:divsChild>
        </w:div>
        <w:div w:id="1918052386">
          <w:marLeft w:val="0"/>
          <w:marRight w:val="0"/>
          <w:marTop w:val="0"/>
          <w:marBottom w:val="0"/>
          <w:divBdr>
            <w:top w:val="none" w:sz="0" w:space="0" w:color="auto"/>
            <w:left w:val="none" w:sz="0" w:space="0" w:color="auto"/>
            <w:bottom w:val="none" w:sz="0" w:space="0" w:color="auto"/>
            <w:right w:val="none" w:sz="0" w:space="0" w:color="auto"/>
          </w:divBdr>
          <w:divsChild>
            <w:div w:id="740059176">
              <w:marLeft w:val="0"/>
              <w:marRight w:val="0"/>
              <w:marTop w:val="0"/>
              <w:marBottom w:val="0"/>
              <w:divBdr>
                <w:top w:val="none" w:sz="0" w:space="0" w:color="auto"/>
                <w:left w:val="none" w:sz="0" w:space="0" w:color="auto"/>
                <w:bottom w:val="none" w:sz="0" w:space="0" w:color="auto"/>
                <w:right w:val="none" w:sz="0" w:space="0" w:color="auto"/>
              </w:divBdr>
            </w:div>
          </w:divsChild>
        </w:div>
        <w:div w:id="1928422322">
          <w:marLeft w:val="0"/>
          <w:marRight w:val="0"/>
          <w:marTop w:val="0"/>
          <w:marBottom w:val="0"/>
          <w:divBdr>
            <w:top w:val="none" w:sz="0" w:space="0" w:color="auto"/>
            <w:left w:val="none" w:sz="0" w:space="0" w:color="auto"/>
            <w:bottom w:val="none" w:sz="0" w:space="0" w:color="auto"/>
            <w:right w:val="none" w:sz="0" w:space="0" w:color="auto"/>
          </w:divBdr>
          <w:divsChild>
            <w:div w:id="1353995369">
              <w:marLeft w:val="0"/>
              <w:marRight w:val="0"/>
              <w:marTop w:val="0"/>
              <w:marBottom w:val="0"/>
              <w:divBdr>
                <w:top w:val="none" w:sz="0" w:space="0" w:color="auto"/>
                <w:left w:val="none" w:sz="0" w:space="0" w:color="auto"/>
                <w:bottom w:val="none" w:sz="0" w:space="0" w:color="auto"/>
                <w:right w:val="none" w:sz="0" w:space="0" w:color="auto"/>
              </w:divBdr>
            </w:div>
          </w:divsChild>
        </w:div>
        <w:div w:id="1962413675">
          <w:marLeft w:val="0"/>
          <w:marRight w:val="0"/>
          <w:marTop w:val="0"/>
          <w:marBottom w:val="0"/>
          <w:divBdr>
            <w:top w:val="none" w:sz="0" w:space="0" w:color="auto"/>
            <w:left w:val="none" w:sz="0" w:space="0" w:color="auto"/>
            <w:bottom w:val="none" w:sz="0" w:space="0" w:color="auto"/>
            <w:right w:val="none" w:sz="0" w:space="0" w:color="auto"/>
          </w:divBdr>
          <w:divsChild>
            <w:div w:id="51537747">
              <w:marLeft w:val="0"/>
              <w:marRight w:val="0"/>
              <w:marTop w:val="0"/>
              <w:marBottom w:val="0"/>
              <w:divBdr>
                <w:top w:val="none" w:sz="0" w:space="0" w:color="auto"/>
                <w:left w:val="none" w:sz="0" w:space="0" w:color="auto"/>
                <w:bottom w:val="none" w:sz="0" w:space="0" w:color="auto"/>
                <w:right w:val="none" w:sz="0" w:space="0" w:color="auto"/>
              </w:divBdr>
            </w:div>
          </w:divsChild>
        </w:div>
        <w:div w:id="1967421807">
          <w:marLeft w:val="0"/>
          <w:marRight w:val="0"/>
          <w:marTop w:val="0"/>
          <w:marBottom w:val="0"/>
          <w:divBdr>
            <w:top w:val="none" w:sz="0" w:space="0" w:color="auto"/>
            <w:left w:val="none" w:sz="0" w:space="0" w:color="auto"/>
            <w:bottom w:val="none" w:sz="0" w:space="0" w:color="auto"/>
            <w:right w:val="none" w:sz="0" w:space="0" w:color="auto"/>
          </w:divBdr>
          <w:divsChild>
            <w:div w:id="1849296986">
              <w:marLeft w:val="0"/>
              <w:marRight w:val="0"/>
              <w:marTop w:val="0"/>
              <w:marBottom w:val="0"/>
              <w:divBdr>
                <w:top w:val="none" w:sz="0" w:space="0" w:color="auto"/>
                <w:left w:val="none" w:sz="0" w:space="0" w:color="auto"/>
                <w:bottom w:val="none" w:sz="0" w:space="0" w:color="auto"/>
                <w:right w:val="none" w:sz="0" w:space="0" w:color="auto"/>
              </w:divBdr>
            </w:div>
          </w:divsChild>
        </w:div>
        <w:div w:id="1985349708">
          <w:marLeft w:val="0"/>
          <w:marRight w:val="0"/>
          <w:marTop w:val="0"/>
          <w:marBottom w:val="0"/>
          <w:divBdr>
            <w:top w:val="none" w:sz="0" w:space="0" w:color="auto"/>
            <w:left w:val="none" w:sz="0" w:space="0" w:color="auto"/>
            <w:bottom w:val="none" w:sz="0" w:space="0" w:color="auto"/>
            <w:right w:val="none" w:sz="0" w:space="0" w:color="auto"/>
          </w:divBdr>
          <w:divsChild>
            <w:div w:id="1866478482">
              <w:marLeft w:val="0"/>
              <w:marRight w:val="0"/>
              <w:marTop w:val="0"/>
              <w:marBottom w:val="0"/>
              <w:divBdr>
                <w:top w:val="none" w:sz="0" w:space="0" w:color="auto"/>
                <w:left w:val="none" w:sz="0" w:space="0" w:color="auto"/>
                <w:bottom w:val="none" w:sz="0" w:space="0" w:color="auto"/>
                <w:right w:val="none" w:sz="0" w:space="0" w:color="auto"/>
              </w:divBdr>
            </w:div>
          </w:divsChild>
        </w:div>
        <w:div w:id="1987196241">
          <w:marLeft w:val="0"/>
          <w:marRight w:val="0"/>
          <w:marTop w:val="0"/>
          <w:marBottom w:val="0"/>
          <w:divBdr>
            <w:top w:val="none" w:sz="0" w:space="0" w:color="auto"/>
            <w:left w:val="none" w:sz="0" w:space="0" w:color="auto"/>
            <w:bottom w:val="none" w:sz="0" w:space="0" w:color="auto"/>
            <w:right w:val="none" w:sz="0" w:space="0" w:color="auto"/>
          </w:divBdr>
          <w:divsChild>
            <w:div w:id="190579275">
              <w:marLeft w:val="0"/>
              <w:marRight w:val="0"/>
              <w:marTop w:val="0"/>
              <w:marBottom w:val="0"/>
              <w:divBdr>
                <w:top w:val="none" w:sz="0" w:space="0" w:color="auto"/>
                <w:left w:val="none" w:sz="0" w:space="0" w:color="auto"/>
                <w:bottom w:val="none" w:sz="0" w:space="0" w:color="auto"/>
                <w:right w:val="none" w:sz="0" w:space="0" w:color="auto"/>
              </w:divBdr>
            </w:div>
          </w:divsChild>
        </w:div>
        <w:div w:id="1990360813">
          <w:marLeft w:val="0"/>
          <w:marRight w:val="0"/>
          <w:marTop w:val="0"/>
          <w:marBottom w:val="0"/>
          <w:divBdr>
            <w:top w:val="none" w:sz="0" w:space="0" w:color="auto"/>
            <w:left w:val="none" w:sz="0" w:space="0" w:color="auto"/>
            <w:bottom w:val="none" w:sz="0" w:space="0" w:color="auto"/>
            <w:right w:val="none" w:sz="0" w:space="0" w:color="auto"/>
          </w:divBdr>
          <w:divsChild>
            <w:div w:id="511844944">
              <w:marLeft w:val="0"/>
              <w:marRight w:val="0"/>
              <w:marTop w:val="0"/>
              <w:marBottom w:val="0"/>
              <w:divBdr>
                <w:top w:val="none" w:sz="0" w:space="0" w:color="auto"/>
                <w:left w:val="none" w:sz="0" w:space="0" w:color="auto"/>
                <w:bottom w:val="none" w:sz="0" w:space="0" w:color="auto"/>
                <w:right w:val="none" w:sz="0" w:space="0" w:color="auto"/>
              </w:divBdr>
            </w:div>
          </w:divsChild>
        </w:div>
        <w:div w:id="2005162050">
          <w:marLeft w:val="0"/>
          <w:marRight w:val="0"/>
          <w:marTop w:val="0"/>
          <w:marBottom w:val="0"/>
          <w:divBdr>
            <w:top w:val="none" w:sz="0" w:space="0" w:color="auto"/>
            <w:left w:val="none" w:sz="0" w:space="0" w:color="auto"/>
            <w:bottom w:val="none" w:sz="0" w:space="0" w:color="auto"/>
            <w:right w:val="none" w:sz="0" w:space="0" w:color="auto"/>
          </w:divBdr>
          <w:divsChild>
            <w:div w:id="1798644545">
              <w:marLeft w:val="0"/>
              <w:marRight w:val="0"/>
              <w:marTop w:val="0"/>
              <w:marBottom w:val="0"/>
              <w:divBdr>
                <w:top w:val="none" w:sz="0" w:space="0" w:color="auto"/>
                <w:left w:val="none" w:sz="0" w:space="0" w:color="auto"/>
                <w:bottom w:val="none" w:sz="0" w:space="0" w:color="auto"/>
                <w:right w:val="none" w:sz="0" w:space="0" w:color="auto"/>
              </w:divBdr>
            </w:div>
          </w:divsChild>
        </w:div>
        <w:div w:id="2019261587">
          <w:marLeft w:val="0"/>
          <w:marRight w:val="0"/>
          <w:marTop w:val="0"/>
          <w:marBottom w:val="0"/>
          <w:divBdr>
            <w:top w:val="none" w:sz="0" w:space="0" w:color="auto"/>
            <w:left w:val="none" w:sz="0" w:space="0" w:color="auto"/>
            <w:bottom w:val="none" w:sz="0" w:space="0" w:color="auto"/>
            <w:right w:val="none" w:sz="0" w:space="0" w:color="auto"/>
          </w:divBdr>
          <w:divsChild>
            <w:div w:id="821315112">
              <w:marLeft w:val="0"/>
              <w:marRight w:val="0"/>
              <w:marTop w:val="0"/>
              <w:marBottom w:val="0"/>
              <w:divBdr>
                <w:top w:val="none" w:sz="0" w:space="0" w:color="auto"/>
                <w:left w:val="none" w:sz="0" w:space="0" w:color="auto"/>
                <w:bottom w:val="none" w:sz="0" w:space="0" w:color="auto"/>
                <w:right w:val="none" w:sz="0" w:space="0" w:color="auto"/>
              </w:divBdr>
            </w:div>
          </w:divsChild>
        </w:div>
        <w:div w:id="2025355351">
          <w:marLeft w:val="0"/>
          <w:marRight w:val="0"/>
          <w:marTop w:val="0"/>
          <w:marBottom w:val="0"/>
          <w:divBdr>
            <w:top w:val="none" w:sz="0" w:space="0" w:color="auto"/>
            <w:left w:val="none" w:sz="0" w:space="0" w:color="auto"/>
            <w:bottom w:val="none" w:sz="0" w:space="0" w:color="auto"/>
            <w:right w:val="none" w:sz="0" w:space="0" w:color="auto"/>
          </w:divBdr>
          <w:divsChild>
            <w:div w:id="1060591655">
              <w:marLeft w:val="0"/>
              <w:marRight w:val="0"/>
              <w:marTop w:val="0"/>
              <w:marBottom w:val="0"/>
              <w:divBdr>
                <w:top w:val="none" w:sz="0" w:space="0" w:color="auto"/>
                <w:left w:val="none" w:sz="0" w:space="0" w:color="auto"/>
                <w:bottom w:val="none" w:sz="0" w:space="0" w:color="auto"/>
                <w:right w:val="none" w:sz="0" w:space="0" w:color="auto"/>
              </w:divBdr>
            </w:div>
          </w:divsChild>
        </w:div>
        <w:div w:id="2027099799">
          <w:marLeft w:val="0"/>
          <w:marRight w:val="0"/>
          <w:marTop w:val="0"/>
          <w:marBottom w:val="0"/>
          <w:divBdr>
            <w:top w:val="none" w:sz="0" w:space="0" w:color="auto"/>
            <w:left w:val="none" w:sz="0" w:space="0" w:color="auto"/>
            <w:bottom w:val="none" w:sz="0" w:space="0" w:color="auto"/>
            <w:right w:val="none" w:sz="0" w:space="0" w:color="auto"/>
          </w:divBdr>
          <w:divsChild>
            <w:div w:id="47388406">
              <w:marLeft w:val="0"/>
              <w:marRight w:val="0"/>
              <w:marTop w:val="0"/>
              <w:marBottom w:val="0"/>
              <w:divBdr>
                <w:top w:val="none" w:sz="0" w:space="0" w:color="auto"/>
                <w:left w:val="none" w:sz="0" w:space="0" w:color="auto"/>
                <w:bottom w:val="none" w:sz="0" w:space="0" w:color="auto"/>
                <w:right w:val="none" w:sz="0" w:space="0" w:color="auto"/>
              </w:divBdr>
            </w:div>
          </w:divsChild>
        </w:div>
        <w:div w:id="2030524405">
          <w:marLeft w:val="0"/>
          <w:marRight w:val="0"/>
          <w:marTop w:val="0"/>
          <w:marBottom w:val="0"/>
          <w:divBdr>
            <w:top w:val="none" w:sz="0" w:space="0" w:color="auto"/>
            <w:left w:val="none" w:sz="0" w:space="0" w:color="auto"/>
            <w:bottom w:val="none" w:sz="0" w:space="0" w:color="auto"/>
            <w:right w:val="none" w:sz="0" w:space="0" w:color="auto"/>
          </w:divBdr>
          <w:divsChild>
            <w:div w:id="548303303">
              <w:marLeft w:val="0"/>
              <w:marRight w:val="0"/>
              <w:marTop w:val="0"/>
              <w:marBottom w:val="0"/>
              <w:divBdr>
                <w:top w:val="none" w:sz="0" w:space="0" w:color="auto"/>
                <w:left w:val="none" w:sz="0" w:space="0" w:color="auto"/>
                <w:bottom w:val="none" w:sz="0" w:space="0" w:color="auto"/>
                <w:right w:val="none" w:sz="0" w:space="0" w:color="auto"/>
              </w:divBdr>
            </w:div>
          </w:divsChild>
        </w:div>
        <w:div w:id="2032484660">
          <w:marLeft w:val="0"/>
          <w:marRight w:val="0"/>
          <w:marTop w:val="0"/>
          <w:marBottom w:val="0"/>
          <w:divBdr>
            <w:top w:val="none" w:sz="0" w:space="0" w:color="auto"/>
            <w:left w:val="none" w:sz="0" w:space="0" w:color="auto"/>
            <w:bottom w:val="none" w:sz="0" w:space="0" w:color="auto"/>
            <w:right w:val="none" w:sz="0" w:space="0" w:color="auto"/>
          </w:divBdr>
          <w:divsChild>
            <w:div w:id="691998534">
              <w:marLeft w:val="0"/>
              <w:marRight w:val="0"/>
              <w:marTop w:val="0"/>
              <w:marBottom w:val="0"/>
              <w:divBdr>
                <w:top w:val="none" w:sz="0" w:space="0" w:color="auto"/>
                <w:left w:val="none" w:sz="0" w:space="0" w:color="auto"/>
                <w:bottom w:val="none" w:sz="0" w:space="0" w:color="auto"/>
                <w:right w:val="none" w:sz="0" w:space="0" w:color="auto"/>
              </w:divBdr>
            </w:div>
          </w:divsChild>
        </w:div>
        <w:div w:id="2050840601">
          <w:marLeft w:val="0"/>
          <w:marRight w:val="0"/>
          <w:marTop w:val="0"/>
          <w:marBottom w:val="0"/>
          <w:divBdr>
            <w:top w:val="none" w:sz="0" w:space="0" w:color="auto"/>
            <w:left w:val="none" w:sz="0" w:space="0" w:color="auto"/>
            <w:bottom w:val="none" w:sz="0" w:space="0" w:color="auto"/>
            <w:right w:val="none" w:sz="0" w:space="0" w:color="auto"/>
          </w:divBdr>
          <w:divsChild>
            <w:div w:id="1077285936">
              <w:marLeft w:val="0"/>
              <w:marRight w:val="0"/>
              <w:marTop w:val="0"/>
              <w:marBottom w:val="0"/>
              <w:divBdr>
                <w:top w:val="none" w:sz="0" w:space="0" w:color="auto"/>
                <w:left w:val="none" w:sz="0" w:space="0" w:color="auto"/>
                <w:bottom w:val="none" w:sz="0" w:space="0" w:color="auto"/>
                <w:right w:val="none" w:sz="0" w:space="0" w:color="auto"/>
              </w:divBdr>
            </w:div>
          </w:divsChild>
        </w:div>
        <w:div w:id="2063139648">
          <w:marLeft w:val="0"/>
          <w:marRight w:val="0"/>
          <w:marTop w:val="0"/>
          <w:marBottom w:val="0"/>
          <w:divBdr>
            <w:top w:val="none" w:sz="0" w:space="0" w:color="auto"/>
            <w:left w:val="none" w:sz="0" w:space="0" w:color="auto"/>
            <w:bottom w:val="none" w:sz="0" w:space="0" w:color="auto"/>
            <w:right w:val="none" w:sz="0" w:space="0" w:color="auto"/>
          </w:divBdr>
          <w:divsChild>
            <w:div w:id="363555584">
              <w:marLeft w:val="0"/>
              <w:marRight w:val="0"/>
              <w:marTop w:val="0"/>
              <w:marBottom w:val="0"/>
              <w:divBdr>
                <w:top w:val="none" w:sz="0" w:space="0" w:color="auto"/>
                <w:left w:val="none" w:sz="0" w:space="0" w:color="auto"/>
                <w:bottom w:val="none" w:sz="0" w:space="0" w:color="auto"/>
                <w:right w:val="none" w:sz="0" w:space="0" w:color="auto"/>
              </w:divBdr>
            </w:div>
          </w:divsChild>
        </w:div>
        <w:div w:id="2086292007">
          <w:marLeft w:val="0"/>
          <w:marRight w:val="0"/>
          <w:marTop w:val="0"/>
          <w:marBottom w:val="0"/>
          <w:divBdr>
            <w:top w:val="none" w:sz="0" w:space="0" w:color="auto"/>
            <w:left w:val="none" w:sz="0" w:space="0" w:color="auto"/>
            <w:bottom w:val="none" w:sz="0" w:space="0" w:color="auto"/>
            <w:right w:val="none" w:sz="0" w:space="0" w:color="auto"/>
          </w:divBdr>
          <w:divsChild>
            <w:div w:id="1238249362">
              <w:marLeft w:val="0"/>
              <w:marRight w:val="0"/>
              <w:marTop w:val="0"/>
              <w:marBottom w:val="0"/>
              <w:divBdr>
                <w:top w:val="none" w:sz="0" w:space="0" w:color="auto"/>
                <w:left w:val="none" w:sz="0" w:space="0" w:color="auto"/>
                <w:bottom w:val="none" w:sz="0" w:space="0" w:color="auto"/>
                <w:right w:val="none" w:sz="0" w:space="0" w:color="auto"/>
              </w:divBdr>
            </w:div>
          </w:divsChild>
        </w:div>
        <w:div w:id="2106613191">
          <w:marLeft w:val="0"/>
          <w:marRight w:val="0"/>
          <w:marTop w:val="0"/>
          <w:marBottom w:val="0"/>
          <w:divBdr>
            <w:top w:val="none" w:sz="0" w:space="0" w:color="auto"/>
            <w:left w:val="none" w:sz="0" w:space="0" w:color="auto"/>
            <w:bottom w:val="none" w:sz="0" w:space="0" w:color="auto"/>
            <w:right w:val="none" w:sz="0" w:space="0" w:color="auto"/>
          </w:divBdr>
          <w:divsChild>
            <w:div w:id="1294559996">
              <w:marLeft w:val="0"/>
              <w:marRight w:val="0"/>
              <w:marTop w:val="0"/>
              <w:marBottom w:val="0"/>
              <w:divBdr>
                <w:top w:val="none" w:sz="0" w:space="0" w:color="auto"/>
                <w:left w:val="none" w:sz="0" w:space="0" w:color="auto"/>
                <w:bottom w:val="none" w:sz="0" w:space="0" w:color="auto"/>
                <w:right w:val="none" w:sz="0" w:space="0" w:color="auto"/>
              </w:divBdr>
            </w:div>
          </w:divsChild>
        </w:div>
        <w:div w:id="2118330533">
          <w:marLeft w:val="0"/>
          <w:marRight w:val="0"/>
          <w:marTop w:val="0"/>
          <w:marBottom w:val="0"/>
          <w:divBdr>
            <w:top w:val="none" w:sz="0" w:space="0" w:color="auto"/>
            <w:left w:val="none" w:sz="0" w:space="0" w:color="auto"/>
            <w:bottom w:val="none" w:sz="0" w:space="0" w:color="auto"/>
            <w:right w:val="none" w:sz="0" w:space="0" w:color="auto"/>
          </w:divBdr>
          <w:divsChild>
            <w:div w:id="5760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937">
      <w:bodyDiv w:val="1"/>
      <w:marLeft w:val="0"/>
      <w:marRight w:val="0"/>
      <w:marTop w:val="0"/>
      <w:marBottom w:val="0"/>
      <w:divBdr>
        <w:top w:val="none" w:sz="0" w:space="0" w:color="auto"/>
        <w:left w:val="none" w:sz="0" w:space="0" w:color="auto"/>
        <w:bottom w:val="none" w:sz="0" w:space="0" w:color="auto"/>
        <w:right w:val="none" w:sz="0" w:space="0" w:color="auto"/>
      </w:divBdr>
    </w:div>
    <w:div w:id="2046759212">
      <w:bodyDiv w:val="1"/>
      <w:marLeft w:val="0"/>
      <w:marRight w:val="0"/>
      <w:marTop w:val="0"/>
      <w:marBottom w:val="0"/>
      <w:divBdr>
        <w:top w:val="none" w:sz="0" w:space="0" w:color="auto"/>
        <w:left w:val="none" w:sz="0" w:space="0" w:color="auto"/>
        <w:bottom w:val="none" w:sz="0" w:space="0" w:color="auto"/>
        <w:right w:val="none" w:sz="0" w:space="0" w:color="auto"/>
      </w:divBdr>
    </w:div>
    <w:div w:id="2050258295">
      <w:bodyDiv w:val="1"/>
      <w:marLeft w:val="0"/>
      <w:marRight w:val="0"/>
      <w:marTop w:val="0"/>
      <w:marBottom w:val="0"/>
      <w:divBdr>
        <w:top w:val="none" w:sz="0" w:space="0" w:color="auto"/>
        <w:left w:val="none" w:sz="0" w:space="0" w:color="auto"/>
        <w:bottom w:val="none" w:sz="0" w:space="0" w:color="auto"/>
        <w:right w:val="none" w:sz="0" w:space="0" w:color="auto"/>
      </w:divBdr>
      <w:divsChild>
        <w:div w:id="7876966">
          <w:marLeft w:val="0"/>
          <w:marRight w:val="0"/>
          <w:marTop w:val="0"/>
          <w:marBottom w:val="0"/>
          <w:divBdr>
            <w:top w:val="none" w:sz="0" w:space="0" w:color="auto"/>
            <w:left w:val="none" w:sz="0" w:space="0" w:color="auto"/>
            <w:bottom w:val="none" w:sz="0" w:space="0" w:color="auto"/>
            <w:right w:val="none" w:sz="0" w:space="0" w:color="auto"/>
          </w:divBdr>
          <w:divsChild>
            <w:div w:id="1885214441">
              <w:marLeft w:val="0"/>
              <w:marRight w:val="0"/>
              <w:marTop w:val="0"/>
              <w:marBottom w:val="0"/>
              <w:divBdr>
                <w:top w:val="none" w:sz="0" w:space="0" w:color="auto"/>
                <w:left w:val="none" w:sz="0" w:space="0" w:color="auto"/>
                <w:bottom w:val="none" w:sz="0" w:space="0" w:color="auto"/>
                <w:right w:val="none" w:sz="0" w:space="0" w:color="auto"/>
              </w:divBdr>
            </w:div>
          </w:divsChild>
        </w:div>
        <w:div w:id="14696302">
          <w:marLeft w:val="0"/>
          <w:marRight w:val="0"/>
          <w:marTop w:val="0"/>
          <w:marBottom w:val="0"/>
          <w:divBdr>
            <w:top w:val="none" w:sz="0" w:space="0" w:color="auto"/>
            <w:left w:val="none" w:sz="0" w:space="0" w:color="auto"/>
            <w:bottom w:val="none" w:sz="0" w:space="0" w:color="auto"/>
            <w:right w:val="none" w:sz="0" w:space="0" w:color="auto"/>
          </w:divBdr>
          <w:divsChild>
            <w:div w:id="1187597254">
              <w:marLeft w:val="0"/>
              <w:marRight w:val="0"/>
              <w:marTop w:val="0"/>
              <w:marBottom w:val="0"/>
              <w:divBdr>
                <w:top w:val="none" w:sz="0" w:space="0" w:color="auto"/>
                <w:left w:val="none" w:sz="0" w:space="0" w:color="auto"/>
                <w:bottom w:val="none" w:sz="0" w:space="0" w:color="auto"/>
                <w:right w:val="none" w:sz="0" w:space="0" w:color="auto"/>
              </w:divBdr>
            </w:div>
          </w:divsChild>
        </w:div>
        <w:div w:id="50810950">
          <w:marLeft w:val="0"/>
          <w:marRight w:val="0"/>
          <w:marTop w:val="0"/>
          <w:marBottom w:val="0"/>
          <w:divBdr>
            <w:top w:val="none" w:sz="0" w:space="0" w:color="auto"/>
            <w:left w:val="none" w:sz="0" w:space="0" w:color="auto"/>
            <w:bottom w:val="none" w:sz="0" w:space="0" w:color="auto"/>
            <w:right w:val="none" w:sz="0" w:space="0" w:color="auto"/>
          </w:divBdr>
          <w:divsChild>
            <w:div w:id="247471786">
              <w:marLeft w:val="0"/>
              <w:marRight w:val="0"/>
              <w:marTop w:val="0"/>
              <w:marBottom w:val="0"/>
              <w:divBdr>
                <w:top w:val="none" w:sz="0" w:space="0" w:color="auto"/>
                <w:left w:val="none" w:sz="0" w:space="0" w:color="auto"/>
                <w:bottom w:val="none" w:sz="0" w:space="0" w:color="auto"/>
                <w:right w:val="none" w:sz="0" w:space="0" w:color="auto"/>
              </w:divBdr>
            </w:div>
          </w:divsChild>
        </w:div>
        <w:div w:id="54208940">
          <w:marLeft w:val="0"/>
          <w:marRight w:val="0"/>
          <w:marTop w:val="0"/>
          <w:marBottom w:val="0"/>
          <w:divBdr>
            <w:top w:val="none" w:sz="0" w:space="0" w:color="auto"/>
            <w:left w:val="none" w:sz="0" w:space="0" w:color="auto"/>
            <w:bottom w:val="none" w:sz="0" w:space="0" w:color="auto"/>
            <w:right w:val="none" w:sz="0" w:space="0" w:color="auto"/>
          </w:divBdr>
          <w:divsChild>
            <w:div w:id="1795246138">
              <w:marLeft w:val="0"/>
              <w:marRight w:val="0"/>
              <w:marTop w:val="0"/>
              <w:marBottom w:val="0"/>
              <w:divBdr>
                <w:top w:val="none" w:sz="0" w:space="0" w:color="auto"/>
                <w:left w:val="none" w:sz="0" w:space="0" w:color="auto"/>
                <w:bottom w:val="none" w:sz="0" w:space="0" w:color="auto"/>
                <w:right w:val="none" w:sz="0" w:space="0" w:color="auto"/>
              </w:divBdr>
            </w:div>
          </w:divsChild>
        </w:div>
        <w:div w:id="100688475">
          <w:marLeft w:val="0"/>
          <w:marRight w:val="0"/>
          <w:marTop w:val="0"/>
          <w:marBottom w:val="0"/>
          <w:divBdr>
            <w:top w:val="none" w:sz="0" w:space="0" w:color="auto"/>
            <w:left w:val="none" w:sz="0" w:space="0" w:color="auto"/>
            <w:bottom w:val="none" w:sz="0" w:space="0" w:color="auto"/>
            <w:right w:val="none" w:sz="0" w:space="0" w:color="auto"/>
          </w:divBdr>
          <w:divsChild>
            <w:div w:id="928153185">
              <w:marLeft w:val="0"/>
              <w:marRight w:val="0"/>
              <w:marTop w:val="0"/>
              <w:marBottom w:val="0"/>
              <w:divBdr>
                <w:top w:val="none" w:sz="0" w:space="0" w:color="auto"/>
                <w:left w:val="none" w:sz="0" w:space="0" w:color="auto"/>
                <w:bottom w:val="none" w:sz="0" w:space="0" w:color="auto"/>
                <w:right w:val="none" w:sz="0" w:space="0" w:color="auto"/>
              </w:divBdr>
            </w:div>
          </w:divsChild>
        </w:div>
        <w:div w:id="155266790">
          <w:marLeft w:val="0"/>
          <w:marRight w:val="0"/>
          <w:marTop w:val="0"/>
          <w:marBottom w:val="0"/>
          <w:divBdr>
            <w:top w:val="none" w:sz="0" w:space="0" w:color="auto"/>
            <w:left w:val="none" w:sz="0" w:space="0" w:color="auto"/>
            <w:bottom w:val="none" w:sz="0" w:space="0" w:color="auto"/>
            <w:right w:val="none" w:sz="0" w:space="0" w:color="auto"/>
          </w:divBdr>
          <w:divsChild>
            <w:div w:id="255871585">
              <w:marLeft w:val="0"/>
              <w:marRight w:val="0"/>
              <w:marTop w:val="0"/>
              <w:marBottom w:val="0"/>
              <w:divBdr>
                <w:top w:val="none" w:sz="0" w:space="0" w:color="auto"/>
                <w:left w:val="none" w:sz="0" w:space="0" w:color="auto"/>
                <w:bottom w:val="none" w:sz="0" w:space="0" w:color="auto"/>
                <w:right w:val="none" w:sz="0" w:space="0" w:color="auto"/>
              </w:divBdr>
            </w:div>
            <w:div w:id="366415036">
              <w:marLeft w:val="0"/>
              <w:marRight w:val="0"/>
              <w:marTop w:val="0"/>
              <w:marBottom w:val="0"/>
              <w:divBdr>
                <w:top w:val="none" w:sz="0" w:space="0" w:color="auto"/>
                <w:left w:val="none" w:sz="0" w:space="0" w:color="auto"/>
                <w:bottom w:val="none" w:sz="0" w:space="0" w:color="auto"/>
                <w:right w:val="none" w:sz="0" w:space="0" w:color="auto"/>
              </w:divBdr>
            </w:div>
          </w:divsChild>
        </w:div>
        <w:div w:id="161237277">
          <w:marLeft w:val="0"/>
          <w:marRight w:val="0"/>
          <w:marTop w:val="0"/>
          <w:marBottom w:val="0"/>
          <w:divBdr>
            <w:top w:val="none" w:sz="0" w:space="0" w:color="auto"/>
            <w:left w:val="none" w:sz="0" w:space="0" w:color="auto"/>
            <w:bottom w:val="none" w:sz="0" w:space="0" w:color="auto"/>
            <w:right w:val="none" w:sz="0" w:space="0" w:color="auto"/>
          </w:divBdr>
          <w:divsChild>
            <w:div w:id="669059960">
              <w:marLeft w:val="0"/>
              <w:marRight w:val="0"/>
              <w:marTop w:val="0"/>
              <w:marBottom w:val="0"/>
              <w:divBdr>
                <w:top w:val="none" w:sz="0" w:space="0" w:color="auto"/>
                <w:left w:val="none" w:sz="0" w:space="0" w:color="auto"/>
                <w:bottom w:val="none" w:sz="0" w:space="0" w:color="auto"/>
                <w:right w:val="none" w:sz="0" w:space="0" w:color="auto"/>
              </w:divBdr>
            </w:div>
          </w:divsChild>
        </w:div>
        <w:div w:id="222955443">
          <w:marLeft w:val="0"/>
          <w:marRight w:val="0"/>
          <w:marTop w:val="0"/>
          <w:marBottom w:val="0"/>
          <w:divBdr>
            <w:top w:val="none" w:sz="0" w:space="0" w:color="auto"/>
            <w:left w:val="none" w:sz="0" w:space="0" w:color="auto"/>
            <w:bottom w:val="none" w:sz="0" w:space="0" w:color="auto"/>
            <w:right w:val="none" w:sz="0" w:space="0" w:color="auto"/>
          </w:divBdr>
          <w:divsChild>
            <w:div w:id="1808860337">
              <w:marLeft w:val="0"/>
              <w:marRight w:val="0"/>
              <w:marTop w:val="0"/>
              <w:marBottom w:val="0"/>
              <w:divBdr>
                <w:top w:val="none" w:sz="0" w:space="0" w:color="auto"/>
                <w:left w:val="none" w:sz="0" w:space="0" w:color="auto"/>
                <w:bottom w:val="none" w:sz="0" w:space="0" w:color="auto"/>
                <w:right w:val="none" w:sz="0" w:space="0" w:color="auto"/>
              </w:divBdr>
            </w:div>
          </w:divsChild>
        </w:div>
        <w:div w:id="229393110">
          <w:marLeft w:val="0"/>
          <w:marRight w:val="0"/>
          <w:marTop w:val="0"/>
          <w:marBottom w:val="0"/>
          <w:divBdr>
            <w:top w:val="none" w:sz="0" w:space="0" w:color="auto"/>
            <w:left w:val="none" w:sz="0" w:space="0" w:color="auto"/>
            <w:bottom w:val="none" w:sz="0" w:space="0" w:color="auto"/>
            <w:right w:val="none" w:sz="0" w:space="0" w:color="auto"/>
          </w:divBdr>
          <w:divsChild>
            <w:div w:id="1370035345">
              <w:marLeft w:val="0"/>
              <w:marRight w:val="0"/>
              <w:marTop w:val="0"/>
              <w:marBottom w:val="0"/>
              <w:divBdr>
                <w:top w:val="none" w:sz="0" w:space="0" w:color="auto"/>
                <w:left w:val="none" w:sz="0" w:space="0" w:color="auto"/>
                <w:bottom w:val="none" w:sz="0" w:space="0" w:color="auto"/>
                <w:right w:val="none" w:sz="0" w:space="0" w:color="auto"/>
              </w:divBdr>
            </w:div>
          </w:divsChild>
        </w:div>
        <w:div w:id="234361395">
          <w:marLeft w:val="0"/>
          <w:marRight w:val="0"/>
          <w:marTop w:val="0"/>
          <w:marBottom w:val="0"/>
          <w:divBdr>
            <w:top w:val="none" w:sz="0" w:space="0" w:color="auto"/>
            <w:left w:val="none" w:sz="0" w:space="0" w:color="auto"/>
            <w:bottom w:val="none" w:sz="0" w:space="0" w:color="auto"/>
            <w:right w:val="none" w:sz="0" w:space="0" w:color="auto"/>
          </w:divBdr>
          <w:divsChild>
            <w:div w:id="1812364741">
              <w:marLeft w:val="0"/>
              <w:marRight w:val="0"/>
              <w:marTop w:val="0"/>
              <w:marBottom w:val="0"/>
              <w:divBdr>
                <w:top w:val="none" w:sz="0" w:space="0" w:color="auto"/>
                <w:left w:val="none" w:sz="0" w:space="0" w:color="auto"/>
                <w:bottom w:val="none" w:sz="0" w:space="0" w:color="auto"/>
                <w:right w:val="none" w:sz="0" w:space="0" w:color="auto"/>
              </w:divBdr>
            </w:div>
          </w:divsChild>
        </w:div>
        <w:div w:id="239144530">
          <w:marLeft w:val="0"/>
          <w:marRight w:val="0"/>
          <w:marTop w:val="0"/>
          <w:marBottom w:val="0"/>
          <w:divBdr>
            <w:top w:val="none" w:sz="0" w:space="0" w:color="auto"/>
            <w:left w:val="none" w:sz="0" w:space="0" w:color="auto"/>
            <w:bottom w:val="none" w:sz="0" w:space="0" w:color="auto"/>
            <w:right w:val="none" w:sz="0" w:space="0" w:color="auto"/>
          </w:divBdr>
          <w:divsChild>
            <w:div w:id="1553232898">
              <w:marLeft w:val="0"/>
              <w:marRight w:val="0"/>
              <w:marTop w:val="0"/>
              <w:marBottom w:val="0"/>
              <w:divBdr>
                <w:top w:val="none" w:sz="0" w:space="0" w:color="auto"/>
                <w:left w:val="none" w:sz="0" w:space="0" w:color="auto"/>
                <w:bottom w:val="none" w:sz="0" w:space="0" w:color="auto"/>
                <w:right w:val="none" w:sz="0" w:space="0" w:color="auto"/>
              </w:divBdr>
            </w:div>
          </w:divsChild>
        </w:div>
        <w:div w:id="256522711">
          <w:marLeft w:val="0"/>
          <w:marRight w:val="0"/>
          <w:marTop w:val="0"/>
          <w:marBottom w:val="0"/>
          <w:divBdr>
            <w:top w:val="none" w:sz="0" w:space="0" w:color="auto"/>
            <w:left w:val="none" w:sz="0" w:space="0" w:color="auto"/>
            <w:bottom w:val="none" w:sz="0" w:space="0" w:color="auto"/>
            <w:right w:val="none" w:sz="0" w:space="0" w:color="auto"/>
          </w:divBdr>
          <w:divsChild>
            <w:div w:id="1455903977">
              <w:marLeft w:val="0"/>
              <w:marRight w:val="0"/>
              <w:marTop w:val="0"/>
              <w:marBottom w:val="0"/>
              <w:divBdr>
                <w:top w:val="none" w:sz="0" w:space="0" w:color="auto"/>
                <w:left w:val="none" w:sz="0" w:space="0" w:color="auto"/>
                <w:bottom w:val="none" w:sz="0" w:space="0" w:color="auto"/>
                <w:right w:val="none" w:sz="0" w:space="0" w:color="auto"/>
              </w:divBdr>
            </w:div>
          </w:divsChild>
        </w:div>
        <w:div w:id="314334905">
          <w:marLeft w:val="0"/>
          <w:marRight w:val="0"/>
          <w:marTop w:val="0"/>
          <w:marBottom w:val="0"/>
          <w:divBdr>
            <w:top w:val="none" w:sz="0" w:space="0" w:color="auto"/>
            <w:left w:val="none" w:sz="0" w:space="0" w:color="auto"/>
            <w:bottom w:val="none" w:sz="0" w:space="0" w:color="auto"/>
            <w:right w:val="none" w:sz="0" w:space="0" w:color="auto"/>
          </w:divBdr>
          <w:divsChild>
            <w:div w:id="1032000354">
              <w:marLeft w:val="0"/>
              <w:marRight w:val="0"/>
              <w:marTop w:val="0"/>
              <w:marBottom w:val="0"/>
              <w:divBdr>
                <w:top w:val="none" w:sz="0" w:space="0" w:color="auto"/>
                <w:left w:val="none" w:sz="0" w:space="0" w:color="auto"/>
                <w:bottom w:val="none" w:sz="0" w:space="0" w:color="auto"/>
                <w:right w:val="none" w:sz="0" w:space="0" w:color="auto"/>
              </w:divBdr>
            </w:div>
          </w:divsChild>
        </w:div>
        <w:div w:id="476580570">
          <w:marLeft w:val="0"/>
          <w:marRight w:val="0"/>
          <w:marTop w:val="0"/>
          <w:marBottom w:val="0"/>
          <w:divBdr>
            <w:top w:val="none" w:sz="0" w:space="0" w:color="auto"/>
            <w:left w:val="none" w:sz="0" w:space="0" w:color="auto"/>
            <w:bottom w:val="none" w:sz="0" w:space="0" w:color="auto"/>
            <w:right w:val="none" w:sz="0" w:space="0" w:color="auto"/>
          </w:divBdr>
          <w:divsChild>
            <w:div w:id="881794768">
              <w:marLeft w:val="0"/>
              <w:marRight w:val="0"/>
              <w:marTop w:val="0"/>
              <w:marBottom w:val="0"/>
              <w:divBdr>
                <w:top w:val="none" w:sz="0" w:space="0" w:color="auto"/>
                <w:left w:val="none" w:sz="0" w:space="0" w:color="auto"/>
                <w:bottom w:val="none" w:sz="0" w:space="0" w:color="auto"/>
                <w:right w:val="none" w:sz="0" w:space="0" w:color="auto"/>
              </w:divBdr>
            </w:div>
          </w:divsChild>
        </w:div>
        <w:div w:id="481124086">
          <w:marLeft w:val="0"/>
          <w:marRight w:val="0"/>
          <w:marTop w:val="0"/>
          <w:marBottom w:val="0"/>
          <w:divBdr>
            <w:top w:val="none" w:sz="0" w:space="0" w:color="auto"/>
            <w:left w:val="none" w:sz="0" w:space="0" w:color="auto"/>
            <w:bottom w:val="none" w:sz="0" w:space="0" w:color="auto"/>
            <w:right w:val="none" w:sz="0" w:space="0" w:color="auto"/>
          </w:divBdr>
          <w:divsChild>
            <w:div w:id="490677577">
              <w:marLeft w:val="0"/>
              <w:marRight w:val="0"/>
              <w:marTop w:val="0"/>
              <w:marBottom w:val="0"/>
              <w:divBdr>
                <w:top w:val="none" w:sz="0" w:space="0" w:color="auto"/>
                <w:left w:val="none" w:sz="0" w:space="0" w:color="auto"/>
                <w:bottom w:val="none" w:sz="0" w:space="0" w:color="auto"/>
                <w:right w:val="none" w:sz="0" w:space="0" w:color="auto"/>
              </w:divBdr>
            </w:div>
            <w:div w:id="1793591140">
              <w:marLeft w:val="0"/>
              <w:marRight w:val="0"/>
              <w:marTop w:val="0"/>
              <w:marBottom w:val="0"/>
              <w:divBdr>
                <w:top w:val="none" w:sz="0" w:space="0" w:color="auto"/>
                <w:left w:val="none" w:sz="0" w:space="0" w:color="auto"/>
                <w:bottom w:val="none" w:sz="0" w:space="0" w:color="auto"/>
                <w:right w:val="none" w:sz="0" w:space="0" w:color="auto"/>
              </w:divBdr>
            </w:div>
          </w:divsChild>
        </w:div>
        <w:div w:id="484245535">
          <w:marLeft w:val="0"/>
          <w:marRight w:val="0"/>
          <w:marTop w:val="0"/>
          <w:marBottom w:val="0"/>
          <w:divBdr>
            <w:top w:val="none" w:sz="0" w:space="0" w:color="auto"/>
            <w:left w:val="none" w:sz="0" w:space="0" w:color="auto"/>
            <w:bottom w:val="none" w:sz="0" w:space="0" w:color="auto"/>
            <w:right w:val="none" w:sz="0" w:space="0" w:color="auto"/>
          </w:divBdr>
          <w:divsChild>
            <w:div w:id="2045054367">
              <w:marLeft w:val="0"/>
              <w:marRight w:val="0"/>
              <w:marTop w:val="0"/>
              <w:marBottom w:val="0"/>
              <w:divBdr>
                <w:top w:val="none" w:sz="0" w:space="0" w:color="auto"/>
                <w:left w:val="none" w:sz="0" w:space="0" w:color="auto"/>
                <w:bottom w:val="none" w:sz="0" w:space="0" w:color="auto"/>
                <w:right w:val="none" w:sz="0" w:space="0" w:color="auto"/>
              </w:divBdr>
            </w:div>
          </w:divsChild>
        </w:div>
        <w:div w:id="500198813">
          <w:marLeft w:val="0"/>
          <w:marRight w:val="0"/>
          <w:marTop w:val="0"/>
          <w:marBottom w:val="0"/>
          <w:divBdr>
            <w:top w:val="none" w:sz="0" w:space="0" w:color="auto"/>
            <w:left w:val="none" w:sz="0" w:space="0" w:color="auto"/>
            <w:bottom w:val="none" w:sz="0" w:space="0" w:color="auto"/>
            <w:right w:val="none" w:sz="0" w:space="0" w:color="auto"/>
          </w:divBdr>
          <w:divsChild>
            <w:div w:id="42100063">
              <w:marLeft w:val="0"/>
              <w:marRight w:val="0"/>
              <w:marTop w:val="0"/>
              <w:marBottom w:val="0"/>
              <w:divBdr>
                <w:top w:val="none" w:sz="0" w:space="0" w:color="auto"/>
                <w:left w:val="none" w:sz="0" w:space="0" w:color="auto"/>
                <w:bottom w:val="none" w:sz="0" w:space="0" w:color="auto"/>
                <w:right w:val="none" w:sz="0" w:space="0" w:color="auto"/>
              </w:divBdr>
            </w:div>
          </w:divsChild>
        </w:div>
        <w:div w:id="643898405">
          <w:marLeft w:val="0"/>
          <w:marRight w:val="0"/>
          <w:marTop w:val="0"/>
          <w:marBottom w:val="0"/>
          <w:divBdr>
            <w:top w:val="none" w:sz="0" w:space="0" w:color="auto"/>
            <w:left w:val="none" w:sz="0" w:space="0" w:color="auto"/>
            <w:bottom w:val="none" w:sz="0" w:space="0" w:color="auto"/>
            <w:right w:val="none" w:sz="0" w:space="0" w:color="auto"/>
          </w:divBdr>
          <w:divsChild>
            <w:div w:id="795104620">
              <w:marLeft w:val="0"/>
              <w:marRight w:val="0"/>
              <w:marTop w:val="0"/>
              <w:marBottom w:val="0"/>
              <w:divBdr>
                <w:top w:val="none" w:sz="0" w:space="0" w:color="auto"/>
                <w:left w:val="none" w:sz="0" w:space="0" w:color="auto"/>
                <w:bottom w:val="none" w:sz="0" w:space="0" w:color="auto"/>
                <w:right w:val="none" w:sz="0" w:space="0" w:color="auto"/>
              </w:divBdr>
            </w:div>
          </w:divsChild>
        </w:div>
        <w:div w:id="715660340">
          <w:marLeft w:val="0"/>
          <w:marRight w:val="0"/>
          <w:marTop w:val="0"/>
          <w:marBottom w:val="0"/>
          <w:divBdr>
            <w:top w:val="none" w:sz="0" w:space="0" w:color="auto"/>
            <w:left w:val="none" w:sz="0" w:space="0" w:color="auto"/>
            <w:bottom w:val="none" w:sz="0" w:space="0" w:color="auto"/>
            <w:right w:val="none" w:sz="0" w:space="0" w:color="auto"/>
          </w:divBdr>
          <w:divsChild>
            <w:div w:id="1300842819">
              <w:marLeft w:val="0"/>
              <w:marRight w:val="0"/>
              <w:marTop w:val="0"/>
              <w:marBottom w:val="0"/>
              <w:divBdr>
                <w:top w:val="none" w:sz="0" w:space="0" w:color="auto"/>
                <w:left w:val="none" w:sz="0" w:space="0" w:color="auto"/>
                <w:bottom w:val="none" w:sz="0" w:space="0" w:color="auto"/>
                <w:right w:val="none" w:sz="0" w:space="0" w:color="auto"/>
              </w:divBdr>
            </w:div>
          </w:divsChild>
        </w:div>
        <w:div w:id="784889358">
          <w:marLeft w:val="0"/>
          <w:marRight w:val="0"/>
          <w:marTop w:val="0"/>
          <w:marBottom w:val="0"/>
          <w:divBdr>
            <w:top w:val="none" w:sz="0" w:space="0" w:color="auto"/>
            <w:left w:val="none" w:sz="0" w:space="0" w:color="auto"/>
            <w:bottom w:val="none" w:sz="0" w:space="0" w:color="auto"/>
            <w:right w:val="none" w:sz="0" w:space="0" w:color="auto"/>
          </w:divBdr>
          <w:divsChild>
            <w:div w:id="554777298">
              <w:marLeft w:val="0"/>
              <w:marRight w:val="0"/>
              <w:marTop w:val="0"/>
              <w:marBottom w:val="0"/>
              <w:divBdr>
                <w:top w:val="none" w:sz="0" w:space="0" w:color="auto"/>
                <w:left w:val="none" w:sz="0" w:space="0" w:color="auto"/>
                <w:bottom w:val="none" w:sz="0" w:space="0" w:color="auto"/>
                <w:right w:val="none" w:sz="0" w:space="0" w:color="auto"/>
              </w:divBdr>
            </w:div>
            <w:div w:id="1077216294">
              <w:marLeft w:val="0"/>
              <w:marRight w:val="0"/>
              <w:marTop w:val="0"/>
              <w:marBottom w:val="0"/>
              <w:divBdr>
                <w:top w:val="none" w:sz="0" w:space="0" w:color="auto"/>
                <w:left w:val="none" w:sz="0" w:space="0" w:color="auto"/>
                <w:bottom w:val="none" w:sz="0" w:space="0" w:color="auto"/>
                <w:right w:val="none" w:sz="0" w:space="0" w:color="auto"/>
              </w:divBdr>
            </w:div>
          </w:divsChild>
        </w:div>
        <w:div w:id="941110756">
          <w:marLeft w:val="0"/>
          <w:marRight w:val="0"/>
          <w:marTop w:val="0"/>
          <w:marBottom w:val="0"/>
          <w:divBdr>
            <w:top w:val="none" w:sz="0" w:space="0" w:color="auto"/>
            <w:left w:val="none" w:sz="0" w:space="0" w:color="auto"/>
            <w:bottom w:val="none" w:sz="0" w:space="0" w:color="auto"/>
            <w:right w:val="none" w:sz="0" w:space="0" w:color="auto"/>
          </w:divBdr>
          <w:divsChild>
            <w:div w:id="1711605789">
              <w:marLeft w:val="0"/>
              <w:marRight w:val="0"/>
              <w:marTop w:val="0"/>
              <w:marBottom w:val="0"/>
              <w:divBdr>
                <w:top w:val="none" w:sz="0" w:space="0" w:color="auto"/>
                <w:left w:val="none" w:sz="0" w:space="0" w:color="auto"/>
                <w:bottom w:val="none" w:sz="0" w:space="0" w:color="auto"/>
                <w:right w:val="none" w:sz="0" w:space="0" w:color="auto"/>
              </w:divBdr>
            </w:div>
          </w:divsChild>
        </w:div>
        <w:div w:id="944927344">
          <w:marLeft w:val="0"/>
          <w:marRight w:val="0"/>
          <w:marTop w:val="0"/>
          <w:marBottom w:val="0"/>
          <w:divBdr>
            <w:top w:val="none" w:sz="0" w:space="0" w:color="auto"/>
            <w:left w:val="none" w:sz="0" w:space="0" w:color="auto"/>
            <w:bottom w:val="none" w:sz="0" w:space="0" w:color="auto"/>
            <w:right w:val="none" w:sz="0" w:space="0" w:color="auto"/>
          </w:divBdr>
          <w:divsChild>
            <w:div w:id="590235744">
              <w:marLeft w:val="0"/>
              <w:marRight w:val="0"/>
              <w:marTop w:val="0"/>
              <w:marBottom w:val="0"/>
              <w:divBdr>
                <w:top w:val="none" w:sz="0" w:space="0" w:color="auto"/>
                <w:left w:val="none" w:sz="0" w:space="0" w:color="auto"/>
                <w:bottom w:val="none" w:sz="0" w:space="0" w:color="auto"/>
                <w:right w:val="none" w:sz="0" w:space="0" w:color="auto"/>
              </w:divBdr>
            </w:div>
          </w:divsChild>
        </w:div>
        <w:div w:id="999314553">
          <w:marLeft w:val="0"/>
          <w:marRight w:val="0"/>
          <w:marTop w:val="0"/>
          <w:marBottom w:val="0"/>
          <w:divBdr>
            <w:top w:val="none" w:sz="0" w:space="0" w:color="auto"/>
            <w:left w:val="none" w:sz="0" w:space="0" w:color="auto"/>
            <w:bottom w:val="none" w:sz="0" w:space="0" w:color="auto"/>
            <w:right w:val="none" w:sz="0" w:space="0" w:color="auto"/>
          </w:divBdr>
          <w:divsChild>
            <w:div w:id="287246935">
              <w:marLeft w:val="0"/>
              <w:marRight w:val="0"/>
              <w:marTop w:val="0"/>
              <w:marBottom w:val="0"/>
              <w:divBdr>
                <w:top w:val="none" w:sz="0" w:space="0" w:color="auto"/>
                <w:left w:val="none" w:sz="0" w:space="0" w:color="auto"/>
                <w:bottom w:val="none" w:sz="0" w:space="0" w:color="auto"/>
                <w:right w:val="none" w:sz="0" w:space="0" w:color="auto"/>
              </w:divBdr>
            </w:div>
          </w:divsChild>
        </w:div>
        <w:div w:id="1011760107">
          <w:marLeft w:val="0"/>
          <w:marRight w:val="0"/>
          <w:marTop w:val="0"/>
          <w:marBottom w:val="0"/>
          <w:divBdr>
            <w:top w:val="none" w:sz="0" w:space="0" w:color="auto"/>
            <w:left w:val="none" w:sz="0" w:space="0" w:color="auto"/>
            <w:bottom w:val="none" w:sz="0" w:space="0" w:color="auto"/>
            <w:right w:val="none" w:sz="0" w:space="0" w:color="auto"/>
          </w:divBdr>
          <w:divsChild>
            <w:div w:id="2006667111">
              <w:marLeft w:val="0"/>
              <w:marRight w:val="0"/>
              <w:marTop w:val="0"/>
              <w:marBottom w:val="0"/>
              <w:divBdr>
                <w:top w:val="none" w:sz="0" w:space="0" w:color="auto"/>
                <w:left w:val="none" w:sz="0" w:space="0" w:color="auto"/>
                <w:bottom w:val="none" w:sz="0" w:space="0" w:color="auto"/>
                <w:right w:val="none" w:sz="0" w:space="0" w:color="auto"/>
              </w:divBdr>
            </w:div>
          </w:divsChild>
        </w:div>
        <w:div w:id="1046295598">
          <w:marLeft w:val="0"/>
          <w:marRight w:val="0"/>
          <w:marTop w:val="0"/>
          <w:marBottom w:val="0"/>
          <w:divBdr>
            <w:top w:val="none" w:sz="0" w:space="0" w:color="auto"/>
            <w:left w:val="none" w:sz="0" w:space="0" w:color="auto"/>
            <w:bottom w:val="none" w:sz="0" w:space="0" w:color="auto"/>
            <w:right w:val="none" w:sz="0" w:space="0" w:color="auto"/>
          </w:divBdr>
          <w:divsChild>
            <w:div w:id="685403899">
              <w:marLeft w:val="0"/>
              <w:marRight w:val="0"/>
              <w:marTop w:val="0"/>
              <w:marBottom w:val="0"/>
              <w:divBdr>
                <w:top w:val="none" w:sz="0" w:space="0" w:color="auto"/>
                <w:left w:val="none" w:sz="0" w:space="0" w:color="auto"/>
                <w:bottom w:val="none" w:sz="0" w:space="0" w:color="auto"/>
                <w:right w:val="none" w:sz="0" w:space="0" w:color="auto"/>
              </w:divBdr>
            </w:div>
          </w:divsChild>
        </w:div>
        <w:div w:id="1112819899">
          <w:marLeft w:val="0"/>
          <w:marRight w:val="0"/>
          <w:marTop w:val="0"/>
          <w:marBottom w:val="0"/>
          <w:divBdr>
            <w:top w:val="none" w:sz="0" w:space="0" w:color="auto"/>
            <w:left w:val="none" w:sz="0" w:space="0" w:color="auto"/>
            <w:bottom w:val="none" w:sz="0" w:space="0" w:color="auto"/>
            <w:right w:val="none" w:sz="0" w:space="0" w:color="auto"/>
          </w:divBdr>
          <w:divsChild>
            <w:div w:id="997031586">
              <w:marLeft w:val="0"/>
              <w:marRight w:val="0"/>
              <w:marTop w:val="0"/>
              <w:marBottom w:val="0"/>
              <w:divBdr>
                <w:top w:val="none" w:sz="0" w:space="0" w:color="auto"/>
                <w:left w:val="none" w:sz="0" w:space="0" w:color="auto"/>
                <w:bottom w:val="none" w:sz="0" w:space="0" w:color="auto"/>
                <w:right w:val="none" w:sz="0" w:space="0" w:color="auto"/>
              </w:divBdr>
            </w:div>
          </w:divsChild>
        </w:div>
        <w:div w:id="1122304270">
          <w:marLeft w:val="0"/>
          <w:marRight w:val="0"/>
          <w:marTop w:val="0"/>
          <w:marBottom w:val="0"/>
          <w:divBdr>
            <w:top w:val="none" w:sz="0" w:space="0" w:color="auto"/>
            <w:left w:val="none" w:sz="0" w:space="0" w:color="auto"/>
            <w:bottom w:val="none" w:sz="0" w:space="0" w:color="auto"/>
            <w:right w:val="none" w:sz="0" w:space="0" w:color="auto"/>
          </w:divBdr>
          <w:divsChild>
            <w:div w:id="1730808474">
              <w:marLeft w:val="0"/>
              <w:marRight w:val="0"/>
              <w:marTop w:val="0"/>
              <w:marBottom w:val="0"/>
              <w:divBdr>
                <w:top w:val="none" w:sz="0" w:space="0" w:color="auto"/>
                <w:left w:val="none" w:sz="0" w:space="0" w:color="auto"/>
                <w:bottom w:val="none" w:sz="0" w:space="0" w:color="auto"/>
                <w:right w:val="none" w:sz="0" w:space="0" w:color="auto"/>
              </w:divBdr>
            </w:div>
          </w:divsChild>
        </w:div>
        <w:div w:id="1226646903">
          <w:marLeft w:val="0"/>
          <w:marRight w:val="0"/>
          <w:marTop w:val="0"/>
          <w:marBottom w:val="0"/>
          <w:divBdr>
            <w:top w:val="none" w:sz="0" w:space="0" w:color="auto"/>
            <w:left w:val="none" w:sz="0" w:space="0" w:color="auto"/>
            <w:bottom w:val="none" w:sz="0" w:space="0" w:color="auto"/>
            <w:right w:val="none" w:sz="0" w:space="0" w:color="auto"/>
          </w:divBdr>
          <w:divsChild>
            <w:div w:id="340545987">
              <w:marLeft w:val="0"/>
              <w:marRight w:val="0"/>
              <w:marTop w:val="0"/>
              <w:marBottom w:val="0"/>
              <w:divBdr>
                <w:top w:val="none" w:sz="0" w:space="0" w:color="auto"/>
                <w:left w:val="none" w:sz="0" w:space="0" w:color="auto"/>
                <w:bottom w:val="none" w:sz="0" w:space="0" w:color="auto"/>
                <w:right w:val="none" w:sz="0" w:space="0" w:color="auto"/>
              </w:divBdr>
            </w:div>
          </w:divsChild>
        </w:div>
        <w:div w:id="1254044787">
          <w:marLeft w:val="0"/>
          <w:marRight w:val="0"/>
          <w:marTop w:val="0"/>
          <w:marBottom w:val="0"/>
          <w:divBdr>
            <w:top w:val="none" w:sz="0" w:space="0" w:color="auto"/>
            <w:left w:val="none" w:sz="0" w:space="0" w:color="auto"/>
            <w:bottom w:val="none" w:sz="0" w:space="0" w:color="auto"/>
            <w:right w:val="none" w:sz="0" w:space="0" w:color="auto"/>
          </w:divBdr>
          <w:divsChild>
            <w:div w:id="1569262348">
              <w:marLeft w:val="0"/>
              <w:marRight w:val="0"/>
              <w:marTop w:val="0"/>
              <w:marBottom w:val="0"/>
              <w:divBdr>
                <w:top w:val="none" w:sz="0" w:space="0" w:color="auto"/>
                <w:left w:val="none" w:sz="0" w:space="0" w:color="auto"/>
                <w:bottom w:val="none" w:sz="0" w:space="0" w:color="auto"/>
                <w:right w:val="none" w:sz="0" w:space="0" w:color="auto"/>
              </w:divBdr>
            </w:div>
          </w:divsChild>
        </w:div>
        <w:div w:id="1306662978">
          <w:marLeft w:val="0"/>
          <w:marRight w:val="0"/>
          <w:marTop w:val="0"/>
          <w:marBottom w:val="0"/>
          <w:divBdr>
            <w:top w:val="none" w:sz="0" w:space="0" w:color="auto"/>
            <w:left w:val="none" w:sz="0" w:space="0" w:color="auto"/>
            <w:bottom w:val="none" w:sz="0" w:space="0" w:color="auto"/>
            <w:right w:val="none" w:sz="0" w:space="0" w:color="auto"/>
          </w:divBdr>
          <w:divsChild>
            <w:div w:id="1780097622">
              <w:marLeft w:val="0"/>
              <w:marRight w:val="0"/>
              <w:marTop w:val="0"/>
              <w:marBottom w:val="0"/>
              <w:divBdr>
                <w:top w:val="none" w:sz="0" w:space="0" w:color="auto"/>
                <w:left w:val="none" w:sz="0" w:space="0" w:color="auto"/>
                <w:bottom w:val="none" w:sz="0" w:space="0" w:color="auto"/>
                <w:right w:val="none" w:sz="0" w:space="0" w:color="auto"/>
              </w:divBdr>
            </w:div>
          </w:divsChild>
        </w:div>
        <w:div w:id="1365980724">
          <w:marLeft w:val="0"/>
          <w:marRight w:val="0"/>
          <w:marTop w:val="0"/>
          <w:marBottom w:val="0"/>
          <w:divBdr>
            <w:top w:val="none" w:sz="0" w:space="0" w:color="auto"/>
            <w:left w:val="none" w:sz="0" w:space="0" w:color="auto"/>
            <w:bottom w:val="none" w:sz="0" w:space="0" w:color="auto"/>
            <w:right w:val="none" w:sz="0" w:space="0" w:color="auto"/>
          </w:divBdr>
          <w:divsChild>
            <w:div w:id="593056833">
              <w:marLeft w:val="0"/>
              <w:marRight w:val="0"/>
              <w:marTop w:val="0"/>
              <w:marBottom w:val="0"/>
              <w:divBdr>
                <w:top w:val="none" w:sz="0" w:space="0" w:color="auto"/>
                <w:left w:val="none" w:sz="0" w:space="0" w:color="auto"/>
                <w:bottom w:val="none" w:sz="0" w:space="0" w:color="auto"/>
                <w:right w:val="none" w:sz="0" w:space="0" w:color="auto"/>
              </w:divBdr>
            </w:div>
            <w:div w:id="1350569613">
              <w:marLeft w:val="0"/>
              <w:marRight w:val="0"/>
              <w:marTop w:val="0"/>
              <w:marBottom w:val="0"/>
              <w:divBdr>
                <w:top w:val="none" w:sz="0" w:space="0" w:color="auto"/>
                <w:left w:val="none" w:sz="0" w:space="0" w:color="auto"/>
                <w:bottom w:val="none" w:sz="0" w:space="0" w:color="auto"/>
                <w:right w:val="none" w:sz="0" w:space="0" w:color="auto"/>
              </w:divBdr>
            </w:div>
          </w:divsChild>
        </w:div>
        <w:div w:id="1385563027">
          <w:marLeft w:val="0"/>
          <w:marRight w:val="0"/>
          <w:marTop w:val="0"/>
          <w:marBottom w:val="0"/>
          <w:divBdr>
            <w:top w:val="none" w:sz="0" w:space="0" w:color="auto"/>
            <w:left w:val="none" w:sz="0" w:space="0" w:color="auto"/>
            <w:bottom w:val="none" w:sz="0" w:space="0" w:color="auto"/>
            <w:right w:val="none" w:sz="0" w:space="0" w:color="auto"/>
          </w:divBdr>
          <w:divsChild>
            <w:div w:id="2143232485">
              <w:marLeft w:val="0"/>
              <w:marRight w:val="0"/>
              <w:marTop w:val="0"/>
              <w:marBottom w:val="0"/>
              <w:divBdr>
                <w:top w:val="none" w:sz="0" w:space="0" w:color="auto"/>
                <w:left w:val="none" w:sz="0" w:space="0" w:color="auto"/>
                <w:bottom w:val="none" w:sz="0" w:space="0" w:color="auto"/>
                <w:right w:val="none" w:sz="0" w:space="0" w:color="auto"/>
              </w:divBdr>
            </w:div>
          </w:divsChild>
        </w:div>
        <w:div w:id="1433352739">
          <w:marLeft w:val="0"/>
          <w:marRight w:val="0"/>
          <w:marTop w:val="0"/>
          <w:marBottom w:val="0"/>
          <w:divBdr>
            <w:top w:val="none" w:sz="0" w:space="0" w:color="auto"/>
            <w:left w:val="none" w:sz="0" w:space="0" w:color="auto"/>
            <w:bottom w:val="none" w:sz="0" w:space="0" w:color="auto"/>
            <w:right w:val="none" w:sz="0" w:space="0" w:color="auto"/>
          </w:divBdr>
          <w:divsChild>
            <w:div w:id="392393575">
              <w:marLeft w:val="0"/>
              <w:marRight w:val="0"/>
              <w:marTop w:val="0"/>
              <w:marBottom w:val="0"/>
              <w:divBdr>
                <w:top w:val="none" w:sz="0" w:space="0" w:color="auto"/>
                <w:left w:val="none" w:sz="0" w:space="0" w:color="auto"/>
                <w:bottom w:val="none" w:sz="0" w:space="0" w:color="auto"/>
                <w:right w:val="none" w:sz="0" w:space="0" w:color="auto"/>
              </w:divBdr>
            </w:div>
          </w:divsChild>
        </w:div>
        <w:div w:id="1455178573">
          <w:marLeft w:val="0"/>
          <w:marRight w:val="0"/>
          <w:marTop w:val="0"/>
          <w:marBottom w:val="0"/>
          <w:divBdr>
            <w:top w:val="none" w:sz="0" w:space="0" w:color="auto"/>
            <w:left w:val="none" w:sz="0" w:space="0" w:color="auto"/>
            <w:bottom w:val="none" w:sz="0" w:space="0" w:color="auto"/>
            <w:right w:val="none" w:sz="0" w:space="0" w:color="auto"/>
          </w:divBdr>
          <w:divsChild>
            <w:div w:id="994797244">
              <w:marLeft w:val="0"/>
              <w:marRight w:val="0"/>
              <w:marTop w:val="0"/>
              <w:marBottom w:val="0"/>
              <w:divBdr>
                <w:top w:val="none" w:sz="0" w:space="0" w:color="auto"/>
                <w:left w:val="none" w:sz="0" w:space="0" w:color="auto"/>
                <w:bottom w:val="none" w:sz="0" w:space="0" w:color="auto"/>
                <w:right w:val="none" w:sz="0" w:space="0" w:color="auto"/>
              </w:divBdr>
            </w:div>
            <w:div w:id="1539705691">
              <w:marLeft w:val="0"/>
              <w:marRight w:val="0"/>
              <w:marTop w:val="0"/>
              <w:marBottom w:val="0"/>
              <w:divBdr>
                <w:top w:val="none" w:sz="0" w:space="0" w:color="auto"/>
                <w:left w:val="none" w:sz="0" w:space="0" w:color="auto"/>
                <w:bottom w:val="none" w:sz="0" w:space="0" w:color="auto"/>
                <w:right w:val="none" w:sz="0" w:space="0" w:color="auto"/>
              </w:divBdr>
            </w:div>
          </w:divsChild>
        </w:div>
        <w:div w:id="1466583939">
          <w:marLeft w:val="0"/>
          <w:marRight w:val="0"/>
          <w:marTop w:val="0"/>
          <w:marBottom w:val="0"/>
          <w:divBdr>
            <w:top w:val="none" w:sz="0" w:space="0" w:color="auto"/>
            <w:left w:val="none" w:sz="0" w:space="0" w:color="auto"/>
            <w:bottom w:val="none" w:sz="0" w:space="0" w:color="auto"/>
            <w:right w:val="none" w:sz="0" w:space="0" w:color="auto"/>
          </w:divBdr>
          <w:divsChild>
            <w:div w:id="1515800723">
              <w:marLeft w:val="0"/>
              <w:marRight w:val="0"/>
              <w:marTop w:val="0"/>
              <w:marBottom w:val="0"/>
              <w:divBdr>
                <w:top w:val="none" w:sz="0" w:space="0" w:color="auto"/>
                <w:left w:val="none" w:sz="0" w:space="0" w:color="auto"/>
                <w:bottom w:val="none" w:sz="0" w:space="0" w:color="auto"/>
                <w:right w:val="none" w:sz="0" w:space="0" w:color="auto"/>
              </w:divBdr>
            </w:div>
          </w:divsChild>
        </w:div>
        <w:div w:id="1499272928">
          <w:marLeft w:val="0"/>
          <w:marRight w:val="0"/>
          <w:marTop w:val="0"/>
          <w:marBottom w:val="0"/>
          <w:divBdr>
            <w:top w:val="none" w:sz="0" w:space="0" w:color="auto"/>
            <w:left w:val="none" w:sz="0" w:space="0" w:color="auto"/>
            <w:bottom w:val="none" w:sz="0" w:space="0" w:color="auto"/>
            <w:right w:val="none" w:sz="0" w:space="0" w:color="auto"/>
          </w:divBdr>
          <w:divsChild>
            <w:div w:id="2120829389">
              <w:marLeft w:val="0"/>
              <w:marRight w:val="0"/>
              <w:marTop w:val="0"/>
              <w:marBottom w:val="0"/>
              <w:divBdr>
                <w:top w:val="none" w:sz="0" w:space="0" w:color="auto"/>
                <w:left w:val="none" w:sz="0" w:space="0" w:color="auto"/>
                <w:bottom w:val="none" w:sz="0" w:space="0" w:color="auto"/>
                <w:right w:val="none" w:sz="0" w:space="0" w:color="auto"/>
              </w:divBdr>
            </w:div>
          </w:divsChild>
        </w:div>
        <w:div w:id="1605070059">
          <w:marLeft w:val="0"/>
          <w:marRight w:val="0"/>
          <w:marTop w:val="0"/>
          <w:marBottom w:val="0"/>
          <w:divBdr>
            <w:top w:val="none" w:sz="0" w:space="0" w:color="auto"/>
            <w:left w:val="none" w:sz="0" w:space="0" w:color="auto"/>
            <w:bottom w:val="none" w:sz="0" w:space="0" w:color="auto"/>
            <w:right w:val="none" w:sz="0" w:space="0" w:color="auto"/>
          </w:divBdr>
          <w:divsChild>
            <w:div w:id="603996337">
              <w:marLeft w:val="0"/>
              <w:marRight w:val="0"/>
              <w:marTop w:val="0"/>
              <w:marBottom w:val="0"/>
              <w:divBdr>
                <w:top w:val="none" w:sz="0" w:space="0" w:color="auto"/>
                <w:left w:val="none" w:sz="0" w:space="0" w:color="auto"/>
                <w:bottom w:val="none" w:sz="0" w:space="0" w:color="auto"/>
                <w:right w:val="none" w:sz="0" w:space="0" w:color="auto"/>
              </w:divBdr>
            </w:div>
            <w:div w:id="1284462562">
              <w:marLeft w:val="0"/>
              <w:marRight w:val="0"/>
              <w:marTop w:val="0"/>
              <w:marBottom w:val="0"/>
              <w:divBdr>
                <w:top w:val="none" w:sz="0" w:space="0" w:color="auto"/>
                <w:left w:val="none" w:sz="0" w:space="0" w:color="auto"/>
                <w:bottom w:val="none" w:sz="0" w:space="0" w:color="auto"/>
                <w:right w:val="none" w:sz="0" w:space="0" w:color="auto"/>
              </w:divBdr>
            </w:div>
            <w:div w:id="1390955137">
              <w:marLeft w:val="0"/>
              <w:marRight w:val="0"/>
              <w:marTop w:val="0"/>
              <w:marBottom w:val="0"/>
              <w:divBdr>
                <w:top w:val="none" w:sz="0" w:space="0" w:color="auto"/>
                <w:left w:val="none" w:sz="0" w:space="0" w:color="auto"/>
                <w:bottom w:val="none" w:sz="0" w:space="0" w:color="auto"/>
                <w:right w:val="none" w:sz="0" w:space="0" w:color="auto"/>
              </w:divBdr>
            </w:div>
          </w:divsChild>
        </w:div>
        <w:div w:id="1640914483">
          <w:marLeft w:val="0"/>
          <w:marRight w:val="0"/>
          <w:marTop w:val="0"/>
          <w:marBottom w:val="0"/>
          <w:divBdr>
            <w:top w:val="none" w:sz="0" w:space="0" w:color="auto"/>
            <w:left w:val="none" w:sz="0" w:space="0" w:color="auto"/>
            <w:bottom w:val="none" w:sz="0" w:space="0" w:color="auto"/>
            <w:right w:val="none" w:sz="0" w:space="0" w:color="auto"/>
          </w:divBdr>
          <w:divsChild>
            <w:div w:id="1778060024">
              <w:marLeft w:val="0"/>
              <w:marRight w:val="0"/>
              <w:marTop w:val="0"/>
              <w:marBottom w:val="0"/>
              <w:divBdr>
                <w:top w:val="none" w:sz="0" w:space="0" w:color="auto"/>
                <w:left w:val="none" w:sz="0" w:space="0" w:color="auto"/>
                <w:bottom w:val="none" w:sz="0" w:space="0" w:color="auto"/>
                <w:right w:val="none" w:sz="0" w:space="0" w:color="auto"/>
              </w:divBdr>
            </w:div>
          </w:divsChild>
        </w:div>
        <w:div w:id="1650210876">
          <w:marLeft w:val="0"/>
          <w:marRight w:val="0"/>
          <w:marTop w:val="0"/>
          <w:marBottom w:val="0"/>
          <w:divBdr>
            <w:top w:val="none" w:sz="0" w:space="0" w:color="auto"/>
            <w:left w:val="none" w:sz="0" w:space="0" w:color="auto"/>
            <w:bottom w:val="none" w:sz="0" w:space="0" w:color="auto"/>
            <w:right w:val="none" w:sz="0" w:space="0" w:color="auto"/>
          </w:divBdr>
          <w:divsChild>
            <w:div w:id="744644783">
              <w:marLeft w:val="0"/>
              <w:marRight w:val="0"/>
              <w:marTop w:val="0"/>
              <w:marBottom w:val="0"/>
              <w:divBdr>
                <w:top w:val="none" w:sz="0" w:space="0" w:color="auto"/>
                <w:left w:val="none" w:sz="0" w:space="0" w:color="auto"/>
                <w:bottom w:val="none" w:sz="0" w:space="0" w:color="auto"/>
                <w:right w:val="none" w:sz="0" w:space="0" w:color="auto"/>
              </w:divBdr>
            </w:div>
            <w:div w:id="1059328611">
              <w:marLeft w:val="0"/>
              <w:marRight w:val="0"/>
              <w:marTop w:val="0"/>
              <w:marBottom w:val="0"/>
              <w:divBdr>
                <w:top w:val="none" w:sz="0" w:space="0" w:color="auto"/>
                <w:left w:val="none" w:sz="0" w:space="0" w:color="auto"/>
                <w:bottom w:val="none" w:sz="0" w:space="0" w:color="auto"/>
                <w:right w:val="none" w:sz="0" w:space="0" w:color="auto"/>
              </w:divBdr>
            </w:div>
          </w:divsChild>
        </w:div>
        <w:div w:id="1658147444">
          <w:marLeft w:val="0"/>
          <w:marRight w:val="0"/>
          <w:marTop w:val="0"/>
          <w:marBottom w:val="0"/>
          <w:divBdr>
            <w:top w:val="none" w:sz="0" w:space="0" w:color="auto"/>
            <w:left w:val="none" w:sz="0" w:space="0" w:color="auto"/>
            <w:bottom w:val="none" w:sz="0" w:space="0" w:color="auto"/>
            <w:right w:val="none" w:sz="0" w:space="0" w:color="auto"/>
          </w:divBdr>
          <w:divsChild>
            <w:div w:id="645859354">
              <w:marLeft w:val="0"/>
              <w:marRight w:val="0"/>
              <w:marTop w:val="0"/>
              <w:marBottom w:val="0"/>
              <w:divBdr>
                <w:top w:val="none" w:sz="0" w:space="0" w:color="auto"/>
                <w:left w:val="none" w:sz="0" w:space="0" w:color="auto"/>
                <w:bottom w:val="none" w:sz="0" w:space="0" w:color="auto"/>
                <w:right w:val="none" w:sz="0" w:space="0" w:color="auto"/>
              </w:divBdr>
            </w:div>
          </w:divsChild>
        </w:div>
        <w:div w:id="1746225566">
          <w:marLeft w:val="0"/>
          <w:marRight w:val="0"/>
          <w:marTop w:val="0"/>
          <w:marBottom w:val="0"/>
          <w:divBdr>
            <w:top w:val="none" w:sz="0" w:space="0" w:color="auto"/>
            <w:left w:val="none" w:sz="0" w:space="0" w:color="auto"/>
            <w:bottom w:val="none" w:sz="0" w:space="0" w:color="auto"/>
            <w:right w:val="none" w:sz="0" w:space="0" w:color="auto"/>
          </w:divBdr>
          <w:divsChild>
            <w:div w:id="954093052">
              <w:marLeft w:val="0"/>
              <w:marRight w:val="0"/>
              <w:marTop w:val="0"/>
              <w:marBottom w:val="0"/>
              <w:divBdr>
                <w:top w:val="none" w:sz="0" w:space="0" w:color="auto"/>
                <w:left w:val="none" w:sz="0" w:space="0" w:color="auto"/>
                <w:bottom w:val="none" w:sz="0" w:space="0" w:color="auto"/>
                <w:right w:val="none" w:sz="0" w:space="0" w:color="auto"/>
              </w:divBdr>
            </w:div>
          </w:divsChild>
        </w:div>
        <w:div w:id="1756246864">
          <w:marLeft w:val="0"/>
          <w:marRight w:val="0"/>
          <w:marTop w:val="0"/>
          <w:marBottom w:val="0"/>
          <w:divBdr>
            <w:top w:val="none" w:sz="0" w:space="0" w:color="auto"/>
            <w:left w:val="none" w:sz="0" w:space="0" w:color="auto"/>
            <w:bottom w:val="none" w:sz="0" w:space="0" w:color="auto"/>
            <w:right w:val="none" w:sz="0" w:space="0" w:color="auto"/>
          </w:divBdr>
          <w:divsChild>
            <w:div w:id="1132678335">
              <w:marLeft w:val="0"/>
              <w:marRight w:val="0"/>
              <w:marTop w:val="0"/>
              <w:marBottom w:val="0"/>
              <w:divBdr>
                <w:top w:val="none" w:sz="0" w:space="0" w:color="auto"/>
                <w:left w:val="none" w:sz="0" w:space="0" w:color="auto"/>
                <w:bottom w:val="none" w:sz="0" w:space="0" w:color="auto"/>
                <w:right w:val="none" w:sz="0" w:space="0" w:color="auto"/>
              </w:divBdr>
            </w:div>
          </w:divsChild>
        </w:div>
        <w:div w:id="1843743647">
          <w:marLeft w:val="0"/>
          <w:marRight w:val="0"/>
          <w:marTop w:val="0"/>
          <w:marBottom w:val="0"/>
          <w:divBdr>
            <w:top w:val="none" w:sz="0" w:space="0" w:color="auto"/>
            <w:left w:val="none" w:sz="0" w:space="0" w:color="auto"/>
            <w:bottom w:val="none" w:sz="0" w:space="0" w:color="auto"/>
            <w:right w:val="none" w:sz="0" w:space="0" w:color="auto"/>
          </w:divBdr>
          <w:divsChild>
            <w:div w:id="420680278">
              <w:marLeft w:val="0"/>
              <w:marRight w:val="0"/>
              <w:marTop w:val="0"/>
              <w:marBottom w:val="0"/>
              <w:divBdr>
                <w:top w:val="none" w:sz="0" w:space="0" w:color="auto"/>
                <w:left w:val="none" w:sz="0" w:space="0" w:color="auto"/>
                <w:bottom w:val="none" w:sz="0" w:space="0" w:color="auto"/>
                <w:right w:val="none" w:sz="0" w:space="0" w:color="auto"/>
              </w:divBdr>
            </w:div>
          </w:divsChild>
        </w:div>
        <w:div w:id="1946112142">
          <w:marLeft w:val="0"/>
          <w:marRight w:val="0"/>
          <w:marTop w:val="0"/>
          <w:marBottom w:val="0"/>
          <w:divBdr>
            <w:top w:val="none" w:sz="0" w:space="0" w:color="auto"/>
            <w:left w:val="none" w:sz="0" w:space="0" w:color="auto"/>
            <w:bottom w:val="none" w:sz="0" w:space="0" w:color="auto"/>
            <w:right w:val="none" w:sz="0" w:space="0" w:color="auto"/>
          </w:divBdr>
          <w:divsChild>
            <w:div w:id="347872481">
              <w:marLeft w:val="0"/>
              <w:marRight w:val="0"/>
              <w:marTop w:val="0"/>
              <w:marBottom w:val="0"/>
              <w:divBdr>
                <w:top w:val="none" w:sz="0" w:space="0" w:color="auto"/>
                <w:left w:val="none" w:sz="0" w:space="0" w:color="auto"/>
                <w:bottom w:val="none" w:sz="0" w:space="0" w:color="auto"/>
                <w:right w:val="none" w:sz="0" w:space="0" w:color="auto"/>
              </w:divBdr>
            </w:div>
          </w:divsChild>
        </w:div>
        <w:div w:id="2024623224">
          <w:marLeft w:val="0"/>
          <w:marRight w:val="0"/>
          <w:marTop w:val="0"/>
          <w:marBottom w:val="0"/>
          <w:divBdr>
            <w:top w:val="none" w:sz="0" w:space="0" w:color="auto"/>
            <w:left w:val="none" w:sz="0" w:space="0" w:color="auto"/>
            <w:bottom w:val="none" w:sz="0" w:space="0" w:color="auto"/>
            <w:right w:val="none" w:sz="0" w:space="0" w:color="auto"/>
          </w:divBdr>
          <w:divsChild>
            <w:div w:id="314913375">
              <w:marLeft w:val="0"/>
              <w:marRight w:val="0"/>
              <w:marTop w:val="0"/>
              <w:marBottom w:val="0"/>
              <w:divBdr>
                <w:top w:val="none" w:sz="0" w:space="0" w:color="auto"/>
                <w:left w:val="none" w:sz="0" w:space="0" w:color="auto"/>
                <w:bottom w:val="none" w:sz="0" w:space="0" w:color="auto"/>
                <w:right w:val="none" w:sz="0" w:space="0" w:color="auto"/>
              </w:divBdr>
            </w:div>
          </w:divsChild>
        </w:div>
        <w:div w:id="2033797583">
          <w:marLeft w:val="0"/>
          <w:marRight w:val="0"/>
          <w:marTop w:val="0"/>
          <w:marBottom w:val="0"/>
          <w:divBdr>
            <w:top w:val="none" w:sz="0" w:space="0" w:color="auto"/>
            <w:left w:val="none" w:sz="0" w:space="0" w:color="auto"/>
            <w:bottom w:val="none" w:sz="0" w:space="0" w:color="auto"/>
            <w:right w:val="none" w:sz="0" w:space="0" w:color="auto"/>
          </w:divBdr>
          <w:divsChild>
            <w:div w:id="1599211977">
              <w:marLeft w:val="0"/>
              <w:marRight w:val="0"/>
              <w:marTop w:val="0"/>
              <w:marBottom w:val="0"/>
              <w:divBdr>
                <w:top w:val="none" w:sz="0" w:space="0" w:color="auto"/>
                <w:left w:val="none" w:sz="0" w:space="0" w:color="auto"/>
                <w:bottom w:val="none" w:sz="0" w:space="0" w:color="auto"/>
                <w:right w:val="none" w:sz="0" w:space="0" w:color="auto"/>
              </w:divBdr>
            </w:div>
          </w:divsChild>
        </w:div>
        <w:div w:id="2047171198">
          <w:marLeft w:val="0"/>
          <w:marRight w:val="0"/>
          <w:marTop w:val="0"/>
          <w:marBottom w:val="0"/>
          <w:divBdr>
            <w:top w:val="none" w:sz="0" w:space="0" w:color="auto"/>
            <w:left w:val="none" w:sz="0" w:space="0" w:color="auto"/>
            <w:bottom w:val="none" w:sz="0" w:space="0" w:color="auto"/>
            <w:right w:val="none" w:sz="0" w:space="0" w:color="auto"/>
          </w:divBdr>
          <w:divsChild>
            <w:div w:id="702440365">
              <w:marLeft w:val="0"/>
              <w:marRight w:val="0"/>
              <w:marTop w:val="0"/>
              <w:marBottom w:val="0"/>
              <w:divBdr>
                <w:top w:val="none" w:sz="0" w:space="0" w:color="auto"/>
                <w:left w:val="none" w:sz="0" w:space="0" w:color="auto"/>
                <w:bottom w:val="none" w:sz="0" w:space="0" w:color="auto"/>
                <w:right w:val="none" w:sz="0" w:space="0" w:color="auto"/>
              </w:divBdr>
            </w:div>
          </w:divsChild>
        </w:div>
        <w:div w:id="2059627966">
          <w:marLeft w:val="0"/>
          <w:marRight w:val="0"/>
          <w:marTop w:val="0"/>
          <w:marBottom w:val="0"/>
          <w:divBdr>
            <w:top w:val="none" w:sz="0" w:space="0" w:color="auto"/>
            <w:left w:val="none" w:sz="0" w:space="0" w:color="auto"/>
            <w:bottom w:val="none" w:sz="0" w:space="0" w:color="auto"/>
            <w:right w:val="none" w:sz="0" w:space="0" w:color="auto"/>
          </w:divBdr>
          <w:divsChild>
            <w:div w:id="1032146569">
              <w:marLeft w:val="0"/>
              <w:marRight w:val="0"/>
              <w:marTop w:val="0"/>
              <w:marBottom w:val="0"/>
              <w:divBdr>
                <w:top w:val="none" w:sz="0" w:space="0" w:color="auto"/>
                <w:left w:val="none" w:sz="0" w:space="0" w:color="auto"/>
                <w:bottom w:val="none" w:sz="0" w:space="0" w:color="auto"/>
                <w:right w:val="none" w:sz="0" w:space="0" w:color="auto"/>
              </w:divBdr>
            </w:div>
          </w:divsChild>
        </w:div>
        <w:div w:id="2070417989">
          <w:marLeft w:val="0"/>
          <w:marRight w:val="0"/>
          <w:marTop w:val="0"/>
          <w:marBottom w:val="0"/>
          <w:divBdr>
            <w:top w:val="none" w:sz="0" w:space="0" w:color="auto"/>
            <w:left w:val="none" w:sz="0" w:space="0" w:color="auto"/>
            <w:bottom w:val="none" w:sz="0" w:space="0" w:color="auto"/>
            <w:right w:val="none" w:sz="0" w:space="0" w:color="auto"/>
          </w:divBdr>
          <w:divsChild>
            <w:div w:id="1923566213">
              <w:marLeft w:val="0"/>
              <w:marRight w:val="0"/>
              <w:marTop w:val="0"/>
              <w:marBottom w:val="0"/>
              <w:divBdr>
                <w:top w:val="none" w:sz="0" w:space="0" w:color="auto"/>
                <w:left w:val="none" w:sz="0" w:space="0" w:color="auto"/>
                <w:bottom w:val="none" w:sz="0" w:space="0" w:color="auto"/>
                <w:right w:val="none" w:sz="0" w:space="0" w:color="auto"/>
              </w:divBdr>
            </w:div>
          </w:divsChild>
        </w:div>
        <w:div w:id="2114812466">
          <w:marLeft w:val="0"/>
          <w:marRight w:val="0"/>
          <w:marTop w:val="0"/>
          <w:marBottom w:val="0"/>
          <w:divBdr>
            <w:top w:val="none" w:sz="0" w:space="0" w:color="auto"/>
            <w:left w:val="none" w:sz="0" w:space="0" w:color="auto"/>
            <w:bottom w:val="none" w:sz="0" w:space="0" w:color="auto"/>
            <w:right w:val="none" w:sz="0" w:space="0" w:color="auto"/>
          </w:divBdr>
          <w:divsChild>
            <w:div w:id="5543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2289">
      <w:bodyDiv w:val="1"/>
      <w:marLeft w:val="0"/>
      <w:marRight w:val="0"/>
      <w:marTop w:val="0"/>
      <w:marBottom w:val="0"/>
      <w:divBdr>
        <w:top w:val="none" w:sz="0" w:space="0" w:color="auto"/>
        <w:left w:val="none" w:sz="0" w:space="0" w:color="auto"/>
        <w:bottom w:val="none" w:sz="0" w:space="0" w:color="auto"/>
        <w:right w:val="none" w:sz="0" w:space="0" w:color="auto"/>
      </w:divBdr>
      <w:divsChild>
        <w:div w:id="415708886">
          <w:marLeft w:val="0"/>
          <w:marRight w:val="0"/>
          <w:marTop w:val="0"/>
          <w:marBottom w:val="0"/>
          <w:divBdr>
            <w:top w:val="none" w:sz="0" w:space="0" w:color="auto"/>
            <w:left w:val="none" w:sz="0" w:space="0" w:color="auto"/>
            <w:bottom w:val="none" w:sz="0" w:space="0" w:color="auto"/>
            <w:right w:val="none" w:sz="0" w:space="0" w:color="auto"/>
          </w:divBdr>
        </w:div>
        <w:div w:id="894467442">
          <w:marLeft w:val="0"/>
          <w:marRight w:val="0"/>
          <w:marTop w:val="0"/>
          <w:marBottom w:val="0"/>
          <w:divBdr>
            <w:top w:val="none" w:sz="0" w:space="0" w:color="auto"/>
            <w:left w:val="none" w:sz="0" w:space="0" w:color="auto"/>
            <w:bottom w:val="none" w:sz="0" w:space="0" w:color="auto"/>
            <w:right w:val="none" w:sz="0" w:space="0" w:color="auto"/>
          </w:divBdr>
        </w:div>
        <w:div w:id="894703871">
          <w:marLeft w:val="0"/>
          <w:marRight w:val="0"/>
          <w:marTop w:val="0"/>
          <w:marBottom w:val="0"/>
          <w:divBdr>
            <w:top w:val="none" w:sz="0" w:space="0" w:color="auto"/>
            <w:left w:val="none" w:sz="0" w:space="0" w:color="auto"/>
            <w:bottom w:val="none" w:sz="0" w:space="0" w:color="auto"/>
            <w:right w:val="none" w:sz="0" w:space="0" w:color="auto"/>
          </w:divBdr>
        </w:div>
      </w:divsChild>
    </w:div>
    <w:div w:id="2071807772">
      <w:bodyDiv w:val="1"/>
      <w:marLeft w:val="0"/>
      <w:marRight w:val="0"/>
      <w:marTop w:val="0"/>
      <w:marBottom w:val="0"/>
      <w:divBdr>
        <w:top w:val="none" w:sz="0" w:space="0" w:color="auto"/>
        <w:left w:val="none" w:sz="0" w:space="0" w:color="auto"/>
        <w:bottom w:val="none" w:sz="0" w:space="0" w:color="auto"/>
        <w:right w:val="none" w:sz="0" w:space="0" w:color="auto"/>
      </w:divBdr>
    </w:div>
    <w:div w:id="2082870830">
      <w:bodyDiv w:val="1"/>
      <w:marLeft w:val="0"/>
      <w:marRight w:val="0"/>
      <w:marTop w:val="0"/>
      <w:marBottom w:val="0"/>
      <w:divBdr>
        <w:top w:val="none" w:sz="0" w:space="0" w:color="auto"/>
        <w:left w:val="none" w:sz="0" w:space="0" w:color="auto"/>
        <w:bottom w:val="none" w:sz="0" w:space="0" w:color="auto"/>
        <w:right w:val="none" w:sz="0" w:space="0" w:color="auto"/>
      </w:divBdr>
    </w:div>
    <w:div w:id="2107772332">
      <w:bodyDiv w:val="1"/>
      <w:marLeft w:val="0"/>
      <w:marRight w:val="0"/>
      <w:marTop w:val="0"/>
      <w:marBottom w:val="0"/>
      <w:divBdr>
        <w:top w:val="none" w:sz="0" w:space="0" w:color="auto"/>
        <w:left w:val="none" w:sz="0" w:space="0" w:color="auto"/>
        <w:bottom w:val="none" w:sz="0" w:space="0" w:color="auto"/>
        <w:right w:val="none" w:sz="0" w:space="0" w:color="auto"/>
      </w:divBdr>
      <w:divsChild>
        <w:div w:id="239797660">
          <w:marLeft w:val="0"/>
          <w:marRight w:val="0"/>
          <w:marTop w:val="0"/>
          <w:marBottom w:val="0"/>
          <w:divBdr>
            <w:top w:val="none" w:sz="0" w:space="0" w:color="auto"/>
            <w:left w:val="none" w:sz="0" w:space="0" w:color="auto"/>
            <w:bottom w:val="none" w:sz="0" w:space="0" w:color="auto"/>
            <w:right w:val="none" w:sz="0" w:space="0" w:color="auto"/>
          </w:divBdr>
          <w:divsChild>
            <w:div w:id="926042341">
              <w:marLeft w:val="0"/>
              <w:marRight w:val="0"/>
              <w:marTop w:val="0"/>
              <w:marBottom w:val="0"/>
              <w:divBdr>
                <w:top w:val="none" w:sz="0" w:space="0" w:color="auto"/>
                <w:left w:val="none" w:sz="0" w:space="0" w:color="auto"/>
                <w:bottom w:val="none" w:sz="0" w:space="0" w:color="auto"/>
                <w:right w:val="none" w:sz="0" w:space="0" w:color="auto"/>
              </w:divBdr>
            </w:div>
          </w:divsChild>
        </w:div>
        <w:div w:id="1487821752">
          <w:marLeft w:val="0"/>
          <w:marRight w:val="0"/>
          <w:marTop w:val="0"/>
          <w:marBottom w:val="0"/>
          <w:divBdr>
            <w:top w:val="none" w:sz="0" w:space="0" w:color="auto"/>
            <w:left w:val="none" w:sz="0" w:space="0" w:color="auto"/>
            <w:bottom w:val="none" w:sz="0" w:space="0" w:color="auto"/>
            <w:right w:val="none" w:sz="0" w:space="0" w:color="auto"/>
          </w:divBdr>
          <w:divsChild>
            <w:div w:id="16788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cancer/cancer-data-in-australia/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CA460-69F2-4929-AC3C-23EE1241D056}">
  <ds:schemaRefs>
    <ds:schemaRef ds:uri="http://schemas.openxmlformats.org/officeDocument/2006/bibliography"/>
  </ds:schemaRefs>
</ds:datastoreItem>
</file>

<file path=customXml/itemProps2.xml><?xml version="1.0" encoding="utf-8"?>
<ds:datastoreItem xmlns:ds="http://schemas.openxmlformats.org/officeDocument/2006/customXml" ds:itemID="{1E3A20DB-ED85-42AD-BAB7-B21F1EBC7F80}">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3.xml><?xml version="1.0" encoding="utf-8"?>
<ds:datastoreItem xmlns:ds="http://schemas.openxmlformats.org/officeDocument/2006/customXml" ds:itemID="{974ED98A-FC8E-47BF-BD12-F55A560075BB}">
  <ds:schemaRefs>
    <ds:schemaRef ds:uri="http://schemas.microsoft.com/sharepoint/v3/contenttype/forms"/>
  </ds:schemaRefs>
</ds:datastoreItem>
</file>

<file path=customXml/itemProps4.xml><?xml version="1.0" encoding="utf-8"?>
<ds:datastoreItem xmlns:ds="http://schemas.openxmlformats.org/officeDocument/2006/customXml" ds:itemID="{E8B60F42-F2E6-494E-8E89-6FB25132C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19871</Words>
  <Characters>113269</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132875</CharactersWithSpaces>
  <SharedDoc>false</SharedDoc>
  <HLinks>
    <vt:vector size="36" baseType="variant">
      <vt:variant>
        <vt:i4>983113</vt:i4>
      </vt:variant>
      <vt:variant>
        <vt:i4>0</vt:i4>
      </vt:variant>
      <vt:variant>
        <vt:i4>0</vt:i4>
      </vt:variant>
      <vt:variant>
        <vt:i4>5</vt:i4>
      </vt:variant>
      <vt:variant>
        <vt:lpwstr>https://www.aihw.gov.au/reports/cancer/cancer-data-in-australia/data</vt:lpwstr>
      </vt:variant>
      <vt:variant>
        <vt:lpwstr/>
      </vt:variant>
      <vt:variant>
        <vt:i4>5701746</vt:i4>
      </vt:variant>
      <vt:variant>
        <vt:i4>12</vt:i4>
      </vt:variant>
      <vt:variant>
        <vt:i4>0</vt:i4>
      </vt:variant>
      <vt:variant>
        <vt:i4>5</vt:i4>
      </vt:variant>
      <vt:variant>
        <vt:lpwstr>mailto:Elisabeth.HALL@Health.gov.au</vt:lpwstr>
      </vt:variant>
      <vt:variant>
        <vt:lpwstr/>
      </vt:variant>
      <vt:variant>
        <vt:i4>655393</vt:i4>
      </vt:variant>
      <vt:variant>
        <vt:i4>9</vt:i4>
      </vt:variant>
      <vt:variant>
        <vt:i4>0</vt:i4>
      </vt:variant>
      <vt:variant>
        <vt:i4>5</vt:i4>
      </vt:variant>
      <vt:variant>
        <vt:lpwstr>https://healthgov.sharepoint.com/:x:/r/sites/PBACSecretariat/Shared Documents/2025-5 May PBAC meeting/Working Documents/Pre-meeting/Worksheets from evaluators/6.01 Alectinib/Economic Evaluation_PSCR Sensitivity analysis - CIC pre-PBAC response.xlsx?d=wa07bf8021bf841b9b06bccd0484d54c6&amp;csf=1&amp;web=1&amp;e=dILDhl</vt:lpwstr>
      </vt:variant>
      <vt:variant>
        <vt:lpwstr/>
      </vt:variant>
      <vt:variant>
        <vt:i4>6553688</vt:i4>
      </vt:variant>
      <vt:variant>
        <vt:i4>6</vt:i4>
      </vt:variant>
      <vt:variant>
        <vt:i4>0</vt:i4>
      </vt:variant>
      <vt:variant>
        <vt:i4>5</vt:i4>
      </vt:variant>
      <vt:variant>
        <vt:lpwstr>mailto:Soumya.Sudarshan@health.gov.au</vt:lpwstr>
      </vt:variant>
      <vt:variant>
        <vt:lpwstr/>
      </vt:variant>
      <vt:variant>
        <vt:i4>6553688</vt:i4>
      </vt:variant>
      <vt:variant>
        <vt:i4>3</vt:i4>
      </vt:variant>
      <vt:variant>
        <vt:i4>0</vt:i4>
      </vt:variant>
      <vt:variant>
        <vt:i4>5</vt:i4>
      </vt:variant>
      <vt:variant>
        <vt:lpwstr>mailto:Soumya.Sudarshan@health.gov.au</vt:lpwstr>
      </vt:variant>
      <vt:variant>
        <vt:lpwstr/>
      </vt:variant>
      <vt:variant>
        <vt:i4>7536716</vt:i4>
      </vt:variant>
      <vt:variant>
        <vt:i4>0</vt:i4>
      </vt:variant>
      <vt:variant>
        <vt:i4>0</vt:i4>
      </vt:variant>
      <vt:variant>
        <vt:i4>5</vt:i4>
      </vt:variant>
      <vt:variant>
        <vt:lpwstr>mailto:Michael.Coory@health.gov.au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2025-08-26T08:57:00Z</dcterms:created>
  <dcterms:modified xsi:type="dcterms:W3CDTF">2025-08-27T10:41:00Z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3d30802d,12b45e7a,64eada2b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2a0b7e95,1bf6609e,7e567851</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2025-08-26T08:57:37Z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6df975c7-07d3-45eb-b98e-cb5591bfd143</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ies>
</file>