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701A" w14:textId="3FC5DE40" w:rsidR="00B60939" w:rsidRPr="0098262F" w:rsidRDefault="2BF0ED08" w:rsidP="00B269E7">
      <w:pPr>
        <w:pStyle w:val="1-MainHeading"/>
      </w:pPr>
      <w:bookmarkStart w:id="0" w:name="_Hlk87013217"/>
      <w:bookmarkStart w:id="1" w:name="_Toc191036347"/>
      <w:bookmarkStart w:id="2" w:name="_Toc192760438"/>
      <w:bookmarkEnd w:id="0"/>
      <w:r w:rsidRPr="2B21198B">
        <w:t>5</w:t>
      </w:r>
      <w:r w:rsidR="084DB5C0" w:rsidRPr="2B21198B">
        <w:t>.</w:t>
      </w:r>
      <w:r w:rsidRPr="2B21198B">
        <w:t>01</w:t>
      </w:r>
      <w:r>
        <w:tab/>
      </w:r>
      <w:r w:rsidR="7BD26DEB" w:rsidRPr="2B21198B">
        <w:t>BIMEKIZUMAB</w:t>
      </w:r>
      <w:r w:rsidR="1E70C973" w:rsidRPr="2B21198B">
        <w:t>,</w:t>
      </w:r>
      <w:r>
        <w:br/>
      </w:r>
      <w:r w:rsidR="107899D2" w:rsidRPr="2B21198B">
        <w:t>Injection 160 mg in 1 mL single use pre-filled syringe</w:t>
      </w:r>
      <w:r w:rsidR="35BF5180" w:rsidRPr="2B21198B">
        <w:t xml:space="preserve">; </w:t>
      </w:r>
      <w:r w:rsidR="107899D2" w:rsidRPr="2B21198B">
        <w:t>Injection 160 mg in 1 mL single use pre-filled pen</w:t>
      </w:r>
      <w:r w:rsidR="35BF5180" w:rsidRPr="2B21198B">
        <w:t xml:space="preserve">; </w:t>
      </w:r>
      <w:r>
        <w:br/>
      </w:r>
      <w:r w:rsidR="1E2BFB2C" w:rsidRPr="2B21198B">
        <w:t>Injection 320 mg in 2 mL single use pre-filled syringe</w:t>
      </w:r>
      <w:r w:rsidR="35BF5180" w:rsidRPr="2B21198B">
        <w:t xml:space="preserve">; </w:t>
      </w:r>
      <w:r w:rsidR="1E2BFB2C" w:rsidRPr="2B21198B">
        <w:t>Injection 320 mg in 2 mL single use pre-filled pen</w:t>
      </w:r>
      <w:r w:rsidR="35BF5180" w:rsidRPr="2B21198B">
        <w:t xml:space="preserve">; </w:t>
      </w:r>
      <w:r>
        <w:br/>
      </w:r>
      <w:proofErr w:type="spellStart"/>
      <w:r w:rsidR="7BD26DEB" w:rsidRPr="2B21198B">
        <w:t>Bimzelx</w:t>
      </w:r>
      <w:proofErr w:type="spellEnd"/>
      <w:r w:rsidR="76AC763A" w:rsidRPr="2B21198B">
        <w:rPr>
          <w:vertAlign w:val="superscript"/>
        </w:rPr>
        <w:t>®</w:t>
      </w:r>
      <w:r w:rsidR="0457A2F4" w:rsidRPr="2B21198B">
        <w:t>,</w:t>
      </w:r>
      <w:r>
        <w:br/>
      </w:r>
      <w:r w:rsidR="7BD26DEB" w:rsidRPr="2B21198B">
        <w:t>UCB Australia P</w:t>
      </w:r>
      <w:r w:rsidR="3CC4A6CA" w:rsidRPr="2B21198B">
        <w:t>roprie</w:t>
      </w:r>
      <w:r w:rsidR="7BD26DEB" w:rsidRPr="2B21198B">
        <w:t>t</w:t>
      </w:r>
      <w:r w:rsidR="3CC4A6CA" w:rsidRPr="2B21198B">
        <w:t>ar</w:t>
      </w:r>
      <w:r w:rsidR="7BD26DEB" w:rsidRPr="2B21198B">
        <w:t>y L</w:t>
      </w:r>
      <w:r w:rsidR="692DD61C" w:rsidRPr="2B21198B">
        <w:t>imi</w:t>
      </w:r>
      <w:r w:rsidR="7BD26DEB" w:rsidRPr="2B21198B">
        <w:t>t</w:t>
      </w:r>
      <w:r w:rsidR="692DD61C" w:rsidRPr="2B21198B">
        <w:t>e</w:t>
      </w:r>
      <w:r w:rsidR="7BD26DEB" w:rsidRPr="2B21198B">
        <w:t>d</w:t>
      </w:r>
      <w:r w:rsidR="76AC763A" w:rsidRPr="2B21198B">
        <w:t>.</w:t>
      </w:r>
      <w:bookmarkEnd w:id="1"/>
      <w:bookmarkEnd w:id="2"/>
      <w:r w:rsidR="4188DBC1" w:rsidRPr="2B21198B">
        <w:t xml:space="preserve"> </w:t>
      </w:r>
    </w:p>
    <w:p w14:paraId="11C00795" w14:textId="3DFB6D23" w:rsidR="00B50DB8" w:rsidRPr="0098262F" w:rsidRDefault="00B50DB8" w:rsidP="004A6040">
      <w:pPr>
        <w:pStyle w:val="2-SectionHeading"/>
      </w:pPr>
      <w:bookmarkStart w:id="3" w:name="_Toc192760440"/>
      <w:r w:rsidRPr="0098262F">
        <w:t xml:space="preserve">Purpose of </w:t>
      </w:r>
      <w:r w:rsidR="00CD7193" w:rsidRPr="0098262F">
        <w:t>s</w:t>
      </w:r>
      <w:r w:rsidR="00BB3A45" w:rsidRPr="0098262F">
        <w:t>ubmission</w:t>
      </w:r>
      <w:bookmarkEnd w:id="3"/>
    </w:p>
    <w:p w14:paraId="19414AA1" w14:textId="12A50A88" w:rsidR="002C2775" w:rsidRPr="0098262F" w:rsidRDefault="007170DA" w:rsidP="004E18E9">
      <w:pPr>
        <w:pStyle w:val="3-BodyText"/>
      </w:pPr>
      <w:r w:rsidRPr="2B21198B">
        <w:t xml:space="preserve">The </w:t>
      </w:r>
      <w:r w:rsidR="00F73E08" w:rsidRPr="2B21198B">
        <w:t xml:space="preserve">Category </w:t>
      </w:r>
      <w:r w:rsidR="00F80B90" w:rsidRPr="2B21198B">
        <w:t xml:space="preserve">2 </w:t>
      </w:r>
      <w:r w:rsidRPr="2B21198B">
        <w:t>submission requested</w:t>
      </w:r>
      <w:r w:rsidR="00C16C3E" w:rsidRPr="2B21198B">
        <w:t xml:space="preserve"> a</w:t>
      </w:r>
      <w:r w:rsidRPr="2B21198B">
        <w:t xml:space="preserve"> </w:t>
      </w:r>
      <w:r w:rsidR="001F6A4C" w:rsidRPr="2B21198B">
        <w:t xml:space="preserve">General Schedule, </w:t>
      </w:r>
      <w:r w:rsidR="008B1757" w:rsidRPr="2B21198B">
        <w:t>Authority Required</w:t>
      </w:r>
      <w:r w:rsidR="00F80B90" w:rsidRPr="2B21198B">
        <w:t xml:space="preserve"> </w:t>
      </w:r>
      <w:r w:rsidR="008B1757" w:rsidRPr="2B21198B">
        <w:t xml:space="preserve">listing for </w:t>
      </w:r>
      <w:r w:rsidR="00F80B90" w:rsidRPr="2B21198B">
        <w:t>bimekizumab</w:t>
      </w:r>
      <w:r w:rsidR="008B1757" w:rsidRPr="2B21198B">
        <w:t xml:space="preserve"> for </w:t>
      </w:r>
      <w:r w:rsidR="0050174E" w:rsidRPr="2B21198B">
        <w:t xml:space="preserve">the </w:t>
      </w:r>
      <w:r w:rsidR="008B1757" w:rsidRPr="2B21198B">
        <w:t xml:space="preserve">treatment of </w:t>
      </w:r>
      <w:r w:rsidR="00F80B90" w:rsidRPr="2B21198B">
        <w:t>patients with moderate to severe hidradenitis suppurativa (HS).</w:t>
      </w:r>
      <w:r w:rsidR="00B5750B" w:rsidRPr="2B21198B">
        <w:t xml:space="preserve"> It includ</w:t>
      </w:r>
      <w:r w:rsidR="00F21268" w:rsidRPr="2B21198B">
        <w:t>ed</w:t>
      </w:r>
      <w:r w:rsidR="00B5750B" w:rsidRPr="2B21198B">
        <w:t xml:space="preserve"> a request for listing a new strength, 320</w:t>
      </w:r>
      <w:r w:rsidR="006E33FC" w:rsidRPr="2B21198B">
        <w:t xml:space="preserve"> </w:t>
      </w:r>
      <w:r w:rsidR="00B5750B" w:rsidRPr="2B21198B">
        <w:t>mg/</w:t>
      </w:r>
      <w:r w:rsidR="00C33ACE" w:rsidRPr="2B21198B">
        <w:t>2</w:t>
      </w:r>
      <w:r w:rsidR="00DE49FC">
        <w:t> </w:t>
      </w:r>
      <w:r w:rsidR="00C33ACE" w:rsidRPr="2B21198B">
        <w:t>mL</w:t>
      </w:r>
      <w:r w:rsidR="006844F5" w:rsidRPr="2B21198B">
        <w:t xml:space="preserve"> </w:t>
      </w:r>
      <w:r w:rsidR="00C33ACE" w:rsidRPr="2B21198B">
        <w:t>injection</w:t>
      </w:r>
      <w:r w:rsidR="00421847" w:rsidRPr="2B21198B">
        <w:t>, in both syringe</w:t>
      </w:r>
      <w:r w:rsidR="00C33ACE" w:rsidRPr="2B21198B">
        <w:t xml:space="preserve"> and pen device</w:t>
      </w:r>
      <w:r w:rsidR="00421847" w:rsidRPr="2B21198B">
        <w:t xml:space="preserve"> forms</w:t>
      </w:r>
      <w:r w:rsidR="00C33ACE" w:rsidRPr="2B21198B">
        <w:t xml:space="preserve">, </w:t>
      </w:r>
      <w:r w:rsidR="00B5750B" w:rsidRPr="2B21198B">
        <w:t>as well</w:t>
      </w:r>
      <w:r w:rsidR="00C33ACE" w:rsidRPr="2B21198B">
        <w:t xml:space="preserve"> as the existing strength of 160</w:t>
      </w:r>
      <w:r w:rsidR="00EC3BDC">
        <w:t> </w:t>
      </w:r>
      <w:r w:rsidR="00C33ACE" w:rsidRPr="2B21198B">
        <w:t>mg/1</w:t>
      </w:r>
      <w:r w:rsidR="006E33FC" w:rsidRPr="2B21198B">
        <w:t xml:space="preserve"> </w:t>
      </w:r>
      <w:r w:rsidR="00C33ACE" w:rsidRPr="2B21198B">
        <w:t>mL</w:t>
      </w:r>
      <w:r w:rsidR="00E952B6" w:rsidRPr="2B21198B">
        <w:t>, in both syringe and pen device forms.</w:t>
      </w:r>
    </w:p>
    <w:p w14:paraId="136E1EBB" w14:textId="460C5ABC" w:rsidR="00E952B6" w:rsidRPr="0098262F" w:rsidRDefault="4B628653" w:rsidP="00D92F90">
      <w:pPr>
        <w:pStyle w:val="3-BodyText"/>
      </w:pPr>
      <w:r w:rsidRPr="2B21198B">
        <w:t>Listing was requested on the basis of a cost-minimisation</w:t>
      </w:r>
      <w:r w:rsidR="00CBA83C" w:rsidRPr="2B21198B">
        <w:t xml:space="preserve"> approach</w:t>
      </w:r>
      <w:r w:rsidRPr="2B21198B">
        <w:t xml:space="preserve"> versus </w:t>
      </w:r>
      <w:r w:rsidR="2FE07FC8" w:rsidRPr="2B21198B">
        <w:t xml:space="preserve">secukinumab, with adalimumab as a secondary comparator. </w:t>
      </w:r>
    </w:p>
    <w:p w14:paraId="3718DE61" w14:textId="446B20B5" w:rsidR="008B1757" w:rsidRPr="0098262F" w:rsidRDefault="6E75A8AE" w:rsidP="2B21198B">
      <w:pPr>
        <w:pStyle w:val="TableFigureHeading"/>
        <w:rPr>
          <w:rStyle w:val="CommentReference"/>
          <w:b/>
        </w:rPr>
      </w:pPr>
      <w:bookmarkStart w:id="4" w:name="_Ref198111860"/>
      <w:r w:rsidRPr="2B21198B">
        <w:t xml:space="preserve">Table </w:t>
      </w:r>
      <w:r w:rsidRPr="2B21198B">
        <w:fldChar w:fldCharType="begin"/>
      </w:r>
      <w:r>
        <w:instrText xml:space="preserve"> SEQ Table \* ARABIC </w:instrText>
      </w:r>
      <w:r w:rsidRPr="2B21198B">
        <w:fldChar w:fldCharType="separate"/>
      </w:r>
      <w:r w:rsidR="00184DE0">
        <w:rPr>
          <w:noProof/>
        </w:rPr>
        <w:t>1</w:t>
      </w:r>
      <w:r w:rsidRPr="2B21198B">
        <w:rPr>
          <w:noProof/>
        </w:rPr>
        <w:fldChar w:fldCharType="end"/>
      </w:r>
      <w:bookmarkEnd w:id="4"/>
      <w:r w:rsidRPr="2B21198B">
        <w:t>:</w:t>
      </w:r>
      <w:r w:rsidR="4F0AF414" w:rsidRPr="2B21198B">
        <w:rPr>
          <w:rStyle w:val="CommentReference"/>
          <w:b/>
        </w:rPr>
        <w:t xml:space="preserve"> </w:t>
      </w:r>
      <w:r w:rsidR="5B48719F" w:rsidRPr="2B21198B">
        <w:rPr>
          <w:rStyle w:val="CommentReference"/>
          <w:b/>
        </w:rPr>
        <w:t>Key components of the clinical issue addressed by the submission</w:t>
      </w:r>
      <w:r w:rsidR="10A9B8F7" w:rsidRPr="2B21198B">
        <w:rPr>
          <w:rStyle w:val="CommentReference"/>
          <w:b/>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98262F" w14:paraId="569F5103" w14:textId="77777777" w:rsidTr="2B21198B">
        <w:trPr>
          <w:cantSplit/>
          <w:tblHeader/>
        </w:trPr>
        <w:tc>
          <w:tcPr>
            <w:tcW w:w="924" w:type="pct"/>
          </w:tcPr>
          <w:p w14:paraId="501803FB" w14:textId="77777777" w:rsidR="008B1757" w:rsidRPr="0098262F" w:rsidRDefault="008B1757" w:rsidP="004A6040">
            <w:pPr>
              <w:pStyle w:val="In-tableHeading"/>
              <w:rPr>
                <w:szCs w:val="20"/>
                <w:lang w:val="en-AU"/>
              </w:rPr>
            </w:pPr>
            <w:r w:rsidRPr="0098262F">
              <w:rPr>
                <w:lang w:val="en-AU"/>
              </w:rPr>
              <w:t>Component</w:t>
            </w:r>
          </w:p>
        </w:tc>
        <w:tc>
          <w:tcPr>
            <w:tcW w:w="4076" w:type="pct"/>
          </w:tcPr>
          <w:p w14:paraId="445D9EBB" w14:textId="77777777" w:rsidR="008B1757" w:rsidRPr="0098262F" w:rsidRDefault="008B1757" w:rsidP="004A6040">
            <w:pPr>
              <w:pStyle w:val="In-tableHeading"/>
              <w:rPr>
                <w:lang w:val="en-AU"/>
              </w:rPr>
            </w:pPr>
            <w:r w:rsidRPr="0098262F">
              <w:rPr>
                <w:lang w:val="en-AU"/>
              </w:rPr>
              <w:t>Description</w:t>
            </w:r>
          </w:p>
        </w:tc>
      </w:tr>
      <w:tr w:rsidR="008B1757" w:rsidRPr="0098262F" w14:paraId="2EB546E2" w14:textId="77777777" w:rsidTr="2B21198B">
        <w:trPr>
          <w:cantSplit/>
        </w:trPr>
        <w:tc>
          <w:tcPr>
            <w:tcW w:w="924" w:type="pct"/>
          </w:tcPr>
          <w:p w14:paraId="38F3BB34" w14:textId="77777777" w:rsidR="008B1757" w:rsidRPr="0098262F" w:rsidRDefault="008B1757" w:rsidP="004A6040">
            <w:pPr>
              <w:pStyle w:val="TableText0"/>
            </w:pPr>
            <w:r w:rsidRPr="0098262F">
              <w:t>Population</w:t>
            </w:r>
          </w:p>
        </w:tc>
        <w:tc>
          <w:tcPr>
            <w:tcW w:w="4076" w:type="pct"/>
          </w:tcPr>
          <w:p w14:paraId="79618EEE" w14:textId="3C407690" w:rsidR="00233C01" w:rsidRPr="0098262F" w:rsidRDefault="00587640" w:rsidP="00233C01">
            <w:pPr>
              <w:pStyle w:val="TableText0"/>
              <w:rPr>
                <w:szCs w:val="20"/>
              </w:rPr>
            </w:pPr>
            <w:r>
              <w:t>Patients with moderate to severe hidradenitis suppurativa (HS)</w:t>
            </w:r>
          </w:p>
        </w:tc>
      </w:tr>
      <w:tr w:rsidR="008B1757" w:rsidRPr="0098262F" w14:paraId="0CA523AF" w14:textId="77777777" w:rsidTr="2B21198B">
        <w:trPr>
          <w:cantSplit/>
        </w:trPr>
        <w:tc>
          <w:tcPr>
            <w:tcW w:w="924" w:type="pct"/>
          </w:tcPr>
          <w:p w14:paraId="7B6D20D8" w14:textId="77777777" w:rsidR="008B1757" w:rsidRPr="0098262F" w:rsidRDefault="008B1757" w:rsidP="004A6040">
            <w:pPr>
              <w:pStyle w:val="TableText0"/>
            </w:pPr>
            <w:r w:rsidRPr="0098262F">
              <w:t>Intervention</w:t>
            </w:r>
          </w:p>
        </w:tc>
        <w:tc>
          <w:tcPr>
            <w:tcW w:w="4076" w:type="pct"/>
          </w:tcPr>
          <w:p w14:paraId="2491E905" w14:textId="6CDC10CD" w:rsidR="00233C01" w:rsidRPr="0098262F" w:rsidRDefault="00587640" w:rsidP="00D43D83">
            <w:pPr>
              <w:pStyle w:val="TableText0"/>
            </w:pPr>
            <w:r w:rsidRPr="2B21198B">
              <w:t xml:space="preserve">Bimekizumab </w:t>
            </w:r>
            <w:r w:rsidR="00E952B6" w:rsidRPr="2B21198B">
              <w:t>(</w:t>
            </w:r>
            <w:r w:rsidRPr="2B21198B">
              <w:t>BKZ) 320 mg (given as 2 subcutaneous injections of 160 mg or 1 subcutaneous injection of 320 mg) every 2 weeks up to Week 16 and every 4 weeks thereafter.</w:t>
            </w:r>
          </w:p>
        </w:tc>
      </w:tr>
      <w:tr w:rsidR="008B1757" w:rsidRPr="0098262F" w14:paraId="0F81EBE4" w14:textId="77777777" w:rsidTr="2B21198B">
        <w:trPr>
          <w:cantSplit/>
        </w:trPr>
        <w:tc>
          <w:tcPr>
            <w:tcW w:w="924" w:type="pct"/>
          </w:tcPr>
          <w:p w14:paraId="3656B343" w14:textId="77777777" w:rsidR="008B1757" w:rsidRPr="0098262F" w:rsidRDefault="008B1757" w:rsidP="004A6040">
            <w:pPr>
              <w:pStyle w:val="TableText0"/>
            </w:pPr>
            <w:r w:rsidRPr="0098262F">
              <w:t>Comparator</w:t>
            </w:r>
          </w:p>
        </w:tc>
        <w:tc>
          <w:tcPr>
            <w:tcW w:w="4076" w:type="pct"/>
          </w:tcPr>
          <w:p w14:paraId="763F0D6A" w14:textId="77777777" w:rsidR="00587640" w:rsidRDefault="00587640" w:rsidP="00587640">
            <w:pPr>
              <w:pStyle w:val="TableText0"/>
            </w:pPr>
            <w:r w:rsidRPr="2B21198B">
              <w:t>Primary: Secukinumab (SEC) 300 mg at week 0,1,2,3 and 4 followed by 300 mg every 4 weeks OR 300 mg once every 2 weeks (weighting 80% Q4W, 20% Q2W)</w:t>
            </w:r>
          </w:p>
          <w:p w14:paraId="3727DE24" w14:textId="6BF284EE" w:rsidR="00233C01" w:rsidRPr="0098262F" w:rsidRDefault="00587640" w:rsidP="00587640">
            <w:pPr>
              <w:pStyle w:val="TableText0"/>
            </w:pPr>
            <w:r>
              <w:t>Secondary: Adalimumab (ADA) 160 mg at day 1, 80 mg at day 15, followed by 40 mg every week/80 mg fortnightly from day 29</w:t>
            </w:r>
          </w:p>
        </w:tc>
      </w:tr>
      <w:tr w:rsidR="008B1757" w:rsidRPr="0098262F" w14:paraId="02F86F0D" w14:textId="77777777" w:rsidTr="2B21198B">
        <w:trPr>
          <w:cantSplit/>
        </w:trPr>
        <w:tc>
          <w:tcPr>
            <w:tcW w:w="924" w:type="pct"/>
          </w:tcPr>
          <w:p w14:paraId="06433105" w14:textId="77777777" w:rsidR="008B1757" w:rsidRPr="0098262F" w:rsidRDefault="008B1757" w:rsidP="004A6040">
            <w:pPr>
              <w:pStyle w:val="TableText0"/>
            </w:pPr>
            <w:r w:rsidRPr="0098262F">
              <w:t>Outcomes</w:t>
            </w:r>
          </w:p>
        </w:tc>
        <w:tc>
          <w:tcPr>
            <w:tcW w:w="4076" w:type="pct"/>
          </w:tcPr>
          <w:p w14:paraId="5014F9EC" w14:textId="77777777" w:rsidR="00587640" w:rsidRPr="00587640" w:rsidRDefault="00587640" w:rsidP="00587640">
            <w:pPr>
              <w:pStyle w:val="TableText0"/>
              <w:rPr>
                <w:rFonts w:eastAsia="Times New Roman" w:cs="Arial"/>
                <w:bCs w:val="0"/>
                <w:snapToGrid w:val="0"/>
                <w:szCs w:val="20"/>
              </w:rPr>
            </w:pPr>
            <w:r w:rsidRPr="00587640">
              <w:rPr>
                <w:rFonts w:eastAsia="Times New Roman" w:cs="Arial"/>
                <w:bCs w:val="0"/>
                <w:snapToGrid w:val="0"/>
                <w:szCs w:val="20"/>
              </w:rPr>
              <w:t>HiSCR50, HiSCR75, HiSCR90</w:t>
            </w:r>
          </w:p>
          <w:p w14:paraId="5ABC4037" w14:textId="4FC4A801" w:rsidR="00233C01" w:rsidRPr="0098262F" w:rsidRDefault="00587640" w:rsidP="00587640">
            <w:pPr>
              <w:pStyle w:val="TableText0"/>
              <w:rPr>
                <w:rFonts w:eastAsia="Times New Roman" w:cs="Arial"/>
                <w:bCs w:val="0"/>
                <w:snapToGrid w:val="0"/>
                <w:color w:val="0066FF"/>
                <w:szCs w:val="20"/>
              </w:rPr>
            </w:pPr>
            <w:r w:rsidRPr="00587640">
              <w:rPr>
                <w:rFonts w:eastAsia="Times New Roman" w:cs="Arial"/>
                <w:bCs w:val="0"/>
                <w:snapToGrid w:val="0"/>
                <w:szCs w:val="20"/>
              </w:rPr>
              <w:t>Safety</w:t>
            </w:r>
          </w:p>
        </w:tc>
      </w:tr>
      <w:tr w:rsidR="008B1757" w:rsidRPr="0098262F" w14:paraId="22223890" w14:textId="77777777" w:rsidTr="2B21198B">
        <w:trPr>
          <w:cantSplit/>
        </w:trPr>
        <w:tc>
          <w:tcPr>
            <w:tcW w:w="924" w:type="pct"/>
          </w:tcPr>
          <w:p w14:paraId="0FC8FCE0" w14:textId="77777777" w:rsidR="008B1757" w:rsidRPr="0098262F" w:rsidRDefault="008B1757" w:rsidP="004A6040">
            <w:pPr>
              <w:pStyle w:val="TableText0"/>
            </w:pPr>
            <w:r w:rsidRPr="0098262F">
              <w:t>Clinical claim</w:t>
            </w:r>
          </w:p>
        </w:tc>
        <w:tc>
          <w:tcPr>
            <w:tcW w:w="4076" w:type="pct"/>
          </w:tcPr>
          <w:p w14:paraId="08CED703" w14:textId="77777777" w:rsidR="00587640" w:rsidRPr="00587640" w:rsidRDefault="00587640" w:rsidP="00587640">
            <w:pPr>
              <w:pStyle w:val="TableText0"/>
              <w:rPr>
                <w:rFonts w:eastAsia="Times New Roman" w:cs="Arial"/>
                <w:bCs w:val="0"/>
                <w:snapToGrid w:val="0"/>
                <w:szCs w:val="20"/>
              </w:rPr>
            </w:pPr>
            <w:r w:rsidRPr="00587640">
              <w:rPr>
                <w:rFonts w:eastAsia="Times New Roman" w:cs="Arial"/>
                <w:bCs w:val="0"/>
                <w:snapToGrid w:val="0"/>
                <w:szCs w:val="20"/>
              </w:rPr>
              <w:t>In patients with moderate to severe HS:</w:t>
            </w:r>
          </w:p>
          <w:p w14:paraId="021B48EA" w14:textId="77777777" w:rsidR="00587640" w:rsidRPr="00587640" w:rsidRDefault="00587640" w:rsidP="00587640">
            <w:pPr>
              <w:pStyle w:val="TableText0"/>
              <w:rPr>
                <w:rFonts w:eastAsia="Times New Roman" w:cs="Arial"/>
                <w:bCs w:val="0"/>
                <w:snapToGrid w:val="0"/>
                <w:szCs w:val="20"/>
              </w:rPr>
            </w:pPr>
            <w:r w:rsidRPr="00587640">
              <w:rPr>
                <w:rFonts w:eastAsia="Times New Roman" w:cs="Arial"/>
                <w:bCs w:val="0"/>
                <w:snapToGrid w:val="0"/>
                <w:szCs w:val="20"/>
              </w:rPr>
              <w:t>•</w:t>
            </w:r>
            <w:r w:rsidRPr="00587640">
              <w:rPr>
                <w:rFonts w:eastAsia="Times New Roman" w:cs="Arial"/>
                <w:bCs w:val="0"/>
                <w:snapToGrid w:val="0"/>
                <w:szCs w:val="20"/>
              </w:rPr>
              <w:tab/>
              <w:t xml:space="preserve">BKZ 320 mg Q2W up to Week 16 followed by BKZ 320 mg Q4W up to Week 48 is superior in terms of efficacy over the shorter- (Week 16) and longer-term (Week 48) and similar in terms of safety, compared with SEC </w:t>
            </w:r>
          </w:p>
          <w:p w14:paraId="2C99C4DE" w14:textId="6BC8DCAC" w:rsidR="00233C01" w:rsidRPr="0098262F" w:rsidRDefault="00587640" w:rsidP="00587640">
            <w:pPr>
              <w:pStyle w:val="TableText0"/>
              <w:rPr>
                <w:rFonts w:eastAsia="Times New Roman" w:cs="Arial"/>
                <w:bCs w:val="0"/>
                <w:snapToGrid w:val="0"/>
                <w:color w:val="0066FF"/>
                <w:szCs w:val="20"/>
              </w:rPr>
            </w:pPr>
            <w:r w:rsidRPr="00587640">
              <w:rPr>
                <w:rFonts w:eastAsia="Times New Roman" w:cs="Arial"/>
                <w:bCs w:val="0"/>
                <w:snapToGrid w:val="0"/>
                <w:szCs w:val="20"/>
              </w:rPr>
              <w:t>•</w:t>
            </w:r>
            <w:r w:rsidRPr="00587640">
              <w:rPr>
                <w:rFonts w:eastAsia="Times New Roman" w:cs="Arial"/>
                <w:bCs w:val="0"/>
                <w:snapToGrid w:val="0"/>
                <w:szCs w:val="20"/>
              </w:rPr>
              <w:tab/>
              <w:t>BKZ 320 mg Q2W up to Week 16 followed by BKZ 320 mg Q4W up to Week 48 is at least non-inferior in terms of efficacy over the shorter-term (Week 16), and superior over the longer-term (Week 48), and similar in terms of safety, compared with ADA</w:t>
            </w:r>
          </w:p>
        </w:tc>
      </w:tr>
    </w:tbl>
    <w:p w14:paraId="527CA7F0" w14:textId="268E44C1" w:rsidR="004E43B2" w:rsidRPr="00587640" w:rsidRDefault="5B48719F" w:rsidP="008325E7">
      <w:pPr>
        <w:pStyle w:val="TableFigureFooter"/>
      </w:pPr>
      <w:r w:rsidRPr="2B21198B">
        <w:t>Source: Table</w:t>
      </w:r>
      <w:r w:rsidR="2FE07FC8" w:rsidRPr="2B21198B">
        <w:t xml:space="preserve"> 1.1</w:t>
      </w:r>
      <w:r w:rsidRPr="2B21198B">
        <w:t>, p</w:t>
      </w:r>
      <w:r w:rsidR="2FE07FC8" w:rsidRPr="2B21198B">
        <w:t>17</w:t>
      </w:r>
      <w:r w:rsidRPr="2B21198B">
        <w:t xml:space="preserve"> of the submission</w:t>
      </w:r>
      <w:r w:rsidR="2FE07FC8" w:rsidRPr="2B21198B">
        <w:t xml:space="preserve">. </w:t>
      </w:r>
      <w:proofErr w:type="spellStart"/>
      <w:r w:rsidR="2FE07FC8" w:rsidRPr="2B21198B">
        <w:t>HiSCR</w:t>
      </w:r>
      <w:proofErr w:type="spellEnd"/>
      <w:r w:rsidR="00667438" w:rsidRPr="2B21198B">
        <w:t>= Hidradenitis</w:t>
      </w:r>
      <w:r w:rsidR="2FE07FC8" w:rsidRPr="2B21198B">
        <w:t xml:space="preserve"> Suppurativa Clinical Response; Q2W= every 2 weeks; Q4W= every 4 weeks.</w:t>
      </w:r>
    </w:p>
    <w:p w14:paraId="6B4AB6C2" w14:textId="7F01D731" w:rsidR="005C25FF" w:rsidRPr="0098262F" w:rsidRDefault="005C25FF" w:rsidP="004A6040">
      <w:pPr>
        <w:pStyle w:val="2-SectionHeading"/>
      </w:pPr>
      <w:bookmarkStart w:id="5" w:name="_Toc192760441"/>
      <w:r w:rsidRPr="0098262F">
        <w:t>Background</w:t>
      </w:r>
      <w:bookmarkEnd w:id="5"/>
    </w:p>
    <w:p w14:paraId="2C521D6D" w14:textId="78CF03EE" w:rsidR="005C25FF" w:rsidRPr="0098262F" w:rsidRDefault="005C25FF" w:rsidP="004A6040">
      <w:pPr>
        <w:pStyle w:val="4-SubsectionHeading"/>
      </w:pPr>
      <w:bookmarkStart w:id="6" w:name="_Toc22897638"/>
      <w:bookmarkStart w:id="7" w:name="_Toc192760442"/>
      <w:r w:rsidRPr="0098262F">
        <w:t>Registration status</w:t>
      </w:r>
      <w:bookmarkEnd w:id="6"/>
      <w:bookmarkEnd w:id="7"/>
    </w:p>
    <w:p w14:paraId="4059560E" w14:textId="0AE182E7" w:rsidR="0002768B" w:rsidRPr="00AB5628" w:rsidRDefault="009F04C3" w:rsidP="0002768B">
      <w:pPr>
        <w:pStyle w:val="3-BodyText"/>
      </w:pPr>
      <w:r w:rsidRPr="00B054B0">
        <w:rPr>
          <w:rFonts w:ascii="Calibri" w:eastAsia="Calibri" w:hAnsi="Calibri"/>
          <w:bCs/>
        </w:rPr>
        <w:t xml:space="preserve">TGA status at time of </w:t>
      </w:r>
      <w:r w:rsidR="003D3363" w:rsidRPr="00B054B0">
        <w:rPr>
          <w:rFonts w:ascii="Calibri" w:eastAsia="Calibri" w:hAnsi="Calibri"/>
          <w:bCs/>
        </w:rPr>
        <w:t>PBAC consideration</w:t>
      </w:r>
      <w:r w:rsidRPr="00B054B0">
        <w:rPr>
          <w:rFonts w:ascii="Calibri" w:eastAsia="Calibri" w:hAnsi="Calibri"/>
          <w:bCs/>
        </w:rPr>
        <w:t>:</w:t>
      </w:r>
      <w:r w:rsidR="00D8503F" w:rsidRPr="00B054B0">
        <w:rPr>
          <w:rFonts w:ascii="Calibri" w:eastAsia="Calibri" w:hAnsi="Calibri"/>
          <w:bCs/>
        </w:rPr>
        <w:t xml:space="preserve"> </w:t>
      </w:r>
      <w:r w:rsidR="1B41FC28" w:rsidRPr="00B054B0">
        <w:rPr>
          <w:bCs/>
        </w:rPr>
        <w:t>The</w:t>
      </w:r>
      <w:r w:rsidR="1B41FC28" w:rsidRPr="2B21198B">
        <w:t xml:space="preserve"> submission was made under </w:t>
      </w:r>
      <w:r w:rsidR="21450A34" w:rsidRPr="2B21198B">
        <w:t xml:space="preserve">the </w:t>
      </w:r>
      <w:r w:rsidR="1B41FC28" w:rsidRPr="2B21198B">
        <w:t>TGA/</w:t>
      </w:r>
      <w:r w:rsidR="5E58FE33" w:rsidRPr="2B21198B">
        <w:t xml:space="preserve">PBS </w:t>
      </w:r>
      <w:r w:rsidR="1B41FC28" w:rsidRPr="2B21198B">
        <w:t xml:space="preserve">Parallel Process. </w:t>
      </w:r>
      <w:r w:rsidR="71B9A551" w:rsidRPr="2B21198B">
        <w:t xml:space="preserve">The Delegate's </w:t>
      </w:r>
      <w:r w:rsidR="2FD65C02" w:rsidRPr="2B21198B">
        <w:t xml:space="preserve">Overview </w:t>
      </w:r>
      <w:r w:rsidR="71B9A551" w:rsidRPr="2B21198B">
        <w:t xml:space="preserve">was provided </w:t>
      </w:r>
      <w:r w:rsidR="2FD65C02" w:rsidRPr="2B21198B">
        <w:t xml:space="preserve">on </w:t>
      </w:r>
      <w:r w:rsidR="71B9A551" w:rsidRPr="2B21198B">
        <w:t xml:space="preserve">31 January 2025. </w:t>
      </w:r>
      <w:r w:rsidR="003D3363">
        <w:lastRenderedPageBreak/>
        <w:t xml:space="preserve">Bimekizumab was TGA registered for </w:t>
      </w:r>
      <w:r w:rsidR="007206F9">
        <w:t>hidradenitis suppurativa on 8 April 2025. The approved indication is,</w:t>
      </w:r>
      <w:r w:rsidR="007206F9" w:rsidRPr="00AB5628">
        <w:t xml:space="preserve"> ‘</w:t>
      </w:r>
      <w:proofErr w:type="spellStart"/>
      <w:r w:rsidR="006067A9" w:rsidRPr="00AB5628">
        <w:t>Bimzelx</w:t>
      </w:r>
      <w:proofErr w:type="spellEnd"/>
      <w:r w:rsidR="006067A9" w:rsidRPr="00AB5628">
        <w:t xml:space="preserve"> is indicated for the treatment of adult patients with moderate to severe hidradenitis suppurativa with an inadequate response to conventional systemic HS therapy’. </w:t>
      </w:r>
    </w:p>
    <w:p w14:paraId="20E988FD" w14:textId="4D18DE99" w:rsidR="005E0EA0" w:rsidRPr="00AB5628" w:rsidRDefault="005E0EA0" w:rsidP="0002768B">
      <w:pPr>
        <w:pStyle w:val="3-BodyText"/>
      </w:pPr>
      <w:r w:rsidRPr="00AB5628">
        <w:t xml:space="preserve">The </w:t>
      </w:r>
      <w:r w:rsidR="005078D4" w:rsidRPr="00AB5628">
        <w:t>registered dosage regimen for bimekizumab is:</w:t>
      </w:r>
    </w:p>
    <w:p w14:paraId="40AA2193" w14:textId="5DFE9C3B" w:rsidR="00AB5628" w:rsidRPr="00AB5628" w:rsidRDefault="00AB5628" w:rsidP="00383E30">
      <w:pPr>
        <w:pStyle w:val="ListParagraph"/>
      </w:pPr>
      <w:r w:rsidRPr="00AB5628">
        <w:t xml:space="preserve">The recommended dose of </w:t>
      </w:r>
      <w:proofErr w:type="spellStart"/>
      <w:r w:rsidRPr="00AB5628">
        <w:t>Bimzelx</w:t>
      </w:r>
      <w:proofErr w:type="spellEnd"/>
      <w:r w:rsidRPr="00AB5628">
        <w:t xml:space="preserve"> for adult patients with hidradenitis suppurativa is 320</w:t>
      </w:r>
      <w:r w:rsidR="00D92F90">
        <w:t> </w:t>
      </w:r>
      <w:r w:rsidRPr="00AB5628">
        <w:t>mg (given as 2 subcutaneous injections of 160 mg or 1 subcutaneous injection of 320</w:t>
      </w:r>
      <w:r w:rsidR="00D92F90">
        <w:t> </w:t>
      </w:r>
      <w:r w:rsidRPr="00AB5628">
        <w:t xml:space="preserve">mg) every 4 weeks. </w:t>
      </w:r>
    </w:p>
    <w:p w14:paraId="4BD38843" w14:textId="7B923B61" w:rsidR="005078D4" w:rsidRPr="00AB5628" w:rsidRDefault="00AB5628" w:rsidP="00383E30">
      <w:pPr>
        <w:pStyle w:val="ListParagraph"/>
      </w:pPr>
      <w:r w:rsidRPr="00AB5628">
        <w:t xml:space="preserve">If more rapid disease control is desired and after consideration of the individual patient risks and benefits a </w:t>
      </w:r>
      <w:proofErr w:type="spellStart"/>
      <w:r w:rsidRPr="00AB5628">
        <w:t>Bimzelx</w:t>
      </w:r>
      <w:proofErr w:type="spellEnd"/>
      <w:r w:rsidRPr="00AB5628">
        <w:t xml:space="preserve"> dose for adult patients with hidradenitis suppurativa of 320</w:t>
      </w:r>
      <w:r w:rsidR="00CA2300">
        <w:t> </w:t>
      </w:r>
      <w:r w:rsidRPr="00AB5628">
        <w:t xml:space="preserve">mg (given as 2 subcutaneous injections of </w:t>
      </w:r>
      <w:r w:rsidR="00EE1491" w:rsidRPr="00AB5628">
        <w:t>160</w:t>
      </w:r>
      <w:r w:rsidR="00EE1491">
        <w:t> </w:t>
      </w:r>
      <w:r w:rsidRPr="00AB5628">
        <w:t>mg or 1</w:t>
      </w:r>
      <w:r w:rsidR="00D92F90">
        <w:t> </w:t>
      </w:r>
      <w:r w:rsidRPr="00AB5628">
        <w:t>subcutaneous injection of 320 mg) every 2 weeks up to 16 weeks and every 4 weeks thereafter may be considered.</w:t>
      </w:r>
    </w:p>
    <w:p w14:paraId="3E2A6EAB" w14:textId="469C8C0C" w:rsidR="005C25FF" w:rsidRPr="0098262F" w:rsidRDefault="1B41FC28" w:rsidP="004E18E9">
      <w:pPr>
        <w:pStyle w:val="4-SubsectionHeading"/>
      </w:pPr>
      <w:bookmarkStart w:id="8" w:name="_Toc22897639"/>
      <w:bookmarkStart w:id="9" w:name="_Toc192760443"/>
      <w:r w:rsidRPr="2B21198B">
        <w:t>Previous PBAC consideration</w:t>
      </w:r>
      <w:bookmarkEnd w:id="8"/>
      <w:bookmarkEnd w:id="9"/>
    </w:p>
    <w:p w14:paraId="39910C49" w14:textId="59A4734C" w:rsidR="00C33ACE" w:rsidRPr="00B677A6" w:rsidRDefault="757CC143" w:rsidP="2B21198B">
      <w:pPr>
        <w:pStyle w:val="3-BodyText"/>
        <w:rPr>
          <w:color w:val="0066FF"/>
        </w:rPr>
      </w:pPr>
      <w:r w:rsidRPr="00B677A6">
        <w:t>Bimekizumab has not previously been considered by the PBAC for the indication of HS. It is currently PBS listed for severe chronic plaque psoriasis</w:t>
      </w:r>
      <w:r w:rsidR="18984608" w:rsidRPr="00B677A6">
        <w:t xml:space="preserve"> (considered March</w:t>
      </w:r>
      <w:r w:rsidR="00EE1491">
        <w:t> </w:t>
      </w:r>
      <w:r w:rsidR="18984608" w:rsidRPr="00B677A6">
        <w:t>2022 and March 2023)</w:t>
      </w:r>
      <w:r w:rsidRPr="00B677A6">
        <w:t xml:space="preserve">, psoriatic arthritis, </w:t>
      </w:r>
      <w:r w:rsidR="424B3125" w:rsidRPr="00B677A6">
        <w:t>radiographic axial</w:t>
      </w:r>
      <w:r w:rsidRPr="00B677A6">
        <w:t xml:space="preserve"> spondylitis and non-radiographic axial spondylitis</w:t>
      </w:r>
      <w:r w:rsidR="18984608" w:rsidRPr="00B677A6">
        <w:t xml:space="preserve"> (all in </w:t>
      </w:r>
      <w:r w:rsidR="424B3125" w:rsidRPr="00B677A6">
        <w:t>March 2024</w:t>
      </w:r>
      <w:r w:rsidR="18984608" w:rsidRPr="00B677A6">
        <w:t>)</w:t>
      </w:r>
      <w:r w:rsidRPr="00B677A6">
        <w:t xml:space="preserve">. </w:t>
      </w:r>
      <w:r w:rsidR="00AE57E7" w:rsidRPr="00B677A6">
        <w:t>I</w:t>
      </w:r>
      <w:r w:rsidR="5DC1D6B7" w:rsidRPr="00B677A6">
        <w:t>n relation to the assessment of safet</w:t>
      </w:r>
      <w:r w:rsidR="00E20973" w:rsidRPr="00B677A6">
        <w:t>y,</w:t>
      </w:r>
      <w:r w:rsidR="5DC1D6B7" w:rsidRPr="00B677A6">
        <w:t xml:space="preserve"> the dose for HS is </w:t>
      </w:r>
      <w:r w:rsidR="3ADA8A17" w:rsidRPr="00B677A6">
        <w:t>significantly</w:t>
      </w:r>
      <w:r w:rsidR="5DC1D6B7" w:rsidRPr="00B677A6">
        <w:t xml:space="preserve"> higher than that for the other indications. </w:t>
      </w:r>
    </w:p>
    <w:p w14:paraId="2DE7BF6C" w14:textId="1175CDB6" w:rsidR="00C33ACE" w:rsidRPr="00733AFE" w:rsidRDefault="757CC143" w:rsidP="2B21198B">
      <w:pPr>
        <w:pStyle w:val="3-BodyText"/>
        <w:rPr>
          <w:color w:val="0066FF"/>
        </w:rPr>
      </w:pPr>
      <w:r w:rsidRPr="00B677A6">
        <w:t>The most recent PBAC consideration of a drug for HS wa</w:t>
      </w:r>
      <w:r w:rsidR="43972056" w:rsidRPr="00B677A6">
        <w:t>s</w:t>
      </w:r>
      <w:r w:rsidR="79E8A298" w:rsidRPr="00B677A6">
        <w:t xml:space="preserve"> </w:t>
      </w:r>
      <w:r w:rsidR="6DB1ECD9" w:rsidRPr="00B677A6">
        <w:t>of</w:t>
      </w:r>
      <w:r w:rsidR="424B3125" w:rsidRPr="00B677A6">
        <w:t xml:space="preserve"> </w:t>
      </w:r>
      <w:r w:rsidR="79E8A298" w:rsidRPr="00B677A6">
        <w:t>secukinumab in</w:t>
      </w:r>
      <w:r w:rsidR="6DB1ECD9" w:rsidRPr="00B677A6">
        <w:t xml:space="preserve"> July and </w:t>
      </w:r>
      <w:r w:rsidR="79E8A298" w:rsidRPr="00B677A6">
        <w:t>November 2023</w:t>
      </w:r>
      <w:r w:rsidR="424B3125" w:rsidRPr="00B677A6">
        <w:t xml:space="preserve">, </w:t>
      </w:r>
      <w:r w:rsidR="6DB1ECD9" w:rsidRPr="00B677A6">
        <w:t>with listing recommended</w:t>
      </w:r>
      <w:r w:rsidR="79E8A298" w:rsidRPr="00B677A6">
        <w:t xml:space="preserve"> on </w:t>
      </w:r>
      <w:r w:rsidR="6DB1ECD9" w:rsidRPr="00B677A6">
        <w:t xml:space="preserve">the basis of </w:t>
      </w:r>
      <w:r w:rsidR="79E8A298" w:rsidRPr="00B677A6">
        <w:t>cost minimisation to adalimumab.</w:t>
      </w:r>
    </w:p>
    <w:p w14:paraId="0C4D7BA5" w14:textId="32C8185D" w:rsidR="00733AFE" w:rsidRPr="00C33D30" w:rsidRDefault="00733AFE" w:rsidP="00EE1491">
      <w:pPr>
        <w:spacing w:before="120" w:after="120"/>
        <w:ind w:firstLine="709"/>
        <w:rPr>
          <w:rFonts w:asciiTheme="minorHAnsi" w:hAnsiTheme="minorHAnsi"/>
          <w:i/>
        </w:rPr>
      </w:pPr>
      <w:r w:rsidRPr="00C33D30">
        <w:rPr>
          <w:rFonts w:asciiTheme="minorHAnsi" w:hAnsiTheme="minorHAnsi"/>
          <w:i/>
        </w:rPr>
        <w:t>For more detail on PBAC’s view, see section 7 PBAC outcome.</w:t>
      </w:r>
    </w:p>
    <w:p w14:paraId="76E4EF3C" w14:textId="50E410C0" w:rsidR="00B60939" w:rsidRDefault="00B50DB8" w:rsidP="004E18E9">
      <w:pPr>
        <w:pStyle w:val="2-SectionHeading"/>
      </w:pPr>
      <w:bookmarkStart w:id="10" w:name="_Toc107902078"/>
      <w:bookmarkStart w:id="11" w:name="_Toc192760444"/>
      <w:bookmarkEnd w:id="10"/>
      <w:r w:rsidRPr="0098262F">
        <w:t>Requested listing</w:t>
      </w:r>
      <w:bookmarkEnd w:id="11"/>
    </w:p>
    <w:p w14:paraId="1B423B86" w14:textId="37F29956" w:rsidR="00A740B9" w:rsidRDefault="09AF15AF" w:rsidP="0018722C">
      <w:pPr>
        <w:pStyle w:val="3-BodyText"/>
      </w:pPr>
      <w:r w:rsidRPr="2B21198B">
        <w:t xml:space="preserve">The submission proposed </w:t>
      </w:r>
      <w:r w:rsidR="5DC1D6B7" w:rsidRPr="2B21198B">
        <w:t>three</w:t>
      </w:r>
      <w:r w:rsidRPr="2B21198B">
        <w:t xml:space="preserve"> listings: for initial treatment, for the balance of supply and for continuing treatment. The submission proposed a Special Pricing Arrange</w:t>
      </w:r>
      <w:r w:rsidR="5DC1D6B7" w:rsidRPr="2B21198B">
        <w:t>ment</w:t>
      </w:r>
      <w:r w:rsidRPr="2B21198B">
        <w:t xml:space="preserve"> for all listings.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204"/>
        <w:gridCol w:w="812"/>
        <w:gridCol w:w="811"/>
        <w:gridCol w:w="812"/>
        <w:gridCol w:w="1831"/>
      </w:tblGrid>
      <w:tr w:rsidR="00046D64" w:rsidRPr="0098262F" w14:paraId="73E16E29" w14:textId="77777777" w:rsidTr="002B0335">
        <w:trPr>
          <w:cantSplit/>
          <w:trHeight w:val="20"/>
          <w:tblHeader/>
        </w:trPr>
        <w:tc>
          <w:tcPr>
            <w:tcW w:w="2547" w:type="dxa"/>
            <w:shd w:val="clear" w:color="auto" w:fill="auto"/>
            <w:vAlign w:val="center"/>
          </w:tcPr>
          <w:p w14:paraId="4660296B" w14:textId="77777777" w:rsidR="00046D64" w:rsidRPr="002B0335" w:rsidRDefault="00046D64" w:rsidP="00006F2C">
            <w:pPr>
              <w:keepNext/>
              <w:keepLines/>
              <w:rPr>
                <w:rFonts w:ascii="Arial Narrow" w:hAnsi="Arial Narrow"/>
                <w:b/>
                <w:bCs/>
                <w:sz w:val="20"/>
                <w:szCs w:val="20"/>
              </w:rPr>
            </w:pPr>
            <w:bookmarkStart w:id="12" w:name="_Hlk104809055"/>
            <w:r w:rsidRPr="002B0335">
              <w:rPr>
                <w:rFonts w:ascii="Arial Narrow" w:hAnsi="Arial Narrow"/>
                <w:b/>
                <w:bCs/>
                <w:sz w:val="20"/>
                <w:szCs w:val="20"/>
              </w:rPr>
              <w:lastRenderedPageBreak/>
              <w:t>MEDICINAL PRODUCT</w:t>
            </w:r>
          </w:p>
          <w:p w14:paraId="7221C2FD" w14:textId="77777777" w:rsidR="00046D64" w:rsidRPr="002B0335" w:rsidRDefault="00046D64" w:rsidP="00006F2C">
            <w:pPr>
              <w:keepNext/>
              <w:keepLines/>
              <w:rPr>
                <w:rFonts w:ascii="Arial Narrow" w:hAnsi="Arial Narrow"/>
                <w:b/>
                <w:sz w:val="20"/>
                <w:szCs w:val="20"/>
              </w:rPr>
            </w:pPr>
            <w:r w:rsidRPr="002B0335">
              <w:rPr>
                <w:rFonts w:ascii="Arial Narrow" w:hAnsi="Arial Narrow"/>
                <w:b/>
                <w:bCs/>
                <w:sz w:val="20"/>
                <w:szCs w:val="20"/>
              </w:rPr>
              <w:t>medicinal product pack</w:t>
            </w:r>
          </w:p>
        </w:tc>
        <w:tc>
          <w:tcPr>
            <w:tcW w:w="2204" w:type="dxa"/>
            <w:shd w:val="clear" w:color="auto" w:fill="auto"/>
            <w:vAlign w:val="center"/>
          </w:tcPr>
          <w:p w14:paraId="14424AF1" w14:textId="54369E4C" w:rsidR="00046D64" w:rsidRPr="002B0335" w:rsidRDefault="00C61A59" w:rsidP="00006F2C">
            <w:pPr>
              <w:pStyle w:val="TableText0"/>
              <w:rPr>
                <w:b/>
                <w:bCs w:val="0"/>
                <w:szCs w:val="20"/>
              </w:rPr>
            </w:pPr>
            <w:r w:rsidRPr="002B0335">
              <w:rPr>
                <w:b/>
                <w:bCs w:val="0"/>
                <w:snapToGrid w:val="0"/>
              </w:rPr>
              <w:t xml:space="preserve">Dispensed Price for Max. Qty </w:t>
            </w:r>
          </w:p>
        </w:tc>
        <w:tc>
          <w:tcPr>
            <w:tcW w:w="812" w:type="dxa"/>
            <w:shd w:val="clear" w:color="auto" w:fill="auto"/>
            <w:vAlign w:val="center"/>
          </w:tcPr>
          <w:p w14:paraId="4E41A9BC" w14:textId="0E3A90D0" w:rsidR="00046D64" w:rsidRPr="002B0335" w:rsidRDefault="00046D64" w:rsidP="00006F2C">
            <w:pPr>
              <w:keepNext/>
              <w:keepLines/>
              <w:jc w:val="center"/>
              <w:rPr>
                <w:rFonts w:ascii="Arial Narrow" w:hAnsi="Arial Narrow"/>
                <w:b/>
                <w:sz w:val="20"/>
                <w:szCs w:val="20"/>
              </w:rPr>
            </w:pPr>
            <w:r w:rsidRPr="002B0335">
              <w:rPr>
                <w:rFonts w:ascii="Arial Narrow" w:hAnsi="Arial Narrow"/>
                <w:b/>
                <w:sz w:val="20"/>
                <w:szCs w:val="20"/>
              </w:rPr>
              <w:t>Max. qty packs</w:t>
            </w:r>
          </w:p>
        </w:tc>
        <w:tc>
          <w:tcPr>
            <w:tcW w:w="811" w:type="dxa"/>
            <w:shd w:val="clear" w:color="auto" w:fill="auto"/>
            <w:vAlign w:val="center"/>
          </w:tcPr>
          <w:p w14:paraId="48197540" w14:textId="77777777" w:rsidR="00046D64" w:rsidRPr="002B0335" w:rsidRDefault="00046D64" w:rsidP="00006F2C">
            <w:pPr>
              <w:keepNext/>
              <w:keepLines/>
              <w:jc w:val="center"/>
              <w:rPr>
                <w:rFonts w:ascii="Arial Narrow" w:hAnsi="Arial Narrow"/>
                <w:b/>
                <w:sz w:val="20"/>
                <w:szCs w:val="20"/>
              </w:rPr>
            </w:pPr>
            <w:r w:rsidRPr="002B0335">
              <w:rPr>
                <w:rFonts w:ascii="Arial Narrow" w:hAnsi="Arial Narrow"/>
                <w:b/>
                <w:sz w:val="20"/>
                <w:szCs w:val="20"/>
              </w:rPr>
              <w:t>Max. qty units</w:t>
            </w:r>
          </w:p>
        </w:tc>
        <w:tc>
          <w:tcPr>
            <w:tcW w:w="812" w:type="dxa"/>
            <w:shd w:val="clear" w:color="auto" w:fill="auto"/>
            <w:vAlign w:val="center"/>
          </w:tcPr>
          <w:p w14:paraId="13B3FDEE" w14:textId="3D272968" w:rsidR="00046D64" w:rsidRPr="002B0335" w:rsidRDefault="00667438" w:rsidP="00006F2C">
            <w:pPr>
              <w:keepNext/>
              <w:keepLines/>
              <w:jc w:val="center"/>
              <w:rPr>
                <w:rFonts w:ascii="Arial Narrow" w:hAnsi="Arial Narrow"/>
                <w:b/>
                <w:bCs/>
                <w:sz w:val="20"/>
                <w:szCs w:val="20"/>
              </w:rPr>
            </w:pPr>
            <w:r w:rsidRPr="002B0335">
              <w:rPr>
                <w:rFonts w:ascii="Arial Narrow" w:hAnsi="Arial Narrow"/>
                <w:b/>
                <w:bCs/>
                <w:sz w:val="20"/>
                <w:szCs w:val="20"/>
              </w:rPr>
              <w:t>№. of</w:t>
            </w:r>
          </w:p>
          <w:p w14:paraId="7B215997" w14:textId="77777777" w:rsidR="00046D64" w:rsidRPr="002B0335" w:rsidRDefault="3D582AFB" w:rsidP="00006F2C">
            <w:pPr>
              <w:keepNext/>
              <w:keepLines/>
              <w:jc w:val="center"/>
              <w:rPr>
                <w:rFonts w:ascii="Arial Narrow" w:hAnsi="Arial Narrow"/>
                <w:b/>
                <w:bCs/>
                <w:sz w:val="20"/>
                <w:szCs w:val="20"/>
              </w:rPr>
            </w:pPr>
            <w:proofErr w:type="spellStart"/>
            <w:r w:rsidRPr="002B0335">
              <w:rPr>
                <w:rFonts w:ascii="Arial Narrow" w:hAnsi="Arial Narrow"/>
                <w:b/>
                <w:bCs/>
                <w:sz w:val="20"/>
                <w:szCs w:val="20"/>
              </w:rPr>
              <w:t>Rpts</w:t>
            </w:r>
            <w:proofErr w:type="spellEnd"/>
          </w:p>
        </w:tc>
        <w:tc>
          <w:tcPr>
            <w:tcW w:w="1831" w:type="dxa"/>
            <w:shd w:val="clear" w:color="auto" w:fill="auto"/>
            <w:vAlign w:val="center"/>
          </w:tcPr>
          <w:p w14:paraId="4976F6A8" w14:textId="77777777" w:rsidR="00046D64" w:rsidRPr="002B0335" w:rsidRDefault="00046D64" w:rsidP="00006F2C">
            <w:pPr>
              <w:keepNext/>
              <w:keepLines/>
              <w:rPr>
                <w:rFonts w:ascii="Arial Narrow" w:hAnsi="Arial Narrow"/>
                <w:b/>
                <w:sz w:val="20"/>
                <w:szCs w:val="20"/>
              </w:rPr>
            </w:pPr>
            <w:r w:rsidRPr="002B0335">
              <w:rPr>
                <w:rFonts w:ascii="Arial Narrow" w:hAnsi="Arial Narrow"/>
                <w:b/>
                <w:sz w:val="20"/>
                <w:szCs w:val="20"/>
              </w:rPr>
              <w:t>Available brands</w:t>
            </w:r>
          </w:p>
        </w:tc>
      </w:tr>
      <w:tr w:rsidR="00046D64" w:rsidRPr="0098262F" w14:paraId="40C1AD8E" w14:textId="77777777" w:rsidTr="002B0335">
        <w:trPr>
          <w:cantSplit/>
          <w:trHeight w:val="20"/>
        </w:trPr>
        <w:tc>
          <w:tcPr>
            <w:tcW w:w="9017" w:type="dxa"/>
            <w:gridSpan w:val="6"/>
            <w:shd w:val="clear" w:color="auto" w:fill="auto"/>
            <w:vAlign w:val="center"/>
          </w:tcPr>
          <w:p w14:paraId="2A4C00A6" w14:textId="46A840A3" w:rsidR="00046D64" w:rsidRPr="002B0335" w:rsidRDefault="5EE93436" w:rsidP="00006F2C">
            <w:pPr>
              <w:pStyle w:val="TableText0"/>
              <w:rPr>
                <w:rFonts w:cs="Arial"/>
              </w:rPr>
            </w:pPr>
            <w:r w:rsidRPr="002B0335">
              <w:rPr>
                <w:smallCaps/>
              </w:rPr>
              <w:t>Bimekizumab</w:t>
            </w:r>
            <w:r w:rsidR="355BBBFF" w:rsidRPr="002B0335">
              <w:rPr>
                <w:smallCaps/>
              </w:rPr>
              <w:t xml:space="preserve"> (initial and Balance of supply)</w:t>
            </w:r>
          </w:p>
        </w:tc>
      </w:tr>
      <w:tr w:rsidR="002C36E3" w:rsidRPr="0098262F" w14:paraId="1DC2CC67" w14:textId="77777777" w:rsidTr="002B0335">
        <w:trPr>
          <w:cantSplit/>
          <w:trHeight w:val="20"/>
        </w:trPr>
        <w:tc>
          <w:tcPr>
            <w:tcW w:w="2547" w:type="dxa"/>
            <w:shd w:val="clear" w:color="auto" w:fill="auto"/>
            <w:vAlign w:val="center"/>
          </w:tcPr>
          <w:p w14:paraId="612C04D7" w14:textId="4506DA65" w:rsidR="002C36E3" w:rsidRPr="002B0335" w:rsidRDefault="001F58E7" w:rsidP="00461DDE">
            <w:pPr>
              <w:pStyle w:val="TableText0"/>
            </w:pPr>
            <w:r w:rsidRPr="002B0335">
              <w:t xml:space="preserve">bimekizumab </w:t>
            </w:r>
            <w:r w:rsidR="0018722C" w:rsidRPr="002B0335">
              <w:t xml:space="preserve">160 mg/mL injection, 2 x 1 mL pen devices </w:t>
            </w:r>
          </w:p>
        </w:tc>
        <w:tc>
          <w:tcPr>
            <w:tcW w:w="2204" w:type="dxa"/>
            <w:shd w:val="clear" w:color="auto" w:fill="auto"/>
          </w:tcPr>
          <w:p w14:paraId="768CBFE8" w14:textId="7132FED9" w:rsidR="002C36E3" w:rsidRPr="002B0335" w:rsidRDefault="002C36E3" w:rsidP="00006F2C">
            <w:pPr>
              <w:pStyle w:val="TableText0"/>
              <w:jc w:val="center"/>
            </w:pPr>
            <w:r w:rsidRPr="002B0335">
              <w:t>$</w:t>
            </w:r>
            <w:r w:rsidR="0018722C" w:rsidRPr="002B0335">
              <w:t>6,682.60 published price</w:t>
            </w:r>
          </w:p>
          <w:p w14:paraId="70C2874A" w14:textId="784A5D2F" w:rsidR="002C36E3" w:rsidRPr="002B0335" w:rsidRDefault="002C36E3" w:rsidP="00006F2C">
            <w:pPr>
              <w:pStyle w:val="TableText0"/>
              <w:jc w:val="center"/>
              <w:rPr>
                <w:szCs w:val="20"/>
              </w:rPr>
            </w:pPr>
            <w:r w:rsidRPr="002B0335">
              <w:t>$</w:t>
            </w:r>
            <w:r w:rsidR="0018722C" w:rsidRPr="002B0335">
              <w:t xml:space="preserve"> tbc </w:t>
            </w:r>
            <w:r w:rsidRPr="002B0335">
              <w:t>effective price</w:t>
            </w:r>
          </w:p>
        </w:tc>
        <w:tc>
          <w:tcPr>
            <w:tcW w:w="812" w:type="dxa"/>
            <w:shd w:val="clear" w:color="auto" w:fill="auto"/>
            <w:vAlign w:val="center"/>
          </w:tcPr>
          <w:p w14:paraId="71CD2441" w14:textId="0E9420AC" w:rsidR="002C36E3" w:rsidRPr="002B0335" w:rsidRDefault="0018722C" w:rsidP="00006F2C">
            <w:pPr>
              <w:keepNext/>
              <w:keepLines/>
              <w:jc w:val="center"/>
              <w:rPr>
                <w:rFonts w:ascii="Arial Narrow" w:hAnsi="Arial Narrow"/>
                <w:sz w:val="20"/>
                <w:szCs w:val="20"/>
              </w:rPr>
            </w:pPr>
            <w:r w:rsidRPr="002B0335">
              <w:rPr>
                <w:rFonts w:ascii="Arial Narrow" w:hAnsi="Arial Narrow"/>
                <w:sz w:val="20"/>
              </w:rPr>
              <w:t>2</w:t>
            </w:r>
          </w:p>
        </w:tc>
        <w:tc>
          <w:tcPr>
            <w:tcW w:w="811" w:type="dxa"/>
            <w:shd w:val="clear" w:color="auto" w:fill="auto"/>
            <w:vAlign w:val="center"/>
          </w:tcPr>
          <w:p w14:paraId="65F4D3E9" w14:textId="5291F310" w:rsidR="002C36E3" w:rsidRPr="002B0335" w:rsidRDefault="0018722C" w:rsidP="00006F2C">
            <w:pPr>
              <w:keepNext/>
              <w:keepLines/>
              <w:jc w:val="center"/>
              <w:rPr>
                <w:rFonts w:ascii="Arial Narrow" w:hAnsi="Arial Narrow"/>
                <w:sz w:val="20"/>
                <w:szCs w:val="20"/>
              </w:rPr>
            </w:pPr>
            <w:r w:rsidRPr="002B0335">
              <w:rPr>
                <w:rFonts w:ascii="Arial Narrow" w:hAnsi="Arial Narrow"/>
                <w:sz w:val="20"/>
              </w:rPr>
              <w:t>4</w:t>
            </w:r>
          </w:p>
        </w:tc>
        <w:tc>
          <w:tcPr>
            <w:tcW w:w="812" w:type="dxa"/>
            <w:shd w:val="clear" w:color="auto" w:fill="auto"/>
            <w:vAlign w:val="center"/>
          </w:tcPr>
          <w:p w14:paraId="7C728D0C" w14:textId="77D62307" w:rsidR="002C36E3" w:rsidRPr="002B0335" w:rsidRDefault="0018722C" w:rsidP="00006F2C">
            <w:pPr>
              <w:keepNext/>
              <w:keepLines/>
              <w:jc w:val="center"/>
              <w:rPr>
                <w:rFonts w:ascii="Arial Narrow" w:hAnsi="Arial Narrow"/>
                <w:sz w:val="20"/>
                <w:szCs w:val="20"/>
              </w:rPr>
            </w:pPr>
            <w:r w:rsidRPr="002B0335">
              <w:rPr>
                <w:rFonts w:ascii="Arial Narrow" w:hAnsi="Arial Narrow"/>
                <w:sz w:val="20"/>
              </w:rPr>
              <w:t>3</w:t>
            </w:r>
          </w:p>
        </w:tc>
        <w:tc>
          <w:tcPr>
            <w:tcW w:w="1831" w:type="dxa"/>
            <w:shd w:val="clear" w:color="auto" w:fill="auto"/>
            <w:vAlign w:val="center"/>
          </w:tcPr>
          <w:p w14:paraId="519A0BC8" w14:textId="392F9FA8" w:rsidR="002C36E3" w:rsidRPr="002B0335" w:rsidRDefault="09AF15AF" w:rsidP="00006F2C">
            <w:pPr>
              <w:keepNext/>
              <w:keepLines/>
              <w:jc w:val="center"/>
              <w:rPr>
                <w:rFonts w:ascii="Arial Narrow" w:hAnsi="Arial Narrow"/>
                <w:color w:val="0066FF"/>
                <w:sz w:val="20"/>
                <w:szCs w:val="20"/>
              </w:rPr>
            </w:pPr>
            <w:proofErr w:type="spellStart"/>
            <w:r w:rsidRPr="002B0335">
              <w:rPr>
                <w:rFonts w:ascii="Arial Narrow" w:hAnsi="Arial Narrow"/>
                <w:sz w:val="20"/>
                <w:szCs w:val="20"/>
              </w:rPr>
              <w:t>Bimzelx</w:t>
            </w:r>
            <w:proofErr w:type="spellEnd"/>
          </w:p>
        </w:tc>
      </w:tr>
      <w:tr w:rsidR="002C36E3" w:rsidRPr="0098262F" w14:paraId="0FE79F0E" w14:textId="77777777" w:rsidTr="002B0335">
        <w:trPr>
          <w:cantSplit/>
          <w:trHeight w:val="20"/>
        </w:trPr>
        <w:tc>
          <w:tcPr>
            <w:tcW w:w="2547" w:type="dxa"/>
            <w:shd w:val="clear" w:color="auto" w:fill="auto"/>
            <w:vAlign w:val="center"/>
          </w:tcPr>
          <w:p w14:paraId="55284F9A" w14:textId="197A3255" w:rsidR="002C36E3" w:rsidRPr="002B0335" w:rsidRDefault="0018722C" w:rsidP="00461DDE">
            <w:pPr>
              <w:pStyle w:val="TableText0"/>
            </w:pPr>
            <w:r w:rsidRPr="002B0335">
              <w:t>bimekizumab 160 mg/mL injection, 2 x 1 mL syringe</w:t>
            </w:r>
          </w:p>
        </w:tc>
        <w:tc>
          <w:tcPr>
            <w:tcW w:w="2204" w:type="dxa"/>
            <w:shd w:val="clear" w:color="auto" w:fill="auto"/>
          </w:tcPr>
          <w:p w14:paraId="00677024" w14:textId="3BBEA407" w:rsidR="0018722C" w:rsidRPr="002B0335" w:rsidRDefault="0018722C" w:rsidP="00006F2C">
            <w:pPr>
              <w:pStyle w:val="TableText0"/>
              <w:jc w:val="center"/>
            </w:pPr>
            <w:r w:rsidRPr="002B0335">
              <w:t>$6,682.60 published price</w:t>
            </w:r>
          </w:p>
          <w:p w14:paraId="0682AC07" w14:textId="0BF62074" w:rsidR="002C36E3" w:rsidRPr="002B0335" w:rsidRDefault="0018722C" w:rsidP="00006F2C">
            <w:pPr>
              <w:pStyle w:val="TableText0"/>
              <w:jc w:val="center"/>
              <w:rPr>
                <w:szCs w:val="20"/>
              </w:rPr>
            </w:pPr>
            <w:r w:rsidRPr="002B0335">
              <w:t>$ tbc effective price</w:t>
            </w:r>
          </w:p>
        </w:tc>
        <w:tc>
          <w:tcPr>
            <w:tcW w:w="812" w:type="dxa"/>
            <w:shd w:val="clear" w:color="auto" w:fill="auto"/>
            <w:vAlign w:val="center"/>
          </w:tcPr>
          <w:p w14:paraId="5E0E3D4A" w14:textId="46ACB062" w:rsidR="002C36E3" w:rsidRPr="002B0335" w:rsidRDefault="0018722C" w:rsidP="00006F2C">
            <w:pPr>
              <w:keepNext/>
              <w:keepLines/>
              <w:jc w:val="center"/>
              <w:rPr>
                <w:rFonts w:ascii="Arial Narrow" w:hAnsi="Arial Narrow"/>
                <w:sz w:val="20"/>
                <w:szCs w:val="20"/>
              </w:rPr>
            </w:pPr>
            <w:r w:rsidRPr="002B0335">
              <w:rPr>
                <w:rFonts w:ascii="Arial Narrow" w:hAnsi="Arial Narrow"/>
                <w:sz w:val="20"/>
              </w:rPr>
              <w:t>2</w:t>
            </w:r>
          </w:p>
        </w:tc>
        <w:tc>
          <w:tcPr>
            <w:tcW w:w="811" w:type="dxa"/>
            <w:shd w:val="clear" w:color="auto" w:fill="auto"/>
            <w:vAlign w:val="center"/>
          </w:tcPr>
          <w:p w14:paraId="63523B4A" w14:textId="5AEBFD97" w:rsidR="002C36E3" w:rsidRPr="002B0335" w:rsidRDefault="0018722C" w:rsidP="00006F2C">
            <w:pPr>
              <w:keepNext/>
              <w:keepLines/>
              <w:jc w:val="center"/>
              <w:rPr>
                <w:rFonts w:ascii="Arial Narrow" w:hAnsi="Arial Narrow"/>
                <w:sz w:val="20"/>
                <w:szCs w:val="20"/>
              </w:rPr>
            </w:pPr>
            <w:r w:rsidRPr="002B0335">
              <w:rPr>
                <w:rFonts w:ascii="Arial Narrow" w:hAnsi="Arial Narrow"/>
                <w:sz w:val="20"/>
              </w:rPr>
              <w:t>4</w:t>
            </w:r>
          </w:p>
        </w:tc>
        <w:tc>
          <w:tcPr>
            <w:tcW w:w="812" w:type="dxa"/>
            <w:shd w:val="clear" w:color="auto" w:fill="auto"/>
            <w:vAlign w:val="center"/>
          </w:tcPr>
          <w:p w14:paraId="64B965F0" w14:textId="283A8412" w:rsidR="002C36E3" w:rsidRPr="002B0335" w:rsidRDefault="0018722C" w:rsidP="00006F2C">
            <w:pPr>
              <w:keepNext/>
              <w:keepLines/>
              <w:jc w:val="center"/>
              <w:rPr>
                <w:rFonts w:ascii="Arial Narrow" w:hAnsi="Arial Narrow"/>
                <w:sz w:val="20"/>
                <w:szCs w:val="20"/>
              </w:rPr>
            </w:pPr>
            <w:r w:rsidRPr="002B0335">
              <w:rPr>
                <w:rFonts w:ascii="Arial Narrow" w:hAnsi="Arial Narrow"/>
                <w:sz w:val="20"/>
              </w:rPr>
              <w:t>3</w:t>
            </w:r>
          </w:p>
        </w:tc>
        <w:tc>
          <w:tcPr>
            <w:tcW w:w="1831" w:type="dxa"/>
            <w:shd w:val="clear" w:color="auto" w:fill="auto"/>
            <w:vAlign w:val="center"/>
          </w:tcPr>
          <w:p w14:paraId="3788A325" w14:textId="0179D041" w:rsidR="002C36E3" w:rsidRPr="002B0335" w:rsidRDefault="09AF15AF" w:rsidP="00006F2C">
            <w:pPr>
              <w:keepNext/>
              <w:keepLines/>
              <w:jc w:val="center"/>
              <w:rPr>
                <w:rFonts w:ascii="Arial Narrow" w:hAnsi="Arial Narrow"/>
                <w:color w:val="0066FF"/>
                <w:sz w:val="20"/>
                <w:szCs w:val="20"/>
              </w:rPr>
            </w:pPr>
            <w:proofErr w:type="spellStart"/>
            <w:r w:rsidRPr="002B0335">
              <w:rPr>
                <w:rFonts w:ascii="Arial Narrow" w:hAnsi="Arial Narrow"/>
                <w:sz w:val="20"/>
                <w:szCs w:val="20"/>
              </w:rPr>
              <w:t>Bimzelx</w:t>
            </w:r>
            <w:proofErr w:type="spellEnd"/>
          </w:p>
        </w:tc>
      </w:tr>
      <w:tr w:rsidR="00046D64" w:rsidRPr="0098262F" w14:paraId="266E3578" w14:textId="77777777" w:rsidTr="002B0335">
        <w:trPr>
          <w:cantSplit/>
          <w:trHeight w:val="184"/>
        </w:trPr>
        <w:tc>
          <w:tcPr>
            <w:tcW w:w="2547" w:type="dxa"/>
            <w:shd w:val="clear" w:color="auto" w:fill="auto"/>
            <w:vAlign w:val="center"/>
          </w:tcPr>
          <w:p w14:paraId="43CDA30B" w14:textId="1C271E2C" w:rsidR="00046D64" w:rsidRPr="002B0335" w:rsidRDefault="0018722C" w:rsidP="00461DDE">
            <w:pPr>
              <w:pStyle w:val="TableText0"/>
            </w:pPr>
            <w:r w:rsidRPr="002B0335">
              <w:t xml:space="preserve">bimekizumab 320mg/2 mL injection, 1 x 2 mL pen devices </w:t>
            </w:r>
          </w:p>
        </w:tc>
        <w:tc>
          <w:tcPr>
            <w:tcW w:w="2204" w:type="dxa"/>
            <w:shd w:val="clear" w:color="auto" w:fill="auto"/>
            <w:vAlign w:val="center"/>
          </w:tcPr>
          <w:p w14:paraId="199D29A3" w14:textId="71E498DF" w:rsidR="0018722C" w:rsidRPr="002B0335" w:rsidRDefault="0018722C" w:rsidP="00006F2C">
            <w:pPr>
              <w:keepNext/>
              <w:jc w:val="center"/>
              <w:rPr>
                <w:rFonts w:ascii="Arial Narrow" w:hAnsi="Arial Narrow"/>
                <w:sz w:val="20"/>
                <w:szCs w:val="20"/>
              </w:rPr>
            </w:pPr>
            <w:r w:rsidRPr="002B0335">
              <w:rPr>
                <w:rFonts w:ascii="Arial Narrow" w:hAnsi="Arial Narrow"/>
                <w:sz w:val="20"/>
                <w:szCs w:val="20"/>
              </w:rPr>
              <w:t>$</w:t>
            </w:r>
            <w:r w:rsidRPr="002B0335">
              <w:rPr>
                <w:rFonts w:ascii="Arial Narrow" w:eastAsiaTheme="majorEastAsia" w:hAnsi="Arial Narrow" w:cstheme="majorBidi"/>
                <w:bCs/>
                <w:sz w:val="20"/>
              </w:rPr>
              <w:t>6,682.60</w:t>
            </w:r>
            <w:r w:rsidRPr="002B0335">
              <w:rPr>
                <w:rFonts w:ascii="Arial Narrow" w:hAnsi="Arial Narrow"/>
                <w:sz w:val="20"/>
                <w:szCs w:val="20"/>
              </w:rPr>
              <w:t xml:space="preserve"> published price</w:t>
            </w:r>
          </w:p>
          <w:p w14:paraId="42F4B75C" w14:textId="471EDCDD" w:rsidR="00046D64" w:rsidRPr="002B0335" w:rsidRDefault="0018722C" w:rsidP="00006F2C">
            <w:pPr>
              <w:keepNext/>
              <w:jc w:val="center"/>
              <w:rPr>
                <w:rFonts w:ascii="Arial Narrow" w:hAnsi="Arial Narrow"/>
                <w:sz w:val="20"/>
                <w:szCs w:val="20"/>
              </w:rPr>
            </w:pPr>
            <w:r w:rsidRPr="002B0335">
              <w:rPr>
                <w:rFonts w:ascii="Arial Narrow" w:hAnsi="Arial Narrow"/>
                <w:sz w:val="20"/>
                <w:szCs w:val="20"/>
              </w:rPr>
              <w:t xml:space="preserve">$ </w:t>
            </w:r>
            <w:r w:rsidRPr="002B0335">
              <w:rPr>
                <w:rFonts w:ascii="Arial Narrow" w:eastAsiaTheme="majorEastAsia" w:hAnsi="Arial Narrow" w:cstheme="majorBidi"/>
                <w:bCs/>
                <w:sz w:val="20"/>
              </w:rPr>
              <w:t>tbc</w:t>
            </w:r>
            <w:r w:rsidRPr="002B0335">
              <w:rPr>
                <w:rFonts w:ascii="Arial Narrow" w:hAnsi="Arial Narrow"/>
                <w:sz w:val="20"/>
                <w:szCs w:val="20"/>
              </w:rPr>
              <w:t xml:space="preserve"> effective price</w:t>
            </w:r>
          </w:p>
        </w:tc>
        <w:tc>
          <w:tcPr>
            <w:tcW w:w="812" w:type="dxa"/>
            <w:shd w:val="clear" w:color="auto" w:fill="auto"/>
            <w:vAlign w:val="center"/>
          </w:tcPr>
          <w:p w14:paraId="412B2082" w14:textId="37F6A77A" w:rsidR="00046D64" w:rsidRPr="002B0335" w:rsidRDefault="0018722C" w:rsidP="00006F2C">
            <w:pPr>
              <w:keepNext/>
              <w:jc w:val="center"/>
              <w:rPr>
                <w:rFonts w:ascii="Arial Narrow" w:hAnsi="Arial Narrow"/>
                <w:sz w:val="20"/>
                <w:szCs w:val="20"/>
              </w:rPr>
            </w:pPr>
            <w:r w:rsidRPr="002B0335">
              <w:rPr>
                <w:rFonts w:ascii="Arial Narrow" w:hAnsi="Arial Narrow"/>
                <w:sz w:val="20"/>
                <w:szCs w:val="20"/>
              </w:rPr>
              <w:t>2</w:t>
            </w:r>
          </w:p>
        </w:tc>
        <w:tc>
          <w:tcPr>
            <w:tcW w:w="811" w:type="dxa"/>
            <w:shd w:val="clear" w:color="auto" w:fill="auto"/>
            <w:vAlign w:val="center"/>
          </w:tcPr>
          <w:p w14:paraId="2E8AFE22" w14:textId="0C83D388" w:rsidR="00046D64" w:rsidRPr="002B0335" w:rsidRDefault="0018722C" w:rsidP="00006F2C">
            <w:pPr>
              <w:keepNext/>
              <w:jc w:val="center"/>
              <w:rPr>
                <w:rFonts w:ascii="Arial Narrow" w:hAnsi="Arial Narrow"/>
                <w:sz w:val="20"/>
                <w:szCs w:val="20"/>
              </w:rPr>
            </w:pPr>
            <w:r w:rsidRPr="002B0335">
              <w:rPr>
                <w:rFonts w:ascii="Arial Narrow" w:hAnsi="Arial Narrow"/>
                <w:sz w:val="20"/>
                <w:szCs w:val="20"/>
              </w:rPr>
              <w:t>2</w:t>
            </w:r>
          </w:p>
        </w:tc>
        <w:tc>
          <w:tcPr>
            <w:tcW w:w="812" w:type="dxa"/>
            <w:shd w:val="clear" w:color="auto" w:fill="auto"/>
            <w:vAlign w:val="center"/>
          </w:tcPr>
          <w:p w14:paraId="25442F33" w14:textId="3856C493" w:rsidR="00046D64" w:rsidRPr="002B0335" w:rsidRDefault="0018722C" w:rsidP="00006F2C">
            <w:pPr>
              <w:keepNext/>
              <w:jc w:val="center"/>
              <w:rPr>
                <w:rFonts w:ascii="Arial Narrow" w:hAnsi="Arial Narrow"/>
                <w:sz w:val="20"/>
                <w:szCs w:val="20"/>
              </w:rPr>
            </w:pPr>
            <w:r w:rsidRPr="002B0335">
              <w:rPr>
                <w:rFonts w:ascii="Arial Narrow" w:hAnsi="Arial Narrow"/>
                <w:sz w:val="20"/>
                <w:szCs w:val="20"/>
              </w:rPr>
              <w:t>3</w:t>
            </w:r>
          </w:p>
        </w:tc>
        <w:tc>
          <w:tcPr>
            <w:tcW w:w="1831" w:type="dxa"/>
            <w:shd w:val="clear" w:color="auto" w:fill="auto"/>
            <w:vAlign w:val="center"/>
          </w:tcPr>
          <w:p w14:paraId="43D390FE" w14:textId="39370789" w:rsidR="00046D64" w:rsidRPr="002B0335" w:rsidRDefault="09AF15AF" w:rsidP="00006F2C">
            <w:pPr>
              <w:keepNext/>
              <w:jc w:val="center"/>
              <w:rPr>
                <w:rFonts w:ascii="Arial Narrow" w:hAnsi="Arial Narrow"/>
                <w:sz w:val="20"/>
                <w:szCs w:val="20"/>
              </w:rPr>
            </w:pPr>
            <w:proofErr w:type="spellStart"/>
            <w:r w:rsidRPr="002B0335">
              <w:rPr>
                <w:rFonts w:ascii="Arial Narrow" w:hAnsi="Arial Narrow"/>
                <w:sz w:val="20"/>
                <w:szCs w:val="20"/>
              </w:rPr>
              <w:t>Bimzelx</w:t>
            </w:r>
            <w:proofErr w:type="spellEnd"/>
          </w:p>
        </w:tc>
      </w:tr>
      <w:tr w:rsidR="0018722C" w:rsidRPr="0098262F" w14:paraId="7647EDAF" w14:textId="77777777" w:rsidTr="002B0335">
        <w:trPr>
          <w:cantSplit/>
          <w:trHeight w:val="20"/>
        </w:trPr>
        <w:tc>
          <w:tcPr>
            <w:tcW w:w="2547" w:type="dxa"/>
            <w:shd w:val="clear" w:color="auto" w:fill="auto"/>
            <w:vAlign w:val="center"/>
          </w:tcPr>
          <w:p w14:paraId="3BAE513C" w14:textId="5ECCF1AA" w:rsidR="0018722C" w:rsidRPr="002B0335" w:rsidRDefault="0018722C" w:rsidP="00006F2C">
            <w:pPr>
              <w:pStyle w:val="TableText0"/>
            </w:pPr>
            <w:r w:rsidRPr="002B0335">
              <w:t xml:space="preserve">bimekizumab 320mg/2 mL injection, 1 x 2 mL syringe </w:t>
            </w:r>
          </w:p>
        </w:tc>
        <w:tc>
          <w:tcPr>
            <w:tcW w:w="2204" w:type="dxa"/>
            <w:shd w:val="clear" w:color="auto" w:fill="auto"/>
            <w:vAlign w:val="center"/>
          </w:tcPr>
          <w:p w14:paraId="11795C02" w14:textId="7B7E7F1A" w:rsidR="0018722C" w:rsidRPr="002B0335" w:rsidRDefault="0018722C" w:rsidP="00006F2C">
            <w:pPr>
              <w:keepNext/>
              <w:jc w:val="center"/>
              <w:rPr>
                <w:rFonts w:ascii="Arial Narrow" w:hAnsi="Arial Narrow"/>
                <w:sz w:val="20"/>
                <w:szCs w:val="20"/>
              </w:rPr>
            </w:pPr>
            <w:r w:rsidRPr="002B0335">
              <w:rPr>
                <w:rFonts w:ascii="Arial Narrow" w:hAnsi="Arial Narrow"/>
                <w:sz w:val="20"/>
                <w:szCs w:val="20"/>
              </w:rPr>
              <w:t>$</w:t>
            </w:r>
            <w:r w:rsidRPr="002B0335">
              <w:rPr>
                <w:rFonts w:ascii="Arial Narrow" w:eastAsiaTheme="majorEastAsia" w:hAnsi="Arial Narrow" w:cstheme="majorBidi"/>
                <w:bCs/>
                <w:sz w:val="20"/>
              </w:rPr>
              <w:t>6,682.60</w:t>
            </w:r>
            <w:r w:rsidRPr="002B0335">
              <w:rPr>
                <w:rFonts w:ascii="Arial Narrow" w:hAnsi="Arial Narrow"/>
                <w:sz w:val="20"/>
                <w:szCs w:val="20"/>
              </w:rPr>
              <w:t xml:space="preserve"> published price</w:t>
            </w:r>
          </w:p>
          <w:p w14:paraId="296F5007" w14:textId="6D0FE48B" w:rsidR="0018722C" w:rsidRPr="002B0335" w:rsidRDefault="0018722C" w:rsidP="00006F2C">
            <w:pPr>
              <w:keepNext/>
              <w:jc w:val="center"/>
              <w:rPr>
                <w:rFonts w:ascii="Arial Narrow" w:hAnsi="Arial Narrow"/>
                <w:sz w:val="20"/>
                <w:szCs w:val="20"/>
              </w:rPr>
            </w:pPr>
            <w:r w:rsidRPr="002B0335">
              <w:rPr>
                <w:rFonts w:ascii="Arial Narrow" w:hAnsi="Arial Narrow"/>
                <w:sz w:val="20"/>
                <w:szCs w:val="20"/>
              </w:rPr>
              <w:t xml:space="preserve">$ </w:t>
            </w:r>
            <w:r w:rsidRPr="002B0335">
              <w:rPr>
                <w:rFonts w:ascii="Arial Narrow" w:eastAsiaTheme="majorEastAsia" w:hAnsi="Arial Narrow" w:cstheme="majorBidi"/>
                <w:bCs/>
                <w:sz w:val="20"/>
              </w:rPr>
              <w:t>tbc</w:t>
            </w:r>
            <w:r w:rsidRPr="002B0335">
              <w:rPr>
                <w:rFonts w:ascii="Arial Narrow" w:hAnsi="Arial Narrow"/>
                <w:sz w:val="20"/>
                <w:szCs w:val="20"/>
              </w:rPr>
              <w:t xml:space="preserve"> effective price</w:t>
            </w:r>
          </w:p>
        </w:tc>
        <w:tc>
          <w:tcPr>
            <w:tcW w:w="812" w:type="dxa"/>
            <w:shd w:val="clear" w:color="auto" w:fill="auto"/>
            <w:vAlign w:val="center"/>
          </w:tcPr>
          <w:p w14:paraId="2E5DDF3B" w14:textId="52677409" w:rsidR="0018722C" w:rsidRPr="002B0335" w:rsidRDefault="0018722C" w:rsidP="00006F2C">
            <w:pPr>
              <w:keepNext/>
              <w:jc w:val="center"/>
              <w:rPr>
                <w:rFonts w:ascii="Arial Narrow" w:hAnsi="Arial Narrow"/>
                <w:sz w:val="20"/>
                <w:szCs w:val="20"/>
              </w:rPr>
            </w:pPr>
            <w:r w:rsidRPr="002B0335">
              <w:rPr>
                <w:rFonts w:ascii="Arial Narrow" w:hAnsi="Arial Narrow"/>
                <w:sz w:val="20"/>
                <w:szCs w:val="20"/>
              </w:rPr>
              <w:t>2</w:t>
            </w:r>
          </w:p>
        </w:tc>
        <w:tc>
          <w:tcPr>
            <w:tcW w:w="811" w:type="dxa"/>
            <w:shd w:val="clear" w:color="auto" w:fill="auto"/>
            <w:vAlign w:val="center"/>
          </w:tcPr>
          <w:p w14:paraId="6249A73C" w14:textId="65DB5FF3" w:rsidR="0018722C" w:rsidRPr="002B0335" w:rsidRDefault="0018722C" w:rsidP="00006F2C">
            <w:pPr>
              <w:keepNext/>
              <w:jc w:val="center"/>
              <w:rPr>
                <w:rFonts w:ascii="Arial Narrow" w:hAnsi="Arial Narrow"/>
                <w:sz w:val="20"/>
                <w:szCs w:val="20"/>
              </w:rPr>
            </w:pPr>
            <w:r w:rsidRPr="002B0335">
              <w:rPr>
                <w:rFonts w:ascii="Arial Narrow" w:hAnsi="Arial Narrow"/>
                <w:sz w:val="20"/>
                <w:szCs w:val="20"/>
              </w:rPr>
              <w:t>2</w:t>
            </w:r>
          </w:p>
        </w:tc>
        <w:tc>
          <w:tcPr>
            <w:tcW w:w="812" w:type="dxa"/>
            <w:shd w:val="clear" w:color="auto" w:fill="auto"/>
            <w:vAlign w:val="center"/>
          </w:tcPr>
          <w:p w14:paraId="3EA1899B" w14:textId="2BFCCF96" w:rsidR="0018722C" w:rsidRPr="002B0335" w:rsidRDefault="0018722C" w:rsidP="00006F2C">
            <w:pPr>
              <w:keepNext/>
              <w:jc w:val="center"/>
              <w:rPr>
                <w:rFonts w:ascii="Arial Narrow" w:hAnsi="Arial Narrow"/>
                <w:sz w:val="20"/>
                <w:szCs w:val="20"/>
              </w:rPr>
            </w:pPr>
            <w:r w:rsidRPr="002B0335">
              <w:rPr>
                <w:rFonts w:ascii="Arial Narrow" w:hAnsi="Arial Narrow"/>
                <w:sz w:val="20"/>
                <w:szCs w:val="20"/>
              </w:rPr>
              <w:t>3</w:t>
            </w:r>
          </w:p>
        </w:tc>
        <w:tc>
          <w:tcPr>
            <w:tcW w:w="1831" w:type="dxa"/>
            <w:shd w:val="clear" w:color="auto" w:fill="auto"/>
            <w:vAlign w:val="center"/>
          </w:tcPr>
          <w:p w14:paraId="5628CCDC" w14:textId="407643A4" w:rsidR="0018722C" w:rsidRPr="002B0335" w:rsidRDefault="09AF15AF" w:rsidP="00006F2C">
            <w:pPr>
              <w:keepNext/>
              <w:jc w:val="center"/>
              <w:rPr>
                <w:rFonts w:ascii="Arial Narrow" w:hAnsi="Arial Narrow"/>
                <w:sz w:val="20"/>
                <w:szCs w:val="20"/>
              </w:rPr>
            </w:pPr>
            <w:proofErr w:type="spellStart"/>
            <w:r w:rsidRPr="002B0335">
              <w:rPr>
                <w:rFonts w:ascii="Arial Narrow" w:hAnsi="Arial Narrow"/>
                <w:sz w:val="20"/>
                <w:szCs w:val="20"/>
              </w:rPr>
              <w:t>Bimzelx</w:t>
            </w:r>
            <w:proofErr w:type="spellEnd"/>
          </w:p>
        </w:tc>
      </w:tr>
      <w:tr w:rsidR="009E5084" w:rsidRPr="0098262F" w14:paraId="4EAE8EF9" w14:textId="77777777" w:rsidTr="002B0335">
        <w:trPr>
          <w:cantSplit/>
          <w:trHeight w:val="20"/>
        </w:trPr>
        <w:tc>
          <w:tcPr>
            <w:tcW w:w="9017" w:type="dxa"/>
            <w:gridSpan w:val="6"/>
            <w:shd w:val="clear" w:color="auto" w:fill="auto"/>
            <w:vAlign w:val="center"/>
          </w:tcPr>
          <w:p w14:paraId="1452FC87" w14:textId="41C29A2F" w:rsidR="009E5084" w:rsidRPr="002B0335" w:rsidRDefault="00C9786A" w:rsidP="00006F2C">
            <w:pPr>
              <w:keepNext/>
              <w:jc w:val="left"/>
              <w:rPr>
                <w:rFonts w:ascii="Arial Narrow" w:hAnsi="Arial Narrow"/>
                <w:sz w:val="20"/>
                <w:szCs w:val="20"/>
              </w:rPr>
            </w:pPr>
            <w:r w:rsidRPr="002B0335">
              <w:rPr>
                <w:rFonts w:ascii="Arial Narrow" w:hAnsi="Arial Narrow"/>
                <w:smallCaps/>
                <w:sz w:val="20"/>
                <w:szCs w:val="20"/>
              </w:rPr>
              <w:t xml:space="preserve">Bimekizumab </w:t>
            </w:r>
            <w:r w:rsidRPr="002B0335">
              <w:rPr>
                <w:rFonts w:ascii="Arial Narrow" w:hAnsi="Arial Narrow"/>
                <w:smallCaps/>
                <w:sz w:val="16"/>
                <w:szCs w:val="16"/>
              </w:rPr>
              <w:t>(CONTINUING AND GRANDFATHER)</w:t>
            </w:r>
          </w:p>
        </w:tc>
      </w:tr>
      <w:tr w:rsidR="00482470" w:rsidRPr="0098262F" w14:paraId="5B63CAE0" w14:textId="77777777" w:rsidTr="002B0335">
        <w:trPr>
          <w:cantSplit/>
          <w:trHeight w:val="20"/>
        </w:trPr>
        <w:tc>
          <w:tcPr>
            <w:tcW w:w="2547" w:type="dxa"/>
            <w:shd w:val="clear" w:color="auto" w:fill="auto"/>
            <w:vAlign w:val="center"/>
          </w:tcPr>
          <w:p w14:paraId="15BC3F94" w14:textId="339357B5" w:rsidR="00482470" w:rsidRPr="002B0335" w:rsidRDefault="00482470" w:rsidP="00461DDE">
            <w:pPr>
              <w:pStyle w:val="TableText0"/>
            </w:pPr>
            <w:r w:rsidRPr="002B0335">
              <w:t xml:space="preserve">bimekizumab 160 mg/mL injection, 2 x 1 mL pen devices </w:t>
            </w:r>
          </w:p>
        </w:tc>
        <w:tc>
          <w:tcPr>
            <w:tcW w:w="2204" w:type="dxa"/>
            <w:shd w:val="clear" w:color="auto" w:fill="auto"/>
          </w:tcPr>
          <w:p w14:paraId="71DFD459" w14:textId="7D614F23" w:rsidR="00482470" w:rsidRPr="002B0335" w:rsidRDefault="00482470" w:rsidP="00006F2C">
            <w:pPr>
              <w:pStyle w:val="TableText0"/>
              <w:jc w:val="center"/>
            </w:pPr>
            <w:r w:rsidRPr="002B0335">
              <w:t>$3,422.60 published price</w:t>
            </w:r>
          </w:p>
          <w:p w14:paraId="32E25464" w14:textId="4DFBD628" w:rsidR="00482470" w:rsidRPr="002B0335" w:rsidRDefault="00482470" w:rsidP="00006F2C">
            <w:pPr>
              <w:pStyle w:val="TableText0"/>
              <w:jc w:val="center"/>
              <w:rPr>
                <w:szCs w:val="20"/>
              </w:rPr>
            </w:pPr>
            <w:r w:rsidRPr="002B0335">
              <w:t>$ tbc effective price</w:t>
            </w:r>
          </w:p>
        </w:tc>
        <w:tc>
          <w:tcPr>
            <w:tcW w:w="812" w:type="dxa"/>
            <w:shd w:val="clear" w:color="auto" w:fill="auto"/>
            <w:vAlign w:val="center"/>
          </w:tcPr>
          <w:p w14:paraId="2FCC561F" w14:textId="63675BA2" w:rsidR="00482470" w:rsidRPr="002B0335" w:rsidRDefault="00482470" w:rsidP="00006F2C">
            <w:pPr>
              <w:keepNext/>
              <w:keepLines/>
              <w:jc w:val="center"/>
              <w:rPr>
                <w:rFonts w:ascii="Arial Narrow" w:hAnsi="Arial Narrow"/>
                <w:sz w:val="20"/>
                <w:szCs w:val="20"/>
              </w:rPr>
            </w:pPr>
            <w:r w:rsidRPr="002B0335">
              <w:rPr>
                <w:rFonts w:ascii="Arial Narrow" w:hAnsi="Arial Narrow"/>
                <w:sz w:val="20"/>
              </w:rPr>
              <w:t>1</w:t>
            </w:r>
          </w:p>
        </w:tc>
        <w:tc>
          <w:tcPr>
            <w:tcW w:w="811" w:type="dxa"/>
            <w:shd w:val="clear" w:color="auto" w:fill="auto"/>
            <w:vAlign w:val="center"/>
          </w:tcPr>
          <w:p w14:paraId="4D10BC47" w14:textId="6C9002A3" w:rsidR="00482470" w:rsidRPr="002B0335" w:rsidRDefault="00482470" w:rsidP="00006F2C">
            <w:pPr>
              <w:keepNext/>
              <w:keepLines/>
              <w:jc w:val="center"/>
              <w:rPr>
                <w:rFonts w:ascii="Arial Narrow" w:hAnsi="Arial Narrow"/>
                <w:sz w:val="20"/>
                <w:szCs w:val="20"/>
              </w:rPr>
            </w:pPr>
            <w:r w:rsidRPr="002B0335">
              <w:rPr>
                <w:rFonts w:ascii="Arial Narrow" w:hAnsi="Arial Narrow"/>
                <w:sz w:val="20"/>
              </w:rPr>
              <w:t>2</w:t>
            </w:r>
          </w:p>
        </w:tc>
        <w:tc>
          <w:tcPr>
            <w:tcW w:w="812" w:type="dxa"/>
            <w:shd w:val="clear" w:color="auto" w:fill="auto"/>
            <w:vAlign w:val="center"/>
          </w:tcPr>
          <w:p w14:paraId="1613C18B" w14:textId="18EBDCD5" w:rsidR="00482470" w:rsidRPr="002B0335" w:rsidRDefault="00482470" w:rsidP="00006F2C">
            <w:pPr>
              <w:keepNext/>
              <w:keepLines/>
              <w:jc w:val="center"/>
              <w:rPr>
                <w:rFonts w:ascii="Arial Narrow" w:hAnsi="Arial Narrow"/>
                <w:sz w:val="20"/>
                <w:szCs w:val="20"/>
              </w:rPr>
            </w:pPr>
            <w:r w:rsidRPr="002B0335">
              <w:rPr>
                <w:rFonts w:ascii="Arial Narrow" w:hAnsi="Arial Narrow"/>
                <w:sz w:val="20"/>
                <w:szCs w:val="20"/>
              </w:rPr>
              <w:t>5</w:t>
            </w:r>
          </w:p>
        </w:tc>
        <w:tc>
          <w:tcPr>
            <w:tcW w:w="1831" w:type="dxa"/>
            <w:shd w:val="clear" w:color="auto" w:fill="auto"/>
            <w:vAlign w:val="center"/>
          </w:tcPr>
          <w:p w14:paraId="0EF4AB7E" w14:textId="77777777" w:rsidR="00482470" w:rsidRPr="002B0335" w:rsidRDefault="530F7EDF" w:rsidP="00006F2C">
            <w:pPr>
              <w:keepNext/>
              <w:keepLines/>
              <w:jc w:val="center"/>
              <w:rPr>
                <w:rFonts w:ascii="Arial Narrow" w:hAnsi="Arial Narrow"/>
                <w:color w:val="0066FF"/>
                <w:sz w:val="20"/>
                <w:szCs w:val="20"/>
              </w:rPr>
            </w:pPr>
            <w:proofErr w:type="spellStart"/>
            <w:r w:rsidRPr="002B0335">
              <w:rPr>
                <w:rFonts w:ascii="Arial Narrow" w:hAnsi="Arial Narrow"/>
                <w:sz w:val="20"/>
                <w:szCs w:val="20"/>
              </w:rPr>
              <w:t>Bimzelx</w:t>
            </w:r>
            <w:proofErr w:type="spellEnd"/>
          </w:p>
        </w:tc>
      </w:tr>
      <w:tr w:rsidR="00482470" w:rsidRPr="0098262F" w14:paraId="038246D2" w14:textId="77777777" w:rsidTr="002B0335">
        <w:trPr>
          <w:cantSplit/>
          <w:trHeight w:val="20"/>
        </w:trPr>
        <w:tc>
          <w:tcPr>
            <w:tcW w:w="2547" w:type="dxa"/>
            <w:shd w:val="clear" w:color="auto" w:fill="auto"/>
            <w:vAlign w:val="center"/>
          </w:tcPr>
          <w:p w14:paraId="06013E1C" w14:textId="5DD82F08" w:rsidR="00482470" w:rsidRPr="002B0335" w:rsidRDefault="00482470" w:rsidP="00461DDE">
            <w:pPr>
              <w:pStyle w:val="TableText0"/>
            </w:pPr>
            <w:r w:rsidRPr="002B0335">
              <w:t>bimekizumab 160 mg/mL injection, 2 x 1 mL syringe</w:t>
            </w:r>
          </w:p>
        </w:tc>
        <w:tc>
          <w:tcPr>
            <w:tcW w:w="2204" w:type="dxa"/>
            <w:shd w:val="clear" w:color="auto" w:fill="auto"/>
          </w:tcPr>
          <w:p w14:paraId="78B85E15" w14:textId="795296C9" w:rsidR="00482470" w:rsidRPr="002B0335" w:rsidRDefault="00482470" w:rsidP="00006F2C">
            <w:pPr>
              <w:pStyle w:val="TableText0"/>
              <w:jc w:val="center"/>
            </w:pPr>
            <w:r w:rsidRPr="002B0335">
              <w:t>$3,422.60 published price</w:t>
            </w:r>
          </w:p>
          <w:p w14:paraId="53FE4862" w14:textId="39372A84" w:rsidR="00482470" w:rsidRPr="002B0335" w:rsidRDefault="00482470" w:rsidP="00006F2C">
            <w:pPr>
              <w:pStyle w:val="TableText0"/>
              <w:jc w:val="center"/>
              <w:rPr>
                <w:szCs w:val="20"/>
              </w:rPr>
            </w:pPr>
            <w:r w:rsidRPr="002B0335">
              <w:t>$ tbc effective price</w:t>
            </w:r>
          </w:p>
        </w:tc>
        <w:tc>
          <w:tcPr>
            <w:tcW w:w="812" w:type="dxa"/>
            <w:shd w:val="clear" w:color="auto" w:fill="auto"/>
            <w:vAlign w:val="center"/>
          </w:tcPr>
          <w:p w14:paraId="5D2BC213" w14:textId="5451C539" w:rsidR="00482470" w:rsidRPr="002B0335" w:rsidRDefault="00482470" w:rsidP="00006F2C">
            <w:pPr>
              <w:keepNext/>
              <w:keepLines/>
              <w:jc w:val="center"/>
              <w:rPr>
                <w:rFonts w:ascii="Arial Narrow" w:hAnsi="Arial Narrow"/>
                <w:sz w:val="20"/>
                <w:szCs w:val="20"/>
              </w:rPr>
            </w:pPr>
            <w:r w:rsidRPr="002B0335">
              <w:rPr>
                <w:rFonts w:ascii="Arial Narrow" w:hAnsi="Arial Narrow"/>
                <w:sz w:val="20"/>
              </w:rPr>
              <w:t>1</w:t>
            </w:r>
          </w:p>
        </w:tc>
        <w:tc>
          <w:tcPr>
            <w:tcW w:w="811" w:type="dxa"/>
            <w:shd w:val="clear" w:color="auto" w:fill="auto"/>
            <w:vAlign w:val="center"/>
          </w:tcPr>
          <w:p w14:paraId="72C13102" w14:textId="7BBFE1ED" w:rsidR="00482470" w:rsidRPr="002B0335" w:rsidRDefault="00482470" w:rsidP="00006F2C">
            <w:pPr>
              <w:keepNext/>
              <w:keepLines/>
              <w:jc w:val="center"/>
              <w:rPr>
                <w:rFonts w:ascii="Arial Narrow" w:hAnsi="Arial Narrow"/>
                <w:sz w:val="20"/>
                <w:szCs w:val="20"/>
              </w:rPr>
            </w:pPr>
            <w:r w:rsidRPr="002B0335">
              <w:rPr>
                <w:rFonts w:ascii="Arial Narrow" w:hAnsi="Arial Narrow"/>
                <w:sz w:val="20"/>
              </w:rPr>
              <w:t>2</w:t>
            </w:r>
          </w:p>
        </w:tc>
        <w:tc>
          <w:tcPr>
            <w:tcW w:w="812" w:type="dxa"/>
            <w:shd w:val="clear" w:color="auto" w:fill="auto"/>
            <w:vAlign w:val="center"/>
          </w:tcPr>
          <w:p w14:paraId="78821F52" w14:textId="0733F9F3" w:rsidR="00482470" w:rsidRPr="002B0335" w:rsidRDefault="00482470" w:rsidP="00006F2C">
            <w:pPr>
              <w:keepNext/>
              <w:keepLines/>
              <w:jc w:val="center"/>
              <w:rPr>
                <w:rFonts w:ascii="Arial Narrow" w:hAnsi="Arial Narrow"/>
                <w:sz w:val="20"/>
                <w:szCs w:val="20"/>
              </w:rPr>
            </w:pPr>
            <w:r w:rsidRPr="002B0335">
              <w:rPr>
                <w:rFonts w:ascii="Arial Narrow" w:hAnsi="Arial Narrow"/>
                <w:sz w:val="20"/>
              </w:rPr>
              <w:t>5</w:t>
            </w:r>
          </w:p>
        </w:tc>
        <w:tc>
          <w:tcPr>
            <w:tcW w:w="1831" w:type="dxa"/>
            <w:shd w:val="clear" w:color="auto" w:fill="auto"/>
            <w:vAlign w:val="center"/>
          </w:tcPr>
          <w:p w14:paraId="32F887E6" w14:textId="77777777" w:rsidR="00482470" w:rsidRPr="002B0335" w:rsidRDefault="530F7EDF" w:rsidP="00006F2C">
            <w:pPr>
              <w:keepNext/>
              <w:keepLines/>
              <w:jc w:val="center"/>
              <w:rPr>
                <w:rFonts w:ascii="Arial Narrow" w:hAnsi="Arial Narrow"/>
                <w:color w:val="0066FF"/>
                <w:sz w:val="20"/>
                <w:szCs w:val="20"/>
              </w:rPr>
            </w:pPr>
            <w:proofErr w:type="spellStart"/>
            <w:r w:rsidRPr="002B0335">
              <w:rPr>
                <w:rFonts w:ascii="Arial Narrow" w:hAnsi="Arial Narrow"/>
                <w:sz w:val="20"/>
                <w:szCs w:val="20"/>
              </w:rPr>
              <w:t>Bimzelx</w:t>
            </w:r>
            <w:proofErr w:type="spellEnd"/>
          </w:p>
        </w:tc>
      </w:tr>
      <w:tr w:rsidR="00482470" w:rsidRPr="0098262F" w14:paraId="3C161850" w14:textId="77777777" w:rsidTr="002B0335">
        <w:trPr>
          <w:cantSplit/>
          <w:trHeight w:val="184"/>
        </w:trPr>
        <w:tc>
          <w:tcPr>
            <w:tcW w:w="2547" w:type="dxa"/>
            <w:shd w:val="clear" w:color="auto" w:fill="auto"/>
            <w:vAlign w:val="center"/>
          </w:tcPr>
          <w:p w14:paraId="2E8988AA" w14:textId="4E9B19DD" w:rsidR="00482470" w:rsidRPr="002B0335" w:rsidRDefault="00482470" w:rsidP="00461DDE">
            <w:pPr>
              <w:pStyle w:val="TableText0"/>
            </w:pPr>
            <w:r w:rsidRPr="002B0335">
              <w:t xml:space="preserve">bimekizumab 320mg/2 mL injection, 1 x 2 mL pen devices </w:t>
            </w:r>
          </w:p>
        </w:tc>
        <w:tc>
          <w:tcPr>
            <w:tcW w:w="2204" w:type="dxa"/>
            <w:shd w:val="clear" w:color="auto" w:fill="auto"/>
            <w:vAlign w:val="center"/>
          </w:tcPr>
          <w:p w14:paraId="6D4CB72C" w14:textId="4B6E8B83" w:rsidR="00482470" w:rsidRPr="002B0335" w:rsidRDefault="00482470" w:rsidP="00006F2C">
            <w:pPr>
              <w:keepNext/>
              <w:jc w:val="center"/>
              <w:rPr>
                <w:rFonts w:ascii="Arial Narrow" w:hAnsi="Arial Narrow"/>
                <w:sz w:val="20"/>
                <w:szCs w:val="20"/>
              </w:rPr>
            </w:pPr>
            <w:r w:rsidRPr="002B0335">
              <w:rPr>
                <w:rFonts w:ascii="Arial Narrow" w:hAnsi="Arial Narrow"/>
                <w:sz w:val="20"/>
                <w:szCs w:val="20"/>
              </w:rPr>
              <w:t>$</w:t>
            </w:r>
            <w:r w:rsidRPr="002B0335">
              <w:rPr>
                <w:rFonts w:ascii="Arial Narrow" w:eastAsiaTheme="majorEastAsia" w:hAnsi="Arial Narrow" w:cstheme="majorBidi"/>
                <w:bCs/>
                <w:sz w:val="20"/>
              </w:rPr>
              <w:t>3,422.60</w:t>
            </w:r>
            <w:r w:rsidRPr="002B0335">
              <w:rPr>
                <w:rFonts w:ascii="Arial Narrow" w:hAnsi="Arial Narrow"/>
                <w:sz w:val="20"/>
                <w:szCs w:val="20"/>
              </w:rPr>
              <w:t xml:space="preserve"> published price</w:t>
            </w:r>
          </w:p>
          <w:p w14:paraId="331C15E3" w14:textId="1CFA757D" w:rsidR="00482470" w:rsidRPr="002B0335" w:rsidRDefault="00482470" w:rsidP="00006F2C">
            <w:pPr>
              <w:keepNext/>
              <w:jc w:val="center"/>
              <w:rPr>
                <w:rFonts w:ascii="Arial Narrow" w:hAnsi="Arial Narrow"/>
                <w:sz w:val="20"/>
                <w:szCs w:val="20"/>
              </w:rPr>
            </w:pPr>
            <w:r w:rsidRPr="002B0335">
              <w:rPr>
                <w:rFonts w:ascii="Arial Narrow" w:hAnsi="Arial Narrow"/>
                <w:sz w:val="20"/>
                <w:szCs w:val="20"/>
              </w:rPr>
              <w:t xml:space="preserve">$ </w:t>
            </w:r>
            <w:r w:rsidRPr="002B0335">
              <w:rPr>
                <w:rFonts w:ascii="Arial Narrow" w:eastAsiaTheme="majorEastAsia" w:hAnsi="Arial Narrow" w:cstheme="majorBidi"/>
                <w:bCs/>
                <w:sz w:val="20"/>
              </w:rPr>
              <w:t>tbc</w:t>
            </w:r>
            <w:r w:rsidRPr="002B0335">
              <w:rPr>
                <w:rFonts w:ascii="Arial Narrow" w:hAnsi="Arial Narrow"/>
                <w:sz w:val="20"/>
                <w:szCs w:val="20"/>
              </w:rPr>
              <w:t xml:space="preserve"> effective price</w:t>
            </w:r>
          </w:p>
        </w:tc>
        <w:tc>
          <w:tcPr>
            <w:tcW w:w="812" w:type="dxa"/>
            <w:shd w:val="clear" w:color="auto" w:fill="auto"/>
            <w:vAlign w:val="center"/>
          </w:tcPr>
          <w:p w14:paraId="57806587" w14:textId="4F7BF954" w:rsidR="00482470" w:rsidRPr="002B0335" w:rsidRDefault="00482470" w:rsidP="00006F2C">
            <w:pPr>
              <w:keepNext/>
              <w:jc w:val="center"/>
              <w:rPr>
                <w:rFonts w:ascii="Arial Narrow" w:hAnsi="Arial Narrow"/>
                <w:sz w:val="20"/>
                <w:szCs w:val="20"/>
              </w:rPr>
            </w:pPr>
            <w:r w:rsidRPr="002B0335">
              <w:rPr>
                <w:rFonts w:ascii="Arial Narrow" w:hAnsi="Arial Narrow"/>
                <w:sz w:val="20"/>
                <w:szCs w:val="20"/>
              </w:rPr>
              <w:t>1</w:t>
            </w:r>
          </w:p>
        </w:tc>
        <w:tc>
          <w:tcPr>
            <w:tcW w:w="811" w:type="dxa"/>
            <w:shd w:val="clear" w:color="auto" w:fill="auto"/>
            <w:vAlign w:val="center"/>
          </w:tcPr>
          <w:p w14:paraId="73C3D17E" w14:textId="052839E1" w:rsidR="00482470" w:rsidRPr="002B0335" w:rsidRDefault="00482470" w:rsidP="00006F2C">
            <w:pPr>
              <w:keepNext/>
              <w:jc w:val="center"/>
              <w:rPr>
                <w:rFonts w:ascii="Arial Narrow" w:hAnsi="Arial Narrow"/>
                <w:sz w:val="20"/>
                <w:szCs w:val="20"/>
              </w:rPr>
            </w:pPr>
            <w:r w:rsidRPr="002B0335">
              <w:rPr>
                <w:rFonts w:ascii="Arial Narrow" w:hAnsi="Arial Narrow"/>
                <w:sz w:val="20"/>
                <w:szCs w:val="20"/>
              </w:rPr>
              <w:t>1</w:t>
            </w:r>
          </w:p>
        </w:tc>
        <w:tc>
          <w:tcPr>
            <w:tcW w:w="812" w:type="dxa"/>
            <w:shd w:val="clear" w:color="auto" w:fill="auto"/>
            <w:vAlign w:val="center"/>
          </w:tcPr>
          <w:p w14:paraId="3A48CCBB" w14:textId="2155CE62" w:rsidR="00482470" w:rsidRPr="002B0335" w:rsidRDefault="00482470" w:rsidP="00006F2C">
            <w:pPr>
              <w:keepNext/>
              <w:jc w:val="center"/>
              <w:rPr>
                <w:rFonts w:ascii="Arial Narrow" w:hAnsi="Arial Narrow"/>
                <w:sz w:val="20"/>
                <w:szCs w:val="20"/>
              </w:rPr>
            </w:pPr>
            <w:r w:rsidRPr="002B0335">
              <w:rPr>
                <w:rFonts w:ascii="Arial Narrow" w:hAnsi="Arial Narrow"/>
                <w:sz w:val="20"/>
                <w:szCs w:val="20"/>
              </w:rPr>
              <w:t>5</w:t>
            </w:r>
          </w:p>
        </w:tc>
        <w:tc>
          <w:tcPr>
            <w:tcW w:w="1831" w:type="dxa"/>
            <w:shd w:val="clear" w:color="auto" w:fill="auto"/>
            <w:vAlign w:val="center"/>
          </w:tcPr>
          <w:p w14:paraId="15E2E273" w14:textId="77777777" w:rsidR="00482470" w:rsidRPr="002B0335" w:rsidRDefault="530F7EDF" w:rsidP="00006F2C">
            <w:pPr>
              <w:keepNext/>
              <w:jc w:val="center"/>
              <w:rPr>
                <w:rFonts w:ascii="Arial Narrow" w:hAnsi="Arial Narrow"/>
                <w:sz w:val="20"/>
                <w:szCs w:val="20"/>
              </w:rPr>
            </w:pPr>
            <w:proofErr w:type="spellStart"/>
            <w:r w:rsidRPr="002B0335">
              <w:rPr>
                <w:rFonts w:ascii="Arial Narrow" w:hAnsi="Arial Narrow"/>
                <w:sz w:val="20"/>
                <w:szCs w:val="20"/>
              </w:rPr>
              <w:t>Bimzelx</w:t>
            </w:r>
            <w:proofErr w:type="spellEnd"/>
          </w:p>
        </w:tc>
      </w:tr>
      <w:tr w:rsidR="00482470" w:rsidRPr="0098262F" w14:paraId="073EDBAC" w14:textId="77777777" w:rsidTr="002B0335">
        <w:trPr>
          <w:cantSplit/>
          <w:trHeight w:val="20"/>
        </w:trPr>
        <w:tc>
          <w:tcPr>
            <w:tcW w:w="2547" w:type="dxa"/>
            <w:shd w:val="clear" w:color="auto" w:fill="auto"/>
            <w:vAlign w:val="center"/>
          </w:tcPr>
          <w:p w14:paraId="36AF9A4B" w14:textId="77777777" w:rsidR="00482470" w:rsidRPr="002B0335" w:rsidRDefault="00482470" w:rsidP="00006F2C">
            <w:pPr>
              <w:pStyle w:val="TableText0"/>
            </w:pPr>
            <w:r w:rsidRPr="002B0335">
              <w:t xml:space="preserve">bimekizumab 320mg/2 mL injection, 1 x 2 mL syringe </w:t>
            </w:r>
          </w:p>
        </w:tc>
        <w:tc>
          <w:tcPr>
            <w:tcW w:w="2204" w:type="dxa"/>
            <w:shd w:val="clear" w:color="auto" w:fill="auto"/>
            <w:vAlign w:val="center"/>
          </w:tcPr>
          <w:p w14:paraId="09BEF1F0" w14:textId="32A11BFE" w:rsidR="00482470" w:rsidRPr="002B0335" w:rsidRDefault="00482470" w:rsidP="00006F2C">
            <w:pPr>
              <w:keepNext/>
              <w:jc w:val="center"/>
              <w:rPr>
                <w:rFonts w:ascii="Arial Narrow" w:hAnsi="Arial Narrow"/>
                <w:sz w:val="20"/>
                <w:szCs w:val="20"/>
              </w:rPr>
            </w:pPr>
            <w:r w:rsidRPr="002B0335">
              <w:rPr>
                <w:rFonts w:ascii="Arial Narrow" w:hAnsi="Arial Narrow"/>
                <w:sz w:val="20"/>
                <w:szCs w:val="20"/>
              </w:rPr>
              <w:t>$</w:t>
            </w:r>
            <w:r w:rsidRPr="002B0335">
              <w:rPr>
                <w:rFonts w:ascii="Arial Narrow" w:eastAsiaTheme="majorEastAsia" w:hAnsi="Arial Narrow" w:cstheme="majorBidi"/>
                <w:bCs/>
                <w:sz w:val="20"/>
              </w:rPr>
              <w:t>3,422.60</w:t>
            </w:r>
            <w:r w:rsidRPr="002B0335">
              <w:rPr>
                <w:rFonts w:ascii="Arial Narrow" w:hAnsi="Arial Narrow"/>
                <w:sz w:val="20"/>
                <w:szCs w:val="20"/>
              </w:rPr>
              <w:t xml:space="preserve"> published price</w:t>
            </w:r>
          </w:p>
          <w:p w14:paraId="7D542A9F" w14:textId="2FCAA0F5" w:rsidR="00482470" w:rsidRPr="002B0335" w:rsidRDefault="00482470" w:rsidP="00006F2C">
            <w:pPr>
              <w:keepNext/>
              <w:jc w:val="center"/>
              <w:rPr>
                <w:rFonts w:ascii="Arial Narrow" w:hAnsi="Arial Narrow"/>
                <w:sz w:val="20"/>
                <w:szCs w:val="20"/>
              </w:rPr>
            </w:pPr>
            <w:r w:rsidRPr="002B0335">
              <w:rPr>
                <w:rFonts w:ascii="Arial Narrow" w:hAnsi="Arial Narrow"/>
                <w:sz w:val="20"/>
                <w:szCs w:val="20"/>
              </w:rPr>
              <w:t xml:space="preserve">$ </w:t>
            </w:r>
            <w:r w:rsidRPr="002B0335">
              <w:rPr>
                <w:rFonts w:ascii="Arial Narrow" w:eastAsiaTheme="majorEastAsia" w:hAnsi="Arial Narrow" w:cstheme="majorBidi"/>
                <w:bCs/>
                <w:sz w:val="20"/>
              </w:rPr>
              <w:t>tbc</w:t>
            </w:r>
            <w:r w:rsidRPr="002B0335">
              <w:rPr>
                <w:rFonts w:ascii="Arial Narrow" w:hAnsi="Arial Narrow"/>
                <w:sz w:val="20"/>
                <w:szCs w:val="20"/>
              </w:rPr>
              <w:t xml:space="preserve"> effective price</w:t>
            </w:r>
          </w:p>
        </w:tc>
        <w:tc>
          <w:tcPr>
            <w:tcW w:w="812" w:type="dxa"/>
            <w:shd w:val="clear" w:color="auto" w:fill="auto"/>
            <w:vAlign w:val="center"/>
          </w:tcPr>
          <w:p w14:paraId="20F41CEF" w14:textId="1BEEB2B3" w:rsidR="00482470" w:rsidRPr="002B0335" w:rsidRDefault="00482470" w:rsidP="00006F2C">
            <w:pPr>
              <w:keepNext/>
              <w:jc w:val="center"/>
              <w:rPr>
                <w:rFonts w:ascii="Arial Narrow" w:hAnsi="Arial Narrow"/>
                <w:sz w:val="20"/>
                <w:szCs w:val="20"/>
              </w:rPr>
            </w:pPr>
            <w:r w:rsidRPr="002B0335">
              <w:rPr>
                <w:rFonts w:ascii="Arial Narrow" w:hAnsi="Arial Narrow"/>
                <w:sz w:val="20"/>
                <w:szCs w:val="20"/>
              </w:rPr>
              <w:t>1</w:t>
            </w:r>
          </w:p>
        </w:tc>
        <w:tc>
          <w:tcPr>
            <w:tcW w:w="811" w:type="dxa"/>
            <w:shd w:val="clear" w:color="auto" w:fill="auto"/>
            <w:vAlign w:val="center"/>
          </w:tcPr>
          <w:p w14:paraId="5006CA60" w14:textId="25DD566C" w:rsidR="00482470" w:rsidRPr="002B0335" w:rsidRDefault="00482470" w:rsidP="00006F2C">
            <w:pPr>
              <w:keepNext/>
              <w:jc w:val="center"/>
              <w:rPr>
                <w:rFonts w:ascii="Arial Narrow" w:hAnsi="Arial Narrow"/>
                <w:sz w:val="20"/>
                <w:szCs w:val="20"/>
              </w:rPr>
            </w:pPr>
            <w:r w:rsidRPr="002B0335">
              <w:rPr>
                <w:rFonts w:ascii="Arial Narrow" w:hAnsi="Arial Narrow"/>
                <w:sz w:val="20"/>
                <w:szCs w:val="20"/>
              </w:rPr>
              <w:t>1</w:t>
            </w:r>
          </w:p>
        </w:tc>
        <w:tc>
          <w:tcPr>
            <w:tcW w:w="812" w:type="dxa"/>
            <w:shd w:val="clear" w:color="auto" w:fill="auto"/>
            <w:vAlign w:val="center"/>
          </w:tcPr>
          <w:p w14:paraId="2F8E9EA4" w14:textId="4966634D" w:rsidR="00482470" w:rsidRPr="002B0335" w:rsidRDefault="00482470" w:rsidP="00006F2C">
            <w:pPr>
              <w:keepNext/>
              <w:jc w:val="center"/>
              <w:rPr>
                <w:rFonts w:ascii="Arial Narrow" w:hAnsi="Arial Narrow"/>
                <w:sz w:val="20"/>
                <w:szCs w:val="20"/>
              </w:rPr>
            </w:pPr>
            <w:r w:rsidRPr="002B0335">
              <w:rPr>
                <w:rFonts w:ascii="Arial Narrow" w:hAnsi="Arial Narrow"/>
                <w:sz w:val="20"/>
                <w:szCs w:val="20"/>
              </w:rPr>
              <w:t>5</w:t>
            </w:r>
          </w:p>
        </w:tc>
        <w:tc>
          <w:tcPr>
            <w:tcW w:w="1831" w:type="dxa"/>
            <w:shd w:val="clear" w:color="auto" w:fill="auto"/>
            <w:vAlign w:val="center"/>
          </w:tcPr>
          <w:p w14:paraId="0D68C449" w14:textId="77777777" w:rsidR="00482470" w:rsidRPr="002B0335" w:rsidRDefault="530F7EDF" w:rsidP="00006F2C">
            <w:pPr>
              <w:keepNext/>
              <w:jc w:val="center"/>
              <w:rPr>
                <w:rFonts w:ascii="Arial Narrow" w:hAnsi="Arial Narrow"/>
                <w:sz w:val="20"/>
                <w:szCs w:val="20"/>
              </w:rPr>
            </w:pPr>
            <w:proofErr w:type="spellStart"/>
            <w:r w:rsidRPr="002B0335">
              <w:rPr>
                <w:rFonts w:ascii="Arial Narrow" w:hAnsi="Arial Narrow"/>
                <w:sz w:val="20"/>
                <w:szCs w:val="20"/>
              </w:rPr>
              <w:t>Bimzelx</w:t>
            </w:r>
            <w:proofErr w:type="spellEnd"/>
          </w:p>
        </w:tc>
      </w:tr>
    </w:tbl>
    <w:bookmarkEnd w:id="12"/>
    <w:p w14:paraId="5BB494FF" w14:textId="77777777" w:rsidR="00B269E7" w:rsidRDefault="00B269E7" w:rsidP="00B269E7">
      <w:pPr>
        <w:pStyle w:val="TableFigureFooter"/>
      </w:pPr>
      <w:r>
        <w:t>tbc = to be confirmed</w:t>
      </w:r>
    </w:p>
    <w:p w14:paraId="7F700E55" w14:textId="6CC3C3F5" w:rsidR="003A4C14" w:rsidRPr="00754DEE" w:rsidRDefault="09AF15AF">
      <w:pPr>
        <w:pStyle w:val="3-BodyText"/>
      </w:pPr>
      <w:r w:rsidRPr="00754DEE">
        <w:t>The submission proposed restrictions for</w:t>
      </w:r>
      <w:r w:rsidR="2593CC31" w:rsidRPr="00754DEE">
        <w:t>:</w:t>
      </w:r>
      <w:r w:rsidRPr="00754DEE">
        <w:t xml:space="preserve"> initial treatment for new patients</w:t>
      </w:r>
      <w:r w:rsidR="2593CC31" w:rsidRPr="00754DEE">
        <w:t>;</w:t>
      </w:r>
      <w:r w:rsidRPr="00754DEE">
        <w:t xml:space="preserve"> initial treatment after a break in biological medicine </w:t>
      </w:r>
      <w:r w:rsidR="2593CC31" w:rsidRPr="00754DEE">
        <w:t xml:space="preserve">treatment </w:t>
      </w:r>
      <w:r w:rsidRPr="00754DEE">
        <w:t>of less than 5</w:t>
      </w:r>
      <w:r w:rsidR="2593CC31" w:rsidRPr="00754DEE">
        <w:t xml:space="preserve"> years; </w:t>
      </w:r>
      <w:bookmarkStart w:id="13" w:name="_Hlk104809082"/>
      <w:r w:rsidR="2593CC31" w:rsidRPr="00754DEE">
        <w:t xml:space="preserve">initial treatment after a break in therapy of more than 5 years; balance of supply for each of these restrictions; continuing treatment; and a grandfathering restriction. The restrictions were modelled on the existing restrictions for adalimumab and secukinumab for HS. </w:t>
      </w:r>
    </w:p>
    <w:p w14:paraId="41A45083" w14:textId="6676A3E5" w:rsidR="009705A9" w:rsidRPr="00754DEE" w:rsidRDefault="003875F6">
      <w:pPr>
        <w:pStyle w:val="3-BodyText"/>
      </w:pPr>
      <w:r w:rsidRPr="00754DEE">
        <w:t xml:space="preserve">The </w:t>
      </w:r>
      <w:r w:rsidR="00AA5A56" w:rsidRPr="00754DEE">
        <w:t xml:space="preserve">proposed </w:t>
      </w:r>
      <w:r w:rsidRPr="00754DEE">
        <w:t xml:space="preserve">restriction </w:t>
      </w:r>
      <w:r w:rsidR="00AA5A56" w:rsidRPr="00754DEE">
        <w:t xml:space="preserve">does not match the inclusion criteria for the BE HEARD I/II trials in relation to prior antibiotic use. The trials required an inadequate response only to a single antibiotic, with no minimum duration of the course, and allowed enrolment of patients who had an adequate response but relapsed when the antibiotic was stopped. </w:t>
      </w:r>
    </w:p>
    <w:p w14:paraId="5E3DBD4D" w14:textId="10EA1272" w:rsidR="009705A9" w:rsidRPr="00754DEE" w:rsidRDefault="009705A9" w:rsidP="2B21198B">
      <w:pPr>
        <w:pStyle w:val="3-BodyText"/>
      </w:pPr>
      <w:r w:rsidRPr="00754DEE">
        <w:t xml:space="preserve">A similar discrepancy between the proposed restriction and the trial eligibility criteria was noted by PBAC in its consideration of secukinumab (paragraph 3.4, 6.13, 6.14, secukinumab </w:t>
      </w:r>
      <w:r w:rsidR="00844B71">
        <w:t>Public Summary Document</w:t>
      </w:r>
      <w:r w:rsidR="00741865">
        <w:t xml:space="preserve"> (</w:t>
      </w:r>
      <w:r w:rsidRPr="00754DEE">
        <w:t>PSD</w:t>
      </w:r>
      <w:r w:rsidR="00741865">
        <w:t>)</w:t>
      </w:r>
      <w:r w:rsidRPr="00754DEE">
        <w:t xml:space="preserve">, July 2023 PBAC Meeting). The sponsor of secukinumab </w:t>
      </w:r>
      <w:r w:rsidR="002D4432" w:rsidRPr="00754DEE">
        <w:t>responded</w:t>
      </w:r>
      <w:r w:rsidRPr="00754DEE">
        <w:t xml:space="preserve"> in the </w:t>
      </w:r>
      <w:r w:rsidR="005011B9" w:rsidRPr="005011B9">
        <w:rPr>
          <w:rFonts w:cstheme="minorHAnsi"/>
          <w:bCs/>
        </w:rPr>
        <w:t>Pre-Sub-Committee Response (PSCR)</w:t>
      </w:r>
      <w:r w:rsidR="005011B9">
        <w:rPr>
          <w:rFonts w:cstheme="minorHAnsi"/>
          <w:b/>
        </w:rPr>
        <w:t xml:space="preserve"> </w:t>
      </w:r>
      <w:r w:rsidRPr="00754DEE">
        <w:t>that "more than 80%" of the trial population had received antibiotics for HS and about 60% had stopped them for lack of efficacy. In BE HEARD I 80% of patients, and in BE HEARD II 90% had received prior antibiotics (BE HEARD I CSR; BE HEARD II CSR)</w:t>
      </w:r>
      <w:r w:rsidR="0044445C" w:rsidRPr="00754DEE">
        <w:t xml:space="preserve">, and most of the antibiotics reported were those commonly used for HS. </w:t>
      </w:r>
    </w:p>
    <w:p w14:paraId="603B945A" w14:textId="7ED2561C" w:rsidR="00AA5A56" w:rsidRPr="00754DEE" w:rsidRDefault="79F4D510">
      <w:pPr>
        <w:pStyle w:val="3-BodyText"/>
      </w:pPr>
      <w:r w:rsidRPr="00754DEE">
        <w:t xml:space="preserve">The proposed restriction requires an abscess + nodule count of at least three, while the BE HEARD I/II trials required a count of at least five. </w:t>
      </w:r>
      <w:r w:rsidR="0044445C" w:rsidRPr="00754DEE">
        <w:t xml:space="preserve">The same discrepancy was noted by PBAC in relation to secukinumab (paragraph 3.4, secukinumab PSD, </w:t>
      </w:r>
      <w:r w:rsidR="00D55F22" w:rsidRPr="00754DEE">
        <w:t>July</w:t>
      </w:r>
      <w:r w:rsidR="00D55F22">
        <w:t> </w:t>
      </w:r>
      <w:r w:rsidR="0044445C" w:rsidRPr="00754DEE">
        <w:t>2023 PBAC Meeting)</w:t>
      </w:r>
      <w:r w:rsidR="0008042B" w:rsidRPr="00754DEE">
        <w:t xml:space="preserve">, however the listing of secukinumab </w:t>
      </w:r>
      <w:r w:rsidR="00035B64" w:rsidRPr="00754DEE">
        <w:t>ultimately reflected that of adalimumab with respect to abscess and nodule counts</w:t>
      </w:r>
      <w:r w:rsidR="0044445C" w:rsidRPr="00754DEE">
        <w:t xml:space="preserve">. </w:t>
      </w:r>
    </w:p>
    <w:p w14:paraId="7423D259" w14:textId="28484948" w:rsidR="00EB2C36" w:rsidRPr="00660EBE" w:rsidRDefault="7F10788B" w:rsidP="00F12ED6">
      <w:pPr>
        <w:pStyle w:val="ExecSumBodyText"/>
        <w:numPr>
          <w:ilvl w:val="1"/>
          <w:numId w:val="1"/>
        </w:numPr>
      </w:pPr>
      <w:r w:rsidRPr="00660EBE">
        <w:lastRenderedPageBreak/>
        <w:t>An abridged</w:t>
      </w:r>
      <w:r w:rsidR="0D8E2BA4" w:rsidRPr="00660EBE">
        <w:t xml:space="preserve"> initial treatment restriction is shown below</w:t>
      </w:r>
      <w:r w:rsidR="39679CC1" w:rsidRPr="00660EBE">
        <w:t xml:space="preserve"> (without </w:t>
      </w:r>
      <w:r w:rsidR="6CFADB84" w:rsidRPr="00660EBE">
        <w:t xml:space="preserve">prescriber instructions and administrative </w:t>
      </w:r>
      <w:r w:rsidR="00667438" w:rsidRPr="00660EBE">
        <w:t>advice</w:t>
      </w:r>
      <w:r w:rsidR="6CFADB84" w:rsidRPr="00660EBE">
        <w:t>)</w:t>
      </w:r>
      <w:r w:rsidR="0D8E2BA4" w:rsidRPr="00660EBE">
        <w:t>.</w:t>
      </w:r>
      <w:r w:rsidR="0312E8E0" w:rsidRPr="00660EBE">
        <w:t xml:space="preserve"> Continuing and grandfather restrictions are not presented for brevity reasons.</w:t>
      </w:r>
      <w:r w:rsidR="0312E8E0" w:rsidRPr="004A0905">
        <w:t xml:space="preserve"> </w:t>
      </w:r>
      <w:r w:rsidR="00E02FFE">
        <w:t>Full restrictions recommended by the PBAC are in Section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3A4C14" w:rsidRPr="0098262F" w14:paraId="3EE8ABAE" w14:textId="77777777" w:rsidTr="2B21198B">
        <w:trPr>
          <w:cantSplit/>
          <w:trHeight w:val="20"/>
        </w:trPr>
        <w:tc>
          <w:tcPr>
            <w:tcW w:w="5000" w:type="pct"/>
          </w:tcPr>
          <w:p w14:paraId="3B622315" w14:textId="206A991C" w:rsidR="003A4C14" w:rsidRPr="0098262F" w:rsidRDefault="003A4C14" w:rsidP="002C36E3">
            <w:pPr>
              <w:pStyle w:val="TableText0"/>
            </w:pPr>
            <w:bookmarkStart w:id="14" w:name="_Hlk104809470"/>
            <w:bookmarkEnd w:id="13"/>
            <w:r w:rsidRPr="0098262F">
              <w:rPr>
                <w:b/>
              </w:rPr>
              <w:t xml:space="preserve">Category / Program: </w:t>
            </w:r>
            <w:r w:rsidRPr="0098262F">
              <w:t>General Schedule</w:t>
            </w:r>
          </w:p>
        </w:tc>
      </w:tr>
      <w:tr w:rsidR="003A4C14" w:rsidRPr="0098262F" w14:paraId="09416ED3" w14:textId="77777777" w:rsidTr="2B21198B">
        <w:trPr>
          <w:cantSplit/>
          <w:trHeight w:val="20"/>
        </w:trPr>
        <w:tc>
          <w:tcPr>
            <w:tcW w:w="5000" w:type="pct"/>
          </w:tcPr>
          <w:p w14:paraId="7D2ED8D5" w14:textId="106DE058" w:rsidR="003A4C14" w:rsidRPr="0098262F" w:rsidRDefault="003A4C14" w:rsidP="002C36E3">
            <w:pPr>
              <w:pStyle w:val="TableText0"/>
              <w:rPr>
                <w:b/>
              </w:rPr>
            </w:pPr>
            <w:r w:rsidRPr="0098262F">
              <w:rPr>
                <w:b/>
              </w:rPr>
              <w:t xml:space="preserve">Prescriber type: </w:t>
            </w:r>
            <w:r w:rsidRPr="0098262F">
              <w:fldChar w:fldCharType="begin">
                <w:ffData>
                  <w:name w:val="Check1"/>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Dental </w:t>
            </w:r>
            <w:r w:rsidR="00C33ACE">
              <w:fldChar w:fldCharType="begin">
                <w:ffData>
                  <w:name w:val=""/>
                  <w:enabled/>
                  <w:calcOnExit w:val="0"/>
                  <w:checkBox>
                    <w:sizeAuto/>
                    <w:default w:val="1"/>
                  </w:checkBox>
                </w:ffData>
              </w:fldChar>
            </w:r>
            <w:r w:rsidR="00C33ACE">
              <w:instrText xml:space="preserve"> FORMCHECKBOX </w:instrText>
            </w:r>
            <w:r w:rsidR="00C33ACE">
              <w:fldChar w:fldCharType="separate"/>
            </w:r>
            <w:r w:rsidR="00C33ACE">
              <w:fldChar w:fldCharType="end"/>
            </w:r>
            <w:r w:rsidRPr="0098262F">
              <w:t xml:space="preserve">Medical Practitioners </w:t>
            </w:r>
            <w:r w:rsidRPr="0098262F">
              <w:fldChar w:fldCharType="begin">
                <w:ffData>
                  <w:name w:val="Check3"/>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Nurse practitioners </w:t>
            </w:r>
            <w:r w:rsidRPr="0098262F">
              <w:fldChar w:fldCharType="begin">
                <w:ffData>
                  <w:name w:val=""/>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Optometrists </w:t>
            </w:r>
            <w:r w:rsidRPr="0098262F">
              <w:fldChar w:fldCharType="begin">
                <w:ffData>
                  <w:name w:val="Check5"/>
                  <w:enabled/>
                  <w:calcOnExit w:val="0"/>
                  <w:checkBox>
                    <w:sizeAuto/>
                    <w:default w:val="0"/>
                  </w:checkBox>
                </w:ffData>
              </w:fldChar>
            </w:r>
            <w:r w:rsidRPr="0098262F">
              <w:instrText xml:space="preserve"> FORMCHECKBOX </w:instrText>
            </w:r>
            <w:r w:rsidRPr="0098262F">
              <w:fldChar w:fldCharType="separate"/>
            </w:r>
            <w:r w:rsidRPr="0098262F">
              <w:fldChar w:fldCharType="end"/>
            </w:r>
          </w:p>
        </w:tc>
      </w:tr>
      <w:tr w:rsidR="003A4C14" w:rsidRPr="0098262F" w14:paraId="070CFDD2" w14:textId="77777777" w:rsidTr="2B21198B">
        <w:trPr>
          <w:cantSplit/>
          <w:trHeight w:val="20"/>
        </w:trPr>
        <w:tc>
          <w:tcPr>
            <w:tcW w:w="5000" w:type="pct"/>
          </w:tcPr>
          <w:p w14:paraId="3320A955" w14:textId="4DA02A93" w:rsidR="003A4C14" w:rsidRPr="0098262F" w:rsidRDefault="003A4C14" w:rsidP="002C36E3">
            <w:pPr>
              <w:pStyle w:val="TableText0"/>
              <w:rPr>
                <w:rFonts w:eastAsia="Times New Roman"/>
              </w:rPr>
            </w:pPr>
            <w:r w:rsidRPr="0098262F">
              <w:rPr>
                <w:b/>
              </w:rPr>
              <w:t xml:space="preserve">Restriction type: </w:t>
            </w:r>
            <w:r w:rsidR="00C33ACE">
              <w:rPr>
                <w:rFonts w:eastAsia="Times New Roman"/>
              </w:rPr>
              <w:fldChar w:fldCharType="begin">
                <w:ffData>
                  <w:name w:val=""/>
                  <w:enabled/>
                  <w:calcOnExit w:val="0"/>
                  <w:checkBox>
                    <w:sizeAuto/>
                    <w:default w:val="1"/>
                  </w:checkBox>
                </w:ffData>
              </w:fldChar>
            </w:r>
            <w:r w:rsidR="00C33ACE">
              <w:rPr>
                <w:rFonts w:eastAsia="Times New Roman"/>
              </w:rPr>
              <w:instrText xml:space="preserve"> FORMCHECKBOX </w:instrText>
            </w:r>
            <w:r w:rsidR="00C33ACE">
              <w:rPr>
                <w:rFonts w:eastAsia="Times New Roman"/>
              </w:rPr>
            </w:r>
            <w:r w:rsidR="00C33ACE">
              <w:rPr>
                <w:rFonts w:eastAsia="Times New Roman"/>
              </w:rPr>
              <w:fldChar w:fldCharType="separate"/>
            </w:r>
            <w:r w:rsidR="00C33ACE">
              <w:rPr>
                <w:rFonts w:eastAsia="Times New Roman"/>
              </w:rPr>
              <w:fldChar w:fldCharType="end"/>
            </w:r>
            <w:r w:rsidRPr="0098262F">
              <w:rPr>
                <w:rFonts w:eastAsia="Times New Roman"/>
              </w:rPr>
              <w:t xml:space="preserve">Authority Required (in writing only via post/HPOS upload)  </w:t>
            </w:r>
          </w:p>
        </w:tc>
      </w:tr>
      <w:tr w:rsidR="003A4C14" w:rsidRPr="0098262F" w14:paraId="520BD548" w14:textId="77777777" w:rsidTr="2B21198B">
        <w:trPr>
          <w:cantSplit/>
          <w:trHeight w:val="20"/>
        </w:trPr>
        <w:tc>
          <w:tcPr>
            <w:tcW w:w="5000" w:type="pct"/>
            <w:vAlign w:val="center"/>
          </w:tcPr>
          <w:p w14:paraId="200DF20E" w14:textId="4B99048A" w:rsidR="003A4C14" w:rsidRPr="00A871C2" w:rsidRDefault="003A4C14" w:rsidP="002C36E3">
            <w:pPr>
              <w:pStyle w:val="TableText0"/>
              <w:rPr>
                <w:bCs w:val="0"/>
              </w:rPr>
            </w:pPr>
            <w:r w:rsidRPr="0098262F">
              <w:rPr>
                <w:b/>
              </w:rPr>
              <w:t>Administrative Advice:</w:t>
            </w:r>
            <w:r w:rsidR="00A871C2">
              <w:rPr>
                <w:b/>
              </w:rPr>
              <w:t xml:space="preserve"> </w:t>
            </w:r>
            <w:r w:rsidR="00A871C2">
              <w:rPr>
                <w:bCs w:val="0"/>
              </w:rPr>
              <w:t xml:space="preserve">No increase in the maximum number of repeats may be authorised. </w:t>
            </w:r>
          </w:p>
        </w:tc>
      </w:tr>
      <w:tr w:rsidR="00A871C2" w:rsidRPr="0098262F" w14:paraId="03885451" w14:textId="77777777" w:rsidTr="2B21198B">
        <w:trPr>
          <w:cantSplit/>
          <w:trHeight w:val="20"/>
        </w:trPr>
        <w:tc>
          <w:tcPr>
            <w:tcW w:w="5000" w:type="pct"/>
            <w:vAlign w:val="center"/>
          </w:tcPr>
          <w:p w14:paraId="3F1AD5C9" w14:textId="1C6E66EA" w:rsidR="00A871C2" w:rsidRPr="00A871C2" w:rsidRDefault="00A871C2" w:rsidP="002C36E3">
            <w:pPr>
              <w:pStyle w:val="TableText0"/>
              <w:rPr>
                <w:bCs w:val="0"/>
              </w:rPr>
            </w:pPr>
            <w:r>
              <w:rPr>
                <w:b/>
              </w:rPr>
              <w:t>Administrative advice:</w:t>
            </w:r>
            <w:r>
              <w:rPr>
                <w:bCs w:val="0"/>
              </w:rPr>
              <w:t xml:space="preserve"> Special pricing arrangements apply.</w:t>
            </w:r>
          </w:p>
        </w:tc>
      </w:tr>
      <w:tr w:rsidR="003A4C14" w:rsidRPr="0098262F" w14:paraId="5AD67CF6" w14:textId="77777777" w:rsidTr="2B21198B">
        <w:trPr>
          <w:cantSplit/>
          <w:trHeight w:val="20"/>
        </w:trPr>
        <w:tc>
          <w:tcPr>
            <w:tcW w:w="5000" w:type="pct"/>
            <w:vAlign w:val="center"/>
          </w:tcPr>
          <w:p w14:paraId="61A039CE" w14:textId="370B31B8" w:rsidR="003A4C14" w:rsidRPr="00A871C2" w:rsidRDefault="003A4C14" w:rsidP="002C36E3">
            <w:pPr>
              <w:pStyle w:val="TableText0"/>
              <w:rPr>
                <w:bCs w:val="0"/>
              </w:rPr>
            </w:pPr>
            <w:r w:rsidRPr="0098262F">
              <w:rPr>
                <w:b/>
              </w:rPr>
              <w:t xml:space="preserve">Severity: </w:t>
            </w:r>
            <w:r w:rsidR="00A871C2">
              <w:rPr>
                <w:bCs w:val="0"/>
              </w:rPr>
              <w:t>Moderate to severe</w:t>
            </w:r>
          </w:p>
        </w:tc>
      </w:tr>
      <w:tr w:rsidR="003A4C14" w:rsidRPr="0098262F" w14:paraId="4473716B" w14:textId="77777777" w:rsidTr="2B21198B">
        <w:trPr>
          <w:cantSplit/>
          <w:trHeight w:val="20"/>
        </w:trPr>
        <w:tc>
          <w:tcPr>
            <w:tcW w:w="5000" w:type="pct"/>
            <w:vAlign w:val="center"/>
          </w:tcPr>
          <w:p w14:paraId="0C58C468" w14:textId="6BA2398F" w:rsidR="003A4C14" w:rsidRPr="00A871C2" w:rsidRDefault="003A4C14" w:rsidP="002C36E3">
            <w:pPr>
              <w:pStyle w:val="TableText0"/>
              <w:rPr>
                <w:bCs w:val="0"/>
              </w:rPr>
            </w:pPr>
            <w:r w:rsidRPr="0098262F">
              <w:rPr>
                <w:b/>
              </w:rPr>
              <w:t xml:space="preserve">Condition: </w:t>
            </w:r>
            <w:r w:rsidR="00A871C2">
              <w:rPr>
                <w:bCs w:val="0"/>
              </w:rPr>
              <w:t>Hidradenitis suppurativa</w:t>
            </w:r>
          </w:p>
        </w:tc>
      </w:tr>
      <w:tr w:rsidR="003A4C14" w:rsidRPr="0098262F" w14:paraId="5BFE3347" w14:textId="77777777" w:rsidTr="2B21198B">
        <w:trPr>
          <w:cantSplit/>
          <w:trHeight w:val="20"/>
        </w:trPr>
        <w:tc>
          <w:tcPr>
            <w:tcW w:w="5000" w:type="pct"/>
            <w:vAlign w:val="center"/>
            <w:hideMark/>
          </w:tcPr>
          <w:p w14:paraId="3296BDDA" w14:textId="26F50DB6" w:rsidR="003A4C14" w:rsidRPr="0098262F" w:rsidRDefault="003A4C14" w:rsidP="002C36E3">
            <w:pPr>
              <w:pStyle w:val="TableText0"/>
            </w:pPr>
            <w:r w:rsidRPr="0098262F">
              <w:rPr>
                <w:b/>
              </w:rPr>
              <w:t>Indication:</w:t>
            </w:r>
            <w:r w:rsidRPr="0098262F">
              <w:t xml:space="preserve"> </w:t>
            </w:r>
            <w:r w:rsidR="00A871C2" w:rsidRPr="00A871C2">
              <w:t>Moderate to severe hidradenitis suppurativa</w:t>
            </w:r>
          </w:p>
        </w:tc>
      </w:tr>
      <w:tr w:rsidR="003A4C14" w:rsidRPr="0098262F" w14:paraId="7A6417F7" w14:textId="77777777" w:rsidTr="2B21198B">
        <w:trPr>
          <w:cantSplit/>
          <w:trHeight w:val="20"/>
        </w:trPr>
        <w:tc>
          <w:tcPr>
            <w:tcW w:w="5000" w:type="pct"/>
            <w:vAlign w:val="center"/>
            <w:hideMark/>
          </w:tcPr>
          <w:p w14:paraId="655B4B49" w14:textId="10AD2D47" w:rsidR="003A4C14" w:rsidRPr="0098262F" w:rsidRDefault="003A4C14" w:rsidP="002C36E3">
            <w:pPr>
              <w:pStyle w:val="TableText0"/>
            </w:pPr>
            <w:r w:rsidRPr="0098262F">
              <w:rPr>
                <w:b/>
              </w:rPr>
              <w:t>Treatment Phase:</w:t>
            </w:r>
            <w:r w:rsidRPr="0098262F">
              <w:t xml:space="preserve"> </w:t>
            </w:r>
            <w:r w:rsidR="00A871C2">
              <w:t>Initial treatment – Initial 1 (new patient)</w:t>
            </w:r>
          </w:p>
        </w:tc>
      </w:tr>
      <w:tr w:rsidR="003A4C14" w:rsidRPr="0098262F" w14:paraId="3ABBD2EC" w14:textId="77777777" w:rsidTr="2B21198B">
        <w:trPr>
          <w:cantSplit/>
          <w:trHeight w:val="20"/>
        </w:trPr>
        <w:tc>
          <w:tcPr>
            <w:tcW w:w="5000" w:type="pct"/>
            <w:vAlign w:val="center"/>
            <w:hideMark/>
          </w:tcPr>
          <w:p w14:paraId="5D485398" w14:textId="77777777" w:rsidR="003A4C14" w:rsidRPr="0098262F" w:rsidRDefault="003A4C14" w:rsidP="002C36E3">
            <w:pPr>
              <w:pStyle w:val="TableText0"/>
            </w:pPr>
            <w:r w:rsidRPr="0098262F">
              <w:rPr>
                <w:b/>
              </w:rPr>
              <w:t>Clinical criteria:</w:t>
            </w:r>
          </w:p>
        </w:tc>
      </w:tr>
      <w:tr w:rsidR="003A4C14" w:rsidRPr="0098262F" w14:paraId="26BA494C" w14:textId="77777777" w:rsidTr="2B21198B">
        <w:trPr>
          <w:cantSplit/>
          <w:trHeight w:val="20"/>
        </w:trPr>
        <w:tc>
          <w:tcPr>
            <w:tcW w:w="5000" w:type="pct"/>
            <w:vAlign w:val="center"/>
            <w:hideMark/>
          </w:tcPr>
          <w:p w14:paraId="1A0AADCD" w14:textId="559372FB" w:rsidR="003A4C14" w:rsidRPr="0098262F" w:rsidRDefault="00A871C2" w:rsidP="002C36E3">
            <w:pPr>
              <w:pStyle w:val="TableText0"/>
            </w:pPr>
            <w:r w:rsidRPr="00A871C2">
              <w:t xml:space="preserve">Patient </w:t>
            </w:r>
            <w:r w:rsidR="00667438" w:rsidRPr="00A871C2">
              <w:t>must have</w:t>
            </w:r>
            <w:r w:rsidRPr="00A871C2">
              <w:t xml:space="preserve"> at the time of application, a Hurley stage II or III grading with an abscess and inflammatory nodule (AN) count greater than or equal to 3</w:t>
            </w:r>
          </w:p>
        </w:tc>
      </w:tr>
      <w:tr w:rsidR="003A4C14" w:rsidRPr="0098262F" w14:paraId="1541981C" w14:textId="77777777" w:rsidTr="2B21198B">
        <w:trPr>
          <w:cantSplit/>
          <w:trHeight w:val="20"/>
        </w:trPr>
        <w:tc>
          <w:tcPr>
            <w:tcW w:w="5000" w:type="pct"/>
            <w:vAlign w:val="center"/>
            <w:hideMark/>
          </w:tcPr>
          <w:p w14:paraId="6F3D1453" w14:textId="77777777" w:rsidR="003A4C14" w:rsidRPr="0098262F" w:rsidRDefault="003A4C14" w:rsidP="002C36E3">
            <w:pPr>
              <w:pStyle w:val="TableText0"/>
            </w:pPr>
            <w:r w:rsidRPr="0098262F">
              <w:rPr>
                <w:b/>
              </w:rPr>
              <w:t>AND</w:t>
            </w:r>
          </w:p>
        </w:tc>
      </w:tr>
      <w:tr w:rsidR="003A4C14" w:rsidRPr="0098262F" w14:paraId="018890B8" w14:textId="77777777" w:rsidTr="2B21198B">
        <w:trPr>
          <w:cantSplit/>
          <w:trHeight w:val="20"/>
        </w:trPr>
        <w:tc>
          <w:tcPr>
            <w:tcW w:w="5000" w:type="pct"/>
            <w:vAlign w:val="center"/>
            <w:hideMark/>
          </w:tcPr>
          <w:p w14:paraId="79CB2648" w14:textId="77777777" w:rsidR="003A4C14" w:rsidRPr="0098262F" w:rsidRDefault="003A4C14" w:rsidP="002C36E3">
            <w:pPr>
              <w:pStyle w:val="TableText0"/>
            </w:pPr>
            <w:r w:rsidRPr="0098262F">
              <w:rPr>
                <w:b/>
              </w:rPr>
              <w:t>Clinical criteria:</w:t>
            </w:r>
          </w:p>
        </w:tc>
      </w:tr>
      <w:tr w:rsidR="003A4C14" w:rsidRPr="0098262F" w14:paraId="1096E289" w14:textId="77777777" w:rsidTr="2B21198B">
        <w:trPr>
          <w:cantSplit/>
          <w:trHeight w:val="20"/>
        </w:trPr>
        <w:tc>
          <w:tcPr>
            <w:tcW w:w="5000" w:type="pct"/>
            <w:vAlign w:val="center"/>
            <w:hideMark/>
          </w:tcPr>
          <w:p w14:paraId="16929626" w14:textId="3F28AF7B" w:rsidR="003A4C14" w:rsidRPr="0098262F" w:rsidRDefault="00A871C2" w:rsidP="002C36E3">
            <w:pPr>
              <w:pStyle w:val="TableText0"/>
              <w:rPr>
                <w:color w:val="0066FF"/>
              </w:rPr>
            </w:pPr>
            <w:r w:rsidRPr="00A871C2">
              <w:t>Patient must have failed to achieve an adequate response to 2 courses of different antibiotics each for 3 months prior to initiation of PBS subsidised treatment with this drug for this condition;</w:t>
            </w:r>
          </w:p>
        </w:tc>
      </w:tr>
      <w:tr w:rsidR="00A871C2" w:rsidRPr="0098262F" w14:paraId="081D9EC1" w14:textId="77777777" w:rsidTr="2B21198B">
        <w:trPr>
          <w:cantSplit/>
          <w:trHeight w:val="20"/>
        </w:trPr>
        <w:tc>
          <w:tcPr>
            <w:tcW w:w="5000" w:type="pct"/>
            <w:vAlign w:val="center"/>
          </w:tcPr>
          <w:p w14:paraId="7DDFA72F" w14:textId="445913D3" w:rsidR="00A871C2" w:rsidRPr="00A871C2" w:rsidRDefault="00A871C2" w:rsidP="002C36E3">
            <w:pPr>
              <w:pStyle w:val="TableText0"/>
              <w:rPr>
                <w:b/>
                <w:bCs w:val="0"/>
              </w:rPr>
            </w:pPr>
            <w:r>
              <w:rPr>
                <w:b/>
                <w:bCs w:val="0"/>
              </w:rPr>
              <w:t>OR</w:t>
            </w:r>
          </w:p>
        </w:tc>
      </w:tr>
      <w:tr w:rsidR="00A871C2" w:rsidRPr="0098262F" w14:paraId="572E9F7B" w14:textId="77777777" w:rsidTr="2B21198B">
        <w:trPr>
          <w:cantSplit/>
          <w:trHeight w:val="20"/>
        </w:trPr>
        <w:tc>
          <w:tcPr>
            <w:tcW w:w="5000" w:type="pct"/>
            <w:vAlign w:val="center"/>
          </w:tcPr>
          <w:p w14:paraId="2B50D601" w14:textId="10C0AAD7" w:rsidR="00A871C2" w:rsidRPr="00A871C2" w:rsidRDefault="2AB78F4F" w:rsidP="002C36E3">
            <w:pPr>
              <w:pStyle w:val="TableText0"/>
            </w:pPr>
            <w:r w:rsidRPr="2B21198B">
              <w:t>Patient must have had an adverse reaction to an antibiotic of a severity necessitating permanent treatment withdrawal resulting in the patient being unable to complete treatment with 2 different courses of antibiotics each for 3 months prior to initiation of PBS-subsidised treatment with this drug for this condition;</w:t>
            </w:r>
          </w:p>
        </w:tc>
      </w:tr>
      <w:tr w:rsidR="00A871C2" w:rsidRPr="0098262F" w14:paraId="4272F742" w14:textId="77777777" w:rsidTr="2B21198B">
        <w:trPr>
          <w:cantSplit/>
          <w:trHeight w:val="20"/>
        </w:trPr>
        <w:tc>
          <w:tcPr>
            <w:tcW w:w="5000" w:type="pct"/>
            <w:vAlign w:val="center"/>
          </w:tcPr>
          <w:p w14:paraId="6134D241" w14:textId="26109323" w:rsidR="00A871C2" w:rsidRPr="00A871C2" w:rsidRDefault="00A871C2" w:rsidP="002C36E3">
            <w:pPr>
              <w:pStyle w:val="TableText0"/>
              <w:rPr>
                <w:b/>
                <w:bCs w:val="0"/>
              </w:rPr>
            </w:pPr>
            <w:r w:rsidRPr="00A871C2">
              <w:rPr>
                <w:b/>
                <w:bCs w:val="0"/>
              </w:rPr>
              <w:t>OR</w:t>
            </w:r>
          </w:p>
        </w:tc>
      </w:tr>
      <w:tr w:rsidR="00A871C2" w:rsidRPr="0098262F" w14:paraId="3C5DEB2C" w14:textId="77777777" w:rsidTr="2B21198B">
        <w:trPr>
          <w:cantSplit/>
          <w:trHeight w:val="20"/>
        </w:trPr>
        <w:tc>
          <w:tcPr>
            <w:tcW w:w="5000" w:type="pct"/>
            <w:vAlign w:val="center"/>
          </w:tcPr>
          <w:p w14:paraId="6A28DAC7" w14:textId="3F600EAC" w:rsidR="00A871C2" w:rsidRPr="00A871C2" w:rsidRDefault="2AB78F4F" w:rsidP="2B21198B">
            <w:pPr>
              <w:pStyle w:val="TableText0"/>
              <w:rPr>
                <w:b/>
              </w:rPr>
            </w:pPr>
            <w:r w:rsidRPr="2B21198B">
              <w:rPr>
                <w:rFonts w:eastAsia="Times New Roman" w:cs="Times New Roman"/>
              </w:rPr>
              <w:t>Patient must be contraindicated to treatment with an antibiotic due to an allergic reaction of a severity necessitating permanent treatment withdrawal resulting in the patient being unable to complete treatment with 2 different courses of antibiotics each for 3 months prior to initiation of PBS-subsidised treatment with this drug for this condition</w:t>
            </w:r>
            <w:r w:rsidR="488F266A" w:rsidRPr="2B21198B">
              <w:rPr>
                <w:rFonts w:eastAsia="Times New Roman" w:cs="Times New Roman"/>
              </w:rPr>
              <w:t>;</w:t>
            </w:r>
          </w:p>
        </w:tc>
      </w:tr>
      <w:tr w:rsidR="0087789C" w:rsidRPr="0098262F" w14:paraId="596BEAB4" w14:textId="77777777" w:rsidTr="2B21198B">
        <w:trPr>
          <w:cantSplit/>
          <w:trHeight w:val="20"/>
        </w:trPr>
        <w:tc>
          <w:tcPr>
            <w:tcW w:w="5000" w:type="pct"/>
            <w:vAlign w:val="center"/>
          </w:tcPr>
          <w:p w14:paraId="54B907C5" w14:textId="02E4BB5D" w:rsidR="0087789C" w:rsidRPr="0087789C" w:rsidRDefault="0087789C" w:rsidP="002C36E3">
            <w:pPr>
              <w:pStyle w:val="TableText0"/>
              <w:rPr>
                <w:rFonts w:eastAsia="Times New Roman" w:cs="Times New Roman"/>
                <w:szCs w:val="20"/>
              </w:rPr>
            </w:pPr>
            <w:r>
              <w:rPr>
                <w:rFonts w:eastAsia="Times New Roman" w:cs="Times New Roman"/>
                <w:b/>
                <w:bCs w:val="0"/>
                <w:szCs w:val="20"/>
              </w:rPr>
              <w:t>AND</w:t>
            </w:r>
          </w:p>
        </w:tc>
      </w:tr>
      <w:tr w:rsidR="0087789C" w:rsidRPr="0098262F" w14:paraId="0312B754" w14:textId="77777777" w:rsidTr="2B21198B">
        <w:trPr>
          <w:cantSplit/>
          <w:trHeight w:val="20"/>
        </w:trPr>
        <w:tc>
          <w:tcPr>
            <w:tcW w:w="5000" w:type="pct"/>
            <w:vAlign w:val="center"/>
          </w:tcPr>
          <w:p w14:paraId="0F9931A8" w14:textId="474B50B3" w:rsidR="0087789C" w:rsidRDefault="0087789C" w:rsidP="002C36E3">
            <w:pPr>
              <w:pStyle w:val="TableText0"/>
              <w:rPr>
                <w:rFonts w:eastAsia="Times New Roman" w:cs="Times New Roman"/>
                <w:b/>
                <w:bCs w:val="0"/>
                <w:szCs w:val="20"/>
              </w:rPr>
            </w:pPr>
            <w:r w:rsidRPr="0098262F">
              <w:rPr>
                <w:b/>
              </w:rPr>
              <w:t>Clinical criteria:</w:t>
            </w:r>
          </w:p>
        </w:tc>
      </w:tr>
      <w:tr w:rsidR="0087789C" w:rsidRPr="0098262F" w14:paraId="6B4ED91D" w14:textId="77777777" w:rsidTr="2B21198B">
        <w:trPr>
          <w:cantSplit/>
          <w:trHeight w:val="20"/>
        </w:trPr>
        <w:tc>
          <w:tcPr>
            <w:tcW w:w="5000" w:type="pct"/>
            <w:vAlign w:val="center"/>
          </w:tcPr>
          <w:p w14:paraId="1FE9E6FA" w14:textId="4BAA9061" w:rsidR="0087789C" w:rsidRPr="0087789C" w:rsidRDefault="0087789C" w:rsidP="002C36E3">
            <w:pPr>
              <w:pStyle w:val="TableText0"/>
              <w:rPr>
                <w:bCs w:val="0"/>
              </w:rPr>
            </w:pPr>
            <w:r w:rsidRPr="0087789C">
              <w:rPr>
                <w:bCs w:val="0"/>
              </w:rPr>
              <w:t>Patient must not have received PBS-subsidised treatment with a biological medicine for this condition</w:t>
            </w:r>
          </w:p>
        </w:tc>
      </w:tr>
      <w:tr w:rsidR="0087789C" w:rsidRPr="0098262F" w14:paraId="47F23AA6" w14:textId="77777777" w:rsidTr="2B21198B">
        <w:trPr>
          <w:cantSplit/>
          <w:trHeight w:val="20"/>
        </w:trPr>
        <w:tc>
          <w:tcPr>
            <w:tcW w:w="5000" w:type="pct"/>
            <w:vAlign w:val="center"/>
          </w:tcPr>
          <w:p w14:paraId="4C7F3A73" w14:textId="41CD0530" w:rsidR="0087789C" w:rsidRPr="0087789C" w:rsidRDefault="0087789C" w:rsidP="002C36E3">
            <w:pPr>
              <w:pStyle w:val="TableText0"/>
              <w:rPr>
                <w:b/>
              </w:rPr>
            </w:pPr>
            <w:r>
              <w:rPr>
                <w:b/>
              </w:rPr>
              <w:t>AND</w:t>
            </w:r>
          </w:p>
        </w:tc>
      </w:tr>
      <w:tr w:rsidR="0087789C" w:rsidRPr="0098262F" w14:paraId="0E55EDE9" w14:textId="77777777" w:rsidTr="2B21198B">
        <w:trPr>
          <w:cantSplit/>
          <w:trHeight w:val="20"/>
        </w:trPr>
        <w:tc>
          <w:tcPr>
            <w:tcW w:w="5000" w:type="pct"/>
            <w:vAlign w:val="center"/>
          </w:tcPr>
          <w:p w14:paraId="2E7D0C84" w14:textId="43405D94" w:rsidR="0087789C" w:rsidRDefault="0087789C" w:rsidP="002C36E3">
            <w:pPr>
              <w:pStyle w:val="TableText0"/>
              <w:rPr>
                <w:b/>
              </w:rPr>
            </w:pPr>
            <w:r w:rsidRPr="0098262F">
              <w:rPr>
                <w:b/>
              </w:rPr>
              <w:t>Clinical criteria:</w:t>
            </w:r>
          </w:p>
        </w:tc>
      </w:tr>
      <w:tr w:rsidR="0087789C" w:rsidRPr="0098262F" w14:paraId="21B5A054" w14:textId="77777777" w:rsidTr="2B21198B">
        <w:trPr>
          <w:cantSplit/>
          <w:trHeight w:val="20"/>
        </w:trPr>
        <w:tc>
          <w:tcPr>
            <w:tcW w:w="5000" w:type="pct"/>
            <w:vAlign w:val="center"/>
          </w:tcPr>
          <w:p w14:paraId="5FA395C5" w14:textId="7DBF7402" w:rsidR="0087789C" w:rsidRPr="0087789C" w:rsidRDefault="0087789C" w:rsidP="002C36E3">
            <w:pPr>
              <w:pStyle w:val="TableText0"/>
              <w:rPr>
                <w:bCs w:val="0"/>
              </w:rPr>
            </w:pPr>
            <w:r w:rsidRPr="00F407A6">
              <w:rPr>
                <w:rFonts w:eastAsia="Times New Roman" w:cs="Times New Roman"/>
                <w:szCs w:val="20"/>
              </w:rPr>
              <w:t>Patient must not receive more than 16 weeks of treatment under this restriction</w:t>
            </w:r>
          </w:p>
        </w:tc>
      </w:tr>
      <w:tr w:rsidR="003A4C14" w:rsidRPr="0098262F" w14:paraId="1E0CC9FB" w14:textId="77777777" w:rsidTr="2B21198B">
        <w:trPr>
          <w:cantSplit/>
          <w:trHeight w:val="20"/>
        </w:trPr>
        <w:tc>
          <w:tcPr>
            <w:tcW w:w="5000" w:type="pct"/>
            <w:vAlign w:val="center"/>
            <w:hideMark/>
          </w:tcPr>
          <w:p w14:paraId="6E11057F" w14:textId="77777777" w:rsidR="003A4C14" w:rsidRPr="0098262F" w:rsidRDefault="003A4C14" w:rsidP="002C36E3">
            <w:pPr>
              <w:pStyle w:val="TableText0"/>
            </w:pPr>
            <w:r w:rsidRPr="0098262F">
              <w:rPr>
                <w:b/>
              </w:rPr>
              <w:t>Treatment criteria:</w:t>
            </w:r>
          </w:p>
        </w:tc>
      </w:tr>
      <w:tr w:rsidR="003A4C14" w:rsidRPr="0098262F" w14:paraId="3FEBA230" w14:textId="77777777" w:rsidTr="2B21198B">
        <w:trPr>
          <w:cantSplit/>
          <w:trHeight w:val="20"/>
        </w:trPr>
        <w:tc>
          <w:tcPr>
            <w:tcW w:w="5000" w:type="pct"/>
            <w:vAlign w:val="center"/>
            <w:hideMark/>
          </w:tcPr>
          <w:p w14:paraId="5EECDD1E" w14:textId="27D7EAB6" w:rsidR="003A4C14" w:rsidRPr="0087789C" w:rsidRDefault="0087789C" w:rsidP="002C36E3">
            <w:pPr>
              <w:pStyle w:val="TableText0"/>
            </w:pPr>
            <w:r w:rsidRPr="0087789C">
              <w:t>Must be treated by a dermatologist</w:t>
            </w:r>
          </w:p>
        </w:tc>
      </w:tr>
    </w:tbl>
    <w:bookmarkEnd w:id="14"/>
    <w:p w14:paraId="278B310D" w14:textId="4680C82C" w:rsidR="009B42DF" w:rsidRPr="00733AFE" w:rsidRDefault="3644A589" w:rsidP="2B21198B">
      <w:pPr>
        <w:pStyle w:val="3-BodyText"/>
        <w:rPr>
          <w:color w:val="0066FF"/>
        </w:rPr>
      </w:pPr>
      <w:r w:rsidRPr="2B21198B">
        <w:t xml:space="preserve">The submission proposed that the published price for the HS indication for bimekizumab should be the same as the current published price for the other indications. The effective price was proposed to be based on the effective price for secukinumab used in the cost minimisation </w:t>
      </w:r>
      <w:r w:rsidR="006F42D2">
        <w:t>approach</w:t>
      </w:r>
      <w:r w:rsidRPr="2B21198B">
        <w:t xml:space="preserve">. </w:t>
      </w:r>
    </w:p>
    <w:p w14:paraId="1DFC7757" w14:textId="20549F29" w:rsidR="00733AFE" w:rsidRPr="00C33D30" w:rsidRDefault="00733AFE" w:rsidP="00DE49FC">
      <w:pPr>
        <w:spacing w:before="120" w:after="120"/>
        <w:ind w:firstLine="709"/>
        <w:rPr>
          <w:rFonts w:asciiTheme="minorHAnsi" w:hAnsiTheme="minorHAnsi"/>
          <w:i/>
        </w:rPr>
      </w:pPr>
      <w:r w:rsidRPr="00C33D30">
        <w:rPr>
          <w:rFonts w:asciiTheme="minorHAnsi" w:hAnsiTheme="minorHAnsi"/>
          <w:i/>
        </w:rPr>
        <w:t>For more detail on PBAC’s view, see section 7 PBAC outcome.</w:t>
      </w:r>
    </w:p>
    <w:p w14:paraId="7075B85C" w14:textId="62A47B7B" w:rsidR="00B50DB8" w:rsidRPr="0098262F" w:rsidDel="00195452" w:rsidRDefault="00203181" w:rsidP="004E18E9">
      <w:pPr>
        <w:pStyle w:val="2-SectionHeading"/>
      </w:pPr>
      <w:bookmarkStart w:id="15" w:name="_Toc192760445"/>
      <w:r w:rsidRPr="0098262F" w:rsidDel="00195452">
        <w:t xml:space="preserve">Population and </w:t>
      </w:r>
      <w:r w:rsidR="008E0D3C" w:rsidRPr="0098262F" w:rsidDel="00195452">
        <w:t>d</w:t>
      </w:r>
      <w:r w:rsidRPr="0098262F" w:rsidDel="00195452">
        <w:t>isease</w:t>
      </w:r>
      <w:bookmarkEnd w:id="15"/>
    </w:p>
    <w:p w14:paraId="78823C87" w14:textId="31949F11" w:rsidR="002037F4" w:rsidRPr="00754DEE" w:rsidRDefault="661AE3E5" w:rsidP="2B21198B">
      <w:pPr>
        <w:pStyle w:val="3-BodyText"/>
        <w:rPr>
          <w:color w:val="000000" w:themeColor="text1"/>
        </w:rPr>
      </w:pPr>
      <w:r w:rsidRPr="00754DEE">
        <w:rPr>
          <w:color w:val="000000" w:themeColor="text1"/>
        </w:rPr>
        <w:t xml:space="preserve">HS is a chronic inflammatory disease of hair follicles mainly in intertriginous (axilla, groin, perineal, perianal) skin. </w:t>
      </w:r>
      <w:r w:rsidR="7AEE9F25" w:rsidRPr="00754DEE">
        <w:rPr>
          <w:color w:val="000000" w:themeColor="text1"/>
        </w:rPr>
        <w:t>It is hypothesised that obstruction of follicles</w:t>
      </w:r>
      <w:r w:rsidR="4BF0BF7B" w:rsidRPr="00754DEE">
        <w:rPr>
          <w:color w:val="000000" w:themeColor="text1"/>
        </w:rPr>
        <w:t xml:space="preserve"> together </w:t>
      </w:r>
      <w:r w:rsidR="4BF0BF7B" w:rsidRPr="00754DEE">
        <w:rPr>
          <w:color w:val="000000" w:themeColor="text1"/>
        </w:rPr>
        <w:lastRenderedPageBreak/>
        <w:t>with the mechanical stresses on intertriginous skin</w:t>
      </w:r>
      <w:r w:rsidR="7AEE9F25" w:rsidRPr="00754DEE">
        <w:rPr>
          <w:color w:val="000000" w:themeColor="text1"/>
        </w:rPr>
        <w:t xml:space="preserve"> </w:t>
      </w:r>
      <w:r w:rsidR="005361BF" w:rsidRPr="00754DEE">
        <w:rPr>
          <w:color w:val="000000" w:themeColor="text1"/>
        </w:rPr>
        <w:t>led</w:t>
      </w:r>
      <w:r w:rsidR="7AEE9F25" w:rsidRPr="00754DEE">
        <w:rPr>
          <w:color w:val="000000" w:themeColor="text1"/>
        </w:rPr>
        <w:t xml:space="preserve"> to follicular rupture, peri-follicular inflammation and, in more severe cases, the formation of painful nodules</w:t>
      </w:r>
      <w:r w:rsidR="65A9CC5E" w:rsidRPr="00754DEE">
        <w:rPr>
          <w:color w:val="000000" w:themeColor="text1"/>
        </w:rPr>
        <w:t>,</w:t>
      </w:r>
      <w:r w:rsidR="7AEE9F25" w:rsidRPr="00754DEE">
        <w:rPr>
          <w:color w:val="000000" w:themeColor="text1"/>
        </w:rPr>
        <w:t xml:space="preserve"> abscesses and </w:t>
      </w:r>
      <w:r w:rsidR="7D74F3A1" w:rsidRPr="00754DEE">
        <w:rPr>
          <w:color w:val="000000" w:themeColor="text1"/>
        </w:rPr>
        <w:t>sinus tracts or fistulae, often extensive and intercommunicating and referred to as skin tunnels</w:t>
      </w:r>
      <w:r w:rsidR="7AEE9F25" w:rsidRPr="00754DEE">
        <w:rPr>
          <w:color w:val="000000" w:themeColor="text1"/>
        </w:rPr>
        <w:t xml:space="preserve">. </w:t>
      </w:r>
      <w:r w:rsidR="4BF0BF7B" w:rsidRPr="00754DEE">
        <w:rPr>
          <w:color w:val="000000" w:themeColor="text1"/>
        </w:rPr>
        <w:t xml:space="preserve">Obesity and smoking are </w:t>
      </w:r>
      <w:r w:rsidR="08AB1297" w:rsidRPr="00754DEE">
        <w:rPr>
          <w:color w:val="000000" w:themeColor="text1"/>
        </w:rPr>
        <w:t xml:space="preserve">strongly </w:t>
      </w:r>
      <w:r w:rsidR="4BF0BF7B" w:rsidRPr="00754DEE">
        <w:rPr>
          <w:color w:val="000000" w:themeColor="text1"/>
        </w:rPr>
        <w:t xml:space="preserve">associated with HS, and there is a genetic component related to control of inflammation. </w:t>
      </w:r>
    </w:p>
    <w:p w14:paraId="79632109" w14:textId="77777777" w:rsidR="00166E84" w:rsidRPr="00754DEE" w:rsidRDefault="7D74F3A1" w:rsidP="2B21198B">
      <w:pPr>
        <w:pStyle w:val="3-BodyText"/>
        <w:rPr>
          <w:color w:val="000000" w:themeColor="text1"/>
        </w:rPr>
      </w:pPr>
      <w:r w:rsidRPr="00754DEE">
        <w:rPr>
          <w:color w:val="000000" w:themeColor="text1"/>
        </w:rPr>
        <w:t xml:space="preserve">Prevalence is </w:t>
      </w:r>
      <w:r w:rsidR="65A9CC5E" w:rsidRPr="00754DEE">
        <w:rPr>
          <w:color w:val="000000" w:themeColor="text1"/>
        </w:rPr>
        <w:t>around 1%</w:t>
      </w:r>
      <w:r w:rsidRPr="00754DEE">
        <w:rPr>
          <w:color w:val="000000" w:themeColor="text1"/>
        </w:rPr>
        <w:t xml:space="preserve"> of the population</w:t>
      </w:r>
      <w:r w:rsidR="65A9CC5E" w:rsidRPr="00754DEE">
        <w:rPr>
          <w:color w:val="000000" w:themeColor="text1"/>
        </w:rPr>
        <w:t>. However, d</w:t>
      </w:r>
      <w:r w:rsidR="7AEE9F25" w:rsidRPr="00754DEE">
        <w:rPr>
          <w:color w:val="000000" w:themeColor="text1"/>
        </w:rPr>
        <w:t>iagnosis is often delayed an</w:t>
      </w:r>
      <w:r w:rsidR="65A9CC5E" w:rsidRPr="00754DEE">
        <w:rPr>
          <w:color w:val="000000" w:themeColor="text1"/>
        </w:rPr>
        <w:t>d</w:t>
      </w:r>
      <w:r w:rsidR="7AEE9F25" w:rsidRPr="00754DEE">
        <w:rPr>
          <w:color w:val="000000" w:themeColor="text1"/>
        </w:rPr>
        <w:t xml:space="preserve"> </w:t>
      </w:r>
      <w:r w:rsidR="65A9CC5E" w:rsidRPr="00754DEE">
        <w:rPr>
          <w:color w:val="000000" w:themeColor="text1"/>
        </w:rPr>
        <w:t xml:space="preserve">many milder cases are never </w:t>
      </w:r>
      <w:r w:rsidR="7AEE9F25" w:rsidRPr="00754DEE">
        <w:rPr>
          <w:color w:val="000000" w:themeColor="text1"/>
        </w:rPr>
        <w:t xml:space="preserve">diagnosed. Women are more commonly affected than men. </w:t>
      </w:r>
    </w:p>
    <w:p w14:paraId="0029F4CB" w14:textId="7D5D4925" w:rsidR="00E8503E" w:rsidRPr="00754DEE" w:rsidRDefault="00166E84">
      <w:pPr>
        <w:pStyle w:val="3-BodyText"/>
        <w:rPr>
          <w:color w:val="000000" w:themeColor="text1"/>
        </w:rPr>
      </w:pPr>
      <w:r w:rsidRPr="00754DEE">
        <w:rPr>
          <w:color w:val="000000" w:themeColor="text1"/>
        </w:rPr>
        <w:t xml:space="preserve">Severity of HS is graded as Hurley Stage; </w:t>
      </w:r>
      <w:r w:rsidR="008A79AF" w:rsidRPr="00754DEE">
        <w:rPr>
          <w:color w:val="000000" w:themeColor="text1"/>
        </w:rPr>
        <w:t>Hurley Stage I = inflammatory nodules without skin tunnels or scarring</w:t>
      </w:r>
      <w:r w:rsidRPr="00754DEE">
        <w:rPr>
          <w:color w:val="000000" w:themeColor="text1"/>
        </w:rPr>
        <w:t>; Stage II is recurrent nodules and abscesses with draining tunnels or scarring, but lesions are separated by normal skin; Stage III is nodules, abscesses and draining tunnels or scarring and no normal skin separating lesions</w:t>
      </w:r>
      <w:r w:rsidR="008A79AF" w:rsidRPr="00754DEE">
        <w:rPr>
          <w:color w:val="000000" w:themeColor="text1"/>
        </w:rPr>
        <w:t xml:space="preserve">. </w:t>
      </w:r>
      <w:r w:rsidRPr="00754DEE">
        <w:rPr>
          <w:color w:val="000000" w:themeColor="text1"/>
        </w:rPr>
        <w:t xml:space="preserve">Most patients are Stage I. </w:t>
      </w:r>
    </w:p>
    <w:p w14:paraId="21FDD135" w14:textId="38120C04" w:rsidR="00894489" w:rsidRPr="00754DEE" w:rsidRDefault="00E8503E" w:rsidP="004E18E9">
      <w:pPr>
        <w:pStyle w:val="3-BodyText"/>
        <w:rPr>
          <w:color w:val="000000" w:themeColor="text1"/>
        </w:rPr>
      </w:pPr>
      <w:r w:rsidRPr="00754DEE">
        <w:rPr>
          <w:color w:val="000000" w:themeColor="text1"/>
        </w:rPr>
        <w:t>HS is associated with impaired quality of life. The main symptoms that impair quality of life are pain</w:t>
      </w:r>
      <w:r w:rsidR="00075E64" w:rsidRPr="00754DEE">
        <w:rPr>
          <w:color w:val="000000" w:themeColor="text1"/>
        </w:rPr>
        <w:t xml:space="preserve"> from nodules and abscesses,</w:t>
      </w:r>
      <w:r w:rsidRPr="00754DEE">
        <w:rPr>
          <w:color w:val="000000" w:themeColor="text1"/>
        </w:rPr>
        <w:t xml:space="preserve"> and discharge and odour from draining abscesses</w:t>
      </w:r>
      <w:r w:rsidR="00075E64" w:rsidRPr="00754DEE">
        <w:rPr>
          <w:color w:val="000000" w:themeColor="text1"/>
        </w:rPr>
        <w:t xml:space="preserve"> and skin tunnels. </w:t>
      </w:r>
    </w:p>
    <w:p w14:paraId="5C54B302" w14:textId="1771A2A0" w:rsidR="009D19E4" w:rsidRPr="00754DEE" w:rsidRDefault="517CB1FF" w:rsidP="2B21198B">
      <w:pPr>
        <w:pStyle w:val="3-BodyText"/>
        <w:rPr>
          <w:color w:val="0066FF"/>
        </w:rPr>
      </w:pPr>
      <w:r w:rsidRPr="00754DEE">
        <w:rPr>
          <w:color w:val="000000" w:themeColor="text1"/>
        </w:rPr>
        <w:t xml:space="preserve">The treatment algorithm presented by the submission </w:t>
      </w:r>
      <w:r w:rsidR="2867D941" w:rsidRPr="00754DEE">
        <w:rPr>
          <w:color w:val="000000" w:themeColor="text1"/>
        </w:rPr>
        <w:t xml:space="preserve">as representing current practice </w:t>
      </w:r>
      <w:r w:rsidRPr="00754DEE">
        <w:rPr>
          <w:color w:val="000000" w:themeColor="text1"/>
        </w:rPr>
        <w:t xml:space="preserve">was taken from </w:t>
      </w:r>
      <w:proofErr w:type="spellStart"/>
      <w:r w:rsidRPr="00754DEE">
        <w:rPr>
          <w:color w:val="000000" w:themeColor="text1"/>
        </w:rPr>
        <w:t>Vekic</w:t>
      </w:r>
      <w:proofErr w:type="spellEnd"/>
      <w:r w:rsidRPr="00754DEE">
        <w:rPr>
          <w:color w:val="000000" w:themeColor="text1"/>
        </w:rPr>
        <w:t xml:space="preserve"> &amp; Cairns, 2017. </w:t>
      </w:r>
      <w:r w:rsidR="31FCDDDF" w:rsidRPr="00754DEE">
        <w:rPr>
          <w:color w:val="000000" w:themeColor="text1"/>
        </w:rPr>
        <w:t>This guideline was prepared before secukinumab and bimekizumab were available</w:t>
      </w:r>
      <w:r w:rsidR="1B353475" w:rsidRPr="00754DEE">
        <w:rPr>
          <w:color w:val="000000" w:themeColor="text1"/>
        </w:rPr>
        <w:t>. The submission refers to the "</w:t>
      </w:r>
      <w:r w:rsidR="1B353475" w:rsidRPr="00754DEE">
        <w:t>treatment algorithm proposed, based on EU guidelines, [...] presented below", but this was not included in the submission.</w:t>
      </w:r>
    </w:p>
    <w:p w14:paraId="7A401270" w14:textId="6771B9D7" w:rsidR="00F83C3F" w:rsidRPr="00754DEE" w:rsidDel="00195452" w:rsidRDefault="534CBCD0" w:rsidP="006A3FCA">
      <w:pPr>
        <w:pStyle w:val="3-BodyText"/>
      </w:pPr>
      <w:r w:rsidRPr="00754DEE">
        <w:rPr>
          <w:color w:val="000000" w:themeColor="text1"/>
        </w:rPr>
        <w:t>The most recent Australasian consensus guidelines were not referred to in the submission.</w:t>
      </w:r>
      <w:r w:rsidR="00F83C3F" w:rsidRPr="00754DEE">
        <w:rPr>
          <w:rStyle w:val="FootnoteReference"/>
          <w:color w:val="000000" w:themeColor="text1"/>
        </w:rPr>
        <w:footnoteReference w:id="2"/>
      </w:r>
      <w:r w:rsidRPr="00754DEE">
        <w:rPr>
          <w:color w:val="000000" w:themeColor="text1"/>
        </w:rPr>
        <w:t xml:space="preserve"> The treatment algorithm from these guidelines is shown in </w:t>
      </w:r>
      <w:r w:rsidR="00F83C3F" w:rsidRPr="00754DEE">
        <w:rPr>
          <w:color w:val="000000" w:themeColor="text1"/>
        </w:rPr>
        <w:fldChar w:fldCharType="begin"/>
      </w:r>
      <w:r w:rsidR="00F83C3F" w:rsidRPr="00754DEE">
        <w:rPr>
          <w:color w:val="000000" w:themeColor="text1"/>
        </w:rPr>
        <w:instrText xml:space="preserve"> REF _Ref188782477 \h  \* MERGEFORMAT </w:instrText>
      </w:r>
      <w:r w:rsidR="00F83C3F" w:rsidRPr="00754DEE">
        <w:rPr>
          <w:color w:val="000000" w:themeColor="text1"/>
        </w:rPr>
      </w:r>
      <w:r w:rsidR="00F83C3F" w:rsidRPr="00754DEE">
        <w:rPr>
          <w:color w:val="000000" w:themeColor="text1"/>
        </w:rPr>
        <w:fldChar w:fldCharType="separate"/>
      </w:r>
      <w:r w:rsidR="00184DE0">
        <w:t xml:space="preserve">Figure </w:t>
      </w:r>
      <w:r w:rsidR="00184DE0">
        <w:rPr>
          <w:noProof/>
        </w:rPr>
        <w:t>1</w:t>
      </w:r>
      <w:r w:rsidR="00F83C3F" w:rsidRPr="00754DEE">
        <w:rPr>
          <w:color w:val="000000" w:themeColor="text1"/>
        </w:rPr>
        <w:fldChar w:fldCharType="end"/>
      </w:r>
      <w:r w:rsidRPr="00754DEE">
        <w:rPr>
          <w:color w:val="000000" w:themeColor="text1"/>
        </w:rPr>
        <w:t>.</w:t>
      </w:r>
      <w:r w:rsidRPr="00754DEE">
        <w:t xml:space="preserve"> </w:t>
      </w:r>
      <w:r w:rsidRPr="00754DEE">
        <w:rPr>
          <w:color w:val="000000" w:themeColor="text1"/>
        </w:rPr>
        <w:t>This guideline places adalimumab, secukinumab and bimekizumab as first-line treatments for severe HS, which appears to be what the submission proposes.</w:t>
      </w:r>
    </w:p>
    <w:p w14:paraId="1DD7851D" w14:textId="3E729478" w:rsidR="008325E7" w:rsidRDefault="00F83C3F" w:rsidP="00F83C3F">
      <w:pPr>
        <w:pStyle w:val="Caption"/>
        <w:rPr>
          <w:rStyle w:val="TableFigureHeadingChar"/>
          <w:b/>
          <w:bCs/>
        </w:rPr>
      </w:pPr>
      <w:bookmarkStart w:id="16" w:name="_Ref188782477"/>
      <w:r>
        <w:lastRenderedPageBreak/>
        <w:t xml:space="preserve">Figure </w:t>
      </w:r>
      <w:r w:rsidR="002B4E57">
        <w:fldChar w:fldCharType="begin"/>
      </w:r>
      <w:r w:rsidR="002B4E57">
        <w:instrText xml:space="preserve"> SEQ Figure \* ARABIC </w:instrText>
      </w:r>
      <w:r w:rsidR="002B4E57">
        <w:fldChar w:fldCharType="separate"/>
      </w:r>
      <w:r w:rsidR="00184DE0">
        <w:rPr>
          <w:noProof/>
        </w:rPr>
        <w:t>1</w:t>
      </w:r>
      <w:r w:rsidR="002B4E57">
        <w:rPr>
          <w:noProof/>
        </w:rPr>
        <w:fldChar w:fldCharType="end"/>
      </w:r>
      <w:bookmarkEnd w:id="16"/>
      <w:r>
        <w:t xml:space="preserve">: </w:t>
      </w:r>
      <w:r w:rsidR="00C56B7D" w:rsidRPr="00F83C3F">
        <w:rPr>
          <w:rStyle w:val="TableFigureHeadingChar"/>
          <w:b/>
          <w:bCs/>
        </w:rPr>
        <w:t>Treatment algorithm from 2024 Australasian consensus guidelines for treatment of HS</w:t>
      </w:r>
    </w:p>
    <w:p w14:paraId="4AA63220" w14:textId="4D57013E" w:rsidR="00C56B7D" w:rsidRPr="00247FB0" w:rsidRDefault="00247FB0" w:rsidP="00F83C3F">
      <w:pPr>
        <w:pStyle w:val="Caption"/>
      </w:pPr>
      <w:r>
        <w:rPr>
          <w:noProof/>
          <w:color w:val="0066FF"/>
        </w:rPr>
        <w:drawing>
          <wp:inline distT="0" distB="0" distL="0" distR="0" wp14:anchorId="767DEE64" wp14:editId="36DAFFCC">
            <wp:extent cx="5819775" cy="3225472"/>
            <wp:effectExtent l="0" t="0" r="0" b="0"/>
            <wp:docPr id="736102105" name="Picture 1" descr="Figure 1: Treatment algorithm from 2024 Australasian consensus guidelines for treatment of 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102105" name="Picture 1" descr="Figure 1: Treatment algorithm from 2024 Australasian consensus guidelines for treatment of HS"/>
                    <pic:cNvPicPr/>
                  </pic:nvPicPr>
                  <pic:blipFill>
                    <a:blip r:embed="rId11"/>
                    <a:stretch>
                      <a:fillRect/>
                    </a:stretch>
                  </pic:blipFill>
                  <pic:spPr>
                    <a:xfrm>
                      <a:off x="0" y="0"/>
                      <a:ext cx="5841802" cy="3237680"/>
                    </a:xfrm>
                    <a:prstGeom prst="rect">
                      <a:avLst/>
                    </a:prstGeom>
                  </pic:spPr>
                </pic:pic>
              </a:graphicData>
            </a:graphic>
          </wp:inline>
        </w:drawing>
      </w:r>
    </w:p>
    <w:p w14:paraId="2B280885" w14:textId="19706B59" w:rsidR="00C56B7D" w:rsidRPr="00F83C3F" w:rsidRDefault="00247FB0" w:rsidP="008325E7">
      <w:pPr>
        <w:pStyle w:val="TableFigureFooter"/>
      </w:pPr>
      <w:r w:rsidRPr="00F83C3F">
        <w:t xml:space="preserve">Source: Frew et al, 2024, Figure 2. COCP = combined oral contraceptive pill; IL-23 = interleukin 23; ILCS = intra-lesional corticosteroids. </w:t>
      </w:r>
    </w:p>
    <w:p w14:paraId="255068C2" w14:textId="4EE809D9" w:rsidR="00413B5F" w:rsidRPr="00754DEE" w:rsidRDefault="424B3125" w:rsidP="00F83C3F">
      <w:pPr>
        <w:pStyle w:val="3-BodyText"/>
      </w:pPr>
      <w:r w:rsidRPr="00754DEE">
        <w:t>Bimekizumab is an antibody to IL-17A and IL-17F</w:t>
      </w:r>
      <w:r w:rsidR="08AB1297" w:rsidRPr="00754DEE">
        <w:t>, members of</w:t>
      </w:r>
      <w:r w:rsidRPr="00754DEE">
        <w:t xml:space="preserve"> a family of pro-inflammatory cytokines </w:t>
      </w:r>
      <w:r w:rsidR="301613E8" w:rsidRPr="00754DEE">
        <w:t xml:space="preserve">(A to F) </w:t>
      </w:r>
      <w:r w:rsidRPr="00754DEE">
        <w:t>produced by T helper 17 (Th17) cells.</w:t>
      </w:r>
    </w:p>
    <w:p w14:paraId="18CF9094" w14:textId="2F1C5E29" w:rsidR="00413B5F" w:rsidRPr="00754DEE" w:rsidRDefault="424B3125" w:rsidP="00413B5F">
      <w:pPr>
        <w:pStyle w:val="3-BodyText"/>
      </w:pPr>
      <w:r w:rsidRPr="00754DEE">
        <w:t>IL-17 acts on target cells which express the IL-17 receptor (IL-17R) family on the cell surface. The IL-17R family consists of five sub</w:t>
      </w:r>
      <w:r w:rsidR="301613E8" w:rsidRPr="00754DEE">
        <w:t>types</w:t>
      </w:r>
      <w:r w:rsidRPr="00754DEE">
        <w:t>: RA, RB, RC, RD, and RE.</w:t>
      </w:r>
    </w:p>
    <w:p w14:paraId="6DEA36C9" w14:textId="2D9EB11B" w:rsidR="00413B5F" w:rsidRPr="00754DEE" w:rsidRDefault="424B3125" w:rsidP="00413B5F">
      <w:pPr>
        <w:pStyle w:val="3-BodyText"/>
      </w:pPr>
      <w:r w:rsidRPr="00754DEE">
        <w:t xml:space="preserve">The interactions of the IL-17 subtypes and the IL-17R subtypes in different tissues are not well understood but are likely to be complex. The ability of bimekizumab to bind IL-17A and IL-17F </w:t>
      </w:r>
      <w:r w:rsidR="271B21F2" w:rsidRPr="00754DEE">
        <w:t>could</w:t>
      </w:r>
      <w:r w:rsidR="0BBC29E1" w:rsidRPr="00754DEE">
        <w:t>, as the submission suggests,</w:t>
      </w:r>
      <w:r w:rsidRPr="00754DEE">
        <w:t xml:space="preserve"> </w:t>
      </w:r>
      <w:r w:rsidR="0BBC29E1" w:rsidRPr="00754DEE">
        <w:t xml:space="preserve">be </w:t>
      </w:r>
      <w:r w:rsidRPr="00754DEE">
        <w:t>an advantage, but it could also lead to</w:t>
      </w:r>
      <w:r w:rsidR="0BBC29E1" w:rsidRPr="00754DEE">
        <w:t xml:space="preserve"> different</w:t>
      </w:r>
      <w:r w:rsidRPr="00754DEE">
        <w:t xml:space="preserve"> </w:t>
      </w:r>
      <w:r w:rsidR="0BBC29E1" w:rsidRPr="00754DEE">
        <w:t>and/</w:t>
      </w:r>
      <w:r w:rsidRPr="00754DEE">
        <w:t xml:space="preserve">or worse </w:t>
      </w:r>
      <w:r w:rsidR="0BBC29E1" w:rsidRPr="00754DEE">
        <w:t>long-term adverse</w:t>
      </w:r>
      <w:r w:rsidRPr="00754DEE">
        <w:t xml:space="preserve"> effects.</w:t>
      </w:r>
    </w:p>
    <w:p w14:paraId="4D449FA0" w14:textId="1FEDC8C7" w:rsidR="00413B5F" w:rsidRDefault="00413B5F" w:rsidP="00413B5F">
      <w:pPr>
        <w:pStyle w:val="3-BodyText"/>
      </w:pPr>
      <w:r w:rsidRPr="00754DEE">
        <w:t xml:space="preserve">Because of their mechanism of action, IL-17 inhibitors are contraindicated in </w:t>
      </w:r>
      <w:r w:rsidR="005756D0" w:rsidRPr="00754DEE">
        <w:t xml:space="preserve">active </w:t>
      </w:r>
      <w:r w:rsidR="009A2AC5" w:rsidRPr="00754DEE">
        <w:t xml:space="preserve">inflammatory bowel disease and in </w:t>
      </w:r>
      <w:r w:rsidRPr="00754DEE">
        <w:t>active, clinically significant infections, and are associated with an increase in infections, most often nasopharyngitis and muco-cutaneous candidiasis, during treatment.</w:t>
      </w:r>
    </w:p>
    <w:p w14:paraId="0949F43C" w14:textId="64F0C645" w:rsidR="00733AFE" w:rsidRDefault="00733AFE" w:rsidP="00DE49FC">
      <w:pPr>
        <w:spacing w:before="120" w:after="120"/>
        <w:ind w:firstLine="709"/>
      </w:pPr>
      <w:r w:rsidRPr="00C33D30">
        <w:rPr>
          <w:rFonts w:asciiTheme="minorHAnsi" w:hAnsiTheme="minorHAnsi"/>
          <w:i/>
        </w:rPr>
        <w:t>For more detail on PBAC’s view, see section 7 PBAC outcome.</w:t>
      </w:r>
    </w:p>
    <w:p w14:paraId="51E5AE96" w14:textId="136A63B1" w:rsidR="00B50DB8" w:rsidRPr="0098262F" w:rsidRDefault="00B50DB8" w:rsidP="004E18E9">
      <w:pPr>
        <w:pStyle w:val="2-SectionHeading"/>
      </w:pPr>
      <w:bookmarkStart w:id="17" w:name="_Toc192760446"/>
      <w:r w:rsidRPr="0098262F">
        <w:t>Comparator</w:t>
      </w:r>
      <w:bookmarkEnd w:id="17"/>
    </w:p>
    <w:p w14:paraId="747A75CC" w14:textId="03F3322A" w:rsidR="00A05472" w:rsidRPr="00754DEE" w:rsidRDefault="2593CC31" w:rsidP="00882E3C">
      <w:pPr>
        <w:pStyle w:val="3-BodyText"/>
      </w:pPr>
      <w:r w:rsidRPr="00754DEE">
        <w:t xml:space="preserve">The submission nominated secukinumab as the primary comparator and adalimumab as the secondary comparator on the grounds that these two </w:t>
      </w:r>
      <w:r w:rsidR="504C9B87" w:rsidRPr="00754DEE">
        <w:t>biologi</w:t>
      </w:r>
      <w:r w:rsidR="552FEAD8" w:rsidRPr="00754DEE">
        <w:t>c</w:t>
      </w:r>
      <w:r w:rsidR="504C9B87" w:rsidRPr="00754DEE">
        <w:t xml:space="preserve"> disease-modifying anti-rheumatic drugs (</w:t>
      </w:r>
      <w:r w:rsidRPr="00754DEE">
        <w:t>bDMARDs</w:t>
      </w:r>
      <w:r w:rsidR="504C9B87" w:rsidRPr="00754DEE">
        <w:t>)</w:t>
      </w:r>
      <w:r w:rsidRPr="00754DEE">
        <w:t xml:space="preserve"> are listed on the PBS for HS. Secukinumab was chose</w:t>
      </w:r>
      <w:r w:rsidR="0A3AB349" w:rsidRPr="00754DEE">
        <w:t>n</w:t>
      </w:r>
      <w:r w:rsidRPr="00754DEE">
        <w:t xml:space="preserve"> as the primary comparator as it has a similar pharmacological action, and the submission proposed that </w:t>
      </w:r>
      <w:r w:rsidR="0A3AB349" w:rsidRPr="00754DEE">
        <w:t xml:space="preserve">for this reason </w:t>
      </w:r>
      <w:r w:rsidRPr="00754DEE">
        <w:t>it was more likely to be replaced by bimek</w:t>
      </w:r>
      <w:r w:rsidR="0A3AB349" w:rsidRPr="00754DEE">
        <w:t>i</w:t>
      </w:r>
      <w:r w:rsidRPr="00754DEE">
        <w:t>zumab. These comparators were appropriate</w:t>
      </w:r>
      <w:r w:rsidR="0A3AB349" w:rsidRPr="00754DEE">
        <w:t xml:space="preserve">, although the argument for secukinumab as the primary comparator was </w:t>
      </w:r>
      <w:r w:rsidR="41C3B3F0" w:rsidRPr="00754DEE">
        <w:t>debatable</w:t>
      </w:r>
      <w:r w:rsidR="7FED8BE1" w:rsidRPr="00754DEE">
        <w:t xml:space="preserve">, because the submission's </w:t>
      </w:r>
      <w:r w:rsidR="7FED8BE1" w:rsidRPr="00754DEE">
        <w:lastRenderedPageBreak/>
        <w:t>argument was that the mechanism of action of bimekizumab is meaningfully different from that of secukinumab</w:t>
      </w:r>
      <w:r w:rsidR="0A3AB349" w:rsidRPr="00754DEE">
        <w:t xml:space="preserve">. </w:t>
      </w:r>
    </w:p>
    <w:p w14:paraId="498A33E9" w14:textId="2A4A7920" w:rsidR="00C566C1" w:rsidRPr="00754DEE" w:rsidRDefault="74DBC326" w:rsidP="00882E3C">
      <w:pPr>
        <w:pStyle w:val="3-BodyText"/>
      </w:pPr>
      <w:r w:rsidRPr="00754DEE">
        <w:t xml:space="preserve">No near-market comparators were identified. </w:t>
      </w:r>
    </w:p>
    <w:p w14:paraId="1E5CA968" w14:textId="1F9A4675" w:rsidR="002E1071" w:rsidRPr="00754DEE" w:rsidRDefault="00AA6BD8" w:rsidP="002E1071">
      <w:pPr>
        <w:pStyle w:val="3-BodyText"/>
        <w:rPr>
          <w:color w:val="0066FF"/>
        </w:rPr>
      </w:pPr>
      <w:bookmarkStart w:id="18" w:name="_Ref107305379"/>
      <w:r w:rsidRPr="00754DEE">
        <w:t xml:space="preserve">In the context of the cost-minimisation approach taken by the submission, a further consideration for PBAC is that, under Section 101(3B) of the </w:t>
      </w:r>
      <w:r w:rsidRPr="00D55E29">
        <w:rPr>
          <w:i/>
        </w:rPr>
        <w:t>National Health Act 1953</w:t>
      </w:r>
      <w:r w:rsidRPr="00754DEE">
        <w:t>,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w:t>
      </w:r>
      <w:bookmarkEnd w:id="18"/>
      <w:r w:rsidR="004859E1" w:rsidRPr="00754DEE">
        <w:t xml:space="preserve"> </w:t>
      </w:r>
    </w:p>
    <w:p w14:paraId="30A067BB" w14:textId="47529748" w:rsidR="00B50DB8" w:rsidRPr="00733AFE" w:rsidRDefault="00E244F6" w:rsidP="2B21198B">
      <w:pPr>
        <w:pStyle w:val="3-BodyText"/>
        <w:rPr>
          <w:color w:val="0066FF"/>
        </w:rPr>
      </w:pPr>
      <w:bookmarkStart w:id="19" w:name="_Ref107305381"/>
      <w:r w:rsidRPr="00754DEE">
        <w:t xml:space="preserve">For the requested population, the following PBS-listed medicines may be considered alternative therapies because they could be replaced in practice: </w:t>
      </w:r>
      <w:r w:rsidR="00FE0695" w:rsidRPr="00754DEE">
        <w:t>secukinumab</w:t>
      </w:r>
      <w:r w:rsidR="00D16316" w:rsidRPr="00754DEE">
        <w:t xml:space="preserve"> and</w:t>
      </w:r>
      <w:r w:rsidR="00FE0695" w:rsidRPr="00754DEE">
        <w:t xml:space="preserve"> adalimumab.</w:t>
      </w:r>
      <w:r w:rsidRPr="00754DEE">
        <w:t xml:space="preserve"> </w:t>
      </w:r>
      <w:bookmarkEnd w:id="19"/>
    </w:p>
    <w:p w14:paraId="6EF97213" w14:textId="1C24CD6B" w:rsidR="00733AFE" w:rsidRPr="00C33D30" w:rsidRDefault="00733AFE" w:rsidP="009331A6">
      <w:pPr>
        <w:spacing w:before="120" w:after="120"/>
        <w:ind w:firstLine="709"/>
        <w:rPr>
          <w:rFonts w:asciiTheme="minorHAnsi" w:hAnsiTheme="minorHAnsi"/>
          <w:i/>
        </w:rPr>
      </w:pPr>
      <w:r w:rsidRPr="00C33D30">
        <w:rPr>
          <w:rFonts w:asciiTheme="minorHAnsi" w:hAnsiTheme="minorHAnsi"/>
          <w:i/>
        </w:rPr>
        <w:t>For more detail on PBAC’s view, see section 7 PBAC outcome.</w:t>
      </w:r>
    </w:p>
    <w:p w14:paraId="7F9C27C8" w14:textId="77777777" w:rsidR="00223D5A" w:rsidRPr="0098262F" w:rsidRDefault="00223D5A" w:rsidP="00223D5A">
      <w:pPr>
        <w:pStyle w:val="2-SectionHeading"/>
        <w:numPr>
          <w:ilvl w:val="0"/>
          <w:numId w:val="1"/>
        </w:numPr>
      </w:pPr>
      <w:bookmarkStart w:id="20" w:name="_Toc192760447"/>
      <w:bookmarkStart w:id="21" w:name="_Toc22897640"/>
      <w:r w:rsidRPr="0098262F">
        <w:t>Consideration of the evidence</w:t>
      </w:r>
      <w:bookmarkEnd w:id="20"/>
    </w:p>
    <w:p w14:paraId="467C876E" w14:textId="77777777" w:rsidR="00544CFD" w:rsidRPr="00695805" w:rsidRDefault="00544CFD" w:rsidP="00695805">
      <w:pPr>
        <w:pStyle w:val="4-SubsectionHeading"/>
      </w:pPr>
      <w:bookmarkStart w:id="22" w:name="_Hlk76375935"/>
      <w:bookmarkStart w:id="23" w:name="_Toc192760448"/>
      <w:r w:rsidRPr="00695805">
        <w:t>Sponsor hearing</w:t>
      </w:r>
    </w:p>
    <w:p w14:paraId="1A446477" w14:textId="48A8C94C" w:rsidR="00544CFD" w:rsidRPr="00506E10" w:rsidRDefault="00506E10" w:rsidP="00506E10">
      <w:pPr>
        <w:widowControl w:val="0"/>
        <w:numPr>
          <w:ilvl w:val="1"/>
          <w:numId w:val="1"/>
        </w:numPr>
        <w:spacing w:after="120"/>
        <w:rPr>
          <w:rFonts w:cs="Calibri"/>
          <w:bCs/>
          <w:snapToGrid w:val="0"/>
        </w:rPr>
      </w:pPr>
      <w:bookmarkStart w:id="24" w:name="_Hlk76382586"/>
      <w:r w:rsidRPr="00506E10">
        <w:rPr>
          <w:rFonts w:asciiTheme="minorHAnsi" w:hAnsiTheme="minorHAnsi"/>
          <w:bCs/>
          <w:snapToGrid w:val="0"/>
        </w:rPr>
        <w:t xml:space="preserve">The </w:t>
      </w:r>
      <w:r w:rsidR="00FC23DD">
        <w:rPr>
          <w:rFonts w:asciiTheme="minorHAnsi" w:hAnsiTheme="minorHAnsi"/>
          <w:bCs/>
          <w:snapToGrid w:val="0"/>
        </w:rPr>
        <w:t>s</w:t>
      </w:r>
      <w:r w:rsidRPr="00506E10">
        <w:rPr>
          <w:rFonts w:asciiTheme="minorHAnsi" w:hAnsiTheme="minorHAnsi"/>
          <w:bCs/>
          <w:snapToGrid w:val="0"/>
        </w:rPr>
        <w:t>ponsor requested a hearing for this item. The clinician discussed the high burden of disease, which manifests through painful flares of swollen, painful lesions, often in sensitive areas, which impacts people's ability to engage with employment, education, relationships and physical function. The clinician also discussed the effectiveness of non-biologic therapies such as antibiotics</w:t>
      </w:r>
      <w:r w:rsidR="00883836">
        <w:rPr>
          <w:rFonts w:asciiTheme="minorHAnsi" w:hAnsiTheme="minorHAnsi"/>
          <w:bCs/>
          <w:snapToGrid w:val="0"/>
        </w:rPr>
        <w:t xml:space="preserve"> and</w:t>
      </w:r>
      <w:r w:rsidRPr="00506E10">
        <w:rPr>
          <w:rFonts w:asciiTheme="minorHAnsi" w:hAnsiTheme="minorHAnsi"/>
          <w:bCs/>
          <w:snapToGrid w:val="0"/>
        </w:rPr>
        <w:t xml:space="preserve"> biologic therapies and highlighted the effectiveness of bimekizumab for treating the symptoms of </w:t>
      </w:r>
      <w:r w:rsidR="00241858">
        <w:rPr>
          <w:rFonts w:asciiTheme="minorHAnsi" w:hAnsiTheme="minorHAnsi"/>
          <w:bCs/>
          <w:snapToGrid w:val="0"/>
        </w:rPr>
        <w:t>hidradenitis suppurativa</w:t>
      </w:r>
      <w:r w:rsidRPr="00506E10">
        <w:rPr>
          <w:rFonts w:asciiTheme="minorHAnsi" w:hAnsiTheme="minorHAnsi"/>
          <w:bCs/>
          <w:snapToGrid w:val="0"/>
        </w:rPr>
        <w:t xml:space="preserve">, and cited case studies and anecdotal experiences of using bimekizumab in practice for this condition. </w:t>
      </w:r>
      <w:bookmarkEnd w:id="24"/>
    </w:p>
    <w:p w14:paraId="4CCEE9AB" w14:textId="3769841B" w:rsidR="00544CFD" w:rsidRPr="00695805" w:rsidRDefault="00544CFD" w:rsidP="00695805">
      <w:pPr>
        <w:pStyle w:val="4-SubsectionHeading"/>
      </w:pPr>
      <w:r w:rsidRPr="00695805">
        <w:t>Consumer comments</w:t>
      </w:r>
    </w:p>
    <w:p w14:paraId="7456E7E4" w14:textId="2D7D3516" w:rsidR="0039214E" w:rsidRPr="00931499" w:rsidRDefault="00544CFD" w:rsidP="003152A4">
      <w:pPr>
        <w:widowControl w:val="0"/>
        <w:numPr>
          <w:ilvl w:val="1"/>
          <w:numId w:val="1"/>
        </w:numPr>
        <w:spacing w:after="120"/>
        <w:rPr>
          <w:rFonts w:asciiTheme="minorHAnsi" w:hAnsiTheme="minorHAnsi"/>
          <w:bCs/>
          <w:snapToGrid w:val="0"/>
        </w:rPr>
      </w:pPr>
      <w:bookmarkStart w:id="25" w:name="_Hlk76382618"/>
      <w:r w:rsidRPr="00931499">
        <w:rPr>
          <w:rFonts w:asciiTheme="minorHAnsi" w:hAnsiTheme="minorHAnsi"/>
          <w:bCs/>
          <w:snapToGrid w:val="0"/>
        </w:rPr>
        <w:t>The PBAC noted and welcomed the input from individuals (</w:t>
      </w:r>
      <w:r w:rsidR="003800C1" w:rsidRPr="00931499">
        <w:rPr>
          <w:rFonts w:asciiTheme="minorHAnsi" w:hAnsiTheme="minorHAnsi"/>
          <w:bCs/>
          <w:snapToGrid w:val="0"/>
        </w:rPr>
        <w:t>2</w:t>
      </w:r>
      <w:r w:rsidRPr="00931499">
        <w:rPr>
          <w:rFonts w:asciiTheme="minorHAnsi" w:hAnsiTheme="minorHAnsi"/>
          <w:bCs/>
          <w:snapToGrid w:val="0"/>
        </w:rPr>
        <w:t>), health care professionals (</w:t>
      </w:r>
      <w:r w:rsidR="003800C1" w:rsidRPr="00931499">
        <w:rPr>
          <w:rFonts w:asciiTheme="minorHAnsi" w:hAnsiTheme="minorHAnsi"/>
          <w:bCs/>
          <w:snapToGrid w:val="0"/>
        </w:rPr>
        <w:t>3</w:t>
      </w:r>
      <w:r w:rsidRPr="00931499">
        <w:rPr>
          <w:rFonts w:asciiTheme="minorHAnsi" w:hAnsiTheme="minorHAnsi"/>
          <w:bCs/>
          <w:snapToGrid w:val="0"/>
        </w:rPr>
        <w:t>) and</w:t>
      </w:r>
      <w:r w:rsidR="00DD4059" w:rsidRPr="00931499">
        <w:rPr>
          <w:rFonts w:asciiTheme="minorHAnsi" w:hAnsiTheme="minorHAnsi"/>
          <w:bCs/>
          <w:snapToGrid w:val="0"/>
        </w:rPr>
        <w:t xml:space="preserve"> professional</w:t>
      </w:r>
      <w:r w:rsidRPr="00931499">
        <w:rPr>
          <w:rFonts w:asciiTheme="minorHAnsi" w:hAnsiTheme="minorHAnsi"/>
          <w:bCs/>
          <w:snapToGrid w:val="0"/>
        </w:rPr>
        <w:t xml:space="preserve"> organisations (</w:t>
      </w:r>
      <w:r w:rsidR="00DD4059" w:rsidRPr="00931499">
        <w:rPr>
          <w:rFonts w:asciiTheme="minorHAnsi" w:hAnsiTheme="minorHAnsi"/>
          <w:bCs/>
          <w:snapToGrid w:val="0"/>
        </w:rPr>
        <w:t>1</w:t>
      </w:r>
      <w:r w:rsidRPr="00931499">
        <w:rPr>
          <w:rFonts w:asciiTheme="minorHAnsi" w:hAnsiTheme="minorHAnsi"/>
          <w:bCs/>
          <w:snapToGrid w:val="0"/>
        </w:rPr>
        <w:t>)</w:t>
      </w:r>
      <w:r w:rsidR="00DD4059" w:rsidRPr="00931499">
        <w:rPr>
          <w:rFonts w:asciiTheme="minorHAnsi" w:hAnsiTheme="minorHAnsi"/>
          <w:bCs/>
          <w:snapToGrid w:val="0"/>
        </w:rPr>
        <w:t xml:space="preserve"> and consumer organisations (2)</w:t>
      </w:r>
      <w:r w:rsidRPr="00931499">
        <w:rPr>
          <w:rFonts w:asciiTheme="minorHAnsi" w:hAnsiTheme="minorHAnsi"/>
          <w:bCs/>
          <w:snapToGrid w:val="0"/>
        </w:rPr>
        <w:t xml:space="preserve"> via the Consumer Comments facility on the PBS website.</w:t>
      </w:r>
    </w:p>
    <w:p w14:paraId="065C84BA" w14:textId="604F2375" w:rsidR="00895181" w:rsidRPr="001F566F" w:rsidRDefault="0048337F" w:rsidP="001F566F">
      <w:pPr>
        <w:widowControl w:val="0"/>
        <w:numPr>
          <w:ilvl w:val="1"/>
          <w:numId w:val="1"/>
        </w:numPr>
        <w:spacing w:after="120"/>
        <w:rPr>
          <w:rFonts w:asciiTheme="minorHAnsi" w:hAnsiTheme="minorHAnsi"/>
          <w:bCs/>
          <w:snapToGrid w:val="0"/>
        </w:rPr>
      </w:pPr>
      <w:r w:rsidRPr="001F566F">
        <w:rPr>
          <w:rFonts w:asciiTheme="minorHAnsi" w:hAnsiTheme="minorHAnsi"/>
          <w:bCs/>
          <w:snapToGrid w:val="0"/>
        </w:rPr>
        <w:t>The</w:t>
      </w:r>
      <w:r w:rsidR="00242B0D" w:rsidRPr="001F566F">
        <w:rPr>
          <w:rFonts w:asciiTheme="minorHAnsi" w:hAnsiTheme="minorHAnsi"/>
          <w:bCs/>
          <w:snapToGrid w:val="0"/>
        </w:rPr>
        <w:t xml:space="preserve"> PBAC </w:t>
      </w:r>
      <w:r w:rsidR="00606C27" w:rsidRPr="001F566F">
        <w:rPr>
          <w:rFonts w:asciiTheme="minorHAnsi" w:hAnsiTheme="minorHAnsi"/>
          <w:bCs/>
          <w:snapToGrid w:val="0"/>
        </w:rPr>
        <w:t>welcomed the input from individuals that describe hidradenitis suppurativa as ‘hell on earth’, restricting the ability of those living with the condition to sit, walk, talk or move comfortably</w:t>
      </w:r>
      <w:r w:rsidR="004328E0" w:rsidRPr="001F566F">
        <w:rPr>
          <w:rFonts w:asciiTheme="minorHAnsi" w:hAnsiTheme="minorHAnsi"/>
          <w:bCs/>
          <w:snapToGrid w:val="0"/>
        </w:rPr>
        <w:t xml:space="preserve">, and highlighted the limitations of current treatment options, which are painful, can cause fatigue, and require refrigeration. The PBAC also welcomed the input from health professionals who </w:t>
      </w:r>
      <w:r w:rsidR="006D1BDB" w:rsidRPr="001F566F">
        <w:rPr>
          <w:rFonts w:asciiTheme="minorHAnsi" w:hAnsiTheme="minorHAnsi"/>
          <w:bCs/>
          <w:snapToGrid w:val="0"/>
        </w:rPr>
        <w:t xml:space="preserve">noted current treatments provide </w:t>
      </w:r>
      <w:r w:rsidR="00A87359" w:rsidRPr="001F566F">
        <w:rPr>
          <w:rFonts w:asciiTheme="minorHAnsi" w:hAnsiTheme="minorHAnsi"/>
          <w:bCs/>
          <w:snapToGrid w:val="0"/>
        </w:rPr>
        <w:t xml:space="preserve">up to </w:t>
      </w:r>
      <w:r w:rsidR="006D1BDB" w:rsidRPr="001F566F">
        <w:rPr>
          <w:rFonts w:asciiTheme="minorHAnsi" w:hAnsiTheme="minorHAnsi"/>
          <w:bCs/>
          <w:snapToGrid w:val="0"/>
        </w:rPr>
        <w:t xml:space="preserve">about a 50% improvement </w:t>
      </w:r>
      <w:r w:rsidR="00A9756F" w:rsidRPr="001F566F">
        <w:rPr>
          <w:rFonts w:asciiTheme="minorHAnsi" w:hAnsiTheme="minorHAnsi"/>
          <w:bCs/>
          <w:snapToGrid w:val="0"/>
        </w:rPr>
        <w:t>in inflammatory lesions in around 50-60% of patients</w:t>
      </w:r>
      <w:r w:rsidR="00A87359" w:rsidRPr="001F566F">
        <w:rPr>
          <w:rFonts w:asciiTheme="minorHAnsi" w:hAnsiTheme="minorHAnsi"/>
          <w:bCs/>
          <w:snapToGrid w:val="0"/>
        </w:rPr>
        <w:t>, and described bimekizumab as being highly effective</w:t>
      </w:r>
      <w:r w:rsidR="003152A4" w:rsidRPr="001F566F">
        <w:rPr>
          <w:rFonts w:asciiTheme="minorHAnsi" w:hAnsiTheme="minorHAnsi"/>
          <w:bCs/>
          <w:snapToGrid w:val="0"/>
        </w:rPr>
        <w:t xml:space="preserve">, including in patients who have failed other biologic therapies. </w:t>
      </w:r>
    </w:p>
    <w:p w14:paraId="7EE3EA39" w14:textId="709447F2" w:rsidR="00DD4059" w:rsidRPr="00DD4059" w:rsidRDefault="00DD4059" w:rsidP="00DD4059">
      <w:pPr>
        <w:pStyle w:val="3-BodyText"/>
        <w:rPr>
          <w:rFonts w:eastAsia="Times New Roman" w:cs="Arial"/>
          <w:bCs/>
          <w:snapToGrid w:val="0"/>
          <w:szCs w:val="24"/>
        </w:rPr>
      </w:pPr>
      <w:r w:rsidRPr="00DD4059">
        <w:rPr>
          <w:rFonts w:eastAsia="Times New Roman" w:cs="Arial"/>
          <w:bCs/>
          <w:snapToGrid w:val="0"/>
          <w:szCs w:val="24"/>
        </w:rPr>
        <w:t xml:space="preserve">The Committee welcomed the input from the Australasian College of Dermatologists supporting the listing of bimekizumab, which highlighted the debilitating impact of </w:t>
      </w:r>
      <w:r w:rsidRPr="00DD4059">
        <w:rPr>
          <w:rFonts w:eastAsia="Times New Roman" w:cs="Arial"/>
          <w:bCs/>
          <w:snapToGrid w:val="0"/>
          <w:szCs w:val="24"/>
        </w:rPr>
        <w:lastRenderedPageBreak/>
        <w:t xml:space="preserve">hidradenitis suppurativa and stated </w:t>
      </w:r>
      <w:r w:rsidR="006D56A4">
        <w:rPr>
          <w:rFonts w:eastAsia="Times New Roman" w:cs="Arial"/>
          <w:bCs/>
          <w:snapToGrid w:val="0"/>
          <w:szCs w:val="24"/>
        </w:rPr>
        <w:t>an</w:t>
      </w:r>
      <w:r w:rsidRPr="00DD4059">
        <w:rPr>
          <w:rFonts w:eastAsia="Times New Roman" w:cs="Arial"/>
          <w:bCs/>
          <w:snapToGrid w:val="0"/>
          <w:szCs w:val="24"/>
        </w:rPr>
        <w:t xml:space="preserve"> expanded listing </w:t>
      </w:r>
      <w:r w:rsidR="006D56A4">
        <w:rPr>
          <w:rFonts w:eastAsia="Times New Roman" w:cs="Arial"/>
          <w:bCs/>
          <w:snapToGrid w:val="0"/>
          <w:szCs w:val="24"/>
        </w:rPr>
        <w:t>for</w:t>
      </w:r>
      <w:r w:rsidRPr="00DD4059">
        <w:rPr>
          <w:rFonts w:eastAsia="Times New Roman" w:cs="Arial"/>
          <w:bCs/>
          <w:snapToGrid w:val="0"/>
          <w:szCs w:val="24"/>
        </w:rPr>
        <w:t xml:space="preserve"> bimekizumab through new forms of the drug can help address existing gaps in care and improve health equity, particularly for patients in underserved communities. </w:t>
      </w:r>
    </w:p>
    <w:p w14:paraId="1D5F0D66" w14:textId="055A8E4F" w:rsidR="00DD4059" w:rsidRPr="00DD4059" w:rsidRDefault="00DD4059" w:rsidP="00DD4059">
      <w:pPr>
        <w:pStyle w:val="3-BodyText"/>
        <w:rPr>
          <w:rFonts w:eastAsia="Times New Roman" w:cs="Arial"/>
          <w:bCs/>
          <w:snapToGrid w:val="0"/>
          <w:szCs w:val="24"/>
        </w:rPr>
      </w:pPr>
      <w:r w:rsidRPr="00DD4059">
        <w:rPr>
          <w:rFonts w:eastAsia="Times New Roman" w:cs="Arial"/>
          <w:bCs/>
          <w:snapToGrid w:val="0"/>
          <w:szCs w:val="24"/>
        </w:rPr>
        <w:t xml:space="preserve">The PBAC also welcomed the input from consumer organisations Hidradenitis Suppurativa Australia and the Global Healthy Living Foundation Australia, both also supporting the listing of bimekizumab. The Committee noted the input from Hidradenitis Suppurativa Australia discussed the debilitating symptoms and emphasised that the condition is often misunderstood and misdiagnosed, highlighting the need for </w:t>
      </w:r>
      <w:r w:rsidR="00FC5A3E" w:rsidRPr="00DD4059">
        <w:rPr>
          <w:rFonts w:eastAsia="Times New Roman" w:cs="Arial"/>
          <w:bCs/>
          <w:snapToGrid w:val="0"/>
          <w:szCs w:val="24"/>
        </w:rPr>
        <w:t>greater</w:t>
      </w:r>
      <w:r w:rsidRPr="00DD4059">
        <w:rPr>
          <w:rFonts w:eastAsia="Times New Roman" w:cs="Arial"/>
          <w:bCs/>
          <w:snapToGrid w:val="0"/>
          <w:szCs w:val="24"/>
        </w:rPr>
        <w:t xml:space="preserve"> awareness, education, early intervention and better access to dermatologists to achieve better patient outcomes. The input also emphasised the need for additional treatment options as many patients remain undertreated with current options, with surgery often the next step when </w:t>
      </w:r>
      <w:r w:rsidR="006B4A0A">
        <w:rPr>
          <w:rFonts w:eastAsia="Times New Roman" w:cs="Arial"/>
          <w:bCs/>
          <w:snapToGrid w:val="0"/>
          <w:szCs w:val="24"/>
        </w:rPr>
        <w:t>existing</w:t>
      </w:r>
      <w:r w:rsidRPr="00DD4059">
        <w:rPr>
          <w:rFonts w:eastAsia="Times New Roman" w:cs="Arial"/>
          <w:bCs/>
          <w:snapToGrid w:val="0"/>
          <w:szCs w:val="24"/>
        </w:rPr>
        <w:t xml:space="preserve"> treatment options are exhausted. </w:t>
      </w:r>
    </w:p>
    <w:p w14:paraId="05BEF401" w14:textId="10682A40" w:rsidR="00695805" w:rsidRPr="00DD4059" w:rsidRDefault="00DD4059" w:rsidP="00DD4059">
      <w:pPr>
        <w:pStyle w:val="3-BodyText"/>
        <w:rPr>
          <w:bCs/>
          <w:snapToGrid w:val="0"/>
        </w:rPr>
      </w:pPr>
      <w:r w:rsidRPr="00DD4059">
        <w:rPr>
          <w:rFonts w:eastAsia="Times New Roman" w:cs="Arial"/>
          <w:bCs/>
          <w:snapToGrid w:val="0"/>
          <w:szCs w:val="24"/>
        </w:rPr>
        <w:t>The PBAC noted the input from the Global Healthy Living Foundation Australia discussed misconceptions about hidradenitis suppurativa and highlighted the debilitating nature of the condition, the impacts on mental health, emotional impact and social isolation, as well as the financial impact of managing the disease. The input also highlighted the positive results of the pivotal bimekizumab BE HEARD trials and a 2023 systematic review and meta-analysis</w:t>
      </w:r>
      <w:r w:rsidR="00E053DD">
        <w:rPr>
          <w:rStyle w:val="FootnoteReference"/>
          <w:rFonts w:eastAsia="Times New Roman" w:cs="Arial"/>
          <w:bCs/>
          <w:snapToGrid w:val="0"/>
          <w:szCs w:val="24"/>
        </w:rPr>
        <w:footnoteReference w:id="3"/>
      </w:r>
      <w:r w:rsidRPr="00DD4059">
        <w:rPr>
          <w:rFonts w:eastAsia="Times New Roman" w:cs="Arial"/>
          <w:bCs/>
          <w:snapToGrid w:val="0"/>
          <w:szCs w:val="24"/>
        </w:rPr>
        <w:t xml:space="preserve"> that suggested bimekizumab is non-inferior to adalimumab and secukinumab, and reiterated the importance of having a third biologic option available to patients.</w:t>
      </w:r>
    </w:p>
    <w:bookmarkEnd w:id="22"/>
    <w:bookmarkEnd w:id="25"/>
    <w:p w14:paraId="609C0765" w14:textId="3467D14C" w:rsidR="00B60939" w:rsidRPr="0098262F" w:rsidRDefault="00B60939" w:rsidP="002E4F02">
      <w:pPr>
        <w:pStyle w:val="4-SubsectionHeading"/>
      </w:pPr>
      <w:r w:rsidRPr="0098262F">
        <w:t>Clinical trials</w:t>
      </w:r>
      <w:bookmarkEnd w:id="21"/>
      <w:bookmarkEnd w:id="23"/>
    </w:p>
    <w:p w14:paraId="0EB72678" w14:textId="07C78081" w:rsidR="00833A14" w:rsidRPr="00754DEE" w:rsidRDefault="271B21F2" w:rsidP="2B21198B">
      <w:pPr>
        <w:pStyle w:val="3-BodyText"/>
        <w:rPr>
          <w:color w:val="0066FF"/>
        </w:rPr>
      </w:pPr>
      <w:r w:rsidRPr="00754DEE">
        <w:rPr>
          <w:color w:val="000000" w:themeColor="text1"/>
        </w:rPr>
        <w:t xml:space="preserve">The submission presented two </w:t>
      </w:r>
      <w:r w:rsidR="45D29219" w:rsidRPr="00754DEE">
        <w:rPr>
          <w:color w:val="000000" w:themeColor="text1"/>
        </w:rPr>
        <w:t>randomised placebo-controlled trials of bimekizumab (BE HEARD I/II</w:t>
      </w:r>
      <w:r w:rsidR="3ADA8A17" w:rsidRPr="00754DEE">
        <w:rPr>
          <w:color w:val="000000" w:themeColor="text1"/>
        </w:rPr>
        <w:t>; also referred to as HS0003 and HS0004</w:t>
      </w:r>
      <w:r w:rsidR="45D29219" w:rsidRPr="00754DEE">
        <w:rPr>
          <w:color w:val="000000" w:themeColor="text1"/>
        </w:rPr>
        <w:t xml:space="preserve">), and a Phase II randomised controlled </w:t>
      </w:r>
      <w:r w:rsidR="3ECB4BBA" w:rsidRPr="00754DEE">
        <w:rPr>
          <w:color w:val="000000" w:themeColor="text1"/>
        </w:rPr>
        <w:t xml:space="preserve">three-arm </w:t>
      </w:r>
      <w:r w:rsidR="45D29219" w:rsidRPr="00754DEE">
        <w:rPr>
          <w:color w:val="000000" w:themeColor="text1"/>
        </w:rPr>
        <w:t>trial of bimekizumab</w:t>
      </w:r>
      <w:r w:rsidR="3ECB4BBA" w:rsidRPr="00754DEE">
        <w:rPr>
          <w:color w:val="000000" w:themeColor="text1"/>
        </w:rPr>
        <w:t>,</w:t>
      </w:r>
      <w:r w:rsidR="45D29219" w:rsidRPr="00754DEE">
        <w:rPr>
          <w:color w:val="000000" w:themeColor="text1"/>
        </w:rPr>
        <w:t xml:space="preserve"> placebo and adalimumab (HS0001). Two randomised placebo-contro</w:t>
      </w:r>
      <w:r w:rsidR="4B9BD57A" w:rsidRPr="00754DEE">
        <w:rPr>
          <w:color w:val="000000" w:themeColor="text1"/>
        </w:rPr>
        <w:t>l</w:t>
      </w:r>
      <w:r w:rsidR="45D29219" w:rsidRPr="00754DEE">
        <w:rPr>
          <w:color w:val="000000" w:themeColor="text1"/>
        </w:rPr>
        <w:t>led trials of secukinumab (SUNSHINE and SUNRISE) were submitted. Three placebo-controlled trials of adalimumab were submitted (PIONEER I/II and M10-467).</w:t>
      </w:r>
    </w:p>
    <w:p w14:paraId="58745FBD" w14:textId="6C78A82B" w:rsidR="007177C2" w:rsidRPr="00754DEE" w:rsidRDefault="007177C2" w:rsidP="2B21198B">
      <w:pPr>
        <w:pStyle w:val="3-BodyText"/>
        <w:rPr>
          <w:color w:val="0066FF"/>
        </w:rPr>
      </w:pPr>
      <w:r w:rsidRPr="00754DEE">
        <w:rPr>
          <w:color w:val="000000" w:themeColor="text1"/>
        </w:rPr>
        <w:t>The submission propose</w:t>
      </w:r>
      <w:r w:rsidR="00976527" w:rsidRPr="00754DEE">
        <w:rPr>
          <w:color w:val="000000" w:themeColor="text1"/>
        </w:rPr>
        <w:t>d</w:t>
      </w:r>
      <w:r w:rsidRPr="00754DEE">
        <w:rPr>
          <w:color w:val="000000" w:themeColor="text1"/>
        </w:rPr>
        <w:t xml:space="preserve"> that bimekizumab be listed at a dose of 320 mg </w:t>
      </w:r>
      <w:r w:rsidR="005756D0" w:rsidRPr="00754DEE">
        <w:rPr>
          <w:color w:val="000000" w:themeColor="text1"/>
        </w:rPr>
        <w:t>every 2</w:t>
      </w:r>
      <w:r w:rsidR="00857E3F">
        <w:rPr>
          <w:color w:val="000000" w:themeColor="text1"/>
        </w:rPr>
        <w:t> </w:t>
      </w:r>
      <w:r w:rsidR="005756D0" w:rsidRPr="00754DEE">
        <w:rPr>
          <w:color w:val="000000" w:themeColor="text1"/>
        </w:rPr>
        <w:t>weeks</w:t>
      </w:r>
      <w:r w:rsidRPr="00754DEE">
        <w:rPr>
          <w:color w:val="000000" w:themeColor="text1"/>
        </w:rPr>
        <w:t xml:space="preserve"> for 16 weeks then 320 mg </w:t>
      </w:r>
      <w:r w:rsidR="005756D0" w:rsidRPr="00754DEE">
        <w:rPr>
          <w:color w:val="000000" w:themeColor="text1"/>
        </w:rPr>
        <w:t>every 4 weeks</w:t>
      </w:r>
      <w:r w:rsidRPr="00754DEE">
        <w:rPr>
          <w:color w:val="000000" w:themeColor="text1"/>
        </w:rPr>
        <w:t>. Only a minority of patients in the trials received this dose</w:t>
      </w:r>
      <w:r w:rsidR="00007039" w:rsidRPr="00754DEE">
        <w:rPr>
          <w:color w:val="000000" w:themeColor="text1"/>
        </w:rPr>
        <w:t xml:space="preserve"> regimen: in BE HEARD I, 129/505 patients and in BE HEARD II, 131/509</w:t>
      </w:r>
      <w:r w:rsidR="00694F0D" w:rsidRPr="00754DEE">
        <w:rPr>
          <w:color w:val="000000" w:themeColor="text1"/>
        </w:rPr>
        <w:t>.</w:t>
      </w:r>
      <w:r w:rsidR="002413BB">
        <w:rPr>
          <w:color w:val="000000" w:themeColor="text1"/>
        </w:rPr>
        <w:t xml:space="preserve"> </w:t>
      </w:r>
    </w:p>
    <w:p w14:paraId="1C7D1C1E" w14:textId="0392357A" w:rsidR="00D53DE0" w:rsidRPr="00754DEE" w:rsidRDefault="00D53DE0" w:rsidP="002E4F02">
      <w:pPr>
        <w:pStyle w:val="3-BodyText"/>
        <w:rPr>
          <w:color w:val="0066FF"/>
        </w:rPr>
      </w:pPr>
      <w:r w:rsidRPr="00754DEE">
        <w:rPr>
          <w:color w:val="000000" w:themeColor="text1"/>
        </w:rPr>
        <w:t xml:space="preserve">PBAC </w:t>
      </w:r>
      <w:r w:rsidR="00FA0D15" w:rsidRPr="00754DEE">
        <w:rPr>
          <w:color w:val="000000" w:themeColor="text1"/>
        </w:rPr>
        <w:t xml:space="preserve">considered the SUNSHINE and SUNRISE trials, and PIONEER I/II and M10-467 in July 2023. At that meeting PBAC also considered SHARPS, a </w:t>
      </w:r>
      <w:r w:rsidR="005A23FA" w:rsidRPr="00754DEE">
        <w:rPr>
          <w:color w:val="000000" w:themeColor="text1"/>
        </w:rPr>
        <w:t>placebo-controlled trial of adalimumab as adjunctive therapy in patients having radical surgery</w:t>
      </w:r>
      <w:r w:rsidR="00CF6A84" w:rsidRPr="00754DEE">
        <w:rPr>
          <w:color w:val="000000" w:themeColor="text1"/>
        </w:rPr>
        <w:t xml:space="preserve"> for HS</w:t>
      </w:r>
      <w:r w:rsidR="005A23FA" w:rsidRPr="00754DEE">
        <w:rPr>
          <w:color w:val="000000" w:themeColor="text1"/>
        </w:rPr>
        <w:t>, but that trial was not included in the present submission</w:t>
      </w:r>
      <w:r w:rsidR="00A935A4" w:rsidRPr="00754DEE">
        <w:rPr>
          <w:color w:val="000000" w:themeColor="text1"/>
        </w:rPr>
        <w:t xml:space="preserve"> because PBAC determined in </w:t>
      </w:r>
      <w:r w:rsidR="00A935A4" w:rsidRPr="00754DEE">
        <w:rPr>
          <w:color w:val="000000" w:themeColor="text1"/>
        </w:rPr>
        <w:lastRenderedPageBreak/>
        <w:t>July</w:t>
      </w:r>
      <w:r w:rsidR="00857E3F">
        <w:rPr>
          <w:color w:val="000000" w:themeColor="text1"/>
        </w:rPr>
        <w:t> </w:t>
      </w:r>
      <w:r w:rsidR="00A935A4" w:rsidRPr="00754DEE">
        <w:rPr>
          <w:color w:val="000000" w:themeColor="text1"/>
        </w:rPr>
        <w:t>2023 that it was inappropriate to include it in an ITC with trials in a quite different clinical setting.</w:t>
      </w:r>
    </w:p>
    <w:p w14:paraId="17CBDC9F" w14:textId="46FA56CB" w:rsidR="005A23FA" w:rsidRPr="00754DEE" w:rsidRDefault="3ECB4BBA" w:rsidP="2B21198B">
      <w:pPr>
        <w:pStyle w:val="3-BodyText"/>
        <w:rPr>
          <w:color w:val="0066FF"/>
        </w:rPr>
      </w:pPr>
      <w:r w:rsidRPr="00754DEE">
        <w:rPr>
          <w:color w:val="000000" w:themeColor="text1"/>
        </w:rPr>
        <w:t>The submission claimed that HS0001 could not</w:t>
      </w:r>
      <w:r w:rsidR="00667438" w:rsidRPr="00754DEE">
        <w:rPr>
          <w:color w:val="000000" w:themeColor="text1"/>
        </w:rPr>
        <w:t xml:space="preserve"> be</w:t>
      </w:r>
      <w:r w:rsidRPr="00754DEE">
        <w:rPr>
          <w:color w:val="000000" w:themeColor="text1"/>
        </w:rPr>
        <w:t xml:space="preserve"> used as a head-to-head comparison of adalimumab and bimekizumab because that comparison "</w:t>
      </w:r>
      <w:r w:rsidRPr="00754DEE">
        <w:t xml:space="preserve">was not part of the study’s primary analysis". However, </w:t>
      </w:r>
      <w:r w:rsidR="4206C78B" w:rsidRPr="00754DEE">
        <w:t xml:space="preserve">it was </w:t>
      </w:r>
      <w:r w:rsidR="771C4918" w:rsidRPr="00754DEE">
        <w:t>a pre-specified analysis (HS0001 CSR)</w:t>
      </w:r>
      <w:r w:rsidRPr="00754DEE">
        <w:t xml:space="preserve">, and </w:t>
      </w:r>
      <w:r w:rsidR="03C6D332" w:rsidRPr="00754DEE">
        <w:t>comparison of the HiSCR75 and HiSCR90 endpoints used</w:t>
      </w:r>
      <w:r w:rsidR="00B22970">
        <w:t xml:space="preserve"> in the</w:t>
      </w:r>
      <w:r w:rsidRPr="00754DEE">
        <w:t xml:space="preserve"> post-hoc analyses of</w:t>
      </w:r>
      <w:r w:rsidR="03C6D332" w:rsidRPr="00754DEE">
        <w:t xml:space="preserve"> </w:t>
      </w:r>
      <w:r w:rsidR="74A453BB" w:rsidRPr="00754DEE">
        <w:t xml:space="preserve">the PIONEER I/II, SUNSHINE and SUNRISE </w:t>
      </w:r>
      <w:r w:rsidR="03C6D332" w:rsidRPr="00754DEE">
        <w:t>trials</w:t>
      </w:r>
      <w:r w:rsidRPr="00754DEE">
        <w:t>.</w:t>
      </w:r>
      <w:r w:rsidR="3AF30B74" w:rsidRPr="00754DEE">
        <w:t xml:space="preserve"> </w:t>
      </w:r>
      <w:r w:rsidR="301613E8" w:rsidRPr="00754DEE">
        <w:t>The issue is of minor importance because</w:t>
      </w:r>
      <w:r w:rsidR="3AF30B74" w:rsidRPr="00754DEE">
        <w:t xml:space="preserve"> </w:t>
      </w:r>
      <w:r w:rsidR="301613E8" w:rsidRPr="00754DEE">
        <w:t xml:space="preserve">the </w:t>
      </w:r>
      <w:r w:rsidR="3AF30B74" w:rsidRPr="00754DEE">
        <w:t>head-to-head bimekizumab vs adalimumab results from HS0001 were similar to those of the indirect treatment comparison</w:t>
      </w:r>
      <w:r w:rsidR="33EEC69E" w:rsidRPr="00754DEE">
        <w:t xml:space="preserve"> and </w:t>
      </w:r>
      <w:r w:rsidR="05F08A36" w:rsidRPr="00754DEE">
        <w:t>do not</w:t>
      </w:r>
      <w:r w:rsidR="5C20EB75" w:rsidRPr="00754DEE">
        <w:t xml:space="preserve"> alter the therapeutic conclusions with respect to bimekizumab and adalimumab</w:t>
      </w:r>
      <w:r w:rsidR="3AF30B74" w:rsidRPr="00754DEE">
        <w:t xml:space="preserve">. </w:t>
      </w:r>
    </w:p>
    <w:p w14:paraId="256AB996" w14:textId="4062310A" w:rsidR="00B60897" w:rsidRPr="00754DEE" w:rsidRDefault="4AC769A1" w:rsidP="2B21198B">
      <w:pPr>
        <w:pStyle w:val="3-BodyText"/>
      </w:pPr>
      <w:r w:rsidRPr="00754DEE">
        <w:t xml:space="preserve">A key issue in trials of treatment of HS </w:t>
      </w:r>
      <w:r w:rsidR="67BFFEDB" w:rsidRPr="00754DEE">
        <w:t>i</w:t>
      </w:r>
      <w:r w:rsidRPr="00754DEE">
        <w:t xml:space="preserve">s the outcome measure used. </w:t>
      </w:r>
      <w:r w:rsidR="4B351117" w:rsidRPr="00754DEE">
        <w:t xml:space="preserve">The </w:t>
      </w:r>
      <w:r w:rsidR="33F2380C" w:rsidRPr="00754DEE">
        <w:t xml:space="preserve">primary </w:t>
      </w:r>
      <w:r w:rsidR="4B351117" w:rsidRPr="00754DEE">
        <w:t>outcome measure used i</w:t>
      </w:r>
      <w:r w:rsidR="33F2380C" w:rsidRPr="00754DEE">
        <w:t>n</w:t>
      </w:r>
      <w:r w:rsidR="4B351117" w:rsidRPr="00754DEE">
        <w:t xml:space="preserve"> the trials recently considered by PBAC is </w:t>
      </w:r>
      <w:proofErr w:type="spellStart"/>
      <w:r w:rsidR="4B351117" w:rsidRPr="00754DEE">
        <w:t>HiSCR</w:t>
      </w:r>
      <w:proofErr w:type="spellEnd"/>
      <w:r w:rsidR="4B351117" w:rsidRPr="00754DEE">
        <w:t xml:space="preserve">, </w:t>
      </w:r>
      <w:r w:rsidR="4B351117" w:rsidRPr="00754DEE">
        <w:rPr>
          <w:b/>
          <w:bCs/>
        </w:rPr>
        <w:t>Hi</w:t>
      </w:r>
      <w:r w:rsidR="4B351117" w:rsidRPr="00754DEE">
        <w:t xml:space="preserve">dradenitis </w:t>
      </w:r>
      <w:r w:rsidR="4B351117" w:rsidRPr="00754DEE">
        <w:rPr>
          <w:b/>
          <w:bCs/>
        </w:rPr>
        <w:t>S</w:t>
      </w:r>
      <w:r w:rsidR="4B351117" w:rsidRPr="00754DEE">
        <w:t xml:space="preserve">uppurativa </w:t>
      </w:r>
      <w:r w:rsidR="4B351117" w:rsidRPr="00754DEE">
        <w:rPr>
          <w:b/>
          <w:bCs/>
        </w:rPr>
        <w:t>C</w:t>
      </w:r>
      <w:r w:rsidR="4B351117" w:rsidRPr="00754DEE">
        <w:t xml:space="preserve">linical </w:t>
      </w:r>
      <w:r w:rsidR="4B351117" w:rsidRPr="00754DEE">
        <w:rPr>
          <w:b/>
          <w:bCs/>
        </w:rPr>
        <w:t>R</w:t>
      </w:r>
      <w:r w:rsidR="4B351117" w:rsidRPr="00754DEE">
        <w:t xml:space="preserve">esponse. </w:t>
      </w:r>
      <w:proofErr w:type="spellStart"/>
      <w:r w:rsidR="4B351117" w:rsidRPr="00754DEE">
        <w:t>HiSCR</w:t>
      </w:r>
      <w:proofErr w:type="spellEnd"/>
      <w:r w:rsidR="4B351117" w:rsidRPr="00754DEE">
        <w:t xml:space="preserve"> was</w:t>
      </w:r>
      <w:r w:rsidR="2CFE92B9" w:rsidRPr="00754DEE">
        <w:t xml:space="preserve"> introduced </w:t>
      </w:r>
      <w:r w:rsidR="6A37888C" w:rsidRPr="00754DEE">
        <w:t>for</w:t>
      </w:r>
      <w:r w:rsidR="33F2380C" w:rsidRPr="00754DEE">
        <w:t xml:space="preserve"> the PIONEER </w:t>
      </w:r>
      <w:r w:rsidR="00667438" w:rsidRPr="00754DEE">
        <w:t>trials and</w:t>
      </w:r>
      <w:r w:rsidR="33F2380C" w:rsidRPr="00754DEE">
        <w:t xml:space="preserve"> then used in the SUNSHINE and SUNRISE and BE HEARD trials</w:t>
      </w:r>
      <w:r w:rsidR="2CFE92B9" w:rsidRPr="00754DEE">
        <w:t xml:space="preserve"> and several subsequent trials of various therapies for H</w:t>
      </w:r>
      <w:r w:rsidR="00CB264F" w:rsidRPr="00754DEE">
        <w:t>S.</w:t>
      </w:r>
      <w:r w:rsidR="00B60897" w:rsidRPr="00754DEE">
        <w:t xml:space="preserve"> Although </w:t>
      </w:r>
      <w:proofErr w:type="spellStart"/>
      <w:r w:rsidR="00B60897" w:rsidRPr="00754DEE">
        <w:t>HiSCR</w:t>
      </w:r>
      <w:proofErr w:type="spellEnd"/>
      <w:r w:rsidR="00B60897" w:rsidRPr="00754DEE">
        <w:t xml:space="preserve"> has been widely used in HS </w:t>
      </w:r>
      <w:r w:rsidR="00667438" w:rsidRPr="00754DEE">
        <w:t>trials, it</w:t>
      </w:r>
      <w:r w:rsidR="00B60897" w:rsidRPr="00754DEE">
        <w:t xml:space="preserve"> is noted </w:t>
      </w:r>
      <w:r w:rsidR="00180CB4" w:rsidRPr="00754DEE">
        <w:t xml:space="preserve">that </w:t>
      </w:r>
      <w:r w:rsidR="00B60897" w:rsidRPr="00754DEE">
        <w:t xml:space="preserve">all the papers have the same first author (Kimball) and essentially the same investigators. </w:t>
      </w:r>
    </w:p>
    <w:p w14:paraId="2C005611" w14:textId="62E12E23" w:rsidR="00B60897" w:rsidRPr="00754DEE" w:rsidRDefault="00B60897" w:rsidP="2B21198B">
      <w:pPr>
        <w:pStyle w:val="3-BodyText"/>
      </w:pPr>
      <w:r w:rsidRPr="00754DEE">
        <w:t xml:space="preserve">The </w:t>
      </w:r>
      <w:proofErr w:type="spellStart"/>
      <w:r w:rsidRPr="00754DEE">
        <w:t>HiSCR</w:t>
      </w:r>
      <w:proofErr w:type="spellEnd"/>
      <w:r w:rsidRPr="00754DEE">
        <w:t xml:space="preserve"> is biased towards acute inflammatory change and de-emphasises manifestations of chronic disease, so that i</w:t>
      </w:r>
      <w:r w:rsidR="00180CB4" w:rsidRPr="00754DEE">
        <w:t>t</w:t>
      </w:r>
      <w:r w:rsidRPr="00754DEE">
        <w:t xml:space="preserve"> favours anti-inflammatory treatments - although, because it was devised for and validated using data from the adalimumab trials, it is not clear that it favours all anti-inflammatory treatments equally.</w:t>
      </w:r>
    </w:p>
    <w:p w14:paraId="791E2BCD" w14:textId="76699563" w:rsidR="00B60897" w:rsidRPr="00754DEE" w:rsidRDefault="00B60897" w:rsidP="00B60897">
      <w:pPr>
        <w:pStyle w:val="3-BodyText"/>
        <w:rPr>
          <w:color w:val="0066FF"/>
        </w:rPr>
      </w:pPr>
      <w:r w:rsidRPr="00754DEE">
        <w:t xml:space="preserve">Most trials have used the outcome of HiSCR50, defined as a 50% reduction in inflammatory lesion count (abscesses + inflammatory nodules) and no increase in abscesses or draining fistulas compared to baseline. </w:t>
      </w:r>
    </w:p>
    <w:p w14:paraId="35DCDC81" w14:textId="5A8A0035" w:rsidR="00B60897" w:rsidRPr="00754DEE" w:rsidRDefault="00B60897" w:rsidP="00B60897">
      <w:pPr>
        <w:pStyle w:val="3-BodyText"/>
      </w:pPr>
      <w:r w:rsidRPr="00754DEE">
        <w:t>The submission sought to include HiSCR75 and HiSCR90 (</w:t>
      </w:r>
      <w:r w:rsidR="00667438" w:rsidRPr="00754DEE">
        <w:t>i.e.</w:t>
      </w:r>
      <w:r w:rsidRPr="00754DEE">
        <w:t xml:space="preserve">, 75% and 90% reductions in the count of abscesses and nodules </w:t>
      </w:r>
      <w:r w:rsidRPr="00754DEE">
        <w:rPr>
          <w:u w:val="single"/>
        </w:rPr>
        <w:t>and</w:t>
      </w:r>
      <w:r w:rsidRPr="00754DEE">
        <w:t xml:space="preserve"> no increases in abscesses or draining tunnels). These measures were introduced in HS0001 as exploratory outcomes. </w:t>
      </w:r>
    </w:p>
    <w:p w14:paraId="16C74366" w14:textId="5C1F3EE0" w:rsidR="00893DA6" w:rsidRPr="00754DEE" w:rsidRDefault="00B60897" w:rsidP="2B21198B">
      <w:pPr>
        <w:pStyle w:val="3-BodyText"/>
        <w:rPr>
          <w:color w:val="0066FF"/>
        </w:rPr>
      </w:pPr>
      <w:r w:rsidRPr="00754DEE">
        <w:t xml:space="preserve">The submission argued that HiSCR75 and HiSCR90 are "more stringent outcome measures" that are useful because "achieving a HiSCR50 response does not result in complete or near complete resolution of symptoms". However, </w:t>
      </w:r>
      <w:proofErr w:type="spellStart"/>
      <w:r w:rsidRPr="00754DEE">
        <w:t>HiSCR</w:t>
      </w:r>
      <w:proofErr w:type="spellEnd"/>
      <w:r w:rsidRPr="00754DEE">
        <w:t xml:space="preserve"> does not require any improvement in draining tunnels, and draining tunnels are a major cause of symptoms in HS, so HiSCR75 and 90 do not necessarily represent "complete or near complete resolution of symptoms".</w:t>
      </w:r>
    </w:p>
    <w:p w14:paraId="395F694C" w14:textId="581AC595" w:rsidR="00C853C9" w:rsidRPr="00754DEE" w:rsidRDefault="0AFC3707" w:rsidP="2B21198B">
      <w:pPr>
        <w:pStyle w:val="3-BodyText"/>
      </w:pPr>
      <w:r w:rsidRPr="00754DEE">
        <w:t>NICE determined</w:t>
      </w:r>
      <w:r w:rsidR="40856C96" w:rsidRPr="00754DEE">
        <w:t>, in contrast,</w:t>
      </w:r>
      <w:r w:rsidRPr="00754DEE">
        <w:t xml:space="preserve"> that</w:t>
      </w:r>
      <w:r w:rsidR="40856C96" w:rsidRPr="00754DEE">
        <w:t xml:space="preserve"> based on quality</w:t>
      </w:r>
      <w:r w:rsidR="3A63E241" w:rsidRPr="00754DEE">
        <w:t>-</w:t>
      </w:r>
      <w:r w:rsidR="40856C96" w:rsidRPr="00754DEE">
        <w:t>o</w:t>
      </w:r>
      <w:r w:rsidR="3A63E241" w:rsidRPr="00754DEE">
        <w:t>f-</w:t>
      </w:r>
      <w:r w:rsidR="40856C96" w:rsidRPr="00754DEE">
        <w:t>life data</w:t>
      </w:r>
      <w:r w:rsidRPr="00754DEE">
        <w:t xml:space="preserve"> a 25% reduction in nodules and abscesses with no new draining tunnels (HiSCR25) would justify continuing treatment with adalimumab</w:t>
      </w:r>
      <w:r w:rsidR="40856C96" w:rsidRPr="00754DEE">
        <w:t>.</w:t>
      </w:r>
      <w:r w:rsidR="00CD17C6" w:rsidRPr="00754DEE">
        <w:rPr>
          <w:rStyle w:val="FootnoteReference"/>
        </w:rPr>
        <w:footnoteReference w:id="4"/>
      </w:r>
    </w:p>
    <w:p w14:paraId="0A7FBB37" w14:textId="5EEA0860" w:rsidR="00F668CF" w:rsidRPr="00754DEE" w:rsidRDefault="00F668CF" w:rsidP="002B562F">
      <w:pPr>
        <w:pStyle w:val="3-BodyText"/>
        <w:rPr>
          <w:lang w:val="en-GB"/>
        </w:rPr>
      </w:pPr>
      <w:r w:rsidRPr="00754DEE">
        <w:rPr>
          <w:lang w:val="en-GB"/>
        </w:rPr>
        <w:lastRenderedPageBreak/>
        <w:t xml:space="preserve">The use of </w:t>
      </w:r>
      <w:r w:rsidR="005B0639" w:rsidRPr="00754DEE">
        <w:rPr>
          <w:lang w:val="en-GB"/>
        </w:rPr>
        <w:t xml:space="preserve">a primary </w:t>
      </w:r>
      <w:r w:rsidRPr="00754DEE">
        <w:rPr>
          <w:lang w:val="en-GB"/>
        </w:rPr>
        <w:t>outcome measur</w:t>
      </w:r>
      <w:r w:rsidR="00832A22" w:rsidRPr="00754DEE">
        <w:rPr>
          <w:lang w:val="en-GB"/>
        </w:rPr>
        <w:t xml:space="preserve">e </w:t>
      </w:r>
      <w:r w:rsidR="005B0639" w:rsidRPr="00754DEE">
        <w:rPr>
          <w:lang w:val="en-GB"/>
        </w:rPr>
        <w:t>focused on</w:t>
      </w:r>
      <w:r w:rsidRPr="00754DEE">
        <w:rPr>
          <w:lang w:val="en-GB"/>
        </w:rPr>
        <w:t xml:space="preserve"> </w:t>
      </w:r>
      <w:r w:rsidR="005B0639" w:rsidRPr="00754DEE">
        <w:rPr>
          <w:lang w:val="en-GB"/>
        </w:rPr>
        <w:t>acute inflammatory processes</w:t>
      </w:r>
      <w:r w:rsidR="00180CB4" w:rsidRPr="00754DEE">
        <w:rPr>
          <w:lang w:val="en-GB"/>
        </w:rPr>
        <w:t>, which does not measure all patient-relevant aspects of the disease, and</w:t>
      </w:r>
      <w:r w:rsidR="005B0639" w:rsidRPr="00754DEE">
        <w:rPr>
          <w:lang w:val="en-GB"/>
        </w:rPr>
        <w:t xml:space="preserve"> which may not measure all effects of all inflammatory response </w:t>
      </w:r>
      <w:r w:rsidR="008E10A3" w:rsidRPr="00754DEE">
        <w:rPr>
          <w:lang w:val="en-GB"/>
        </w:rPr>
        <w:t xml:space="preserve">modulators </w:t>
      </w:r>
      <w:r w:rsidR="000A1016" w:rsidRPr="00754DEE">
        <w:rPr>
          <w:lang w:val="en-GB"/>
        </w:rPr>
        <w:t xml:space="preserve">may make </w:t>
      </w:r>
      <w:r w:rsidR="001331C7" w:rsidRPr="00754DEE">
        <w:rPr>
          <w:lang w:val="en-GB"/>
        </w:rPr>
        <w:t xml:space="preserve">relative efficacy difficult to estimate. </w:t>
      </w:r>
    </w:p>
    <w:p w14:paraId="0FC211F2" w14:textId="657C6B0B" w:rsidR="00A935A4" w:rsidRPr="00754DEE" w:rsidRDefault="00A935A4" w:rsidP="002B562F">
      <w:pPr>
        <w:pStyle w:val="3-BodyText"/>
        <w:rPr>
          <w:lang w:val="en-GB"/>
        </w:rPr>
      </w:pPr>
      <w:r w:rsidRPr="00754DEE">
        <w:rPr>
          <w:lang w:val="en-GB"/>
        </w:rPr>
        <w:t>The clinical claim was supported by two indirect treatment comparisons (ITCs)</w:t>
      </w:r>
      <w:r w:rsidR="00F961C5" w:rsidRPr="00754DEE">
        <w:rPr>
          <w:lang w:val="en-GB"/>
        </w:rPr>
        <w:t>, as shown in</w:t>
      </w:r>
      <w:r w:rsidR="00202E3A" w:rsidRPr="00754DEE">
        <w:rPr>
          <w:lang w:val="en-GB"/>
        </w:rPr>
        <w:t xml:space="preserve"> </w:t>
      </w:r>
      <w:r w:rsidR="00202E3A" w:rsidRPr="00754DEE">
        <w:rPr>
          <w:lang w:val="en-GB"/>
        </w:rPr>
        <w:fldChar w:fldCharType="begin"/>
      </w:r>
      <w:r w:rsidR="00202E3A" w:rsidRPr="00754DEE">
        <w:rPr>
          <w:lang w:val="en-GB"/>
        </w:rPr>
        <w:instrText xml:space="preserve"> REF _Ref188782727 \h </w:instrText>
      </w:r>
      <w:r w:rsidR="00754DEE" w:rsidRPr="00754DEE">
        <w:rPr>
          <w:lang w:val="en-GB"/>
        </w:rPr>
        <w:instrText xml:space="preserve"> \* MERGEFORMAT </w:instrText>
      </w:r>
      <w:r w:rsidR="00202E3A" w:rsidRPr="00754DEE">
        <w:rPr>
          <w:lang w:val="en-GB"/>
        </w:rPr>
      </w:r>
      <w:r w:rsidR="00202E3A" w:rsidRPr="00754DEE">
        <w:rPr>
          <w:lang w:val="en-GB"/>
        </w:rPr>
        <w:fldChar w:fldCharType="separate"/>
      </w:r>
      <w:r w:rsidR="00184DE0">
        <w:t xml:space="preserve">Figure </w:t>
      </w:r>
      <w:r w:rsidR="00184DE0">
        <w:rPr>
          <w:noProof/>
        </w:rPr>
        <w:t>2</w:t>
      </w:r>
      <w:r w:rsidR="00202E3A" w:rsidRPr="00754DEE">
        <w:rPr>
          <w:lang w:val="en-GB"/>
        </w:rPr>
        <w:fldChar w:fldCharType="end"/>
      </w:r>
      <w:r w:rsidR="00F961C5" w:rsidRPr="00754DEE">
        <w:rPr>
          <w:lang w:val="en-GB"/>
        </w:rPr>
        <w:t xml:space="preserve">. </w:t>
      </w:r>
    </w:p>
    <w:p w14:paraId="4DF8CC0E" w14:textId="004037D7" w:rsidR="00F961C5" w:rsidRPr="00F961C5" w:rsidRDefault="00202E3A" w:rsidP="00202E3A">
      <w:pPr>
        <w:pStyle w:val="Caption"/>
        <w:rPr>
          <w:lang w:val="en-GB"/>
        </w:rPr>
      </w:pPr>
      <w:bookmarkStart w:id="26" w:name="_Ref188782727"/>
      <w:r>
        <w:t xml:space="preserve">Figure </w:t>
      </w:r>
      <w:r w:rsidR="002B4E57">
        <w:fldChar w:fldCharType="begin"/>
      </w:r>
      <w:r w:rsidR="002B4E57">
        <w:instrText xml:space="preserve"> SEQ Figure \* ARABIC </w:instrText>
      </w:r>
      <w:r w:rsidR="002B4E57">
        <w:fldChar w:fldCharType="separate"/>
      </w:r>
      <w:r w:rsidR="00184DE0">
        <w:rPr>
          <w:noProof/>
        </w:rPr>
        <w:t>2</w:t>
      </w:r>
      <w:r w:rsidR="002B4E57">
        <w:rPr>
          <w:noProof/>
        </w:rPr>
        <w:fldChar w:fldCharType="end"/>
      </w:r>
      <w:bookmarkEnd w:id="26"/>
      <w:r>
        <w:t xml:space="preserve">: </w:t>
      </w:r>
      <w:r w:rsidR="00F961C5">
        <w:rPr>
          <w:lang w:val="en-GB"/>
        </w:rPr>
        <w:t>The structure of the ITCs included in the submission.</w:t>
      </w:r>
    </w:p>
    <w:tbl>
      <w:tblPr>
        <w:tblStyle w:val="TableGrid"/>
        <w:tblW w:w="9351" w:type="dxa"/>
        <w:tblLook w:val="04A0" w:firstRow="1" w:lastRow="0" w:firstColumn="1" w:lastColumn="0" w:noHBand="0" w:noVBand="1"/>
      </w:tblPr>
      <w:tblGrid>
        <w:gridCol w:w="3183"/>
        <w:gridCol w:w="3184"/>
        <w:gridCol w:w="2984"/>
      </w:tblGrid>
      <w:tr w:rsidR="00F961C5" w:rsidRPr="00354295" w14:paraId="22929FB5" w14:textId="77777777" w:rsidTr="00354295">
        <w:trPr>
          <w:trHeight w:val="339"/>
        </w:trPr>
        <w:tc>
          <w:tcPr>
            <w:tcW w:w="6367" w:type="dxa"/>
            <w:gridSpan w:val="2"/>
            <w:tcBorders>
              <w:top w:val="single" w:sz="4" w:space="0" w:color="auto"/>
              <w:left w:val="single" w:sz="4" w:space="0" w:color="auto"/>
              <w:bottom w:val="single" w:sz="4" w:space="0" w:color="auto"/>
              <w:right w:val="single" w:sz="4" w:space="0" w:color="auto"/>
            </w:tcBorders>
            <w:vAlign w:val="center"/>
          </w:tcPr>
          <w:p w14:paraId="5CB90DBA" w14:textId="77777777" w:rsidR="00F961C5" w:rsidRPr="00354295" w:rsidRDefault="00F961C5">
            <w:pPr>
              <w:keepNext/>
              <w:jc w:val="center"/>
              <w:rPr>
                <w:rFonts w:ascii="Arial Narrow" w:hAnsi="Arial Narrow"/>
                <w:sz w:val="20"/>
                <w:szCs w:val="22"/>
              </w:rPr>
            </w:pPr>
            <w:r w:rsidRPr="00354295">
              <w:rPr>
                <w:rFonts w:ascii="Arial Narrow" w:hAnsi="Arial Narrow"/>
                <w:sz w:val="20"/>
                <w:szCs w:val="22"/>
              </w:rPr>
              <w:t>BE HEARD I</w:t>
            </w:r>
          </w:p>
        </w:tc>
        <w:tc>
          <w:tcPr>
            <w:tcW w:w="2984" w:type="dxa"/>
            <w:tcBorders>
              <w:top w:val="nil"/>
              <w:left w:val="single" w:sz="4" w:space="0" w:color="auto"/>
              <w:bottom w:val="nil"/>
              <w:right w:val="nil"/>
            </w:tcBorders>
            <w:vAlign w:val="center"/>
          </w:tcPr>
          <w:p w14:paraId="42506DD7" w14:textId="77777777" w:rsidR="00F961C5" w:rsidRPr="00354295" w:rsidRDefault="00F961C5">
            <w:pPr>
              <w:keepNext/>
              <w:jc w:val="center"/>
              <w:rPr>
                <w:rFonts w:ascii="Arial Narrow" w:hAnsi="Arial Narrow"/>
                <w:b/>
                <w:bCs/>
                <w:sz w:val="20"/>
                <w:szCs w:val="22"/>
              </w:rPr>
            </w:pPr>
          </w:p>
        </w:tc>
      </w:tr>
      <w:tr w:rsidR="00F961C5" w:rsidRPr="00354295" w14:paraId="6756A3FC" w14:textId="77777777" w:rsidTr="00354295">
        <w:trPr>
          <w:trHeight w:val="272"/>
        </w:trPr>
        <w:tc>
          <w:tcPr>
            <w:tcW w:w="6367" w:type="dxa"/>
            <w:gridSpan w:val="2"/>
            <w:tcBorders>
              <w:top w:val="single" w:sz="4" w:space="0" w:color="auto"/>
              <w:left w:val="single" w:sz="4" w:space="0" w:color="auto"/>
              <w:bottom w:val="single" w:sz="4" w:space="0" w:color="auto"/>
              <w:right w:val="single" w:sz="4" w:space="0" w:color="auto"/>
            </w:tcBorders>
            <w:vAlign w:val="center"/>
          </w:tcPr>
          <w:p w14:paraId="6E05AAFB" w14:textId="77777777" w:rsidR="00F961C5" w:rsidRPr="00354295" w:rsidRDefault="00F961C5">
            <w:pPr>
              <w:keepNext/>
              <w:jc w:val="center"/>
              <w:rPr>
                <w:rFonts w:ascii="Arial Narrow" w:hAnsi="Arial Narrow"/>
                <w:sz w:val="20"/>
                <w:szCs w:val="22"/>
              </w:rPr>
            </w:pPr>
            <w:r w:rsidRPr="00354295">
              <w:rPr>
                <w:rFonts w:ascii="Arial Narrow" w:hAnsi="Arial Narrow"/>
                <w:sz w:val="20"/>
                <w:szCs w:val="22"/>
              </w:rPr>
              <w:t>BE HEARD II</w:t>
            </w:r>
          </w:p>
        </w:tc>
        <w:tc>
          <w:tcPr>
            <w:tcW w:w="2984" w:type="dxa"/>
            <w:tcBorders>
              <w:top w:val="nil"/>
              <w:left w:val="single" w:sz="4" w:space="0" w:color="auto"/>
              <w:bottom w:val="nil"/>
              <w:right w:val="nil"/>
            </w:tcBorders>
            <w:vAlign w:val="center"/>
          </w:tcPr>
          <w:p w14:paraId="6A7D6348" w14:textId="77777777" w:rsidR="00F961C5" w:rsidRPr="00354295" w:rsidRDefault="00F961C5">
            <w:pPr>
              <w:keepNext/>
              <w:jc w:val="center"/>
              <w:rPr>
                <w:rFonts w:ascii="Arial Narrow" w:hAnsi="Arial Narrow"/>
                <w:b/>
                <w:bCs/>
                <w:sz w:val="20"/>
                <w:szCs w:val="22"/>
              </w:rPr>
            </w:pPr>
          </w:p>
        </w:tc>
      </w:tr>
      <w:tr w:rsidR="00F961C5" w:rsidRPr="00354295" w14:paraId="43E812EA" w14:textId="77777777" w:rsidTr="00354295">
        <w:trPr>
          <w:trHeight w:val="149"/>
        </w:trPr>
        <w:tc>
          <w:tcPr>
            <w:tcW w:w="6367" w:type="dxa"/>
            <w:gridSpan w:val="2"/>
            <w:tcBorders>
              <w:top w:val="single" w:sz="4" w:space="0" w:color="auto"/>
              <w:left w:val="single" w:sz="4" w:space="0" w:color="auto"/>
              <w:bottom w:val="single" w:sz="4" w:space="0" w:color="auto"/>
              <w:right w:val="single" w:sz="4" w:space="0" w:color="auto"/>
            </w:tcBorders>
            <w:vAlign w:val="center"/>
          </w:tcPr>
          <w:p w14:paraId="01DDEACB" w14:textId="77777777" w:rsidR="00F961C5" w:rsidRPr="00354295" w:rsidRDefault="00F961C5">
            <w:pPr>
              <w:keepNext/>
              <w:jc w:val="center"/>
              <w:rPr>
                <w:rFonts w:ascii="Arial Narrow" w:hAnsi="Arial Narrow"/>
                <w:sz w:val="20"/>
                <w:szCs w:val="22"/>
              </w:rPr>
            </w:pPr>
            <w:r w:rsidRPr="00354295">
              <w:rPr>
                <w:rFonts w:ascii="Arial Narrow" w:hAnsi="Arial Narrow"/>
                <w:sz w:val="20"/>
                <w:szCs w:val="22"/>
              </w:rPr>
              <w:t>HS0001</w:t>
            </w:r>
          </w:p>
        </w:tc>
        <w:tc>
          <w:tcPr>
            <w:tcW w:w="2984" w:type="dxa"/>
            <w:tcBorders>
              <w:top w:val="nil"/>
              <w:left w:val="single" w:sz="4" w:space="0" w:color="auto"/>
              <w:bottom w:val="nil"/>
              <w:right w:val="nil"/>
            </w:tcBorders>
            <w:vAlign w:val="center"/>
          </w:tcPr>
          <w:p w14:paraId="398524F8" w14:textId="77777777" w:rsidR="00F961C5" w:rsidRPr="00354295" w:rsidRDefault="00F961C5">
            <w:pPr>
              <w:keepNext/>
              <w:jc w:val="center"/>
              <w:rPr>
                <w:rFonts w:ascii="Arial Narrow" w:hAnsi="Arial Narrow"/>
                <w:b/>
                <w:bCs/>
                <w:sz w:val="20"/>
                <w:szCs w:val="22"/>
              </w:rPr>
            </w:pPr>
          </w:p>
        </w:tc>
      </w:tr>
      <w:tr w:rsidR="00F961C5" w:rsidRPr="00354295" w14:paraId="083CD259" w14:textId="77777777" w:rsidTr="00354295">
        <w:trPr>
          <w:trHeight w:val="139"/>
        </w:trPr>
        <w:tc>
          <w:tcPr>
            <w:tcW w:w="3183" w:type="dxa"/>
            <w:tcBorders>
              <w:top w:val="single" w:sz="4" w:space="0" w:color="auto"/>
              <w:left w:val="single" w:sz="4" w:space="0" w:color="auto"/>
              <w:bottom w:val="single" w:sz="4" w:space="0" w:color="auto"/>
              <w:right w:val="single" w:sz="4" w:space="0" w:color="auto"/>
            </w:tcBorders>
            <w:vAlign w:val="center"/>
          </w:tcPr>
          <w:p w14:paraId="392A7D2A" w14:textId="26D492A7" w:rsidR="00F961C5" w:rsidRPr="00354295" w:rsidRDefault="00F961C5" w:rsidP="2B21198B">
            <w:pPr>
              <w:keepNext/>
              <w:jc w:val="center"/>
              <w:rPr>
                <w:rFonts w:ascii="Arial Narrow" w:hAnsi="Arial Narrow"/>
                <w:b/>
                <w:bCs/>
                <w:sz w:val="20"/>
                <w:szCs w:val="22"/>
              </w:rPr>
            </w:pPr>
            <w:r w:rsidRPr="00354295">
              <w:rPr>
                <w:rFonts w:ascii="Arial Narrow" w:hAnsi="Arial Narrow"/>
                <w:b/>
                <w:bCs/>
                <w:sz w:val="20"/>
                <w:szCs w:val="22"/>
              </w:rPr>
              <w:t>Bimekizumab</w:t>
            </w:r>
          </w:p>
        </w:tc>
        <w:tc>
          <w:tcPr>
            <w:tcW w:w="3184" w:type="dxa"/>
            <w:tcBorders>
              <w:top w:val="single" w:sz="4" w:space="0" w:color="auto"/>
              <w:left w:val="single" w:sz="4" w:space="0" w:color="auto"/>
              <w:bottom w:val="single" w:sz="4" w:space="0" w:color="auto"/>
              <w:right w:val="single" w:sz="4" w:space="0" w:color="auto"/>
            </w:tcBorders>
            <w:vAlign w:val="center"/>
          </w:tcPr>
          <w:p w14:paraId="2E108C26" w14:textId="77777777" w:rsidR="00F961C5" w:rsidRPr="00354295" w:rsidRDefault="00F961C5">
            <w:pPr>
              <w:keepNext/>
              <w:jc w:val="center"/>
              <w:rPr>
                <w:rFonts w:ascii="Arial Narrow" w:hAnsi="Arial Narrow"/>
                <w:b/>
                <w:bCs/>
                <w:sz w:val="20"/>
                <w:szCs w:val="22"/>
              </w:rPr>
            </w:pPr>
            <w:r w:rsidRPr="00354295">
              <w:rPr>
                <w:rFonts w:ascii="Arial Narrow" w:hAnsi="Arial Narrow"/>
                <w:b/>
                <w:bCs/>
                <w:sz w:val="20"/>
                <w:szCs w:val="22"/>
              </w:rPr>
              <w:t>Placebo</w:t>
            </w:r>
          </w:p>
        </w:tc>
        <w:tc>
          <w:tcPr>
            <w:tcW w:w="2984" w:type="dxa"/>
            <w:tcBorders>
              <w:top w:val="nil"/>
              <w:left w:val="single" w:sz="4" w:space="0" w:color="auto"/>
              <w:bottom w:val="single" w:sz="4" w:space="0" w:color="auto"/>
              <w:right w:val="nil"/>
            </w:tcBorders>
            <w:vAlign w:val="center"/>
          </w:tcPr>
          <w:p w14:paraId="4BDD6A1E" w14:textId="77777777" w:rsidR="00F961C5" w:rsidRPr="00354295" w:rsidRDefault="00F961C5">
            <w:pPr>
              <w:keepNext/>
              <w:jc w:val="center"/>
              <w:rPr>
                <w:rFonts w:ascii="Arial Narrow" w:hAnsi="Arial Narrow"/>
                <w:b/>
                <w:bCs/>
                <w:sz w:val="20"/>
                <w:szCs w:val="22"/>
              </w:rPr>
            </w:pPr>
          </w:p>
        </w:tc>
      </w:tr>
      <w:tr w:rsidR="00F961C5" w:rsidRPr="00354295" w14:paraId="5DC6B4AB" w14:textId="77777777" w:rsidTr="00354295">
        <w:trPr>
          <w:trHeight w:val="285"/>
        </w:trPr>
        <w:tc>
          <w:tcPr>
            <w:tcW w:w="3183" w:type="dxa"/>
            <w:tcBorders>
              <w:top w:val="single" w:sz="4" w:space="0" w:color="auto"/>
              <w:left w:val="nil"/>
              <w:bottom w:val="nil"/>
              <w:right w:val="single" w:sz="4" w:space="0" w:color="auto"/>
            </w:tcBorders>
            <w:vAlign w:val="center"/>
          </w:tcPr>
          <w:p w14:paraId="205E64D2" w14:textId="77777777" w:rsidR="00F961C5" w:rsidRPr="00354295" w:rsidRDefault="00F961C5">
            <w:pPr>
              <w:keepNext/>
              <w:jc w:val="center"/>
              <w:rPr>
                <w:rFonts w:ascii="Arial Narrow" w:hAnsi="Arial Narrow"/>
                <w:b/>
                <w:bCs/>
                <w:sz w:val="20"/>
                <w:szCs w:val="22"/>
              </w:rPr>
            </w:pPr>
          </w:p>
        </w:tc>
        <w:tc>
          <w:tcPr>
            <w:tcW w:w="3184" w:type="dxa"/>
            <w:tcBorders>
              <w:top w:val="single" w:sz="4" w:space="0" w:color="auto"/>
              <w:left w:val="single" w:sz="4" w:space="0" w:color="auto"/>
              <w:bottom w:val="single" w:sz="4" w:space="0" w:color="auto"/>
              <w:right w:val="single" w:sz="4" w:space="0" w:color="auto"/>
            </w:tcBorders>
            <w:vAlign w:val="center"/>
          </w:tcPr>
          <w:p w14:paraId="604E8083" w14:textId="77777777" w:rsidR="00F961C5" w:rsidRPr="00354295" w:rsidRDefault="00F961C5">
            <w:pPr>
              <w:keepNext/>
              <w:jc w:val="center"/>
              <w:rPr>
                <w:rFonts w:ascii="Arial Narrow" w:hAnsi="Arial Narrow"/>
                <w:b/>
                <w:bCs/>
                <w:sz w:val="20"/>
                <w:szCs w:val="22"/>
              </w:rPr>
            </w:pPr>
            <w:r w:rsidRPr="00354295">
              <w:rPr>
                <w:rFonts w:ascii="Arial Narrow" w:hAnsi="Arial Narrow"/>
                <w:b/>
                <w:bCs/>
                <w:sz w:val="20"/>
                <w:szCs w:val="22"/>
              </w:rPr>
              <w:t>Placebo</w:t>
            </w:r>
          </w:p>
        </w:tc>
        <w:tc>
          <w:tcPr>
            <w:tcW w:w="2984" w:type="dxa"/>
            <w:tcBorders>
              <w:top w:val="single" w:sz="4" w:space="0" w:color="auto"/>
              <w:left w:val="single" w:sz="4" w:space="0" w:color="auto"/>
              <w:bottom w:val="single" w:sz="4" w:space="0" w:color="auto"/>
              <w:right w:val="single" w:sz="4" w:space="0" w:color="auto"/>
            </w:tcBorders>
            <w:vAlign w:val="center"/>
          </w:tcPr>
          <w:p w14:paraId="3EA51295" w14:textId="76EAED2C" w:rsidR="00F961C5" w:rsidRPr="00354295" w:rsidRDefault="00F961C5" w:rsidP="2B21198B">
            <w:pPr>
              <w:keepNext/>
              <w:jc w:val="center"/>
              <w:rPr>
                <w:rFonts w:ascii="Arial Narrow" w:hAnsi="Arial Narrow"/>
                <w:b/>
                <w:bCs/>
                <w:sz w:val="20"/>
                <w:szCs w:val="22"/>
              </w:rPr>
            </w:pPr>
            <w:r w:rsidRPr="00354295">
              <w:rPr>
                <w:rFonts w:ascii="Arial Narrow" w:hAnsi="Arial Narrow"/>
                <w:b/>
                <w:bCs/>
                <w:sz w:val="20"/>
                <w:szCs w:val="22"/>
              </w:rPr>
              <w:t>Secukinumab</w:t>
            </w:r>
          </w:p>
        </w:tc>
      </w:tr>
      <w:tr w:rsidR="00F961C5" w:rsidRPr="00354295" w14:paraId="1B12CA86" w14:textId="77777777" w:rsidTr="00354295">
        <w:trPr>
          <w:trHeight w:val="289"/>
        </w:trPr>
        <w:tc>
          <w:tcPr>
            <w:tcW w:w="3183" w:type="dxa"/>
            <w:tcBorders>
              <w:top w:val="nil"/>
              <w:left w:val="nil"/>
              <w:bottom w:val="nil"/>
              <w:right w:val="single" w:sz="4" w:space="0" w:color="auto"/>
            </w:tcBorders>
            <w:vAlign w:val="center"/>
          </w:tcPr>
          <w:p w14:paraId="2B0DFC75" w14:textId="77777777" w:rsidR="00F961C5" w:rsidRPr="00354295" w:rsidRDefault="00F961C5">
            <w:pPr>
              <w:keepNext/>
              <w:jc w:val="center"/>
              <w:rPr>
                <w:rFonts w:ascii="Arial Narrow" w:hAnsi="Arial Narrow"/>
                <w:b/>
                <w:bCs/>
                <w:sz w:val="20"/>
                <w:szCs w:val="22"/>
              </w:rPr>
            </w:pPr>
          </w:p>
        </w:tc>
        <w:tc>
          <w:tcPr>
            <w:tcW w:w="6168" w:type="dxa"/>
            <w:gridSpan w:val="2"/>
            <w:tcBorders>
              <w:top w:val="single" w:sz="4" w:space="0" w:color="auto"/>
              <w:left w:val="single" w:sz="4" w:space="0" w:color="auto"/>
              <w:bottom w:val="single" w:sz="4" w:space="0" w:color="auto"/>
              <w:right w:val="single" w:sz="4" w:space="0" w:color="auto"/>
            </w:tcBorders>
            <w:vAlign w:val="center"/>
          </w:tcPr>
          <w:p w14:paraId="529AE367" w14:textId="77777777" w:rsidR="00F961C5" w:rsidRPr="00354295" w:rsidRDefault="00F961C5">
            <w:pPr>
              <w:keepNext/>
              <w:jc w:val="center"/>
              <w:rPr>
                <w:rFonts w:ascii="Arial Narrow" w:hAnsi="Arial Narrow"/>
                <w:sz w:val="20"/>
                <w:szCs w:val="22"/>
              </w:rPr>
            </w:pPr>
            <w:r w:rsidRPr="00354295">
              <w:rPr>
                <w:rFonts w:ascii="Arial Narrow" w:hAnsi="Arial Narrow"/>
                <w:sz w:val="20"/>
                <w:szCs w:val="22"/>
              </w:rPr>
              <w:t>SUNSHINE</w:t>
            </w:r>
          </w:p>
        </w:tc>
      </w:tr>
      <w:tr w:rsidR="00F961C5" w:rsidRPr="00354295" w14:paraId="55FB78AB" w14:textId="77777777" w:rsidTr="00354295">
        <w:trPr>
          <w:trHeight w:val="289"/>
        </w:trPr>
        <w:tc>
          <w:tcPr>
            <w:tcW w:w="3183" w:type="dxa"/>
            <w:tcBorders>
              <w:top w:val="nil"/>
              <w:left w:val="nil"/>
              <w:bottom w:val="nil"/>
              <w:right w:val="single" w:sz="4" w:space="0" w:color="auto"/>
            </w:tcBorders>
            <w:vAlign w:val="center"/>
          </w:tcPr>
          <w:p w14:paraId="3AF043EE" w14:textId="77777777" w:rsidR="00F961C5" w:rsidRPr="00354295" w:rsidRDefault="00F961C5">
            <w:pPr>
              <w:keepNext/>
              <w:jc w:val="center"/>
              <w:rPr>
                <w:rFonts w:ascii="Arial Narrow" w:hAnsi="Arial Narrow"/>
                <w:b/>
                <w:bCs/>
                <w:sz w:val="20"/>
                <w:szCs w:val="22"/>
              </w:rPr>
            </w:pPr>
          </w:p>
        </w:tc>
        <w:tc>
          <w:tcPr>
            <w:tcW w:w="6168" w:type="dxa"/>
            <w:gridSpan w:val="2"/>
            <w:tcBorders>
              <w:top w:val="single" w:sz="4" w:space="0" w:color="auto"/>
              <w:left w:val="single" w:sz="4" w:space="0" w:color="auto"/>
              <w:bottom w:val="single" w:sz="4" w:space="0" w:color="auto"/>
              <w:right w:val="single" w:sz="4" w:space="0" w:color="auto"/>
            </w:tcBorders>
            <w:vAlign w:val="center"/>
          </w:tcPr>
          <w:p w14:paraId="2E6AE5B7" w14:textId="77777777" w:rsidR="00F961C5" w:rsidRPr="00354295" w:rsidRDefault="00F961C5">
            <w:pPr>
              <w:keepNext/>
              <w:jc w:val="center"/>
              <w:rPr>
                <w:rFonts w:ascii="Arial Narrow" w:hAnsi="Arial Narrow"/>
                <w:sz w:val="20"/>
                <w:szCs w:val="22"/>
              </w:rPr>
            </w:pPr>
            <w:r w:rsidRPr="00354295">
              <w:rPr>
                <w:rFonts w:ascii="Arial Narrow" w:hAnsi="Arial Narrow"/>
                <w:sz w:val="20"/>
                <w:szCs w:val="22"/>
              </w:rPr>
              <w:t>SUNRISE</w:t>
            </w:r>
          </w:p>
        </w:tc>
      </w:tr>
      <w:tr w:rsidR="00F961C5" w:rsidRPr="00354295" w14:paraId="3A31DB49" w14:textId="77777777" w:rsidTr="00354295">
        <w:trPr>
          <w:trHeight w:val="60"/>
        </w:trPr>
        <w:tc>
          <w:tcPr>
            <w:tcW w:w="3183" w:type="dxa"/>
            <w:tcBorders>
              <w:top w:val="nil"/>
              <w:left w:val="nil"/>
              <w:bottom w:val="nil"/>
              <w:right w:val="single" w:sz="4" w:space="0" w:color="auto"/>
            </w:tcBorders>
            <w:vAlign w:val="center"/>
          </w:tcPr>
          <w:p w14:paraId="2B511422" w14:textId="77777777" w:rsidR="00F961C5" w:rsidRPr="00354295" w:rsidRDefault="00F961C5">
            <w:pPr>
              <w:keepNext/>
              <w:jc w:val="center"/>
              <w:rPr>
                <w:rFonts w:ascii="Arial Narrow" w:hAnsi="Arial Narrow"/>
                <w:b/>
                <w:bCs/>
                <w:sz w:val="20"/>
                <w:szCs w:val="22"/>
              </w:rPr>
            </w:pPr>
          </w:p>
        </w:tc>
        <w:tc>
          <w:tcPr>
            <w:tcW w:w="3184" w:type="dxa"/>
            <w:tcBorders>
              <w:top w:val="single" w:sz="4" w:space="0" w:color="auto"/>
              <w:left w:val="single" w:sz="4" w:space="0" w:color="auto"/>
              <w:bottom w:val="single" w:sz="4" w:space="0" w:color="auto"/>
              <w:right w:val="single" w:sz="4" w:space="0" w:color="auto"/>
            </w:tcBorders>
            <w:vAlign w:val="center"/>
          </w:tcPr>
          <w:p w14:paraId="607E3849" w14:textId="77777777" w:rsidR="00F961C5" w:rsidRPr="00354295" w:rsidRDefault="00F961C5">
            <w:pPr>
              <w:keepNext/>
              <w:jc w:val="center"/>
              <w:rPr>
                <w:rFonts w:ascii="Arial Narrow" w:hAnsi="Arial Narrow"/>
                <w:b/>
                <w:bCs/>
                <w:sz w:val="20"/>
                <w:szCs w:val="22"/>
              </w:rPr>
            </w:pPr>
            <w:r w:rsidRPr="00354295">
              <w:rPr>
                <w:rFonts w:ascii="Arial Narrow" w:hAnsi="Arial Narrow"/>
                <w:b/>
                <w:bCs/>
                <w:sz w:val="20"/>
                <w:szCs w:val="22"/>
              </w:rPr>
              <w:t>Placebo</w:t>
            </w:r>
          </w:p>
        </w:tc>
        <w:tc>
          <w:tcPr>
            <w:tcW w:w="2984" w:type="dxa"/>
            <w:tcBorders>
              <w:top w:val="single" w:sz="4" w:space="0" w:color="auto"/>
              <w:left w:val="single" w:sz="4" w:space="0" w:color="auto"/>
              <w:bottom w:val="single" w:sz="4" w:space="0" w:color="auto"/>
              <w:right w:val="single" w:sz="4" w:space="0" w:color="auto"/>
            </w:tcBorders>
            <w:vAlign w:val="center"/>
          </w:tcPr>
          <w:p w14:paraId="654243D9" w14:textId="70EADE16" w:rsidR="00F961C5" w:rsidRPr="00354295" w:rsidRDefault="00F961C5">
            <w:pPr>
              <w:keepNext/>
              <w:jc w:val="center"/>
              <w:rPr>
                <w:rFonts w:ascii="Arial Narrow" w:hAnsi="Arial Narrow"/>
                <w:b/>
                <w:bCs/>
                <w:sz w:val="20"/>
                <w:szCs w:val="22"/>
              </w:rPr>
            </w:pPr>
            <w:r w:rsidRPr="00354295">
              <w:rPr>
                <w:rFonts w:ascii="Arial Narrow" w:hAnsi="Arial Narrow"/>
                <w:b/>
                <w:bCs/>
                <w:sz w:val="20"/>
                <w:szCs w:val="22"/>
              </w:rPr>
              <w:t>Adalimumab</w:t>
            </w:r>
          </w:p>
        </w:tc>
      </w:tr>
      <w:tr w:rsidR="00F961C5" w:rsidRPr="00354295" w14:paraId="137D6DC0" w14:textId="77777777" w:rsidTr="00354295">
        <w:trPr>
          <w:trHeight w:val="167"/>
        </w:trPr>
        <w:tc>
          <w:tcPr>
            <w:tcW w:w="3183" w:type="dxa"/>
            <w:tcBorders>
              <w:top w:val="nil"/>
              <w:left w:val="nil"/>
              <w:bottom w:val="nil"/>
              <w:right w:val="single" w:sz="4" w:space="0" w:color="auto"/>
            </w:tcBorders>
            <w:vAlign w:val="center"/>
          </w:tcPr>
          <w:p w14:paraId="25B6583D" w14:textId="77777777" w:rsidR="00F961C5" w:rsidRPr="00354295" w:rsidRDefault="00F961C5">
            <w:pPr>
              <w:keepNext/>
              <w:jc w:val="center"/>
              <w:rPr>
                <w:rFonts w:ascii="Arial Narrow" w:hAnsi="Arial Narrow"/>
                <w:b/>
                <w:bCs/>
                <w:sz w:val="20"/>
                <w:szCs w:val="22"/>
              </w:rPr>
            </w:pPr>
          </w:p>
        </w:tc>
        <w:tc>
          <w:tcPr>
            <w:tcW w:w="6168" w:type="dxa"/>
            <w:gridSpan w:val="2"/>
            <w:tcBorders>
              <w:top w:val="single" w:sz="4" w:space="0" w:color="auto"/>
              <w:left w:val="single" w:sz="4" w:space="0" w:color="auto"/>
              <w:bottom w:val="single" w:sz="4" w:space="0" w:color="auto"/>
              <w:right w:val="single" w:sz="4" w:space="0" w:color="auto"/>
            </w:tcBorders>
            <w:vAlign w:val="center"/>
          </w:tcPr>
          <w:p w14:paraId="5F63D208" w14:textId="77777777" w:rsidR="00F961C5" w:rsidRPr="00354295" w:rsidRDefault="00F961C5">
            <w:pPr>
              <w:keepNext/>
              <w:jc w:val="center"/>
              <w:rPr>
                <w:rFonts w:ascii="Arial Narrow" w:hAnsi="Arial Narrow"/>
                <w:sz w:val="20"/>
                <w:szCs w:val="22"/>
              </w:rPr>
            </w:pPr>
            <w:r w:rsidRPr="00354295">
              <w:rPr>
                <w:rFonts w:ascii="Arial Narrow" w:hAnsi="Arial Narrow"/>
                <w:sz w:val="20"/>
                <w:szCs w:val="22"/>
              </w:rPr>
              <w:t>HS0001</w:t>
            </w:r>
          </w:p>
        </w:tc>
      </w:tr>
      <w:tr w:rsidR="00F961C5" w:rsidRPr="00354295" w14:paraId="0B565395" w14:textId="77777777" w:rsidTr="00354295">
        <w:trPr>
          <w:trHeight w:val="167"/>
        </w:trPr>
        <w:tc>
          <w:tcPr>
            <w:tcW w:w="3183" w:type="dxa"/>
            <w:tcBorders>
              <w:top w:val="nil"/>
              <w:left w:val="nil"/>
              <w:bottom w:val="nil"/>
              <w:right w:val="single" w:sz="4" w:space="0" w:color="auto"/>
            </w:tcBorders>
            <w:vAlign w:val="center"/>
          </w:tcPr>
          <w:p w14:paraId="4DE8275B" w14:textId="77777777" w:rsidR="00F961C5" w:rsidRPr="00354295" w:rsidRDefault="00F961C5">
            <w:pPr>
              <w:keepNext/>
              <w:jc w:val="center"/>
              <w:rPr>
                <w:rFonts w:ascii="Arial Narrow" w:hAnsi="Arial Narrow"/>
                <w:b/>
                <w:bCs/>
                <w:sz w:val="20"/>
                <w:szCs w:val="22"/>
              </w:rPr>
            </w:pPr>
          </w:p>
        </w:tc>
        <w:tc>
          <w:tcPr>
            <w:tcW w:w="6168" w:type="dxa"/>
            <w:gridSpan w:val="2"/>
            <w:tcBorders>
              <w:top w:val="single" w:sz="4" w:space="0" w:color="auto"/>
              <w:left w:val="single" w:sz="4" w:space="0" w:color="auto"/>
              <w:bottom w:val="single" w:sz="4" w:space="0" w:color="auto"/>
              <w:right w:val="single" w:sz="4" w:space="0" w:color="auto"/>
            </w:tcBorders>
            <w:vAlign w:val="center"/>
          </w:tcPr>
          <w:p w14:paraId="5E3AA845" w14:textId="77777777" w:rsidR="00F961C5" w:rsidRPr="00354295" w:rsidRDefault="00F961C5">
            <w:pPr>
              <w:keepNext/>
              <w:jc w:val="center"/>
              <w:rPr>
                <w:rFonts w:ascii="Arial Narrow" w:hAnsi="Arial Narrow"/>
                <w:sz w:val="20"/>
                <w:szCs w:val="22"/>
              </w:rPr>
            </w:pPr>
            <w:r w:rsidRPr="00354295">
              <w:rPr>
                <w:rFonts w:ascii="Arial Narrow" w:hAnsi="Arial Narrow"/>
                <w:sz w:val="20"/>
                <w:szCs w:val="22"/>
              </w:rPr>
              <w:t>PIONEER I</w:t>
            </w:r>
          </w:p>
        </w:tc>
      </w:tr>
      <w:tr w:rsidR="00F961C5" w:rsidRPr="00354295" w14:paraId="48A92051" w14:textId="77777777" w:rsidTr="00354295">
        <w:trPr>
          <w:trHeight w:val="167"/>
        </w:trPr>
        <w:tc>
          <w:tcPr>
            <w:tcW w:w="3183" w:type="dxa"/>
            <w:tcBorders>
              <w:top w:val="nil"/>
              <w:left w:val="nil"/>
              <w:bottom w:val="nil"/>
              <w:right w:val="single" w:sz="4" w:space="0" w:color="auto"/>
            </w:tcBorders>
            <w:vAlign w:val="center"/>
          </w:tcPr>
          <w:p w14:paraId="09D13FEB" w14:textId="77777777" w:rsidR="00F961C5" w:rsidRPr="00354295" w:rsidRDefault="00F961C5">
            <w:pPr>
              <w:jc w:val="center"/>
              <w:rPr>
                <w:rFonts w:ascii="Arial Narrow" w:hAnsi="Arial Narrow"/>
                <w:b/>
                <w:bCs/>
                <w:sz w:val="20"/>
                <w:szCs w:val="22"/>
              </w:rPr>
            </w:pPr>
          </w:p>
        </w:tc>
        <w:tc>
          <w:tcPr>
            <w:tcW w:w="6168" w:type="dxa"/>
            <w:gridSpan w:val="2"/>
            <w:tcBorders>
              <w:top w:val="single" w:sz="4" w:space="0" w:color="auto"/>
              <w:left w:val="single" w:sz="4" w:space="0" w:color="auto"/>
              <w:bottom w:val="single" w:sz="4" w:space="0" w:color="auto"/>
              <w:right w:val="single" w:sz="4" w:space="0" w:color="auto"/>
            </w:tcBorders>
            <w:vAlign w:val="center"/>
          </w:tcPr>
          <w:p w14:paraId="3B8DC41B" w14:textId="77777777" w:rsidR="00F961C5" w:rsidRPr="00354295" w:rsidRDefault="00F961C5">
            <w:pPr>
              <w:jc w:val="center"/>
              <w:rPr>
                <w:rFonts w:ascii="Arial Narrow" w:hAnsi="Arial Narrow"/>
                <w:sz w:val="20"/>
                <w:szCs w:val="22"/>
              </w:rPr>
            </w:pPr>
            <w:r w:rsidRPr="00354295">
              <w:rPr>
                <w:rFonts w:ascii="Arial Narrow" w:hAnsi="Arial Narrow"/>
                <w:sz w:val="20"/>
                <w:szCs w:val="22"/>
              </w:rPr>
              <w:t>PIONEER II</w:t>
            </w:r>
          </w:p>
        </w:tc>
      </w:tr>
      <w:tr w:rsidR="00F961C5" w:rsidRPr="00354295" w14:paraId="6EDE4DE3" w14:textId="77777777" w:rsidTr="00354295">
        <w:trPr>
          <w:trHeight w:val="60"/>
        </w:trPr>
        <w:tc>
          <w:tcPr>
            <w:tcW w:w="3183" w:type="dxa"/>
            <w:tcBorders>
              <w:top w:val="nil"/>
              <w:left w:val="nil"/>
              <w:bottom w:val="nil"/>
              <w:right w:val="single" w:sz="4" w:space="0" w:color="auto"/>
            </w:tcBorders>
            <w:vAlign w:val="center"/>
          </w:tcPr>
          <w:p w14:paraId="1B499B78" w14:textId="77777777" w:rsidR="00F961C5" w:rsidRPr="00354295" w:rsidRDefault="00F961C5">
            <w:pPr>
              <w:jc w:val="center"/>
              <w:rPr>
                <w:rFonts w:ascii="Arial Narrow" w:hAnsi="Arial Narrow"/>
                <w:b/>
                <w:bCs/>
                <w:sz w:val="20"/>
                <w:szCs w:val="22"/>
              </w:rPr>
            </w:pPr>
          </w:p>
        </w:tc>
        <w:tc>
          <w:tcPr>
            <w:tcW w:w="6168" w:type="dxa"/>
            <w:gridSpan w:val="2"/>
            <w:tcBorders>
              <w:top w:val="single" w:sz="4" w:space="0" w:color="auto"/>
              <w:left w:val="single" w:sz="4" w:space="0" w:color="auto"/>
              <w:bottom w:val="single" w:sz="4" w:space="0" w:color="auto"/>
              <w:right w:val="single" w:sz="4" w:space="0" w:color="auto"/>
            </w:tcBorders>
            <w:vAlign w:val="center"/>
          </w:tcPr>
          <w:p w14:paraId="71DE0E7A" w14:textId="77777777" w:rsidR="00F961C5" w:rsidRPr="00354295" w:rsidRDefault="00F961C5">
            <w:pPr>
              <w:jc w:val="center"/>
              <w:rPr>
                <w:rFonts w:ascii="Arial Narrow" w:hAnsi="Arial Narrow"/>
                <w:sz w:val="20"/>
                <w:szCs w:val="22"/>
              </w:rPr>
            </w:pPr>
            <w:r w:rsidRPr="00354295">
              <w:rPr>
                <w:rFonts w:ascii="Arial Narrow" w:hAnsi="Arial Narrow"/>
                <w:sz w:val="20"/>
                <w:szCs w:val="22"/>
              </w:rPr>
              <w:t>M10-467</w:t>
            </w:r>
          </w:p>
        </w:tc>
      </w:tr>
    </w:tbl>
    <w:p w14:paraId="6BE0D8BC" w14:textId="0D53B1A5" w:rsidR="00C7526A" w:rsidRPr="00C7526A" w:rsidRDefault="00F961C5" w:rsidP="0055101F">
      <w:pPr>
        <w:pStyle w:val="TableFigureFooter"/>
      </w:pPr>
      <w:r>
        <w:t xml:space="preserve">Source: Figure 2.4, p64 of the submission. ITC = indirect treatment comparison. </w:t>
      </w:r>
    </w:p>
    <w:p w14:paraId="76A90507" w14:textId="27E4EC3A" w:rsidR="00C8058F" w:rsidRPr="00F43A94" w:rsidRDefault="00F961C5" w:rsidP="002B562F">
      <w:pPr>
        <w:pStyle w:val="3-BodyText"/>
        <w:rPr>
          <w:lang w:val="en-GB"/>
        </w:rPr>
      </w:pPr>
      <w:r w:rsidRPr="00F43A94">
        <w:rPr>
          <w:lang w:val="en-GB"/>
        </w:rPr>
        <w:t xml:space="preserve">The trials and associated reports and publications are listed in </w:t>
      </w:r>
      <w:r w:rsidR="00FE0695">
        <w:rPr>
          <w:lang w:val="en-GB"/>
        </w:rPr>
        <w:fldChar w:fldCharType="begin"/>
      </w:r>
      <w:r w:rsidR="00FE0695">
        <w:rPr>
          <w:lang w:val="en-GB"/>
        </w:rPr>
        <w:instrText xml:space="preserve"> REF _Ref189473834 \h </w:instrText>
      </w:r>
      <w:r w:rsidR="00FE0695">
        <w:rPr>
          <w:lang w:val="en-GB"/>
        </w:rPr>
      </w:r>
      <w:r w:rsidR="00FE0695">
        <w:rPr>
          <w:lang w:val="en-GB"/>
        </w:rPr>
        <w:fldChar w:fldCharType="separate"/>
      </w:r>
      <w:r w:rsidR="00184DE0">
        <w:t xml:space="preserve">Table </w:t>
      </w:r>
      <w:r w:rsidR="00184DE0">
        <w:rPr>
          <w:noProof/>
        </w:rPr>
        <w:t>2</w:t>
      </w:r>
      <w:r w:rsidR="00FE0695">
        <w:rPr>
          <w:lang w:val="en-GB"/>
        </w:rPr>
        <w:fldChar w:fldCharType="end"/>
      </w:r>
      <w:r w:rsidR="00FE0695">
        <w:rPr>
          <w:lang w:val="en-GB"/>
        </w:rPr>
        <w:t>.</w:t>
      </w:r>
    </w:p>
    <w:p w14:paraId="7DE3A286" w14:textId="3AE81CCC" w:rsidR="008E0D3C" w:rsidRPr="0098262F" w:rsidRDefault="00FE0695" w:rsidP="00FE0695">
      <w:pPr>
        <w:pStyle w:val="Caption"/>
        <w:rPr>
          <w:rStyle w:val="CommentReference"/>
          <w:b/>
          <w:szCs w:val="24"/>
        </w:rPr>
      </w:pPr>
      <w:bookmarkStart w:id="27" w:name="_Ref189473834"/>
      <w:r>
        <w:lastRenderedPageBreak/>
        <w:t xml:space="preserve">Table </w:t>
      </w:r>
      <w:r w:rsidR="00C45318">
        <w:fldChar w:fldCharType="begin"/>
      </w:r>
      <w:r w:rsidR="00C45318">
        <w:instrText xml:space="preserve"> SEQ Table \* ARABIC </w:instrText>
      </w:r>
      <w:r w:rsidR="00C45318">
        <w:fldChar w:fldCharType="separate"/>
      </w:r>
      <w:r w:rsidR="00184DE0">
        <w:rPr>
          <w:noProof/>
        </w:rPr>
        <w:t>2</w:t>
      </w:r>
      <w:r w:rsidR="00C45318">
        <w:rPr>
          <w:noProof/>
        </w:rPr>
        <w:fldChar w:fldCharType="end"/>
      </w:r>
      <w:bookmarkEnd w:id="27"/>
      <w:r>
        <w:t xml:space="preserve">: </w:t>
      </w:r>
      <w:r w:rsidR="008E0D3C" w:rsidRPr="0098262F">
        <w:rPr>
          <w:rStyle w:val="CommentReference"/>
          <w:b/>
          <w:szCs w:val="24"/>
        </w:rPr>
        <w:t>Trials and associated reports presented in the submission</w:t>
      </w:r>
    </w:p>
    <w:tbl>
      <w:tblPr>
        <w:tblStyle w:val="TableGrid"/>
        <w:tblW w:w="5000" w:type="pct"/>
        <w:tblLook w:val="01E0" w:firstRow="1" w:lastRow="1" w:firstColumn="1" w:lastColumn="1" w:noHBand="0" w:noVBand="0"/>
      </w:tblPr>
      <w:tblGrid>
        <w:gridCol w:w="1434"/>
        <w:gridCol w:w="5055"/>
        <w:gridCol w:w="2528"/>
      </w:tblGrid>
      <w:tr w:rsidR="008E0D3C" w:rsidRPr="00354295" w14:paraId="6ACD35C4" w14:textId="77777777" w:rsidTr="009A5E88">
        <w:tc>
          <w:tcPr>
            <w:tcW w:w="795" w:type="pct"/>
            <w:vAlign w:val="center"/>
          </w:tcPr>
          <w:p w14:paraId="20DEEB23" w14:textId="77777777" w:rsidR="008E0D3C" w:rsidRPr="00354295" w:rsidRDefault="008E0D3C" w:rsidP="009A5E88">
            <w:pPr>
              <w:pStyle w:val="In-tableHeading"/>
              <w:rPr>
                <w:szCs w:val="20"/>
              </w:rPr>
            </w:pPr>
            <w:r w:rsidRPr="00354295">
              <w:rPr>
                <w:szCs w:val="20"/>
              </w:rPr>
              <w:t>Trial ID</w:t>
            </w:r>
          </w:p>
        </w:tc>
        <w:tc>
          <w:tcPr>
            <w:tcW w:w="2803" w:type="pct"/>
            <w:vAlign w:val="center"/>
          </w:tcPr>
          <w:p w14:paraId="22EF6C51" w14:textId="77777777" w:rsidR="008E0D3C" w:rsidRPr="00354295" w:rsidRDefault="008E0D3C" w:rsidP="009A5E88">
            <w:pPr>
              <w:pStyle w:val="In-tableHeading"/>
              <w:rPr>
                <w:szCs w:val="20"/>
              </w:rPr>
            </w:pPr>
            <w:r w:rsidRPr="00354295">
              <w:rPr>
                <w:szCs w:val="20"/>
              </w:rPr>
              <w:t>Protocol title/ Publication title</w:t>
            </w:r>
          </w:p>
        </w:tc>
        <w:tc>
          <w:tcPr>
            <w:tcW w:w="1402" w:type="pct"/>
            <w:vAlign w:val="center"/>
          </w:tcPr>
          <w:p w14:paraId="561B27A8" w14:textId="77777777" w:rsidR="008E0D3C" w:rsidRPr="00354295" w:rsidRDefault="008E0D3C" w:rsidP="009A5E88">
            <w:pPr>
              <w:pStyle w:val="In-tableHeading"/>
              <w:rPr>
                <w:szCs w:val="20"/>
              </w:rPr>
            </w:pPr>
            <w:r w:rsidRPr="00354295">
              <w:rPr>
                <w:szCs w:val="20"/>
              </w:rPr>
              <w:t>Publication citation</w:t>
            </w:r>
          </w:p>
        </w:tc>
      </w:tr>
      <w:tr w:rsidR="001840EB" w:rsidRPr="00354295" w14:paraId="5B955FA1" w14:textId="77777777" w:rsidTr="009A5E88">
        <w:tc>
          <w:tcPr>
            <w:tcW w:w="5000" w:type="pct"/>
            <w:gridSpan w:val="3"/>
            <w:vAlign w:val="center"/>
          </w:tcPr>
          <w:p w14:paraId="4BD23DB0" w14:textId="2FDF80F3" w:rsidR="001840EB" w:rsidRPr="00354295" w:rsidRDefault="001840EB" w:rsidP="009A5E88">
            <w:pPr>
              <w:pStyle w:val="In-tableHeading"/>
              <w:rPr>
                <w:szCs w:val="20"/>
              </w:rPr>
            </w:pPr>
            <w:r w:rsidRPr="00354295">
              <w:rPr>
                <w:szCs w:val="20"/>
              </w:rPr>
              <w:t>Bimekizumab</w:t>
            </w:r>
          </w:p>
        </w:tc>
      </w:tr>
      <w:tr w:rsidR="001840EB" w:rsidRPr="00354295" w14:paraId="298351BA" w14:textId="77777777" w:rsidTr="009A5E88">
        <w:trPr>
          <w:trHeight w:val="1134"/>
        </w:trPr>
        <w:tc>
          <w:tcPr>
            <w:tcW w:w="795" w:type="pct"/>
            <w:vAlign w:val="center"/>
          </w:tcPr>
          <w:p w14:paraId="7A71CA80" w14:textId="5D1D6085" w:rsidR="001840EB" w:rsidRPr="00354295" w:rsidRDefault="001840EB" w:rsidP="009A5E88">
            <w:pPr>
              <w:pStyle w:val="TableText0"/>
              <w:rPr>
                <w:szCs w:val="20"/>
              </w:rPr>
            </w:pPr>
            <w:r w:rsidRPr="00354295">
              <w:rPr>
                <w:szCs w:val="20"/>
              </w:rPr>
              <w:t>BE HEARD I</w:t>
            </w:r>
          </w:p>
          <w:p w14:paraId="405F4F69" w14:textId="0481505B" w:rsidR="001840EB" w:rsidRPr="00354295" w:rsidRDefault="001840EB" w:rsidP="009A5E88">
            <w:pPr>
              <w:pStyle w:val="TableText0"/>
              <w:rPr>
                <w:szCs w:val="20"/>
              </w:rPr>
            </w:pPr>
            <w:r w:rsidRPr="00354295">
              <w:rPr>
                <w:szCs w:val="20"/>
              </w:rPr>
              <w:t>NCT04242446</w:t>
            </w:r>
          </w:p>
          <w:p w14:paraId="7000FF92" w14:textId="77777777" w:rsidR="001840EB" w:rsidRPr="00354295" w:rsidRDefault="001840EB" w:rsidP="009A5E88">
            <w:pPr>
              <w:pStyle w:val="TableText0"/>
              <w:rPr>
                <w:szCs w:val="20"/>
              </w:rPr>
            </w:pPr>
          </w:p>
          <w:p w14:paraId="2E13F953" w14:textId="77777777" w:rsidR="001840EB" w:rsidRPr="00354295" w:rsidRDefault="001840EB" w:rsidP="009A5E88">
            <w:pPr>
              <w:pStyle w:val="TableText0"/>
              <w:rPr>
                <w:szCs w:val="20"/>
              </w:rPr>
            </w:pPr>
            <w:r w:rsidRPr="00354295">
              <w:rPr>
                <w:szCs w:val="20"/>
              </w:rPr>
              <w:t>BE HEARD II</w:t>
            </w:r>
          </w:p>
          <w:p w14:paraId="5D9482F5" w14:textId="4F50C31D" w:rsidR="001840EB" w:rsidRPr="00354295" w:rsidRDefault="001840EB" w:rsidP="009A5E88">
            <w:pPr>
              <w:pStyle w:val="TableText0"/>
              <w:rPr>
                <w:szCs w:val="20"/>
              </w:rPr>
            </w:pPr>
            <w:r w:rsidRPr="00354295">
              <w:rPr>
                <w:szCs w:val="20"/>
              </w:rPr>
              <w:t>NCT04242498</w:t>
            </w:r>
          </w:p>
        </w:tc>
        <w:tc>
          <w:tcPr>
            <w:tcW w:w="2803" w:type="pct"/>
            <w:vAlign w:val="center"/>
          </w:tcPr>
          <w:p w14:paraId="2570DA6E" w14:textId="046568F1" w:rsidR="001840EB" w:rsidRPr="00354295" w:rsidRDefault="00976527" w:rsidP="009A5E88">
            <w:pPr>
              <w:pStyle w:val="TableText0"/>
              <w:rPr>
                <w:szCs w:val="20"/>
              </w:rPr>
            </w:pPr>
            <w:r w:rsidRPr="00354295">
              <w:rPr>
                <w:szCs w:val="20"/>
              </w:rPr>
              <w:t>Kimball A, et al</w:t>
            </w:r>
            <w:r w:rsidR="00B66F7A" w:rsidRPr="00354295">
              <w:rPr>
                <w:szCs w:val="20"/>
              </w:rPr>
              <w:t>.</w:t>
            </w:r>
            <w:r w:rsidRPr="00354295">
              <w:rPr>
                <w:szCs w:val="20"/>
              </w:rPr>
              <w:t xml:space="preserve"> </w:t>
            </w:r>
            <w:r w:rsidR="001840EB" w:rsidRPr="00354295">
              <w:rPr>
                <w:szCs w:val="20"/>
              </w:rPr>
              <w:t>Efficacy and safety of bimekizumab in patients with moderate-to-severe hidradenitis suppurativa (BE HEARD I and BE HEARD II): two 48-week, randomised, double-blind, placebo-controlled, multicentre phase 3 trials</w:t>
            </w:r>
            <w:r w:rsidR="001840EB" w:rsidRPr="00354295">
              <w:rPr>
                <w:rStyle w:val="Small"/>
                <w:rFonts w:ascii="Arial Narrow" w:hAnsi="Arial Narrow"/>
                <w:szCs w:val="20"/>
              </w:rPr>
              <w:t>.</w:t>
            </w:r>
          </w:p>
        </w:tc>
        <w:tc>
          <w:tcPr>
            <w:tcW w:w="1402" w:type="pct"/>
            <w:vAlign w:val="center"/>
          </w:tcPr>
          <w:p w14:paraId="3E1EBFB6" w14:textId="50BCF0DE" w:rsidR="001840EB" w:rsidRPr="00354295" w:rsidRDefault="001840EB" w:rsidP="009A5E88">
            <w:pPr>
              <w:pStyle w:val="TableText0"/>
              <w:rPr>
                <w:szCs w:val="20"/>
              </w:rPr>
            </w:pPr>
            <w:r w:rsidRPr="00354295">
              <w:rPr>
                <w:i/>
                <w:iCs/>
                <w:szCs w:val="20"/>
              </w:rPr>
              <w:t>Lancet</w:t>
            </w:r>
            <w:r w:rsidRPr="00354295">
              <w:rPr>
                <w:szCs w:val="20"/>
              </w:rPr>
              <w:t>, 2024; 403:2504-2519.</w:t>
            </w:r>
          </w:p>
          <w:p w14:paraId="7578773D" w14:textId="6CEC9461" w:rsidR="001840EB" w:rsidRPr="00354295" w:rsidRDefault="001840EB" w:rsidP="009A5E88">
            <w:pPr>
              <w:pStyle w:val="TableText0"/>
              <w:rPr>
                <w:rFonts w:cstheme="minorHAnsi"/>
                <w:szCs w:val="20"/>
              </w:rPr>
            </w:pPr>
          </w:p>
        </w:tc>
      </w:tr>
      <w:tr w:rsidR="001840EB" w:rsidRPr="00354295" w14:paraId="400ADAF8" w14:textId="77777777" w:rsidTr="009A5E88">
        <w:trPr>
          <w:trHeight w:val="737"/>
        </w:trPr>
        <w:tc>
          <w:tcPr>
            <w:tcW w:w="795" w:type="pct"/>
            <w:vAlign w:val="center"/>
          </w:tcPr>
          <w:p w14:paraId="122E7A19" w14:textId="77777777" w:rsidR="001840EB" w:rsidRPr="00354295" w:rsidRDefault="001840EB" w:rsidP="009A5E88">
            <w:pPr>
              <w:pStyle w:val="TableText0"/>
              <w:rPr>
                <w:szCs w:val="20"/>
              </w:rPr>
            </w:pPr>
            <w:r w:rsidRPr="00354295">
              <w:rPr>
                <w:szCs w:val="20"/>
              </w:rPr>
              <w:t>HS0001</w:t>
            </w:r>
          </w:p>
          <w:p w14:paraId="18C64AF1" w14:textId="0FAB6DAC" w:rsidR="001840EB" w:rsidRPr="00354295" w:rsidRDefault="001840EB" w:rsidP="009A5E88">
            <w:pPr>
              <w:pStyle w:val="TableText0"/>
              <w:rPr>
                <w:szCs w:val="20"/>
              </w:rPr>
            </w:pPr>
            <w:r w:rsidRPr="00354295">
              <w:rPr>
                <w:rStyle w:val="Small"/>
                <w:rFonts w:ascii="Arial Narrow" w:hAnsi="Arial Narrow"/>
                <w:szCs w:val="20"/>
              </w:rPr>
              <w:t>NCT03248531</w:t>
            </w:r>
          </w:p>
        </w:tc>
        <w:tc>
          <w:tcPr>
            <w:tcW w:w="2803" w:type="pct"/>
            <w:vAlign w:val="center"/>
          </w:tcPr>
          <w:p w14:paraId="0A35B979" w14:textId="169C46E8" w:rsidR="001840EB" w:rsidRPr="00354295" w:rsidRDefault="00B66F7A" w:rsidP="009A5E88">
            <w:pPr>
              <w:pStyle w:val="TableText0"/>
              <w:rPr>
                <w:szCs w:val="20"/>
              </w:rPr>
            </w:pPr>
            <w:r w:rsidRPr="00354295">
              <w:rPr>
                <w:szCs w:val="20"/>
              </w:rPr>
              <w:t xml:space="preserve">Glatt S et al. </w:t>
            </w:r>
            <w:r w:rsidR="001840EB" w:rsidRPr="00354295">
              <w:rPr>
                <w:rStyle w:val="Small"/>
                <w:rFonts w:ascii="Arial Narrow" w:hAnsi="Arial Narrow"/>
                <w:szCs w:val="20"/>
              </w:rPr>
              <w:t>Efficacy and Safety of Bimekizumab in Moderate-to-severe Hidradenitis Suppurativa: A Phase 2, Double-blind, Placebo-Controlled Randomized Clinical Trial.</w:t>
            </w:r>
          </w:p>
        </w:tc>
        <w:tc>
          <w:tcPr>
            <w:tcW w:w="1402" w:type="pct"/>
            <w:vAlign w:val="center"/>
          </w:tcPr>
          <w:p w14:paraId="4A191A18" w14:textId="61CE1F44" w:rsidR="001840EB" w:rsidRPr="00354295" w:rsidRDefault="001840EB" w:rsidP="009A5E88">
            <w:pPr>
              <w:pStyle w:val="TableText0"/>
              <w:rPr>
                <w:szCs w:val="20"/>
              </w:rPr>
            </w:pPr>
            <w:r w:rsidRPr="00354295">
              <w:rPr>
                <w:rStyle w:val="Small"/>
                <w:rFonts w:ascii="Arial Narrow" w:hAnsi="Arial Narrow"/>
                <w:i/>
                <w:iCs/>
                <w:szCs w:val="20"/>
              </w:rPr>
              <w:t>JAMA Dermatology</w:t>
            </w:r>
            <w:r w:rsidRPr="00354295">
              <w:rPr>
                <w:rStyle w:val="Small"/>
                <w:rFonts w:ascii="Arial Narrow" w:hAnsi="Arial Narrow"/>
                <w:szCs w:val="20"/>
              </w:rPr>
              <w:t xml:space="preserve"> 2021; 157(11):1279-1288</w:t>
            </w:r>
            <w:r w:rsidRPr="00354295">
              <w:rPr>
                <w:szCs w:val="20"/>
              </w:rPr>
              <w:t xml:space="preserve"> </w:t>
            </w:r>
          </w:p>
        </w:tc>
      </w:tr>
      <w:tr w:rsidR="001840EB" w:rsidRPr="00354295" w14:paraId="46163A71" w14:textId="77777777" w:rsidTr="009A5E88">
        <w:trPr>
          <w:trHeight w:val="147"/>
        </w:trPr>
        <w:tc>
          <w:tcPr>
            <w:tcW w:w="5000" w:type="pct"/>
            <w:gridSpan w:val="3"/>
            <w:vAlign w:val="center"/>
          </w:tcPr>
          <w:p w14:paraId="5E142682" w14:textId="3F02786A" w:rsidR="001840EB" w:rsidRPr="00354295" w:rsidRDefault="001840EB" w:rsidP="009A5E88">
            <w:pPr>
              <w:pStyle w:val="TableText0"/>
              <w:rPr>
                <w:rFonts w:cstheme="minorBidi"/>
                <w:b/>
                <w:szCs w:val="20"/>
              </w:rPr>
            </w:pPr>
            <w:r w:rsidRPr="00354295">
              <w:rPr>
                <w:rFonts w:cstheme="minorBidi"/>
                <w:b/>
                <w:szCs w:val="20"/>
              </w:rPr>
              <w:t>Secukinumab</w:t>
            </w:r>
          </w:p>
        </w:tc>
      </w:tr>
      <w:tr w:rsidR="001840EB" w:rsidRPr="00354295" w14:paraId="111E8253" w14:textId="77777777" w:rsidTr="009A5E88">
        <w:trPr>
          <w:trHeight w:val="1192"/>
        </w:trPr>
        <w:tc>
          <w:tcPr>
            <w:tcW w:w="795" w:type="pct"/>
            <w:vAlign w:val="center"/>
          </w:tcPr>
          <w:p w14:paraId="76CF4456" w14:textId="77777777" w:rsidR="001840EB" w:rsidRPr="00354295" w:rsidRDefault="001840EB" w:rsidP="009A5E88">
            <w:pPr>
              <w:pStyle w:val="TableText0"/>
              <w:rPr>
                <w:szCs w:val="20"/>
              </w:rPr>
            </w:pPr>
            <w:r w:rsidRPr="00354295">
              <w:rPr>
                <w:szCs w:val="20"/>
              </w:rPr>
              <w:t>SUNSHINE</w:t>
            </w:r>
          </w:p>
          <w:p w14:paraId="4B3C7262" w14:textId="77777777" w:rsidR="001840EB" w:rsidRPr="00354295" w:rsidRDefault="001840EB" w:rsidP="009A5E88">
            <w:pPr>
              <w:pStyle w:val="TableText0"/>
              <w:rPr>
                <w:rStyle w:val="Small"/>
                <w:rFonts w:ascii="Arial Narrow" w:hAnsi="Arial Narrow"/>
                <w:szCs w:val="20"/>
              </w:rPr>
            </w:pPr>
            <w:r w:rsidRPr="00354295">
              <w:rPr>
                <w:rStyle w:val="Small"/>
                <w:rFonts w:ascii="Arial Narrow" w:hAnsi="Arial Narrow"/>
                <w:szCs w:val="20"/>
              </w:rPr>
              <w:t>NCT03713619</w:t>
            </w:r>
          </w:p>
          <w:p w14:paraId="4E6121B3" w14:textId="77777777" w:rsidR="0041697D" w:rsidRPr="00354295" w:rsidRDefault="0041697D" w:rsidP="009A5E88">
            <w:pPr>
              <w:pStyle w:val="TableText0"/>
              <w:rPr>
                <w:szCs w:val="20"/>
              </w:rPr>
            </w:pPr>
          </w:p>
          <w:p w14:paraId="5E879EFD" w14:textId="77777777" w:rsidR="0041697D" w:rsidRPr="00354295" w:rsidRDefault="0041697D" w:rsidP="009A5E88">
            <w:pPr>
              <w:pStyle w:val="TableText0"/>
              <w:rPr>
                <w:szCs w:val="20"/>
              </w:rPr>
            </w:pPr>
            <w:r w:rsidRPr="00354295">
              <w:rPr>
                <w:szCs w:val="20"/>
              </w:rPr>
              <w:t>SUNRISE</w:t>
            </w:r>
          </w:p>
          <w:p w14:paraId="5A16DFCF" w14:textId="287FE8ED" w:rsidR="0041697D" w:rsidRPr="00354295" w:rsidRDefault="0041697D" w:rsidP="009A5E88">
            <w:pPr>
              <w:pStyle w:val="TableText0"/>
              <w:rPr>
                <w:szCs w:val="20"/>
              </w:rPr>
            </w:pPr>
            <w:r w:rsidRPr="00354295">
              <w:rPr>
                <w:szCs w:val="20"/>
              </w:rPr>
              <w:t>NCT03713632</w:t>
            </w:r>
          </w:p>
        </w:tc>
        <w:tc>
          <w:tcPr>
            <w:tcW w:w="2803" w:type="pct"/>
            <w:vAlign w:val="center"/>
          </w:tcPr>
          <w:p w14:paraId="3A94E3B0" w14:textId="2052165D" w:rsidR="001840EB" w:rsidRPr="00354295" w:rsidRDefault="00B66F7A" w:rsidP="009A5E88">
            <w:pPr>
              <w:pStyle w:val="TableText0"/>
              <w:rPr>
                <w:szCs w:val="20"/>
              </w:rPr>
            </w:pPr>
            <w:r w:rsidRPr="00354295">
              <w:rPr>
                <w:szCs w:val="20"/>
              </w:rPr>
              <w:t xml:space="preserve">Kimball A, et al. </w:t>
            </w:r>
            <w:r w:rsidR="0041697D" w:rsidRPr="00354295">
              <w:rPr>
                <w:rStyle w:val="Small"/>
                <w:rFonts w:ascii="Arial Narrow" w:hAnsi="Arial Narrow"/>
                <w:szCs w:val="20"/>
              </w:rPr>
              <w:t>Secukinumab in moderate-to-severe hidradenitis suppurativa (SUNSHINE and SUNRISE): week 16 and week 52 results of two identical, multicentre, randomised, placebo-controlled, double-blind phase 3 trials.</w:t>
            </w:r>
          </w:p>
        </w:tc>
        <w:tc>
          <w:tcPr>
            <w:tcW w:w="1402" w:type="pct"/>
            <w:vAlign w:val="center"/>
          </w:tcPr>
          <w:p w14:paraId="7CEFA875" w14:textId="0E0EB468" w:rsidR="001840EB" w:rsidRPr="00354295" w:rsidRDefault="0041697D" w:rsidP="009A5E88">
            <w:pPr>
              <w:pStyle w:val="TableText0"/>
              <w:rPr>
                <w:szCs w:val="20"/>
              </w:rPr>
            </w:pPr>
            <w:r w:rsidRPr="00354295">
              <w:rPr>
                <w:i/>
                <w:iCs/>
                <w:szCs w:val="20"/>
              </w:rPr>
              <w:t>Lancet,</w:t>
            </w:r>
            <w:r w:rsidRPr="00354295">
              <w:rPr>
                <w:szCs w:val="20"/>
              </w:rPr>
              <w:t xml:space="preserve"> 2023; 401:747-761. </w:t>
            </w:r>
          </w:p>
        </w:tc>
      </w:tr>
      <w:tr w:rsidR="0041697D" w:rsidRPr="00354295" w14:paraId="36ECF62C" w14:textId="77777777" w:rsidTr="009A5E88">
        <w:trPr>
          <w:trHeight w:val="147"/>
        </w:trPr>
        <w:tc>
          <w:tcPr>
            <w:tcW w:w="5000" w:type="pct"/>
            <w:gridSpan w:val="3"/>
            <w:vAlign w:val="center"/>
          </w:tcPr>
          <w:p w14:paraId="10415F2D" w14:textId="7816FCFA" w:rsidR="0041697D" w:rsidRPr="00354295" w:rsidRDefault="0041697D" w:rsidP="009A5E88">
            <w:pPr>
              <w:pStyle w:val="TableText0"/>
              <w:rPr>
                <w:rFonts w:cstheme="minorHAnsi"/>
                <w:b/>
                <w:szCs w:val="20"/>
              </w:rPr>
            </w:pPr>
            <w:r w:rsidRPr="00354295">
              <w:rPr>
                <w:rFonts w:cstheme="minorHAnsi"/>
                <w:b/>
                <w:szCs w:val="20"/>
              </w:rPr>
              <w:t>Adalimumab</w:t>
            </w:r>
          </w:p>
        </w:tc>
      </w:tr>
      <w:tr w:rsidR="0041697D" w:rsidRPr="00354295" w14:paraId="751E8F98" w14:textId="77777777" w:rsidTr="009A5E88">
        <w:trPr>
          <w:trHeight w:val="1192"/>
        </w:trPr>
        <w:tc>
          <w:tcPr>
            <w:tcW w:w="795" w:type="pct"/>
            <w:vAlign w:val="center"/>
          </w:tcPr>
          <w:p w14:paraId="59A6F0AA" w14:textId="7C7BB4E3" w:rsidR="0041697D" w:rsidRPr="00354295" w:rsidRDefault="0041697D" w:rsidP="009A5E88">
            <w:pPr>
              <w:pStyle w:val="TableText0"/>
              <w:rPr>
                <w:szCs w:val="20"/>
              </w:rPr>
            </w:pPr>
            <w:r w:rsidRPr="00354295">
              <w:rPr>
                <w:szCs w:val="20"/>
              </w:rPr>
              <w:t>PIONEER I</w:t>
            </w:r>
          </w:p>
          <w:p w14:paraId="5FF70476" w14:textId="77777777" w:rsidR="0041697D" w:rsidRPr="00354295" w:rsidRDefault="0041697D" w:rsidP="009A5E88">
            <w:pPr>
              <w:pStyle w:val="TableText0"/>
              <w:rPr>
                <w:rStyle w:val="Small"/>
                <w:rFonts w:ascii="Arial Narrow" w:hAnsi="Arial Narrow"/>
                <w:szCs w:val="20"/>
              </w:rPr>
            </w:pPr>
            <w:r w:rsidRPr="00354295">
              <w:rPr>
                <w:rStyle w:val="Small"/>
                <w:rFonts w:ascii="Arial Narrow" w:hAnsi="Arial Narrow"/>
                <w:szCs w:val="20"/>
              </w:rPr>
              <w:t>NCT01468207</w:t>
            </w:r>
          </w:p>
          <w:p w14:paraId="5610623C" w14:textId="77777777" w:rsidR="0041697D" w:rsidRPr="00354295" w:rsidRDefault="0041697D" w:rsidP="009A5E88">
            <w:pPr>
              <w:pStyle w:val="TableText0"/>
              <w:rPr>
                <w:rStyle w:val="Small"/>
                <w:rFonts w:ascii="Arial Narrow" w:hAnsi="Arial Narrow"/>
                <w:szCs w:val="20"/>
              </w:rPr>
            </w:pPr>
          </w:p>
          <w:p w14:paraId="79F8C317" w14:textId="2EF6A848" w:rsidR="0041697D" w:rsidRPr="00354295" w:rsidRDefault="0041697D" w:rsidP="009A5E88">
            <w:pPr>
              <w:pStyle w:val="TableText0"/>
              <w:rPr>
                <w:rStyle w:val="Small"/>
                <w:rFonts w:ascii="Arial Narrow" w:hAnsi="Arial Narrow"/>
                <w:szCs w:val="20"/>
              </w:rPr>
            </w:pPr>
            <w:r w:rsidRPr="00354295">
              <w:rPr>
                <w:rStyle w:val="Small"/>
                <w:rFonts w:ascii="Arial Narrow" w:hAnsi="Arial Narrow"/>
                <w:szCs w:val="20"/>
              </w:rPr>
              <w:t>PIONEER II</w:t>
            </w:r>
          </w:p>
          <w:p w14:paraId="149F3291" w14:textId="5D2FA76E" w:rsidR="0041697D" w:rsidRPr="00354295" w:rsidRDefault="0041697D" w:rsidP="009A5E88">
            <w:pPr>
              <w:pStyle w:val="TableText0"/>
              <w:rPr>
                <w:rFonts w:cstheme="minorHAnsi"/>
                <w:szCs w:val="20"/>
              </w:rPr>
            </w:pPr>
            <w:r w:rsidRPr="00354295">
              <w:rPr>
                <w:rStyle w:val="Small"/>
                <w:rFonts w:ascii="Arial Narrow" w:hAnsi="Arial Narrow"/>
                <w:szCs w:val="20"/>
              </w:rPr>
              <w:t>NCT01468233</w:t>
            </w:r>
          </w:p>
        </w:tc>
        <w:tc>
          <w:tcPr>
            <w:tcW w:w="2803" w:type="pct"/>
            <w:vAlign w:val="center"/>
          </w:tcPr>
          <w:p w14:paraId="3A63AA96" w14:textId="4AEB513F" w:rsidR="0041697D" w:rsidRPr="00354295" w:rsidRDefault="00B66F7A" w:rsidP="009A5E88">
            <w:pPr>
              <w:pStyle w:val="TableText0"/>
              <w:rPr>
                <w:szCs w:val="20"/>
              </w:rPr>
            </w:pPr>
            <w:r w:rsidRPr="00354295">
              <w:rPr>
                <w:szCs w:val="20"/>
              </w:rPr>
              <w:t xml:space="preserve">Kimball A, et al. </w:t>
            </w:r>
            <w:r w:rsidR="0041697D" w:rsidRPr="00354295">
              <w:rPr>
                <w:rStyle w:val="Small"/>
                <w:rFonts w:ascii="Arial Narrow" w:hAnsi="Arial Narrow"/>
                <w:szCs w:val="20"/>
              </w:rPr>
              <w:t xml:space="preserve">Two phase 3 trials of adalimumab for hidradenitis suppurativa. </w:t>
            </w:r>
          </w:p>
        </w:tc>
        <w:tc>
          <w:tcPr>
            <w:tcW w:w="1402" w:type="pct"/>
            <w:vAlign w:val="center"/>
          </w:tcPr>
          <w:p w14:paraId="1C940207" w14:textId="0751A3E0" w:rsidR="0041697D" w:rsidRPr="00354295" w:rsidRDefault="0041697D" w:rsidP="009A5E88">
            <w:pPr>
              <w:pStyle w:val="TableText0"/>
              <w:rPr>
                <w:szCs w:val="20"/>
              </w:rPr>
            </w:pPr>
            <w:r w:rsidRPr="00354295">
              <w:rPr>
                <w:i/>
                <w:iCs/>
                <w:szCs w:val="20"/>
              </w:rPr>
              <w:t>N Engl J Med</w:t>
            </w:r>
            <w:r w:rsidRPr="00354295">
              <w:rPr>
                <w:szCs w:val="20"/>
              </w:rPr>
              <w:t xml:space="preserve">, 2016; 375:422-434. </w:t>
            </w:r>
          </w:p>
        </w:tc>
      </w:tr>
      <w:tr w:rsidR="0041697D" w:rsidRPr="00354295" w14:paraId="435F6765" w14:textId="77777777" w:rsidTr="009A5E88">
        <w:trPr>
          <w:trHeight w:val="1192"/>
        </w:trPr>
        <w:tc>
          <w:tcPr>
            <w:tcW w:w="795" w:type="pct"/>
            <w:vAlign w:val="center"/>
          </w:tcPr>
          <w:p w14:paraId="5991784B" w14:textId="77777777" w:rsidR="0041697D" w:rsidRPr="00354295" w:rsidRDefault="0041697D" w:rsidP="009A5E88">
            <w:pPr>
              <w:pStyle w:val="TableText0"/>
              <w:rPr>
                <w:szCs w:val="20"/>
              </w:rPr>
            </w:pPr>
            <w:r w:rsidRPr="00354295">
              <w:rPr>
                <w:szCs w:val="20"/>
              </w:rPr>
              <w:t>M10-467</w:t>
            </w:r>
          </w:p>
          <w:p w14:paraId="2425EA2D" w14:textId="274384DE" w:rsidR="0041697D" w:rsidRPr="00354295" w:rsidRDefault="0041697D" w:rsidP="009A5E88">
            <w:pPr>
              <w:pStyle w:val="TableText0"/>
              <w:rPr>
                <w:rFonts w:cstheme="minorHAnsi"/>
                <w:szCs w:val="20"/>
              </w:rPr>
            </w:pPr>
            <w:r w:rsidRPr="00354295">
              <w:rPr>
                <w:rStyle w:val="Small"/>
                <w:rFonts w:ascii="Arial Narrow" w:hAnsi="Arial Narrow"/>
                <w:szCs w:val="20"/>
              </w:rPr>
              <w:t>NCT00918255</w:t>
            </w:r>
          </w:p>
        </w:tc>
        <w:tc>
          <w:tcPr>
            <w:tcW w:w="2803" w:type="pct"/>
            <w:vAlign w:val="center"/>
          </w:tcPr>
          <w:p w14:paraId="3C9D62F6" w14:textId="689B2B32" w:rsidR="0041697D" w:rsidRPr="00354295" w:rsidRDefault="00B66F7A" w:rsidP="009A5E88">
            <w:pPr>
              <w:pStyle w:val="TableText0"/>
              <w:rPr>
                <w:rStyle w:val="Small"/>
                <w:rFonts w:ascii="Arial Narrow" w:hAnsi="Arial Narrow"/>
                <w:szCs w:val="20"/>
              </w:rPr>
            </w:pPr>
            <w:r w:rsidRPr="00354295">
              <w:rPr>
                <w:szCs w:val="20"/>
              </w:rPr>
              <w:t xml:space="preserve">Kimball A, et al. </w:t>
            </w:r>
            <w:r w:rsidR="0041697D" w:rsidRPr="00354295">
              <w:rPr>
                <w:rStyle w:val="Small"/>
                <w:rFonts w:ascii="Arial Narrow" w:hAnsi="Arial Narrow"/>
                <w:szCs w:val="20"/>
              </w:rPr>
              <w:t>Adalimumab for the Treatment of Moderate to Severe Hidradenitis Suppurativa.</w:t>
            </w:r>
          </w:p>
          <w:p w14:paraId="50E5960A" w14:textId="77777777" w:rsidR="00F43A94" w:rsidRPr="00354295" w:rsidRDefault="00F43A94" w:rsidP="009A5E88">
            <w:pPr>
              <w:pStyle w:val="TableText0"/>
              <w:rPr>
                <w:rStyle w:val="Small"/>
                <w:rFonts w:ascii="Arial Narrow" w:hAnsi="Arial Narrow"/>
                <w:szCs w:val="20"/>
              </w:rPr>
            </w:pPr>
          </w:p>
          <w:p w14:paraId="23559E01" w14:textId="02EC1BE1" w:rsidR="00F43A94" w:rsidRPr="00354295" w:rsidRDefault="53635038" w:rsidP="009A5E88">
            <w:pPr>
              <w:pStyle w:val="TableText0"/>
              <w:rPr>
                <w:szCs w:val="20"/>
              </w:rPr>
            </w:pPr>
            <w:r w:rsidRPr="00354295">
              <w:rPr>
                <w:szCs w:val="20"/>
              </w:rPr>
              <w:t xml:space="preserve">Kimball A, et al. </w:t>
            </w:r>
            <w:proofErr w:type="spellStart"/>
            <w:r w:rsidR="30FE4CA8" w:rsidRPr="00354295">
              <w:rPr>
                <w:szCs w:val="20"/>
              </w:rPr>
              <w:t>HiSCR</w:t>
            </w:r>
            <w:proofErr w:type="spellEnd"/>
            <w:r w:rsidR="30FE4CA8" w:rsidRPr="00354295">
              <w:rPr>
                <w:szCs w:val="20"/>
              </w:rPr>
              <w:t xml:space="preserve"> (Hidradenitis Suppurativa Clinical Response): a novel</w:t>
            </w:r>
            <w:r w:rsidRPr="00354295">
              <w:rPr>
                <w:szCs w:val="20"/>
              </w:rPr>
              <w:t xml:space="preserve"> </w:t>
            </w:r>
            <w:r w:rsidR="30FE4CA8" w:rsidRPr="00354295">
              <w:rPr>
                <w:szCs w:val="20"/>
              </w:rPr>
              <w:t>clinical endpoint to evaluate therapeutic outcomes in</w:t>
            </w:r>
            <w:r w:rsidRPr="00354295">
              <w:rPr>
                <w:szCs w:val="20"/>
              </w:rPr>
              <w:t xml:space="preserve"> </w:t>
            </w:r>
            <w:r w:rsidR="30FE4CA8" w:rsidRPr="00354295">
              <w:rPr>
                <w:szCs w:val="20"/>
              </w:rPr>
              <w:t>patients with hidradenitis suppurativa from the placebo-</w:t>
            </w:r>
          </w:p>
          <w:p w14:paraId="5D95850E" w14:textId="51896978" w:rsidR="0041697D" w:rsidRPr="00354295" w:rsidRDefault="30FE4CA8" w:rsidP="009A5E88">
            <w:pPr>
              <w:pStyle w:val="TableText0"/>
              <w:rPr>
                <w:rStyle w:val="Small"/>
                <w:rFonts w:ascii="Arial Narrow" w:hAnsi="Arial Narrow"/>
                <w:szCs w:val="20"/>
              </w:rPr>
            </w:pPr>
            <w:r w:rsidRPr="00354295">
              <w:rPr>
                <w:szCs w:val="20"/>
              </w:rPr>
              <w:t>controlled portion of a phase 2 adalimumab study.</w:t>
            </w:r>
          </w:p>
        </w:tc>
        <w:tc>
          <w:tcPr>
            <w:tcW w:w="1402" w:type="pct"/>
            <w:vAlign w:val="center"/>
          </w:tcPr>
          <w:p w14:paraId="60258D9B" w14:textId="31CEE104" w:rsidR="0041697D" w:rsidRPr="00354295" w:rsidRDefault="0041697D" w:rsidP="009A5E88">
            <w:pPr>
              <w:pStyle w:val="TableText0"/>
              <w:rPr>
                <w:szCs w:val="20"/>
              </w:rPr>
            </w:pPr>
            <w:r w:rsidRPr="00354295">
              <w:rPr>
                <w:i/>
                <w:iCs/>
                <w:szCs w:val="20"/>
              </w:rPr>
              <w:t>Ann Intern Med</w:t>
            </w:r>
            <w:r w:rsidRPr="00354295">
              <w:rPr>
                <w:szCs w:val="20"/>
              </w:rPr>
              <w:t xml:space="preserve">, </w:t>
            </w:r>
            <w:r w:rsidR="00F43A94" w:rsidRPr="00354295">
              <w:rPr>
                <w:szCs w:val="20"/>
              </w:rPr>
              <w:t xml:space="preserve">2012; 157:846-855. </w:t>
            </w:r>
          </w:p>
          <w:p w14:paraId="3C6CB475" w14:textId="77777777" w:rsidR="00F43A94" w:rsidRPr="00354295" w:rsidRDefault="00F43A94" w:rsidP="009A5E88">
            <w:pPr>
              <w:pStyle w:val="TableText0"/>
              <w:rPr>
                <w:szCs w:val="20"/>
              </w:rPr>
            </w:pPr>
          </w:p>
          <w:p w14:paraId="4C1E5994" w14:textId="511D005A" w:rsidR="00F43A94" w:rsidRPr="00354295" w:rsidRDefault="30FE4CA8" w:rsidP="009A5E88">
            <w:pPr>
              <w:pStyle w:val="TableText0"/>
              <w:rPr>
                <w:szCs w:val="20"/>
              </w:rPr>
            </w:pPr>
            <w:r w:rsidRPr="00354295">
              <w:rPr>
                <w:i/>
                <w:iCs/>
                <w:szCs w:val="20"/>
              </w:rPr>
              <w:t xml:space="preserve">J </w:t>
            </w:r>
            <w:proofErr w:type="spellStart"/>
            <w:r w:rsidRPr="00354295">
              <w:rPr>
                <w:i/>
                <w:iCs/>
                <w:szCs w:val="20"/>
              </w:rPr>
              <w:t>Eur</w:t>
            </w:r>
            <w:proofErr w:type="spellEnd"/>
            <w:r w:rsidRPr="00354295">
              <w:rPr>
                <w:i/>
                <w:iCs/>
                <w:szCs w:val="20"/>
              </w:rPr>
              <w:t xml:space="preserve"> </w:t>
            </w:r>
            <w:proofErr w:type="spellStart"/>
            <w:r w:rsidRPr="00354295">
              <w:rPr>
                <w:i/>
                <w:iCs/>
                <w:szCs w:val="20"/>
              </w:rPr>
              <w:t>Acad</w:t>
            </w:r>
            <w:proofErr w:type="spellEnd"/>
            <w:r w:rsidRPr="00354295">
              <w:rPr>
                <w:i/>
                <w:iCs/>
                <w:szCs w:val="20"/>
              </w:rPr>
              <w:t xml:space="preserve"> Dermatol Vener,</w:t>
            </w:r>
            <w:r w:rsidRPr="00354295">
              <w:rPr>
                <w:szCs w:val="20"/>
              </w:rPr>
              <w:t xml:space="preserve"> 2016; 30:989-994. </w:t>
            </w:r>
          </w:p>
        </w:tc>
      </w:tr>
    </w:tbl>
    <w:p w14:paraId="51D8173A" w14:textId="3D0D3B78" w:rsidR="008E0D3C" w:rsidRPr="0098262F" w:rsidRDefault="008E0D3C" w:rsidP="00EC5836">
      <w:pPr>
        <w:pStyle w:val="FooterTableFigure"/>
        <w:rPr>
          <w:sz w:val="20"/>
        </w:rPr>
      </w:pPr>
      <w:r w:rsidRPr="0098262F">
        <w:t xml:space="preserve">Source: </w:t>
      </w:r>
      <w:r w:rsidR="0041697D">
        <w:t xml:space="preserve">Table 2.7, p58 of the submission. </w:t>
      </w:r>
    </w:p>
    <w:p w14:paraId="4073D933" w14:textId="06A06CBF" w:rsidR="000F3998" w:rsidRPr="00754DEE" w:rsidRDefault="008F120A" w:rsidP="00976527">
      <w:pPr>
        <w:pStyle w:val="3-BodyText"/>
      </w:pPr>
      <w:r w:rsidRPr="00754DEE">
        <w:t>The key features of the trial</w:t>
      </w:r>
      <w:r w:rsidR="00F43A94" w:rsidRPr="00754DEE">
        <w:t>s</w:t>
      </w:r>
      <w:r w:rsidRPr="00754DEE">
        <w:t xml:space="preserve"> are summarised in</w:t>
      </w:r>
      <w:r w:rsidR="00D6076E" w:rsidRPr="00754DEE">
        <w:t xml:space="preserve"> </w:t>
      </w:r>
      <w:r w:rsidRPr="00754DEE">
        <w:fldChar w:fldCharType="begin"/>
      </w:r>
      <w:r w:rsidRPr="00754DEE">
        <w:instrText xml:space="preserve"> REF _Ref189473861 \h  \* MERGEFORMAT </w:instrText>
      </w:r>
      <w:r w:rsidRPr="00754DEE">
        <w:fldChar w:fldCharType="separate"/>
      </w:r>
      <w:r w:rsidR="00184DE0" w:rsidRPr="00184DE0">
        <w:t>Table 3</w:t>
      </w:r>
      <w:r w:rsidRPr="00754DEE">
        <w:fldChar w:fldCharType="end"/>
      </w:r>
      <w:r w:rsidR="00FE0695" w:rsidRPr="00754DEE">
        <w:t xml:space="preserve">. </w:t>
      </w:r>
      <w:r w:rsidR="00752B74" w:rsidRPr="00754DEE">
        <w:t xml:space="preserve">The submission made separate claims related to 16 weeks treatment and 48 weeks treatment: superiority to secukinumab at both time points, and of non-inferiority </w:t>
      </w:r>
      <w:bookmarkStart w:id="28" w:name="_Ref104804098"/>
      <w:r w:rsidR="00752B74" w:rsidRPr="00754DEE">
        <w:t>to adalimumab at 16</w:t>
      </w:r>
      <w:r w:rsidR="00607319">
        <w:t> </w:t>
      </w:r>
      <w:r w:rsidR="00752B74" w:rsidRPr="00754DEE">
        <w:t>weeks but superiority at 48 weeks</w:t>
      </w:r>
      <w:r w:rsidR="004B4F22" w:rsidRPr="00754DEE">
        <w:t>. O</w:t>
      </w:r>
      <w:r w:rsidR="007A4BE1" w:rsidRPr="00754DEE">
        <w:t>nly the comparison</w:t>
      </w:r>
      <w:r w:rsidR="004B4F22" w:rsidRPr="00754DEE">
        <w:t>s</w:t>
      </w:r>
      <w:r w:rsidR="007A4BE1" w:rsidRPr="00754DEE">
        <w:t xml:space="preserve"> at 16 weeks </w:t>
      </w:r>
      <w:r w:rsidR="004B4F22" w:rsidRPr="00754DEE">
        <w:t>are</w:t>
      </w:r>
      <w:r w:rsidR="007A4BE1" w:rsidRPr="00754DEE">
        <w:t xml:space="preserve"> based on double-blind, placebo-controlled trials. </w:t>
      </w:r>
    </w:p>
    <w:p w14:paraId="04FDD3BD" w14:textId="0131A56B" w:rsidR="000F3998" w:rsidRPr="00754DEE" w:rsidRDefault="1ED794C8" w:rsidP="2B21198B">
      <w:pPr>
        <w:pStyle w:val="3-BodyText"/>
      </w:pPr>
      <w:r w:rsidRPr="00754DEE">
        <w:t>A</w:t>
      </w:r>
      <w:r w:rsidR="010F10A3" w:rsidRPr="00754DEE">
        <w:t xml:space="preserve">lthough the BE HEARD I/II trials were double-blind and placebo-controlled in the first </w:t>
      </w:r>
      <w:r w:rsidR="004C7BA1" w:rsidRPr="00754DEE">
        <w:t>16-week</w:t>
      </w:r>
      <w:r w:rsidR="010F10A3" w:rsidRPr="00754DEE">
        <w:t xml:space="preserve"> period, they were </w:t>
      </w:r>
      <w:r w:rsidR="0231DD02" w:rsidRPr="00754DEE">
        <w:t>blinded only to</w:t>
      </w:r>
      <w:r w:rsidR="005756D0" w:rsidRPr="00754DEE">
        <w:t xml:space="preserve"> bimekizumab</w:t>
      </w:r>
      <w:r w:rsidR="0231DD02" w:rsidRPr="00754DEE">
        <w:t xml:space="preserve"> </w:t>
      </w:r>
      <w:r w:rsidR="005756D0" w:rsidRPr="00754DEE">
        <w:t>every 2 weeks</w:t>
      </w:r>
      <w:r w:rsidR="0231DD02" w:rsidRPr="00754DEE">
        <w:t xml:space="preserve"> vs </w:t>
      </w:r>
      <w:r w:rsidR="005756D0" w:rsidRPr="00754DEE">
        <w:t>every 4</w:t>
      </w:r>
      <w:r w:rsidR="00607319">
        <w:t> </w:t>
      </w:r>
      <w:r w:rsidR="005756D0" w:rsidRPr="00754DEE">
        <w:t>weeks</w:t>
      </w:r>
      <w:r w:rsidR="0231DD02" w:rsidRPr="00754DEE">
        <w:t xml:space="preserve"> </w:t>
      </w:r>
      <w:r w:rsidR="010F10A3" w:rsidRPr="00754DEE">
        <w:t>from 16 to 48 weeks</w:t>
      </w:r>
      <w:r w:rsidR="7161F14A" w:rsidRPr="00754DEE">
        <w:t xml:space="preserve"> and </w:t>
      </w:r>
      <w:r w:rsidR="3F316232" w:rsidRPr="00754DEE">
        <w:t xml:space="preserve">the trials </w:t>
      </w:r>
      <w:r w:rsidR="7161F14A" w:rsidRPr="00754DEE">
        <w:t>have been classified as open label</w:t>
      </w:r>
      <w:r w:rsidR="29694163" w:rsidRPr="00754DEE">
        <w:t>. P</w:t>
      </w:r>
      <w:r w:rsidR="0231DD02" w:rsidRPr="00754DEE">
        <w:t xml:space="preserve">atients receiving </w:t>
      </w:r>
      <w:r w:rsidR="005756D0" w:rsidRPr="00754DEE">
        <w:t>bimekizumab every 4 weeks</w:t>
      </w:r>
      <w:r w:rsidR="0231DD02" w:rsidRPr="00754DEE">
        <w:t xml:space="preserve"> </w:t>
      </w:r>
      <w:r w:rsidR="29694163" w:rsidRPr="00754DEE">
        <w:t xml:space="preserve">throughout and patients switching to bimekizumab after completing the first 16 weeks on placebo </w:t>
      </w:r>
      <w:r w:rsidR="0231DD02" w:rsidRPr="00754DEE">
        <w:t>were not included in the submission</w:t>
      </w:r>
      <w:r w:rsidR="29694163" w:rsidRPr="00754DEE">
        <w:t xml:space="preserve"> (Table 2.12of the submission)</w:t>
      </w:r>
      <w:r w:rsidR="010F10A3" w:rsidRPr="00754DEE">
        <w:t>.</w:t>
      </w:r>
    </w:p>
    <w:p w14:paraId="1533BA11" w14:textId="3FB15C0C" w:rsidR="000F3998" w:rsidRPr="00754DEE" w:rsidRDefault="00752B74" w:rsidP="2B21198B">
      <w:pPr>
        <w:pStyle w:val="3-BodyText"/>
      </w:pPr>
      <w:r w:rsidRPr="00754DEE">
        <w:t>In SUNSHINE and SUNRISE there may have been blinding as to secukinumab dose (the published paper is unclear) but th</w:t>
      </w:r>
      <w:r w:rsidR="000F3998" w:rsidRPr="00754DEE">
        <w:t>e treatment</w:t>
      </w:r>
      <w:r w:rsidRPr="00754DEE">
        <w:t xml:space="preserve"> period </w:t>
      </w:r>
      <w:r w:rsidR="000F3998" w:rsidRPr="00754DEE">
        <w:t xml:space="preserve">beyond 16 weeks </w:t>
      </w:r>
      <w:r w:rsidRPr="00754DEE">
        <w:t>was not placebo-controlled</w:t>
      </w:r>
      <w:r w:rsidR="005B0639" w:rsidRPr="00754DEE">
        <w:t xml:space="preserve"> and the extension phase has been classified as open label in this case also</w:t>
      </w:r>
      <w:r w:rsidRPr="00754DEE">
        <w:t xml:space="preserve">. </w:t>
      </w:r>
      <w:r w:rsidR="00AD4A4C" w:rsidRPr="00754DEE">
        <w:t xml:space="preserve">Patients who completed the first 16 weeks on placebo were then </w:t>
      </w:r>
      <w:r w:rsidR="00AD4A4C" w:rsidRPr="00754DEE">
        <w:lastRenderedPageBreak/>
        <w:t>randomised to</w:t>
      </w:r>
      <w:r w:rsidR="005756D0" w:rsidRPr="00754DEE">
        <w:t xml:space="preserve"> secukinumab</w:t>
      </w:r>
      <w:r w:rsidR="00AD4A4C" w:rsidRPr="00754DEE">
        <w:t xml:space="preserve"> </w:t>
      </w:r>
      <w:r w:rsidR="005756D0" w:rsidRPr="00754DEE">
        <w:t>every 2 weeks</w:t>
      </w:r>
      <w:r w:rsidR="00AD4A4C" w:rsidRPr="00754DEE">
        <w:t xml:space="preserve"> vs </w:t>
      </w:r>
      <w:r w:rsidR="005756D0" w:rsidRPr="00754DEE">
        <w:t>every 4 weeks</w:t>
      </w:r>
      <w:r w:rsidR="00180CB4" w:rsidRPr="00754DEE">
        <w:t>, and</w:t>
      </w:r>
      <w:r w:rsidR="00AD4A4C" w:rsidRPr="00754DEE">
        <w:t xml:space="preserve"> were not included in the submission (Table 2.14 of the submission).</w:t>
      </w:r>
    </w:p>
    <w:p w14:paraId="094B1519" w14:textId="2BD01D49" w:rsidR="000709A5" w:rsidRPr="00754DEE" w:rsidRDefault="1ED794C8" w:rsidP="38616EB4">
      <w:pPr>
        <w:pStyle w:val="3-BodyText"/>
      </w:pPr>
      <w:r w:rsidRPr="00754DEE">
        <w:t xml:space="preserve">Patients in PIONEER I and II randomised to placebo in period 1 (12 weeks) were </w:t>
      </w:r>
      <w:r w:rsidR="69E932C6" w:rsidRPr="00754DEE">
        <w:t>"reassigned in a blinded fashion"</w:t>
      </w:r>
      <w:r w:rsidRPr="00754DEE">
        <w:t xml:space="preserve"> </w:t>
      </w:r>
      <w:r w:rsidR="7161F14A" w:rsidRPr="00754DEE">
        <w:t xml:space="preserve">for period 2 (24 weeks) </w:t>
      </w:r>
      <w:r w:rsidRPr="00754DEE">
        <w:t>to adalimumab 40</w:t>
      </w:r>
      <w:r w:rsidR="005E39FB">
        <w:t> </w:t>
      </w:r>
      <w:r w:rsidRPr="00754DEE">
        <w:t xml:space="preserve">mg weekly (PIONEER I) or continued on placebo (PIONEER II). </w:t>
      </w:r>
      <w:r w:rsidR="69E932C6" w:rsidRPr="00754DEE">
        <w:t>"</w:t>
      </w:r>
      <w:r w:rsidRPr="00754DEE">
        <w:t>To maintain blinding</w:t>
      </w:r>
      <w:r w:rsidR="69E932C6" w:rsidRPr="00754DEE">
        <w:t>"</w:t>
      </w:r>
      <w:r w:rsidRPr="00754DEE">
        <w:t xml:space="preserve">, there was a dummy re-randomisation process using an interactive voice-response system, which also instructed patients who had worsening symptoms or lack of improvement to discontinue the study and enter an open-label extension (Figures 1 and 2, Kimball 2016). Patients who did so were considered non-responders at 36 weeks (Kimball, 2016, p428). </w:t>
      </w:r>
      <w:r w:rsidR="5B39D0A3" w:rsidRPr="00754DEE">
        <w:t>It is not obvious how informed consent to th</w:t>
      </w:r>
      <w:r w:rsidR="6C1ABFB3" w:rsidRPr="00754DEE">
        <w:t>e dummy reassignment</w:t>
      </w:r>
      <w:r w:rsidR="5B39D0A3" w:rsidRPr="00754DEE">
        <w:t xml:space="preserve"> was obtained without compromising blinding in period 2. </w:t>
      </w:r>
    </w:p>
    <w:p w14:paraId="73B85DE0" w14:textId="7732F6E5" w:rsidR="000F3998" w:rsidRPr="00754DEE" w:rsidRDefault="1ED794C8" w:rsidP="38616EB4">
      <w:pPr>
        <w:pStyle w:val="3-BodyText"/>
      </w:pPr>
      <w:r w:rsidRPr="00754DEE">
        <w:t>In period 1, dropouts in both groups were 17/307 (5.5%) in PIONEER I and 20/326 (6%) in PIONEER II</w:t>
      </w:r>
      <w:r w:rsidR="5B39D0A3" w:rsidRPr="00754DEE">
        <w:t>, while</w:t>
      </w:r>
      <w:r w:rsidRPr="00754DEE">
        <w:t xml:space="preserve"> in period 2 dropouts in all groups were 120/290 (41%) in PIONEER I and 190/306 (62%) in PIONEER 2. Of the period 2 dropouts, 84/120 (70%) in PIONEER I and 151/190 (80%) in PIONEER II dropped out as instructed by the interactive voice response system. The very high dropout rate means a high risk of attrition bias and high overall risk of bias in period 2. </w:t>
      </w:r>
      <w:r w:rsidR="29694163" w:rsidRPr="00754DEE">
        <w:t xml:space="preserve">Of patients enrolled in the second treatment period, only those receiving adalimumab 40 mg weekly in the second treatment period were included in the submission (Table 2.16 of the submission). </w:t>
      </w:r>
    </w:p>
    <w:p w14:paraId="355E2F15" w14:textId="2F044497" w:rsidR="007F1017" w:rsidRDefault="00696EF9" w:rsidP="000F3998">
      <w:pPr>
        <w:pStyle w:val="TableFigureHeading"/>
        <w:rPr>
          <w:rStyle w:val="CommentReference"/>
          <w:b/>
          <w:szCs w:val="24"/>
        </w:rPr>
      </w:pPr>
      <w:bookmarkStart w:id="29" w:name="_Ref189473861"/>
      <w:r w:rsidRPr="000F3998">
        <w:rPr>
          <w:rStyle w:val="CommentReference"/>
          <w:b/>
          <w:szCs w:val="24"/>
        </w:rPr>
        <w:lastRenderedPageBreak/>
        <w:t xml:space="preserve">Table </w:t>
      </w:r>
      <w:r w:rsidRPr="000F3998">
        <w:rPr>
          <w:rStyle w:val="CommentReference"/>
          <w:b/>
          <w:szCs w:val="24"/>
        </w:rPr>
        <w:fldChar w:fldCharType="begin"/>
      </w:r>
      <w:r w:rsidRPr="000F3998">
        <w:rPr>
          <w:rStyle w:val="CommentReference"/>
          <w:b/>
          <w:szCs w:val="24"/>
        </w:rPr>
        <w:instrText xml:space="preserve"> SEQ Table \* ARABIC </w:instrText>
      </w:r>
      <w:r w:rsidRPr="000F3998">
        <w:rPr>
          <w:rStyle w:val="CommentReference"/>
          <w:b/>
          <w:szCs w:val="24"/>
        </w:rPr>
        <w:fldChar w:fldCharType="separate"/>
      </w:r>
      <w:r w:rsidR="00184DE0">
        <w:rPr>
          <w:rStyle w:val="CommentReference"/>
          <w:b/>
          <w:noProof/>
          <w:szCs w:val="24"/>
        </w:rPr>
        <w:t>3</w:t>
      </w:r>
      <w:r w:rsidRPr="000F3998">
        <w:rPr>
          <w:rStyle w:val="CommentReference"/>
          <w:b/>
          <w:szCs w:val="24"/>
        </w:rPr>
        <w:fldChar w:fldCharType="end"/>
      </w:r>
      <w:bookmarkEnd w:id="28"/>
      <w:bookmarkEnd w:id="29"/>
      <w:r w:rsidR="00D6076E" w:rsidRPr="000F3998">
        <w:rPr>
          <w:rStyle w:val="CommentReference"/>
          <w:b/>
          <w:szCs w:val="24"/>
        </w:rPr>
        <w:t xml:space="preserve">: </w:t>
      </w:r>
      <w:r w:rsidR="007F1017" w:rsidRPr="000F3998">
        <w:rPr>
          <w:rStyle w:val="CommentReference"/>
          <w:b/>
          <w:szCs w:val="24"/>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44"/>
        <w:gridCol w:w="611"/>
        <w:gridCol w:w="2689"/>
        <w:gridCol w:w="635"/>
        <w:gridCol w:w="2162"/>
        <w:gridCol w:w="1776"/>
      </w:tblGrid>
      <w:tr w:rsidR="00797AFA" w:rsidRPr="00754DEE" w14:paraId="0D6FBDB3" w14:textId="77777777" w:rsidTr="008A702E">
        <w:trPr>
          <w:cantSplit/>
          <w:tblHeader/>
        </w:trPr>
        <w:tc>
          <w:tcPr>
            <w:tcW w:w="634" w:type="pct"/>
            <w:vAlign w:val="center"/>
          </w:tcPr>
          <w:p w14:paraId="4AB8DB46" w14:textId="77777777" w:rsidR="00797AFA" w:rsidRPr="00754DEE" w:rsidRDefault="00797AFA">
            <w:pPr>
              <w:pStyle w:val="In-tableHeading"/>
            </w:pPr>
            <w:r w:rsidRPr="00754DEE">
              <w:t>Trial</w:t>
            </w:r>
          </w:p>
        </w:tc>
        <w:tc>
          <w:tcPr>
            <w:tcW w:w="339" w:type="pct"/>
            <w:vAlign w:val="center"/>
          </w:tcPr>
          <w:p w14:paraId="30C0DB1B" w14:textId="77777777" w:rsidR="00797AFA" w:rsidRPr="00754DEE" w:rsidRDefault="00797AFA">
            <w:pPr>
              <w:pStyle w:val="In-tableHeading"/>
            </w:pPr>
            <w:r w:rsidRPr="00754DEE">
              <w:t>N</w:t>
            </w:r>
          </w:p>
        </w:tc>
        <w:tc>
          <w:tcPr>
            <w:tcW w:w="1491" w:type="pct"/>
            <w:vAlign w:val="center"/>
          </w:tcPr>
          <w:p w14:paraId="71A26A01" w14:textId="77777777" w:rsidR="00797AFA" w:rsidRPr="00754DEE" w:rsidRDefault="00797AFA">
            <w:pPr>
              <w:pStyle w:val="In-tableHeading"/>
            </w:pPr>
            <w:r w:rsidRPr="00754DEE">
              <w:t>Design/ duration</w:t>
            </w:r>
          </w:p>
        </w:tc>
        <w:tc>
          <w:tcPr>
            <w:tcW w:w="352" w:type="pct"/>
            <w:vAlign w:val="center"/>
          </w:tcPr>
          <w:p w14:paraId="7EC9A856" w14:textId="77777777" w:rsidR="00797AFA" w:rsidRPr="00754DEE" w:rsidRDefault="00797AFA">
            <w:pPr>
              <w:pStyle w:val="In-tableHeading"/>
            </w:pPr>
            <w:r w:rsidRPr="00754DEE">
              <w:t>Risk of bias</w:t>
            </w:r>
          </w:p>
        </w:tc>
        <w:tc>
          <w:tcPr>
            <w:tcW w:w="1199" w:type="pct"/>
            <w:vAlign w:val="center"/>
          </w:tcPr>
          <w:p w14:paraId="194BF4BD" w14:textId="77777777" w:rsidR="00797AFA" w:rsidRPr="00754DEE" w:rsidRDefault="00797AFA">
            <w:pPr>
              <w:pStyle w:val="In-tableHeading"/>
            </w:pPr>
            <w:r w:rsidRPr="00754DEE">
              <w:t>Patient population</w:t>
            </w:r>
          </w:p>
        </w:tc>
        <w:tc>
          <w:tcPr>
            <w:tcW w:w="985" w:type="pct"/>
            <w:vAlign w:val="center"/>
          </w:tcPr>
          <w:p w14:paraId="11F8B621" w14:textId="77777777" w:rsidR="00797AFA" w:rsidRPr="00754DEE" w:rsidRDefault="00797AFA">
            <w:pPr>
              <w:pStyle w:val="In-tableHeading"/>
            </w:pPr>
            <w:r w:rsidRPr="00754DEE">
              <w:t>Outcome(s)</w:t>
            </w:r>
          </w:p>
        </w:tc>
      </w:tr>
      <w:tr w:rsidR="00797AFA" w:rsidRPr="00754DEE" w14:paraId="4B3AA62C" w14:textId="77777777" w:rsidTr="008A702E">
        <w:trPr>
          <w:cantSplit/>
        </w:trPr>
        <w:tc>
          <w:tcPr>
            <w:tcW w:w="634" w:type="pct"/>
            <w:vAlign w:val="center"/>
          </w:tcPr>
          <w:p w14:paraId="12CD27DD" w14:textId="77777777" w:rsidR="00797AFA" w:rsidRPr="00754DEE" w:rsidRDefault="00797AFA">
            <w:pPr>
              <w:pStyle w:val="TableText0"/>
            </w:pPr>
            <w:r w:rsidRPr="00754DEE">
              <w:t>BE HEARD I</w:t>
            </w:r>
          </w:p>
          <w:p w14:paraId="637F06B9" w14:textId="77777777" w:rsidR="00797AFA" w:rsidRPr="00754DEE" w:rsidRDefault="00797AFA">
            <w:pPr>
              <w:pStyle w:val="TableText0"/>
            </w:pPr>
            <w:r w:rsidRPr="00754DEE">
              <w:t>NCT04242446</w:t>
            </w:r>
          </w:p>
        </w:tc>
        <w:tc>
          <w:tcPr>
            <w:tcW w:w="339" w:type="pct"/>
            <w:vAlign w:val="center"/>
          </w:tcPr>
          <w:p w14:paraId="1B31E550" w14:textId="77777777" w:rsidR="00797AFA" w:rsidRPr="00754DEE" w:rsidRDefault="00797AFA">
            <w:pPr>
              <w:pStyle w:val="TableText0"/>
            </w:pPr>
            <w:r w:rsidRPr="00754DEE">
              <w:t>505</w:t>
            </w:r>
          </w:p>
        </w:tc>
        <w:tc>
          <w:tcPr>
            <w:tcW w:w="1491" w:type="pct"/>
            <w:vAlign w:val="center"/>
          </w:tcPr>
          <w:p w14:paraId="6436FC70" w14:textId="77777777" w:rsidR="00797AFA" w:rsidRPr="00754DEE" w:rsidRDefault="00797AFA">
            <w:pPr>
              <w:pStyle w:val="TableText0"/>
            </w:pPr>
            <w:r w:rsidRPr="00754DEE">
              <w:t>R, DB, MC; placebo-controlled period =</w:t>
            </w:r>
          </w:p>
          <w:p w14:paraId="2C7F2E61" w14:textId="77777777" w:rsidR="00797AFA" w:rsidRPr="00754DEE" w:rsidRDefault="00797AFA">
            <w:pPr>
              <w:pStyle w:val="TableText0"/>
            </w:pPr>
            <w:r w:rsidRPr="00754DEE">
              <w:t xml:space="preserve">16 weeks followed by 32 week OL; R 2:2:2:1 to BKZ 320mg q2wk for 48 weeks N = 160); BKZ 320mg q4wk for 48 weeks (not included in submission); BKZ 320mg q2wk for 16 weeks then 320mg q4 weeks for 32 weeks (N = 129); placebo for 16 weeks then 320mg q 2 weeks for 32 weeks (72).   </w:t>
            </w:r>
          </w:p>
        </w:tc>
        <w:tc>
          <w:tcPr>
            <w:tcW w:w="352" w:type="pct"/>
            <w:vAlign w:val="center"/>
          </w:tcPr>
          <w:p w14:paraId="262302FA" w14:textId="77777777" w:rsidR="00797AFA" w:rsidRPr="00754DEE" w:rsidRDefault="00797AFA">
            <w:pPr>
              <w:pStyle w:val="TableText0"/>
            </w:pPr>
            <w:r w:rsidRPr="00754DEE">
              <w:t>Low</w:t>
            </w:r>
          </w:p>
        </w:tc>
        <w:tc>
          <w:tcPr>
            <w:tcW w:w="1199" w:type="pct"/>
            <w:vAlign w:val="center"/>
          </w:tcPr>
          <w:p w14:paraId="2835EC17" w14:textId="77777777" w:rsidR="00797AFA" w:rsidRPr="00754DEE" w:rsidRDefault="00797AFA">
            <w:pPr>
              <w:pStyle w:val="TableText0"/>
            </w:pPr>
            <w:r w:rsidRPr="00754DEE">
              <w:rPr>
                <w:rFonts w:ascii="Symbol" w:eastAsia="Symbol" w:hAnsi="Symbol" w:cs="Symbol"/>
              </w:rPr>
              <w:t>³</w:t>
            </w:r>
            <w:r w:rsidRPr="00754DEE">
              <w:t xml:space="preserve">18 years; HS for </w:t>
            </w:r>
            <w:r w:rsidRPr="00754DEE">
              <w:rPr>
                <w:rFonts w:ascii="Symbol" w:eastAsia="Symbol" w:hAnsi="Symbol" w:cs="Symbol"/>
              </w:rPr>
              <w:t>³</w:t>
            </w:r>
            <w:r w:rsidRPr="00754DEE">
              <w:t xml:space="preserve">6 months with at least two areas affected and at least one Hurley II or III and </w:t>
            </w:r>
            <w:r w:rsidRPr="00754DEE">
              <w:rPr>
                <w:rFonts w:ascii="Symbol" w:eastAsia="Symbol" w:hAnsi="Symbol" w:cs="Symbol"/>
              </w:rPr>
              <w:t>³</w:t>
            </w:r>
            <w:r w:rsidRPr="00754DEE">
              <w:t xml:space="preserve">5 nodules + abscesses; inadequate response or intolerance to antibiotics or relapse when antibiotic ceased; draining tunnel count &lt;20 </w:t>
            </w:r>
          </w:p>
        </w:tc>
        <w:tc>
          <w:tcPr>
            <w:tcW w:w="985" w:type="pct"/>
            <w:vAlign w:val="center"/>
          </w:tcPr>
          <w:p w14:paraId="37AEFBD5" w14:textId="77777777" w:rsidR="00797AFA" w:rsidRPr="00754DEE" w:rsidRDefault="00797AFA">
            <w:pPr>
              <w:pStyle w:val="TableText0"/>
            </w:pPr>
            <w:r w:rsidRPr="00754DEE">
              <w:t xml:space="preserve">Primary: </w:t>
            </w:r>
            <w:proofErr w:type="spellStart"/>
            <w:r w:rsidRPr="00754DEE">
              <w:t>HiSCR</w:t>
            </w:r>
            <w:proofErr w:type="spellEnd"/>
            <w:r w:rsidRPr="00754DEE">
              <w:t xml:space="preserve"> with 50% reduction at 16wk;</w:t>
            </w:r>
          </w:p>
          <w:p w14:paraId="4EFFED2D" w14:textId="77777777" w:rsidR="00797AFA" w:rsidRPr="00754DEE" w:rsidRDefault="00797AFA">
            <w:pPr>
              <w:pStyle w:val="TableText0"/>
            </w:pPr>
            <w:r w:rsidRPr="00754DEE">
              <w:t xml:space="preserve">Secondary: </w:t>
            </w:r>
            <w:proofErr w:type="spellStart"/>
            <w:r w:rsidRPr="00754DEE">
              <w:t>HiSCR</w:t>
            </w:r>
            <w:proofErr w:type="spellEnd"/>
            <w:r w:rsidRPr="00754DEE">
              <w:t xml:space="preserve"> with 75% reduction at 16wk</w:t>
            </w:r>
          </w:p>
        </w:tc>
      </w:tr>
      <w:tr w:rsidR="00797AFA" w:rsidRPr="00754DEE" w14:paraId="6FEA6B9E" w14:textId="77777777" w:rsidTr="008A702E">
        <w:trPr>
          <w:cantSplit/>
        </w:trPr>
        <w:tc>
          <w:tcPr>
            <w:tcW w:w="634" w:type="pct"/>
            <w:vAlign w:val="center"/>
          </w:tcPr>
          <w:p w14:paraId="2405C31F" w14:textId="77777777" w:rsidR="00797AFA" w:rsidRPr="00754DEE" w:rsidRDefault="00797AFA">
            <w:pPr>
              <w:pStyle w:val="TableText0"/>
            </w:pPr>
            <w:r w:rsidRPr="00754DEE">
              <w:t>BE HEARD II</w:t>
            </w:r>
          </w:p>
          <w:p w14:paraId="0C1B4DA3" w14:textId="77777777" w:rsidR="00797AFA" w:rsidRPr="00754DEE" w:rsidRDefault="00797AFA">
            <w:pPr>
              <w:pStyle w:val="TableText0"/>
            </w:pPr>
            <w:r w:rsidRPr="00754DEE">
              <w:t>NCT04242498</w:t>
            </w:r>
          </w:p>
        </w:tc>
        <w:tc>
          <w:tcPr>
            <w:tcW w:w="339" w:type="pct"/>
            <w:vAlign w:val="center"/>
          </w:tcPr>
          <w:p w14:paraId="0E7E23BC" w14:textId="77777777" w:rsidR="00797AFA" w:rsidRPr="00754DEE" w:rsidRDefault="00797AFA">
            <w:pPr>
              <w:pStyle w:val="TableText0"/>
            </w:pPr>
            <w:r w:rsidRPr="00754DEE">
              <w:t>509</w:t>
            </w:r>
          </w:p>
        </w:tc>
        <w:tc>
          <w:tcPr>
            <w:tcW w:w="1491" w:type="pct"/>
            <w:vAlign w:val="center"/>
          </w:tcPr>
          <w:p w14:paraId="182D9BA5" w14:textId="77777777" w:rsidR="00797AFA" w:rsidRPr="00754DEE" w:rsidRDefault="00797AFA">
            <w:pPr>
              <w:pStyle w:val="TableText0"/>
            </w:pPr>
            <w:r w:rsidRPr="00754DEE">
              <w:t>R, DB, MC; placebo-controlled period =</w:t>
            </w:r>
          </w:p>
          <w:p w14:paraId="28B8D332" w14:textId="77777777" w:rsidR="00797AFA" w:rsidRPr="00754DEE" w:rsidRDefault="00797AFA">
            <w:pPr>
              <w:pStyle w:val="TableText0"/>
            </w:pPr>
            <w:r w:rsidRPr="00754DEE">
              <w:t xml:space="preserve">16 weeks followed by 32 week OL; R 2:2:2:1 to BKZ 320mg q2wk for 48 weeks (N = 160); BKZ 320mg q4wk for 48 weeks (not included in submission); BKZ 320mg q2wk for 16 weeks then 320mg q4 weeks for 32 weeks (N = 131); placebo for 16 weeks then 320mg q 2 weeks for 32 weeks (N = 74).   </w:t>
            </w:r>
          </w:p>
        </w:tc>
        <w:tc>
          <w:tcPr>
            <w:tcW w:w="352" w:type="pct"/>
            <w:vAlign w:val="center"/>
          </w:tcPr>
          <w:p w14:paraId="558AFF3A" w14:textId="77777777" w:rsidR="00797AFA" w:rsidRPr="00754DEE" w:rsidRDefault="00797AFA">
            <w:pPr>
              <w:pStyle w:val="TableText0"/>
            </w:pPr>
            <w:r w:rsidRPr="00754DEE">
              <w:t>Low</w:t>
            </w:r>
          </w:p>
        </w:tc>
        <w:tc>
          <w:tcPr>
            <w:tcW w:w="1199" w:type="pct"/>
            <w:vAlign w:val="center"/>
          </w:tcPr>
          <w:p w14:paraId="506E3AA5" w14:textId="77777777" w:rsidR="00797AFA" w:rsidRPr="00754DEE" w:rsidRDefault="00797AFA">
            <w:pPr>
              <w:pStyle w:val="TableText0"/>
            </w:pPr>
            <w:r w:rsidRPr="00754DEE">
              <w:rPr>
                <w:rFonts w:ascii="Symbol" w:eastAsia="Symbol" w:hAnsi="Symbol" w:cs="Symbol"/>
              </w:rPr>
              <w:t>³</w:t>
            </w:r>
            <w:r w:rsidRPr="00754DEE">
              <w:t xml:space="preserve">18 years; HS for </w:t>
            </w:r>
            <w:r w:rsidRPr="00754DEE">
              <w:rPr>
                <w:rFonts w:ascii="Symbol" w:eastAsia="Symbol" w:hAnsi="Symbol" w:cs="Symbol"/>
              </w:rPr>
              <w:t>³</w:t>
            </w:r>
            <w:r w:rsidRPr="00754DEE">
              <w:t xml:space="preserve">6 months with at least two areas affected and at least one Hurley II or III and </w:t>
            </w:r>
            <w:r w:rsidRPr="00754DEE">
              <w:rPr>
                <w:rFonts w:ascii="Symbol" w:eastAsia="Symbol" w:hAnsi="Symbol" w:cs="Symbol"/>
              </w:rPr>
              <w:t>³</w:t>
            </w:r>
            <w:r w:rsidRPr="00754DEE">
              <w:t>5 nodules + abscesses; inadequate response or intolerance to antibiotics or relapse when antibiotic ceased; draining tunnel count &lt;20</w:t>
            </w:r>
          </w:p>
        </w:tc>
        <w:tc>
          <w:tcPr>
            <w:tcW w:w="985" w:type="pct"/>
            <w:vAlign w:val="center"/>
          </w:tcPr>
          <w:p w14:paraId="2FCCBF55" w14:textId="77777777" w:rsidR="00797AFA" w:rsidRPr="00754DEE" w:rsidRDefault="00797AFA">
            <w:pPr>
              <w:pStyle w:val="TableText0"/>
            </w:pPr>
            <w:r w:rsidRPr="00754DEE">
              <w:t xml:space="preserve">Primary: </w:t>
            </w:r>
            <w:proofErr w:type="spellStart"/>
            <w:r w:rsidRPr="00754DEE">
              <w:t>HiSCR</w:t>
            </w:r>
            <w:proofErr w:type="spellEnd"/>
            <w:r w:rsidRPr="00754DEE">
              <w:t xml:space="preserve"> with 50% reduction at 16wk;</w:t>
            </w:r>
          </w:p>
          <w:p w14:paraId="5CD4EF3A" w14:textId="77777777" w:rsidR="00797AFA" w:rsidRPr="00754DEE" w:rsidRDefault="00797AFA">
            <w:pPr>
              <w:pStyle w:val="TableText0"/>
            </w:pPr>
            <w:r w:rsidRPr="00754DEE">
              <w:t xml:space="preserve">Secondary: </w:t>
            </w:r>
            <w:proofErr w:type="spellStart"/>
            <w:r w:rsidRPr="00754DEE">
              <w:t>HiSCR</w:t>
            </w:r>
            <w:proofErr w:type="spellEnd"/>
            <w:r w:rsidRPr="00754DEE">
              <w:t xml:space="preserve"> with 75% reduction at 16wk</w:t>
            </w:r>
          </w:p>
        </w:tc>
      </w:tr>
      <w:tr w:rsidR="00797AFA" w:rsidRPr="00754DEE" w14:paraId="142002D9" w14:textId="77777777" w:rsidTr="008A702E">
        <w:trPr>
          <w:cantSplit/>
        </w:trPr>
        <w:tc>
          <w:tcPr>
            <w:tcW w:w="634" w:type="pct"/>
            <w:vAlign w:val="center"/>
          </w:tcPr>
          <w:p w14:paraId="0F2F8DA7" w14:textId="77777777" w:rsidR="00797AFA" w:rsidRPr="00754DEE" w:rsidRDefault="00797AFA">
            <w:pPr>
              <w:pStyle w:val="TableText0"/>
            </w:pPr>
            <w:r w:rsidRPr="00754DEE">
              <w:t>HS0001</w:t>
            </w:r>
          </w:p>
          <w:p w14:paraId="2E59FFE2" w14:textId="77777777" w:rsidR="00797AFA" w:rsidRPr="00754DEE" w:rsidRDefault="00797AFA">
            <w:pPr>
              <w:pStyle w:val="TableText0"/>
              <w:rPr>
                <w:rStyle w:val="Small"/>
                <w:rFonts w:ascii="Arial Narrow" w:hAnsi="Arial Narrow"/>
              </w:rPr>
            </w:pPr>
            <w:r w:rsidRPr="00754DEE">
              <w:rPr>
                <w:rStyle w:val="Small"/>
                <w:rFonts w:ascii="Arial Narrow" w:hAnsi="Arial Narrow"/>
              </w:rPr>
              <w:t>NCT03248531</w:t>
            </w:r>
          </w:p>
          <w:p w14:paraId="4DBA4E21" w14:textId="77777777" w:rsidR="00797AFA" w:rsidRPr="00754DEE" w:rsidRDefault="00797AFA">
            <w:pPr>
              <w:pStyle w:val="TableText0"/>
            </w:pPr>
          </w:p>
        </w:tc>
        <w:tc>
          <w:tcPr>
            <w:tcW w:w="339" w:type="pct"/>
            <w:vAlign w:val="center"/>
          </w:tcPr>
          <w:p w14:paraId="7F541755" w14:textId="77777777" w:rsidR="00797AFA" w:rsidRPr="00754DEE" w:rsidRDefault="00797AFA">
            <w:pPr>
              <w:pStyle w:val="TableText0"/>
            </w:pPr>
            <w:r w:rsidRPr="00754DEE">
              <w:t>90</w:t>
            </w:r>
          </w:p>
        </w:tc>
        <w:tc>
          <w:tcPr>
            <w:tcW w:w="1491" w:type="pct"/>
            <w:vAlign w:val="center"/>
          </w:tcPr>
          <w:p w14:paraId="581025CB" w14:textId="77777777" w:rsidR="00797AFA" w:rsidRPr="00754DEE" w:rsidRDefault="00797AFA">
            <w:pPr>
              <w:pStyle w:val="TableText0"/>
            </w:pPr>
            <w:r w:rsidRPr="00754DEE">
              <w:t>R, DB,</w:t>
            </w:r>
          </w:p>
          <w:p w14:paraId="7E86B7C8" w14:textId="77777777" w:rsidR="00797AFA" w:rsidRPr="00754DEE" w:rsidRDefault="00797AFA">
            <w:pPr>
              <w:pStyle w:val="TableText0"/>
            </w:pPr>
            <w:r w:rsidRPr="00754DEE">
              <w:t>12 weeks; R 2:1:1 BKZ 320mg q2wk (N = 46), ADA 40mg weekly (N = 22) placebo (N = 22).</w:t>
            </w:r>
          </w:p>
        </w:tc>
        <w:tc>
          <w:tcPr>
            <w:tcW w:w="352" w:type="pct"/>
            <w:vAlign w:val="center"/>
          </w:tcPr>
          <w:p w14:paraId="11456819" w14:textId="77777777" w:rsidR="00797AFA" w:rsidRPr="00754DEE" w:rsidRDefault="00797AFA">
            <w:pPr>
              <w:pStyle w:val="TableText0"/>
            </w:pPr>
            <w:r w:rsidRPr="00754DEE">
              <w:t>Low</w:t>
            </w:r>
          </w:p>
        </w:tc>
        <w:tc>
          <w:tcPr>
            <w:tcW w:w="1199" w:type="pct"/>
            <w:vAlign w:val="center"/>
          </w:tcPr>
          <w:p w14:paraId="2EB7450D" w14:textId="77777777" w:rsidR="00797AFA" w:rsidRPr="00754DEE" w:rsidRDefault="00797AFA">
            <w:pPr>
              <w:pStyle w:val="TableText0"/>
            </w:pPr>
            <w:r w:rsidRPr="00754DEE">
              <w:t xml:space="preserve">18-70 years, HS for </w:t>
            </w:r>
            <w:r w:rsidRPr="00754DEE">
              <w:rPr>
                <w:rFonts w:ascii="Symbol" w:eastAsia="Symbol" w:hAnsi="Symbol" w:cs="Symbol"/>
              </w:rPr>
              <w:t>³</w:t>
            </w:r>
            <w:r w:rsidRPr="00754DEE">
              <w:t>1 year with at least two areas affected and at least one Hurley II or III and nodules + abscesses &gt;3; inadequate response or intolerance to antibiotics</w:t>
            </w:r>
          </w:p>
        </w:tc>
        <w:tc>
          <w:tcPr>
            <w:tcW w:w="985" w:type="pct"/>
            <w:vAlign w:val="center"/>
          </w:tcPr>
          <w:p w14:paraId="47E0BF84" w14:textId="423D5D1D" w:rsidR="00797AFA" w:rsidRPr="00754DEE" w:rsidRDefault="00797AFA">
            <w:pPr>
              <w:pStyle w:val="TableText0"/>
            </w:pPr>
            <w:r w:rsidRPr="00754DEE">
              <w:t xml:space="preserve">Primary: </w:t>
            </w:r>
            <w:proofErr w:type="spellStart"/>
            <w:r w:rsidRPr="00754DEE">
              <w:t>HiSCR</w:t>
            </w:r>
            <w:proofErr w:type="spellEnd"/>
            <w:r w:rsidRPr="00754DEE">
              <w:t xml:space="preserve"> with 50% reduction at 12wk. </w:t>
            </w:r>
          </w:p>
        </w:tc>
      </w:tr>
      <w:tr w:rsidR="00797AFA" w:rsidRPr="00754DEE" w14:paraId="4E85D954" w14:textId="77777777" w:rsidTr="008A702E">
        <w:trPr>
          <w:cantSplit/>
        </w:trPr>
        <w:tc>
          <w:tcPr>
            <w:tcW w:w="634" w:type="pct"/>
            <w:vAlign w:val="center"/>
          </w:tcPr>
          <w:p w14:paraId="2B19F4C8" w14:textId="77777777" w:rsidR="00797AFA" w:rsidRPr="00754DEE" w:rsidRDefault="00797AFA">
            <w:pPr>
              <w:pStyle w:val="TableText0"/>
            </w:pPr>
            <w:r w:rsidRPr="00754DEE">
              <w:t>SUNSHINE</w:t>
            </w:r>
          </w:p>
          <w:p w14:paraId="1DD06E1B" w14:textId="77777777" w:rsidR="00797AFA" w:rsidRPr="00754DEE" w:rsidRDefault="00797AFA">
            <w:pPr>
              <w:pStyle w:val="TableText0"/>
              <w:rPr>
                <w:rStyle w:val="Small"/>
                <w:rFonts w:ascii="Arial Narrow" w:hAnsi="Arial Narrow"/>
              </w:rPr>
            </w:pPr>
            <w:r w:rsidRPr="00754DEE">
              <w:rPr>
                <w:rStyle w:val="Small"/>
                <w:rFonts w:ascii="Arial Narrow" w:hAnsi="Arial Narrow"/>
              </w:rPr>
              <w:t>NCT03713619</w:t>
            </w:r>
          </w:p>
          <w:p w14:paraId="601CC64B" w14:textId="77777777" w:rsidR="00797AFA" w:rsidRPr="00754DEE" w:rsidRDefault="00797AFA">
            <w:pPr>
              <w:pStyle w:val="TableText0"/>
              <w:rPr>
                <w:rFonts w:asciiTheme="minorHAnsi" w:hAnsiTheme="minorHAnsi" w:cstheme="minorHAnsi"/>
              </w:rPr>
            </w:pPr>
          </w:p>
        </w:tc>
        <w:tc>
          <w:tcPr>
            <w:tcW w:w="339" w:type="pct"/>
            <w:vAlign w:val="center"/>
          </w:tcPr>
          <w:p w14:paraId="4AF005D6" w14:textId="77777777" w:rsidR="00797AFA" w:rsidRPr="00754DEE" w:rsidRDefault="00797AFA">
            <w:pPr>
              <w:pStyle w:val="TableText0"/>
            </w:pPr>
            <w:r w:rsidRPr="00754DEE">
              <w:t>541</w:t>
            </w:r>
          </w:p>
        </w:tc>
        <w:tc>
          <w:tcPr>
            <w:tcW w:w="1491" w:type="pct"/>
            <w:vAlign w:val="center"/>
          </w:tcPr>
          <w:p w14:paraId="751CAD5E" w14:textId="77777777" w:rsidR="00797AFA" w:rsidRPr="00754DEE" w:rsidRDefault="00797AFA">
            <w:pPr>
              <w:pStyle w:val="TableText0"/>
            </w:pPr>
            <w:r w:rsidRPr="00754DEE">
              <w:t xml:space="preserve">R, DB, MC, placebo-controlled period 16 weeks with primary endpoint analysis then 36 weeks (?DB); R 1:1:1 SEC 300mg q2wk (N = 181), SEC 300mg q4wk (N = 180), placebo (N = 180); after 16 weeks placebo group re-randomised to SEC 300mg q2wk or SEC 300mg q4wk (not included in submission).  </w:t>
            </w:r>
          </w:p>
        </w:tc>
        <w:tc>
          <w:tcPr>
            <w:tcW w:w="352" w:type="pct"/>
            <w:vAlign w:val="center"/>
          </w:tcPr>
          <w:p w14:paraId="6833EC0D" w14:textId="77777777" w:rsidR="00797AFA" w:rsidRPr="00754DEE" w:rsidRDefault="00797AFA">
            <w:pPr>
              <w:pStyle w:val="TableText0"/>
            </w:pPr>
            <w:r w:rsidRPr="00754DEE">
              <w:t>Unclear</w:t>
            </w:r>
          </w:p>
        </w:tc>
        <w:tc>
          <w:tcPr>
            <w:tcW w:w="1199" w:type="pct"/>
            <w:vAlign w:val="center"/>
          </w:tcPr>
          <w:p w14:paraId="2AF3A722" w14:textId="77777777" w:rsidR="00797AFA" w:rsidRPr="00754DEE" w:rsidRDefault="00797AFA">
            <w:pPr>
              <w:pStyle w:val="TableText0"/>
            </w:pPr>
            <w:r w:rsidRPr="00754DEE">
              <w:rPr>
                <w:rFonts w:ascii="Symbol" w:eastAsia="Symbol" w:hAnsi="Symbol" w:cs="Symbol"/>
              </w:rPr>
              <w:t>³</w:t>
            </w:r>
            <w:r w:rsidRPr="00754DEE">
              <w:t xml:space="preserve">18 years, HS for </w:t>
            </w:r>
            <w:r w:rsidRPr="00754DEE">
              <w:rPr>
                <w:rFonts w:ascii="Symbol" w:eastAsia="Symbol" w:hAnsi="Symbol" w:cs="Symbol"/>
              </w:rPr>
              <w:t>³</w:t>
            </w:r>
            <w:r w:rsidRPr="00754DEE">
              <w:t xml:space="preserve">1 year with at least two areas affected and at least one Hurley II or III and nodules + abscesses </w:t>
            </w:r>
            <w:r w:rsidRPr="00754DEE">
              <w:rPr>
                <w:rFonts w:ascii="Symbol" w:eastAsia="Symbol" w:hAnsi="Symbol" w:cs="Symbol"/>
              </w:rPr>
              <w:t>³</w:t>
            </w:r>
            <w:r w:rsidRPr="00754DEE">
              <w:t>3; draining tunnel count &lt;20</w:t>
            </w:r>
          </w:p>
        </w:tc>
        <w:tc>
          <w:tcPr>
            <w:tcW w:w="985" w:type="pct"/>
            <w:vAlign w:val="center"/>
          </w:tcPr>
          <w:p w14:paraId="605F9938" w14:textId="1419F0F3" w:rsidR="00797AFA" w:rsidRPr="00754DEE" w:rsidRDefault="00797AFA">
            <w:pPr>
              <w:pStyle w:val="TableText0"/>
            </w:pPr>
            <w:r w:rsidRPr="00754DEE">
              <w:t xml:space="preserve">Primary: </w:t>
            </w:r>
            <w:proofErr w:type="spellStart"/>
            <w:r w:rsidRPr="00754DEE">
              <w:t>HiSCR</w:t>
            </w:r>
            <w:proofErr w:type="spellEnd"/>
            <w:r w:rsidRPr="00754DEE">
              <w:t xml:space="preserve"> with 50% reduction at 16wk</w:t>
            </w:r>
          </w:p>
        </w:tc>
      </w:tr>
      <w:tr w:rsidR="00797AFA" w:rsidRPr="00754DEE" w14:paraId="7116BAD8" w14:textId="77777777" w:rsidTr="008A702E">
        <w:trPr>
          <w:cantSplit/>
        </w:trPr>
        <w:tc>
          <w:tcPr>
            <w:tcW w:w="634" w:type="pct"/>
            <w:vAlign w:val="center"/>
          </w:tcPr>
          <w:p w14:paraId="0ED96E66" w14:textId="77777777" w:rsidR="00797AFA" w:rsidRPr="00754DEE" w:rsidRDefault="00797AFA" w:rsidP="00797AFA">
            <w:pPr>
              <w:pStyle w:val="TableText0"/>
            </w:pPr>
            <w:r w:rsidRPr="00754DEE">
              <w:t>SUNRISE</w:t>
            </w:r>
          </w:p>
          <w:p w14:paraId="466CF95A" w14:textId="77777777" w:rsidR="00797AFA" w:rsidRPr="00754DEE" w:rsidRDefault="00797AFA" w:rsidP="00797AFA">
            <w:pPr>
              <w:pStyle w:val="TableText0"/>
            </w:pPr>
            <w:r w:rsidRPr="00754DEE">
              <w:t>NCT03713632</w:t>
            </w:r>
          </w:p>
          <w:p w14:paraId="34DC4430" w14:textId="77777777" w:rsidR="00797AFA" w:rsidRPr="00754DEE" w:rsidRDefault="00797AFA" w:rsidP="00797AFA">
            <w:pPr>
              <w:pStyle w:val="TableText0"/>
            </w:pPr>
          </w:p>
        </w:tc>
        <w:tc>
          <w:tcPr>
            <w:tcW w:w="339" w:type="pct"/>
            <w:vAlign w:val="center"/>
          </w:tcPr>
          <w:p w14:paraId="0130A4FB" w14:textId="5DA6C850" w:rsidR="00797AFA" w:rsidRPr="00754DEE" w:rsidRDefault="00797AFA" w:rsidP="00797AFA">
            <w:pPr>
              <w:pStyle w:val="TableText0"/>
            </w:pPr>
            <w:r w:rsidRPr="00754DEE">
              <w:t>543</w:t>
            </w:r>
          </w:p>
        </w:tc>
        <w:tc>
          <w:tcPr>
            <w:tcW w:w="1491" w:type="pct"/>
            <w:vAlign w:val="center"/>
          </w:tcPr>
          <w:p w14:paraId="4235E5DC" w14:textId="625F7E00" w:rsidR="00797AFA" w:rsidRPr="00754DEE" w:rsidRDefault="00797AFA" w:rsidP="00797AFA">
            <w:pPr>
              <w:pStyle w:val="TableText0"/>
            </w:pPr>
            <w:r w:rsidRPr="00754DEE">
              <w:t xml:space="preserve">R, DB, MC, placebo-controlled period 16 weeks with primary endpoint analysis then 36 weeks (?DB); R 1:1:1 SEC 300mg q2wk (N = 180), SEC 300mg q4wk (N = 180), placebo (N = 183); after 16 weeks placebo group re-randomised to SEC 300mg q2wk or SEC 300mg q4wk (not included in submission).  </w:t>
            </w:r>
          </w:p>
        </w:tc>
        <w:tc>
          <w:tcPr>
            <w:tcW w:w="352" w:type="pct"/>
            <w:vAlign w:val="center"/>
          </w:tcPr>
          <w:p w14:paraId="28BFF700" w14:textId="0471B725" w:rsidR="00797AFA" w:rsidRPr="00754DEE" w:rsidRDefault="00797AFA" w:rsidP="00797AFA">
            <w:pPr>
              <w:pStyle w:val="TableText0"/>
            </w:pPr>
            <w:r w:rsidRPr="00754DEE">
              <w:t>Unclear</w:t>
            </w:r>
          </w:p>
        </w:tc>
        <w:tc>
          <w:tcPr>
            <w:tcW w:w="1199" w:type="pct"/>
            <w:vAlign w:val="center"/>
          </w:tcPr>
          <w:p w14:paraId="67738447" w14:textId="198BC48F" w:rsidR="00797AFA" w:rsidRPr="00754DEE" w:rsidRDefault="00797AFA" w:rsidP="00797AFA">
            <w:pPr>
              <w:pStyle w:val="TableText0"/>
              <w:rPr>
                <w:rFonts w:ascii="Symbol" w:eastAsia="Symbol" w:hAnsi="Symbol" w:cs="Symbol"/>
              </w:rPr>
            </w:pPr>
            <w:r w:rsidRPr="00754DEE">
              <w:rPr>
                <w:rFonts w:ascii="Symbol" w:eastAsia="Symbol" w:hAnsi="Symbol" w:cs="Symbol"/>
              </w:rPr>
              <w:t>³</w:t>
            </w:r>
            <w:r w:rsidRPr="00754DEE">
              <w:t xml:space="preserve">18 years, HS for </w:t>
            </w:r>
            <w:r w:rsidRPr="00754DEE">
              <w:rPr>
                <w:rFonts w:ascii="Symbol" w:eastAsia="Symbol" w:hAnsi="Symbol" w:cs="Symbol"/>
              </w:rPr>
              <w:t>³</w:t>
            </w:r>
            <w:r w:rsidRPr="00754DEE">
              <w:t xml:space="preserve">1 year with at least two areas affected and at least one Hurley II or III and nodules + abscesses </w:t>
            </w:r>
            <w:r w:rsidRPr="00754DEE">
              <w:rPr>
                <w:rFonts w:ascii="Symbol" w:eastAsia="Symbol" w:hAnsi="Symbol" w:cs="Symbol"/>
              </w:rPr>
              <w:t>³</w:t>
            </w:r>
            <w:r w:rsidRPr="00754DEE">
              <w:t>3; draining tunnel count &lt;20</w:t>
            </w:r>
          </w:p>
        </w:tc>
        <w:tc>
          <w:tcPr>
            <w:tcW w:w="985" w:type="pct"/>
            <w:vAlign w:val="center"/>
          </w:tcPr>
          <w:p w14:paraId="55A68A5B" w14:textId="57A5F0F6" w:rsidR="00797AFA" w:rsidRPr="00754DEE" w:rsidRDefault="00797AFA" w:rsidP="00797AFA">
            <w:pPr>
              <w:pStyle w:val="TableText0"/>
            </w:pPr>
            <w:r w:rsidRPr="00754DEE">
              <w:t xml:space="preserve">Primary: </w:t>
            </w:r>
            <w:proofErr w:type="spellStart"/>
            <w:r w:rsidRPr="00754DEE">
              <w:t>HiSCR</w:t>
            </w:r>
            <w:proofErr w:type="spellEnd"/>
            <w:r w:rsidRPr="00754DEE">
              <w:t xml:space="preserve"> with 50% </w:t>
            </w:r>
            <w:r w:rsidR="00513C80" w:rsidRPr="00754DEE">
              <w:t>reduction at</w:t>
            </w:r>
            <w:r w:rsidRPr="00754DEE">
              <w:t xml:space="preserve"> 16wk</w:t>
            </w:r>
          </w:p>
        </w:tc>
      </w:tr>
    </w:tbl>
    <w:p w14:paraId="32EA4EC5" w14:textId="77777777" w:rsidR="00797AFA" w:rsidRPr="000F3998" w:rsidRDefault="00797AFA" w:rsidP="000D3212">
      <w:pPr>
        <w:rPr>
          <w:rStyle w:val="CommentReference"/>
          <w:b w:val="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44"/>
        <w:gridCol w:w="612"/>
        <w:gridCol w:w="2688"/>
        <w:gridCol w:w="635"/>
        <w:gridCol w:w="2162"/>
        <w:gridCol w:w="1776"/>
      </w:tblGrid>
      <w:tr w:rsidR="00B66F7A" w:rsidRPr="0098262F" w14:paraId="53DD7CC6" w14:textId="77777777" w:rsidTr="008A702E">
        <w:trPr>
          <w:cantSplit/>
          <w:tblHeader/>
        </w:trPr>
        <w:tc>
          <w:tcPr>
            <w:tcW w:w="634" w:type="pct"/>
            <w:vAlign w:val="center"/>
          </w:tcPr>
          <w:p w14:paraId="794116BC" w14:textId="77777777" w:rsidR="00B66F7A" w:rsidRPr="0098262F" w:rsidRDefault="00B66F7A" w:rsidP="00B66F7A">
            <w:pPr>
              <w:pStyle w:val="In-tableHeading"/>
            </w:pPr>
            <w:r w:rsidRPr="0098262F">
              <w:lastRenderedPageBreak/>
              <w:t>Trial</w:t>
            </w:r>
          </w:p>
        </w:tc>
        <w:tc>
          <w:tcPr>
            <w:tcW w:w="339" w:type="pct"/>
            <w:vAlign w:val="center"/>
          </w:tcPr>
          <w:p w14:paraId="51122FE5" w14:textId="77777777" w:rsidR="00B66F7A" w:rsidRPr="0098262F" w:rsidRDefault="00B66F7A" w:rsidP="00B66F7A">
            <w:pPr>
              <w:pStyle w:val="In-tableHeading"/>
            </w:pPr>
            <w:r w:rsidRPr="0098262F">
              <w:t>N</w:t>
            </w:r>
          </w:p>
        </w:tc>
        <w:tc>
          <w:tcPr>
            <w:tcW w:w="1490" w:type="pct"/>
            <w:vAlign w:val="center"/>
          </w:tcPr>
          <w:p w14:paraId="41C438EF" w14:textId="77777777" w:rsidR="00B66F7A" w:rsidRPr="0098262F" w:rsidRDefault="00B66F7A" w:rsidP="00B66F7A">
            <w:pPr>
              <w:pStyle w:val="In-tableHeading"/>
            </w:pPr>
            <w:r w:rsidRPr="0098262F">
              <w:t>Design/ duration</w:t>
            </w:r>
          </w:p>
        </w:tc>
        <w:tc>
          <w:tcPr>
            <w:tcW w:w="352" w:type="pct"/>
            <w:vAlign w:val="center"/>
          </w:tcPr>
          <w:p w14:paraId="1FC91360" w14:textId="77777777" w:rsidR="00B66F7A" w:rsidRPr="0098262F" w:rsidRDefault="00B66F7A" w:rsidP="00B66F7A">
            <w:pPr>
              <w:pStyle w:val="In-tableHeading"/>
            </w:pPr>
            <w:r w:rsidRPr="0098262F">
              <w:t>Risk of bias</w:t>
            </w:r>
          </w:p>
        </w:tc>
        <w:tc>
          <w:tcPr>
            <w:tcW w:w="1199" w:type="pct"/>
            <w:vAlign w:val="center"/>
          </w:tcPr>
          <w:p w14:paraId="7FF90896" w14:textId="77777777" w:rsidR="00B66F7A" w:rsidRPr="0098262F" w:rsidRDefault="00B66F7A" w:rsidP="00B66F7A">
            <w:pPr>
              <w:pStyle w:val="In-tableHeading"/>
            </w:pPr>
            <w:r w:rsidRPr="0098262F">
              <w:t>Patient population</w:t>
            </w:r>
          </w:p>
        </w:tc>
        <w:tc>
          <w:tcPr>
            <w:tcW w:w="985" w:type="pct"/>
            <w:vAlign w:val="center"/>
          </w:tcPr>
          <w:p w14:paraId="0FCB63F9" w14:textId="77777777" w:rsidR="00B66F7A" w:rsidRPr="0098262F" w:rsidRDefault="00B66F7A" w:rsidP="00B66F7A">
            <w:pPr>
              <w:pStyle w:val="In-tableHeading"/>
            </w:pPr>
            <w:r w:rsidRPr="0098262F">
              <w:t>Outcome(s)</w:t>
            </w:r>
          </w:p>
        </w:tc>
      </w:tr>
      <w:tr w:rsidR="008A702E" w:rsidRPr="0098262F" w14:paraId="1089F7B7" w14:textId="77777777" w:rsidTr="008A702E">
        <w:trPr>
          <w:cantSplit/>
        </w:trPr>
        <w:tc>
          <w:tcPr>
            <w:tcW w:w="634" w:type="pct"/>
            <w:vAlign w:val="center"/>
          </w:tcPr>
          <w:p w14:paraId="07C8F524" w14:textId="77777777" w:rsidR="008A702E" w:rsidRPr="00B66F7A" w:rsidRDefault="008A702E" w:rsidP="008A702E">
            <w:pPr>
              <w:pStyle w:val="TableText0"/>
            </w:pPr>
            <w:r w:rsidRPr="00B66F7A">
              <w:t>PIONEER I</w:t>
            </w:r>
          </w:p>
          <w:p w14:paraId="43712984" w14:textId="77777777" w:rsidR="008A702E" w:rsidRPr="00B66F7A" w:rsidRDefault="008A702E" w:rsidP="008A702E">
            <w:pPr>
              <w:pStyle w:val="TableText0"/>
              <w:rPr>
                <w:rStyle w:val="Small"/>
                <w:rFonts w:ascii="Arial Narrow" w:hAnsi="Arial Narrow"/>
              </w:rPr>
            </w:pPr>
            <w:r w:rsidRPr="00B66F7A">
              <w:rPr>
                <w:rStyle w:val="Small"/>
                <w:rFonts w:ascii="Arial Narrow" w:hAnsi="Arial Narrow"/>
              </w:rPr>
              <w:t>NCT01468207</w:t>
            </w:r>
          </w:p>
          <w:p w14:paraId="48282965" w14:textId="77777777" w:rsidR="008A702E" w:rsidRPr="00B66F7A" w:rsidRDefault="008A702E" w:rsidP="008A702E">
            <w:pPr>
              <w:pStyle w:val="TableText0"/>
            </w:pPr>
          </w:p>
        </w:tc>
        <w:tc>
          <w:tcPr>
            <w:tcW w:w="339" w:type="pct"/>
            <w:vAlign w:val="center"/>
          </w:tcPr>
          <w:p w14:paraId="47C8EF8B" w14:textId="675272B6" w:rsidR="008A702E" w:rsidRDefault="008A702E" w:rsidP="008A702E">
            <w:pPr>
              <w:pStyle w:val="TableText0"/>
            </w:pPr>
            <w:r>
              <w:t>307</w:t>
            </w:r>
          </w:p>
        </w:tc>
        <w:tc>
          <w:tcPr>
            <w:tcW w:w="1490" w:type="pct"/>
            <w:vAlign w:val="center"/>
          </w:tcPr>
          <w:p w14:paraId="029A77E6" w14:textId="61078E13" w:rsidR="008A702E" w:rsidRDefault="008A702E" w:rsidP="008A702E">
            <w:pPr>
              <w:pStyle w:val="TableText0"/>
            </w:pPr>
            <w:r>
              <w:t xml:space="preserve">R, DB, MC; period 1 (12 weeks) 1:1 adalimumab 40mg weekly (N = 153), placebo (n = 154); period 2 (24 weeks) placebo completers switched DB to adalimumab 40mg weekly, adalimumab completers re-randomised DB to adalimumab 40mg weekly, adalimumab 40mg q2wk, or placebo (not included in submission). </w:t>
            </w:r>
          </w:p>
        </w:tc>
        <w:tc>
          <w:tcPr>
            <w:tcW w:w="352" w:type="pct"/>
            <w:vAlign w:val="center"/>
          </w:tcPr>
          <w:p w14:paraId="7AF66235" w14:textId="79E2668F" w:rsidR="008A702E" w:rsidRPr="004A0905" w:rsidRDefault="008A702E" w:rsidP="008A702E">
            <w:pPr>
              <w:pStyle w:val="TableText0"/>
            </w:pPr>
            <w:r w:rsidRPr="004A0905">
              <w:t>High</w:t>
            </w:r>
          </w:p>
        </w:tc>
        <w:tc>
          <w:tcPr>
            <w:tcW w:w="1199" w:type="pct"/>
            <w:vAlign w:val="center"/>
          </w:tcPr>
          <w:p w14:paraId="5922792D" w14:textId="7D857F38" w:rsidR="008A702E" w:rsidRPr="2B21198B" w:rsidRDefault="008A702E" w:rsidP="008A702E">
            <w:pPr>
              <w:pStyle w:val="TableText0"/>
            </w:pPr>
            <w:r w:rsidRPr="2B21198B">
              <w:t xml:space="preserve">HS for </w:t>
            </w:r>
            <w:r w:rsidRPr="2B21198B">
              <w:rPr>
                <w:rFonts w:ascii="Symbol" w:eastAsia="Symbol" w:hAnsi="Symbol" w:cs="Symbol"/>
              </w:rPr>
              <w:t>³</w:t>
            </w:r>
            <w:r w:rsidRPr="2B21198B">
              <w:t xml:space="preserve">1 year with at least two areas affected and at least one Hurley II or III and nodules + abscesses </w:t>
            </w:r>
            <w:r w:rsidRPr="2B21198B">
              <w:rPr>
                <w:rFonts w:ascii="Symbol" w:eastAsia="Symbol" w:hAnsi="Symbol" w:cs="Symbol"/>
              </w:rPr>
              <w:t>³</w:t>
            </w:r>
            <w:r w:rsidRPr="2B21198B">
              <w:t>3; inadequate response to oral antibiotics and no previous anti-TNF.</w:t>
            </w:r>
          </w:p>
        </w:tc>
        <w:tc>
          <w:tcPr>
            <w:tcW w:w="985" w:type="pct"/>
            <w:vAlign w:val="center"/>
          </w:tcPr>
          <w:p w14:paraId="1A8F8FBD" w14:textId="4729FC46" w:rsidR="008A702E" w:rsidRPr="2B21198B" w:rsidRDefault="008A702E" w:rsidP="008A702E">
            <w:pPr>
              <w:pStyle w:val="TableText0"/>
            </w:pPr>
            <w:r w:rsidRPr="2B21198B">
              <w:t xml:space="preserve">Primary: </w:t>
            </w:r>
            <w:proofErr w:type="spellStart"/>
            <w:r w:rsidRPr="2B21198B">
              <w:t>HiSCR</w:t>
            </w:r>
            <w:proofErr w:type="spellEnd"/>
            <w:r w:rsidRPr="2B21198B">
              <w:t xml:space="preserve"> with 50% reduction at 16wk</w:t>
            </w:r>
          </w:p>
        </w:tc>
      </w:tr>
      <w:tr w:rsidR="008A702E" w:rsidRPr="0098262F" w14:paraId="009353F0" w14:textId="77777777" w:rsidTr="008A702E">
        <w:trPr>
          <w:cantSplit/>
        </w:trPr>
        <w:tc>
          <w:tcPr>
            <w:tcW w:w="634" w:type="pct"/>
            <w:vAlign w:val="center"/>
          </w:tcPr>
          <w:p w14:paraId="124578A7" w14:textId="77777777" w:rsidR="008A702E" w:rsidRPr="00B66F7A" w:rsidRDefault="008A702E" w:rsidP="008A702E">
            <w:pPr>
              <w:pStyle w:val="TableText0"/>
            </w:pPr>
            <w:r w:rsidRPr="00B66F7A">
              <w:t>PIONEER II</w:t>
            </w:r>
          </w:p>
          <w:p w14:paraId="28409E29" w14:textId="3EBF21FF" w:rsidR="008A702E" w:rsidRPr="00F81ECF" w:rsidRDefault="008A702E" w:rsidP="008A702E">
            <w:pPr>
              <w:pStyle w:val="TableText0"/>
              <w:rPr>
                <w:szCs w:val="18"/>
              </w:rPr>
            </w:pPr>
            <w:r w:rsidRPr="00B66F7A">
              <w:rPr>
                <w:rStyle w:val="Small"/>
                <w:rFonts w:ascii="Arial Narrow" w:hAnsi="Arial Narrow"/>
              </w:rPr>
              <w:t>NCT01468233</w:t>
            </w:r>
          </w:p>
        </w:tc>
        <w:tc>
          <w:tcPr>
            <w:tcW w:w="339" w:type="pct"/>
            <w:vAlign w:val="center"/>
          </w:tcPr>
          <w:p w14:paraId="520057B2" w14:textId="6996831A" w:rsidR="008A702E" w:rsidRPr="0098262F" w:rsidRDefault="008A702E" w:rsidP="008A702E">
            <w:pPr>
              <w:pStyle w:val="TableText0"/>
            </w:pPr>
            <w:r>
              <w:t>326</w:t>
            </w:r>
          </w:p>
        </w:tc>
        <w:tc>
          <w:tcPr>
            <w:tcW w:w="1490" w:type="pct"/>
            <w:vAlign w:val="center"/>
          </w:tcPr>
          <w:p w14:paraId="72312878" w14:textId="542FE9A3" w:rsidR="008A702E" w:rsidRPr="0098262F" w:rsidRDefault="008A702E" w:rsidP="008A702E">
            <w:pPr>
              <w:pStyle w:val="TableText0"/>
            </w:pPr>
            <w:r>
              <w:t xml:space="preserve">R, DB, MC; period 1 (12 weeks) 1:1 adalimumab 40mg weekly (N = 163), placebo (N = 163); period 2 (24 weeks) placebo completers continued DB on placebo, adalimumab completers re-randomised DB to adalimumab 40mg weekly; adalimumab 40mg q2wk, placebo (not included in submission). </w:t>
            </w:r>
          </w:p>
        </w:tc>
        <w:tc>
          <w:tcPr>
            <w:tcW w:w="352" w:type="pct"/>
            <w:vAlign w:val="center"/>
          </w:tcPr>
          <w:p w14:paraId="62EA7782" w14:textId="4E05664E" w:rsidR="008A702E" w:rsidRPr="004A0905" w:rsidRDefault="008A702E" w:rsidP="008A702E">
            <w:pPr>
              <w:pStyle w:val="TableText0"/>
            </w:pPr>
            <w:r w:rsidRPr="004A0905">
              <w:t>High</w:t>
            </w:r>
          </w:p>
        </w:tc>
        <w:tc>
          <w:tcPr>
            <w:tcW w:w="1199" w:type="pct"/>
            <w:vAlign w:val="center"/>
          </w:tcPr>
          <w:p w14:paraId="57F79010" w14:textId="7D73E122" w:rsidR="008A702E" w:rsidRPr="0098262F" w:rsidRDefault="008A702E" w:rsidP="008A702E">
            <w:pPr>
              <w:pStyle w:val="TableText0"/>
            </w:pPr>
            <w:r w:rsidRPr="2B21198B">
              <w:t xml:space="preserve">HS for </w:t>
            </w:r>
            <w:r w:rsidRPr="2B21198B">
              <w:rPr>
                <w:rFonts w:ascii="Symbol" w:eastAsia="Symbol" w:hAnsi="Symbol" w:cs="Symbol"/>
              </w:rPr>
              <w:t>³</w:t>
            </w:r>
            <w:r w:rsidRPr="2B21198B">
              <w:t xml:space="preserve">1 year with at least two areas affected and at least one Hurley II or III and nodules + abscesses </w:t>
            </w:r>
            <w:r w:rsidRPr="2B21198B">
              <w:rPr>
                <w:rFonts w:ascii="Symbol" w:eastAsia="Symbol" w:hAnsi="Symbol" w:cs="Symbol"/>
              </w:rPr>
              <w:t>³</w:t>
            </w:r>
            <w:r w:rsidRPr="2B21198B">
              <w:t>3; inadequate response to oral antibiotics and no previous anti-TNF.</w:t>
            </w:r>
          </w:p>
        </w:tc>
        <w:tc>
          <w:tcPr>
            <w:tcW w:w="985" w:type="pct"/>
            <w:vAlign w:val="center"/>
          </w:tcPr>
          <w:p w14:paraId="4F5EADD9" w14:textId="30BFE1FF" w:rsidR="008A702E" w:rsidRPr="0098262F" w:rsidRDefault="008A702E" w:rsidP="008A702E">
            <w:pPr>
              <w:pStyle w:val="TableText0"/>
            </w:pPr>
            <w:r w:rsidRPr="2B21198B">
              <w:t xml:space="preserve">Primary: </w:t>
            </w:r>
            <w:proofErr w:type="spellStart"/>
            <w:r w:rsidRPr="2B21198B">
              <w:t>HiSCR</w:t>
            </w:r>
            <w:proofErr w:type="spellEnd"/>
            <w:r w:rsidRPr="2B21198B">
              <w:t xml:space="preserve"> with 50% reduction at 16wk</w:t>
            </w:r>
          </w:p>
        </w:tc>
      </w:tr>
      <w:tr w:rsidR="008A702E" w:rsidRPr="0098262F" w14:paraId="6BB16954" w14:textId="77777777" w:rsidTr="008A702E">
        <w:trPr>
          <w:cantSplit/>
        </w:trPr>
        <w:tc>
          <w:tcPr>
            <w:tcW w:w="634" w:type="pct"/>
            <w:vAlign w:val="center"/>
          </w:tcPr>
          <w:p w14:paraId="33E7B4CF" w14:textId="77777777" w:rsidR="008A702E" w:rsidRPr="00B66F7A" w:rsidRDefault="008A702E" w:rsidP="008A702E">
            <w:pPr>
              <w:pStyle w:val="TableText0"/>
            </w:pPr>
            <w:r w:rsidRPr="00B66F7A">
              <w:t>M10-647</w:t>
            </w:r>
          </w:p>
          <w:p w14:paraId="587801CB" w14:textId="16F78A31" w:rsidR="008A702E" w:rsidRPr="00F81ECF" w:rsidRDefault="008A702E" w:rsidP="008A702E">
            <w:pPr>
              <w:pStyle w:val="TableText0"/>
              <w:rPr>
                <w:szCs w:val="18"/>
              </w:rPr>
            </w:pPr>
            <w:r w:rsidRPr="00B66F7A">
              <w:rPr>
                <w:rStyle w:val="Small"/>
                <w:rFonts w:ascii="Arial Narrow" w:hAnsi="Arial Narrow"/>
              </w:rPr>
              <w:t>NCT00918255</w:t>
            </w:r>
          </w:p>
        </w:tc>
        <w:tc>
          <w:tcPr>
            <w:tcW w:w="339" w:type="pct"/>
            <w:vAlign w:val="center"/>
          </w:tcPr>
          <w:p w14:paraId="0EE9B253" w14:textId="12247B85" w:rsidR="008A702E" w:rsidRPr="0098262F" w:rsidRDefault="008A702E" w:rsidP="008A702E">
            <w:pPr>
              <w:pStyle w:val="TableText0"/>
            </w:pPr>
            <w:r>
              <w:t>154</w:t>
            </w:r>
          </w:p>
        </w:tc>
        <w:tc>
          <w:tcPr>
            <w:tcW w:w="1490" w:type="pct"/>
            <w:vAlign w:val="center"/>
          </w:tcPr>
          <w:p w14:paraId="366ACB02" w14:textId="74C2F162" w:rsidR="008A702E" w:rsidRPr="0098262F" w:rsidRDefault="008A702E" w:rsidP="008A702E">
            <w:pPr>
              <w:pStyle w:val="TableText0"/>
            </w:pPr>
            <w:r w:rsidRPr="2B21198B">
              <w:t xml:space="preserve">R, DB, MC, placebo-controlled period 16 weeks, then 36 week OL; 1:1:1 ADA 40mg weekly (N = 51), ADA 40mg q2wk (N = 52), placebo (N = 51), after 16 weeks all patients continued on ADA 40 mg q2wk (not included in submission).  </w:t>
            </w:r>
          </w:p>
        </w:tc>
        <w:tc>
          <w:tcPr>
            <w:tcW w:w="352" w:type="pct"/>
            <w:vAlign w:val="center"/>
          </w:tcPr>
          <w:p w14:paraId="39FACFB0" w14:textId="3E29C31F" w:rsidR="008A702E" w:rsidRPr="004A0905" w:rsidRDefault="008A702E" w:rsidP="008A702E">
            <w:pPr>
              <w:pStyle w:val="TableText0"/>
            </w:pPr>
            <w:r w:rsidRPr="004A0905">
              <w:t>Low</w:t>
            </w:r>
          </w:p>
        </w:tc>
        <w:tc>
          <w:tcPr>
            <w:tcW w:w="1199" w:type="pct"/>
            <w:vAlign w:val="center"/>
          </w:tcPr>
          <w:p w14:paraId="65FE631C" w14:textId="73546AC6" w:rsidR="008A702E" w:rsidRPr="0098262F" w:rsidRDefault="008A702E" w:rsidP="008A702E">
            <w:pPr>
              <w:pStyle w:val="TableText0"/>
            </w:pPr>
            <w:r>
              <w:rPr>
                <w:rFonts w:ascii="Symbol" w:eastAsia="Symbol" w:hAnsi="Symbol" w:cs="Symbol"/>
              </w:rPr>
              <w:t>³</w:t>
            </w:r>
            <w:r>
              <w:t xml:space="preserve">18 years, moderate to severe HS (= HS-PGA score </w:t>
            </w:r>
            <w:r>
              <w:rPr>
                <w:rFonts w:ascii="Symbol" w:eastAsia="Symbol" w:hAnsi="Symbol" w:cs="Symbol"/>
              </w:rPr>
              <w:t>³</w:t>
            </w:r>
            <w:r>
              <w:t>3) in at least two areas and unresponsive or intolerant to oral antibiotics</w:t>
            </w:r>
          </w:p>
        </w:tc>
        <w:tc>
          <w:tcPr>
            <w:tcW w:w="985" w:type="pct"/>
            <w:vAlign w:val="center"/>
          </w:tcPr>
          <w:p w14:paraId="6B2D10A5" w14:textId="4C4DC1F0" w:rsidR="008A702E" w:rsidRPr="0098262F" w:rsidRDefault="008A702E" w:rsidP="008A702E">
            <w:pPr>
              <w:pStyle w:val="TableText0"/>
            </w:pPr>
            <w:r w:rsidRPr="2B21198B">
              <w:t>Primary: HS-PGA score 0,1, or 2 with at least 2-grade improvement at 16wk</w:t>
            </w:r>
          </w:p>
        </w:tc>
      </w:tr>
    </w:tbl>
    <w:p w14:paraId="560080D2" w14:textId="629A8363" w:rsidR="00045017" w:rsidRPr="0098262F" w:rsidRDefault="00045017" w:rsidP="00EC5836">
      <w:pPr>
        <w:pStyle w:val="FooterTableFigure"/>
      </w:pPr>
      <w:r w:rsidRPr="0098262F">
        <w:t>Source</w:t>
      </w:r>
      <w:r w:rsidR="00096D6B">
        <w:t>: Constructed during the evaluation f</w:t>
      </w:r>
      <w:r w:rsidR="002B46EA">
        <w:t>rom</w:t>
      </w:r>
      <w:r w:rsidR="00096D6B">
        <w:t xml:space="preserve"> CSRs and published reports. </w:t>
      </w:r>
    </w:p>
    <w:p w14:paraId="1095487C" w14:textId="2EF64FBD" w:rsidR="00620C25" w:rsidRPr="0098262F" w:rsidRDefault="2B09EB0D" w:rsidP="2B21198B">
      <w:pPr>
        <w:pStyle w:val="FooterTableFigure"/>
        <w:rPr>
          <w:sz w:val="20"/>
          <w:szCs w:val="20"/>
        </w:rPr>
      </w:pPr>
      <w:r w:rsidRPr="2B21198B">
        <w:t xml:space="preserve">A = abscesses; </w:t>
      </w:r>
      <w:r w:rsidR="5F3585E8" w:rsidRPr="2B21198B">
        <w:t xml:space="preserve">ADA = adalimumab; </w:t>
      </w:r>
      <w:r w:rsidRPr="2B21198B">
        <w:t xml:space="preserve">BKZ = bimekizumab; CFB = change from baseline; </w:t>
      </w:r>
      <w:r w:rsidR="0B627C9C" w:rsidRPr="2B21198B">
        <w:t xml:space="preserve">DB = double blind; </w:t>
      </w:r>
      <w:r w:rsidRPr="2B21198B">
        <w:t xml:space="preserve">DLQI = dermatology life quality index; </w:t>
      </w:r>
      <w:proofErr w:type="spellStart"/>
      <w:r w:rsidRPr="2B21198B">
        <w:t>HiSCR</w:t>
      </w:r>
      <w:proofErr w:type="spellEnd"/>
      <w:r w:rsidRPr="2B21198B">
        <w:t xml:space="preserve"> = hidradenitis suppurativa clinical response; HS = hidradenitis suppurativa; </w:t>
      </w:r>
      <w:r w:rsidR="17C2C804" w:rsidRPr="2B21198B">
        <w:t xml:space="preserve">HS-PGA = hidradenitis suppurativa physician's global assessment; </w:t>
      </w:r>
      <w:r w:rsidR="0B627C9C" w:rsidRPr="2B21198B">
        <w:t xml:space="preserve">MC = multi-centre; </w:t>
      </w:r>
      <w:r w:rsidRPr="2B21198B">
        <w:t xml:space="preserve">N = number; </w:t>
      </w:r>
      <w:r w:rsidR="0B627C9C" w:rsidRPr="2B21198B">
        <w:t>R = randomised</w:t>
      </w:r>
      <w:r w:rsidR="5F3585E8" w:rsidRPr="2B21198B">
        <w:t xml:space="preserve">; SEC = secukinumab; </w:t>
      </w:r>
      <w:r w:rsidR="73EFDC6C" w:rsidRPr="2B21198B">
        <w:t xml:space="preserve">TNF = tumour necrosis factor; </w:t>
      </w:r>
      <w:proofErr w:type="spellStart"/>
      <w:r w:rsidR="5F3585E8" w:rsidRPr="2B21198B">
        <w:t>wk</w:t>
      </w:r>
      <w:proofErr w:type="spellEnd"/>
      <w:r w:rsidR="5F3585E8" w:rsidRPr="2B21198B">
        <w:t xml:space="preserve"> = weeks</w:t>
      </w:r>
      <w:r w:rsidR="17C2C804" w:rsidRPr="2B21198B">
        <w:t>.</w:t>
      </w:r>
      <w:r w:rsidR="5F3585E8" w:rsidRPr="2B21198B">
        <w:t xml:space="preserve"> </w:t>
      </w:r>
    </w:p>
    <w:p w14:paraId="2658489B" w14:textId="58FABF3D" w:rsidR="007B66B3" w:rsidRPr="00754DEE" w:rsidRDefault="007B66B3" w:rsidP="00F43A94">
      <w:pPr>
        <w:pStyle w:val="3-BodyText"/>
        <w:rPr>
          <w:lang w:val="en-GB"/>
        </w:rPr>
      </w:pPr>
      <w:r w:rsidRPr="00754DEE">
        <w:rPr>
          <w:lang w:val="en-GB"/>
        </w:rPr>
        <w:t xml:space="preserve">Although BE HEARD I and II and HS0001 had an overall low risk of bias, there was a risk of unblinding in all three trials because bimekizumab and placebo </w:t>
      </w:r>
      <w:r w:rsidR="00D05E05" w:rsidRPr="00754DEE">
        <w:rPr>
          <w:lang w:val="en-GB"/>
        </w:rPr>
        <w:t xml:space="preserve">syringes </w:t>
      </w:r>
      <w:r w:rsidR="00B66F7A" w:rsidRPr="00754DEE">
        <w:rPr>
          <w:lang w:val="en-GB"/>
        </w:rPr>
        <w:t>we</w:t>
      </w:r>
      <w:r w:rsidR="004B4CAA" w:rsidRPr="00754DEE">
        <w:rPr>
          <w:lang w:val="en-GB"/>
        </w:rPr>
        <w:t xml:space="preserve">re distinguishable (the placebo syringes </w:t>
      </w:r>
      <w:r w:rsidR="00B66F7A" w:rsidRPr="00754DEE">
        <w:rPr>
          <w:lang w:val="en-GB"/>
        </w:rPr>
        <w:t>we</w:t>
      </w:r>
      <w:r w:rsidR="004B4CAA" w:rsidRPr="00754DEE">
        <w:rPr>
          <w:lang w:val="en-GB"/>
        </w:rPr>
        <w:t xml:space="preserve">re clear and bimekizumab syringes </w:t>
      </w:r>
      <w:r w:rsidR="00B66F7A" w:rsidRPr="00754DEE">
        <w:rPr>
          <w:lang w:val="en-GB"/>
        </w:rPr>
        <w:t>we</w:t>
      </w:r>
      <w:r w:rsidR="004B4CAA" w:rsidRPr="00754DEE">
        <w:rPr>
          <w:lang w:val="en-GB"/>
        </w:rPr>
        <w:t>re opalescent and pale yellowish-brown)</w:t>
      </w:r>
      <w:r w:rsidRPr="00754DEE">
        <w:rPr>
          <w:lang w:val="en-GB"/>
        </w:rPr>
        <w:t xml:space="preserve"> and</w:t>
      </w:r>
      <w:r w:rsidR="00B91993" w:rsidRPr="00754DEE">
        <w:rPr>
          <w:lang w:val="en-GB"/>
        </w:rPr>
        <w:t xml:space="preserve"> require</w:t>
      </w:r>
      <w:r w:rsidR="00B66F7A" w:rsidRPr="00754DEE">
        <w:rPr>
          <w:lang w:val="en-GB"/>
        </w:rPr>
        <w:t>d</w:t>
      </w:r>
      <w:r w:rsidR="00B91993" w:rsidRPr="00754DEE">
        <w:rPr>
          <w:lang w:val="en-GB"/>
        </w:rPr>
        <w:t xml:space="preserve"> different preparation and handling</w:t>
      </w:r>
      <w:r w:rsidR="0076178D" w:rsidRPr="00754DEE">
        <w:rPr>
          <w:lang w:val="en-GB"/>
        </w:rPr>
        <w:t xml:space="preserve">, </w:t>
      </w:r>
      <w:r w:rsidR="004B320F" w:rsidRPr="00754DEE">
        <w:rPr>
          <w:lang w:val="en-GB"/>
        </w:rPr>
        <w:t>so that</w:t>
      </w:r>
      <w:r w:rsidRPr="00754DEE">
        <w:rPr>
          <w:lang w:val="en-GB"/>
        </w:rPr>
        <w:t xml:space="preserve"> </w:t>
      </w:r>
      <w:r w:rsidR="0076178D" w:rsidRPr="00754DEE">
        <w:rPr>
          <w:lang w:val="en-GB"/>
        </w:rPr>
        <w:t xml:space="preserve">all </w:t>
      </w:r>
      <w:r w:rsidR="00D05E05" w:rsidRPr="00754DEE">
        <w:rPr>
          <w:lang w:val="en-GB"/>
        </w:rPr>
        <w:t>treatment was</w:t>
      </w:r>
      <w:r w:rsidRPr="00754DEE">
        <w:rPr>
          <w:lang w:val="en-GB"/>
        </w:rPr>
        <w:t xml:space="preserve"> administered by unblinded staff (BE HEARD </w:t>
      </w:r>
      <w:r w:rsidR="0076178D" w:rsidRPr="00754DEE">
        <w:rPr>
          <w:lang w:val="en-GB"/>
        </w:rPr>
        <w:t>I CSR; BE HEARD II CSR; HS0001 CSR).</w:t>
      </w:r>
    </w:p>
    <w:p w14:paraId="3F1D7ECC" w14:textId="29874E57" w:rsidR="004D23E2" w:rsidRPr="00754DEE" w:rsidRDefault="00E61841" w:rsidP="00F43A94">
      <w:pPr>
        <w:pStyle w:val="3-BodyText"/>
        <w:rPr>
          <w:lang w:val="en-GB"/>
        </w:rPr>
      </w:pPr>
      <w:r w:rsidRPr="00754DEE">
        <w:rPr>
          <w:lang w:val="en-GB"/>
        </w:rPr>
        <w:t xml:space="preserve">SUNSHINE and SUNRISE were considered by the PBAC to have an unclear </w:t>
      </w:r>
      <w:r w:rsidR="00ED0C5F" w:rsidRPr="00754DEE">
        <w:rPr>
          <w:lang w:val="en-GB"/>
        </w:rPr>
        <w:t xml:space="preserve">overall </w:t>
      </w:r>
      <w:r w:rsidRPr="00754DEE">
        <w:rPr>
          <w:lang w:val="en-GB"/>
        </w:rPr>
        <w:t xml:space="preserve">risk of bias, because of </w:t>
      </w:r>
      <w:r w:rsidR="00B245E2" w:rsidRPr="00754DEE">
        <w:rPr>
          <w:lang w:val="en-GB"/>
        </w:rPr>
        <w:t xml:space="preserve">concerns </w:t>
      </w:r>
      <w:r w:rsidR="00ED0C5F" w:rsidRPr="00754DEE">
        <w:rPr>
          <w:lang w:val="en-GB"/>
        </w:rPr>
        <w:t>over</w:t>
      </w:r>
      <w:r w:rsidR="00F81ECF" w:rsidRPr="00754DEE">
        <w:rPr>
          <w:lang w:val="en-GB"/>
        </w:rPr>
        <w:t xml:space="preserve"> </w:t>
      </w:r>
      <w:r w:rsidRPr="00754DEE">
        <w:rPr>
          <w:lang w:val="en-GB"/>
        </w:rPr>
        <w:t>the handling of missing data (p</w:t>
      </w:r>
      <w:r w:rsidR="00F81ECF" w:rsidRPr="00754DEE">
        <w:rPr>
          <w:lang w:val="en-GB"/>
        </w:rPr>
        <w:t>a</w:t>
      </w:r>
      <w:r w:rsidRPr="00754DEE">
        <w:rPr>
          <w:lang w:val="en-GB"/>
        </w:rPr>
        <w:t xml:space="preserve">ragraph 6.10, secukinumab PSD, </w:t>
      </w:r>
      <w:r w:rsidR="00F81ECF" w:rsidRPr="00754DEE">
        <w:rPr>
          <w:lang w:val="en-GB"/>
        </w:rPr>
        <w:t xml:space="preserve">March 2023 PBAC Meeting). </w:t>
      </w:r>
    </w:p>
    <w:p w14:paraId="24FB9F62" w14:textId="5477ED7A" w:rsidR="00F43A94" w:rsidRPr="00754DEE" w:rsidRDefault="42F239FC">
      <w:pPr>
        <w:pStyle w:val="3-BodyText"/>
      </w:pPr>
      <w:r w:rsidRPr="00754DEE">
        <w:t>M10-467 was completed in April 2011, and the results were published in December</w:t>
      </w:r>
      <w:r w:rsidR="00F13BFB">
        <w:t> </w:t>
      </w:r>
      <w:r w:rsidRPr="00754DEE">
        <w:t xml:space="preserve">2012. The first publication reporting the validation of </w:t>
      </w:r>
      <w:proofErr w:type="spellStart"/>
      <w:r w:rsidRPr="00754DEE">
        <w:t>HiSCR</w:t>
      </w:r>
      <w:proofErr w:type="spellEnd"/>
      <w:r w:rsidRPr="00754DEE">
        <w:t xml:space="preserve"> using the M10-467 data was in December 2014 (Kimball, 2014). </w:t>
      </w:r>
      <w:r w:rsidR="30FE4CA8" w:rsidRPr="00754DEE">
        <w:t>PIONEER I and II began in November</w:t>
      </w:r>
      <w:r w:rsidR="00F13BFB">
        <w:t> </w:t>
      </w:r>
      <w:r w:rsidR="30FE4CA8" w:rsidRPr="00754DEE">
        <w:t>2011; PIONEER I was completed in January 2014 and PIONEER II in April</w:t>
      </w:r>
      <w:r w:rsidR="00F13BFB">
        <w:t> </w:t>
      </w:r>
      <w:r w:rsidR="30FE4CA8" w:rsidRPr="00754DEE">
        <w:t xml:space="preserve">2014. </w:t>
      </w:r>
      <w:r w:rsidR="238B6A48" w:rsidRPr="00754DEE">
        <w:t>For both trials no v</w:t>
      </w:r>
      <w:r w:rsidR="30FE4CA8" w:rsidRPr="00754DEE">
        <w:t>ersion</w:t>
      </w:r>
      <w:r w:rsidR="4CEBC67C" w:rsidRPr="00754DEE">
        <w:t xml:space="preserve"> of</w:t>
      </w:r>
      <w:r w:rsidR="30FE4CA8" w:rsidRPr="00754DEE">
        <w:t xml:space="preserve"> </w:t>
      </w:r>
      <w:r w:rsidR="4CEBC67C" w:rsidRPr="00754DEE">
        <w:t xml:space="preserve">the </w:t>
      </w:r>
      <w:r w:rsidR="30FE4CA8" w:rsidRPr="00754DEE">
        <w:t>protocol</w:t>
      </w:r>
      <w:r w:rsidR="4CEBC67C" w:rsidRPr="00754DEE">
        <w:t xml:space="preserve"> </w:t>
      </w:r>
      <w:r w:rsidR="30FE4CA8" w:rsidRPr="00754DEE">
        <w:t xml:space="preserve">on ClinicalTrials.gov </w:t>
      </w:r>
      <w:r w:rsidR="238B6A48" w:rsidRPr="00754DEE">
        <w:t>up to trial completion specified</w:t>
      </w:r>
      <w:r w:rsidR="4CEBC67C" w:rsidRPr="00754DEE">
        <w:t xml:space="preserve"> </w:t>
      </w:r>
      <w:r w:rsidR="094AE2C1" w:rsidRPr="00754DEE">
        <w:t>a</w:t>
      </w:r>
      <w:r w:rsidR="4CEBC67C" w:rsidRPr="00754DEE">
        <w:t xml:space="preserve"> primary outcome measure</w:t>
      </w:r>
      <w:r w:rsidR="238B6A48" w:rsidRPr="00754DEE">
        <w:t xml:space="preserve"> (the primary outcome was "Proportion of subjects achieving clinical response at Week 12; Subjects improvement </w:t>
      </w:r>
      <w:r w:rsidR="238B6A48" w:rsidRPr="00754DEE">
        <w:lastRenderedPageBreak/>
        <w:t>in hidradenitis suppurativa severity"</w:t>
      </w:r>
      <w:r w:rsidR="00180CB4" w:rsidRPr="00754DEE">
        <w:t xml:space="preserve"> but "response" and "severity" were not defined</w:t>
      </w:r>
      <w:r w:rsidR="238B6A48" w:rsidRPr="00754DEE">
        <w:t xml:space="preserve">). </w:t>
      </w:r>
      <w:proofErr w:type="spellStart"/>
      <w:r w:rsidR="094AE2C1" w:rsidRPr="00754DEE">
        <w:t>HiSCR</w:t>
      </w:r>
      <w:proofErr w:type="spellEnd"/>
      <w:r w:rsidR="094AE2C1" w:rsidRPr="00754DEE">
        <w:t xml:space="preserve"> </w:t>
      </w:r>
      <w:r w:rsidR="238B6A48" w:rsidRPr="00754DEE">
        <w:t xml:space="preserve">was not mentioned </w:t>
      </w:r>
      <w:r w:rsidR="4CEBC67C" w:rsidRPr="00754DEE">
        <w:t>until October 2015, when</w:t>
      </w:r>
      <w:r w:rsidR="30FE4CA8" w:rsidRPr="00754DEE">
        <w:t xml:space="preserve"> </w:t>
      </w:r>
      <w:r w:rsidR="03942112" w:rsidRPr="00754DEE">
        <w:t>it</w:t>
      </w:r>
      <w:r w:rsidR="30FE4CA8" w:rsidRPr="00754DEE">
        <w:t xml:space="preserve"> </w:t>
      </w:r>
      <w:r w:rsidR="094AE2C1" w:rsidRPr="00754DEE">
        <w:t xml:space="preserve">was defined as </w:t>
      </w:r>
      <w:r w:rsidR="30FE4CA8" w:rsidRPr="00754DEE">
        <w:t>the primary outcome measure.</w:t>
      </w:r>
      <w:r w:rsidR="00F43A94" w:rsidRPr="00754DEE">
        <w:rPr>
          <w:rStyle w:val="FootnoteReference"/>
        </w:rPr>
        <w:footnoteReference w:id="5"/>
      </w:r>
      <w:r w:rsidR="30FE4CA8" w:rsidRPr="00754DEE">
        <w:t xml:space="preserve"> </w:t>
      </w:r>
    </w:p>
    <w:p w14:paraId="790880FD" w14:textId="4738EE0C" w:rsidR="00F43A94" w:rsidRPr="00754DEE" w:rsidRDefault="00096D6B" w:rsidP="00F43A94">
      <w:pPr>
        <w:pStyle w:val="3-BodyText"/>
        <w:rPr>
          <w:lang w:val="en-GB"/>
        </w:rPr>
      </w:pPr>
      <w:bookmarkStart w:id="30" w:name="_Ref198111734"/>
      <w:r w:rsidRPr="00754DEE">
        <w:rPr>
          <w:lang w:val="en-GB"/>
        </w:rPr>
        <w:t>Because</w:t>
      </w:r>
      <w:r w:rsidR="007B66B3" w:rsidRPr="00754DEE">
        <w:rPr>
          <w:lang w:val="en-GB"/>
        </w:rPr>
        <w:t xml:space="preserve"> </w:t>
      </w:r>
      <w:r w:rsidR="00E57498" w:rsidRPr="00754DEE">
        <w:rPr>
          <w:lang w:val="en-GB"/>
        </w:rPr>
        <w:t>it appears that the</w:t>
      </w:r>
      <w:r w:rsidRPr="00754DEE">
        <w:rPr>
          <w:lang w:val="en-GB"/>
        </w:rPr>
        <w:t xml:space="preserve"> primary outcome</w:t>
      </w:r>
      <w:r w:rsidR="00F43A94" w:rsidRPr="00754DEE">
        <w:rPr>
          <w:lang w:val="en-GB"/>
        </w:rPr>
        <w:t xml:space="preserve"> </w:t>
      </w:r>
      <w:r w:rsidR="00EC05FB" w:rsidRPr="00754DEE">
        <w:rPr>
          <w:lang w:val="en-GB"/>
        </w:rPr>
        <w:t xml:space="preserve">measure </w:t>
      </w:r>
      <w:r w:rsidR="00B86C9A" w:rsidRPr="00754DEE">
        <w:rPr>
          <w:lang w:val="en-GB"/>
        </w:rPr>
        <w:t xml:space="preserve">of the PIONEER trials </w:t>
      </w:r>
      <w:r w:rsidR="00E57498" w:rsidRPr="00754DEE">
        <w:rPr>
          <w:lang w:val="en-GB"/>
        </w:rPr>
        <w:t xml:space="preserve">was </w:t>
      </w:r>
      <w:r w:rsidR="00B11C94" w:rsidRPr="00754DEE">
        <w:rPr>
          <w:lang w:val="en-GB"/>
        </w:rPr>
        <w:t>de</w:t>
      </w:r>
      <w:r w:rsidR="00110B33" w:rsidRPr="00754DEE">
        <w:rPr>
          <w:lang w:val="en-GB"/>
        </w:rPr>
        <w:t>f</w:t>
      </w:r>
      <w:r w:rsidR="00716E6E" w:rsidRPr="00754DEE">
        <w:rPr>
          <w:lang w:val="en-GB"/>
        </w:rPr>
        <w:t>ined</w:t>
      </w:r>
      <w:r w:rsidR="00E57498" w:rsidRPr="00754DEE">
        <w:rPr>
          <w:lang w:val="en-GB"/>
        </w:rPr>
        <w:t xml:space="preserve"> </w:t>
      </w:r>
      <w:r w:rsidR="00EC05FB" w:rsidRPr="00754DEE">
        <w:rPr>
          <w:lang w:val="en-GB"/>
        </w:rPr>
        <w:t xml:space="preserve">only </w:t>
      </w:r>
      <w:r w:rsidR="00E57498" w:rsidRPr="00754DEE">
        <w:rPr>
          <w:lang w:val="en-GB"/>
        </w:rPr>
        <w:t>after the end of the trials</w:t>
      </w:r>
      <w:r w:rsidR="007B66B3" w:rsidRPr="00754DEE">
        <w:rPr>
          <w:lang w:val="en-GB"/>
        </w:rPr>
        <w:t>,</w:t>
      </w:r>
      <w:r w:rsidR="00E57498" w:rsidRPr="00754DEE">
        <w:rPr>
          <w:lang w:val="en-GB"/>
        </w:rPr>
        <w:t xml:space="preserve"> </w:t>
      </w:r>
      <w:r w:rsidR="00F43A94" w:rsidRPr="00754DEE">
        <w:rPr>
          <w:lang w:val="en-GB"/>
        </w:rPr>
        <w:t>the</w:t>
      </w:r>
      <w:r w:rsidR="00B86C9A" w:rsidRPr="00754DEE">
        <w:rPr>
          <w:lang w:val="en-GB"/>
        </w:rPr>
        <w:t xml:space="preserve">y </w:t>
      </w:r>
      <w:r w:rsidR="00F43A94" w:rsidRPr="00754DEE">
        <w:rPr>
          <w:lang w:val="en-GB"/>
        </w:rPr>
        <w:t xml:space="preserve">have been classified as having a high </w:t>
      </w:r>
      <w:r w:rsidR="00B21331" w:rsidRPr="00754DEE">
        <w:rPr>
          <w:lang w:val="en-GB"/>
        </w:rPr>
        <w:t xml:space="preserve">overall </w:t>
      </w:r>
      <w:r w:rsidR="00F43A94" w:rsidRPr="00754DEE">
        <w:rPr>
          <w:lang w:val="en-GB"/>
        </w:rPr>
        <w:t xml:space="preserve">risk of bias, which </w:t>
      </w:r>
      <w:r w:rsidR="00EF575D" w:rsidRPr="00754DEE">
        <w:rPr>
          <w:lang w:val="en-GB"/>
        </w:rPr>
        <w:t>differs</w:t>
      </w:r>
      <w:r w:rsidR="00F43A94" w:rsidRPr="00754DEE">
        <w:rPr>
          <w:lang w:val="en-GB"/>
        </w:rPr>
        <w:t xml:space="preserve"> from the risk of bias assessment previously made by PBAC (Table 3, paragraph 6.9, secukinumab PSD, July 2023 PBAC Meeting).</w:t>
      </w:r>
      <w:bookmarkEnd w:id="30"/>
      <w:r w:rsidR="00F43A94" w:rsidRPr="00754DEE">
        <w:rPr>
          <w:lang w:val="en-GB"/>
        </w:rPr>
        <w:t xml:space="preserve"> </w:t>
      </w:r>
    </w:p>
    <w:p w14:paraId="28593FB8" w14:textId="0DD9F4DB" w:rsidR="002C2775" w:rsidRPr="00754DEE" w:rsidRDefault="00D07B6E" w:rsidP="2B21198B">
      <w:pPr>
        <w:pStyle w:val="3-BodyText"/>
        <w:rPr>
          <w:color w:val="000000" w:themeColor="text1"/>
        </w:rPr>
      </w:pPr>
      <w:bookmarkStart w:id="31" w:name="_Ref198111735"/>
      <w:r w:rsidRPr="00754DEE">
        <w:rPr>
          <w:color w:val="000000" w:themeColor="text1"/>
        </w:rPr>
        <w:t xml:space="preserve">Details are provided for the bimekizumab trials (BE HEARD I/II and HS0001). Summary </w:t>
      </w:r>
      <w:r w:rsidR="007A4BE1" w:rsidRPr="00754DEE">
        <w:rPr>
          <w:color w:val="000000" w:themeColor="text1"/>
        </w:rPr>
        <w:t xml:space="preserve">baseline and </w:t>
      </w:r>
      <w:r w:rsidRPr="00754DEE">
        <w:rPr>
          <w:color w:val="000000" w:themeColor="text1"/>
        </w:rPr>
        <w:t>outcome data are provided</w:t>
      </w:r>
      <w:r w:rsidR="004B320F" w:rsidRPr="00754DEE">
        <w:rPr>
          <w:color w:val="000000" w:themeColor="text1"/>
        </w:rPr>
        <w:t xml:space="preserve"> </w:t>
      </w:r>
      <w:r w:rsidRPr="00754DEE">
        <w:rPr>
          <w:color w:val="000000" w:themeColor="text1"/>
        </w:rPr>
        <w:t>for the secukinumab and adalim</w:t>
      </w:r>
      <w:r w:rsidR="007A4BE1" w:rsidRPr="00754DEE">
        <w:rPr>
          <w:color w:val="000000" w:themeColor="text1"/>
        </w:rPr>
        <w:t>u</w:t>
      </w:r>
      <w:r w:rsidRPr="00754DEE">
        <w:rPr>
          <w:color w:val="000000" w:themeColor="text1"/>
        </w:rPr>
        <w:t>mab trials previously considered by PBAC</w:t>
      </w:r>
      <w:r w:rsidR="004B320F" w:rsidRPr="00754DEE">
        <w:rPr>
          <w:color w:val="000000" w:themeColor="text1"/>
        </w:rPr>
        <w:t xml:space="preserve"> in the presentation of the indirect treatment comparisons</w:t>
      </w:r>
      <w:r w:rsidRPr="00754DEE">
        <w:rPr>
          <w:color w:val="000000" w:themeColor="text1"/>
        </w:rPr>
        <w:t>.</w:t>
      </w:r>
      <w:bookmarkEnd w:id="31"/>
      <w:r w:rsidRPr="00754DEE">
        <w:rPr>
          <w:color w:val="000000" w:themeColor="text1"/>
        </w:rPr>
        <w:t xml:space="preserve"> </w:t>
      </w:r>
    </w:p>
    <w:p w14:paraId="69E502E0" w14:textId="43B19A3B" w:rsidR="00A66048" w:rsidRPr="00754DEE" w:rsidRDefault="0091341C" w:rsidP="2B21198B">
      <w:pPr>
        <w:pStyle w:val="3-BodyText"/>
        <w:rPr>
          <w:color w:val="000000" w:themeColor="text1"/>
        </w:rPr>
      </w:pPr>
      <w:r w:rsidRPr="00754DEE">
        <w:rPr>
          <w:color w:val="000000" w:themeColor="text1"/>
        </w:rPr>
        <w:t>C</w:t>
      </w:r>
      <w:r w:rsidR="000D440A" w:rsidRPr="00754DEE">
        <w:rPr>
          <w:color w:val="000000" w:themeColor="text1"/>
        </w:rPr>
        <w:t xml:space="preserve">hronic or recurrent infection of any </w:t>
      </w:r>
      <w:r w:rsidR="00147CE8" w:rsidRPr="00754DEE">
        <w:rPr>
          <w:color w:val="000000" w:themeColor="text1"/>
        </w:rPr>
        <w:t>aetiology</w:t>
      </w:r>
      <w:r w:rsidR="000D440A" w:rsidRPr="00754DEE">
        <w:rPr>
          <w:color w:val="000000" w:themeColor="text1"/>
        </w:rPr>
        <w:t xml:space="preserve">, active inflammatory bowel disease, sarcoidosis, systemic lupus erythematosus, Hepatitis B and C, HIV infection, and depression required exclusion. Tuberculosis was carefully excluded, and any patient with evidence of exposure to tuberculosis had to receive preventative treatment before enrolment. The risk of adverse events related to these conditions may be higher in routine clinical use where screening may be less consistent. </w:t>
      </w:r>
    </w:p>
    <w:p w14:paraId="46BDD474" w14:textId="6CEAFD1F" w:rsidR="000D440A" w:rsidRPr="00754DEE" w:rsidRDefault="00CB264F" w:rsidP="2B21198B">
      <w:pPr>
        <w:pStyle w:val="3-BodyText"/>
        <w:rPr>
          <w:color w:val="0066FF"/>
        </w:rPr>
      </w:pPr>
      <w:r w:rsidRPr="00754DEE">
        <w:t>Patients in HS0001 had more severe disease, with higher draining tunnel counts and I</w:t>
      </w:r>
      <w:r w:rsidR="00322D79" w:rsidRPr="00754DEE">
        <w:t>HS</w:t>
      </w:r>
      <w:r w:rsidRPr="00754DEE">
        <w:t>4 scores than in the BE HEARD trials,</w:t>
      </w:r>
      <w:r w:rsidR="00602D7E" w:rsidRPr="00754DEE">
        <w:rPr>
          <w:rStyle w:val="FootnoteReference"/>
        </w:rPr>
        <w:footnoteReference w:id="6"/>
      </w:r>
      <w:r w:rsidRPr="00754DEE">
        <w:t xml:space="preserve"> and more patients in Hurley Stage III (about 50%) than in BE HEARD I (about 45%), which had more patients in Hurley Stage III than BE HEARD II (about 36%). </w:t>
      </w:r>
    </w:p>
    <w:p w14:paraId="3F1A9A9F" w14:textId="4BE53945" w:rsidR="00602D7E" w:rsidRPr="00754DEE" w:rsidRDefault="00602D7E" w:rsidP="2B21198B">
      <w:pPr>
        <w:pStyle w:val="3-BodyText"/>
        <w:rPr>
          <w:color w:val="0066FF"/>
        </w:rPr>
      </w:pPr>
      <w:r w:rsidRPr="00754DEE">
        <w:t xml:space="preserve">Discontinuation due to adverse events was more common among bimekizumab patients in </w:t>
      </w:r>
      <w:r w:rsidR="00AD3357" w:rsidRPr="00754DEE">
        <w:t xml:space="preserve">both </w:t>
      </w:r>
      <w:r w:rsidRPr="00754DEE">
        <w:t xml:space="preserve">BE HEARD I and II (7/289, 2.4% vs 1/72, 1.4% and 9/291, 3.1% vs 1/74, 1.4%). </w:t>
      </w:r>
    </w:p>
    <w:p w14:paraId="450DFDFF" w14:textId="77777777" w:rsidR="007712F7" w:rsidRPr="0098262F" w:rsidRDefault="007712F7" w:rsidP="007712F7">
      <w:pPr>
        <w:pStyle w:val="4-SubsectionHeading"/>
      </w:pPr>
      <w:bookmarkStart w:id="32" w:name="_Toc22897641"/>
      <w:bookmarkStart w:id="33" w:name="_Toc192760449"/>
      <w:r w:rsidRPr="0098262F">
        <w:t>Comparative effectiveness</w:t>
      </w:r>
      <w:bookmarkEnd w:id="32"/>
      <w:bookmarkEnd w:id="33"/>
    </w:p>
    <w:p w14:paraId="4A81F01D" w14:textId="77777777" w:rsidR="006420AD" w:rsidRPr="00152967" w:rsidRDefault="003377F6" w:rsidP="009956C3">
      <w:pPr>
        <w:pStyle w:val="3-BodyText"/>
      </w:pPr>
      <w:r w:rsidRPr="00152967">
        <w:t>The presentation of response data</w:t>
      </w:r>
      <w:r w:rsidR="001F6615" w:rsidRPr="00152967">
        <w:t xml:space="preserve"> in BE HEARD I/II </w:t>
      </w:r>
      <w:r w:rsidRPr="00152967">
        <w:t xml:space="preserve">is complicated by the treatment of </w:t>
      </w:r>
      <w:r w:rsidR="00263F09" w:rsidRPr="00152967">
        <w:t xml:space="preserve">missing data, and of </w:t>
      </w:r>
      <w:r w:rsidRPr="00152967">
        <w:t>patients who received rescue antibiotics during the trial</w:t>
      </w:r>
      <w:r w:rsidR="001F6615" w:rsidRPr="00152967">
        <w:t>s</w:t>
      </w:r>
      <w:r w:rsidRPr="00152967">
        <w:t xml:space="preserve">. </w:t>
      </w:r>
    </w:p>
    <w:p w14:paraId="3FB237A0" w14:textId="3AA23C9A" w:rsidR="006420AD" w:rsidRPr="00152967" w:rsidRDefault="1A3047D5" w:rsidP="006420AD">
      <w:pPr>
        <w:pStyle w:val="3-BodyText"/>
      </w:pPr>
      <w:r w:rsidRPr="00152967">
        <w:t>Receipt of rescue antibiotics for HS lesions</w:t>
      </w:r>
      <w:r w:rsidR="5D7A0982" w:rsidRPr="00152967">
        <w:t xml:space="preserve"> was added to </w:t>
      </w:r>
      <w:r w:rsidR="78DDFF49" w:rsidRPr="00152967">
        <w:t>discontinuation for adverse events or lack of efficacy</w:t>
      </w:r>
      <w:r w:rsidR="5D7A0982" w:rsidRPr="00152967">
        <w:t xml:space="preserve"> to form the category of</w:t>
      </w:r>
      <w:r w:rsidR="78DDFF49" w:rsidRPr="00152967">
        <w:t xml:space="preserve"> "intercurrent event"</w:t>
      </w:r>
      <w:r w:rsidRPr="00152967">
        <w:t xml:space="preserve">. Patients with an intercurrent event were to be classified as non-responders in the primary outcome </w:t>
      </w:r>
      <w:r w:rsidRPr="00152967">
        <w:lastRenderedPageBreak/>
        <w:t xml:space="preserve">(BE HEARD I CSR, BE HEARD II CSR). That is, the primary outcome was achieving </w:t>
      </w:r>
      <w:proofErr w:type="spellStart"/>
      <w:r w:rsidRPr="00152967">
        <w:t>HiSCR</w:t>
      </w:r>
      <w:proofErr w:type="spellEnd"/>
      <w:r w:rsidRPr="00152967">
        <w:t xml:space="preserve"> at 16 weeks </w:t>
      </w:r>
      <w:r w:rsidRPr="00152967">
        <w:rPr>
          <w:u w:val="single"/>
        </w:rPr>
        <w:t>and</w:t>
      </w:r>
      <w:r w:rsidRPr="00152967">
        <w:t xml:space="preserve"> not having received rescue antibiotics. </w:t>
      </w:r>
    </w:p>
    <w:p w14:paraId="6767AE69" w14:textId="6192B857" w:rsidR="006420AD" w:rsidRPr="00152967" w:rsidRDefault="006420AD" w:rsidP="006420AD">
      <w:pPr>
        <w:pStyle w:val="3-BodyText"/>
      </w:pPr>
      <w:r w:rsidRPr="00152967">
        <w:t>Treatment of an acute abscess with incision and drainage or intra-lesional corticosteroids was not an "intercurrent event" and did not require patients to be classified as non-responders</w:t>
      </w:r>
      <w:r w:rsidR="003434E6" w:rsidRPr="00152967">
        <w:t>; if</w:t>
      </w:r>
      <w:r w:rsidRPr="00152967">
        <w:t xml:space="preserve"> there were more than two such interventions in the 16 week treatment period the patient </w:t>
      </w:r>
      <w:r w:rsidR="00080416" w:rsidRPr="00152967">
        <w:t>"should have been discontinued" (BE HEARD I CSR)</w:t>
      </w:r>
      <w:r w:rsidR="00131152" w:rsidRPr="00152967">
        <w:t>, but numbers appear to have been much smaller than the numbers receiving rescue antibiotics</w:t>
      </w:r>
      <w:r w:rsidRPr="00152967">
        <w:t xml:space="preserve"> (the reason for withdrawal under which these patients were counted</w:t>
      </w:r>
      <w:r w:rsidR="00227EB4" w:rsidRPr="00152967">
        <w:t>, or whether this was counted as "lack of efficacy",</w:t>
      </w:r>
      <w:r w:rsidRPr="00152967">
        <w:t xml:space="preserve"> was not stated in the CSR; BE HEARD I CSR, BE HEARD II CSR). </w:t>
      </w:r>
    </w:p>
    <w:p w14:paraId="0FC34AEE" w14:textId="67D489A3" w:rsidR="00263F09" w:rsidRPr="00152967" w:rsidRDefault="006420AD" w:rsidP="009956C3">
      <w:pPr>
        <w:pStyle w:val="3-BodyText"/>
      </w:pPr>
      <w:r w:rsidRPr="00152967">
        <w:t>R</w:t>
      </w:r>
      <w:r w:rsidR="00583034" w:rsidRPr="00152967">
        <w:t>escue antibiotics accounted for most intercurrent events.</w:t>
      </w:r>
      <w:r w:rsidR="003434E6" w:rsidRPr="00152967">
        <w:t xml:space="preserve"> Use of rescue antibiotics was </w:t>
      </w:r>
      <w:r w:rsidR="00AD3357" w:rsidRPr="00152967">
        <w:t>less</w:t>
      </w:r>
      <w:r w:rsidR="00480D10" w:rsidRPr="00152967">
        <w:t xml:space="preserve"> common </w:t>
      </w:r>
      <w:r w:rsidR="003434E6" w:rsidRPr="00152967">
        <w:t xml:space="preserve">among </w:t>
      </w:r>
      <w:r w:rsidR="00AD3357" w:rsidRPr="00152967">
        <w:t>bimekizumab</w:t>
      </w:r>
      <w:r w:rsidR="003434E6" w:rsidRPr="00152967">
        <w:t>-treated patients</w:t>
      </w:r>
      <w:r w:rsidR="00AD3357" w:rsidRPr="00152967">
        <w:t xml:space="preserve"> in BE HEARD I</w:t>
      </w:r>
      <w:r w:rsidR="00602D7E" w:rsidRPr="00152967">
        <w:t xml:space="preserve"> (47/289, 16.3%</w:t>
      </w:r>
      <w:r w:rsidR="00AD3357" w:rsidRPr="00152967">
        <w:t xml:space="preserve"> vs 15/72, 20.8%</w:t>
      </w:r>
      <w:r w:rsidR="00602D7E" w:rsidRPr="00152967">
        <w:t>)</w:t>
      </w:r>
      <w:r w:rsidR="003434E6" w:rsidRPr="00152967">
        <w:t xml:space="preserve">, but </w:t>
      </w:r>
      <w:r w:rsidR="008940FE" w:rsidRPr="00152967">
        <w:t xml:space="preserve">more common </w:t>
      </w:r>
      <w:r w:rsidR="003434E6" w:rsidRPr="00152967">
        <w:t>among bimekizumab-treated patients</w:t>
      </w:r>
      <w:r w:rsidR="00AD3357" w:rsidRPr="00152967">
        <w:t xml:space="preserve"> in BE HEARD II</w:t>
      </w:r>
      <w:r w:rsidR="00602D7E" w:rsidRPr="00152967">
        <w:t xml:space="preserve"> (45/291 (15.5% vs 6/74, 8.1%</w:t>
      </w:r>
      <w:r w:rsidR="00AD3357" w:rsidRPr="00152967">
        <w:t>)</w:t>
      </w:r>
      <w:r w:rsidR="003434E6" w:rsidRPr="00152967">
        <w:t xml:space="preserve">. </w:t>
      </w:r>
    </w:p>
    <w:p w14:paraId="1F578841" w14:textId="3B4D17E5" w:rsidR="0053537E" w:rsidRPr="00152967" w:rsidRDefault="3BE5EB47" w:rsidP="009956C3">
      <w:pPr>
        <w:pStyle w:val="3-BodyText"/>
      </w:pPr>
      <w:r w:rsidRPr="00152967">
        <w:t xml:space="preserve">In SUNSHINE and SUNRISE and PIONEER I/II rescue antibiotics were permitted and patients receiving them were not automatically classified as non-responders. </w:t>
      </w:r>
    </w:p>
    <w:p w14:paraId="5490D36E" w14:textId="6C55DAAE" w:rsidR="00572BB7" w:rsidRPr="00152967" w:rsidRDefault="0F7A9708" w:rsidP="009956C3">
      <w:pPr>
        <w:pStyle w:val="3-BodyText"/>
      </w:pPr>
      <w:r w:rsidRPr="00152967">
        <w:t xml:space="preserve">Missing data </w:t>
      </w:r>
      <w:r w:rsidR="2911184C" w:rsidRPr="00152967">
        <w:t xml:space="preserve">for the </w:t>
      </w:r>
      <w:r w:rsidR="532ACAB5" w:rsidRPr="00152967">
        <w:t>primary outcome</w:t>
      </w:r>
      <w:r w:rsidR="699E2FFB" w:rsidRPr="00152967">
        <w:t xml:space="preserve"> in BE HEARD I/II</w:t>
      </w:r>
      <w:r w:rsidR="532ACAB5" w:rsidRPr="00152967">
        <w:t xml:space="preserve"> </w:t>
      </w:r>
      <w:r w:rsidRPr="00152967">
        <w:t xml:space="preserve">at week 16 </w:t>
      </w:r>
      <w:r w:rsidRPr="00152967">
        <w:rPr>
          <w:u w:val="single"/>
        </w:rPr>
        <w:t>not</w:t>
      </w:r>
      <w:r w:rsidRPr="00152967">
        <w:t xml:space="preserve"> preceded by an intercurrent event </w:t>
      </w:r>
      <w:r w:rsidR="4C5E583A" w:rsidRPr="00152967">
        <w:t>was</w:t>
      </w:r>
      <w:r w:rsidRPr="00152967">
        <w:t xml:space="preserve"> imputed</w:t>
      </w:r>
      <w:r w:rsidR="2911184C" w:rsidRPr="00152967">
        <w:t>, and m</w:t>
      </w:r>
      <w:r w:rsidR="01BE3579" w:rsidRPr="00152967">
        <w:t xml:space="preserve">issing data from patients receiving rescue antibiotics </w:t>
      </w:r>
      <w:r w:rsidR="4C5E583A" w:rsidRPr="00152967">
        <w:t>was</w:t>
      </w:r>
      <w:r w:rsidR="01BE3579" w:rsidRPr="00152967">
        <w:t xml:space="preserve"> imputed for secondary outcomes. </w:t>
      </w:r>
      <w:r w:rsidR="5A898852" w:rsidRPr="00152967">
        <w:t xml:space="preserve">The amount of missing data was not stated. </w:t>
      </w:r>
    </w:p>
    <w:p w14:paraId="1E6BCD39" w14:textId="6500547F" w:rsidR="004445E7" w:rsidRPr="00152967" w:rsidRDefault="54EE8B7C" w:rsidP="2B21198B">
      <w:pPr>
        <w:pStyle w:val="3-BodyText"/>
      </w:pPr>
      <w:r w:rsidRPr="00152967">
        <w:t>The effect of various</w:t>
      </w:r>
      <w:r w:rsidR="5A898852" w:rsidRPr="00152967">
        <w:t xml:space="preserve"> methods of data imputation </w:t>
      </w:r>
      <w:r w:rsidRPr="00152967">
        <w:t xml:space="preserve">for </w:t>
      </w:r>
      <w:proofErr w:type="spellStart"/>
      <w:r w:rsidRPr="00152967">
        <w:t>HiSCR</w:t>
      </w:r>
      <w:proofErr w:type="spellEnd"/>
      <w:r w:rsidRPr="00152967">
        <w:t xml:space="preserve"> </w:t>
      </w:r>
      <w:r w:rsidR="5A898852" w:rsidRPr="00152967">
        <w:t xml:space="preserve">were assessed. The </w:t>
      </w:r>
      <w:r w:rsidRPr="00152967">
        <w:t>results for</w:t>
      </w:r>
      <w:r w:rsidR="5A898852" w:rsidRPr="00152967">
        <w:t xml:space="preserve"> P values, but </w:t>
      </w:r>
      <w:r w:rsidR="5A898852" w:rsidRPr="00152967">
        <w:rPr>
          <w:u w:val="single"/>
        </w:rPr>
        <w:t>not</w:t>
      </w:r>
      <w:r w:rsidR="5A898852" w:rsidRPr="00152967">
        <w:t xml:space="preserve"> effect sizes, are provided in the submission (Table 2-33). </w:t>
      </w:r>
      <w:r w:rsidR="46651DDB" w:rsidRPr="00152967">
        <w:t xml:space="preserve">In some cases, changing the method for handling missing data was associated with marked changes in the primary outcome. </w:t>
      </w:r>
    </w:p>
    <w:p w14:paraId="0DE44839" w14:textId="373C0119" w:rsidR="006420AD" w:rsidRPr="00152967" w:rsidRDefault="006420AD" w:rsidP="009956C3">
      <w:pPr>
        <w:pStyle w:val="3-BodyText"/>
      </w:pPr>
      <w:r w:rsidRPr="00152967">
        <w:t xml:space="preserve">Results for primary and selected secondary outcomes in BE HEARD I and II </w:t>
      </w:r>
      <w:r w:rsidR="0013100A" w:rsidRPr="00152967">
        <w:t xml:space="preserve">in the first 16 weeks </w:t>
      </w:r>
      <w:r w:rsidRPr="00152967">
        <w:t>are shown in</w:t>
      </w:r>
      <w:r w:rsidR="005E097A" w:rsidRPr="00152967">
        <w:t xml:space="preserve"> </w:t>
      </w:r>
      <w:r w:rsidRPr="00152967">
        <w:fldChar w:fldCharType="begin"/>
      </w:r>
      <w:r w:rsidRPr="00152967">
        <w:instrText xml:space="preserve"> REF _Ref190946833 \h </w:instrText>
      </w:r>
      <w:r w:rsidR="00152967" w:rsidRPr="00152967">
        <w:instrText xml:space="preserve"> \* MERGEFORMAT </w:instrText>
      </w:r>
      <w:r w:rsidRPr="00152967">
        <w:fldChar w:fldCharType="separate"/>
      </w:r>
      <w:r w:rsidR="00184DE0">
        <w:t xml:space="preserve">Table </w:t>
      </w:r>
      <w:r w:rsidR="00184DE0">
        <w:rPr>
          <w:noProof/>
        </w:rPr>
        <w:t>4</w:t>
      </w:r>
      <w:r w:rsidRPr="00152967">
        <w:fldChar w:fldCharType="end"/>
      </w:r>
      <w:r w:rsidRPr="00152967">
        <w:t>. The statistical analysis plan for HS0001 was different to that for BE HEARDI/II, using Bayesian rather than frequentist methods. For this reason</w:t>
      </w:r>
      <w:r w:rsidR="00080416" w:rsidRPr="00152967">
        <w:t>,</w:t>
      </w:r>
      <w:r w:rsidRPr="00152967">
        <w:t xml:space="preserve"> the efficacy outcomes for HS0001 are shown separately, in</w:t>
      </w:r>
      <w:r w:rsidR="00202E3A" w:rsidRPr="00152967">
        <w:t xml:space="preserve"> </w:t>
      </w:r>
      <w:r w:rsidRPr="00152967">
        <w:fldChar w:fldCharType="begin"/>
      </w:r>
      <w:r w:rsidRPr="00152967">
        <w:instrText xml:space="preserve"> REF _Ref190946893 \h </w:instrText>
      </w:r>
      <w:r w:rsidR="00152967" w:rsidRPr="00152967">
        <w:instrText xml:space="preserve"> \* MERGEFORMAT </w:instrText>
      </w:r>
      <w:r w:rsidRPr="00152967">
        <w:fldChar w:fldCharType="separate"/>
      </w:r>
      <w:r w:rsidR="00184DE0">
        <w:t xml:space="preserve">Table </w:t>
      </w:r>
      <w:r w:rsidR="00184DE0">
        <w:rPr>
          <w:noProof/>
        </w:rPr>
        <w:t>5</w:t>
      </w:r>
      <w:r w:rsidRPr="00152967">
        <w:fldChar w:fldCharType="end"/>
      </w:r>
      <w:r w:rsidR="002B4E57" w:rsidRPr="00152967">
        <w:t>.</w:t>
      </w:r>
    </w:p>
    <w:p w14:paraId="359C3D60" w14:textId="2318B4F2" w:rsidR="009956C3" w:rsidRDefault="005E097A" w:rsidP="005E097A">
      <w:pPr>
        <w:pStyle w:val="Caption"/>
      </w:pPr>
      <w:bookmarkStart w:id="34" w:name="_Ref190946833"/>
      <w:r>
        <w:lastRenderedPageBreak/>
        <w:t xml:space="preserve">Table </w:t>
      </w:r>
      <w:r w:rsidR="00C45318">
        <w:fldChar w:fldCharType="begin"/>
      </w:r>
      <w:r w:rsidR="00C45318">
        <w:instrText xml:space="preserve"> SEQ Table \* ARABIC </w:instrText>
      </w:r>
      <w:r w:rsidR="00C45318">
        <w:fldChar w:fldCharType="separate"/>
      </w:r>
      <w:r w:rsidR="00184DE0">
        <w:rPr>
          <w:noProof/>
        </w:rPr>
        <w:t>4</w:t>
      </w:r>
      <w:r w:rsidR="00C45318">
        <w:rPr>
          <w:noProof/>
        </w:rPr>
        <w:fldChar w:fldCharType="end"/>
      </w:r>
      <w:bookmarkEnd w:id="34"/>
      <w:r>
        <w:t xml:space="preserve">: </w:t>
      </w:r>
      <w:r w:rsidR="009956C3">
        <w:t>Efficacy outcomes in BE HEARD I and II</w:t>
      </w:r>
    </w:p>
    <w:tbl>
      <w:tblPr>
        <w:tblStyle w:val="TableGrid"/>
        <w:tblW w:w="9067" w:type="dxa"/>
        <w:tblLook w:val="04A0" w:firstRow="1" w:lastRow="0" w:firstColumn="1" w:lastColumn="0" w:noHBand="0" w:noVBand="1"/>
      </w:tblPr>
      <w:tblGrid>
        <w:gridCol w:w="2263"/>
        <w:gridCol w:w="1701"/>
        <w:gridCol w:w="1701"/>
        <w:gridCol w:w="1418"/>
        <w:gridCol w:w="1984"/>
      </w:tblGrid>
      <w:tr w:rsidR="00304303" w:rsidRPr="00354295" w14:paraId="37684F18" w14:textId="77777777" w:rsidTr="00B66F7A">
        <w:tc>
          <w:tcPr>
            <w:tcW w:w="2263" w:type="dxa"/>
          </w:tcPr>
          <w:p w14:paraId="55ABAC53" w14:textId="77777777" w:rsidR="00304303" w:rsidRPr="00354295" w:rsidRDefault="00304303" w:rsidP="009956C3">
            <w:pPr>
              <w:pStyle w:val="TableFigureHeading"/>
              <w:rPr>
                <w:szCs w:val="20"/>
              </w:rPr>
            </w:pPr>
          </w:p>
        </w:tc>
        <w:tc>
          <w:tcPr>
            <w:tcW w:w="3402" w:type="dxa"/>
            <w:gridSpan w:val="2"/>
          </w:tcPr>
          <w:p w14:paraId="0BE9FCD6" w14:textId="2AE728DE" w:rsidR="00304303" w:rsidRPr="00354295" w:rsidRDefault="00304303" w:rsidP="009956C3">
            <w:pPr>
              <w:pStyle w:val="TableFigureHeading"/>
              <w:rPr>
                <w:szCs w:val="20"/>
              </w:rPr>
            </w:pPr>
            <w:r w:rsidRPr="00354295">
              <w:rPr>
                <w:szCs w:val="20"/>
              </w:rPr>
              <w:t>BE HEARD I</w:t>
            </w:r>
          </w:p>
        </w:tc>
        <w:tc>
          <w:tcPr>
            <w:tcW w:w="3402" w:type="dxa"/>
            <w:gridSpan w:val="2"/>
          </w:tcPr>
          <w:p w14:paraId="3B291C3C" w14:textId="5F0571A9" w:rsidR="00304303" w:rsidRPr="00354295" w:rsidRDefault="00304303" w:rsidP="009956C3">
            <w:pPr>
              <w:pStyle w:val="TableFigureHeading"/>
              <w:rPr>
                <w:szCs w:val="20"/>
              </w:rPr>
            </w:pPr>
            <w:r w:rsidRPr="00354295">
              <w:rPr>
                <w:szCs w:val="20"/>
              </w:rPr>
              <w:t>BE HEARD II</w:t>
            </w:r>
          </w:p>
        </w:tc>
      </w:tr>
      <w:tr w:rsidR="00304303" w:rsidRPr="00354295" w14:paraId="3C2EA622" w14:textId="77777777" w:rsidTr="00B66F7A">
        <w:tc>
          <w:tcPr>
            <w:tcW w:w="2263" w:type="dxa"/>
          </w:tcPr>
          <w:p w14:paraId="37AF18AC" w14:textId="77777777" w:rsidR="00304303" w:rsidRPr="00354295" w:rsidRDefault="00304303" w:rsidP="009956C3">
            <w:pPr>
              <w:pStyle w:val="TableFigureHeading"/>
              <w:rPr>
                <w:szCs w:val="20"/>
              </w:rPr>
            </w:pPr>
          </w:p>
        </w:tc>
        <w:tc>
          <w:tcPr>
            <w:tcW w:w="1701" w:type="dxa"/>
          </w:tcPr>
          <w:p w14:paraId="0D505BCF" w14:textId="21A3071B" w:rsidR="00304303" w:rsidRPr="00354295" w:rsidRDefault="00304303" w:rsidP="009956C3">
            <w:pPr>
              <w:pStyle w:val="TableFigureHeading"/>
              <w:rPr>
                <w:szCs w:val="20"/>
              </w:rPr>
            </w:pPr>
            <w:r w:rsidRPr="00354295">
              <w:rPr>
                <w:szCs w:val="20"/>
              </w:rPr>
              <w:t xml:space="preserve">BKZ 320mg </w:t>
            </w:r>
            <w:r w:rsidR="005756D0" w:rsidRPr="00354295">
              <w:rPr>
                <w:szCs w:val="20"/>
              </w:rPr>
              <w:t>every 2 weeks</w:t>
            </w:r>
          </w:p>
          <w:p w14:paraId="535246DD" w14:textId="5EDEC9C5" w:rsidR="00304303" w:rsidRPr="00354295" w:rsidRDefault="00304303" w:rsidP="009956C3">
            <w:pPr>
              <w:pStyle w:val="TableFigureHeading"/>
              <w:rPr>
                <w:szCs w:val="20"/>
              </w:rPr>
            </w:pPr>
            <w:r w:rsidRPr="00354295">
              <w:rPr>
                <w:szCs w:val="20"/>
              </w:rPr>
              <w:t>N = 289</w:t>
            </w:r>
          </w:p>
        </w:tc>
        <w:tc>
          <w:tcPr>
            <w:tcW w:w="1701" w:type="dxa"/>
          </w:tcPr>
          <w:p w14:paraId="23EF85E7" w14:textId="77777777" w:rsidR="00304303" w:rsidRPr="00354295" w:rsidRDefault="00304303" w:rsidP="009956C3">
            <w:pPr>
              <w:pStyle w:val="TableFigureHeading"/>
              <w:rPr>
                <w:szCs w:val="20"/>
              </w:rPr>
            </w:pPr>
            <w:r w:rsidRPr="00354295">
              <w:rPr>
                <w:szCs w:val="20"/>
              </w:rPr>
              <w:t>Placebo</w:t>
            </w:r>
          </w:p>
          <w:p w14:paraId="167577F6" w14:textId="36F0A1A5" w:rsidR="00304303" w:rsidRPr="00354295" w:rsidRDefault="00304303" w:rsidP="009956C3">
            <w:pPr>
              <w:pStyle w:val="TableFigureHeading"/>
              <w:rPr>
                <w:szCs w:val="20"/>
              </w:rPr>
            </w:pPr>
            <w:r w:rsidRPr="00354295">
              <w:rPr>
                <w:szCs w:val="20"/>
              </w:rPr>
              <w:t>N = 72</w:t>
            </w:r>
          </w:p>
        </w:tc>
        <w:tc>
          <w:tcPr>
            <w:tcW w:w="1418" w:type="dxa"/>
          </w:tcPr>
          <w:p w14:paraId="48760FA8" w14:textId="04BDB486" w:rsidR="00304303" w:rsidRPr="00354295" w:rsidRDefault="00304303" w:rsidP="009956C3">
            <w:pPr>
              <w:pStyle w:val="TableFigureHeading"/>
              <w:rPr>
                <w:szCs w:val="20"/>
              </w:rPr>
            </w:pPr>
            <w:r w:rsidRPr="00354295">
              <w:rPr>
                <w:szCs w:val="20"/>
              </w:rPr>
              <w:t xml:space="preserve">BKZ 320mg </w:t>
            </w:r>
            <w:r w:rsidR="005756D0" w:rsidRPr="00354295">
              <w:rPr>
                <w:szCs w:val="20"/>
              </w:rPr>
              <w:t>every 2 weeks</w:t>
            </w:r>
          </w:p>
          <w:p w14:paraId="3387CC85" w14:textId="74437C44" w:rsidR="00304303" w:rsidRPr="00354295" w:rsidRDefault="00304303" w:rsidP="009956C3">
            <w:pPr>
              <w:pStyle w:val="TableFigureHeading"/>
              <w:rPr>
                <w:szCs w:val="20"/>
              </w:rPr>
            </w:pPr>
            <w:r w:rsidRPr="00354295">
              <w:rPr>
                <w:szCs w:val="20"/>
              </w:rPr>
              <w:t>N = 291</w:t>
            </w:r>
          </w:p>
        </w:tc>
        <w:tc>
          <w:tcPr>
            <w:tcW w:w="1984" w:type="dxa"/>
          </w:tcPr>
          <w:p w14:paraId="5C032D8B" w14:textId="77777777" w:rsidR="00304303" w:rsidRPr="00354295" w:rsidRDefault="00304303" w:rsidP="009956C3">
            <w:pPr>
              <w:pStyle w:val="TableFigureHeading"/>
              <w:rPr>
                <w:szCs w:val="20"/>
              </w:rPr>
            </w:pPr>
            <w:r w:rsidRPr="00354295">
              <w:rPr>
                <w:szCs w:val="20"/>
              </w:rPr>
              <w:t>Placebo</w:t>
            </w:r>
          </w:p>
          <w:p w14:paraId="7BBDCDF9" w14:textId="00F71C78" w:rsidR="00304303" w:rsidRPr="00354295" w:rsidRDefault="00304303" w:rsidP="009956C3">
            <w:pPr>
              <w:pStyle w:val="TableFigureHeading"/>
              <w:rPr>
                <w:szCs w:val="20"/>
              </w:rPr>
            </w:pPr>
            <w:r w:rsidRPr="00354295">
              <w:rPr>
                <w:szCs w:val="20"/>
              </w:rPr>
              <w:t>N = 74</w:t>
            </w:r>
          </w:p>
        </w:tc>
      </w:tr>
      <w:tr w:rsidR="00304303" w:rsidRPr="00354295" w14:paraId="14043C43" w14:textId="77777777" w:rsidTr="00B66F7A">
        <w:tc>
          <w:tcPr>
            <w:tcW w:w="2263" w:type="dxa"/>
          </w:tcPr>
          <w:p w14:paraId="23C17BB7" w14:textId="77777777" w:rsidR="001F6615" w:rsidRPr="00354295" w:rsidRDefault="00304303" w:rsidP="009956C3">
            <w:pPr>
              <w:pStyle w:val="TableFigureHeading"/>
              <w:rPr>
                <w:b w:val="0"/>
                <w:bCs w:val="0"/>
                <w:szCs w:val="20"/>
              </w:rPr>
            </w:pPr>
            <w:r w:rsidRPr="00354295">
              <w:rPr>
                <w:b w:val="0"/>
                <w:bCs w:val="0"/>
                <w:szCs w:val="20"/>
              </w:rPr>
              <w:t>HiSCR50 at week 16, n</w:t>
            </w:r>
          </w:p>
          <w:p w14:paraId="284C0438" w14:textId="1CC09930" w:rsidR="00304303" w:rsidRPr="00354295" w:rsidRDefault="00304303" w:rsidP="009956C3">
            <w:pPr>
              <w:pStyle w:val="TableFigureHeading"/>
              <w:rPr>
                <w:b w:val="0"/>
                <w:bCs w:val="0"/>
                <w:szCs w:val="20"/>
              </w:rPr>
            </w:pPr>
            <w:r w:rsidRPr="00354295">
              <w:rPr>
                <w:b w:val="0"/>
                <w:bCs w:val="0"/>
                <w:szCs w:val="20"/>
              </w:rPr>
              <w:t>%</w:t>
            </w:r>
          </w:p>
          <w:p w14:paraId="64A831BA" w14:textId="1AA6B77D" w:rsidR="00304303" w:rsidRPr="00354295" w:rsidRDefault="00304303" w:rsidP="009956C3">
            <w:pPr>
              <w:pStyle w:val="TableFigureHeading"/>
              <w:rPr>
                <w:b w:val="0"/>
                <w:bCs w:val="0"/>
                <w:szCs w:val="20"/>
              </w:rPr>
            </w:pPr>
            <w:r w:rsidRPr="00354295">
              <w:rPr>
                <w:b w:val="0"/>
                <w:bCs w:val="0"/>
                <w:szCs w:val="20"/>
              </w:rPr>
              <w:t xml:space="preserve"> 95% CI</w:t>
            </w:r>
          </w:p>
        </w:tc>
        <w:tc>
          <w:tcPr>
            <w:tcW w:w="1701" w:type="dxa"/>
          </w:tcPr>
          <w:p w14:paraId="06E0C4E1" w14:textId="77777777" w:rsidR="00304303" w:rsidRPr="00354295" w:rsidRDefault="00304303" w:rsidP="009956C3">
            <w:pPr>
              <w:pStyle w:val="TableFigureHeading"/>
              <w:rPr>
                <w:b w:val="0"/>
                <w:bCs w:val="0"/>
                <w:szCs w:val="20"/>
              </w:rPr>
            </w:pPr>
            <w:r w:rsidRPr="00354295">
              <w:rPr>
                <w:b w:val="0"/>
                <w:bCs w:val="0"/>
                <w:szCs w:val="20"/>
              </w:rPr>
              <w:t>138</w:t>
            </w:r>
          </w:p>
          <w:p w14:paraId="35830091" w14:textId="77777777" w:rsidR="00304303" w:rsidRPr="00354295" w:rsidRDefault="00304303" w:rsidP="009956C3">
            <w:pPr>
              <w:pStyle w:val="TableFigureHeading"/>
              <w:rPr>
                <w:b w:val="0"/>
                <w:bCs w:val="0"/>
                <w:szCs w:val="20"/>
              </w:rPr>
            </w:pPr>
            <w:r w:rsidRPr="00354295">
              <w:rPr>
                <w:b w:val="0"/>
                <w:bCs w:val="0"/>
                <w:szCs w:val="20"/>
              </w:rPr>
              <w:t>47.8%</w:t>
            </w:r>
          </w:p>
          <w:p w14:paraId="2388A26F" w14:textId="7664F8B9" w:rsidR="00304303" w:rsidRPr="00354295" w:rsidRDefault="00304303" w:rsidP="009956C3">
            <w:pPr>
              <w:pStyle w:val="TableFigureHeading"/>
              <w:rPr>
                <w:b w:val="0"/>
                <w:bCs w:val="0"/>
                <w:szCs w:val="20"/>
              </w:rPr>
            </w:pPr>
            <w:r w:rsidRPr="00354295">
              <w:rPr>
                <w:b w:val="0"/>
                <w:bCs w:val="0"/>
                <w:szCs w:val="20"/>
              </w:rPr>
              <w:t>41.8, 53.7</w:t>
            </w:r>
          </w:p>
        </w:tc>
        <w:tc>
          <w:tcPr>
            <w:tcW w:w="1701" w:type="dxa"/>
          </w:tcPr>
          <w:p w14:paraId="362A58F7" w14:textId="77777777" w:rsidR="00304303" w:rsidRPr="00354295" w:rsidRDefault="00304303" w:rsidP="009956C3">
            <w:pPr>
              <w:pStyle w:val="TableFigureHeading"/>
              <w:rPr>
                <w:b w:val="0"/>
                <w:bCs w:val="0"/>
                <w:szCs w:val="20"/>
              </w:rPr>
            </w:pPr>
            <w:r w:rsidRPr="00354295">
              <w:rPr>
                <w:b w:val="0"/>
                <w:bCs w:val="0"/>
                <w:szCs w:val="20"/>
              </w:rPr>
              <w:t>21</w:t>
            </w:r>
          </w:p>
          <w:p w14:paraId="13876D44" w14:textId="3C5D68D6" w:rsidR="00304303" w:rsidRPr="00354295" w:rsidRDefault="00304303" w:rsidP="009956C3">
            <w:pPr>
              <w:pStyle w:val="TableFigureHeading"/>
              <w:rPr>
                <w:b w:val="0"/>
                <w:bCs w:val="0"/>
                <w:szCs w:val="20"/>
              </w:rPr>
            </w:pPr>
            <w:r w:rsidRPr="00354295">
              <w:rPr>
                <w:b w:val="0"/>
                <w:bCs w:val="0"/>
                <w:szCs w:val="20"/>
              </w:rPr>
              <w:t>28.7%</w:t>
            </w:r>
          </w:p>
          <w:p w14:paraId="4BCC4B73" w14:textId="760ED73E" w:rsidR="00304303" w:rsidRPr="00354295" w:rsidRDefault="00304303" w:rsidP="009956C3">
            <w:pPr>
              <w:pStyle w:val="TableFigureHeading"/>
              <w:rPr>
                <w:b w:val="0"/>
                <w:bCs w:val="0"/>
                <w:szCs w:val="20"/>
              </w:rPr>
            </w:pPr>
            <w:r w:rsidRPr="00354295">
              <w:rPr>
                <w:b w:val="0"/>
                <w:bCs w:val="0"/>
                <w:szCs w:val="20"/>
              </w:rPr>
              <w:t>18.1, 39.3</w:t>
            </w:r>
          </w:p>
        </w:tc>
        <w:tc>
          <w:tcPr>
            <w:tcW w:w="1418" w:type="dxa"/>
          </w:tcPr>
          <w:p w14:paraId="12200805" w14:textId="77777777" w:rsidR="00304303" w:rsidRPr="00354295" w:rsidRDefault="00304303" w:rsidP="009956C3">
            <w:pPr>
              <w:pStyle w:val="TableFigureHeading"/>
              <w:rPr>
                <w:b w:val="0"/>
                <w:bCs w:val="0"/>
                <w:szCs w:val="20"/>
              </w:rPr>
            </w:pPr>
            <w:r w:rsidRPr="00354295">
              <w:rPr>
                <w:b w:val="0"/>
                <w:bCs w:val="0"/>
                <w:szCs w:val="20"/>
              </w:rPr>
              <w:t>151</w:t>
            </w:r>
          </w:p>
          <w:p w14:paraId="1898768D" w14:textId="77777777" w:rsidR="00304303" w:rsidRPr="00354295" w:rsidRDefault="00304303" w:rsidP="009956C3">
            <w:pPr>
              <w:pStyle w:val="TableFigureHeading"/>
              <w:rPr>
                <w:b w:val="0"/>
                <w:bCs w:val="0"/>
                <w:szCs w:val="20"/>
              </w:rPr>
            </w:pPr>
            <w:r w:rsidRPr="00354295">
              <w:rPr>
                <w:b w:val="0"/>
                <w:bCs w:val="0"/>
                <w:szCs w:val="20"/>
              </w:rPr>
              <w:t>52.0%</w:t>
            </w:r>
          </w:p>
          <w:p w14:paraId="77774D6C" w14:textId="787F4DD6" w:rsidR="00304303" w:rsidRPr="00354295" w:rsidRDefault="00304303" w:rsidP="009956C3">
            <w:pPr>
              <w:pStyle w:val="TableFigureHeading"/>
              <w:rPr>
                <w:b w:val="0"/>
                <w:bCs w:val="0"/>
                <w:szCs w:val="20"/>
              </w:rPr>
            </w:pPr>
            <w:r w:rsidRPr="00354295">
              <w:rPr>
                <w:b w:val="0"/>
                <w:bCs w:val="0"/>
                <w:szCs w:val="20"/>
              </w:rPr>
              <w:t xml:space="preserve">46.1, 57.8 </w:t>
            </w:r>
          </w:p>
        </w:tc>
        <w:tc>
          <w:tcPr>
            <w:tcW w:w="1984" w:type="dxa"/>
          </w:tcPr>
          <w:p w14:paraId="2CCA5BBC" w14:textId="77777777" w:rsidR="00304303" w:rsidRPr="00354295" w:rsidRDefault="00304303" w:rsidP="009956C3">
            <w:pPr>
              <w:pStyle w:val="TableFigureHeading"/>
              <w:rPr>
                <w:b w:val="0"/>
                <w:bCs w:val="0"/>
                <w:szCs w:val="20"/>
              </w:rPr>
            </w:pPr>
            <w:r w:rsidRPr="00354295">
              <w:rPr>
                <w:b w:val="0"/>
                <w:bCs w:val="0"/>
                <w:szCs w:val="20"/>
              </w:rPr>
              <w:t xml:space="preserve">24 </w:t>
            </w:r>
          </w:p>
          <w:p w14:paraId="5443FE2D" w14:textId="77777777" w:rsidR="00304303" w:rsidRPr="00354295" w:rsidRDefault="00304303" w:rsidP="009956C3">
            <w:pPr>
              <w:pStyle w:val="TableFigureHeading"/>
              <w:rPr>
                <w:b w:val="0"/>
                <w:bCs w:val="0"/>
                <w:szCs w:val="20"/>
              </w:rPr>
            </w:pPr>
            <w:r w:rsidRPr="00354295">
              <w:rPr>
                <w:b w:val="0"/>
                <w:bCs w:val="0"/>
                <w:szCs w:val="20"/>
              </w:rPr>
              <w:t>32.2%</w:t>
            </w:r>
          </w:p>
          <w:p w14:paraId="36E20F7D" w14:textId="0EB1A67B" w:rsidR="00304303" w:rsidRPr="00354295" w:rsidRDefault="00304303" w:rsidP="009956C3">
            <w:pPr>
              <w:pStyle w:val="TableFigureHeading"/>
              <w:rPr>
                <w:b w:val="0"/>
                <w:bCs w:val="0"/>
                <w:szCs w:val="20"/>
              </w:rPr>
            </w:pPr>
            <w:r w:rsidRPr="00354295">
              <w:rPr>
                <w:b w:val="0"/>
                <w:bCs w:val="0"/>
                <w:szCs w:val="20"/>
              </w:rPr>
              <w:t>21.4, 42.9</w:t>
            </w:r>
          </w:p>
        </w:tc>
      </w:tr>
      <w:tr w:rsidR="00304303" w:rsidRPr="00354295" w14:paraId="7A75CF73" w14:textId="77777777" w:rsidTr="00B66F7A">
        <w:tc>
          <w:tcPr>
            <w:tcW w:w="2263" w:type="dxa"/>
          </w:tcPr>
          <w:p w14:paraId="52E6DD5E" w14:textId="76A6879A" w:rsidR="00304303" w:rsidRPr="00354295" w:rsidRDefault="00304303" w:rsidP="009956C3">
            <w:pPr>
              <w:pStyle w:val="TableFigureHeading"/>
              <w:rPr>
                <w:b w:val="0"/>
                <w:bCs w:val="0"/>
                <w:szCs w:val="20"/>
              </w:rPr>
            </w:pPr>
            <w:r w:rsidRPr="00354295">
              <w:rPr>
                <w:b w:val="0"/>
                <w:bCs w:val="0"/>
                <w:szCs w:val="20"/>
              </w:rPr>
              <w:t>Difference (95% CI)</w:t>
            </w:r>
          </w:p>
        </w:tc>
        <w:tc>
          <w:tcPr>
            <w:tcW w:w="3402" w:type="dxa"/>
            <w:gridSpan w:val="2"/>
          </w:tcPr>
          <w:p w14:paraId="5ED3B43A" w14:textId="34EA5411" w:rsidR="00304303" w:rsidRPr="00354295" w:rsidRDefault="00304303" w:rsidP="00572BB7">
            <w:pPr>
              <w:pStyle w:val="TableFigureHeading"/>
              <w:jc w:val="center"/>
              <w:rPr>
                <w:szCs w:val="20"/>
              </w:rPr>
            </w:pPr>
            <w:r w:rsidRPr="00354295">
              <w:rPr>
                <w:szCs w:val="20"/>
              </w:rPr>
              <w:t>18.1 (6.3, 30.0)</w:t>
            </w:r>
          </w:p>
        </w:tc>
        <w:tc>
          <w:tcPr>
            <w:tcW w:w="3402" w:type="dxa"/>
            <w:gridSpan w:val="2"/>
          </w:tcPr>
          <w:p w14:paraId="33A34F66" w14:textId="68D04BD3" w:rsidR="00304303" w:rsidRPr="00354295" w:rsidRDefault="00304303" w:rsidP="00572BB7">
            <w:pPr>
              <w:pStyle w:val="TableFigureHeading"/>
              <w:jc w:val="center"/>
              <w:rPr>
                <w:szCs w:val="20"/>
              </w:rPr>
            </w:pPr>
            <w:r w:rsidRPr="00354295">
              <w:rPr>
                <w:szCs w:val="20"/>
              </w:rPr>
              <w:t>19.6 (7.5, 31.7)</w:t>
            </w:r>
          </w:p>
        </w:tc>
      </w:tr>
      <w:tr w:rsidR="00304303" w:rsidRPr="00354295" w14:paraId="23001611" w14:textId="77777777" w:rsidTr="00B66F7A">
        <w:tc>
          <w:tcPr>
            <w:tcW w:w="2263" w:type="dxa"/>
          </w:tcPr>
          <w:p w14:paraId="74D7500E" w14:textId="437C9734" w:rsidR="00304303" w:rsidRPr="00354295" w:rsidRDefault="00304303" w:rsidP="009956C3">
            <w:pPr>
              <w:pStyle w:val="TableFigureHeading"/>
              <w:rPr>
                <w:b w:val="0"/>
                <w:bCs w:val="0"/>
                <w:szCs w:val="20"/>
              </w:rPr>
            </w:pPr>
            <w:r w:rsidRPr="00354295">
              <w:rPr>
                <w:b w:val="0"/>
                <w:bCs w:val="0"/>
                <w:szCs w:val="20"/>
              </w:rPr>
              <w:t>IHS4, CFB, mean</w:t>
            </w:r>
            <w:r w:rsidR="001F6615" w:rsidRPr="00354295">
              <w:rPr>
                <w:b w:val="0"/>
                <w:bCs w:val="0"/>
                <w:szCs w:val="20"/>
              </w:rPr>
              <w:t xml:space="preserve"> </w:t>
            </w:r>
            <w:r w:rsidRPr="00354295">
              <w:rPr>
                <w:b w:val="0"/>
                <w:bCs w:val="0"/>
                <w:szCs w:val="20"/>
              </w:rPr>
              <w:t>(SE)</w:t>
            </w:r>
          </w:p>
        </w:tc>
        <w:tc>
          <w:tcPr>
            <w:tcW w:w="1701" w:type="dxa"/>
          </w:tcPr>
          <w:p w14:paraId="0327271F" w14:textId="3B21B704" w:rsidR="00304303" w:rsidRPr="00354295" w:rsidRDefault="00304303" w:rsidP="009956C3">
            <w:pPr>
              <w:pStyle w:val="TableFigureHeading"/>
              <w:rPr>
                <w:b w:val="0"/>
                <w:bCs w:val="0"/>
                <w:szCs w:val="20"/>
              </w:rPr>
            </w:pPr>
            <w:r w:rsidRPr="00354295">
              <w:rPr>
                <w:b w:val="0"/>
                <w:bCs w:val="0"/>
                <w:szCs w:val="20"/>
              </w:rPr>
              <w:t>-15.6 (1.4)</w:t>
            </w:r>
          </w:p>
        </w:tc>
        <w:tc>
          <w:tcPr>
            <w:tcW w:w="1701" w:type="dxa"/>
          </w:tcPr>
          <w:p w14:paraId="1014714F" w14:textId="51981397" w:rsidR="00304303" w:rsidRPr="00354295" w:rsidRDefault="00304303" w:rsidP="009956C3">
            <w:pPr>
              <w:pStyle w:val="TableFigureHeading"/>
              <w:rPr>
                <w:b w:val="0"/>
                <w:bCs w:val="0"/>
                <w:szCs w:val="20"/>
              </w:rPr>
            </w:pPr>
            <w:r w:rsidRPr="00354295">
              <w:rPr>
                <w:b w:val="0"/>
                <w:bCs w:val="0"/>
                <w:szCs w:val="20"/>
              </w:rPr>
              <w:t>-4.9 (2.6)</w:t>
            </w:r>
          </w:p>
        </w:tc>
        <w:tc>
          <w:tcPr>
            <w:tcW w:w="1418" w:type="dxa"/>
          </w:tcPr>
          <w:p w14:paraId="7B4B9B25" w14:textId="6EB5B784" w:rsidR="00304303" w:rsidRPr="00354295" w:rsidRDefault="00304303" w:rsidP="009956C3">
            <w:pPr>
              <w:pStyle w:val="TableFigureHeading"/>
              <w:rPr>
                <w:b w:val="0"/>
                <w:bCs w:val="0"/>
                <w:szCs w:val="20"/>
              </w:rPr>
            </w:pPr>
            <w:r w:rsidRPr="00354295">
              <w:rPr>
                <w:b w:val="0"/>
                <w:bCs w:val="0"/>
                <w:szCs w:val="20"/>
              </w:rPr>
              <w:t>-17.7 (1.3)</w:t>
            </w:r>
          </w:p>
        </w:tc>
        <w:tc>
          <w:tcPr>
            <w:tcW w:w="1984" w:type="dxa"/>
          </w:tcPr>
          <w:p w14:paraId="1E8BDB2C" w14:textId="4A900EE0" w:rsidR="00304303" w:rsidRPr="00354295" w:rsidRDefault="00304303" w:rsidP="009956C3">
            <w:pPr>
              <w:pStyle w:val="TableFigureHeading"/>
              <w:rPr>
                <w:b w:val="0"/>
                <w:bCs w:val="0"/>
                <w:szCs w:val="20"/>
              </w:rPr>
            </w:pPr>
            <w:r w:rsidRPr="00354295">
              <w:rPr>
                <w:b w:val="0"/>
                <w:bCs w:val="0"/>
                <w:szCs w:val="20"/>
              </w:rPr>
              <w:t>-6.8 (1.9)</w:t>
            </w:r>
          </w:p>
        </w:tc>
      </w:tr>
      <w:tr w:rsidR="00A906A5" w:rsidRPr="00354295" w14:paraId="1506499C" w14:textId="77777777" w:rsidTr="00B66F7A">
        <w:tc>
          <w:tcPr>
            <w:tcW w:w="2263" w:type="dxa"/>
          </w:tcPr>
          <w:p w14:paraId="3E1EA2DF" w14:textId="0C779A5A" w:rsidR="00A906A5" w:rsidRPr="00354295" w:rsidRDefault="00A906A5" w:rsidP="00A906A5">
            <w:pPr>
              <w:pStyle w:val="TableFigureHeading"/>
              <w:rPr>
                <w:b w:val="0"/>
                <w:bCs w:val="0"/>
                <w:szCs w:val="20"/>
              </w:rPr>
            </w:pPr>
            <w:r w:rsidRPr="00354295">
              <w:rPr>
                <w:b w:val="0"/>
                <w:bCs w:val="0"/>
                <w:szCs w:val="20"/>
              </w:rPr>
              <w:t>Baseline Abscess + nodule count, mean (SD)</w:t>
            </w:r>
          </w:p>
        </w:tc>
        <w:tc>
          <w:tcPr>
            <w:tcW w:w="1701" w:type="dxa"/>
          </w:tcPr>
          <w:p w14:paraId="385B2A9E" w14:textId="64A80845" w:rsidR="00A906A5" w:rsidRPr="00354295" w:rsidRDefault="00A906A5" w:rsidP="00A906A5">
            <w:pPr>
              <w:pStyle w:val="TableFigureHeading"/>
              <w:rPr>
                <w:b w:val="0"/>
                <w:bCs w:val="0"/>
                <w:szCs w:val="20"/>
              </w:rPr>
            </w:pPr>
            <w:r w:rsidRPr="00354295">
              <w:rPr>
                <w:b w:val="0"/>
                <w:bCs w:val="0"/>
                <w:szCs w:val="20"/>
              </w:rPr>
              <w:t>15.3 (13.5)</w:t>
            </w:r>
          </w:p>
        </w:tc>
        <w:tc>
          <w:tcPr>
            <w:tcW w:w="1701" w:type="dxa"/>
          </w:tcPr>
          <w:p w14:paraId="1C7EAE91" w14:textId="1D522486" w:rsidR="00A906A5" w:rsidRPr="00354295" w:rsidRDefault="00A906A5" w:rsidP="00A906A5">
            <w:pPr>
              <w:pStyle w:val="TableFigureHeading"/>
              <w:rPr>
                <w:b w:val="0"/>
                <w:bCs w:val="0"/>
                <w:szCs w:val="20"/>
              </w:rPr>
            </w:pPr>
            <w:r w:rsidRPr="00354295">
              <w:rPr>
                <w:b w:val="0"/>
                <w:bCs w:val="0"/>
                <w:szCs w:val="20"/>
              </w:rPr>
              <w:t>15.0 (11.9)</w:t>
            </w:r>
          </w:p>
        </w:tc>
        <w:tc>
          <w:tcPr>
            <w:tcW w:w="1418" w:type="dxa"/>
          </w:tcPr>
          <w:p w14:paraId="42FBA8DF" w14:textId="734FD9E8" w:rsidR="00A906A5" w:rsidRPr="00354295" w:rsidRDefault="00A906A5" w:rsidP="00A906A5">
            <w:pPr>
              <w:pStyle w:val="TableFigureHeading"/>
              <w:rPr>
                <w:b w:val="0"/>
                <w:bCs w:val="0"/>
                <w:szCs w:val="20"/>
              </w:rPr>
            </w:pPr>
            <w:r w:rsidRPr="00354295">
              <w:rPr>
                <w:b w:val="0"/>
                <w:bCs w:val="0"/>
                <w:szCs w:val="20"/>
              </w:rPr>
              <w:t>16.7 (15.5)</w:t>
            </w:r>
          </w:p>
        </w:tc>
        <w:tc>
          <w:tcPr>
            <w:tcW w:w="1984" w:type="dxa"/>
          </w:tcPr>
          <w:p w14:paraId="4B8A55B1" w14:textId="59678015" w:rsidR="00A906A5" w:rsidRPr="00354295" w:rsidRDefault="00A906A5" w:rsidP="00A906A5">
            <w:pPr>
              <w:pStyle w:val="TableFigureHeading"/>
              <w:rPr>
                <w:b w:val="0"/>
                <w:bCs w:val="0"/>
                <w:szCs w:val="20"/>
              </w:rPr>
            </w:pPr>
            <w:r w:rsidRPr="00354295">
              <w:rPr>
                <w:b w:val="0"/>
                <w:bCs w:val="0"/>
                <w:szCs w:val="20"/>
              </w:rPr>
              <w:t>13.9 (7.8)</w:t>
            </w:r>
          </w:p>
        </w:tc>
      </w:tr>
      <w:tr w:rsidR="00A906A5" w:rsidRPr="00354295" w14:paraId="33C0462F" w14:textId="77777777" w:rsidTr="00B66F7A">
        <w:tc>
          <w:tcPr>
            <w:tcW w:w="2263" w:type="dxa"/>
          </w:tcPr>
          <w:p w14:paraId="555B3FF9" w14:textId="247B5443" w:rsidR="00A906A5" w:rsidRPr="00354295" w:rsidRDefault="00A906A5" w:rsidP="00A906A5">
            <w:pPr>
              <w:pStyle w:val="TableFigureHeading"/>
              <w:rPr>
                <w:b w:val="0"/>
                <w:bCs w:val="0"/>
                <w:szCs w:val="20"/>
              </w:rPr>
            </w:pPr>
            <w:r w:rsidRPr="00354295">
              <w:rPr>
                <w:b w:val="0"/>
                <w:bCs w:val="0"/>
                <w:szCs w:val="20"/>
              </w:rPr>
              <w:t>Abscess + nodule count, CFB, mean (SE)</w:t>
            </w:r>
          </w:p>
        </w:tc>
        <w:tc>
          <w:tcPr>
            <w:tcW w:w="1701" w:type="dxa"/>
          </w:tcPr>
          <w:p w14:paraId="28B21D55" w14:textId="53561B56" w:rsidR="00A906A5" w:rsidRPr="00354295" w:rsidRDefault="00A906A5" w:rsidP="00A906A5">
            <w:pPr>
              <w:pStyle w:val="TableFigureHeading"/>
              <w:rPr>
                <w:b w:val="0"/>
                <w:bCs w:val="0"/>
                <w:szCs w:val="20"/>
              </w:rPr>
            </w:pPr>
            <w:r w:rsidRPr="00354295">
              <w:rPr>
                <w:b w:val="0"/>
                <w:bCs w:val="0"/>
                <w:szCs w:val="20"/>
              </w:rPr>
              <w:t>-7.5 (0.6)</w:t>
            </w:r>
          </w:p>
        </w:tc>
        <w:tc>
          <w:tcPr>
            <w:tcW w:w="1701" w:type="dxa"/>
          </w:tcPr>
          <w:p w14:paraId="541C129B" w14:textId="1BF4DD94" w:rsidR="00A906A5" w:rsidRPr="00354295" w:rsidRDefault="00A906A5" w:rsidP="00A906A5">
            <w:pPr>
              <w:pStyle w:val="TableFigureHeading"/>
              <w:rPr>
                <w:b w:val="0"/>
                <w:bCs w:val="0"/>
                <w:szCs w:val="20"/>
              </w:rPr>
            </w:pPr>
            <w:r w:rsidRPr="00354295">
              <w:rPr>
                <w:b w:val="0"/>
                <w:bCs w:val="0"/>
                <w:szCs w:val="20"/>
              </w:rPr>
              <w:t>-3.9 (1.1)</w:t>
            </w:r>
          </w:p>
        </w:tc>
        <w:tc>
          <w:tcPr>
            <w:tcW w:w="1418" w:type="dxa"/>
          </w:tcPr>
          <w:p w14:paraId="54029E26" w14:textId="44550E60" w:rsidR="00A906A5" w:rsidRPr="00354295" w:rsidRDefault="00A906A5" w:rsidP="00A906A5">
            <w:pPr>
              <w:pStyle w:val="TableFigureHeading"/>
              <w:rPr>
                <w:b w:val="0"/>
                <w:bCs w:val="0"/>
                <w:szCs w:val="20"/>
              </w:rPr>
            </w:pPr>
            <w:r w:rsidRPr="00354295">
              <w:rPr>
                <w:b w:val="0"/>
                <w:bCs w:val="0"/>
                <w:szCs w:val="20"/>
              </w:rPr>
              <w:t>-8.9 (0.6)</w:t>
            </w:r>
          </w:p>
        </w:tc>
        <w:tc>
          <w:tcPr>
            <w:tcW w:w="1984" w:type="dxa"/>
          </w:tcPr>
          <w:p w14:paraId="0379E97B" w14:textId="664D128A" w:rsidR="00A906A5" w:rsidRPr="00354295" w:rsidRDefault="00A906A5" w:rsidP="00A906A5">
            <w:pPr>
              <w:pStyle w:val="TableFigureHeading"/>
              <w:rPr>
                <w:b w:val="0"/>
                <w:bCs w:val="0"/>
                <w:szCs w:val="20"/>
              </w:rPr>
            </w:pPr>
            <w:r w:rsidRPr="00354295">
              <w:rPr>
                <w:b w:val="0"/>
                <w:bCs w:val="0"/>
                <w:szCs w:val="20"/>
              </w:rPr>
              <w:t>-4.4 (0.9)</w:t>
            </w:r>
          </w:p>
        </w:tc>
      </w:tr>
      <w:tr w:rsidR="00A906A5" w:rsidRPr="00354295" w14:paraId="50FC136A" w14:textId="77777777" w:rsidTr="00B66F7A">
        <w:tc>
          <w:tcPr>
            <w:tcW w:w="2263" w:type="dxa"/>
          </w:tcPr>
          <w:p w14:paraId="34433004" w14:textId="157D6ACC" w:rsidR="00A906A5" w:rsidRPr="00354295" w:rsidRDefault="00A906A5" w:rsidP="00A906A5">
            <w:pPr>
              <w:pStyle w:val="TableFigureHeading"/>
              <w:rPr>
                <w:b w:val="0"/>
                <w:bCs w:val="0"/>
                <w:szCs w:val="20"/>
              </w:rPr>
            </w:pPr>
            <w:r w:rsidRPr="00354295">
              <w:rPr>
                <w:b w:val="0"/>
                <w:bCs w:val="0"/>
                <w:szCs w:val="20"/>
              </w:rPr>
              <w:t>Baseline Draining tunnel count, mean (SD)</w:t>
            </w:r>
          </w:p>
        </w:tc>
        <w:tc>
          <w:tcPr>
            <w:tcW w:w="1701" w:type="dxa"/>
          </w:tcPr>
          <w:p w14:paraId="1095D702" w14:textId="01FBD5D3" w:rsidR="00A906A5" w:rsidRPr="00354295" w:rsidRDefault="00A906A5" w:rsidP="00A906A5">
            <w:pPr>
              <w:pStyle w:val="TableFigureHeading"/>
              <w:rPr>
                <w:b w:val="0"/>
                <w:bCs w:val="0"/>
                <w:szCs w:val="20"/>
              </w:rPr>
            </w:pPr>
            <w:r w:rsidRPr="00354295">
              <w:rPr>
                <w:b w:val="0"/>
                <w:bCs w:val="0"/>
                <w:szCs w:val="20"/>
              </w:rPr>
              <w:t>4.0 (0.3)</w:t>
            </w:r>
          </w:p>
        </w:tc>
        <w:tc>
          <w:tcPr>
            <w:tcW w:w="1701" w:type="dxa"/>
          </w:tcPr>
          <w:p w14:paraId="5F661B20" w14:textId="3546C1F7" w:rsidR="00A906A5" w:rsidRPr="00354295" w:rsidRDefault="00A906A5" w:rsidP="00A906A5">
            <w:pPr>
              <w:pStyle w:val="TableFigureHeading"/>
              <w:rPr>
                <w:b w:val="0"/>
                <w:bCs w:val="0"/>
                <w:szCs w:val="20"/>
              </w:rPr>
            </w:pPr>
            <w:r w:rsidRPr="00354295">
              <w:rPr>
                <w:b w:val="0"/>
                <w:bCs w:val="0"/>
                <w:szCs w:val="20"/>
              </w:rPr>
              <w:t>3.2 (0.5)</w:t>
            </w:r>
          </w:p>
        </w:tc>
        <w:tc>
          <w:tcPr>
            <w:tcW w:w="1418" w:type="dxa"/>
          </w:tcPr>
          <w:p w14:paraId="6B2B8BB1" w14:textId="768BF10E" w:rsidR="00A906A5" w:rsidRPr="00354295" w:rsidRDefault="00A906A5" w:rsidP="00A906A5">
            <w:pPr>
              <w:pStyle w:val="TableFigureHeading"/>
              <w:rPr>
                <w:b w:val="0"/>
                <w:bCs w:val="0"/>
                <w:szCs w:val="20"/>
              </w:rPr>
            </w:pPr>
            <w:r w:rsidRPr="00354295">
              <w:rPr>
                <w:b w:val="0"/>
                <w:bCs w:val="0"/>
                <w:szCs w:val="20"/>
              </w:rPr>
              <w:t>3.6 (0.2)</w:t>
            </w:r>
          </w:p>
        </w:tc>
        <w:tc>
          <w:tcPr>
            <w:tcW w:w="1984" w:type="dxa"/>
          </w:tcPr>
          <w:p w14:paraId="009AE2D1" w14:textId="71AB8C23" w:rsidR="00A906A5" w:rsidRPr="00354295" w:rsidRDefault="00A906A5" w:rsidP="00A906A5">
            <w:pPr>
              <w:pStyle w:val="TableFigureHeading"/>
              <w:rPr>
                <w:b w:val="0"/>
                <w:bCs w:val="0"/>
                <w:szCs w:val="20"/>
              </w:rPr>
            </w:pPr>
            <w:r w:rsidRPr="00354295">
              <w:rPr>
                <w:b w:val="0"/>
                <w:bCs w:val="0"/>
                <w:szCs w:val="20"/>
              </w:rPr>
              <w:t>3.5 (0.4)</w:t>
            </w:r>
          </w:p>
        </w:tc>
      </w:tr>
      <w:tr w:rsidR="00A906A5" w:rsidRPr="00354295" w14:paraId="0C9BBA96" w14:textId="77777777" w:rsidTr="00B66F7A">
        <w:tc>
          <w:tcPr>
            <w:tcW w:w="2263" w:type="dxa"/>
          </w:tcPr>
          <w:p w14:paraId="725159F4" w14:textId="7C1B643C" w:rsidR="00A906A5" w:rsidRPr="00354295" w:rsidRDefault="00A906A5" w:rsidP="00A906A5">
            <w:pPr>
              <w:pStyle w:val="TableFigureHeading"/>
              <w:rPr>
                <w:b w:val="0"/>
                <w:bCs w:val="0"/>
                <w:szCs w:val="20"/>
              </w:rPr>
            </w:pPr>
            <w:r w:rsidRPr="00354295">
              <w:rPr>
                <w:b w:val="0"/>
                <w:bCs w:val="0"/>
                <w:szCs w:val="20"/>
              </w:rPr>
              <w:t>Draining tunnel count, CFB, mean (SE)</w:t>
            </w:r>
          </w:p>
        </w:tc>
        <w:tc>
          <w:tcPr>
            <w:tcW w:w="1701" w:type="dxa"/>
          </w:tcPr>
          <w:p w14:paraId="35F4E086" w14:textId="20C21FC0" w:rsidR="00A906A5" w:rsidRPr="00354295" w:rsidRDefault="00A906A5" w:rsidP="00A906A5">
            <w:pPr>
              <w:pStyle w:val="TableFigureHeading"/>
              <w:rPr>
                <w:b w:val="0"/>
                <w:bCs w:val="0"/>
                <w:szCs w:val="20"/>
              </w:rPr>
            </w:pPr>
            <w:r w:rsidRPr="00354295">
              <w:rPr>
                <w:b w:val="0"/>
                <w:bCs w:val="0"/>
                <w:szCs w:val="20"/>
              </w:rPr>
              <w:t>-1.5 (0.2)</w:t>
            </w:r>
          </w:p>
        </w:tc>
        <w:tc>
          <w:tcPr>
            <w:tcW w:w="1701" w:type="dxa"/>
          </w:tcPr>
          <w:p w14:paraId="0E564A53" w14:textId="7FB8EF1D" w:rsidR="00A906A5" w:rsidRPr="00354295" w:rsidRDefault="00A906A5" w:rsidP="00A906A5">
            <w:pPr>
              <w:pStyle w:val="TableFigureHeading"/>
              <w:rPr>
                <w:b w:val="0"/>
                <w:bCs w:val="0"/>
                <w:szCs w:val="20"/>
              </w:rPr>
            </w:pPr>
            <w:r w:rsidRPr="00354295">
              <w:rPr>
                <w:b w:val="0"/>
                <w:bCs w:val="0"/>
                <w:szCs w:val="20"/>
              </w:rPr>
              <w:t>-0.3 (0.4)</w:t>
            </w:r>
          </w:p>
        </w:tc>
        <w:tc>
          <w:tcPr>
            <w:tcW w:w="1418" w:type="dxa"/>
          </w:tcPr>
          <w:p w14:paraId="1F6E1D3C" w14:textId="14A54C9E" w:rsidR="00A906A5" w:rsidRPr="00354295" w:rsidRDefault="00A906A5" w:rsidP="00A906A5">
            <w:pPr>
              <w:pStyle w:val="TableFigureHeading"/>
              <w:rPr>
                <w:b w:val="0"/>
                <w:bCs w:val="0"/>
                <w:szCs w:val="20"/>
              </w:rPr>
            </w:pPr>
            <w:r w:rsidRPr="00354295">
              <w:rPr>
                <w:b w:val="0"/>
                <w:bCs w:val="0"/>
                <w:szCs w:val="20"/>
              </w:rPr>
              <w:t>-1.7 (0.2)</w:t>
            </w:r>
          </w:p>
        </w:tc>
        <w:tc>
          <w:tcPr>
            <w:tcW w:w="1984" w:type="dxa"/>
          </w:tcPr>
          <w:p w14:paraId="5E643A6C" w14:textId="57ABF224" w:rsidR="00A906A5" w:rsidRPr="00354295" w:rsidRDefault="00A906A5" w:rsidP="00A906A5">
            <w:pPr>
              <w:pStyle w:val="TableFigureHeading"/>
              <w:rPr>
                <w:b w:val="0"/>
                <w:bCs w:val="0"/>
                <w:szCs w:val="20"/>
              </w:rPr>
            </w:pPr>
            <w:r w:rsidRPr="00354295">
              <w:rPr>
                <w:b w:val="0"/>
                <w:bCs w:val="0"/>
                <w:szCs w:val="20"/>
              </w:rPr>
              <w:t>-0.4 (0.3)</w:t>
            </w:r>
          </w:p>
        </w:tc>
      </w:tr>
      <w:tr w:rsidR="00A65B03" w:rsidRPr="00354295" w14:paraId="0A36D86C" w14:textId="77777777" w:rsidTr="00B66F7A">
        <w:tc>
          <w:tcPr>
            <w:tcW w:w="2263" w:type="dxa"/>
          </w:tcPr>
          <w:p w14:paraId="3E7AC3A3" w14:textId="4F1FADCA" w:rsidR="00A65B03" w:rsidRPr="00354295" w:rsidRDefault="00A65B03" w:rsidP="00A906A5">
            <w:pPr>
              <w:pStyle w:val="TableFigureHeading"/>
              <w:rPr>
                <w:b w:val="0"/>
                <w:bCs w:val="0"/>
                <w:szCs w:val="20"/>
              </w:rPr>
            </w:pPr>
            <w:r w:rsidRPr="00354295">
              <w:rPr>
                <w:b w:val="0"/>
                <w:bCs w:val="0"/>
                <w:szCs w:val="20"/>
              </w:rPr>
              <w:t>Flares, n (%)</w:t>
            </w:r>
            <w:r w:rsidRPr="00354295">
              <w:rPr>
                <w:b w:val="0"/>
                <w:bCs w:val="0"/>
                <w:szCs w:val="20"/>
                <w:vertAlign w:val="superscript"/>
              </w:rPr>
              <w:t>1</w:t>
            </w:r>
          </w:p>
        </w:tc>
        <w:tc>
          <w:tcPr>
            <w:tcW w:w="1701" w:type="dxa"/>
          </w:tcPr>
          <w:p w14:paraId="06B02C85" w14:textId="07E3B16E" w:rsidR="00A65B03" w:rsidRPr="00354295" w:rsidRDefault="00A65B03" w:rsidP="00A906A5">
            <w:pPr>
              <w:pStyle w:val="TableFigureHeading"/>
              <w:rPr>
                <w:b w:val="0"/>
                <w:bCs w:val="0"/>
                <w:szCs w:val="20"/>
              </w:rPr>
            </w:pPr>
            <w:r w:rsidRPr="00354295">
              <w:rPr>
                <w:b w:val="0"/>
                <w:bCs w:val="0"/>
                <w:szCs w:val="20"/>
              </w:rPr>
              <w:t>82 (28.5%)</w:t>
            </w:r>
          </w:p>
        </w:tc>
        <w:tc>
          <w:tcPr>
            <w:tcW w:w="1701" w:type="dxa"/>
          </w:tcPr>
          <w:p w14:paraId="2FA897CD" w14:textId="75712646" w:rsidR="00A65B03" w:rsidRPr="00354295" w:rsidRDefault="00A65B03" w:rsidP="00A906A5">
            <w:pPr>
              <w:pStyle w:val="TableFigureHeading"/>
              <w:rPr>
                <w:b w:val="0"/>
                <w:bCs w:val="0"/>
                <w:szCs w:val="20"/>
              </w:rPr>
            </w:pPr>
            <w:r w:rsidRPr="00354295">
              <w:rPr>
                <w:b w:val="0"/>
                <w:bCs w:val="0"/>
                <w:szCs w:val="20"/>
              </w:rPr>
              <w:t>34 (47.8%)</w:t>
            </w:r>
          </w:p>
        </w:tc>
        <w:tc>
          <w:tcPr>
            <w:tcW w:w="1418" w:type="dxa"/>
          </w:tcPr>
          <w:p w14:paraId="71D450C3" w14:textId="26CB07D7" w:rsidR="00A65B03" w:rsidRPr="00354295" w:rsidRDefault="00A65B03" w:rsidP="00A906A5">
            <w:pPr>
              <w:pStyle w:val="TableFigureHeading"/>
              <w:rPr>
                <w:b w:val="0"/>
                <w:bCs w:val="0"/>
                <w:szCs w:val="20"/>
              </w:rPr>
            </w:pPr>
            <w:r w:rsidRPr="00354295">
              <w:rPr>
                <w:b w:val="0"/>
                <w:bCs w:val="0"/>
                <w:szCs w:val="20"/>
              </w:rPr>
              <w:t>NR</w:t>
            </w:r>
          </w:p>
        </w:tc>
        <w:tc>
          <w:tcPr>
            <w:tcW w:w="1984" w:type="dxa"/>
          </w:tcPr>
          <w:p w14:paraId="792B3901" w14:textId="3B9319A4" w:rsidR="00A65B03" w:rsidRPr="00354295" w:rsidRDefault="00A65B03" w:rsidP="00A906A5">
            <w:pPr>
              <w:pStyle w:val="TableFigureHeading"/>
              <w:rPr>
                <w:b w:val="0"/>
                <w:bCs w:val="0"/>
                <w:szCs w:val="20"/>
              </w:rPr>
            </w:pPr>
            <w:r w:rsidRPr="00354295">
              <w:rPr>
                <w:b w:val="0"/>
                <w:bCs w:val="0"/>
                <w:szCs w:val="20"/>
              </w:rPr>
              <w:t>NR</w:t>
            </w:r>
          </w:p>
        </w:tc>
      </w:tr>
      <w:tr w:rsidR="00A906A5" w:rsidRPr="00354295" w14:paraId="55260255" w14:textId="77777777" w:rsidTr="00B66F7A">
        <w:tc>
          <w:tcPr>
            <w:tcW w:w="2263" w:type="dxa"/>
          </w:tcPr>
          <w:p w14:paraId="516E3B5F" w14:textId="77777777" w:rsidR="00A906A5" w:rsidRPr="00354295" w:rsidRDefault="00A906A5" w:rsidP="00A906A5">
            <w:pPr>
              <w:pStyle w:val="TableFigureHeading"/>
              <w:rPr>
                <w:b w:val="0"/>
                <w:bCs w:val="0"/>
                <w:szCs w:val="20"/>
              </w:rPr>
            </w:pPr>
            <w:r w:rsidRPr="00354295">
              <w:rPr>
                <w:b w:val="0"/>
                <w:bCs w:val="0"/>
                <w:szCs w:val="20"/>
              </w:rPr>
              <w:t>DLQI, CFB</w:t>
            </w:r>
          </w:p>
          <w:p w14:paraId="56792B5B" w14:textId="77777777" w:rsidR="00A906A5" w:rsidRPr="00354295" w:rsidRDefault="00A906A5" w:rsidP="00A906A5">
            <w:pPr>
              <w:pStyle w:val="TableFigureHeading"/>
              <w:jc w:val="right"/>
              <w:rPr>
                <w:b w:val="0"/>
                <w:bCs w:val="0"/>
                <w:szCs w:val="20"/>
              </w:rPr>
            </w:pPr>
            <w:r w:rsidRPr="00354295">
              <w:rPr>
                <w:b w:val="0"/>
                <w:bCs w:val="0"/>
                <w:szCs w:val="20"/>
              </w:rPr>
              <w:t xml:space="preserve">Median </w:t>
            </w:r>
          </w:p>
          <w:p w14:paraId="15A7F561" w14:textId="074AAA6F" w:rsidR="00A906A5" w:rsidRPr="00354295" w:rsidRDefault="00A906A5" w:rsidP="00A906A5">
            <w:pPr>
              <w:pStyle w:val="TableFigureHeading"/>
              <w:jc w:val="right"/>
              <w:rPr>
                <w:b w:val="0"/>
                <w:bCs w:val="0"/>
                <w:szCs w:val="20"/>
              </w:rPr>
            </w:pPr>
            <w:r w:rsidRPr="00354295">
              <w:rPr>
                <w:b w:val="0"/>
                <w:bCs w:val="0"/>
                <w:szCs w:val="20"/>
              </w:rPr>
              <w:t>IQR</w:t>
            </w:r>
          </w:p>
          <w:p w14:paraId="3858AD11" w14:textId="77777777" w:rsidR="00A906A5" w:rsidRPr="00354295" w:rsidRDefault="00A906A5" w:rsidP="00A906A5">
            <w:pPr>
              <w:pStyle w:val="TableFigureHeading"/>
              <w:jc w:val="right"/>
              <w:rPr>
                <w:b w:val="0"/>
                <w:bCs w:val="0"/>
                <w:szCs w:val="20"/>
              </w:rPr>
            </w:pPr>
            <w:r w:rsidRPr="00354295">
              <w:rPr>
                <w:b w:val="0"/>
                <w:bCs w:val="0"/>
                <w:szCs w:val="20"/>
              </w:rPr>
              <w:t>Range</w:t>
            </w:r>
          </w:p>
          <w:p w14:paraId="4D51D59F" w14:textId="0AD208BC" w:rsidR="00A906A5" w:rsidRPr="00354295" w:rsidRDefault="00A906A5" w:rsidP="00A906A5">
            <w:pPr>
              <w:pStyle w:val="TableFigureHeading"/>
              <w:jc w:val="right"/>
              <w:rPr>
                <w:b w:val="0"/>
                <w:bCs w:val="0"/>
                <w:szCs w:val="20"/>
              </w:rPr>
            </w:pPr>
            <w:r w:rsidRPr="00354295">
              <w:rPr>
                <w:b w:val="0"/>
                <w:bCs w:val="0"/>
                <w:szCs w:val="20"/>
              </w:rPr>
              <w:t>LS Mean (95% CI)</w:t>
            </w:r>
          </w:p>
        </w:tc>
        <w:tc>
          <w:tcPr>
            <w:tcW w:w="1701" w:type="dxa"/>
          </w:tcPr>
          <w:p w14:paraId="73022821" w14:textId="77777777" w:rsidR="00A906A5" w:rsidRPr="00354295" w:rsidRDefault="00A906A5" w:rsidP="00A906A5">
            <w:pPr>
              <w:pStyle w:val="TableFigureHeading"/>
              <w:rPr>
                <w:b w:val="0"/>
                <w:bCs w:val="0"/>
                <w:szCs w:val="20"/>
              </w:rPr>
            </w:pPr>
          </w:p>
          <w:p w14:paraId="1DFC8F11" w14:textId="77777777" w:rsidR="00A906A5" w:rsidRPr="00354295" w:rsidRDefault="00A906A5" w:rsidP="00A906A5">
            <w:pPr>
              <w:pStyle w:val="TableFigureHeading"/>
              <w:rPr>
                <w:b w:val="0"/>
                <w:bCs w:val="0"/>
                <w:szCs w:val="20"/>
              </w:rPr>
            </w:pPr>
            <w:r w:rsidRPr="00354295">
              <w:rPr>
                <w:b w:val="0"/>
                <w:bCs w:val="0"/>
                <w:szCs w:val="20"/>
              </w:rPr>
              <w:t>-4.0</w:t>
            </w:r>
          </w:p>
          <w:p w14:paraId="284620F4" w14:textId="52378B4B" w:rsidR="00A906A5" w:rsidRPr="00354295" w:rsidRDefault="00A906A5" w:rsidP="00A906A5">
            <w:pPr>
              <w:pStyle w:val="TableFigureHeading"/>
              <w:rPr>
                <w:b w:val="0"/>
                <w:bCs w:val="0"/>
                <w:szCs w:val="20"/>
              </w:rPr>
            </w:pPr>
            <w:r w:rsidRPr="00354295">
              <w:rPr>
                <w:b w:val="0"/>
                <w:bCs w:val="0"/>
                <w:szCs w:val="20"/>
              </w:rPr>
              <w:t>-8.0, -1.0</w:t>
            </w:r>
          </w:p>
          <w:p w14:paraId="1B97CE2A" w14:textId="77777777" w:rsidR="00A906A5" w:rsidRPr="00354295" w:rsidRDefault="00A906A5" w:rsidP="00A906A5">
            <w:pPr>
              <w:pStyle w:val="TableFigureHeading"/>
              <w:rPr>
                <w:b w:val="0"/>
                <w:bCs w:val="0"/>
                <w:szCs w:val="20"/>
              </w:rPr>
            </w:pPr>
            <w:r w:rsidRPr="00354295">
              <w:rPr>
                <w:b w:val="0"/>
                <w:bCs w:val="0"/>
                <w:szCs w:val="20"/>
              </w:rPr>
              <w:t>-26.0, 11.0</w:t>
            </w:r>
          </w:p>
          <w:p w14:paraId="577D1964" w14:textId="26738BED" w:rsidR="00A906A5" w:rsidRPr="00354295" w:rsidRDefault="00A906A5" w:rsidP="00A906A5">
            <w:pPr>
              <w:pStyle w:val="TableFigureHeading"/>
              <w:rPr>
                <w:szCs w:val="20"/>
              </w:rPr>
            </w:pPr>
            <w:r w:rsidRPr="00354295">
              <w:rPr>
                <w:szCs w:val="20"/>
              </w:rPr>
              <w:t>-5.2 (-6.1, -4.3)</w:t>
            </w:r>
          </w:p>
        </w:tc>
        <w:tc>
          <w:tcPr>
            <w:tcW w:w="1701" w:type="dxa"/>
          </w:tcPr>
          <w:p w14:paraId="71B93965" w14:textId="77777777" w:rsidR="00A906A5" w:rsidRPr="00354295" w:rsidRDefault="00A906A5" w:rsidP="00A906A5">
            <w:pPr>
              <w:pStyle w:val="TableFigureHeading"/>
              <w:rPr>
                <w:b w:val="0"/>
                <w:bCs w:val="0"/>
                <w:szCs w:val="20"/>
              </w:rPr>
            </w:pPr>
          </w:p>
          <w:p w14:paraId="1C361359" w14:textId="1161D872" w:rsidR="00A906A5" w:rsidRPr="00354295" w:rsidRDefault="00A906A5" w:rsidP="00A906A5">
            <w:pPr>
              <w:pStyle w:val="TableFigureHeading"/>
              <w:rPr>
                <w:b w:val="0"/>
                <w:bCs w:val="0"/>
                <w:szCs w:val="20"/>
              </w:rPr>
            </w:pPr>
            <w:r w:rsidRPr="00354295">
              <w:rPr>
                <w:b w:val="0"/>
                <w:bCs w:val="0"/>
                <w:szCs w:val="20"/>
              </w:rPr>
              <w:t>-2.0</w:t>
            </w:r>
          </w:p>
          <w:p w14:paraId="619106AF" w14:textId="4BDFD6D5" w:rsidR="00A906A5" w:rsidRPr="00354295" w:rsidRDefault="00A906A5" w:rsidP="00A906A5">
            <w:pPr>
              <w:pStyle w:val="TableFigureHeading"/>
              <w:rPr>
                <w:b w:val="0"/>
                <w:bCs w:val="0"/>
                <w:szCs w:val="20"/>
              </w:rPr>
            </w:pPr>
            <w:r w:rsidRPr="00354295">
              <w:rPr>
                <w:b w:val="0"/>
                <w:bCs w:val="0"/>
                <w:szCs w:val="20"/>
              </w:rPr>
              <w:t>-6.0, 1.0</w:t>
            </w:r>
          </w:p>
          <w:p w14:paraId="13BA611C" w14:textId="77777777" w:rsidR="00A906A5" w:rsidRPr="00354295" w:rsidRDefault="00A906A5" w:rsidP="00A906A5">
            <w:pPr>
              <w:pStyle w:val="TableFigureHeading"/>
              <w:rPr>
                <w:b w:val="0"/>
                <w:bCs w:val="0"/>
                <w:szCs w:val="20"/>
              </w:rPr>
            </w:pPr>
            <w:r w:rsidRPr="00354295">
              <w:rPr>
                <w:b w:val="0"/>
                <w:bCs w:val="0"/>
                <w:szCs w:val="20"/>
              </w:rPr>
              <w:t>-20.0, 18</w:t>
            </w:r>
          </w:p>
          <w:p w14:paraId="7543E8FE" w14:textId="58E58307" w:rsidR="00A906A5" w:rsidRPr="00354295" w:rsidRDefault="00A906A5" w:rsidP="00A906A5">
            <w:pPr>
              <w:pStyle w:val="TableFigureHeading"/>
              <w:rPr>
                <w:szCs w:val="20"/>
              </w:rPr>
            </w:pPr>
            <w:r w:rsidRPr="00354295">
              <w:rPr>
                <w:szCs w:val="20"/>
              </w:rPr>
              <w:t>-2.5 (-4.1, -1.0)</w:t>
            </w:r>
          </w:p>
        </w:tc>
        <w:tc>
          <w:tcPr>
            <w:tcW w:w="1418" w:type="dxa"/>
          </w:tcPr>
          <w:p w14:paraId="75EA1A67" w14:textId="77777777" w:rsidR="00A906A5" w:rsidRPr="00354295" w:rsidRDefault="00A906A5" w:rsidP="00A906A5">
            <w:pPr>
              <w:pStyle w:val="TableFigureHeading"/>
              <w:rPr>
                <w:b w:val="0"/>
                <w:bCs w:val="0"/>
                <w:szCs w:val="20"/>
              </w:rPr>
            </w:pPr>
          </w:p>
          <w:p w14:paraId="3C51D143" w14:textId="77777777" w:rsidR="00A906A5" w:rsidRPr="00354295" w:rsidRDefault="00A906A5" w:rsidP="00A906A5">
            <w:pPr>
              <w:pStyle w:val="TableFigureHeading"/>
              <w:rPr>
                <w:b w:val="0"/>
                <w:bCs w:val="0"/>
                <w:szCs w:val="20"/>
              </w:rPr>
            </w:pPr>
            <w:r w:rsidRPr="00354295">
              <w:rPr>
                <w:b w:val="0"/>
                <w:bCs w:val="0"/>
                <w:szCs w:val="20"/>
              </w:rPr>
              <w:t>-3.0</w:t>
            </w:r>
          </w:p>
          <w:p w14:paraId="091E2E8C" w14:textId="1EBB1CDA" w:rsidR="00A906A5" w:rsidRPr="00354295" w:rsidRDefault="00A906A5" w:rsidP="00A906A5">
            <w:pPr>
              <w:pStyle w:val="TableFigureHeading"/>
              <w:rPr>
                <w:b w:val="0"/>
                <w:bCs w:val="0"/>
                <w:szCs w:val="20"/>
              </w:rPr>
            </w:pPr>
            <w:r w:rsidRPr="00354295">
              <w:rPr>
                <w:b w:val="0"/>
                <w:bCs w:val="0"/>
                <w:szCs w:val="20"/>
              </w:rPr>
              <w:t>-8.0, 0.0</w:t>
            </w:r>
          </w:p>
          <w:p w14:paraId="4174A5C8" w14:textId="71241D9C" w:rsidR="00A906A5" w:rsidRPr="00354295" w:rsidRDefault="00A906A5" w:rsidP="00A906A5">
            <w:pPr>
              <w:pStyle w:val="TableFigureHeading"/>
              <w:rPr>
                <w:b w:val="0"/>
                <w:bCs w:val="0"/>
                <w:szCs w:val="20"/>
              </w:rPr>
            </w:pPr>
            <w:r w:rsidRPr="00354295">
              <w:rPr>
                <w:b w:val="0"/>
                <w:bCs w:val="0"/>
                <w:szCs w:val="20"/>
              </w:rPr>
              <w:t>-25.0, 10.0</w:t>
            </w:r>
          </w:p>
          <w:p w14:paraId="494E460B" w14:textId="1910CEF0" w:rsidR="00A906A5" w:rsidRPr="00354295" w:rsidRDefault="00A906A5" w:rsidP="00A906A5">
            <w:pPr>
              <w:pStyle w:val="TableFigureHeading"/>
              <w:rPr>
                <w:szCs w:val="20"/>
              </w:rPr>
            </w:pPr>
            <w:r w:rsidRPr="00354295">
              <w:rPr>
                <w:szCs w:val="20"/>
              </w:rPr>
              <w:t>-4.7 (-5.5, -3.9)</w:t>
            </w:r>
          </w:p>
        </w:tc>
        <w:tc>
          <w:tcPr>
            <w:tcW w:w="1984" w:type="dxa"/>
          </w:tcPr>
          <w:p w14:paraId="7483AFFD" w14:textId="77777777" w:rsidR="00A906A5" w:rsidRPr="00354295" w:rsidRDefault="00A906A5" w:rsidP="00A906A5">
            <w:pPr>
              <w:pStyle w:val="TableFigureHeading"/>
              <w:rPr>
                <w:b w:val="0"/>
                <w:bCs w:val="0"/>
                <w:szCs w:val="20"/>
              </w:rPr>
            </w:pPr>
          </w:p>
          <w:p w14:paraId="508D340E" w14:textId="77777777" w:rsidR="00A906A5" w:rsidRPr="00354295" w:rsidRDefault="00A906A5" w:rsidP="00A906A5">
            <w:pPr>
              <w:pStyle w:val="TableFigureHeading"/>
              <w:rPr>
                <w:b w:val="0"/>
                <w:bCs w:val="0"/>
                <w:szCs w:val="20"/>
              </w:rPr>
            </w:pPr>
            <w:r w:rsidRPr="00354295">
              <w:rPr>
                <w:b w:val="0"/>
                <w:bCs w:val="0"/>
                <w:szCs w:val="20"/>
              </w:rPr>
              <w:t>-3.0</w:t>
            </w:r>
          </w:p>
          <w:p w14:paraId="2625208B" w14:textId="77777777" w:rsidR="00A906A5" w:rsidRPr="00354295" w:rsidRDefault="00A906A5" w:rsidP="00A906A5">
            <w:pPr>
              <w:pStyle w:val="TableFigureHeading"/>
              <w:rPr>
                <w:b w:val="0"/>
                <w:bCs w:val="0"/>
                <w:szCs w:val="20"/>
              </w:rPr>
            </w:pPr>
            <w:r w:rsidRPr="00354295">
              <w:rPr>
                <w:b w:val="0"/>
                <w:bCs w:val="0"/>
                <w:szCs w:val="20"/>
              </w:rPr>
              <w:t>-6.5, 0.0</w:t>
            </w:r>
          </w:p>
          <w:p w14:paraId="0341D690" w14:textId="77777777" w:rsidR="00A906A5" w:rsidRPr="00354295" w:rsidRDefault="00A906A5" w:rsidP="00A906A5">
            <w:pPr>
              <w:pStyle w:val="TableFigureHeading"/>
              <w:rPr>
                <w:b w:val="0"/>
                <w:bCs w:val="0"/>
                <w:szCs w:val="20"/>
              </w:rPr>
            </w:pPr>
            <w:r w:rsidRPr="00354295">
              <w:rPr>
                <w:b w:val="0"/>
                <w:bCs w:val="0"/>
                <w:szCs w:val="20"/>
              </w:rPr>
              <w:t>-17.0, 9.0</w:t>
            </w:r>
          </w:p>
          <w:p w14:paraId="5AE1F1E1" w14:textId="34DF93FF" w:rsidR="00A906A5" w:rsidRPr="00354295" w:rsidRDefault="00A906A5" w:rsidP="00A906A5">
            <w:pPr>
              <w:pStyle w:val="TableFigureHeading"/>
              <w:rPr>
                <w:szCs w:val="20"/>
              </w:rPr>
            </w:pPr>
            <w:r w:rsidRPr="00354295">
              <w:rPr>
                <w:szCs w:val="20"/>
              </w:rPr>
              <w:t>-2.4 (-3.6, -1.1)</w:t>
            </w:r>
          </w:p>
        </w:tc>
      </w:tr>
      <w:tr w:rsidR="00A906A5" w:rsidRPr="00354295" w14:paraId="6A66FCBC" w14:textId="77777777" w:rsidTr="00B66F7A">
        <w:tc>
          <w:tcPr>
            <w:tcW w:w="2263" w:type="dxa"/>
          </w:tcPr>
          <w:p w14:paraId="2E346912" w14:textId="51548253" w:rsidR="00A906A5" w:rsidRPr="00354295" w:rsidRDefault="00A906A5" w:rsidP="00A906A5">
            <w:pPr>
              <w:pStyle w:val="TableFigureHeading"/>
              <w:rPr>
                <w:b w:val="0"/>
                <w:bCs w:val="0"/>
                <w:szCs w:val="20"/>
              </w:rPr>
            </w:pPr>
            <w:r w:rsidRPr="00354295">
              <w:rPr>
                <w:b w:val="0"/>
                <w:bCs w:val="0"/>
                <w:szCs w:val="20"/>
              </w:rPr>
              <w:t>Difference (95% CI)</w:t>
            </w:r>
          </w:p>
        </w:tc>
        <w:tc>
          <w:tcPr>
            <w:tcW w:w="3402" w:type="dxa"/>
            <w:gridSpan w:val="2"/>
          </w:tcPr>
          <w:p w14:paraId="0D2C33D0" w14:textId="4F1ACC24" w:rsidR="00A906A5" w:rsidRPr="00354295" w:rsidRDefault="00A906A5" w:rsidP="00A906A5">
            <w:pPr>
              <w:pStyle w:val="TableFigureHeading"/>
              <w:jc w:val="center"/>
              <w:rPr>
                <w:szCs w:val="20"/>
              </w:rPr>
            </w:pPr>
            <w:r w:rsidRPr="00354295">
              <w:rPr>
                <w:szCs w:val="20"/>
              </w:rPr>
              <w:t>-2.7 (-4.2, -1.2)</w:t>
            </w:r>
          </w:p>
        </w:tc>
        <w:tc>
          <w:tcPr>
            <w:tcW w:w="3402" w:type="dxa"/>
            <w:gridSpan w:val="2"/>
          </w:tcPr>
          <w:p w14:paraId="02B5A7D8" w14:textId="578C8F03" w:rsidR="00A906A5" w:rsidRPr="00354295" w:rsidRDefault="00A906A5" w:rsidP="00A906A5">
            <w:pPr>
              <w:pStyle w:val="TableFigureHeading"/>
              <w:jc w:val="center"/>
              <w:rPr>
                <w:szCs w:val="20"/>
              </w:rPr>
            </w:pPr>
            <w:r w:rsidRPr="00354295">
              <w:rPr>
                <w:szCs w:val="20"/>
              </w:rPr>
              <w:t>-2.3 (-3.5, -1.1)</w:t>
            </w:r>
          </w:p>
        </w:tc>
      </w:tr>
      <w:tr w:rsidR="00A906A5" w:rsidRPr="00354295" w14:paraId="215A7753" w14:textId="77777777" w:rsidTr="00B66F7A">
        <w:tc>
          <w:tcPr>
            <w:tcW w:w="2263" w:type="dxa"/>
          </w:tcPr>
          <w:p w14:paraId="0BFA9CEE" w14:textId="32B38076" w:rsidR="00A906A5" w:rsidRPr="00354295" w:rsidRDefault="00A906A5" w:rsidP="00A906A5">
            <w:pPr>
              <w:pStyle w:val="TableFigureHeading"/>
              <w:rPr>
                <w:b w:val="0"/>
                <w:bCs w:val="0"/>
                <w:szCs w:val="20"/>
              </w:rPr>
            </w:pPr>
            <w:r w:rsidRPr="00354295">
              <w:rPr>
                <w:b w:val="0"/>
                <w:bCs w:val="0"/>
                <w:szCs w:val="20"/>
              </w:rPr>
              <w:t>% with DLQI 0 or 1 at 16 weeks (95% CI)</w:t>
            </w:r>
          </w:p>
        </w:tc>
        <w:tc>
          <w:tcPr>
            <w:tcW w:w="1701" w:type="dxa"/>
          </w:tcPr>
          <w:p w14:paraId="34E7E32D" w14:textId="77777777" w:rsidR="00A906A5" w:rsidRPr="00354295" w:rsidRDefault="00A906A5" w:rsidP="00A906A5">
            <w:pPr>
              <w:pStyle w:val="TableFigureHeading"/>
              <w:rPr>
                <w:b w:val="0"/>
                <w:bCs w:val="0"/>
                <w:szCs w:val="20"/>
              </w:rPr>
            </w:pPr>
            <w:r w:rsidRPr="00354295">
              <w:rPr>
                <w:b w:val="0"/>
                <w:bCs w:val="0"/>
                <w:szCs w:val="20"/>
              </w:rPr>
              <w:t xml:space="preserve">32.6 </w:t>
            </w:r>
          </w:p>
          <w:p w14:paraId="286307C4" w14:textId="3F0301ED" w:rsidR="00A906A5" w:rsidRPr="00354295" w:rsidRDefault="00A906A5" w:rsidP="00A906A5">
            <w:pPr>
              <w:pStyle w:val="TableFigureHeading"/>
              <w:rPr>
                <w:b w:val="0"/>
                <w:bCs w:val="0"/>
                <w:szCs w:val="20"/>
              </w:rPr>
            </w:pPr>
            <w:r w:rsidRPr="00354295">
              <w:rPr>
                <w:b w:val="0"/>
                <w:bCs w:val="0"/>
                <w:szCs w:val="20"/>
              </w:rPr>
              <w:t>(27.0, 38.2)</w:t>
            </w:r>
          </w:p>
        </w:tc>
        <w:tc>
          <w:tcPr>
            <w:tcW w:w="1701" w:type="dxa"/>
          </w:tcPr>
          <w:p w14:paraId="75BC47D0" w14:textId="77777777" w:rsidR="00A906A5" w:rsidRPr="00354295" w:rsidRDefault="00A906A5" w:rsidP="00A906A5">
            <w:pPr>
              <w:pStyle w:val="TableFigureHeading"/>
              <w:rPr>
                <w:b w:val="0"/>
                <w:bCs w:val="0"/>
                <w:szCs w:val="20"/>
              </w:rPr>
            </w:pPr>
            <w:r w:rsidRPr="00354295">
              <w:rPr>
                <w:b w:val="0"/>
                <w:bCs w:val="0"/>
                <w:szCs w:val="20"/>
              </w:rPr>
              <w:t xml:space="preserve">21.1 </w:t>
            </w:r>
          </w:p>
          <w:p w14:paraId="7A2DB19B" w14:textId="131A5F07" w:rsidR="00A906A5" w:rsidRPr="00354295" w:rsidRDefault="00A906A5" w:rsidP="00A906A5">
            <w:pPr>
              <w:pStyle w:val="TableFigureHeading"/>
              <w:rPr>
                <w:b w:val="0"/>
                <w:bCs w:val="0"/>
                <w:szCs w:val="20"/>
              </w:rPr>
            </w:pPr>
            <w:r w:rsidRPr="00354295">
              <w:rPr>
                <w:b w:val="0"/>
                <w:bCs w:val="0"/>
                <w:szCs w:val="20"/>
              </w:rPr>
              <w:t>(11.6, 30.6)</w:t>
            </w:r>
          </w:p>
        </w:tc>
        <w:tc>
          <w:tcPr>
            <w:tcW w:w="1418" w:type="dxa"/>
          </w:tcPr>
          <w:p w14:paraId="485D9AE6" w14:textId="77777777" w:rsidR="00A906A5" w:rsidRPr="00354295" w:rsidRDefault="00A906A5" w:rsidP="00A906A5">
            <w:pPr>
              <w:pStyle w:val="TableFigureHeading"/>
              <w:rPr>
                <w:b w:val="0"/>
                <w:bCs w:val="0"/>
                <w:szCs w:val="20"/>
              </w:rPr>
            </w:pPr>
            <w:r w:rsidRPr="00354295">
              <w:rPr>
                <w:b w:val="0"/>
                <w:bCs w:val="0"/>
                <w:szCs w:val="20"/>
              </w:rPr>
              <w:t xml:space="preserve">16.6 </w:t>
            </w:r>
          </w:p>
          <w:p w14:paraId="46038B7B" w14:textId="72D74ACD" w:rsidR="00A906A5" w:rsidRPr="00354295" w:rsidRDefault="00A906A5" w:rsidP="00A906A5">
            <w:pPr>
              <w:pStyle w:val="TableFigureHeading"/>
              <w:rPr>
                <w:b w:val="0"/>
                <w:bCs w:val="0"/>
                <w:szCs w:val="20"/>
              </w:rPr>
            </w:pPr>
            <w:r w:rsidRPr="00354295">
              <w:rPr>
                <w:b w:val="0"/>
                <w:bCs w:val="0"/>
                <w:szCs w:val="20"/>
              </w:rPr>
              <w:t>(12.3, 21.0)</w:t>
            </w:r>
          </w:p>
        </w:tc>
        <w:tc>
          <w:tcPr>
            <w:tcW w:w="1984" w:type="dxa"/>
          </w:tcPr>
          <w:p w14:paraId="110AD769" w14:textId="3DCEB13A" w:rsidR="00A906A5" w:rsidRPr="00354295" w:rsidRDefault="00A906A5" w:rsidP="00A906A5">
            <w:pPr>
              <w:pStyle w:val="TableFigureHeading"/>
              <w:rPr>
                <w:b w:val="0"/>
                <w:bCs w:val="0"/>
                <w:szCs w:val="20"/>
              </w:rPr>
            </w:pPr>
            <w:r w:rsidRPr="00354295">
              <w:rPr>
                <w:b w:val="0"/>
                <w:bCs w:val="0"/>
                <w:szCs w:val="20"/>
              </w:rPr>
              <w:t>6.8 (NE)</w:t>
            </w:r>
          </w:p>
        </w:tc>
      </w:tr>
      <w:tr w:rsidR="00B92127" w:rsidRPr="00354295" w14:paraId="529357B8" w14:textId="77777777" w:rsidTr="00B66F7A">
        <w:tc>
          <w:tcPr>
            <w:tcW w:w="2263" w:type="dxa"/>
          </w:tcPr>
          <w:p w14:paraId="7551A4E7" w14:textId="3E15EA06" w:rsidR="00B92127" w:rsidRPr="00354295" w:rsidRDefault="00B92127" w:rsidP="00B92127">
            <w:pPr>
              <w:pStyle w:val="TableFigureHeading"/>
              <w:rPr>
                <w:b w:val="0"/>
                <w:bCs w:val="0"/>
                <w:szCs w:val="20"/>
              </w:rPr>
            </w:pPr>
            <w:r w:rsidRPr="00354295">
              <w:rPr>
                <w:b w:val="0"/>
                <w:bCs w:val="0"/>
                <w:szCs w:val="20"/>
              </w:rPr>
              <w:t xml:space="preserve">Baseline HSSDD </w:t>
            </w:r>
            <w:r w:rsidR="00BB73D1" w:rsidRPr="00354295">
              <w:rPr>
                <w:b w:val="0"/>
                <w:bCs w:val="0"/>
                <w:szCs w:val="20"/>
              </w:rPr>
              <w:t>Worst Skin Pain</w:t>
            </w:r>
            <w:r w:rsidRPr="00354295">
              <w:rPr>
                <w:b w:val="0"/>
                <w:bCs w:val="0"/>
                <w:szCs w:val="20"/>
              </w:rPr>
              <w:t xml:space="preserve"> Score, mean (S</w:t>
            </w:r>
            <w:r w:rsidR="008D1912" w:rsidRPr="00354295">
              <w:rPr>
                <w:b w:val="0"/>
                <w:bCs w:val="0"/>
                <w:szCs w:val="20"/>
              </w:rPr>
              <w:t>D</w:t>
            </w:r>
            <w:r w:rsidRPr="00354295">
              <w:rPr>
                <w:b w:val="0"/>
                <w:bCs w:val="0"/>
                <w:szCs w:val="20"/>
              </w:rPr>
              <w:t>)</w:t>
            </w:r>
          </w:p>
        </w:tc>
        <w:tc>
          <w:tcPr>
            <w:tcW w:w="1701" w:type="dxa"/>
          </w:tcPr>
          <w:p w14:paraId="58302262" w14:textId="4530DDE0" w:rsidR="00B92127" w:rsidRPr="00354295" w:rsidRDefault="008D1912" w:rsidP="00B92127">
            <w:pPr>
              <w:pStyle w:val="TableFigureHeading"/>
              <w:rPr>
                <w:b w:val="0"/>
                <w:bCs w:val="0"/>
                <w:szCs w:val="20"/>
              </w:rPr>
            </w:pPr>
            <w:r w:rsidRPr="00354295">
              <w:rPr>
                <w:b w:val="0"/>
                <w:bCs w:val="0"/>
                <w:szCs w:val="20"/>
              </w:rPr>
              <w:t>5.5 (2.5)</w:t>
            </w:r>
          </w:p>
        </w:tc>
        <w:tc>
          <w:tcPr>
            <w:tcW w:w="1701" w:type="dxa"/>
          </w:tcPr>
          <w:p w14:paraId="49A3FC2B" w14:textId="6CD15711" w:rsidR="00B92127" w:rsidRPr="00354295" w:rsidRDefault="008D1912" w:rsidP="00B92127">
            <w:pPr>
              <w:pStyle w:val="TableFigureHeading"/>
              <w:rPr>
                <w:b w:val="0"/>
                <w:bCs w:val="0"/>
                <w:szCs w:val="20"/>
              </w:rPr>
            </w:pPr>
            <w:r w:rsidRPr="00354295">
              <w:rPr>
                <w:b w:val="0"/>
                <w:bCs w:val="0"/>
                <w:szCs w:val="20"/>
              </w:rPr>
              <w:t>6.0 (2.5)</w:t>
            </w:r>
          </w:p>
        </w:tc>
        <w:tc>
          <w:tcPr>
            <w:tcW w:w="1418" w:type="dxa"/>
          </w:tcPr>
          <w:p w14:paraId="330DCD0C" w14:textId="2F12C2C5" w:rsidR="00B92127" w:rsidRPr="00354295" w:rsidRDefault="008D1912" w:rsidP="00B92127">
            <w:pPr>
              <w:pStyle w:val="TableFigureHeading"/>
              <w:rPr>
                <w:b w:val="0"/>
                <w:bCs w:val="0"/>
                <w:szCs w:val="20"/>
              </w:rPr>
            </w:pPr>
            <w:r w:rsidRPr="00354295">
              <w:rPr>
                <w:b w:val="0"/>
                <w:bCs w:val="0"/>
                <w:szCs w:val="20"/>
              </w:rPr>
              <w:t>5.3 (2.4)</w:t>
            </w:r>
          </w:p>
        </w:tc>
        <w:tc>
          <w:tcPr>
            <w:tcW w:w="1984" w:type="dxa"/>
          </w:tcPr>
          <w:p w14:paraId="33800D84" w14:textId="34C1B186" w:rsidR="00B92127" w:rsidRPr="00354295" w:rsidRDefault="008D1912" w:rsidP="00B92127">
            <w:pPr>
              <w:pStyle w:val="TableFigureHeading"/>
              <w:rPr>
                <w:b w:val="0"/>
                <w:bCs w:val="0"/>
                <w:szCs w:val="20"/>
              </w:rPr>
            </w:pPr>
            <w:r w:rsidRPr="00354295">
              <w:rPr>
                <w:b w:val="0"/>
                <w:bCs w:val="0"/>
                <w:szCs w:val="20"/>
              </w:rPr>
              <w:t>5.0 (2.4)</w:t>
            </w:r>
          </w:p>
        </w:tc>
      </w:tr>
      <w:tr w:rsidR="00B92127" w:rsidRPr="00354295" w14:paraId="5BE7E550" w14:textId="77777777" w:rsidTr="00B66F7A">
        <w:tc>
          <w:tcPr>
            <w:tcW w:w="2263" w:type="dxa"/>
          </w:tcPr>
          <w:p w14:paraId="30D7DBF4" w14:textId="7CCAE840" w:rsidR="00B92127" w:rsidRPr="00354295" w:rsidRDefault="00B92127" w:rsidP="00B92127">
            <w:pPr>
              <w:pStyle w:val="TableFigureHeading"/>
              <w:rPr>
                <w:b w:val="0"/>
                <w:bCs w:val="0"/>
                <w:szCs w:val="20"/>
              </w:rPr>
            </w:pPr>
            <w:r w:rsidRPr="00354295">
              <w:rPr>
                <w:b w:val="0"/>
                <w:bCs w:val="0"/>
                <w:szCs w:val="20"/>
              </w:rPr>
              <w:t xml:space="preserve">CFB to 16 weeks HSSDD </w:t>
            </w:r>
            <w:r w:rsidR="00BB73D1" w:rsidRPr="00354295">
              <w:rPr>
                <w:b w:val="0"/>
                <w:bCs w:val="0"/>
                <w:szCs w:val="20"/>
              </w:rPr>
              <w:t>Worst skin Pain</w:t>
            </w:r>
            <w:r w:rsidRPr="00354295">
              <w:rPr>
                <w:b w:val="0"/>
                <w:bCs w:val="0"/>
                <w:szCs w:val="20"/>
              </w:rPr>
              <w:t xml:space="preserve"> score, mean (S</w:t>
            </w:r>
            <w:r w:rsidR="008D1912" w:rsidRPr="00354295">
              <w:rPr>
                <w:b w:val="0"/>
                <w:bCs w:val="0"/>
                <w:szCs w:val="20"/>
              </w:rPr>
              <w:t>D</w:t>
            </w:r>
            <w:r w:rsidRPr="00354295">
              <w:rPr>
                <w:b w:val="0"/>
                <w:bCs w:val="0"/>
                <w:szCs w:val="20"/>
              </w:rPr>
              <w:t>)</w:t>
            </w:r>
          </w:p>
        </w:tc>
        <w:tc>
          <w:tcPr>
            <w:tcW w:w="1701" w:type="dxa"/>
          </w:tcPr>
          <w:p w14:paraId="641DDC7B" w14:textId="758C583F" w:rsidR="00B92127" w:rsidRPr="00354295" w:rsidRDefault="00BB73D1" w:rsidP="00B92127">
            <w:pPr>
              <w:pStyle w:val="TableFigureHeading"/>
              <w:rPr>
                <w:b w:val="0"/>
                <w:bCs w:val="0"/>
                <w:szCs w:val="20"/>
              </w:rPr>
            </w:pPr>
            <w:r w:rsidRPr="00354295">
              <w:rPr>
                <w:b w:val="0"/>
                <w:bCs w:val="0"/>
                <w:szCs w:val="20"/>
              </w:rPr>
              <w:t>-1.9 (2.6)</w:t>
            </w:r>
          </w:p>
        </w:tc>
        <w:tc>
          <w:tcPr>
            <w:tcW w:w="1701" w:type="dxa"/>
          </w:tcPr>
          <w:p w14:paraId="68A04767" w14:textId="79394CE6" w:rsidR="00B92127" w:rsidRPr="00354295" w:rsidRDefault="00BB73D1" w:rsidP="00B92127">
            <w:pPr>
              <w:pStyle w:val="TableFigureHeading"/>
              <w:rPr>
                <w:b w:val="0"/>
                <w:bCs w:val="0"/>
                <w:szCs w:val="20"/>
              </w:rPr>
            </w:pPr>
            <w:r w:rsidRPr="00354295">
              <w:rPr>
                <w:b w:val="0"/>
                <w:bCs w:val="0"/>
                <w:szCs w:val="20"/>
              </w:rPr>
              <w:t>-1.1 (2.0)</w:t>
            </w:r>
          </w:p>
        </w:tc>
        <w:tc>
          <w:tcPr>
            <w:tcW w:w="1418" w:type="dxa"/>
          </w:tcPr>
          <w:p w14:paraId="67E029C2" w14:textId="38A05278" w:rsidR="00B92127" w:rsidRPr="00354295" w:rsidRDefault="00B42BB9" w:rsidP="00B92127">
            <w:pPr>
              <w:pStyle w:val="TableFigureHeading"/>
              <w:rPr>
                <w:b w:val="0"/>
                <w:bCs w:val="0"/>
                <w:szCs w:val="20"/>
              </w:rPr>
            </w:pPr>
            <w:r w:rsidRPr="00354295">
              <w:rPr>
                <w:b w:val="0"/>
                <w:bCs w:val="0"/>
                <w:szCs w:val="20"/>
              </w:rPr>
              <w:t>-1.9 (2.4)</w:t>
            </w:r>
          </w:p>
        </w:tc>
        <w:tc>
          <w:tcPr>
            <w:tcW w:w="1984" w:type="dxa"/>
          </w:tcPr>
          <w:p w14:paraId="1DAEF489" w14:textId="7707366B" w:rsidR="00B92127" w:rsidRPr="00354295" w:rsidRDefault="00B42BB9" w:rsidP="00B92127">
            <w:pPr>
              <w:pStyle w:val="TableFigureHeading"/>
              <w:rPr>
                <w:b w:val="0"/>
                <w:bCs w:val="0"/>
                <w:szCs w:val="20"/>
              </w:rPr>
            </w:pPr>
            <w:r w:rsidRPr="00354295">
              <w:rPr>
                <w:b w:val="0"/>
                <w:bCs w:val="0"/>
                <w:szCs w:val="20"/>
              </w:rPr>
              <w:t>-0.4 (2.1)</w:t>
            </w:r>
          </w:p>
        </w:tc>
      </w:tr>
      <w:tr w:rsidR="00BC6BF8" w:rsidRPr="00354295" w14:paraId="0570773E" w14:textId="77777777" w:rsidTr="00B66F7A">
        <w:tc>
          <w:tcPr>
            <w:tcW w:w="2263" w:type="dxa"/>
          </w:tcPr>
          <w:p w14:paraId="4AAC0529" w14:textId="3C45B8BC" w:rsidR="00BC6BF8" w:rsidRPr="00354295" w:rsidRDefault="00BC6BF8" w:rsidP="00BC6BF8">
            <w:pPr>
              <w:pStyle w:val="TableFigureHeading"/>
              <w:rPr>
                <w:b w:val="0"/>
                <w:bCs w:val="0"/>
                <w:szCs w:val="20"/>
              </w:rPr>
            </w:pPr>
            <w:r w:rsidRPr="00354295">
              <w:rPr>
                <w:b w:val="0"/>
                <w:bCs w:val="0"/>
                <w:szCs w:val="20"/>
              </w:rPr>
              <w:t>LS mean difference at 16 weeks Worst Skin Pain BKZ-PBO (95% CI)</w:t>
            </w:r>
          </w:p>
        </w:tc>
        <w:tc>
          <w:tcPr>
            <w:tcW w:w="3402" w:type="dxa"/>
            <w:gridSpan w:val="2"/>
          </w:tcPr>
          <w:p w14:paraId="1F9544AF" w14:textId="59CCDCC9" w:rsidR="00BC6BF8" w:rsidRPr="00354295" w:rsidRDefault="00BC6BF8" w:rsidP="00BC6BF8">
            <w:pPr>
              <w:pStyle w:val="TableFigureHeading"/>
              <w:jc w:val="center"/>
              <w:rPr>
                <w:b w:val="0"/>
                <w:bCs w:val="0"/>
                <w:szCs w:val="20"/>
              </w:rPr>
            </w:pPr>
            <w:r w:rsidRPr="00354295">
              <w:rPr>
                <w:szCs w:val="20"/>
              </w:rPr>
              <w:t>-1.2 (-1.9, -0.4)</w:t>
            </w:r>
          </w:p>
        </w:tc>
        <w:tc>
          <w:tcPr>
            <w:tcW w:w="3402" w:type="dxa"/>
            <w:gridSpan w:val="2"/>
          </w:tcPr>
          <w:p w14:paraId="7F47ED88" w14:textId="233EF8B7" w:rsidR="00BC6BF8" w:rsidRPr="00354295" w:rsidRDefault="00BC6BF8" w:rsidP="00BC6BF8">
            <w:pPr>
              <w:pStyle w:val="TableFigureHeading"/>
              <w:jc w:val="center"/>
              <w:rPr>
                <w:b w:val="0"/>
                <w:bCs w:val="0"/>
                <w:szCs w:val="20"/>
              </w:rPr>
            </w:pPr>
            <w:r w:rsidRPr="00354295">
              <w:rPr>
                <w:szCs w:val="20"/>
              </w:rPr>
              <w:t>-1.3 (-1.9, -0.6)</w:t>
            </w:r>
          </w:p>
        </w:tc>
      </w:tr>
    </w:tbl>
    <w:p w14:paraId="57104991" w14:textId="77777777" w:rsidR="00A65B03" w:rsidRDefault="00572BB7" w:rsidP="00A70CFC">
      <w:pPr>
        <w:pStyle w:val="TableFigureFooter"/>
        <w:jc w:val="both"/>
      </w:pPr>
      <w:r>
        <w:t xml:space="preserve">Source: Kimball, 20204, Table 2; </w:t>
      </w:r>
      <w:r w:rsidR="00C21C7A">
        <w:t xml:space="preserve">BE HEARD I CSR, </w:t>
      </w:r>
      <w:r w:rsidR="008D1912">
        <w:t xml:space="preserve">Table 7-8, pp152-154, </w:t>
      </w:r>
      <w:r w:rsidR="00C21C7A">
        <w:t>Table 8-15, p218, Table 8-19, pp235-236</w:t>
      </w:r>
      <w:r w:rsidR="00B92127">
        <w:t>, Table 8-25, p252</w:t>
      </w:r>
      <w:r w:rsidR="00C21C7A">
        <w:t xml:space="preserve">; </w:t>
      </w:r>
      <w:r w:rsidR="00553AFF">
        <w:t xml:space="preserve">BE HEARD II CSR, </w:t>
      </w:r>
      <w:r w:rsidR="008D1912">
        <w:t>Table 7-8, pp</w:t>
      </w:r>
      <w:r w:rsidR="00B42BB9">
        <w:t xml:space="preserve">148-151, Table 8-9, p193, </w:t>
      </w:r>
      <w:r w:rsidR="00C21C7A">
        <w:t xml:space="preserve">Table 8-16, p218, </w:t>
      </w:r>
      <w:r w:rsidR="00553AFF">
        <w:t>Table 8-19, pp228-230</w:t>
      </w:r>
      <w:r w:rsidR="008D1912">
        <w:t>, Table 8-26, p252</w:t>
      </w:r>
      <w:r w:rsidR="002E03ED">
        <w:t>; Table 2.40, p131 of the submission.</w:t>
      </w:r>
      <w:r w:rsidR="001F6615">
        <w:t xml:space="preserve"> </w:t>
      </w:r>
      <w:r w:rsidR="00B42BB9">
        <w:t xml:space="preserve">Statistically significant results are in </w:t>
      </w:r>
      <w:r w:rsidR="00B42BB9" w:rsidRPr="00B42BB9">
        <w:rPr>
          <w:b/>
          <w:bCs/>
        </w:rPr>
        <w:t>bold</w:t>
      </w:r>
      <w:r w:rsidR="00B42BB9">
        <w:t>.</w:t>
      </w:r>
    </w:p>
    <w:p w14:paraId="77BD5FAF" w14:textId="4283D85D" w:rsidR="00A65B03" w:rsidRPr="00A65B03" w:rsidRDefault="6168F42D" w:rsidP="00A70CFC">
      <w:pPr>
        <w:pStyle w:val="TableFigureFooter"/>
        <w:jc w:val="both"/>
      </w:pPr>
      <w:r w:rsidRPr="2B21198B">
        <w:rPr>
          <w:vertAlign w:val="superscript"/>
        </w:rPr>
        <w:t>1</w:t>
      </w:r>
      <w:r w:rsidRPr="2B21198B">
        <w:t xml:space="preserve"> A disease flare was defined as a 25% increase from baseline abscess + nodule count with a minimum absolute increase of 2.  </w:t>
      </w:r>
    </w:p>
    <w:p w14:paraId="6A66A2BD" w14:textId="10509F33" w:rsidR="009956C3" w:rsidRDefault="001F6615" w:rsidP="00A70CFC">
      <w:pPr>
        <w:pStyle w:val="TableFigureFooter"/>
        <w:jc w:val="both"/>
      </w:pPr>
      <w:r w:rsidRPr="2B21198B">
        <w:t xml:space="preserve">BKZ = bimekizumab; CFB = change from baseline; CI = confidence interval; DLQI = dermatology life quality index; HiSCR50 = 50% reduction in hidradenitis suppurativa clinical response; </w:t>
      </w:r>
      <w:r w:rsidR="00B92127" w:rsidRPr="2B21198B">
        <w:t>HSSDD = hidradenitis suppurativa symptom daily diary</w:t>
      </w:r>
      <w:r w:rsidR="00BB73D1" w:rsidRPr="2B21198B">
        <w:t xml:space="preserve"> (each symptom scored on an 11-point scale)</w:t>
      </w:r>
      <w:r w:rsidR="00B92127" w:rsidRPr="2B21198B">
        <w:t xml:space="preserve">; </w:t>
      </w:r>
      <w:r w:rsidRPr="2B21198B">
        <w:t xml:space="preserve">IHS4 = international hidradenitis suppurativa severity score system; IQR = inter-quartile range; LS = least squares; </w:t>
      </w:r>
      <w:r w:rsidR="00196830" w:rsidRPr="2B21198B">
        <w:t xml:space="preserve">NE = not evaluable; </w:t>
      </w:r>
      <w:r w:rsidRPr="2B21198B">
        <w:t xml:space="preserve">SE = standard error.  </w:t>
      </w:r>
    </w:p>
    <w:p w14:paraId="2560200A" w14:textId="182471A1" w:rsidR="00202E3A" w:rsidRDefault="002B4E57" w:rsidP="002B4E57">
      <w:pPr>
        <w:pStyle w:val="Caption"/>
      </w:pPr>
      <w:bookmarkStart w:id="35" w:name="_Ref190946893"/>
      <w:r>
        <w:lastRenderedPageBreak/>
        <w:t xml:space="preserve">Table </w:t>
      </w:r>
      <w:r w:rsidR="00C45318">
        <w:fldChar w:fldCharType="begin"/>
      </w:r>
      <w:r w:rsidR="00C45318">
        <w:instrText xml:space="preserve"> SEQ Table \* ARABIC </w:instrText>
      </w:r>
      <w:r w:rsidR="00C45318">
        <w:fldChar w:fldCharType="separate"/>
      </w:r>
      <w:r w:rsidR="00184DE0">
        <w:rPr>
          <w:noProof/>
        </w:rPr>
        <w:t>5</w:t>
      </w:r>
      <w:r w:rsidR="00C45318">
        <w:rPr>
          <w:noProof/>
        </w:rPr>
        <w:fldChar w:fldCharType="end"/>
      </w:r>
      <w:bookmarkEnd w:id="35"/>
      <w:r>
        <w:t xml:space="preserve">: </w:t>
      </w:r>
      <w:r w:rsidR="00202E3A">
        <w:t>Efficacy outcomes in HS0001</w:t>
      </w:r>
    </w:p>
    <w:tbl>
      <w:tblPr>
        <w:tblStyle w:val="TableGrid"/>
        <w:tblW w:w="0" w:type="auto"/>
        <w:tblLook w:val="04A0" w:firstRow="1" w:lastRow="0" w:firstColumn="1" w:lastColumn="0" w:noHBand="0" w:noVBand="1"/>
      </w:tblPr>
      <w:tblGrid>
        <w:gridCol w:w="2689"/>
        <w:gridCol w:w="1984"/>
        <w:gridCol w:w="2268"/>
        <w:gridCol w:w="2076"/>
      </w:tblGrid>
      <w:tr w:rsidR="00202E3A" w:rsidRPr="00354295" w14:paraId="5D060DC8" w14:textId="77777777" w:rsidTr="2B21198B">
        <w:tc>
          <w:tcPr>
            <w:tcW w:w="2689" w:type="dxa"/>
          </w:tcPr>
          <w:p w14:paraId="73B9DDBF" w14:textId="77777777" w:rsidR="00202E3A" w:rsidRPr="00354295" w:rsidRDefault="00202E3A">
            <w:pPr>
              <w:pStyle w:val="TableFigureHeading"/>
              <w:rPr>
                <w:szCs w:val="20"/>
              </w:rPr>
            </w:pPr>
          </w:p>
        </w:tc>
        <w:tc>
          <w:tcPr>
            <w:tcW w:w="1984" w:type="dxa"/>
          </w:tcPr>
          <w:p w14:paraId="3C7CD87B" w14:textId="77777777" w:rsidR="00202E3A" w:rsidRPr="00354295" w:rsidRDefault="00202E3A" w:rsidP="2B21198B">
            <w:pPr>
              <w:pStyle w:val="TableFigureHeading"/>
              <w:rPr>
                <w:szCs w:val="20"/>
              </w:rPr>
            </w:pPr>
            <w:r w:rsidRPr="00354295">
              <w:rPr>
                <w:szCs w:val="20"/>
              </w:rPr>
              <w:t>Bimekizumab</w:t>
            </w:r>
          </w:p>
          <w:p w14:paraId="1C89B656" w14:textId="77777777" w:rsidR="00202E3A" w:rsidRPr="00354295" w:rsidRDefault="00202E3A">
            <w:pPr>
              <w:pStyle w:val="TableFigureHeading"/>
              <w:rPr>
                <w:szCs w:val="20"/>
              </w:rPr>
            </w:pPr>
            <w:r w:rsidRPr="00354295">
              <w:rPr>
                <w:szCs w:val="20"/>
              </w:rPr>
              <w:t>N = 46</w:t>
            </w:r>
          </w:p>
        </w:tc>
        <w:tc>
          <w:tcPr>
            <w:tcW w:w="2268" w:type="dxa"/>
          </w:tcPr>
          <w:p w14:paraId="6A24B7F0" w14:textId="77777777" w:rsidR="00202E3A" w:rsidRPr="00354295" w:rsidRDefault="00202E3A">
            <w:pPr>
              <w:pStyle w:val="TableFigureHeading"/>
              <w:rPr>
                <w:szCs w:val="20"/>
              </w:rPr>
            </w:pPr>
            <w:r w:rsidRPr="00354295">
              <w:rPr>
                <w:szCs w:val="20"/>
              </w:rPr>
              <w:t>Adalimumab</w:t>
            </w:r>
          </w:p>
          <w:p w14:paraId="1DB162F5" w14:textId="77777777" w:rsidR="00202E3A" w:rsidRPr="00354295" w:rsidRDefault="00202E3A">
            <w:pPr>
              <w:pStyle w:val="TableFigureHeading"/>
              <w:rPr>
                <w:szCs w:val="20"/>
              </w:rPr>
            </w:pPr>
            <w:r w:rsidRPr="00354295">
              <w:rPr>
                <w:szCs w:val="20"/>
              </w:rPr>
              <w:t>N = 21</w:t>
            </w:r>
          </w:p>
        </w:tc>
        <w:tc>
          <w:tcPr>
            <w:tcW w:w="2076" w:type="dxa"/>
          </w:tcPr>
          <w:p w14:paraId="392E12A4" w14:textId="77777777" w:rsidR="00202E3A" w:rsidRPr="00354295" w:rsidRDefault="00202E3A">
            <w:pPr>
              <w:pStyle w:val="TableFigureHeading"/>
              <w:rPr>
                <w:szCs w:val="20"/>
              </w:rPr>
            </w:pPr>
            <w:r w:rsidRPr="00354295">
              <w:rPr>
                <w:szCs w:val="20"/>
              </w:rPr>
              <w:t>Placebo</w:t>
            </w:r>
          </w:p>
          <w:p w14:paraId="378DFBEA" w14:textId="77777777" w:rsidR="00202E3A" w:rsidRPr="00354295" w:rsidRDefault="00202E3A">
            <w:pPr>
              <w:pStyle w:val="TableFigureHeading"/>
              <w:rPr>
                <w:szCs w:val="20"/>
              </w:rPr>
            </w:pPr>
            <w:r w:rsidRPr="00354295">
              <w:rPr>
                <w:szCs w:val="20"/>
              </w:rPr>
              <w:t>N = 21</w:t>
            </w:r>
          </w:p>
        </w:tc>
      </w:tr>
      <w:tr w:rsidR="00202E3A" w:rsidRPr="00354295" w14:paraId="41BB5CC4" w14:textId="77777777" w:rsidTr="2B21198B">
        <w:tc>
          <w:tcPr>
            <w:tcW w:w="2689" w:type="dxa"/>
          </w:tcPr>
          <w:p w14:paraId="4C4BA053" w14:textId="77777777" w:rsidR="00202E3A" w:rsidRPr="00354295" w:rsidRDefault="00202E3A">
            <w:pPr>
              <w:pStyle w:val="TableFigureHeading"/>
              <w:rPr>
                <w:b w:val="0"/>
                <w:bCs w:val="0"/>
                <w:szCs w:val="20"/>
              </w:rPr>
            </w:pPr>
            <w:r w:rsidRPr="00354295">
              <w:rPr>
                <w:b w:val="0"/>
                <w:bCs w:val="0"/>
                <w:szCs w:val="20"/>
              </w:rPr>
              <w:t>Posterior response rate at 12 weeks, %</w:t>
            </w:r>
          </w:p>
          <w:p w14:paraId="0C5274DC" w14:textId="77777777" w:rsidR="00202E3A" w:rsidRPr="00354295" w:rsidRDefault="00202E3A">
            <w:pPr>
              <w:pStyle w:val="TableFigureHeading"/>
              <w:rPr>
                <w:b w:val="0"/>
                <w:bCs w:val="0"/>
                <w:szCs w:val="20"/>
              </w:rPr>
            </w:pPr>
            <w:r w:rsidRPr="00354295">
              <w:rPr>
                <w:b w:val="0"/>
                <w:bCs w:val="0"/>
                <w:szCs w:val="20"/>
              </w:rPr>
              <w:t>Mean (SD)</w:t>
            </w:r>
          </w:p>
          <w:p w14:paraId="5259D431" w14:textId="77777777" w:rsidR="00202E3A" w:rsidRPr="00354295" w:rsidRDefault="00202E3A">
            <w:pPr>
              <w:pStyle w:val="TableFigureHeading"/>
              <w:rPr>
                <w:b w:val="0"/>
                <w:bCs w:val="0"/>
                <w:szCs w:val="20"/>
              </w:rPr>
            </w:pPr>
            <w:r w:rsidRPr="00354295">
              <w:rPr>
                <w:b w:val="0"/>
                <w:bCs w:val="0"/>
                <w:szCs w:val="20"/>
              </w:rPr>
              <w:t>Median</w:t>
            </w:r>
          </w:p>
          <w:p w14:paraId="5B2E4573" w14:textId="77777777" w:rsidR="00202E3A" w:rsidRPr="00354295" w:rsidRDefault="00202E3A">
            <w:pPr>
              <w:pStyle w:val="TableFigureHeading"/>
              <w:rPr>
                <w:b w:val="0"/>
                <w:bCs w:val="0"/>
                <w:szCs w:val="20"/>
              </w:rPr>
            </w:pPr>
            <w:r w:rsidRPr="00354295">
              <w:rPr>
                <w:b w:val="0"/>
                <w:bCs w:val="0"/>
                <w:szCs w:val="20"/>
              </w:rPr>
              <w:t>95% credible interval</w:t>
            </w:r>
          </w:p>
        </w:tc>
        <w:tc>
          <w:tcPr>
            <w:tcW w:w="1984" w:type="dxa"/>
          </w:tcPr>
          <w:p w14:paraId="192B2AF7" w14:textId="77777777" w:rsidR="00202E3A" w:rsidRPr="00354295" w:rsidRDefault="00202E3A">
            <w:pPr>
              <w:pStyle w:val="TableFigureHeading"/>
              <w:rPr>
                <w:b w:val="0"/>
                <w:bCs w:val="0"/>
                <w:szCs w:val="20"/>
              </w:rPr>
            </w:pPr>
          </w:p>
          <w:p w14:paraId="281C0592" w14:textId="77777777" w:rsidR="00202E3A" w:rsidRPr="00354295" w:rsidRDefault="00202E3A">
            <w:pPr>
              <w:pStyle w:val="TableFigureHeading"/>
              <w:rPr>
                <w:b w:val="0"/>
                <w:bCs w:val="0"/>
                <w:szCs w:val="20"/>
              </w:rPr>
            </w:pPr>
          </w:p>
          <w:p w14:paraId="560E8296" w14:textId="77777777" w:rsidR="00202E3A" w:rsidRPr="00354295" w:rsidRDefault="00202E3A">
            <w:pPr>
              <w:pStyle w:val="TableFigureHeading"/>
              <w:rPr>
                <w:b w:val="0"/>
                <w:bCs w:val="0"/>
                <w:szCs w:val="20"/>
              </w:rPr>
            </w:pPr>
            <w:r w:rsidRPr="00354295">
              <w:rPr>
                <w:b w:val="0"/>
                <w:bCs w:val="0"/>
                <w:szCs w:val="20"/>
              </w:rPr>
              <w:t>57.3 (7.4)</w:t>
            </w:r>
          </w:p>
          <w:p w14:paraId="05B49873" w14:textId="77777777" w:rsidR="00202E3A" w:rsidRPr="00354295" w:rsidRDefault="00202E3A">
            <w:pPr>
              <w:pStyle w:val="TableFigureHeading"/>
              <w:rPr>
                <w:b w:val="0"/>
                <w:bCs w:val="0"/>
                <w:szCs w:val="20"/>
              </w:rPr>
            </w:pPr>
            <w:r w:rsidRPr="00354295">
              <w:rPr>
                <w:b w:val="0"/>
                <w:bCs w:val="0"/>
                <w:szCs w:val="20"/>
              </w:rPr>
              <w:t>57.4</w:t>
            </w:r>
          </w:p>
          <w:p w14:paraId="7C493317" w14:textId="77777777" w:rsidR="00202E3A" w:rsidRPr="00354295" w:rsidRDefault="00202E3A">
            <w:pPr>
              <w:pStyle w:val="TableFigureHeading"/>
              <w:rPr>
                <w:b w:val="0"/>
                <w:bCs w:val="0"/>
                <w:szCs w:val="20"/>
              </w:rPr>
            </w:pPr>
            <w:r w:rsidRPr="00354295">
              <w:rPr>
                <w:b w:val="0"/>
                <w:bCs w:val="0"/>
                <w:szCs w:val="20"/>
              </w:rPr>
              <w:t>42.4, 71.4</w:t>
            </w:r>
          </w:p>
        </w:tc>
        <w:tc>
          <w:tcPr>
            <w:tcW w:w="2268" w:type="dxa"/>
          </w:tcPr>
          <w:p w14:paraId="1F39E5DB" w14:textId="77777777" w:rsidR="00202E3A" w:rsidRPr="00354295" w:rsidRDefault="00202E3A">
            <w:pPr>
              <w:pStyle w:val="TableFigureHeading"/>
              <w:rPr>
                <w:b w:val="0"/>
                <w:bCs w:val="0"/>
                <w:szCs w:val="20"/>
              </w:rPr>
            </w:pPr>
          </w:p>
          <w:p w14:paraId="0B33B6A3" w14:textId="77777777" w:rsidR="00202E3A" w:rsidRPr="00354295" w:rsidRDefault="00202E3A">
            <w:pPr>
              <w:pStyle w:val="TableFigureHeading"/>
              <w:rPr>
                <w:b w:val="0"/>
                <w:bCs w:val="0"/>
                <w:szCs w:val="20"/>
              </w:rPr>
            </w:pPr>
          </w:p>
          <w:p w14:paraId="59F247E8" w14:textId="77777777" w:rsidR="00202E3A" w:rsidRPr="00354295" w:rsidRDefault="00202E3A">
            <w:pPr>
              <w:pStyle w:val="TableFigureHeading"/>
              <w:rPr>
                <w:b w:val="0"/>
                <w:bCs w:val="0"/>
                <w:szCs w:val="20"/>
              </w:rPr>
            </w:pPr>
            <w:r w:rsidRPr="00354295">
              <w:rPr>
                <w:b w:val="0"/>
                <w:bCs w:val="0"/>
                <w:szCs w:val="20"/>
              </w:rPr>
              <w:t>59.5 (7.7)</w:t>
            </w:r>
          </w:p>
          <w:p w14:paraId="3EBD6E11" w14:textId="77777777" w:rsidR="00202E3A" w:rsidRPr="00354295" w:rsidRDefault="00202E3A">
            <w:pPr>
              <w:pStyle w:val="TableFigureHeading"/>
              <w:rPr>
                <w:b w:val="0"/>
                <w:bCs w:val="0"/>
                <w:szCs w:val="20"/>
              </w:rPr>
            </w:pPr>
            <w:r w:rsidRPr="00354295">
              <w:rPr>
                <w:b w:val="0"/>
                <w:bCs w:val="0"/>
                <w:szCs w:val="20"/>
              </w:rPr>
              <w:t>59.7</w:t>
            </w:r>
          </w:p>
          <w:p w14:paraId="04345367" w14:textId="77777777" w:rsidR="00202E3A" w:rsidRPr="00354295" w:rsidRDefault="00202E3A">
            <w:pPr>
              <w:pStyle w:val="TableFigureHeading"/>
              <w:rPr>
                <w:b w:val="0"/>
                <w:bCs w:val="0"/>
                <w:szCs w:val="20"/>
              </w:rPr>
            </w:pPr>
            <w:r w:rsidRPr="00354295">
              <w:rPr>
                <w:b w:val="0"/>
                <w:bCs w:val="0"/>
                <w:szCs w:val="20"/>
              </w:rPr>
              <w:t>44.2, 73.9</w:t>
            </w:r>
          </w:p>
        </w:tc>
        <w:tc>
          <w:tcPr>
            <w:tcW w:w="2076" w:type="dxa"/>
          </w:tcPr>
          <w:p w14:paraId="667045FF" w14:textId="77777777" w:rsidR="00202E3A" w:rsidRPr="00354295" w:rsidRDefault="00202E3A">
            <w:pPr>
              <w:pStyle w:val="TableFigureHeading"/>
              <w:rPr>
                <w:b w:val="0"/>
                <w:bCs w:val="0"/>
                <w:szCs w:val="20"/>
              </w:rPr>
            </w:pPr>
          </w:p>
          <w:p w14:paraId="7C3A2E96" w14:textId="77777777" w:rsidR="00202E3A" w:rsidRPr="00354295" w:rsidRDefault="00202E3A">
            <w:pPr>
              <w:pStyle w:val="TableFigureHeading"/>
              <w:rPr>
                <w:b w:val="0"/>
                <w:bCs w:val="0"/>
                <w:szCs w:val="20"/>
              </w:rPr>
            </w:pPr>
          </w:p>
          <w:p w14:paraId="5F1A205C" w14:textId="77777777" w:rsidR="00202E3A" w:rsidRPr="00354295" w:rsidRDefault="00202E3A">
            <w:pPr>
              <w:pStyle w:val="TableFigureHeading"/>
              <w:rPr>
                <w:b w:val="0"/>
                <w:bCs w:val="0"/>
                <w:szCs w:val="20"/>
              </w:rPr>
            </w:pPr>
            <w:r w:rsidRPr="00354295">
              <w:rPr>
                <w:b w:val="0"/>
                <w:bCs w:val="0"/>
                <w:szCs w:val="20"/>
              </w:rPr>
              <w:t>26.1 (6.8)</w:t>
            </w:r>
          </w:p>
          <w:p w14:paraId="08584A9C" w14:textId="77777777" w:rsidR="00202E3A" w:rsidRPr="00354295" w:rsidRDefault="00202E3A">
            <w:pPr>
              <w:pStyle w:val="TableFigureHeading"/>
              <w:rPr>
                <w:b w:val="0"/>
                <w:bCs w:val="0"/>
                <w:szCs w:val="20"/>
              </w:rPr>
            </w:pPr>
            <w:r w:rsidRPr="00354295">
              <w:rPr>
                <w:b w:val="0"/>
                <w:bCs w:val="0"/>
                <w:szCs w:val="20"/>
              </w:rPr>
              <w:t>25.7</w:t>
            </w:r>
          </w:p>
          <w:p w14:paraId="3E32E657" w14:textId="77777777" w:rsidR="00202E3A" w:rsidRPr="00354295" w:rsidRDefault="00202E3A">
            <w:pPr>
              <w:pStyle w:val="TableFigureHeading"/>
              <w:rPr>
                <w:b w:val="0"/>
                <w:bCs w:val="0"/>
                <w:szCs w:val="20"/>
              </w:rPr>
            </w:pPr>
            <w:r w:rsidRPr="00354295">
              <w:rPr>
                <w:b w:val="0"/>
                <w:bCs w:val="0"/>
                <w:szCs w:val="20"/>
              </w:rPr>
              <w:t>13.8, 40.5</w:t>
            </w:r>
          </w:p>
        </w:tc>
      </w:tr>
      <w:tr w:rsidR="00202E3A" w:rsidRPr="00354295" w14:paraId="0DA055CA" w14:textId="77777777" w:rsidTr="2B21198B">
        <w:tc>
          <w:tcPr>
            <w:tcW w:w="2689" w:type="dxa"/>
          </w:tcPr>
          <w:p w14:paraId="4BE297C8" w14:textId="77777777" w:rsidR="00202E3A" w:rsidRPr="00354295" w:rsidRDefault="00202E3A">
            <w:pPr>
              <w:pStyle w:val="TableFigureHeading"/>
              <w:rPr>
                <w:szCs w:val="20"/>
              </w:rPr>
            </w:pPr>
            <w:r w:rsidRPr="00354295">
              <w:rPr>
                <w:szCs w:val="20"/>
              </w:rPr>
              <w:t xml:space="preserve">BKZ - ADA </w:t>
            </w:r>
          </w:p>
          <w:p w14:paraId="4EE59F8F" w14:textId="77777777" w:rsidR="00202E3A" w:rsidRPr="00354295" w:rsidRDefault="00202E3A">
            <w:pPr>
              <w:pStyle w:val="TableFigureHeading"/>
              <w:rPr>
                <w:b w:val="0"/>
                <w:bCs w:val="0"/>
                <w:szCs w:val="20"/>
              </w:rPr>
            </w:pPr>
            <w:r w:rsidRPr="00354295">
              <w:rPr>
                <w:b w:val="0"/>
                <w:bCs w:val="0"/>
                <w:szCs w:val="20"/>
              </w:rPr>
              <w:t xml:space="preserve">Posterior Difference, </w:t>
            </w:r>
          </w:p>
          <w:p w14:paraId="5A270ADD" w14:textId="77777777" w:rsidR="00202E3A" w:rsidRPr="00354295" w:rsidRDefault="00202E3A">
            <w:pPr>
              <w:pStyle w:val="TableFigureHeading"/>
              <w:rPr>
                <w:b w:val="0"/>
                <w:bCs w:val="0"/>
                <w:szCs w:val="20"/>
              </w:rPr>
            </w:pPr>
            <w:r w:rsidRPr="00354295">
              <w:rPr>
                <w:b w:val="0"/>
                <w:bCs w:val="0"/>
                <w:szCs w:val="20"/>
              </w:rPr>
              <w:t>mean (SD)</w:t>
            </w:r>
          </w:p>
          <w:p w14:paraId="26D898ED" w14:textId="77777777" w:rsidR="00202E3A" w:rsidRPr="00354295" w:rsidRDefault="00202E3A">
            <w:pPr>
              <w:pStyle w:val="TableFigureHeading"/>
              <w:rPr>
                <w:b w:val="0"/>
                <w:bCs w:val="0"/>
                <w:szCs w:val="20"/>
              </w:rPr>
            </w:pPr>
            <w:r w:rsidRPr="00354295">
              <w:rPr>
                <w:b w:val="0"/>
                <w:bCs w:val="0"/>
                <w:szCs w:val="20"/>
              </w:rPr>
              <w:t>95% credible interval</w:t>
            </w:r>
          </w:p>
          <w:p w14:paraId="5E6F915D" w14:textId="77777777" w:rsidR="00202E3A" w:rsidRPr="00354295" w:rsidRDefault="00202E3A">
            <w:pPr>
              <w:pStyle w:val="TableFigureHeading"/>
              <w:rPr>
                <w:b w:val="0"/>
                <w:bCs w:val="0"/>
                <w:szCs w:val="20"/>
              </w:rPr>
            </w:pPr>
            <w:r w:rsidRPr="00354295">
              <w:rPr>
                <w:b w:val="0"/>
                <w:bCs w:val="0"/>
                <w:szCs w:val="20"/>
              </w:rPr>
              <w:t>Probability Difference &gt; 0%, %</w:t>
            </w:r>
          </w:p>
        </w:tc>
        <w:tc>
          <w:tcPr>
            <w:tcW w:w="4252" w:type="dxa"/>
            <w:gridSpan w:val="2"/>
          </w:tcPr>
          <w:p w14:paraId="792891BF" w14:textId="77777777" w:rsidR="00202E3A" w:rsidRPr="00354295" w:rsidRDefault="00202E3A">
            <w:pPr>
              <w:pStyle w:val="TableFigureHeading"/>
              <w:jc w:val="center"/>
              <w:rPr>
                <w:b w:val="0"/>
                <w:bCs w:val="0"/>
                <w:szCs w:val="20"/>
              </w:rPr>
            </w:pPr>
          </w:p>
          <w:p w14:paraId="246C3AFC" w14:textId="77777777" w:rsidR="00202E3A" w:rsidRPr="00354295" w:rsidRDefault="00202E3A">
            <w:pPr>
              <w:pStyle w:val="TableFigureHeading"/>
              <w:jc w:val="center"/>
              <w:rPr>
                <w:b w:val="0"/>
                <w:bCs w:val="0"/>
                <w:szCs w:val="20"/>
              </w:rPr>
            </w:pPr>
          </w:p>
          <w:p w14:paraId="671F8CEB" w14:textId="77777777" w:rsidR="00202E3A" w:rsidRPr="00354295" w:rsidRDefault="00202E3A">
            <w:pPr>
              <w:pStyle w:val="TableFigureHeading"/>
              <w:jc w:val="center"/>
              <w:rPr>
                <w:b w:val="0"/>
                <w:bCs w:val="0"/>
                <w:szCs w:val="20"/>
              </w:rPr>
            </w:pPr>
            <w:r w:rsidRPr="00354295">
              <w:rPr>
                <w:b w:val="0"/>
                <w:bCs w:val="0"/>
                <w:szCs w:val="20"/>
              </w:rPr>
              <w:t>-2.2 (10.6)</w:t>
            </w:r>
          </w:p>
          <w:p w14:paraId="406DF620" w14:textId="77777777" w:rsidR="00202E3A" w:rsidRPr="00354295" w:rsidRDefault="00202E3A">
            <w:pPr>
              <w:pStyle w:val="TableFigureHeading"/>
              <w:jc w:val="center"/>
              <w:rPr>
                <w:b w:val="0"/>
                <w:bCs w:val="0"/>
                <w:szCs w:val="20"/>
              </w:rPr>
            </w:pPr>
            <w:r w:rsidRPr="00354295">
              <w:rPr>
                <w:b w:val="0"/>
                <w:bCs w:val="0"/>
                <w:szCs w:val="20"/>
              </w:rPr>
              <w:t>-11.2, 6.6</w:t>
            </w:r>
          </w:p>
          <w:p w14:paraId="558812E6" w14:textId="77777777" w:rsidR="00202E3A" w:rsidRPr="00354295" w:rsidRDefault="00202E3A">
            <w:pPr>
              <w:pStyle w:val="TableFigureHeading"/>
              <w:jc w:val="center"/>
              <w:rPr>
                <w:b w:val="0"/>
                <w:bCs w:val="0"/>
                <w:szCs w:val="20"/>
              </w:rPr>
            </w:pPr>
            <w:r w:rsidRPr="00354295">
              <w:rPr>
                <w:b w:val="0"/>
                <w:bCs w:val="0"/>
                <w:szCs w:val="20"/>
              </w:rPr>
              <w:t>42.1%</w:t>
            </w:r>
          </w:p>
        </w:tc>
        <w:tc>
          <w:tcPr>
            <w:tcW w:w="2076" w:type="dxa"/>
          </w:tcPr>
          <w:p w14:paraId="6049E342" w14:textId="77777777" w:rsidR="00202E3A" w:rsidRPr="00354295" w:rsidRDefault="00202E3A">
            <w:pPr>
              <w:pStyle w:val="TableFigureHeading"/>
              <w:rPr>
                <w:b w:val="0"/>
                <w:bCs w:val="0"/>
                <w:szCs w:val="20"/>
              </w:rPr>
            </w:pPr>
          </w:p>
        </w:tc>
      </w:tr>
      <w:tr w:rsidR="00202E3A" w:rsidRPr="00354295" w14:paraId="7464AC27" w14:textId="77777777" w:rsidTr="2B21198B">
        <w:tc>
          <w:tcPr>
            <w:tcW w:w="2689" w:type="dxa"/>
          </w:tcPr>
          <w:p w14:paraId="5B07CEB1" w14:textId="77777777" w:rsidR="00202E3A" w:rsidRPr="00354295" w:rsidRDefault="00202E3A">
            <w:pPr>
              <w:pStyle w:val="TableFigureHeading"/>
              <w:rPr>
                <w:szCs w:val="20"/>
              </w:rPr>
            </w:pPr>
            <w:r w:rsidRPr="00354295">
              <w:rPr>
                <w:szCs w:val="20"/>
              </w:rPr>
              <w:t>BKZ - PBO</w:t>
            </w:r>
          </w:p>
          <w:p w14:paraId="559151DD" w14:textId="77777777" w:rsidR="00202E3A" w:rsidRPr="00354295" w:rsidRDefault="00202E3A">
            <w:pPr>
              <w:pStyle w:val="TableFigureHeading"/>
              <w:rPr>
                <w:b w:val="0"/>
                <w:bCs w:val="0"/>
                <w:szCs w:val="20"/>
              </w:rPr>
            </w:pPr>
            <w:r w:rsidRPr="00354295">
              <w:rPr>
                <w:b w:val="0"/>
                <w:bCs w:val="0"/>
                <w:szCs w:val="20"/>
              </w:rPr>
              <w:t xml:space="preserve">Posterior Difference, </w:t>
            </w:r>
          </w:p>
          <w:p w14:paraId="42FE64E6" w14:textId="77777777" w:rsidR="00202E3A" w:rsidRPr="00354295" w:rsidRDefault="00202E3A">
            <w:pPr>
              <w:pStyle w:val="TableFigureHeading"/>
              <w:rPr>
                <w:b w:val="0"/>
                <w:bCs w:val="0"/>
                <w:szCs w:val="20"/>
              </w:rPr>
            </w:pPr>
            <w:r w:rsidRPr="00354295">
              <w:rPr>
                <w:b w:val="0"/>
                <w:bCs w:val="0"/>
                <w:szCs w:val="20"/>
              </w:rPr>
              <w:t>mean (SD)</w:t>
            </w:r>
          </w:p>
          <w:p w14:paraId="3471AEB0" w14:textId="77777777" w:rsidR="00202E3A" w:rsidRPr="00354295" w:rsidRDefault="00202E3A">
            <w:pPr>
              <w:pStyle w:val="TableFigureHeading"/>
              <w:rPr>
                <w:b w:val="0"/>
                <w:bCs w:val="0"/>
                <w:szCs w:val="20"/>
              </w:rPr>
            </w:pPr>
            <w:r w:rsidRPr="00354295">
              <w:rPr>
                <w:b w:val="0"/>
                <w:bCs w:val="0"/>
                <w:szCs w:val="20"/>
              </w:rPr>
              <w:t>95% credible interval</w:t>
            </w:r>
          </w:p>
          <w:p w14:paraId="08475555" w14:textId="77777777" w:rsidR="00202E3A" w:rsidRPr="00354295" w:rsidRDefault="00202E3A">
            <w:pPr>
              <w:pStyle w:val="TableFigureHeading"/>
              <w:rPr>
                <w:b w:val="0"/>
                <w:bCs w:val="0"/>
                <w:szCs w:val="20"/>
              </w:rPr>
            </w:pPr>
            <w:r w:rsidRPr="00354295">
              <w:rPr>
                <w:b w:val="0"/>
                <w:bCs w:val="0"/>
                <w:szCs w:val="20"/>
              </w:rPr>
              <w:t>Probability Difference &gt; 0%, %</w:t>
            </w:r>
          </w:p>
        </w:tc>
        <w:tc>
          <w:tcPr>
            <w:tcW w:w="6328" w:type="dxa"/>
            <w:gridSpan w:val="3"/>
          </w:tcPr>
          <w:p w14:paraId="33A1449E" w14:textId="77777777" w:rsidR="00202E3A" w:rsidRPr="00354295" w:rsidRDefault="00202E3A">
            <w:pPr>
              <w:pStyle w:val="TableFigureHeading"/>
              <w:jc w:val="center"/>
              <w:rPr>
                <w:b w:val="0"/>
                <w:bCs w:val="0"/>
                <w:szCs w:val="20"/>
              </w:rPr>
            </w:pPr>
          </w:p>
          <w:p w14:paraId="4CD237B7" w14:textId="77777777" w:rsidR="00202E3A" w:rsidRPr="00354295" w:rsidRDefault="00202E3A">
            <w:pPr>
              <w:pStyle w:val="TableFigureHeading"/>
              <w:jc w:val="center"/>
              <w:rPr>
                <w:b w:val="0"/>
                <w:bCs w:val="0"/>
                <w:szCs w:val="20"/>
              </w:rPr>
            </w:pPr>
          </w:p>
          <w:p w14:paraId="37B04AE9" w14:textId="77777777" w:rsidR="00202E3A" w:rsidRPr="00354295" w:rsidRDefault="00202E3A">
            <w:pPr>
              <w:pStyle w:val="TableFigureHeading"/>
              <w:jc w:val="center"/>
              <w:rPr>
                <w:b w:val="0"/>
                <w:bCs w:val="0"/>
                <w:szCs w:val="20"/>
              </w:rPr>
            </w:pPr>
            <w:r w:rsidRPr="00354295">
              <w:rPr>
                <w:b w:val="0"/>
                <w:bCs w:val="0"/>
                <w:szCs w:val="20"/>
              </w:rPr>
              <w:t>31.2 (10.1)</w:t>
            </w:r>
          </w:p>
          <w:p w14:paraId="0136A7E9" w14:textId="77777777" w:rsidR="00202E3A" w:rsidRPr="00354295" w:rsidRDefault="00202E3A">
            <w:pPr>
              <w:pStyle w:val="TableFigureHeading"/>
              <w:jc w:val="center"/>
              <w:rPr>
                <w:b w:val="0"/>
                <w:bCs w:val="0"/>
                <w:szCs w:val="20"/>
              </w:rPr>
            </w:pPr>
            <w:r w:rsidRPr="00354295">
              <w:rPr>
                <w:b w:val="0"/>
                <w:bCs w:val="0"/>
                <w:szCs w:val="20"/>
              </w:rPr>
              <w:t>11.0, 50.4</w:t>
            </w:r>
          </w:p>
          <w:p w14:paraId="28D45243" w14:textId="77777777" w:rsidR="00202E3A" w:rsidRPr="00354295" w:rsidRDefault="00202E3A">
            <w:pPr>
              <w:pStyle w:val="TableFigureHeading"/>
              <w:jc w:val="center"/>
              <w:rPr>
                <w:b w:val="0"/>
                <w:bCs w:val="0"/>
                <w:szCs w:val="20"/>
              </w:rPr>
            </w:pPr>
            <w:r w:rsidRPr="00354295">
              <w:rPr>
                <w:b w:val="0"/>
                <w:bCs w:val="0"/>
                <w:szCs w:val="20"/>
              </w:rPr>
              <w:t>99.8%</w:t>
            </w:r>
          </w:p>
        </w:tc>
      </w:tr>
      <w:tr w:rsidR="00202E3A" w:rsidRPr="00354295" w14:paraId="726608BD" w14:textId="77777777" w:rsidTr="2B21198B">
        <w:tc>
          <w:tcPr>
            <w:tcW w:w="2689" w:type="dxa"/>
          </w:tcPr>
          <w:p w14:paraId="552D5B60" w14:textId="77777777" w:rsidR="00202E3A" w:rsidRPr="00354295" w:rsidRDefault="711AE1DD" w:rsidP="2B21198B">
            <w:pPr>
              <w:pStyle w:val="TableFigureHeading"/>
              <w:rPr>
                <w:b w:val="0"/>
                <w:bCs w:val="0"/>
                <w:szCs w:val="20"/>
              </w:rPr>
            </w:pPr>
            <w:r w:rsidRPr="00354295">
              <w:rPr>
                <w:b w:val="0"/>
                <w:bCs w:val="0"/>
                <w:szCs w:val="20"/>
              </w:rPr>
              <w:t xml:space="preserve">Frequentist analysis of </w:t>
            </w:r>
            <w:proofErr w:type="spellStart"/>
            <w:r w:rsidRPr="00354295">
              <w:rPr>
                <w:b w:val="0"/>
                <w:bCs w:val="0"/>
                <w:szCs w:val="20"/>
              </w:rPr>
              <w:t>HiSCR</w:t>
            </w:r>
            <w:proofErr w:type="spellEnd"/>
            <w:r w:rsidRPr="00354295">
              <w:rPr>
                <w:b w:val="0"/>
                <w:bCs w:val="0"/>
                <w:szCs w:val="20"/>
              </w:rPr>
              <w:t xml:space="preserve"> at 12 weeks</w:t>
            </w:r>
          </w:p>
          <w:p w14:paraId="4817560E" w14:textId="77777777" w:rsidR="00202E3A" w:rsidRPr="00354295" w:rsidRDefault="00202E3A">
            <w:pPr>
              <w:pStyle w:val="TableFigureHeading"/>
              <w:rPr>
                <w:b w:val="0"/>
                <w:bCs w:val="0"/>
                <w:szCs w:val="20"/>
              </w:rPr>
            </w:pPr>
            <w:r w:rsidRPr="00354295">
              <w:rPr>
                <w:b w:val="0"/>
                <w:bCs w:val="0"/>
                <w:szCs w:val="20"/>
              </w:rPr>
              <w:t>Response rate (%) 95% CI</w:t>
            </w:r>
          </w:p>
        </w:tc>
        <w:tc>
          <w:tcPr>
            <w:tcW w:w="1984" w:type="dxa"/>
          </w:tcPr>
          <w:p w14:paraId="424D2B4E" w14:textId="77777777" w:rsidR="00202E3A" w:rsidRPr="00354295" w:rsidRDefault="00202E3A">
            <w:pPr>
              <w:pStyle w:val="TableFigureHeading"/>
              <w:rPr>
                <w:b w:val="0"/>
                <w:bCs w:val="0"/>
                <w:szCs w:val="20"/>
              </w:rPr>
            </w:pPr>
          </w:p>
          <w:p w14:paraId="25832F79" w14:textId="77777777" w:rsidR="00202E3A" w:rsidRPr="00354295" w:rsidRDefault="00202E3A">
            <w:pPr>
              <w:pStyle w:val="TableFigureHeading"/>
              <w:rPr>
                <w:b w:val="0"/>
                <w:bCs w:val="0"/>
                <w:szCs w:val="20"/>
              </w:rPr>
            </w:pPr>
          </w:p>
          <w:p w14:paraId="34C0EA28" w14:textId="77777777" w:rsidR="00202E3A" w:rsidRPr="00354295" w:rsidRDefault="00202E3A">
            <w:pPr>
              <w:pStyle w:val="TableFigureHeading"/>
              <w:rPr>
                <w:b w:val="0"/>
                <w:bCs w:val="0"/>
                <w:szCs w:val="20"/>
              </w:rPr>
            </w:pPr>
            <w:r w:rsidRPr="00354295">
              <w:rPr>
                <w:b w:val="0"/>
                <w:bCs w:val="0"/>
                <w:szCs w:val="20"/>
              </w:rPr>
              <w:t>56.0 (41.4, 71.2)</w:t>
            </w:r>
          </w:p>
        </w:tc>
        <w:tc>
          <w:tcPr>
            <w:tcW w:w="2268" w:type="dxa"/>
          </w:tcPr>
          <w:p w14:paraId="67E3D905" w14:textId="77777777" w:rsidR="00202E3A" w:rsidRPr="00354295" w:rsidRDefault="00202E3A">
            <w:pPr>
              <w:pStyle w:val="TableFigureHeading"/>
              <w:rPr>
                <w:b w:val="0"/>
                <w:bCs w:val="0"/>
                <w:szCs w:val="20"/>
              </w:rPr>
            </w:pPr>
          </w:p>
          <w:p w14:paraId="2B098283" w14:textId="77777777" w:rsidR="00202E3A" w:rsidRPr="00354295" w:rsidRDefault="00202E3A">
            <w:pPr>
              <w:pStyle w:val="TableFigureHeading"/>
              <w:rPr>
                <w:b w:val="0"/>
                <w:bCs w:val="0"/>
                <w:szCs w:val="20"/>
              </w:rPr>
            </w:pPr>
          </w:p>
          <w:p w14:paraId="26E0B26F" w14:textId="77777777" w:rsidR="00202E3A" w:rsidRPr="00354295" w:rsidRDefault="00202E3A">
            <w:pPr>
              <w:pStyle w:val="TableFigureHeading"/>
              <w:rPr>
                <w:b w:val="0"/>
                <w:bCs w:val="0"/>
                <w:szCs w:val="20"/>
              </w:rPr>
            </w:pPr>
            <w:r w:rsidRPr="00354295">
              <w:rPr>
                <w:b w:val="0"/>
                <w:bCs w:val="0"/>
                <w:szCs w:val="20"/>
              </w:rPr>
              <w:t>NR</w:t>
            </w:r>
          </w:p>
        </w:tc>
        <w:tc>
          <w:tcPr>
            <w:tcW w:w="2076" w:type="dxa"/>
          </w:tcPr>
          <w:p w14:paraId="152A13CF" w14:textId="77777777" w:rsidR="00202E3A" w:rsidRPr="00354295" w:rsidRDefault="00202E3A">
            <w:pPr>
              <w:pStyle w:val="TableFigureHeading"/>
              <w:rPr>
                <w:b w:val="0"/>
                <w:bCs w:val="0"/>
                <w:szCs w:val="20"/>
              </w:rPr>
            </w:pPr>
          </w:p>
          <w:p w14:paraId="0A46AA9E" w14:textId="77777777" w:rsidR="00202E3A" w:rsidRPr="00354295" w:rsidRDefault="00202E3A">
            <w:pPr>
              <w:pStyle w:val="TableFigureHeading"/>
              <w:rPr>
                <w:b w:val="0"/>
                <w:bCs w:val="0"/>
                <w:szCs w:val="20"/>
              </w:rPr>
            </w:pPr>
          </w:p>
          <w:p w14:paraId="540C2EA3" w14:textId="77777777" w:rsidR="00202E3A" w:rsidRPr="00354295" w:rsidRDefault="00202E3A">
            <w:pPr>
              <w:pStyle w:val="TableFigureHeading"/>
              <w:rPr>
                <w:b w:val="0"/>
                <w:bCs w:val="0"/>
                <w:szCs w:val="20"/>
              </w:rPr>
            </w:pPr>
            <w:r w:rsidRPr="00354295">
              <w:rPr>
                <w:b w:val="0"/>
                <w:bCs w:val="0"/>
                <w:szCs w:val="20"/>
              </w:rPr>
              <w:t>23.7 (10.2, 45.8)</w:t>
            </w:r>
          </w:p>
        </w:tc>
      </w:tr>
      <w:tr w:rsidR="00202E3A" w:rsidRPr="00354295" w14:paraId="57724872" w14:textId="77777777" w:rsidTr="2B21198B">
        <w:tc>
          <w:tcPr>
            <w:tcW w:w="2689" w:type="dxa"/>
          </w:tcPr>
          <w:p w14:paraId="4F6A3F95" w14:textId="77777777" w:rsidR="00202E3A" w:rsidRPr="00354295" w:rsidRDefault="00202E3A">
            <w:pPr>
              <w:pStyle w:val="TableFigureHeading"/>
              <w:rPr>
                <w:b w:val="0"/>
                <w:bCs w:val="0"/>
                <w:szCs w:val="20"/>
              </w:rPr>
            </w:pPr>
            <w:r w:rsidRPr="00354295">
              <w:rPr>
                <w:b w:val="0"/>
                <w:bCs w:val="0"/>
                <w:szCs w:val="20"/>
              </w:rPr>
              <w:t>Baseline Abscess + nodule count, mean (SD)</w:t>
            </w:r>
          </w:p>
        </w:tc>
        <w:tc>
          <w:tcPr>
            <w:tcW w:w="1984" w:type="dxa"/>
          </w:tcPr>
          <w:p w14:paraId="3A1619CF" w14:textId="77777777" w:rsidR="00202E3A" w:rsidRPr="00354295" w:rsidRDefault="00202E3A">
            <w:pPr>
              <w:pStyle w:val="TableFigureHeading"/>
              <w:rPr>
                <w:b w:val="0"/>
                <w:bCs w:val="0"/>
                <w:szCs w:val="20"/>
              </w:rPr>
            </w:pPr>
            <w:r w:rsidRPr="00354295">
              <w:rPr>
                <w:b w:val="0"/>
                <w:bCs w:val="0"/>
                <w:szCs w:val="20"/>
              </w:rPr>
              <w:t>14.5 (11.9)</w:t>
            </w:r>
          </w:p>
        </w:tc>
        <w:tc>
          <w:tcPr>
            <w:tcW w:w="2268" w:type="dxa"/>
          </w:tcPr>
          <w:p w14:paraId="7CE8FC80" w14:textId="77777777" w:rsidR="00202E3A" w:rsidRPr="00354295" w:rsidRDefault="00202E3A">
            <w:pPr>
              <w:pStyle w:val="TableFigureHeading"/>
              <w:rPr>
                <w:b w:val="0"/>
                <w:bCs w:val="0"/>
                <w:szCs w:val="20"/>
              </w:rPr>
            </w:pPr>
            <w:r w:rsidRPr="00354295">
              <w:rPr>
                <w:b w:val="0"/>
                <w:bCs w:val="0"/>
                <w:szCs w:val="20"/>
              </w:rPr>
              <w:t>NR</w:t>
            </w:r>
          </w:p>
        </w:tc>
        <w:tc>
          <w:tcPr>
            <w:tcW w:w="2076" w:type="dxa"/>
          </w:tcPr>
          <w:p w14:paraId="112BC6B2" w14:textId="77777777" w:rsidR="00202E3A" w:rsidRPr="00354295" w:rsidRDefault="00202E3A">
            <w:pPr>
              <w:pStyle w:val="TableFigureHeading"/>
              <w:rPr>
                <w:b w:val="0"/>
                <w:bCs w:val="0"/>
                <w:szCs w:val="20"/>
              </w:rPr>
            </w:pPr>
            <w:r w:rsidRPr="00354295">
              <w:rPr>
                <w:b w:val="0"/>
                <w:bCs w:val="0"/>
                <w:szCs w:val="20"/>
              </w:rPr>
              <w:t>22.1 (21.2)</w:t>
            </w:r>
          </w:p>
        </w:tc>
      </w:tr>
      <w:tr w:rsidR="00202E3A" w:rsidRPr="00354295" w14:paraId="081583D1" w14:textId="77777777" w:rsidTr="2B21198B">
        <w:tc>
          <w:tcPr>
            <w:tcW w:w="2689" w:type="dxa"/>
          </w:tcPr>
          <w:p w14:paraId="56521694" w14:textId="77777777" w:rsidR="00202E3A" w:rsidRPr="00354295" w:rsidRDefault="00202E3A">
            <w:pPr>
              <w:pStyle w:val="TableFigureHeading"/>
              <w:rPr>
                <w:b w:val="0"/>
                <w:bCs w:val="0"/>
                <w:szCs w:val="20"/>
              </w:rPr>
            </w:pPr>
            <w:r w:rsidRPr="00354295">
              <w:rPr>
                <w:b w:val="0"/>
                <w:bCs w:val="0"/>
                <w:szCs w:val="20"/>
              </w:rPr>
              <w:t>CFB at 12 weeks in abscesses + nodules count, mean (SD)</w:t>
            </w:r>
          </w:p>
          <w:p w14:paraId="26390B73" w14:textId="77777777" w:rsidR="00202E3A" w:rsidRPr="00354295" w:rsidRDefault="00202E3A">
            <w:pPr>
              <w:pStyle w:val="TableFigureHeading"/>
              <w:rPr>
                <w:b w:val="0"/>
                <w:bCs w:val="0"/>
                <w:szCs w:val="20"/>
              </w:rPr>
            </w:pPr>
            <w:r w:rsidRPr="00354295">
              <w:rPr>
                <w:b w:val="0"/>
                <w:bCs w:val="0"/>
                <w:szCs w:val="20"/>
              </w:rPr>
              <w:t>mean % change (SD)</w:t>
            </w:r>
          </w:p>
        </w:tc>
        <w:tc>
          <w:tcPr>
            <w:tcW w:w="1984" w:type="dxa"/>
          </w:tcPr>
          <w:p w14:paraId="757912E4" w14:textId="77777777" w:rsidR="00202E3A" w:rsidRPr="00354295" w:rsidRDefault="00202E3A">
            <w:pPr>
              <w:pStyle w:val="TableFigureHeading"/>
              <w:rPr>
                <w:b w:val="0"/>
                <w:bCs w:val="0"/>
                <w:szCs w:val="20"/>
              </w:rPr>
            </w:pPr>
          </w:p>
          <w:p w14:paraId="40D6A60C" w14:textId="77777777" w:rsidR="00202E3A" w:rsidRPr="00354295" w:rsidRDefault="00202E3A">
            <w:pPr>
              <w:pStyle w:val="TableFigureHeading"/>
              <w:rPr>
                <w:b w:val="0"/>
                <w:bCs w:val="0"/>
                <w:szCs w:val="20"/>
              </w:rPr>
            </w:pPr>
            <w:r w:rsidRPr="00354295">
              <w:rPr>
                <w:b w:val="0"/>
                <w:bCs w:val="0"/>
                <w:szCs w:val="20"/>
              </w:rPr>
              <w:t>-9.4 (11.8)</w:t>
            </w:r>
          </w:p>
          <w:p w14:paraId="05ACDF86" w14:textId="77777777" w:rsidR="00202E3A" w:rsidRPr="00354295" w:rsidRDefault="00202E3A">
            <w:pPr>
              <w:pStyle w:val="TableFigureHeading"/>
              <w:rPr>
                <w:b w:val="0"/>
                <w:bCs w:val="0"/>
                <w:szCs w:val="20"/>
              </w:rPr>
            </w:pPr>
            <w:r w:rsidRPr="00354295">
              <w:rPr>
                <w:b w:val="0"/>
                <w:bCs w:val="0"/>
                <w:szCs w:val="20"/>
              </w:rPr>
              <w:t>-54.1% (67.3)</w:t>
            </w:r>
          </w:p>
        </w:tc>
        <w:tc>
          <w:tcPr>
            <w:tcW w:w="2268" w:type="dxa"/>
          </w:tcPr>
          <w:p w14:paraId="5407BDE4" w14:textId="77777777" w:rsidR="00202E3A" w:rsidRPr="00354295" w:rsidRDefault="00202E3A">
            <w:pPr>
              <w:pStyle w:val="TableFigureHeading"/>
              <w:rPr>
                <w:b w:val="0"/>
                <w:bCs w:val="0"/>
                <w:szCs w:val="20"/>
              </w:rPr>
            </w:pPr>
          </w:p>
          <w:p w14:paraId="480CC618" w14:textId="77777777" w:rsidR="00202E3A" w:rsidRPr="00354295" w:rsidRDefault="00202E3A">
            <w:pPr>
              <w:pStyle w:val="TableFigureHeading"/>
              <w:rPr>
                <w:b w:val="0"/>
                <w:bCs w:val="0"/>
                <w:szCs w:val="20"/>
              </w:rPr>
            </w:pPr>
            <w:r w:rsidRPr="00354295">
              <w:rPr>
                <w:b w:val="0"/>
                <w:bCs w:val="0"/>
                <w:szCs w:val="20"/>
              </w:rPr>
              <w:t>NR</w:t>
            </w:r>
          </w:p>
          <w:p w14:paraId="2D1860A2" w14:textId="77777777" w:rsidR="00202E3A" w:rsidRPr="00354295" w:rsidRDefault="00202E3A">
            <w:pPr>
              <w:pStyle w:val="TableFigureHeading"/>
              <w:rPr>
                <w:b w:val="0"/>
                <w:bCs w:val="0"/>
                <w:szCs w:val="20"/>
              </w:rPr>
            </w:pPr>
          </w:p>
        </w:tc>
        <w:tc>
          <w:tcPr>
            <w:tcW w:w="2076" w:type="dxa"/>
          </w:tcPr>
          <w:p w14:paraId="1B3FFF7F" w14:textId="77777777" w:rsidR="00202E3A" w:rsidRPr="00354295" w:rsidRDefault="00202E3A">
            <w:pPr>
              <w:pStyle w:val="TableFigureHeading"/>
              <w:rPr>
                <w:b w:val="0"/>
                <w:bCs w:val="0"/>
                <w:szCs w:val="20"/>
              </w:rPr>
            </w:pPr>
          </w:p>
          <w:p w14:paraId="01395A0C" w14:textId="77777777" w:rsidR="00202E3A" w:rsidRPr="00354295" w:rsidRDefault="00202E3A">
            <w:pPr>
              <w:pStyle w:val="TableFigureHeading"/>
              <w:rPr>
                <w:b w:val="0"/>
                <w:bCs w:val="0"/>
                <w:szCs w:val="20"/>
              </w:rPr>
            </w:pPr>
            <w:r w:rsidRPr="00354295">
              <w:rPr>
                <w:b w:val="0"/>
                <w:bCs w:val="0"/>
                <w:szCs w:val="20"/>
              </w:rPr>
              <w:t>-4.8 (15.8)</w:t>
            </w:r>
          </w:p>
          <w:p w14:paraId="10402699" w14:textId="77777777" w:rsidR="00202E3A" w:rsidRPr="00354295" w:rsidRDefault="00202E3A">
            <w:pPr>
              <w:pStyle w:val="TableFigureHeading"/>
              <w:rPr>
                <w:b w:val="0"/>
                <w:bCs w:val="0"/>
                <w:szCs w:val="20"/>
              </w:rPr>
            </w:pPr>
            <w:r w:rsidRPr="00354295">
              <w:rPr>
                <w:b w:val="0"/>
                <w:bCs w:val="0"/>
                <w:szCs w:val="20"/>
              </w:rPr>
              <w:t>-2.3% (89.4)</w:t>
            </w:r>
          </w:p>
        </w:tc>
      </w:tr>
      <w:tr w:rsidR="00202E3A" w:rsidRPr="00354295" w14:paraId="693266EE" w14:textId="77777777" w:rsidTr="2B21198B">
        <w:tc>
          <w:tcPr>
            <w:tcW w:w="2689" w:type="dxa"/>
          </w:tcPr>
          <w:p w14:paraId="3C6EABCD" w14:textId="77777777" w:rsidR="00202E3A" w:rsidRPr="00354295" w:rsidRDefault="00202E3A">
            <w:pPr>
              <w:pStyle w:val="TableFigureHeading"/>
              <w:rPr>
                <w:b w:val="0"/>
                <w:bCs w:val="0"/>
                <w:szCs w:val="20"/>
              </w:rPr>
            </w:pPr>
            <w:r w:rsidRPr="00354295">
              <w:rPr>
                <w:b w:val="0"/>
                <w:bCs w:val="0"/>
                <w:szCs w:val="20"/>
              </w:rPr>
              <w:t>Baseline draining tunnel count, mean (SD)</w:t>
            </w:r>
          </w:p>
        </w:tc>
        <w:tc>
          <w:tcPr>
            <w:tcW w:w="1984" w:type="dxa"/>
          </w:tcPr>
          <w:p w14:paraId="7CC1A283" w14:textId="77777777" w:rsidR="00202E3A" w:rsidRPr="00354295" w:rsidRDefault="00202E3A">
            <w:pPr>
              <w:pStyle w:val="TableFigureHeading"/>
              <w:rPr>
                <w:b w:val="0"/>
                <w:bCs w:val="0"/>
                <w:szCs w:val="20"/>
              </w:rPr>
            </w:pPr>
            <w:r w:rsidRPr="00354295">
              <w:rPr>
                <w:b w:val="0"/>
                <w:bCs w:val="0"/>
                <w:szCs w:val="20"/>
              </w:rPr>
              <w:t>5.3 (5.1)</w:t>
            </w:r>
          </w:p>
        </w:tc>
        <w:tc>
          <w:tcPr>
            <w:tcW w:w="2268" w:type="dxa"/>
          </w:tcPr>
          <w:p w14:paraId="2B846551" w14:textId="77777777" w:rsidR="00202E3A" w:rsidRPr="00354295" w:rsidRDefault="00202E3A">
            <w:pPr>
              <w:pStyle w:val="TableFigureHeading"/>
              <w:rPr>
                <w:b w:val="0"/>
                <w:bCs w:val="0"/>
                <w:szCs w:val="20"/>
              </w:rPr>
            </w:pPr>
            <w:r w:rsidRPr="00354295">
              <w:rPr>
                <w:b w:val="0"/>
                <w:bCs w:val="0"/>
                <w:szCs w:val="20"/>
              </w:rPr>
              <w:t>NR</w:t>
            </w:r>
          </w:p>
        </w:tc>
        <w:tc>
          <w:tcPr>
            <w:tcW w:w="2076" w:type="dxa"/>
          </w:tcPr>
          <w:p w14:paraId="112F934B" w14:textId="77777777" w:rsidR="00202E3A" w:rsidRPr="00354295" w:rsidRDefault="00202E3A">
            <w:pPr>
              <w:pStyle w:val="TableFigureHeading"/>
              <w:rPr>
                <w:b w:val="0"/>
                <w:bCs w:val="0"/>
                <w:szCs w:val="20"/>
              </w:rPr>
            </w:pPr>
            <w:r w:rsidRPr="00354295">
              <w:rPr>
                <w:b w:val="0"/>
                <w:bCs w:val="0"/>
                <w:szCs w:val="20"/>
              </w:rPr>
              <w:t>5.5 (5.3)</w:t>
            </w:r>
          </w:p>
        </w:tc>
      </w:tr>
      <w:tr w:rsidR="00202E3A" w:rsidRPr="00354295" w14:paraId="266937B3" w14:textId="77777777" w:rsidTr="2B21198B">
        <w:tc>
          <w:tcPr>
            <w:tcW w:w="2689" w:type="dxa"/>
          </w:tcPr>
          <w:p w14:paraId="4DA3ABA0" w14:textId="77777777" w:rsidR="00202E3A" w:rsidRPr="00354295" w:rsidRDefault="00202E3A">
            <w:pPr>
              <w:pStyle w:val="TableFigureHeading"/>
              <w:rPr>
                <w:b w:val="0"/>
                <w:bCs w:val="0"/>
                <w:szCs w:val="20"/>
              </w:rPr>
            </w:pPr>
            <w:r w:rsidRPr="00354295">
              <w:rPr>
                <w:b w:val="0"/>
                <w:bCs w:val="0"/>
                <w:szCs w:val="20"/>
              </w:rPr>
              <w:t>CFB at 12 weeks in draining tunnels count, mean (SD)</w:t>
            </w:r>
          </w:p>
          <w:p w14:paraId="1AFBF9EF" w14:textId="77777777" w:rsidR="00202E3A" w:rsidRPr="00354295" w:rsidRDefault="00202E3A">
            <w:pPr>
              <w:pStyle w:val="TableFigureHeading"/>
              <w:rPr>
                <w:b w:val="0"/>
                <w:bCs w:val="0"/>
                <w:szCs w:val="20"/>
              </w:rPr>
            </w:pPr>
            <w:r w:rsidRPr="00354295">
              <w:rPr>
                <w:b w:val="0"/>
                <w:bCs w:val="0"/>
                <w:szCs w:val="20"/>
              </w:rPr>
              <w:t>mean % change (SD)</w:t>
            </w:r>
          </w:p>
        </w:tc>
        <w:tc>
          <w:tcPr>
            <w:tcW w:w="1984" w:type="dxa"/>
          </w:tcPr>
          <w:p w14:paraId="4FB01360" w14:textId="77777777" w:rsidR="00202E3A" w:rsidRPr="00354295" w:rsidRDefault="00202E3A">
            <w:pPr>
              <w:pStyle w:val="TableFigureHeading"/>
              <w:rPr>
                <w:b w:val="0"/>
                <w:bCs w:val="0"/>
                <w:szCs w:val="20"/>
              </w:rPr>
            </w:pPr>
          </w:p>
          <w:p w14:paraId="30E423A4" w14:textId="77777777" w:rsidR="00202E3A" w:rsidRPr="00354295" w:rsidRDefault="00202E3A">
            <w:pPr>
              <w:pStyle w:val="TableFigureHeading"/>
              <w:rPr>
                <w:b w:val="0"/>
                <w:bCs w:val="0"/>
                <w:szCs w:val="20"/>
              </w:rPr>
            </w:pPr>
            <w:r w:rsidRPr="00354295">
              <w:rPr>
                <w:b w:val="0"/>
                <w:bCs w:val="0"/>
                <w:szCs w:val="20"/>
              </w:rPr>
              <w:t>-3.1 (4.2)</w:t>
            </w:r>
          </w:p>
          <w:p w14:paraId="3B381548" w14:textId="77777777" w:rsidR="00202E3A" w:rsidRPr="00354295" w:rsidRDefault="00202E3A">
            <w:pPr>
              <w:pStyle w:val="TableFigureHeading"/>
              <w:rPr>
                <w:b w:val="0"/>
                <w:bCs w:val="0"/>
                <w:szCs w:val="20"/>
              </w:rPr>
            </w:pPr>
            <w:r w:rsidRPr="00354295">
              <w:rPr>
                <w:b w:val="0"/>
                <w:bCs w:val="0"/>
                <w:szCs w:val="20"/>
              </w:rPr>
              <w:t>-54.6% (54.4)</w:t>
            </w:r>
          </w:p>
        </w:tc>
        <w:tc>
          <w:tcPr>
            <w:tcW w:w="2268" w:type="dxa"/>
          </w:tcPr>
          <w:p w14:paraId="719548AA" w14:textId="77777777" w:rsidR="00202E3A" w:rsidRPr="00354295" w:rsidRDefault="00202E3A">
            <w:pPr>
              <w:pStyle w:val="TableFigureHeading"/>
              <w:rPr>
                <w:b w:val="0"/>
                <w:bCs w:val="0"/>
                <w:szCs w:val="20"/>
              </w:rPr>
            </w:pPr>
          </w:p>
          <w:p w14:paraId="071195FA" w14:textId="77777777" w:rsidR="00202E3A" w:rsidRPr="00354295" w:rsidRDefault="00202E3A">
            <w:pPr>
              <w:pStyle w:val="TableFigureHeading"/>
              <w:rPr>
                <w:b w:val="0"/>
                <w:bCs w:val="0"/>
                <w:szCs w:val="20"/>
              </w:rPr>
            </w:pPr>
            <w:r w:rsidRPr="00354295">
              <w:rPr>
                <w:b w:val="0"/>
                <w:bCs w:val="0"/>
                <w:szCs w:val="20"/>
              </w:rPr>
              <w:t>NR</w:t>
            </w:r>
          </w:p>
        </w:tc>
        <w:tc>
          <w:tcPr>
            <w:tcW w:w="2076" w:type="dxa"/>
          </w:tcPr>
          <w:p w14:paraId="48B340CE" w14:textId="77777777" w:rsidR="00202E3A" w:rsidRPr="00354295" w:rsidRDefault="00202E3A">
            <w:pPr>
              <w:pStyle w:val="TableFigureHeading"/>
              <w:rPr>
                <w:b w:val="0"/>
                <w:bCs w:val="0"/>
                <w:szCs w:val="20"/>
              </w:rPr>
            </w:pPr>
          </w:p>
          <w:p w14:paraId="1FCA0664" w14:textId="77777777" w:rsidR="00202E3A" w:rsidRPr="00354295" w:rsidRDefault="00202E3A">
            <w:pPr>
              <w:pStyle w:val="TableFigureHeading"/>
              <w:rPr>
                <w:b w:val="0"/>
                <w:bCs w:val="0"/>
                <w:szCs w:val="20"/>
              </w:rPr>
            </w:pPr>
            <w:r w:rsidRPr="00354295">
              <w:rPr>
                <w:b w:val="0"/>
                <w:bCs w:val="0"/>
                <w:szCs w:val="20"/>
              </w:rPr>
              <w:t>-0.9 (4.1)</w:t>
            </w:r>
          </w:p>
          <w:p w14:paraId="2463DEDB" w14:textId="77777777" w:rsidR="00202E3A" w:rsidRPr="00354295" w:rsidRDefault="00202E3A">
            <w:pPr>
              <w:pStyle w:val="TableFigureHeading"/>
              <w:rPr>
                <w:b w:val="0"/>
                <w:bCs w:val="0"/>
                <w:szCs w:val="20"/>
              </w:rPr>
            </w:pPr>
            <w:r w:rsidRPr="00354295">
              <w:rPr>
                <w:b w:val="0"/>
                <w:bCs w:val="0"/>
                <w:szCs w:val="20"/>
              </w:rPr>
              <w:t>6.8% (71.4)</w:t>
            </w:r>
          </w:p>
        </w:tc>
      </w:tr>
      <w:tr w:rsidR="00202E3A" w:rsidRPr="00354295" w14:paraId="7CF39386" w14:textId="77777777" w:rsidTr="2B21198B">
        <w:tc>
          <w:tcPr>
            <w:tcW w:w="2689" w:type="dxa"/>
          </w:tcPr>
          <w:p w14:paraId="2D8A9416" w14:textId="77777777" w:rsidR="00202E3A" w:rsidRPr="00354295" w:rsidRDefault="00202E3A">
            <w:pPr>
              <w:pStyle w:val="TableFigureHeading"/>
              <w:rPr>
                <w:b w:val="0"/>
                <w:bCs w:val="0"/>
                <w:szCs w:val="20"/>
              </w:rPr>
            </w:pPr>
            <w:r w:rsidRPr="00354295">
              <w:rPr>
                <w:b w:val="0"/>
                <w:bCs w:val="0"/>
                <w:szCs w:val="20"/>
              </w:rPr>
              <w:t>CFB DLQI, mean (SD)</w:t>
            </w:r>
          </w:p>
        </w:tc>
        <w:tc>
          <w:tcPr>
            <w:tcW w:w="1984" w:type="dxa"/>
          </w:tcPr>
          <w:p w14:paraId="385FE377" w14:textId="77777777" w:rsidR="00202E3A" w:rsidRPr="00354295" w:rsidRDefault="00202E3A">
            <w:pPr>
              <w:pStyle w:val="TableFigureHeading"/>
              <w:rPr>
                <w:b w:val="0"/>
                <w:bCs w:val="0"/>
                <w:szCs w:val="20"/>
              </w:rPr>
            </w:pPr>
            <w:r w:rsidRPr="00354295">
              <w:rPr>
                <w:b w:val="0"/>
                <w:bCs w:val="0"/>
                <w:szCs w:val="20"/>
              </w:rPr>
              <w:t>-5.4 (6.8)</w:t>
            </w:r>
          </w:p>
        </w:tc>
        <w:tc>
          <w:tcPr>
            <w:tcW w:w="2268" w:type="dxa"/>
          </w:tcPr>
          <w:p w14:paraId="51A60D0B" w14:textId="77777777" w:rsidR="00202E3A" w:rsidRPr="00354295" w:rsidRDefault="00202E3A">
            <w:pPr>
              <w:pStyle w:val="TableFigureHeading"/>
              <w:rPr>
                <w:b w:val="0"/>
                <w:bCs w:val="0"/>
                <w:szCs w:val="20"/>
              </w:rPr>
            </w:pPr>
            <w:r w:rsidRPr="00354295">
              <w:rPr>
                <w:b w:val="0"/>
                <w:bCs w:val="0"/>
                <w:szCs w:val="20"/>
              </w:rPr>
              <w:t>-7.5 (6.0)</w:t>
            </w:r>
          </w:p>
        </w:tc>
        <w:tc>
          <w:tcPr>
            <w:tcW w:w="2076" w:type="dxa"/>
          </w:tcPr>
          <w:p w14:paraId="6A4F3D67" w14:textId="77777777" w:rsidR="00202E3A" w:rsidRPr="00354295" w:rsidRDefault="00202E3A">
            <w:pPr>
              <w:pStyle w:val="TableFigureHeading"/>
              <w:rPr>
                <w:b w:val="0"/>
                <w:bCs w:val="0"/>
                <w:szCs w:val="20"/>
              </w:rPr>
            </w:pPr>
            <w:r w:rsidRPr="00354295">
              <w:rPr>
                <w:b w:val="0"/>
                <w:bCs w:val="0"/>
                <w:szCs w:val="20"/>
              </w:rPr>
              <w:t>-0.8 (6.6)</w:t>
            </w:r>
          </w:p>
        </w:tc>
      </w:tr>
    </w:tbl>
    <w:p w14:paraId="276F663B" w14:textId="77777777" w:rsidR="00202E3A" w:rsidRDefault="00202E3A" w:rsidP="00A70CFC">
      <w:pPr>
        <w:pStyle w:val="TableFigureFooter"/>
        <w:jc w:val="both"/>
      </w:pPr>
      <w:r>
        <w:t xml:space="preserve">Source: HS0001 CSR, Table 8-1, p115; Table 8-2, p117; Table 8-7, pp128-129; Table 8-11, p137. </w:t>
      </w:r>
    </w:p>
    <w:p w14:paraId="275C922A" w14:textId="0B052388" w:rsidR="00202E3A" w:rsidRPr="00202E3A" w:rsidRDefault="711AE1DD" w:rsidP="00A70CFC">
      <w:pPr>
        <w:pStyle w:val="TableFigureFooter"/>
        <w:jc w:val="both"/>
      </w:pPr>
      <w:r w:rsidRPr="2B21198B">
        <w:t xml:space="preserve">ADA = adalimumab; BKZ = bimekizumab; CFB = change from baseline; DLQI = dermatology life quality index; </w:t>
      </w:r>
      <w:proofErr w:type="spellStart"/>
      <w:r w:rsidRPr="2B21198B">
        <w:t>HiSCR</w:t>
      </w:r>
      <w:proofErr w:type="spellEnd"/>
      <w:r w:rsidRPr="2B21198B">
        <w:t xml:space="preserve"> = hidradenitis suppurativa clinical response; PBO = placebo; SD = standard deviation. </w:t>
      </w:r>
    </w:p>
    <w:p w14:paraId="2E1390A8" w14:textId="5EB62B71" w:rsidR="009E1701" w:rsidRPr="00152967" w:rsidRDefault="587508EF" w:rsidP="004445E7">
      <w:pPr>
        <w:pStyle w:val="3-BodyText"/>
      </w:pPr>
      <w:r w:rsidRPr="00152967">
        <w:t xml:space="preserve">The HiSCR50 </w:t>
      </w:r>
      <w:r w:rsidR="5837D0E5" w:rsidRPr="00152967">
        <w:t xml:space="preserve">primary </w:t>
      </w:r>
      <w:r w:rsidRPr="00152967">
        <w:t xml:space="preserve">outcome was more often achieved in bimekizumab-treated patients. </w:t>
      </w:r>
      <w:r w:rsidR="2F1EAC5F" w:rsidRPr="00152967">
        <w:t xml:space="preserve">Bimekizumab was superior on all other outcomes, although the effect size was generally less than with </w:t>
      </w:r>
      <w:proofErr w:type="spellStart"/>
      <w:r w:rsidR="2F1EAC5F" w:rsidRPr="00152967">
        <w:t>HiSCR</w:t>
      </w:r>
      <w:proofErr w:type="spellEnd"/>
      <w:r w:rsidR="72384119" w:rsidRPr="00152967">
        <w:t xml:space="preserve"> and some of the differences were not statistically significant</w:t>
      </w:r>
      <w:r w:rsidR="2F1EAC5F" w:rsidRPr="00152967">
        <w:t xml:space="preserve">. </w:t>
      </w:r>
    </w:p>
    <w:p w14:paraId="0BF65C73" w14:textId="324A3A15" w:rsidR="00A65B03" w:rsidRPr="00152967" w:rsidRDefault="6168F42D" w:rsidP="2B21198B">
      <w:pPr>
        <w:pStyle w:val="3-BodyText"/>
      </w:pPr>
      <w:r w:rsidRPr="00152967">
        <w:t>A disease flare was defined as a 25% increase in abscesses + nodules count with a minimum absolute increase from baseline of 2</w:t>
      </w:r>
      <w:r w:rsidR="045434FD" w:rsidRPr="00152967">
        <w:t xml:space="preserve">, and a flare could </w:t>
      </w:r>
      <w:r w:rsidR="00513C80" w:rsidRPr="00152967">
        <w:t>occur,</w:t>
      </w:r>
      <w:r w:rsidR="045434FD" w:rsidRPr="00152967">
        <w:t xml:space="preserve"> but a patient </w:t>
      </w:r>
      <w:r w:rsidR="0086343E" w:rsidRPr="00152967">
        <w:t xml:space="preserve">could </w:t>
      </w:r>
      <w:r w:rsidR="045434FD" w:rsidRPr="00152967">
        <w:t xml:space="preserve">still achieve a </w:t>
      </w:r>
      <w:proofErr w:type="spellStart"/>
      <w:r w:rsidR="045434FD" w:rsidRPr="00152967">
        <w:t>HiSCR</w:t>
      </w:r>
      <w:proofErr w:type="spellEnd"/>
      <w:r w:rsidR="045434FD" w:rsidRPr="00152967">
        <w:t xml:space="preserve"> response at 16 weeks. </w:t>
      </w:r>
      <w:r w:rsidRPr="00152967">
        <w:t xml:space="preserve">The flare rate was somewhat lower with bimekizumab in BE HEARD I but </w:t>
      </w:r>
      <w:r w:rsidR="02E1348E" w:rsidRPr="00152967">
        <w:t>w</w:t>
      </w:r>
      <w:r w:rsidR="00994A64" w:rsidRPr="00152967">
        <w:t>as</w:t>
      </w:r>
      <w:r w:rsidR="02E1348E" w:rsidRPr="00152967">
        <w:t xml:space="preserve"> not reported for BE HEARD II</w:t>
      </w:r>
      <w:r w:rsidRPr="00152967">
        <w:t xml:space="preserve">. </w:t>
      </w:r>
      <w:r w:rsidR="00994A64" w:rsidRPr="00152967">
        <w:t>However, t</w:t>
      </w:r>
      <w:r w:rsidRPr="00152967">
        <w:t>ime to disease flare</w:t>
      </w:r>
      <w:r w:rsidR="00994A64" w:rsidRPr="00152967">
        <w:t xml:space="preserve"> was reported in BE HEARD II and clearly did not differ between bimekizumab-treated and placebo-treated patients (BE HEARD II CSR, Figure 8-7).</w:t>
      </w:r>
    </w:p>
    <w:p w14:paraId="2B22A89A" w14:textId="110EA8C7" w:rsidR="004445E7" w:rsidRPr="00152967" w:rsidRDefault="00126983" w:rsidP="004445E7">
      <w:pPr>
        <w:pStyle w:val="3-BodyText"/>
      </w:pPr>
      <w:r w:rsidRPr="00152967">
        <w:t>DLQI scores fell (</w:t>
      </w:r>
      <w:r w:rsidR="00DD3AEF" w:rsidRPr="00152967">
        <w:t>i.e.</w:t>
      </w:r>
      <w:r w:rsidRPr="00152967">
        <w:t xml:space="preserve">, quality of life was less impaired) in both treatment groups. </w:t>
      </w:r>
      <w:r w:rsidR="00CD593A" w:rsidRPr="00152967">
        <w:t xml:space="preserve">The </w:t>
      </w:r>
      <w:r w:rsidR="004445E7" w:rsidRPr="00152967">
        <w:t>minimum clinically important difference</w:t>
      </w:r>
      <w:r w:rsidR="007C3C65" w:rsidRPr="00152967">
        <w:t xml:space="preserve"> (MCID)</w:t>
      </w:r>
      <w:r w:rsidR="004445E7" w:rsidRPr="00152967">
        <w:t xml:space="preserve"> for DLQI </w:t>
      </w:r>
      <w:r w:rsidR="007C3C65" w:rsidRPr="00152967">
        <w:t xml:space="preserve">has been reported to be </w:t>
      </w:r>
      <w:r w:rsidR="007C3C65" w:rsidRPr="00152967">
        <w:lastRenderedPageBreak/>
        <w:t>between 3 and 5 in inflammatory conditions, with 4 a commonly used MCID</w:t>
      </w:r>
      <w:r w:rsidR="00CD593A" w:rsidRPr="00152967">
        <w:t>.</w:t>
      </w:r>
      <w:r w:rsidR="00CD593A" w:rsidRPr="00152967">
        <w:rPr>
          <w:rStyle w:val="FootnoteReference"/>
        </w:rPr>
        <w:footnoteReference w:id="7"/>
      </w:r>
      <w:r w:rsidR="00CD593A" w:rsidRPr="00152967">
        <w:t xml:space="preserve"> On that basis, the </w:t>
      </w:r>
      <w:r w:rsidR="007C3C65" w:rsidRPr="00152967">
        <w:t>mean changes from baseline</w:t>
      </w:r>
      <w:r w:rsidR="00CD593A" w:rsidRPr="00152967">
        <w:t xml:space="preserve"> in DLQI with bimekizumab in BE HEARD I/II were just clinically significant, and the differences between bimekizumab and placebo were not clinically significant. </w:t>
      </w:r>
    </w:p>
    <w:p w14:paraId="23A3DF5D" w14:textId="09DBF3CE" w:rsidR="007C3C65" w:rsidRPr="00152967" w:rsidRDefault="583D640E" w:rsidP="004445E7">
      <w:pPr>
        <w:pStyle w:val="3-BodyText"/>
      </w:pPr>
      <w:r w:rsidRPr="00152967">
        <w:t>The proportions of patients with DLQI of 0 or 1 (</w:t>
      </w:r>
      <w:r w:rsidR="00513C80" w:rsidRPr="00152967">
        <w:t>i.e.</w:t>
      </w:r>
      <w:r w:rsidRPr="00152967">
        <w:t xml:space="preserve">, no or minimal impairment) were higher with bimekizumab, but the rates in BE HEARD I were higher in both treatment groups than in either treatment group in BE HEARD II. </w:t>
      </w:r>
    </w:p>
    <w:p w14:paraId="00F7C03F" w14:textId="7F4FB80B" w:rsidR="001562DB" w:rsidRPr="00152967" w:rsidRDefault="00BC6BF8">
      <w:pPr>
        <w:pStyle w:val="3-BodyText"/>
      </w:pPr>
      <w:r w:rsidRPr="00152967">
        <w:t xml:space="preserve">A threshold for clinically meaningful change in pain scores was also defined. The average of daily worst pain scores for the week preceding each </w:t>
      </w:r>
      <w:r w:rsidR="001562DB" w:rsidRPr="00152967">
        <w:t xml:space="preserve">study </w:t>
      </w:r>
      <w:r w:rsidRPr="00152967">
        <w:t>visit was calculated, and a clinically significant change was a three-point or greater fall</w:t>
      </w:r>
      <w:r w:rsidR="001562DB" w:rsidRPr="00152967">
        <w:t xml:space="preserve"> </w:t>
      </w:r>
      <w:r w:rsidR="009A2E2F" w:rsidRPr="00152967">
        <w:t xml:space="preserve">in this weekly mean </w:t>
      </w:r>
      <w:r w:rsidR="001562DB" w:rsidRPr="00152967">
        <w:t>from baseline</w:t>
      </w:r>
      <w:r w:rsidRPr="00152967">
        <w:t xml:space="preserve">. Patients with a weekly average score of less than three </w:t>
      </w:r>
      <w:r w:rsidR="001562DB" w:rsidRPr="00152967">
        <w:t xml:space="preserve">at baseline </w:t>
      </w:r>
      <w:r w:rsidRPr="00152967">
        <w:t xml:space="preserve">were, therefore, excluded. </w:t>
      </w:r>
    </w:p>
    <w:p w14:paraId="326B9571" w14:textId="592D131E" w:rsidR="00DF683C" w:rsidRPr="00152967" w:rsidRDefault="00AD3357" w:rsidP="00DF683C">
      <w:pPr>
        <w:pStyle w:val="3-BodyText"/>
      </w:pPr>
      <w:r w:rsidRPr="00152967">
        <w:t>The least squares mean difference in pain scores at 16 weeks was</w:t>
      </w:r>
      <w:r w:rsidR="009524A8" w:rsidRPr="00152967">
        <w:t xml:space="preserve"> less than the clinically significant change:</w:t>
      </w:r>
      <w:r w:rsidRPr="00152967">
        <w:t xml:space="preserve"> -1.2 in BE HEARD I and -1.3 in BE HEARD II</w:t>
      </w:r>
      <w:r w:rsidR="009524A8" w:rsidRPr="00152967">
        <w:t xml:space="preserve">. </w:t>
      </w:r>
      <w:r w:rsidR="001562DB" w:rsidRPr="00152967">
        <w:t>In BE HEARD I the percentage (95% CI) of patients with a clinically significant response in pain</w:t>
      </w:r>
      <w:r w:rsidR="0053537E" w:rsidRPr="00152967">
        <w:t xml:space="preserve"> score </w:t>
      </w:r>
      <w:r w:rsidR="001562DB" w:rsidRPr="00152967">
        <w:t xml:space="preserve">was </w:t>
      </w:r>
      <w:r w:rsidR="00126983" w:rsidRPr="00152967">
        <w:t>15.0% (3.6, 26.5)</w:t>
      </w:r>
      <w:r w:rsidR="001562DB" w:rsidRPr="00152967">
        <w:t xml:space="preserve"> among placebo-treated patients and </w:t>
      </w:r>
      <w:r w:rsidR="00126983" w:rsidRPr="00152967">
        <w:t>32.3</w:t>
      </w:r>
      <w:r w:rsidR="001562DB" w:rsidRPr="00152967">
        <w:t>% (25.1, 3</w:t>
      </w:r>
      <w:r w:rsidR="00126983" w:rsidRPr="00152967">
        <w:t>9.5</w:t>
      </w:r>
      <w:r w:rsidR="001562DB" w:rsidRPr="00152967">
        <w:t>) among bimekizumab-treated patients</w:t>
      </w:r>
      <w:r w:rsidR="0053537E" w:rsidRPr="00152967">
        <w:t>.</w:t>
      </w:r>
      <w:r w:rsidR="001562DB" w:rsidRPr="00152967">
        <w:t xml:space="preserve"> In BE HEARD II the percentage (95% CI) of patients with a clinically significant response in pain was 10.9% (1.7, 20.1) among placebo-treated patients and 31.8% (25.1, 38.4) among bimekizumab-treated patients.</w:t>
      </w:r>
    </w:p>
    <w:p w14:paraId="0FAB32B4" w14:textId="03B9CE2B" w:rsidR="00800C68" w:rsidRPr="00152967" w:rsidRDefault="54EE8B7C" w:rsidP="00941CA9">
      <w:pPr>
        <w:pStyle w:val="3-BodyText"/>
      </w:pPr>
      <w:r w:rsidRPr="00152967">
        <w:t xml:space="preserve">Analysis of subgroups was reported in Table 2.34 of the submission. </w:t>
      </w:r>
    </w:p>
    <w:p w14:paraId="5C3A2B65" w14:textId="7FA7C5E9" w:rsidR="00800C68" w:rsidRPr="00152967" w:rsidRDefault="547A4272" w:rsidP="2B21198B">
      <w:pPr>
        <w:pStyle w:val="3-BodyText"/>
      </w:pPr>
      <w:r w:rsidRPr="00152967">
        <w:t xml:space="preserve">The most important of these </w:t>
      </w:r>
      <w:r w:rsidR="00537F32" w:rsidRPr="00152967">
        <w:t xml:space="preserve">sub-group results </w:t>
      </w:r>
      <w:r w:rsidRPr="00152967">
        <w:t xml:space="preserve">for the purpose of the submission was that HiSCR50 response rates were higher for bimekizumab-treated patients with Hurley Stage II than for patients with Hurley Stage III (53.1% vs 42.1% respectively in BE HEARD I and 58.1% vs 42.4% respectively in BE HEARD II). Differences in the proportions of patients with Hurley Stages II and III among trials </w:t>
      </w:r>
      <w:r w:rsidR="54E8C84B" w:rsidRPr="00152967">
        <w:t>may be</w:t>
      </w:r>
      <w:r w:rsidRPr="00152967">
        <w:t xml:space="preserve"> an important transitivity issue</w:t>
      </w:r>
      <w:r w:rsidR="00537F32" w:rsidRPr="00152967">
        <w:t>, because trials with fewer Hurley Stage III patients would likely report better results.</w:t>
      </w:r>
      <w:r w:rsidRPr="00152967">
        <w:t xml:space="preserve">  </w:t>
      </w:r>
    </w:p>
    <w:p w14:paraId="12A3ACF6" w14:textId="2D12D702" w:rsidR="006613E4" w:rsidRDefault="006613E4" w:rsidP="006613E4">
      <w:pPr>
        <w:pStyle w:val="5-SubsectionSubheading"/>
      </w:pPr>
      <w:bookmarkStart w:id="36" w:name="_Toc192760450"/>
      <w:r>
        <w:t>Indirect Treatment Comparisons for Efficacy</w:t>
      </w:r>
      <w:r w:rsidR="00227EB4">
        <w:t xml:space="preserve"> to 16 weeks</w:t>
      </w:r>
      <w:bookmarkEnd w:id="36"/>
    </w:p>
    <w:p w14:paraId="189EA265" w14:textId="0DC15769" w:rsidR="00903D9D" w:rsidRDefault="006613E4">
      <w:pPr>
        <w:pStyle w:val="3-BodyText"/>
      </w:pPr>
      <w:r>
        <w:t xml:space="preserve">Baseline characteristics </w:t>
      </w:r>
      <w:r w:rsidR="006427CC">
        <w:t xml:space="preserve">of patients </w:t>
      </w:r>
      <w:r w:rsidR="00513F48">
        <w:t xml:space="preserve">and the placebo response rates for HiSCR50 </w:t>
      </w:r>
      <w:r w:rsidR="006427CC">
        <w:t>in</w:t>
      </w:r>
      <w:r>
        <w:t xml:space="preserve"> </w:t>
      </w:r>
      <w:r w:rsidR="006427CC">
        <w:t>the trials used in the indirect treatment comparison (ITCs) are shown in</w:t>
      </w:r>
      <w:r w:rsidR="00D72770">
        <w:t xml:space="preserve"> </w:t>
      </w:r>
      <w:r w:rsidR="002B4E57">
        <w:fldChar w:fldCharType="begin"/>
      </w:r>
      <w:r w:rsidR="002B4E57">
        <w:instrText xml:space="preserve"> REF _Ref188783415 \h </w:instrText>
      </w:r>
      <w:r w:rsidR="002B4E57">
        <w:fldChar w:fldCharType="separate"/>
      </w:r>
      <w:r w:rsidR="00184DE0">
        <w:t xml:space="preserve">Table </w:t>
      </w:r>
      <w:r w:rsidR="00184DE0">
        <w:rPr>
          <w:noProof/>
        </w:rPr>
        <w:t>6</w:t>
      </w:r>
      <w:r w:rsidR="002B4E57">
        <w:fldChar w:fldCharType="end"/>
      </w:r>
      <w:r w:rsidR="002B4E57">
        <w:t>.</w:t>
      </w:r>
    </w:p>
    <w:p w14:paraId="077486F5" w14:textId="7E555767" w:rsidR="006427CC" w:rsidRDefault="00D72770" w:rsidP="00D72770">
      <w:pPr>
        <w:pStyle w:val="Caption"/>
      </w:pPr>
      <w:bookmarkStart w:id="37" w:name="_Ref188783415"/>
      <w:r>
        <w:lastRenderedPageBreak/>
        <w:t xml:space="preserve">Table </w:t>
      </w:r>
      <w:r w:rsidR="00C45318">
        <w:fldChar w:fldCharType="begin"/>
      </w:r>
      <w:r w:rsidR="00C45318">
        <w:instrText xml:space="preserve"> SEQ Table \* ARABIC </w:instrText>
      </w:r>
      <w:r w:rsidR="00C45318">
        <w:fldChar w:fldCharType="separate"/>
      </w:r>
      <w:r w:rsidR="00184DE0">
        <w:rPr>
          <w:noProof/>
        </w:rPr>
        <w:t>6</w:t>
      </w:r>
      <w:r w:rsidR="00C45318">
        <w:rPr>
          <w:noProof/>
        </w:rPr>
        <w:fldChar w:fldCharType="end"/>
      </w:r>
      <w:bookmarkEnd w:id="37"/>
      <w:r>
        <w:t xml:space="preserve">: </w:t>
      </w:r>
      <w:r w:rsidR="006A7A60">
        <w:t>Transitivity</w:t>
      </w:r>
      <w:r w:rsidR="006427CC">
        <w:t xml:space="preserve"> </w:t>
      </w:r>
      <w:r w:rsidR="009861C8">
        <w:t xml:space="preserve">considerations </w:t>
      </w:r>
      <w:r w:rsidR="006427CC">
        <w:t>in the trials used in ITCs</w:t>
      </w:r>
    </w:p>
    <w:tbl>
      <w:tblPr>
        <w:tblStyle w:val="TableGrid"/>
        <w:tblW w:w="0" w:type="auto"/>
        <w:tblLook w:val="04A0" w:firstRow="1" w:lastRow="0" w:firstColumn="1" w:lastColumn="0" w:noHBand="0" w:noVBand="1"/>
      </w:tblPr>
      <w:tblGrid>
        <w:gridCol w:w="1413"/>
        <w:gridCol w:w="850"/>
        <w:gridCol w:w="993"/>
        <w:gridCol w:w="992"/>
        <w:gridCol w:w="989"/>
        <w:gridCol w:w="1064"/>
        <w:gridCol w:w="1019"/>
        <w:gridCol w:w="955"/>
        <w:gridCol w:w="742"/>
      </w:tblGrid>
      <w:tr w:rsidR="00513F48" w:rsidRPr="00354295" w14:paraId="46E6C95F" w14:textId="77777777" w:rsidTr="00513F48">
        <w:tc>
          <w:tcPr>
            <w:tcW w:w="1413" w:type="dxa"/>
          </w:tcPr>
          <w:p w14:paraId="2E8377D8" w14:textId="77777777" w:rsidR="006427CC" w:rsidRPr="00354295" w:rsidRDefault="006427CC" w:rsidP="006427CC">
            <w:pPr>
              <w:pStyle w:val="TableFigureHeading"/>
              <w:rPr>
                <w:szCs w:val="20"/>
              </w:rPr>
            </w:pPr>
          </w:p>
        </w:tc>
        <w:tc>
          <w:tcPr>
            <w:tcW w:w="850" w:type="dxa"/>
          </w:tcPr>
          <w:p w14:paraId="049955A4" w14:textId="0F31CCE2" w:rsidR="006427CC" w:rsidRPr="00354295" w:rsidRDefault="006427CC" w:rsidP="006427CC">
            <w:pPr>
              <w:pStyle w:val="TableFigureHeading"/>
              <w:rPr>
                <w:szCs w:val="20"/>
              </w:rPr>
            </w:pPr>
            <w:r w:rsidRPr="00354295">
              <w:rPr>
                <w:szCs w:val="20"/>
              </w:rPr>
              <w:t>HS0001</w:t>
            </w:r>
          </w:p>
        </w:tc>
        <w:tc>
          <w:tcPr>
            <w:tcW w:w="993" w:type="dxa"/>
          </w:tcPr>
          <w:p w14:paraId="09772296" w14:textId="39FDD8BB" w:rsidR="006427CC" w:rsidRPr="00354295" w:rsidRDefault="006427CC" w:rsidP="006427CC">
            <w:pPr>
              <w:pStyle w:val="TableFigureHeading"/>
              <w:rPr>
                <w:szCs w:val="20"/>
              </w:rPr>
            </w:pPr>
            <w:r w:rsidRPr="00354295">
              <w:rPr>
                <w:szCs w:val="20"/>
              </w:rPr>
              <w:t>BE HEARD I</w:t>
            </w:r>
          </w:p>
        </w:tc>
        <w:tc>
          <w:tcPr>
            <w:tcW w:w="992" w:type="dxa"/>
          </w:tcPr>
          <w:p w14:paraId="3A769C33" w14:textId="3CD61BB9" w:rsidR="006427CC" w:rsidRPr="00354295" w:rsidRDefault="006427CC" w:rsidP="006427CC">
            <w:pPr>
              <w:pStyle w:val="TableFigureHeading"/>
              <w:rPr>
                <w:szCs w:val="20"/>
              </w:rPr>
            </w:pPr>
            <w:r w:rsidRPr="00354295">
              <w:rPr>
                <w:szCs w:val="20"/>
              </w:rPr>
              <w:t>BE HEARD II</w:t>
            </w:r>
          </w:p>
        </w:tc>
        <w:tc>
          <w:tcPr>
            <w:tcW w:w="989" w:type="dxa"/>
          </w:tcPr>
          <w:p w14:paraId="735323D8" w14:textId="7129261A" w:rsidR="006427CC" w:rsidRPr="00354295" w:rsidRDefault="006427CC" w:rsidP="006427CC">
            <w:pPr>
              <w:pStyle w:val="TableFigureHeading"/>
              <w:rPr>
                <w:szCs w:val="20"/>
              </w:rPr>
            </w:pPr>
            <w:r w:rsidRPr="00354295">
              <w:rPr>
                <w:szCs w:val="20"/>
              </w:rPr>
              <w:t>SUNRISE</w:t>
            </w:r>
          </w:p>
        </w:tc>
        <w:tc>
          <w:tcPr>
            <w:tcW w:w="1064" w:type="dxa"/>
          </w:tcPr>
          <w:p w14:paraId="57931512" w14:textId="282C81B8" w:rsidR="006427CC" w:rsidRPr="00354295" w:rsidRDefault="006427CC" w:rsidP="006427CC">
            <w:pPr>
              <w:pStyle w:val="TableFigureHeading"/>
              <w:rPr>
                <w:szCs w:val="20"/>
              </w:rPr>
            </w:pPr>
            <w:r w:rsidRPr="00354295">
              <w:rPr>
                <w:szCs w:val="20"/>
              </w:rPr>
              <w:t>SUNSHINE</w:t>
            </w:r>
          </w:p>
        </w:tc>
        <w:tc>
          <w:tcPr>
            <w:tcW w:w="1019" w:type="dxa"/>
          </w:tcPr>
          <w:p w14:paraId="409C3A44" w14:textId="475845D8" w:rsidR="006427CC" w:rsidRPr="00354295" w:rsidRDefault="006427CC" w:rsidP="006427CC">
            <w:pPr>
              <w:pStyle w:val="TableFigureHeading"/>
              <w:rPr>
                <w:szCs w:val="20"/>
              </w:rPr>
            </w:pPr>
            <w:r w:rsidRPr="00354295">
              <w:rPr>
                <w:szCs w:val="20"/>
              </w:rPr>
              <w:t>PIONEER I</w:t>
            </w:r>
          </w:p>
        </w:tc>
        <w:tc>
          <w:tcPr>
            <w:tcW w:w="955" w:type="dxa"/>
          </w:tcPr>
          <w:p w14:paraId="44741DAB" w14:textId="0342956F" w:rsidR="006427CC" w:rsidRPr="00354295" w:rsidRDefault="006427CC" w:rsidP="006427CC">
            <w:pPr>
              <w:pStyle w:val="TableFigureHeading"/>
              <w:rPr>
                <w:szCs w:val="20"/>
              </w:rPr>
            </w:pPr>
            <w:r w:rsidRPr="00354295">
              <w:rPr>
                <w:szCs w:val="20"/>
              </w:rPr>
              <w:t>PIONEER II</w:t>
            </w:r>
          </w:p>
        </w:tc>
        <w:tc>
          <w:tcPr>
            <w:tcW w:w="742" w:type="dxa"/>
          </w:tcPr>
          <w:p w14:paraId="35A2F03B" w14:textId="64800860" w:rsidR="006427CC" w:rsidRPr="00354295" w:rsidRDefault="006427CC" w:rsidP="006427CC">
            <w:pPr>
              <w:pStyle w:val="TableFigureHeading"/>
              <w:rPr>
                <w:szCs w:val="20"/>
              </w:rPr>
            </w:pPr>
            <w:r w:rsidRPr="00354295">
              <w:rPr>
                <w:szCs w:val="20"/>
              </w:rPr>
              <w:t>M10-467</w:t>
            </w:r>
          </w:p>
        </w:tc>
      </w:tr>
      <w:tr w:rsidR="00513F48" w:rsidRPr="00354295" w14:paraId="47D62BAC" w14:textId="77777777" w:rsidTr="00513F48">
        <w:tc>
          <w:tcPr>
            <w:tcW w:w="1413" w:type="dxa"/>
          </w:tcPr>
          <w:p w14:paraId="1EC8155C" w14:textId="77777777" w:rsidR="006427CC" w:rsidRPr="00354295" w:rsidRDefault="006427CC" w:rsidP="006427CC">
            <w:pPr>
              <w:pStyle w:val="TableFigureHeading"/>
              <w:rPr>
                <w:szCs w:val="20"/>
              </w:rPr>
            </w:pPr>
          </w:p>
        </w:tc>
        <w:tc>
          <w:tcPr>
            <w:tcW w:w="850" w:type="dxa"/>
          </w:tcPr>
          <w:p w14:paraId="7CE827B6" w14:textId="7682868C" w:rsidR="006427CC" w:rsidRPr="00354295" w:rsidRDefault="006427CC" w:rsidP="006427CC">
            <w:pPr>
              <w:pStyle w:val="TableFigureHeading"/>
              <w:rPr>
                <w:szCs w:val="20"/>
              </w:rPr>
            </w:pPr>
            <w:r w:rsidRPr="00354295">
              <w:rPr>
                <w:szCs w:val="20"/>
              </w:rPr>
              <w:t>BKZ vs ADA vs PBO</w:t>
            </w:r>
          </w:p>
        </w:tc>
        <w:tc>
          <w:tcPr>
            <w:tcW w:w="993" w:type="dxa"/>
          </w:tcPr>
          <w:p w14:paraId="71486148" w14:textId="5D6C6596" w:rsidR="006427CC" w:rsidRPr="00354295" w:rsidRDefault="006427CC" w:rsidP="006427CC">
            <w:pPr>
              <w:pStyle w:val="TableFigureHeading"/>
              <w:rPr>
                <w:szCs w:val="20"/>
              </w:rPr>
            </w:pPr>
            <w:r w:rsidRPr="00354295">
              <w:rPr>
                <w:szCs w:val="20"/>
              </w:rPr>
              <w:t>BKZ vs PBO</w:t>
            </w:r>
          </w:p>
        </w:tc>
        <w:tc>
          <w:tcPr>
            <w:tcW w:w="992" w:type="dxa"/>
          </w:tcPr>
          <w:p w14:paraId="00C90437" w14:textId="74EE891A" w:rsidR="006427CC" w:rsidRPr="00354295" w:rsidRDefault="006427CC" w:rsidP="006427CC">
            <w:pPr>
              <w:pStyle w:val="TableFigureHeading"/>
              <w:rPr>
                <w:szCs w:val="20"/>
              </w:rPr>
            </w:pPr>
            <w:r w:rsidRPr="00354295">
              <w:rPr>
                <w:szCs w:val="20"/>
              </w:rPr>
              <w:t>BKZ vs PBO</w:t>
            </w:r>
          </w:p>
        </w:tc>
        <w:tc>
          <w:tcPr>
            <w:tcW w:w="989" w:type="dxa"/>
          </w:tcPr>
          <w:p w14:paraId="3AB36B9A" w14:textId="11783179" w:rsidR="006427CC" w:rsidRPr="00354295" w:rsidRDefault="006427CC" w:rsidP="006427CC">
            <w:pPr>
              <w:pStyle w:val="TableFigureHeading"/>
              <w:rPr>
                <w:szCs w:val="20"/>
              </w:rPr>
            </w:pPr>
            <w:r w:rsidRPr="00354295">
              <w:rPr>
                <w:szCs w:val="20"/>
              </w:rPr>
              <w:t>SEC vs PBO</w:t>
            </w:r>
          </w:p>
        </w:tc>
        <w:tc>
          <w:tcPr>
            <w:tcW w:w="1064" w:type="dxa"/>
          </w:tcPr>
          <w:p w14:paraId="1033C093" w14:textId="4CDE0B44" w:rsidR="006427CC" w:rsidRPr="00354295" w:rsidRDefault="006427CC" w:rsidP="006427CC">
            <w:pPr>
              <w:pStyle w:val="TableFigureHeading"/>
              <w:rPr>
                <w:szCs w:val="20"/>
              </w:rPr>
            </w:pPr>
            <w:r w:rsidRPr="00354295">
              <w:rPr>
                <w:szCs w:val="20"/>
              </w:rPr>
              <w:t>SEC vs PBO</w:t>
            </w:r>
          </w:p>
        </w:tc>
        <w:tc>
          <w:tcPr>
            <w:tcW w:w="1019" w:type="dxa"/>
          </w:tcPr>
          <w:p w14:paraId="2C6F8D3D" w14:textId="702AB208" w:rsidR="006427CC" w:rsidRPr="00354295" w:rsidRDefault="006427CC" w:rsidP="006427CC">
            <w:pPr>
              <w:pStyle w:val="TableFigureHeading"/>
              <w:rPr>
                <w:szCs w:val="20"/>
              </w:rPr>
            </w:pPr>
            <w:r w:rsidRPr="00354295">
              <w:rPr>
                <w:szCs w:val="20"/>
              </w:rPr>
              <w:t>ADA vs PBO</w:t>
            </w:r>
          </w:p>
        </w:tc>
        <w:tc>
          <w:tcPr>
            <w:tcW w:w="955" w:type="dxa"/>
          </w:tcPr>
          <w:p w14:paraId="4E8A1BBA" w14:textId="136EA441" w:rsidR="006427CC" w:rsidRPr="00354295" w:rsidRDefault="006427CC" w:rsidP="006427CC">
            <w:pPr>
              <w:pStyle w:val="TableFigureHeading"/>
              <w:rPr>
                <w:szCs w:val="20"/>
              </w:rPr>
            </w:pPr>
            <w:r w:rsidRPr="00354295">
              <w:rPr>
                <w:szCs w:val="20"/>
              </w:rPr>
              <w:t>ADA vs PBO</w:t>
            </w:r>
          </w:p>
        </w:tc>
        <w:tc>
          <w:tcPr>
            <w:tcW w:w="742" w:type="dxa"/>
          </w:tcPr>
          <w:p w14:paraId="23567BC0" w14:textId="1E22D019" w:rsidR="006427CC" w:rsidRPr="00354295" w:rsidRDefault="006427CC" w:rsidP="006427CC">
            <w:pPr>
              <w:pStyle w:val="TableFigureHeading"/>
              <w:rPr>
                <w:szCs w:val="20"/>
              </w:rPr>
            </w:pPr>
            <w:r w:rsidRPr="00354295">
              <w:rPr>
                <w:szCs w:val="20"/>
              </w:rPr>
              <w:t>ADA vs PBO</w:t>
            </w:r>
          </w:p>
        </w:tc>
      </w:tr>
      <w:tr w:rsidR="00513F48" w:rsidRPr="00354295" w14:paraId="38A8EDB9" w14:textId="77777777" w:rsidTr="00513F48">
        <w:tc>
          <w:tcPr>
            <w:tcW w:w="1413" w:type="dxa"/>
          </w:tcPr>
          <w:p w14:paraId="7E5644CA" w14:textId="24458E09" w:rsidR="006427CC" w:rsidRPr="00354295" w:rsidRDefault="006427CC" w:rsidP="006427CC">
            <w:pPr>
              <w:pStyle w:val="TableFigureHeading"/>
              <w:rPr>
                <w:b w:val="0"/>
                <w:bCs w:val="0"/>
                <w:szCs w:val="20"/>
              </w:rPr>
            </w:pPr>
            <w:r w:rsidRPr="00354295">
              <w:rPr>
                <w:b w:val="0"/>
                <w:bCs w:val="0"/>
                <w:szCs w:val="20"/>
              </w:rPr>
              <w:t>BMI, kg/m</w:t>
            </w:r>
            <w:r w:rsidRPr="00354295">
              <w:rPr>
                <w:b w:val="0"/>
                <w:bCs w:val="0"/>
                <w:szCs w:val="20"/>
                <w:vertAlign w:val="superscript"/>
              </w:rPr>
              <w:t>2</w:t>
            </w:r>
            <w:r w:rsidRPr="00354295">
              <w:rPr>
                <w:b w:val="0"/>
                <w:bCs w:val="0"/>
                <w:szCs w:val="20"/>
              </w:rPr>
              <w:t>, mean (SD)</w:t>
            </w:r>
          </w:p>
        </w:tc>
        <w:tc>
          <w:tcPr>
            <w:tcW w:w="850" w:type="dxa"/>
          </w:tcPr>
          <w:p w14:paraId="4E99FB62" w14:textId="32CB89DB" w:rsidR="006427CC" w:rsidRPr="00354295" w:rsidRDefault="006427CC" w:rsidP="006427CC">
            <w:pPr>
              <w:pStyle w:val="TableFigureHeading"/>
              <w:rPr>
                <w:b w:val="0"/>
                <w:bCs w:val="0"/>
                <w:szCs w:val="20"/>
              </w:rPr>
            </w:pPr>
            <w:r w:rsidRPr="00354295">
              <w:rPr>
                <w:b w:val="0"/>
                <w:bCs w:val="0"/>
                <w:szCs w:val="20"/>
              </w:rPr>
              <w:t>34.8 (8.4)</w:t>
            </w:r>
          </w:p>
        </w:tc>
        <w:tc>
          <w:tcPr>
            <w:tcW w:w="993" w:type="dxa"/>
          </w:tcPr>
          <w:p w14:paraId="044DBE24" w14:textId="7563F3FF" w:rsidR="006427CC" w:rsidRPr="00354295" w:rsidRDefault="006427CC" w:rsidP="006427CC">
            <w:pPr>
              <w:pStyle w:val="TableFigureHeading"/>
              <w:rPr>
                <w:b w:val="0"/>
                <w:bCs w:val="0"/>
                <w:szCs w:val="20"/>
              </w:rPr>
            </w:pPr>
            <w:r w:rsidRPr="00354295">
              <w:rPr>
                <w:b w:val="0"/>
                <w:bCs w:val="0"/>
                <w:szCs w:val="20"/>
              </w:rPr>
              <w:t>33.8 (8.2)</w:t>
            </w:r>
          </w:p>
        </w:tc>
        <w:tc>
          <w:tcPr>
            <w:tcW w:w="992" w:type="dxa"/>
          </w:tcPr>
          <w:p w14:paraId="35840EE5" w14:textId="79078B8E" w:rsidR="006427CC" w:rsidRPr="00354295" w:rsidRDefault="006427CC" w:rsidP="006427CC">
            <w:pPr>
              <w:pStyle w:val="TableFigureHeading"/>
              <w:rPr>
                <w:b w:val="0"/>
                <w:bCs w:val="0"/>
                <w:szCs w:val="20"/>
              </w:rPr>
            </w:pPr>
            <w:r w:rsidRPr="00354295">
              <w:rPr>
                <w:b w:val="0"/>
                <w:bCs w:val="0"/>
                <w:szCs w:val="20"/>
              </w:rPr>
              <w:t>32.3 (8.0)</w:t>
            </w:r>
          </w:p>
        </w:tc>
        <w:tc>
          <w:tcPr>
            <w:tcW w:w="989" w:type="dxa"/>
          </w:tcPr>
          <w:p w14:paraId="263C3A4A" w14:textId="2E5D2C6C" w:rsidR="006427CC" w:rsidRPr="00354295" w:rsidRDefault="006427CC" w:rsidP="006427CC">
            <w:pPr>
              <w:pStyle w:val="TableFigureHeading"/>
              <w:rPr>
                <w:b w:val="0"/>
                <w:bCs w:val="0"/>
                <w:szCs w:val="20"/>
              </w:rPr>
            </w:pPr>
            <w:r w:rsidRPr="00354295">
              <w:rPr>
                <w:b w:val="0"/>
                <w:bCs w:val="0"/>
                <w:szCs w:val="20"/>
              </w:rPr>
              <w:t>31.8 (7.6)</w:t>
            </w:r>
          </w:p>
        </w:tc>
        <w:tc>
          <w:tcPr>
            <w:tcW w:w="1064" w:type="dxa"/>
          </w:tcPr>
          <w:p w14:paraId="6F94ED37" w14:textId="7F783F87" w:rsidR="006427CC" w:rsidRPr="00354295" w:rsidRDefault="006427CC" w:rsidP="006427CC">
            <w:pPr>
              <w:pStyle w:val="TableFigureHeading"/>
              <w:rPr>
                <w:b w:val="0"/>
                <w:bCs w:val="0"/>
                <w:szCs w:val="20"/>
              </w:rPr>
            </w:pPr>
            <w:r w:rsidRPr="00354295">
              <w:rPr>
                <w:b w:val="0"/>
                <w:bCs w:val="0"/>
                <w:szCs w:val="20"/>
              </w:rPr>
              <w:t>32.5 (7.6)</w:t>
            </w:r>
          </w:p>
        </w:tc>
        <w:tc>
          <w:tcPr>
            <w:tcW w:w="1019" w:type="dxa"/>
          </w:tcPr>
          <w:p w14:paraId="3F5D49FF" w14:textId="29C58E03" w:rsidR="006427CC" w:rsidRPr="00354295" w:rsidRDefault="006427CC" w:rsidP="006427CC">
            <w:pPr>
              <w:pStyle w:val="TableFigureHeading"/>
              <w:rPr>
                <w:b w:val="0"/>
                <w:bCs w:val="0"/>
                <w:szCs w:val="20"/>
              </w:rPr>
            </w:pPr>
            <w:r w:rsidRPr="00354295">
              <w:rPr>
                <w:b w:val="0"/>
                <w:bCs w:val="0"/>
                <w:szCs w:val="20"/>
              </w:rPr>
              <w:t>33.8 (7.8)</w:t>
            </w:r>
          </w:p>
        </w:tc>
        <w:tc>
          <w:tcPr>
            <w:tcW w:w="955" w:type="dxa"/>
          </w:tcPr>
          <w:p w14:paraId="78EC8E94" w14:textId="00D69BB5" w:rsidR="006427CC" w:rsidRPr="00354295" w:rsidRDefault="006427CC" w:rsidP="006427CC">
            <w:pPr>
              <w:pStyle w:val="TableFigureHeading"/>
              <w:rPr>
                <w:b w:val="0"/>
                <w:bCs w:val="0"/>
                <w:szCs w:val="20"/>
              </w:rPr>
            </w:pPr>
            <w:r w:rsidRPr="00354295">
              <w:rPr>
                <w:b w:val="0"/>
                <w:bCs w:val="0"/>
                <w:szCs w:val="20"/>
              </w:rPr>
              <w:t>32.1 (7.7)</w:t>
            </w:r>
          </w:p>
        </w:tc>
        <w:tc>
          <w:tcPr>
            <w:tcW w:w="742" w:type="dxa"/>
          </w:tcPr>
          <w:p w14:paraId="2626C6E4" w14:textId="21ED4AAB" w:rsidR="006427CC" w:rsidRPr="00354295" w:rsidRDefault="006427CC" w:rsidP="006427CC">
            <w:pPr>
              <w:pStyle w:val="TableFigureHeading"/>
              <w:rPr>
                <w:b w:val="0"/>
                <w:bCs w:val="0"/>
                <w:szCs w:val="20"/>
              </w:rPr>
            </w:pPr>
            <w:r w:rsidRPr="00354295">
              <w:rPr>
                <w:b w:val="0"/>
                <w:bCs w:val="0"/>
                <w:szCs w:val="20"/>
              </w:rPr>
              <w:t>NR</w:t>
            </w:r>
          </w:p>
        </w:tc>
      </w:tr>
      <w:tr w:rsidR="00513F48" w:rsidRPr="00354295" w14:paraId="2F923D09" w14:textId="77777777" w:rsidTr="00513F48">
        <w:tc>
          <w:tcPr>
            <w:tcW w:w="1413" w:type="dxa"/>
          </w:tcPr>
          <w:p w14:paraId="43B4A454" w14:textId="09E308CA" w:rsidR="006427CC" w:rsidRPr="00354295" w:rsidRDefault="0006577A" w:rsidP="006427CC">
            <w:pPr>
              <w:pStyle w:val="TableFigureHeading"/>
              <w:rPr>
                <w:b w:val="0"/>
                <w:bCs w:val="0"/>
                <w:szCs w:val="20"/>
              </w:rPr>
            </w:pPr>
            <w:r w:rsidRPr="00354295">
              <w:rPr>
                <w:b w:val="0"/>
                <w:bCs w:val="0"/>
                <w:szCs w:val="20"/>
              </w:rPr>
              <w:t>A + N</w:t>
            </w:r>
            <w:r w:rsidR="006427CC" w:rsidRPr="00354295">
              <w:rPr>
                <w:b w:val="0"/>
                <w:bCs w:val="0"/>
                <w:szCs w:val="20"/>
              </w:rPr>
              <w:t xml:space="preserve"> count, mean (SD)</w:t>
            </w:r>
          </w:p>
        </w:tc>
        <w:tc>
          <w:tcPr>
            <w:tcW w:w="850" w:type="dxa"/>
          </w:tcPr>
          <w:p w14:paraId="0411075B" w14:textId="0A3833C6" w:rsidR="006427CC" w:rsidRPr="00354295" w:rsidRDefault="006427CC" w:rsidP="006427CC">
            <w:pPr>
              <w:pStyle w:val="TableFigureHeading"/>
              <w:rPr>
                <w:b w:val="0"/>
                <w:bCs w:val="0"/>
                <w:szCs w:val="20"/>
              </w:rPr>
            </w:pPr>
            <w:r w:rsidRPr="00354295">
              <w:rPr>
                <w:b w:val="0"/>
                <w:bCs w:val="0"/>
                <w:szCs w:val="20"/>
              </w:rPr>
              <w:t>17.7 (14.8)</w:t>
            </w:r>
          </w:p>
        </w:tc>
        <w:tc>
          <w:tcPr>
            <w:tcW w:w="993" w:type="dxa"/>
          </w:tcPr>
          <w:p w14:paraId="1C53E38F" w14:textId="4359B493" w:rsidR="006427CC" w:rsidRPr="00354295" w:rsidRDefault="006427CC" w:rsidP="006427CC">
            <w:pPr>
              <w:pStyle w:val="TableFigureHeading"/>
              <w:rPr>
                <w:b w:val="0"/>
                <w:bCs w:val="0"/>
                <w:szCs w:val="20"/>
              </w:rPr>
            </w:pPr>
            <w:r w:rsidRPr="00354295">
              <w:rPr>
                <w:b w:val="0"/>
                <w:bCs w:val="0"/>
                <w:szCs w:val="20"/>
              </w:rPr>
              <w:t>16.0 (17.5)</w:t>
            </w:r>
          </w:p>
        </w:tc>
        <w:tc>
          <w:tcPr>
            <w:tcW w:w="992" w:type="dxa"/>
          </w:tcPr>
          <w:p w14:paraId="594DB2F3" w14:textId="57323FDB" w:rsidR="006427CC" w:rsidRPr="00354295" w:rsidRDefault="006427CC" w:rsidP="006427CC">
            <w:pPr>
              <w:pStyle w:val="TableFigureHeading"/>
              <w:rPr>
                <w:b w:val="0"/>
                <w:bCs w:val="0"/>
                <w:szCs w:val="20"/>
              </w:rPr>
            </w:pPr>
            <w:r w:rsidRPr="00354295">
              <w:rPr>
                <w:b w:val="0"/>
                <w:bCs w:val="0"/>
                <w:szCs w:val="20"/>
              </w:rPr>
              <w:t>16.5 (14.6)</w:t>
            </w:r>
          </w:p>
        </w:tc>
        <w:tc>
          <w:tcPr>
            <w:tcW w:w="989" w:type="dxa"/>
          </w:tcPr>
          <w:p w14:paraId="14D6F17E" w14:textId="545625E4" w:rsidR="006427CC" w:rsidRPr="00354295" w:rsidRDefault="006427CC" w:rsidP="006427CC">
            <w:pPr>
              <w:pStyle w:val="TableFigureHeading"/>
              <w:rPr>
                <w:b w:val="0"/>
                <w:bCs w:val="0"/>
                <w:szCs w:val="20"/>
              </w:rPr>
            </w:pPr>
            <w:r w:rsidRPr="00354295">
              <w:rPr>
                <w:b w:val="0"/>
                <w:bCs w:val="0"/>
                <w:szCs w:val="20"/>
              </w:rPr>
              <w:t>13.3 (9.1)</w:t>
            </w:r>
          </w:p>
        </w:tc>
        <w:tc>
          <w:tcPr>
            <w:tcW w:w="1064" w:type="dxa"/>
          </w:tcPr>
          <w:p w14:paraId="14FB20C1" w14:textId="4A9D21EC" w:rsidR="006427CC" w:rsidRPr="00354295" w:rsidRDefault="006427CC" w:rsidP="006427CC">
            <w:pPr>
              <w:pStyle w:val="TableFigureHeading"/>
              <w:rPr>
                <w:b w:val="0"/>
                <w:bCs w:val="0"/>
                <w:szCs w:val="20"/>
              </w:rPr>
            </w:pPr>
            <w:r w:rsidRPr="00354295">
              <w:rPr>
                <w:b w:val="0"/>
                <w:bCs w:val="0"/>
                <w:szCs w:val="20"/>
              </w:rPr>
              <w:t>12.8 (8.8)</w:t>
            </w:r>
          </w:p>
        </w:tc>
        <w:tc>
          <w:tcPr>
            <w:tcW w:w="1019" w:type="dxa"/>
          </w:tcPr>
          <w:p w14:paraId="01244583" w14:textId="5D8038B4" w:rsidR="006427CC" w:rsidRPr="00354295" w:rsidRDefault="006427CC" w:rsidP="006427CC">
            <w:pPr>
              <w:pStyle w:val="TableFigureHeading"/>
              <w:rPr>
                <w:b w:val="0"/>
                <w:bCs w:val="0"/>
                <w:szCs w:val="20"/>
              </w:rPr>
            </w:pPr>
            <w:r w:rsidRPr="00354295">
              <w:rPr>
                <w:b w:val="0"/>
                <w:bCs w:val="0"/>
                <w:szCs w:val="20"/>
              </w:rPr>
              <w:t>14.4 (13.4)</w:t>
            </w:r>
          </w:p>
        </w:tc>
        <w:tc>
          <w:tcPr>
            <w:tcW w:w="955" w:type="dxa"/>
          </w:tcPr>
          <w:p w14:paraId="678B6B4F" w14:textId="619350B6" w:rsidR="006427CC" w:rsidRPr="00354295" w:rsidRDefault="006427CC" w:rsidP="006427CC">
            <w:pPr>
              <w:pStyle w:val="TableFigureHeading"/>
              <w:rPr>
                <w:b w:val="0"/>
                <w:bCs w:val="0"/>
                <w:szCs w:val="20"/>
              </w:rPr>
            </w:pPr>
            <w:r w:rsidRPr="00354295">
              <w:rPr>
                <w:b w:val="0"/>
                <w:bCs w:val="0"/>
                <w:szCs w:val="20"/>
              </w:rPr>
              <w:t>11.3 (9.7)</w:t>
            </w:r>
          </w:p>
        </w:tc>
        <w:tc>
          <w:tcPr>
            <w:tcW w:w="742" w:type="dxa"/>
          </w:tcPr>
          <w:p w14:paraId="6AA0A2CB" w14:textId="00DB64D9" w:rsidR="006427CC" w:rsidRPr="00354295" w:rsidRDefault="006427CC" w:rsidP="006427CC">
            <w:pPr>
              <w:pStyle w:val="TableFigureHeading"/>
              <w:rPr>
                <w:b w:val="0"/>
                <w:bCs w:val="0"/>
                <w:szCs w:val="20"/>
              </w:rPr>
            </w:pPr>
            <w:r w:rsidRPr="00354295">
              <w:rPr>
                <w:b w:val="0"/>
                <w:bCs w:val="0"/>
                <w:szCs w:val="20"/>
              </w:rPr>
              <w:t>NR</w:t>
            </w:r>
          </w:p>
        </w:tc>
      </w:tr>
      <w:tr w:rsidR="00513F48" w:rsidRPr="00354295" w14:paraId="2AB7AEAA" w14:textId="77777777" w:rsidTr="00513F48">
        <w:tc>
          <w:tcPr>
            <w:tcW w:w="1413" w:type="dxa"/>
          </w:tcPr>
          <w:p w14:paraId="183C3C57" w14:textId="42CEBC41" w:rsidR="006427CC" w:rsidRPr="00354295" w:rsidRDefault="0006577A" w:rsidP="006427CC">
            <w:pPr>
              <w:pStyle w:val="TableFigureHeading"/>
              <w:rPr>
                <w:b w:val="0"/>
                <w:bCs w:val="0"/>
                <w:szCs w:val="20"/>
              </w:rPr>
            </w:pPr>
            <w:r w:rsidRPr="00354295">
              <w:rPr>
                <w:b w:val="0"/>
                <w:bCs w:val="0"/>
                <w:szCs w:val="20"/>
              </w:rPr>
              <w:t>DT</w:t>
            </w:r>
            <w:r w:rsidR="006427CC" w:rsidRPr="00354295">
              <w:rPr>
                <w:b w:val="0"/>
                <w:bCs w:val="0"/>
                <w:szCs w:val="20"/>
              </w:rPr>
              <w:t xml:space="preserve"> count, mean (SD)</w:t>
            </w:r>
          </w:p>
        </w:tc>
        <w:tc>
          <w:tcPr>
            <w:tcW w:w="850" w:type="dxa"/>
          </w:tcPr>
          <w:p w14:paraId="59E3A6AD" w14:textId="1CB6FB75" w:rsidR="006427CC" w:rsidRPr="00354295" w:rsidRDefault="006427CC" w:rsidP="006427CC">
            <w:pPr>
              <w:pStyle w:val="TableFigureHeading"/>
              <w:rPr>
                <w:b w:val="0"/>
                <w:bCs w:val="0"/>
                <w:szCs w:val="20"/>
              </w:rPr>
            </w:pPr>
            <w:r w:rsidRPr="00354295">
              <w:rPr>
                <w:b w:val="0"/>
                <w:bCs w:val="0"/>
                <w:szCs w:val="20"/>
              </w:rPr>
              <w:t>5.1 (4.9)</w:t>
            </w:r>
          </w:p>
        </w:tc>
        <w:tc>
          <w:tcPr>
            <w:tcW w:w="993" w:type="dxa"/>
          </w:tcPr>
          <w:p w14:paraId="0D7E2938" w14:textId="6CC00955" w:rsidR="006427CC" w:rsidRPr="00354295" w:rsidRDefault="006427CC" w:rsidP="006427CC">
            <w:pPr>
              <w:pStyle w:val="TableFigureHeading"/>
              <w:rPr>
                <w:b w:val="0"/>
                <w:bCs w:val="0"/>
                <w:szCs w:val="20"/>
              </w:rPr>
            </w:pPr>
            <w:r w:rsidRPr="00354295">
              <w:rPr>
                <w:b w:val="0"/>
                <w:bCs w:val="0"/>
                <w:szCs w:val="20"/>
              </w:rPr>
              <w:t>3.8 (4.8)</w:t>
            </w:r>
          </w:p>
        </w:tc>
        <w:tc>
          <w:tcPr>
            <w:tcW w:w="992" w:type="dxa"/>
          </w:tcPr>
          <w:p w14:paraId="3C00122D" w14:textId="6B3FBC39" w:rsidR="006427CC" w:rsidRPr="00354295" w:rsidRDefault="0006577A" w:rsidP="006427CC">
            <w:pPr>
              <w:pStyle w:val="TableFigureHeading"/>
              <w:rPr>
                <w:b w:val="0"/>
                <w:bCs w:val="0"/>
                <w:szCs w:val="20"/>
              </w:rPr>
            </w:pPr>
            <w:r w:rsidRPr="00354295">
              <w:rPr>
                <w:b w:val="0"/>
                <w:bCs w:val="0"/>
                <w:szCs w:val="20"/>
              </w:rPr>
              <w:t>3.4 (3.7)</w:t>
            </w:r>
          </w:p>
        </w:tc>
        <w:tc>
          <w:tcPr>
            <w:tcW w:w="989" w:type="dxa"/>
          </w:tcPr>
          <w:p w14:paraId="69C6111A" w14:textId="008B924F" w:rsidR="006427CC" w:rsidRPr="00354295" w:rsidRDefault="0006577A" w:rsidP="006427CC">
            <w:pPr>
              <w:pStyle w:val="TableFigureHeading"/>
              <w:rPr>
                <w:b w:val="0"/>
                <w:bCs w:val="0"/>
                <w:szCs w:val="20"/>
              </w:rPr>
            </w:pPr>
            <w:r w:rsidRPr="00354295">
              <w:rPr>
                <w:b w:val="0"/>
                <w:bCs w:val="0"/>
                <w:szCs w:val="20"/>
              </w:rPr>
              <w:t>2.7 (3.4)</w:t>
            </w:r>
          </w:p>
        </w:tc>
        <w:tc>
          <w:tcPr>
            <w:tcW w:w="1064" w:type="dxa"/>
          </w:tcPr>
          <w:p w14:paraId="6E8AFA98" w14:textId="64C1B6D5" w:rsidR="006427CC" w:rsidRPr="00354295" w:rsidRDefault="0006577A" w:rsidP="006427CC">
            <w:pPr>
              <w:pStyle w:val="TableFigureHeading"/>
              <w:rPr>
                <w:b w:val="0"/>
                <w:bCs w:val="0"/>
                <w:szCs w:val="20"/>
              </w:rPr>
            </w:pPr>
            <w:r w:rsidRPr="00354295">
              <w:rPr>
                <w:b w:val="0"/>
                <w:bCs w:val="0"/>
                <w:szCs w:val="20"/>
              </w:rPr>
              <w:t>2.6 (3.4)</w:t>
            </w:r>
          </w:p>
        </w:tc>
        <w:tc>
          <w:tcPr>
            <w:tcW w:w="1019" w:type="dxa"/>
          </w:tcPr>
          <w:p w14:paraId="64BC857D" w14:textId="426CC4B9" w:rsidR="006427CC" w:rsidRPr="00354295" w:rsidRDefault="0006577A" w:rsidP="006427CC">
            <w:pPr>
              <w:pStyle w:val="TableFigureHeading"/>
              <w:rPr>
                <w:b w:val="0"/>
                <w:bCs w:val="0"/>
                <w:szCs w:val="20"/>
              </w:rPr>
            </w:pPr>
            <w:r w:rsidRPr="00354295">
              <w:rPr>
                <w:b w:val="0"/>
                <w:bCs w:val="0"/>
                <w:szCs w:val="20"/>
              </w:rPr>
              <w:t>4.2 (4.8)</w:t>
            </w:r>
          </w:p>
        </w:tc>
        <w:tc>
          <w:tcPr>
            <w:tcW w:w="955" w:type="dxa"/>
          </w:tcPr>
          <w:p w14:paraId="2F59F862" w14:textId="12D62CDA" w:rsidR="006427CC" w:rsidRPr="00354295" w:rsidRDefault="0006577A" w:rsidP="006427CC">
            <w:pPr>
              <w:pStyle w:val="TableFigureHeading"/>
              <w:rPr>
                <w:b w:val="0"/>
                <w:bCs w:val="0"/>
                <w:szCs w:val="20"/>
              </w:rPr>
            </w:pPr>
            <w:r w:rsidRPr="00354295">
              <w:rPr>
                <w:b w:val="0"/>
                <w:bCs w:val="0"/>
                <w:szCs w:val="20"/>
              </w:rPr>
              <w:t>3.4 (4.7)</w:t>
            </w:r>
          </w:p>
        </w:tc>
        <w:tc>
          <w:tcPr>
            <w:tcW w:w="742" w:type="dxa"/>
          </w:tcPr>
          <w:p w14:paraId="299A97A0" w14:textId="25250223" w:rsidR="006427CC" w:rsidRPr="00354295" w:rsidRDefault="0006577A" w:rsidP="006427CC">
            <w:pPr>
              <w:pStyle w:val="TableFigureHeading"/>
              <w:rPr>
                <w:b w:val="0"/>
                <w:bCs w:val="0"/>
                <w:szCs w:val="20"/>
              </w:rPr>
            </w:pPr>
            <w:r w:rsidRPr="00354295">
              <w:rPr>
                <w:b w:val="0"/>
                <w:bCs w:val="0"/>
                <w:szCs w:val="20"/>
              </w:rPr>
              <w:t>4.5 (NR)</w:t>
            </w:r>
          </w:p>
        </w:tc>
      </w:tr>
      <w:tr w:rsidR="00513F48" w:rsidRPr="00354295" w14:paraId="13E91F20" w14:textId="77777777" w:rsidTr="00513F48">
        <w:tc>
          <w:tcPr>
            <w:tcW w:w="1413" w:type="dxa"/>
          </w:tcPr>
          <w:p w14:paraId="63B48BEB" w14:textId="29328D6F" w:rsidR="006427CC" w:rsidRPr="00354295" w:rsidRDefault="0006577A" w:rsidP="006427CC">
            <w:pPr>
              <w:pStyle w:val="TableFigureHeading"/>
              <w:rPr>
                <w:b w:val="0"/>
                <w:bCs w:val="0"/>
                <w:szCs w:val="20"/>
              </w:rPr>
            </w:pPr>
            <w:r w:rsidRPr="00354295">
              <w:rPr>
                <w:b w:val="0"/>
                <w:bCs w:val="0"/>
                <w:szCs w:val="20"/>
              </w:rPr>
              <w:t>HS Duration, years, mean (SD)</w:t>
            </w:r>
          </w:p>
        </w:tc>
        <w:tc>
          <w:tcPr>
            <w:tcW w:w="850" w:type="dxa"/>
          </w:tcPr>
          <w:p w14:paraId="2068A03F" w14:textId="6C0B604D" w:rsidR="006427CC" w:rsidRPr="00354295" w:rsidRDefault="0006577A" w:rsidP="006427CC">
            <w:pPr>
              <w:pStyle w:val="TableFigureHeading"/>
              <w:rPr>
                <w:b w:val="0"/>
                <w:bCs w:val="0"/>
                <w:szCs w:val="20"/>
              </w:rPr>
            </w:pPr>
            <w:r w:rsidRPr="00354295">
              <w:rPr>
                <w:b w:val="0"/>
                <w:bCs w:val="0"/>
                <w:szCs w:val="20"/>
              </w:rPr>
              <w:t>9.0 (8.0)</w:t>
            </w:r>
          </w:p>
        </w:tc>
        <w:tc>
          <w:tcPr>
            <w:tcW w:w="993" w:type="dxa"/>
          </w:tcPr>
          <w:p w14:paraId="68D85D9C" w14:textId="66241882" w:rsidR="006427CC" w:rsidRPr="00354295" w:rsidRDefault="0006577A" w:rsidP="006427CC">
            <w:pPr>
              <w:pStyle w:val="TableFigureHeading"/>
              <w:rPr>
                <w:b w:val="0"/>
                <w:bCs w:val="0"/>
                <w:szCs w:val="20"/>
              </w:rPr>
            </w:pPr>
            <w:r w:rsidRPr="00354295">
              <w:rPr>
                <w:b w:val="0"/>
                <w:bCs w:val="0"/>
                <w:szCs w:val="20"/>
              </w:rPr>
              <w:t>9.0 (8.3)</w:t>
            </w:r>
          </w:p>
        </w:tc>
        <w:tc>
          <w:tcPr>
            <w:tcW w:w="992" w:type="dxa"/>
          </w:tcPr>
          <w:p w14:paraId="4F8C29E0" w14:textId="4D3A9078" w:rsidR="006427CC" w:rsidRPr="00354295" w:rsidRDefault="0006577A" w:rsidP="006427CC">
            <w:pPr>
              <w:pStyle w:val="TableFigureHeading"/>
              <w:rPr>
                <w:b w:val="0"/>
                <w:bCs w:val="0"/>
                <w:szCs w:val="20"/>
              </w:rPr>
            </w:pPr>
            <w:r w:rsidRPr="00354295">
              <w:rPr>
                <w:b w:val="0"/>
                <w:bCs w:val="0"/>
                <w:szCs w:val="20"/>
              </w:rPr>
              <w:t>7.0 (7.1)</w:t>
            </w:r>
          </w:p>
        </w:tc>
        <w:tc>
          <w:tcPr>
            <w:tcW w:w="989" w:type="dxa"/>
          </w:tcPr>
          <w:p w14:paraId="4F2F480C" w14:textId="7FCA5017" w:rsidR="006427CC" w:rsidRPr="00354295" w:rsidRDefault="0006577A" w:rsidP="006427CC">
            <w:pPr>
              <w:pStyle w:val="TableFigureHeading"/>
              <w:rPr>
                <w:b w:val="0"/>
                <w:bCs w:val="0"/>
                <w:szCs w:val="20"/>
              </w:rPr>
            </w:pPr>
            <w:r w:rsidRPr="00354295">
              <w:rPr>
                <w:b w:val="0"/>
                <w:bCs w:val="0"/>
                <w:szCs w:val="20"/>
              </w:rPr>
              <w:t>7.4 (7.4)</w:t>
            </w:r>
          </w:p>
        </w:tc>
        <w:tc>
          <w:tcPr>
            <w:tcW w:w="1064" w:type="dxa"/>
          </w:tcPr>
          <w:p w14:paraId="63EBCDBF" w14:textId="194E3ABB" w:rsidR="006427CC" w:rsidRPr="00354295" w:rsidRDefault="0006577A" w:rsidP="006427CC">
            <w:pPr>
              <w:pStyle w:val="TableFigureHeading"/>
              <w:rPr>
                <w:b w:val="0"/>
                <w:bCs w:val="0"/>
                <w:szCs w:val="20"/>
              </w:rPr>
            </w:pPr>
            <w:r w:rsidRPr="00354295">
              <w:rPr>
                <w:b w:val="0"/>
                <w:bCs w:val="0"/>
                <w:szCs w:val="20"/>
              </w:rPr>
              <w:t>7.2 (7.3)</w:t>
            </w:r>
          </w:p>
        </w:tc>
        <w:tc>
          <w:tcPr>
            <w:tcW w:w="1019" w:type="dxa"/>
          </w:tcPr>
          <w:p w14:paraId="68410CF9" w14:textId="6D64013B" w:rsidR="006427CC" w:rsidRPr="00354295" w:rsidRDefault="0006577A" w:rsidP="006427CC">
            <w:pPr>
              <w:pStyle w:val="TableFigureHeading"/>
              <w:rPr>
                <w:b w:val="0"/>
                <w:bCs w:val="0"/>
                <w:szCs w:val="20"/>
              </w:rPr>
            </w:pPr>
            <w:r w:rsidRPr="00354295">
              <w:rPr>
                <w:b w:val="0"/>
                <w:bCs w:val="0"/>
                <w:szCs w:val="20"/>
              </w:rPr>
              <w:t>NR</w:t>
            </w:r>
          </w:p>
        </w:tc>
        <w:tc>
          <w:tcPr>
            <w:tcW w:w="955" w:type="dxa"/>
          </w:tcPr>
          <w:p w14:paraId="229B9E93" w14:textId="2606D0FC" w:rsidR="006427CC" w:rsidRPr="00354295" w:rsidRDefault="0006577A" w:rsidP="006427CC">
            <w:pPr>
              <w:pStyle w:val="TableFigureHeading"/>
              <w:rPr>
                <w:b w:val="0"/>
                <w:bCs w:val="0"/>
                <w:szCs w:val="20"/>
              </w:rPr>
            </w:pPr>
            <w:r w:rsidRPr="00354295">
              <w:rPr>
                <w:b w:val="0"/>
                <w:bCs w:val="0"/>
                <w:szCs w:val="20"/>
              </w:rPr>
              <w:t>NR</w:t>
            </w:r>
          </w:p>
        </w:tc>
        <w:tc>
          <w:tcPr>
            <w:tcW w:w="742" w:type="dxa"/>
          </w:tcPr>
          <w:p w14:paraId="471F3961" w14:textId="00FF2541" w:rsidR="006427CC" w:rsidRPr="00354295" w:rsidRDefault="0006577A" w:rsidP="006427CC">
            <w:pPr>
              <w:pStyle w:val="TableFigureHeading"/>
              <w:rPr>
                <w:b w:val="0"/>
                <w:bCs w:val="0"/>
                <w:szCs w:val="20"/>
              </w:rPr>
            </w:pPr>
            <w:r w:rsidRPr="00354295">
              <w:rPr>
                <w:b w:val="0"/>
                <w:bCs w:val="0"/>
                <w:szCs w:val="20"/>
              </w:rPr>
              <w:t>12.4 (9.8)</w:t>
            </w:r>
          </w:p>
        </w:tc>
      </w:tr>
      <w:tr w:rsidR="00513F48" w:rsidRPr="00354295" w14:paraId="10E3828B" w14:textId="77777777" w:rsidTr="00513F48">
        <w:tc>
          <w:tcPr>
            <w:tcW w:w="1413" w:type="dxa"/>
          </w:tcPr>
          <w:p w14:paraId="715BBCC7" w14:textId="054A0F7E" w:rsidR="006427CC" w:rsidRPr="00354295" w:rsidRDefault="0006577A" w:rsidP="006427CC">
            <w:pPr>
              <w:pStyle w:val="TableFigureHeading"/>
              <w:rPr>
                <w:b w:val="0"/>
                <w:bCs w:val="0"/>
                <w:szCs w:val="20"/>
              </w:rPr>
            </w:pPr>
            <w:r w:rsidRPr="00354295">
              <w:rPr>
                <w:b w:val="0"/>
                <w:bCs w:val="0"/>
                <w:szCs w:val="20"/>
              </w:rPr>
              <w:t>US Region, %</w:t>
            </w:r>
          </w:p>
        </w:tc>
        <w:tc>
          <w:tcPr>
            <w:tcW w:w="850" w:type="dxa"/>
          </w:tcPr>
          <w:p w14:paraId="67661A4C" w14:textId="3E5D87B5" w:rsidR="006427CC" w:rsidRPr="00354295" w:rsidRDefault="0006577A" w:rsidP="006427CC">
            <w:pPr>
              <w:pStyle w:val="TableFigureHeading"/>
              <w:rPr>
                <w:b w:val="0"/>
                <w:bCs w:val="0"/>
                <w:szCs w:val="20"/>
              </w:rPr>
            </w:pPr>
            <w:r w:rsidRPr="00354295">
              <w:rPr>
                <w:b w:val="0"/>
                <w:bCs w:val="0"/>
                <w:szCs w:val="20"/>
              </w:rPr>
              <w:t>50.0</w:t>
            </w:r>
          </w:p>
        </w:tc>
        <w:tc>
          <w:tcPr>
            <w:tcW w:w="993" w:type="dxa"/>
          </w:tcPr>
          <w:p w14:paraId="530BC720" w14:textId="01CFBCB6" w:rsidR="006427CC" w:rsidRPr="00354295" w:rsidRDefault="0006577A" w:rsidP="006427CC">
            <w:pPr>
              <w:pStyle w:val="TableFigureHeading"/>
              <w:rPr>
                <w:b w:val="0"/>
                <w:bCs w:val="0"/>
                <w:szCs w:val="20"/>
              </w:rPr>
            </w:pPr>
            <w:r w:rsidRPr="00354295">
              <w:rPr>
                <w:b w:val="0"/>
                <w:bCs w:val="0"/>
                <w:szCs w:val="20"/>
              </w:rPr>
              <w:t>40.8</w:t>
            </w:r>
          </w:p>
        </w:tc>
        <w:tc>
          <w:tcPr>
            <w:tcW w:w="992" w:type="dxa"/>
          </w:tcPr>
          <w:p w14:paraId="05E2F796" w14:textId="4C79B454" w:rsidR="006427CC" w:rsidRPr="00354295" w:rsidRDefault="0006577A" w:rsidP="006427CC">
            <w:pPr>
              <w:pStyle w:val="TableFigureHeading"/>
              <w:rPr>
                <w:b w:val="0"/>
                <w:bCs w:val="0"/>
                <w:szCs w:val="20"/>
              </w:rPr>
            </w:pPr>
            <w:r w:rsidRPr="00354295">
              <w:rPr>
                <w:b w:val="0"/>
                <w:bCs w:val="0"/>
                <w:szCs w:val="20"/>
              </w:rPr>
              <w:t>22.2</w:t>
            </w:r>
          </w:p>
        </w:tc>
        <w:tc>
          <w:tcPr>
            <w:tcW w:w="989" w:type="dxa"/>
          </w:tcPr>
          <w:p w14:paraId="6F40EA9D" w14:textId="1A80C355" w:rsidR="006427CC" w:rsidRPr="00354295" w:rsidRDefault="0006577A" w:rsidP="006427CC">
            <w:pPr>
              <w:pStyle w:val="TableFigureHeading"/>
              <w:rPr>
                <w:b w:val="0"/>
                <w:bCs w:val="0"/>
                <w:szCs w:val="20"/>
              </w:rPr>
            </w:pPr>
            <w:r w:rsidRPr="00354295">
              <w:rPr>
                <w:b w:val="0"/>
                <w:bCs w:val="0"/>
                <w:szCs w:val="20"/>
              </w:rPr>
              <w:t>15.2</w:t>
            </w:r>
          </w:p>
        </w:tc>
        <w:tc>
          <w:tcPr>
            <w:tcW w:w="1064" w:type="dxa"/>
          </w:tcPr>
          <w:p w14:paraId="287580EC" w14:textId="7D8FA027" w:rsidR="006427CC" w:rsidRPr="00354295" w:rsidRDefault="0006577A" w:rsidP="006427CC">
            <w:pPr>
              <w:pStyle w:val="TableFigureHeading"/>
              <w:rPr>
                <w:b w:val="0"/>
                <w:bCs w:val="0"/>
                <w:szCs w:val="20"/>
              </w:rPr>
            </w:pPr>
            <w:r w:rsidRPr="00354295">
              <w:rPr>
                <w:b w:val="0"/>
                <w:bCs w:val="0"/>
                <w:szCs w:val="20"/>
              </w:rPr>
              <w:t>15.2</w:t>
            </w:r>
          </w:p>
        </w:tc>
        <w:tc>
          <w:tcPr>
            <w:tcW w:w="1019" w:type="dxa"/>
          </w:tcPr>
          <w:p w14:paraId="3EDFA930" w14:textId="01A8A58B" w:rsidR="006427CC" w:rsidRPr="00354295" w:rsidRDefault="0006577A" w:rsidP="006427CC">
            <w:pPr>
              <w:pStyle w:val="TableFigureHeading"/>
              <w:rPr>
                <w:b w:val="0"/>
                <w:bCs w:val="0"/>
                <w:szCs w:val="20"/>
              </w:rPr>
            </w:pPr>
            <w:r w:rsidRPr="00354295">
              <w:rPr>
                <w:b w:val="0"/>
                <w:bCs w:val="0"/>
                <w:szCs w:val="20"/>
              </w:rPr>
              <w:t>50.5</w:t>
            </w:r>
          </w:p>
        </w:tc>
        <w:tc>
          <w:tcPr>
            <w:tcW w:w="955" w:type="dxa"/>
          </w:tcPr>
          <w:p w14:paraId="256A6CE8" w14:textId="16770364" w:rsidR="006427CC" w:rsidRPr="00354295" w:rsidRDefault="0006577A" w:rsidP="006427CC">
            <w:pPr>
              <w:pStyle w:val="TableFigureHeading"/>
              <w:rPr>
                <w:b w:val="0"/>
                <w:bCs w:val="0"/>
                <w:szCs w:val="20"/>
              </w:rPr>
            </w:pPr>
            <w:r w:rsidRPr="00354295">
              <w:rPr>
                <w:b w:val="0"/>
                <w:bCs w:val="0"/>
                <w:szCs w:val="20"/>
              </w:rPr>
              <w:t>27.3</w:t>
            </w:r>
          </w:p>
        </w:tc>
        <w:tc>
          <w:tcPr>
            <w:tcW w:w="742" w:type="dxa"/>
          </w:tcPr>
          <w:p w14:paraId="7EE0CB48" w14:textId="196A74C7" w:rsidR="006427CC" w:rsidRPr="00354295" w:rsidRDefault="0006577A" w:rsidP="006427CC">
            <w:pPr>
              <w:pStyle w:val="TableFigureHeading"/>
              <w:rPr>
                <w:b w:val="0"/>
                <w:bCs w:val="0"/>
                <w:szCs w:val="20"/>
              </w:rPr>
            </w:pPr>
            <w:r w:rsidRPr="00354295">
              <w:rPr>
                <w:b w:val="0"/>
                <w:bCs w:val="0"/>
                <w:szCs w:val="20"/>
              </w:rPr>
              <w:t>74.5</w:t>
            </w:r>
          </w:p>
        </w:tc>
      </w:tr>
      <w:tr w:rsidR="00513F48" w:rsidRPr="00354295" w14:paraId="429AC16E" w14:textId="77777777" w:rsidTr="00513F48">
        <w:tc>
          <w:tcPr>
            <w:tcW w:w="1413" w:type="dxa"/>
          </w:tcPr>
          <w:p w14:paraId="0313CBDE" w14:textId="694DB869" w:rsidR="006427CC" w:rsidRPr="00354295" w:rsidRDefault="0006577A" w:rsidP="006427CC">
            <w:pPr>
              <w:pStyle w:val="TableFigureHeading"/>
              <w:rPr>
                <w:b w:val="0"/>
                <w:bCs w:val="0"/>
                <w:szCs w:val="20"/>
              </w:rPr>
            </w:pPr>
            <w:r w:rsidRPr="00354295">
              <w:rPr>
                <w:b w:val="0"/>
                <w:bCs w:val="0"/>
                <w:szCs w:val="20"/>
              </w:rPr>
              <w:t>DLQI, mean (SD)</w:t>
            </w:r>
          </w:p>
        </w:tc>
        <w:tc>
          <w:tcPr>
            <w:tcW w:w="850" w:type="dxa"/>
          </w:tcPr>
          <w:p w14:paraId="2980AE0F" w14:textId="44F2427A" w:rsidR="006427CC" w:rsidRPr="00354295" w:rsidRDefault="0006577A" w:rsidP="006427CC">
            <w:pPr>
              <w:pStyle w:val="TableFigureHeading"/>
              <w:rPr>
                <w:b w:val="0"/>
                <w:bCs w:val="0"/>
                <w:szCs w:val="20"/>
              </w:rPr>
            </w:pPr>
            <w:r w:rsidRPr="00354295">
              <w:rPr>
                <w:b w:val="0"/>
                <w:bCs w:val="0"/>
                <w:szCs w:val="20"/>
              </w:rPr>
              <w:t>12.6 (7.5)</w:t>
            </w:r>
          </w:p>
        </w:tc>
        <w:tc>
          <w:tcPr>
            <w:tcW w:w="993" w:type="dxa"/>
          </w:tcPr>
          <w:p w14:paraId="48A247F3" w14:textId="7BEE1217" w:rsidR="006427CC" w:rsidRPr="00354295" w:rsidRDefault="0006577A" w:rsidP="006427CC">
            <w:pPr>
              <w:pStyle w:val="TableFigureHeading"/>
              <w:rPr>
                <w:b w:val="0"/>
                <w:bCs w:val="0"/>
                <w:szCs w:val="20"/>
              </w:rPr>
            </w:pPr>
            <w:r w:rsidRPr="00354295">
              <w:rPr>
                <w:b w:val="0"/>
                <w:bCs w:val="0"/>
                <w:szCs w:val="20"/>
              </w:rPr>
              <w:t>12.0 (7.1)</w:t>
            </w:r>
          </w:p>
        </w:tc>
        <w:tc>
          <w:tcPr>
            <w:tcW w:w="992" w:type="dxa"/>
          </w:tcPr>
          <w:p w14:paraId="14AEFF3C" w14:textId="4AE142A6" w:rsidR="006427CC" w:rsidRPr="00354295" w:rsidRDefault="0006577A" w:rsidP="006427CC">
            <w:pPr>
              <w:pStyle w:val="TableFigureHeading"/>
              <w:rPr>
                <w:b w:val="0"/>
                <w:bCs w:val="0"/>
                <w:szCs w:val="20"/>
              </w:rPr>
            </w:pPr>
            <w:r w:rsidRPr="00354295">
              <w:rPr>
                <w:b w:val="0"/>
                <w:bCs w:val="0"/>
                <w:szCs w:val="20"/>
              </w:rPr>
              <w:t>10.8 (6.6)</w:t>
            </w:r>
          </w:p>
        </w:tc>
        <w:tc>
          <w:tcPr>
            <w:tcW w:w="989" w:type="dxa"/>
          </w:tcPr>
          <w:p w14:paraId="18825EFD" w14:textId="68E57682" w:rsidR="006427CC" w:rsidRPr="00354295" w:rsidRDefault="0006577A" w:rsidP="006427CC">
            <w:pPr>
              <w:pStyle w:val="TableFigureHeading"/>
              <w:rPr>
                <w:b w:val="0"/>
                <w:bCs w:val="0"/>
                <w:szCs w:val="20"/>
              </w:rPr>
            </w:pPr>
            <w:r w:rsidRPr="00354295">
              <w:rPr>
                <w:b w:val="0"/>
                <w:bCs w:val="0"/>
                <w:szCs w:val="20"/>
              </w:rPr>
              <w:t>14.9 (7.1)</w:t>
            </w:r>
          </w:p>
        </w:tc>
        <w:tc>
          <w:tcPr>
            <w:tcW w:w="1064" w:type="dxa"/>
          </w:tcPr>
          <w:p w14:paraId="5C82E09B" w14:textId="17E6FDDF" w:rsidR="006427CC" w:rsidRPr="00354295" w:rsidRDefault="0006577A" w:rsidP="006427CC">
            <w:pPr>
              <w:pStyle w:val="TableFigureHeading"/>
              <w:rPr>
                <w:b w:val="0"/>
                <w:bCs w:val="0"/>
                <w:szCs w:val="20"/>
              </w:rPr>
            </w:pPr>
            <w:r w:rsidRPr="00354295">
              <w:rPr>
                <w:b w:val="0"/>
                <w:bCs w:val="0"/>
                <w:szCs w:val="20"/>
              </w:rPr>
              <w:t>13.8 (6.7)</w:t>
            </w:r>
          </w:p>
        </w:tc>
        <w:tc>
          <w:tcPr>
            <w:tcW w:w="1019" w:type="dxa"/>
          </w:tcPr>
          <w:p w14:paraId="23EF8C34" w14:textId="61167D55" w:rsidR="006427CC" w:rsidRPr="00354295" w:rsidRDefault="0006577A" w:rsidP="006427CC">
            <w:pPr>
              <w:pStyle w:val="TableFigureHeading"/>
              <w:rPr>
                <w:b w:val="0"/>
                <w:bCs w:val="0"/>
                <w:szCs w:val="20"/>
              </w:rPr>
            </w:pPr>
            <w:r w:rsidRPr="00354295">
              <w:rPr>
                <w:b w:val="0"/>
                <w:bCs w:val="0"/>
                <w:szCs w:val="20"/>
              </w:rPr>
              <w:t>16.1 (6.9)</w:t>
            </w:r>
          </w:p>
        </w:tc>
        <w:tc>
          <w:tcPr>
            <w:tcW w:w="955" w:type="dxa"/>
          </w:tcPr>
          <w:p w14:paraId="37E25DF7" w14:textId="06388D83" w:rsidR="006427CC" w:rsidRPr="00354295" w:rsidRDefault="0006577A" w:rsidP="006427CC">
            <w:pPr>
              <w:pStyle w:val="TableFigureHeading"/>
              <w:rPr>
                <w:b w:val="0"/>
                <w:bCs w:val="0"/>
                <w:szCs w:val="20"/>
              </w:rPr>
            </w:pPr>
            <w:r w:rsidRPr="00354295">
              <w:rPr>
                <w:b w:val="0"/>
                <w:bCs w:val="0"/>
                <w:szCs w:val="20"/>
              </w:rPr>
              <w:t>14.5 (7.5)</w:t>
            </w:r>
          </w:p>
        </w:tc>
        <w:tc>
          <w:tcPr>
            <w:tcW w:w="742" w:type="dxa"/>
          </w:tcPr>
          <w:p w14:paraId="023B939E" w14:textId="3FC73FB2" w:rsidR="006427CC" w:rsidRPr="00354295" w:rsidRDefault="0006577A" w:rsidP="006427CC">
            <w:pPr>
              <w:pStyle w:val="TableFigureHeading"/>
              <w:rPr>
                <w:b w:val="0"/>
                <w:bCs w:val="0"/>
                <w:szCs w:val="20"/>
              </w:rPr>
            </w:pPr>
            <w:r w:rsidRPr="00354295">
              <w:rPr>
                <w:b w:val="0"/>
                <w:bCs w:val="0"/>
                <w:szCs w:val="20"/>
              </w:rPr>
              <w:t>15.9 (7.6)</w:t>
            </w:r>
          </w:p>
        </w:tc>
      </w:tr>
      <w:tr w:rsidR="00513F48" w:rsidRPr="00354295" w14:paraId="73009330" w14:textId="77777777" w:rsidTr="00513F48">
        <w:tc>
          <w:tcPr>
            <w:tcW w:w="1413" w:type="dxa"/>
          </w:tcPr>
          <w:p w14:paraId="45FB792C" w14:textId="19B2E0CD" w:rsidR="006427CC" w:rsidRPr="00354295" w:rsidRDefault="0006577A" w:rsidP="006427CC">
            <w:pPr>
              <w:pStyle w:val="TableFigureHeading"/>
              <w:rPr>
                <w:b w:val="0"/>
                <w:bCs w:val="0"/>
                <w:szCs w:val="20"/>
              </w:rPr>
            </w:pPr>
            <w:r w:rsidRPr="00354295">
              <w:rPr>
                <w:b w:val="0"/>
                <w:bCs w:val="0"/>
                <w:szCs w:val="20"/>
              </w:rPr>
              <w:t>Current Smokers, %</w:t>
            </w:r>
          </w:p>
        </w:tc>
        <w:tc>
          <w:tcPr>
            <w:tcW w:w="850" w:type="dxa"/>
          </w:tcPr>
          <w:p w14:paraId="5B646027" w14:textId="4A4EA811" w:rsidR="006427CC" w:rsidRPr="00354295" w:rsidRDefault="0006577A" w:rsidP="006427CC">
            <w:pPr>
              <w:pStyle w:val="TableFigureHeading"/>
              <w:rPr>
                <w:b w:val="0"/>
                <w:bCs w:val="0"/>
                <w:szCs w:val="20"/>
              </w:rPr>
            </w:pPr>
            <w:r w:rsidRPr="00354295">
              <w:rPr>
                <w:b w:val="0"/>
                <w:bCs w:val="0"/>
                <w:szCs w:val="20"/>
              </w:rPr>
              <w:t>NR</w:t>
            </w:r>
          </w:p>
        </w:tc>
        <w:tc>
          <w:tcPr>
            <w:tcW w:w="993" w:type="dxa"/>
          </w:tcPr>
          <w:p w14:paraId="34C9A9D6" w14:textId="7CC96162" w:rsidR="006427CC" w:rsidRPr="00354295" w:rsidRDefault="0006577A" w:rsidP="006427CC">
            <w:pPr>
              <w:pStyle w:val="TableFigureHeading"/>
              <w:rPr>
                <w:b w:val="0"/>
                <w:bCs w:val="0"/>
                <w:szCs w:val="20"/>
              </w:rPr>
            </w:pPr>
            <w:r w:rsidRPr="00354295">
              <w:rPr>
                <w:b w:val="0"/>
                <w:bCs w:val="0"/>
                <w:szCs w:val="20"/>
              </w:rPr>
              <w:t>43.0</w:t>
            </w:r>
          </w:p>
        </w:tc>
        <w:tc>
          <w:tcPr>
            <w:tcW w:w="992" w:type="dxa"/>
          </w:tcPr>
          <w:p w14:paraId="37853F46" w14:textId="29DA205C" w:rsidR="006427CC" w:rsidRPr="00354295" w:rsidRDefault="0006577A" w:rsidP="006427CC">
            <w:pPr>
              <w:pStyle w:val="TableFigureHeading"/>
              <w:rPr>
                <w:b w:val="0"/>
                <w:bCs w:val="0"/>
                <w:szCs w:val="20"/>
              </w:rPr>
            </w:pPr>
            <w:r w:rsidRPr="00354295">
              <w:rPr>
                <w:b w:val="0"/>
                <w:bCs w:val="0"/>
                <w:szCs w:val="20"/>
              </w:rPr>
              <w:t xml:space="preserve">48.1 </w:t>
            </w:r>
          </w:p>
        </w:tc>
        <w:tc>
          <w:tcPr>
            <w:tcW w:w="989" w:type="dxa"/>
          </w:tcPr>
          <w:p w14:paraId="0DD933AE" w14:textId="1579E8BE" w:rsidR="006427CC" w:rsidRPr="00354295" w:rsidRDefault="0006577A" w:rsidP="006427CC">
            <w:pPr>
              <w:pStyle w:val="TableFigureHeading"/>
              <w:rPr>
                <w:b w:val="0"/>
                <w:bCs w:val="0"/>
                <w:szCs w:val="20"/>
              </w:rPr>
            </w:pPr>
            <w:r w:rsidRPr="00354295">
              <w:rPr>
                <w:b w:val="0"/>
                <w:bCs w:val="0"/>
                <w:szCs w:val="20"/>
              </w:rPr>
              <w:t>54.0</w:t>
            </w:r>
          </w:p>
        </w:tc>
        <w:tc>
          <w:tcPr>
            <w:tcW w:w="1064" w:type="dxa"/>
          </w:tcPr>
          <w:p w14:paraId="60A0461E" w14:textId="5AFAE6B5" w:rsidR="006427CC" w:rsidRPr="00354295" w:rsidRDefault="0006577A" w:rsidP="006427CC">
            <w:pPr>
              <w:pStyle w:val="TableFigureHeading"/>
              <w:rPr>
                <w:b w:val="0"/>
                <w:bCs w:val="0"/>
                <w:szCs w:val="20"/>
              </w:rPr>
            </w:pPr>
            <w:r w:rsidRPr="00354295">
              <w:rPr>
                <w:b w:val="0"/>
                <w:bCs w:val="0"/>
                <w:szCs w:val="20"/>
              </w:rPr>
              <w:t>54.0</w:t>
            </w:r>
          </w:p>
        </w:tc>
        <w:tc>
          <w:tcPr>
            <w:tcW w:w="1019" w:type="dxa"/>
          </w:tcPr>
          <w:p w14:paraId="7FAED7AB" w14:textId="51798FC3" w:rsidR="006427CC" w:rsidRPr="00354295" w:rsidRDefault="0006577A" w:rsidP="006427CC">
            <w:pPr>
              <w:pStyle w:val="TableFigureHeading"/>
              <w:rPr>
                <w:b w:val="0"/>
                <w:bCs w:val="0"/>
                <w:szCs w:val="20"/>
              </w:rPr>
            </w:pPr>
            <w:r w:rsidRPr="00354295">
              <w:rPr>
                <w:b w:val="0"/>
                <w:bCs w:val="0"/>
                <w:szCs w:val="20"/>
              </w:rPr>
              <w:t>56.4</w:t>
            </w:r>
          </w:p>
        </w:tc>
        <w:tc>
          <w:tcPr>
            <w:tcW w:w="955" w:type="dxa"/>
          </w:tcPr>
          <w:p w14:paraId="7194B51A" w14:textId="74617D7D" w:rsidR="006427CC" w:rsidRPr="00354295" w:rsidRDefault="0006577A" w:rsidP="006427CC">
            <w:pPr>
              <w:pStyle w:val="TableFigureHeading"/>
              <w:rPr>
                <w:b w:val="0"/>
                <w:bCs w:val="0"/>
                <w:szCs w:val="20"/>
              </w:rPr>
            </w:pPr>
            <w:r w:rsidRPr="00354295">
              <w:rPr>
                <w:b w:val="0"/>
                <w:bCs w:val="0"/>
                <w:szCs w:val="20"/>
              </w:rPr>
              <w:t>65.6</w:t>
            </w:r>
          </w:p>
        </w:tc>
        <w:tc>
          <w:tcPr>
            <w:tcW w:w="742" w:type="dxa"/>
          </w:tcPr>
          <w:p w14:paraId="70F49B8E" w14:textId="4D065A6B" w:rsidR="006427CC" w:rsidRPr="00354295" w:rsidRDefault="0006577A" w:rsidP="006427CC">
            <w:pPr>
              <w:pStyle w:val="TableFigureHeading"/>
              <w:rPr>
                <w:b w:val="0"/>
                <w:bCs w:val="0"/>
                <w:szCs w:val="20"/>
              </w:rPr>
            </w:pPr>
            <w:r w:rsidRPr="00354295">
              <w:rPr>
                <w:b w:val="0"/>
                <w:bCs w:val="0"/>
                <w:szCs w:val="20"/>
              </w:rPr>
              <w:t>57.8</w:t>
            </w:r>
          </w:p>
        </w:tc>
      </w:tr>
      <w:tr w:rsidR="00513F48" w:rsidRPr="00354295" w14:paraId="20E3DA5A" w14:textId="77777777" w:rsidTr="00513F48">
        <w:tc>
          <w:tcPr>
            <w:tcW w:w="1413" w:type="dxa"/>
          </w:tcPr>
          <w:p w14:paraId="781B9B56" w14:textId="7AC89767" w:rsidR="006427CC" w:rsidRPr="00354295" w:rsidRDefault="0006577A" w:rsidP="006427CC">
            <w:pPr>
              <w:pStyle w:val="TableFigureHeading"/>
              <w:rPr>
                <w:b w:val="0"/>
                <w:bCs w:val="0"/>
                <w:szCs w:val="20"/>
              </w:rPr>
            </w:pPr>
            <w:r w:rsidRPr="00354295">
              <w:rPr>
                <w:b w:val="0"/>
                <w:bCs w:val="0"/>
                <w:szCs w:val="20"/>
              </w:rPr>
              <w:t>Hurley III, %</w:t>
            </w:r>
          </w:p>
        </w:tc>
        <w:tc>
          <w:tcPr>
            <w:tcW w:w="850" w:type="dxa"/>
          </w:tcPr>
          <w:p w14:paraId="562318AB" w14:textId="5C286B34" w:rsidR="006427CC" w:rsidRPr="00354295" w:rsidRDefault="0006577A" w:rsidP="006427CC">
            <w:pPr>
              <w:pStyle w:val="TableFigureHeading"/>
              <w:rPr>
                <w:b w:val="0"/>
                <w:bCs w:val="0"/>
                <w:szCs w:val="20"/>
              </w:rPr>
            </w:pPr>
            <w:r w:rsidRPr="00354295">
              <w:rPr>
                <w:b w:val="0"/>
                <w:bCs w:val="0"/>
                <w:szCs w:val="20"/>
              </w:rPr>
              <w:t>51.0</w:t>
            </w:r>
          </w:p>
        </w:tc>
        <w:tc>
          <w:tcPr>
            <w:tcW w:w="993" w:type="dxa"/>
          </w:tcPr>
          <w:p w14:paraId="1B763DA7" w14:textId="1FB9C921" w:rsidR="006427CC" w:rsidRPr="00354295" w:rsidRDefault="0006577A" w:rsidP="006427CC">
            <w:pPr>
              <w:pStyle w:val="TableFigureHeading"/>
              <w:rPr>
                <w:b w:val="0"/>
                <w:bCs w:val="0"/>
                <w:szCs w:val="20"/>
              </w:rPr>
            </w:pPr>
            <w:r w:rsidRPr="00354295">
              <w:rPr>
                <w:b w:val="0"/>
                <w:bCs w:val="0"/>
                <w:szCs w:val="20"/>
              </w:rPr>
              <w:t>49.7</w:t>
            </w:r>
          </w:p>
        </w:tc>
        <w:tc>
          <w:tcPr>
            <w:tcW w:w="992" w:type="dxa"/>
          </w:tcPr>
          <w:p w14:paraId="2227E7DE" w14:textId="7332DF84" w:rsidR="006427CC" w:rsidRPr="00354295" w:rsidRDefault="0006577A" w:rsidP="006427CC">
            <w:pPr>
              <w:pStyle w:val="TableFigureHeading"/>
              <w:rPr>
                <w:b w:val="0"/>
                <w:bCs w:val="0"/>
                <w:szCs w:val="20"/>
              </w:rPr>
            </w:pPr>
            <w:r w:rsidRPr="00354295">
              <w:rPr>
                <w:b w:val="0"/>
                <w:bCs w:val="0"/>
                <w:szCs w:val="20"/>
              </w:rPr>
              <w:t>38.9</w:t>
            </w:r>
          </w:p>
        </w:tc>
        <w:tc>
          <w:tcPr>
            <w:tcW w:w="989" w:type="dxa"/>
          </w:tcPr>
          <w:p w14:paraId="6FF6EBF7" w14:textId="7E1C31D7" w:rsidR="006427CC" w:rsidRPr="00354295" w:rsidRDefault="0006577A" w:rsidP="006427CC">
            <w:pPr>
              <w:pStyle w:val="TableFigureHeading"/>
              <w:rPr>
                <w:b w:val="0"/>
                <w:bCs w:val="0"/>
                <w:szCs w:val="20"/>
              </w:rPr>
            </w:pPr>
            <w:r w:rsidRPr="00354295">
              <w:rPr>
                <w:b w:val="0"/>
                <w:bCs w:val="0"/>
                <w:szCs w:val="20"/>
              </w:rPr>
              <w:t>40.5</w:t>
            </w:r>
          </w:p>
        </w:tc>
        <w:tc>
          <w:tcPr>
            <w:tcW w:w="1064" w:type="dxa"/>
          </w:tcPr>
          <w:p w14:paraId="6EC74509" w14:textId="6B0C84EF" w:rsidR="006427CC" w:rsidRPr="00354295" w:rsidRDefault="0006577A" w:rsidP="006427CC">
            <w:pPr>
              <w:pStyle w:val="TableFigureHeading"/>
              <w:rPr>
                <w:b w:val="0"/>
                <w:bCs w:val="0"/>
                <w:szCs w:val="20"/>
              </w:rPr>
            </w:pPr>
            <w:r w:rsidRPr="00354295">
              <w:rPr>
                <w:b w:val="0"/>
                <w:bCs w:val="0"/>
                <w:szCs w:val="20"/>
              </w:rPr>
              <w:t>34.0</w:t>
            </w:r>
          </w:p>
        </w:tc>
        <w:tc>
          <w:tcPr>
            <w:tcW w:w="1019" w:type="dxa"/>
          </w:tcPr>
          <w:p w14:paraId="6DB05018" w14:textId="02D23F84" w:rsidR="006427CC" w:rsidRPr="00354295" w:rsidRDefault="0006577A" w:rsidP="006427CC">
            <w:pPr>
              <w:pStyle w:val="TableFigureHeading"/>
              <w:rPr>
                <w:b w:val="0"/>
                <w:bCs w:val="0"/>
                <w:szCs w:val="20"/>
              </w:rPr>
            </w:pPr>
            <w:r w:rsidRPr="00354295">
              <w:rPr>
                <w:b w:val="0"/>
                <w:bCs w:val="0"/>
                <w:szCs w:val="20"/>
              </w:rPr>
              <w:t>47.6</w:t>
            </w:r>
          </w:p>
        </w:tc>
        <w:tc>
          <w:tcPr>
            <w:tcW w:w="955" w:type="dxa"/>
          </w:tcPr>
          <w:p w14:paraId="1FFDA33B" w14:textId="1FBDB733" w:rsidR="006427CC" w:rsidRPr="00354295" w:rsidRDefault="0006577A" w:rsidP="006427CC">
            <w:pPr>
              <w:pStyle w:val="TableFigureHeading"/>
              <w:rPr>
                <w:b w:val="0"/>
                <w:bCs w:val="0"/>
                <w:szCs w:val="20"/>
              </w:rPr>
            </w:pPr>
            <w:r w:rsidRPr="00354295">
              <w:rPr>
                <w:b w:val="0"/>
                <w:bCs w:val="0"/>
                <w:szCs w:val="20"/>
              </w:rPr>
              <w:t>46.3</w:t>
            </w:r>
          </w:p>
        </w:tc>
        <w:tc>
          <w:tcPr>
            <w:tcW w:w="742" w:type="dxa"/>
          </w:tcPr>
          <w:p w14:paraId="606BC14F" w14:textId="7413418D" w:rsidR="006427CC" w:rsidRPr="00354295" w:rsidRDefault="0006577A" w:rsidP="006427CC">
            <w:pPr>
              <w:pStyle w:val="TableFigureHeading"/>
              <w:rPr>
                <w:b w:val="0"/>
                <w:bCs w:val="0"/>
                <w:szCs w:val="20"/>
              </w:rPr>
            </w:pPr>
            <w:r w:rsidRPr="00354295">
              <w:rPr>
                <w:b w:val="0"/>
                <w:bCs w:val="0"/>
                <w:szCs w:val="20"/>
              </w:rPr>
              <w:t>29.4</w:t>
            </w:r>
          </w:p>
        </w:tc>
      </w:tr>
      <w:tr w:rsidR="00513F48" w:rsidRPr="00354295" w14:paraId="3857A3C8" w14:textId="77777777" w:rsidTr="00513F48">
        <w:tc>
          <w:tcPr>
            <w:tcW w:w="1413" w:type="dxa"/>
          </w:tcPr>
          <w:p w14:paraId="1B2EDD34" w14:textId="6F1A718A" w:rsidR="00772F86" w:rsidRPr="00354295" w:rsidRDefault="00772F86" w:rsidP="006427CC">
            <w:pPr>
              <w:pStyle w:val="TableFigureHeading"/>
              <w:rPr>
                <w:b w:val="0"/>
                <w:bCs w:val="0"/>
                <w:szCs w:val="20"/>
              </w:rPr>
            </w:pPr>
            <w:r w:rsidRPr="00354295">
              <w:rPr>
                <w:b w:val="0"/>
                <w:bCs w:val="0"/>
                <w:szCs w:val="20"/>
              </w:rPr>
              <w:t>Placebo HiSCR</w:t>
            </w:r>
            <w:r w:rsidR="004236D1" w:rsidRPr="00354295">
              <w:rPr>
                <w:b w:val="0"/>
                <w:bCs w:val="0"/>
                <w:szCs w:val="20"/>
              </w:rPr>
              <w:t>50</w:t>
            </w:r>
            <w:r w:rsidRPr="00354295">
              <w:rPr>
                <w:b w:val="0"/>
                <w:bCs w:val="0"/>
                <w:szCs w:val="20"/>
              </w:rPr>
              <w:t xml:space="preserve"> response at end of treatment period, % (95 % CI)</w:t>
            </w:r>
          </w:p>
        </w:tc>
        <w:tc>
          <w:tcPr>
            <w:tcW w:w="850" w:type="dxa"/>
          </w:tcPr>
          <w:p w14:paraId="5F2F90E4" w14:textId="77777777" w:rsidR="00772F86" w:rsidRPr="00354295" w:rsidRDefault="00772F86" w:rsidP="006427CC">
            <w:pPr>
              <w:pStyle w:val="TableFigureHeading"/>
              <w:rPr>
                <w:b w:val="0"/>
                <w:bCs w:val="0"/>
                <w:szCs w:val="20"/>
              </w:rPr>
            </w:pPr>
            <w:r w:rsidRPr="00354295">
              <w:rPr>
                <w:b w:val="0"/>
                <w:bCs w:val="0"/>
                <w:szCs w:val="20"/>
              </w:rPr>
              <w:t xml:space="preserve">23.7 </w:t>
            </w:r>
          </w:p>
          <w:p w14:paraId="6FE8E197" w14:textId="3ED66C32" w:rsidR="00772F86" w:rsidRPr="00354295" w:rsidRDefault="00772F86" w:rsidP="006427CC">
            <w:pPr>
              <w:pStyle w:val="TableFigureHeading"/>
              <w:rPr>
                <w:b w:val="0"/>
                <w:bCs w:val="0"/>
                <w:szCs w:val="20"/>
              </w:rPr>
            </w:pPr>
            <w:r w:rsidRPr="00354295">
              <w:rPr>
                <w:b w:val="0"/>
                <w:bCs w:val="0"/>
                <w:szCs w:val="20"/>
              </w:rPr>
              <w:t>(10.2, 45.8)</w:t>
            </w:r>
          </w:p>
        </w:tc>
        <w:tc>
          <w:tcPr>
            <w:tcW w:w="993" w:type="dxa"/>
          </w:tcPr>
          <w:p w14:paraId="5423458E" w14:textId="71B0C309" w:rsidR="00772F86" w:rsidRPr="00354295" w:rsidRDefault="00772F86" w:rsidP="006427CC">
            <w:pPr>
              <w:pStyle w:val="TableFigureHeading"/>
              <w:rPr>
                <w:b w:val="0"/>
                <w:bCs w:val="0"/>
                <w:szCs w:val="20"/>
              </w:rPr>
            </w:pPr>
            <w:r w:rsidRPr="00354295">
              <w:rPr>
                <w:b w:val="0"/>
                <w:bCs w:val="0"/>
                <w:szCs w:val="20"/>
              </w:rPr>
              <w:t>28.7 (18.1, 39.3)</w:t>
            </w:r>
          </w:p>
        </w:tc>
        <w:tc>
          <w:tcPr>
            <w:tcW w:w="992" w:type="dxa"/>
          </w:tcPr>
          <w:p w14:paraId="68304169" w14:textId="1A23AC19" w:rsidR="00772F86" w:rsidRPr="00354295" w:rsidRDefault="00772F86" w:rsidP="006427CC">
            <w:pPr>
              <w:pStyle w:val="TableFigureHeading"/>
              <w:rPr>
                <w:b w:val="0"/>
                <w:bCs w:val="0"/>
                <w:szCs w:val="20"/>
              </w:rPr>
            </w:pPr>
            <w:r w:rsidRPr="00354295">
              <w:rPr>
                <w:b w:val="0"/>
                <w:bCs w:val="0"/>
                <w:szCs w:val="20"/>
              </w:rPr>
              <w:t>32.2 (21.4, 42.9)</w:t>
            </w:r>
          </w:p>
        </w:tc>
        <w:tc>
          <w:tcPr>
            <w:tcW w:w="989" w:type="dxa"/>
          </w:tcPr>
          <w:p w14:paraId="1E4A3768" w14:textId="2178DF64" w:rsidR="00772F86" w:rsidRPr="00354295" w:rsidRDefault="00772F86" w:rsidP="006427CC">
            <w:pPr>
              <w:pStyle w:val="TableFigureHeading"/>
              <w:rPr>
                <w:b w:val="0"/>
                <w:bCs w:val="0"/>
                <w:szCs w:val="20"/>
              </w:rPr>
            </w:pPr>
            <w:r w:rsidRPr="00354295">
              <w:rPr>
                <w:b w:val="0"/>
                <w:bCs w:val="0"/>
                <w:szCs w:val="20"/>
              </w:rPr>
              <w:t>31 (NR)</w:t>
            </w:r>
          </w:p>
        </w:tc>
        <w:tc>
          <w:tcPr>
            <w:tcW w:w="1064" w:type="dxa"/>
          </w:tcPr>
          <w:p w14:paraId="203C5797" w14:textId="77C0E35B" w:rsidR="00772F86" w:rsidRPr="00354295" w:rsidRDefault="00772F86" w:rsidP="006427CC">
            <w:pPr>
              <w:pStyle w:val="TableFigureHeading"/>
              <w:rPr>
                <w:b w:val="0"/>
                <w:bCs w:val="0"/>
                <w:szCs w:val="20"/>
              </w:rPr>
            </w:pPr>
            <w:r w:rsidRPr="00354295">
              <w:rPr>
                <w:b w:val="0"/>
                <w:bCs w:val="0"/>
                <w:szCs w:val="20"/>
              </w:rPr>
              <w:t>34 (NR)</w:t>
            </w:r>
          </w:p>
        </w:tc>
        <w:tc>
          <w:tcPr>
            <w:tcW w:w="1019" w:type="dxa"/>
          </w:tcPr>
          <w:p w14:paraId="45F90848" w14:textId="1D114B86" w:rsidR="00772F86" w:rsidRPr="00354295" w:rsidRDefault="009861C8" w:rsidP="006427CC">
            <w:pPr>
              <w:pStyle w:val="TableFigureHeading"/>
              <w:rPr>
                <w:b w:val="0"/>
                <w:bCs w:val="0"/>
                <w:szCs w:val="20"/>
              </w:rPr>
            </w:pPr>
            <w:r w:rsidRPr="00354295">
              <w:rPr>
                <w:b w:val="0"/>
                <w:bCs w:val="0"/>
                <w:szCs w:val="20"/>
              </w:rPr>
              <w:t>26.0 (NR)</w:t>
            </w:r>
          </w:p>
        </w:tc>
        <w:tc>
          <w:tcPr>
            <w:tcW w:w="955" w:type="dxa"/>
          </w:tcPr>
          <w:p w14:paraId="7DBF967B" w14:textId="243178F8" w:rsidR="00772F86" w:rsidRPr="00354295" w:rsidRDefault="009861C8" w:rsidP="006427CC">
            <w:pPr>
              <w:pStyle w:val="TableFigureHeading"/>
              <w:rPr>
                <w:b w:val="0"/>
                <w:bCs w:val="0"/>
                <w:szCs w:val="20"/>
              </w:rPr>
            </w:pPr>
            <w:r w:rsidRPr="00354295">
              <w:rPr>
                <w:b w:val="0"/>
                <w:bCs w:val="0"/>
                <w:szCs w:val="20"/>
              </w:rPr>
              <w:t>27.6 (NR)</w:t>
            </w:r>
          </w:p>
        </w:tc>
        <w:tc>
          <w:tcPr>
            <w:tcW w:w="742" w:type="dxa"/>
          </w:tcPr>
          <w:p w14:paraId="39FCF534" w14:textId="7DAF34D2" w:rsidR="00772F86" w:rsidRPr="00354295" w:rsidRDefault="009861C8" w:rsidP="006427CC">
            <w:pPr>
              <w:pStyle w:val="TableFigureHeading"/>
              <w:rPr>
                <w:b w:val="0"/>
                <w:bCs w:val="0"/>
                <w:szCs w:val="20"/>
              </w:rPr>
            </w:pPr>
            <w:r w:rsidRPr="00354295">
              <w:rPr>
                <w:b w:val="0"/>
                <w:bCs w:val="0"/>
                <w:szCs w:val="20"/>
              </w:rPr>
              <w:t>25.5 (NR)</w:t>
            </w:r>
          </w:p>
        </w:tc>
      </w:tr>
    </w:tbl>
    <w:p w14:paraId="62E31545" w14:textId="5062E1E8" w:rsidR="00041178" w:rsidRDefault="00E541AB" w:rsidP="006349F7">
      <w:pPr>
        <w:pStyle w:val="TableFigureFooter"/>
        <w:jc w:val="both"/>
      </w:pPr>
      <w:r>
        <w:t>Source: Table 2.71, p172</w:t>
      </w:r>
      <w:r w:rsidR="00513F48">
        <w:t>, Table 2.72, p172</w:t>
      </w:r>
      <w:r>
        <w:t xml:space="preserve"> of the submission</w:t>
      </w:r>
      <w:r w:rsidR="00513F48">
        <w:t xml:space="preserve">; </w:t>
      </w:r>
      <w:r w:rsidR="00A0519A">
        <w:t xml:space="preserve">BE HEARD I CSR, Table 8-4, p185; BE HEARD II CSR, Table 8-4, p183. </w:t>
      </w:r>
    </w:p>
    <w:p w14:paraId="01A36492" w14:textId="7455DC13" w:rsidR="0000184D" w:rsidRDefault="00E541AB" w:rsidP="006349F7">
      <w:pPr>
        <w:pStyle w:val="TableFigureFooter"/>
        <w:jc w:val="both"/>
      </w:pPr>
      <w:r w:rsidRPr="2B21198B">
        <w:t>A + N = abscesses + nodules; ADA = adalimumab; BKZ = bimekizumab; BMI = body mass index; DLQI = dermatology life quality index; DT = draining tunnels; HS = hidradenitis suppurativa; PBO = placebo</w:t>
      </w:r>
      <w:r w:rsidR="0000184D" w:rsidRPr="2B21198B">
        <w:t>.</w:t>
      </w:r>
    </w:p>
    <w:p w14:paraId="6058F150" w14:textId="68A84372" w:rsidR="001D53FE" w:rsidRDefault="0000184D" w:rsidP="006349F7">
      <w:pPr>
        <w:pStyle w:val="TableFigureFooter"/>
        <w:jc w:val="both"/>
      </w:pPr>
      <w:r w:rsidRPr="0000184D">
        <w:rPr>
          <w:vertAlign w:val="superscript"/>
        </w:rPr>
        <w:t>1</w:t>
      </w:r>
      <w:r>
        <w:t xml:space="preserve"> A flare was defined as a 25% increase in abscess + nodule count and an absolute increase from baseline of at least 2. </w:t>
      </w:r>
    </w:p>
    <w:p w14:paraId="79FD8A05" w14:textId="193D1CD9" w:rsidR="00DD11C8" w:rsidRPr="00152967" w:rsidRDefault="0066762B" w:rsidP="00246B4D">
      <w:pPr>
        <w:pStyle w:val="3-BodyText"/>
      </w:pPr>
      <w:r w:rsidRPr="00152967">
        <w:t xml:space="preserve">Comparability of baseline severity </w:t>
      </w:r>
      <w:r w:rsidR="00D72770" w:rsidRPr="00152967">
        <w:t>wa</w:t>
      </w:r>
      <w:r w:rsidRPr="00152967">
        <w:t>s difficult to assess because relativities differed by severity metric. Patients in BE HEARD I/II had higher abscess + nodule counts than patients in SUNRISE and SUNSHINE or PIONEER I/II, and higher dr</w:t>
      </w:r>
      <w:r w:rsidR="00772F86" w:rsidRPr="00152967">
        <w:t>a</w:t>
      </w:r>
      <w:r w:rsidRPr="00152967">
        <w:t>ining tunnel counts than patients in SUNSHINE and SUNRISE</w:t>
      </w:r>
      <w:r w:rsidR="009861C8" w:rsidRPr="00152967">
        <w:t xml:space="preserve"> but not patients in PIONEER I/II</w:t>
      </w:r>
      <w:r w:rsidRPr="00152967">
        <w:t>, but less impairment of quality of life</w:t>
      </w:r>
      <w:r w:rsidR="009861C8" w:rsidRPr="00152967">
        <w:t xml:space="preserve"> than patients in either SUNRISE/SUNSHINE or PIONEER I/II</w:t>
      </w:r>
      <w:r w:rsidRPr="00152967">
        <w:t>.</w:t>
      </w:r>
      <w:r w:rsidR="00772F86" w:rsidRPr="00152967">
        <w:t xml:space="preserve"> </w:t>
      </w:r>
      <w:r w:rsidR="00DD11C8" w:rsidRPr="00152967">
        <w:t xml:space="preserve">Current smoking </w:t>
      </w:r>
      <w:r w:rsidR="00D72770" w:rsidRPr="00152967">
        <w:t>was</w:t>
      </w:r>
      <w:r w:rsidR="00DD11C8" w:rsidRPr="00152967">
        <w:t xml:space="preserve"> associated with worse outcomes in HS, and </w:t>
      </w:r>
      <w:r w:rsidR="00772F86" w:rsidRPr="00152967">
        <w:t>BE HEARD I/II had a lower proportion of current smokers than SUNSHINE and SUNRISE, which had a lower proportion of current smokers than PIONEER I/II.</w:t>
      </w:r>
      <w:r w:rsidR="00DD11C8" w:rsidRPr="00152967">
        <w:t xml:space="preserve"> </w:t>
      </w:r>
    </w:p>
    <w:p w14:paraId="0A9CD9E9" w14:textId="45075E63" w:rsidR="00A0519A" w:rsidRPr="00152967" w:rsidRDefault="00A0519A">
      <w:pPr>
        <w:pStyle w:val="3-BodyText"/>
      </w:pPr>
      <w:r w:rsidRPr="00152967">
        <w:t xml:space="preserve">Placebo response rates using HiSCR50 were similar in all the trials. </w:t>
      </w:r>
      <w:r w:rsidR="00D72770" w:rsidRPr="00152967">
        <w:t xml:space="preserve">The results of the ITC for </w:t>
      </w:r>
      <w:r w:rsidR="009A2E2F" w:rsidRPr="00152967">
        <w:t>HiSCR50</w:t>
      </w:r>
      <w:r w:rsidR="00D72770" w:rsidRPr="00152967">
        <w:t xml:space="preserve"> are shown in </w:t>
      </w:r>
      <w:r w:rsidR="002B4E57" w:rsidRPr="00152967">
        <w:fldChar w:fldCharType="begin"/>
      </w:r>
      <w:r w:rsidR="002B4E57" w:rsidRPr="00152967">
        <w:instrText xml:space="preserve"> REF _Ref188783592 \h </w:instrText>
      </w:r>
      <w:r w:rsidR="00152967" w:rsidRPr="00152967">
        <w:instrText xml:space="preserve"> \* MERGEFORMAT </w:instrText>
      </w:r>
      <w:r w:rsidR="002B4E57" w:rsidRPr="00152967">
        <w:fldChar w:fldCharType="separate"/>
      </w:r>
      <w:r w:rsidR="00184DE0">
        <w:t xml:space="preserve">Table </w:t>
      </w:r>
      <w:r w:rsidR="00184DE0">
        <w:rPr>
          <w:noProof/>
        </w:rPr>
        <w:t>7</w:t>
      </w:r>
      <w:r w:rsidR="002B4E57" w:rsidRPr="00152967">
        <w:fldChar w:fldCharType="end"/>
      </w:r>
      <w:r w:rsidR="002B4E57" w:rsidRPr="00152967">
        <w:t>.</w:t>
      </w:r>
    </w:p>
    <w:p w14:paraId="2CAC9F92" w14:textId="515DE0D1" w:rsidR="00A0519A" w:rsidRDefault="00D72770" w:rsidP="00D72770">
      <w:pPr>
        <w:pStyle w:val="Caption"/>
      </w:pPr>
      <w:bookmarkStart w:id="38" w:name="_Ref188783592"/>
      <w:r>
        <w:lastRenderedPageBreak/>
        <w:t xml:space="preserve">Table </w:t>
      </w:r>
      <w:r w:rsidR="00C45318">
        <w:fldChar w:fldCharType="begin"/>
      </w:r>
      <w:r w:rsidR="00C45318">
        <w:instrText xml:space="preserve"> SEQ Table \* ARABIC </w:instrText>
      </w:r>
      <w:r w:rsidR="00C45318">
        <w:fldChar w:fldCharType="separate"/>
      </w:r>
      <w:r w:rsidR="00184DE0">
        <w:rPr>
          <w:noProof/>
        </w:rPr>
        <w:t>7</w:t>
      </w:r>
      <w:r w:rsidR="00C45318">
        <w:rPr>
          <w:noProof/>
        </w:rPr>
        <w:fldChar w:fldCharType="end"/>
      </w:r>
      <w:bookmarkEnd w:id="38"/>
      <w:r>
        <w:t xml:space="preserve">: </w:t>
      </w:r>
      <w:r w:rsidR="00A0519A">
        <w:t>Indirect treatment comparisons for HiSCR50</w:t>
      </w:r>
      <w:r w:rsidR="00551739">
        <w:t xml:space="preserve"> </w:t>
      </w:r>
      <w:r w:rsidR="001961E8">
        <w:t>using NRI</w:t>
      </w:r>
    </w:p>
    <w:tbl>
      <w:tblPr>
        <w:tblStyle w:val="TableGrid"/>
        <w:tblW w:w="0" w:type="auto"/>
        <w:tblLook w:val="04A0" w:firstRow="1" w:lastRow="0" w:firstColumn="1" w:lastColumn="0" w:noHBand="0" w:noVBand="1"/>
      </w:tblPr>
      <w:tblGrid>
        <w:gridCol w:w="3005"/>
        <w:gridCol w:w="3006"/>
        <w:gridCol w:w="3006"/>
      </w:tblGrid>
      <w:tr w:rsidR="00D57BF2" w:rsidRPr="00354295" w14:paraId="2A2B9E09" w14:textId="77777777" w:rsidTr="2B21198B">
        <w:tc>
          <w:tcPr>
            <w:tcW w:w="3005" w:type="dxa"/>
          </w:tcPr>
          <w:p w14:paraId="0BC4A906" w14:textId="77777777" w:rsidR="00D57BF2" w:rsidRPr="00354295" w:rsidRDefault="00D57BF2" w:rsidP="00A0519A">
            <w:pPr>
              <w:pStyle w:val="TableFigureHeading"/>
              <w:rPr>
                <w:szCs w:val="20"/>
              </w:rPr>
            </w:pPr>
          </w:p>
        </w:tc>
        <w:tc>
          <w:tcPr>
            <w:tcW w:w="3006" w:type="dxa"/>
          </w:tcPr>
          <w:p w14:paraId="129504A7" w14:textId="06EF3B62" w:rsidR="00D57BF2" w:rsidRPr="00354295" w:rsidRDefault="00D57BF2" w:rsidP="00DD11C8">
            <w:pPr>
              <w:pStyle w:val="TableFigureHeading"/>
              <w:jc w:val="center"/>
              <w:rPr>
                <w:szCs w:val="20"/>
              </w:rPr>
            </w:pPr>
            <w:r w:rsidRPr="00354295">
              <w:rPr>
                <w:szCs w:val="20"/>
              </w:rPr>
              <w:t>Relative Risk (95% CI)</w:t>
            </w:r>
          </w:p>
        </w:tc>
        <w:tc>
          <w:tcPr>
            <w:tcW w:w="3006" w:type="dxa"/>
          </w:tcPr>
          <w:p w14:paraId="79E03A5B" w14:textId="038E16E1" w:rsidR="00D57BF2" w:rsidRPr="00354295" w:rsidRDefault="00D57BF2" w:rsidP="00DD11C8">
            <w:pPr>
              <w:pStyle w:val="TableFigureHeading"/>
              <w:jc w:val="center"/>
              <w:rPr>
                <w:szCs w:val="20"/>
              </w:rPr>
            </w:pPr>
            <w:r w:rsidRPr="00354295">
              <w:rPr>
                <w:szCs w:val="20"/>
              </w:rPr>
              <w:t>Risk Difference (95% CI)</w:t>
            </w:r>
          </w:p>
        </w:tc>
      </w:tr>
      <w:tr w:rsidR="00D57BF2" w:rsidRPr="00354295" w14:paraId="3258C336" w14:textId="77777777" w:rsidTr="2B21198B">
        <w:tc>
          <w:tcPr>
            <w:tcW w:w="3005" w:type="dxa"/>
          </w:tcPr>
          <w:p w14:paraId="4392400E" w14:textId="77777777" w:rsidR="00D57BF2" w:rsidRPr="00354295" w:rsidRDefault="00D57BF2" w:rsidP="00A0519A">
            <w:pPr>
              <w:pStyle w:val="TableFigureHeading"/>
              <w:rPr>
                <w:szCs w:val="20"/>
              </w:rPr>
            </w:pPr>
            <w:r w:rsidRPr="00354295">
              <w:rPr>
                <w:szCs w:val="20"/>
              </w:rPr>
              <w:t>Adalimumab vs Placebo</w:t>
            </w:r>
          </w:p>
          <w:p w14:paraId="7F0638C6" w14:textId="77777777" w:rsidR="00D57BF2" w:rsidRPr="00354295" w:rsidRDefault="00D57BF2" w:rsidP="00D57BF2">
            <w:pPr>
              <w:pStyle w:val="TableFigureHeading"/>
              <w:jc w:val="right"/>
              <w:rPr>
                <w:b w:val="0"/>
                <w:bCs w:val="0"/>
                <w:szCs w:val="20"/>
              </w:rPr>
            </w:pPr>
            <w:r w:rsidRPr="00354295">
              <w:rPr>
                <w:b w:val="0"/>
                <w:bCs w:val="0"/>
                <w:szCs w:val="20"/>
              </w:rPr>
              <w:t>M10-672</w:t>
            </w:r>
          </w:p>
          <w:p w14:paraId="68AF2C17" w14:textId="77777777" w:rsidR="00D57BF2" w:rsidRPr="00354295" w:rsidRDefault="00D57BF2" w:rsidP="00D57BF2">
            <w:pPr>
              <w:pStyle w:val="TableFigureHeading"/>
              <w:jc w:val="right"/>
              <w:rPr>
                <w:b w:val="0"/>
                <w:bCs w:val="0"/>
                <w:szCs w:val="20"/>
              </w:rPr>
            </w:pPr>
            <w:r w:rsidRPr="00354295">
              <w:rPr>
                <w:b w:val="0"/>
                <w:bCs w:val="0"/>
                <w:szCs w:val="20"/>
              </w:rPr>
              <w:t>HS0001</w:t>
            </w:r>
          </w:p>
          <w:p w14:paraId="4E3ED20D" w14:textId="77777777" w:rsidR="00D57BF2" w:rsidRPr="00354295" w:rsidRDefault="00D57BF2" w:rsidP="00D57BF2">
            <w:pPr>
              <w:pStyle w:val="TableFigureHeading"/>
              <w:jc w:val="right"/>
              <w:rPr>
                <w:b w:val="0"/>
                <w:bCs w:val="0"/>
                <w:szCs w:val="20"/>
              </w:rPr>
            </w:pPr>
            <w:r w:rsidRPr="00354295">
              <w:rPr>
                <w:b w:val="0"/>
                <w:bCs w:val="0"/>
                <w:szCs w:val="20"/>
              </w:rPr>
              <w:t>PIONEER I</w:t>
            </w:r>
          </w:p>
          <w:p w14:paraId="646623AC" w14:textId="77777777" w:rsidR="00F03C23" w:rsidRPr="00354295" w:rsidRDefault="00F03C23" w:rsidP="00D57BF2">
            <w:pPr>
              <w:pStyle w:val="TableFigureHeading"/>
              <w:jc w:val="right"/>
              <w:rPr>
                <w:b w:val="0"/>
                <w:bCs w:val="0"/>
                <w:szCs w:val="20"/>
              </w:rPr>
            </w:pPr>
            <w:r w:rsidRPr="00354295">
              <w:rPr>
                <w:b w:val="0"/>
                <w:bCs w:val="0"/>
                <w:szCs w:val="20"/>
              </w:rPr>
              <w:t>PIONEER II</w:t>
            </w:r>
          </w:p>
          <w:p w14:paraId="665A852D" w14:textId="44596515" w:rsidR="00DD11C8" w:rsidRPr="00354295" w:rsidRDefault="00DD11C8" w:rsidP="00D57BF2">
            <w:pPr>
              <w:pStyle w:val="TableFigureHeading"/>
              <w:jc w:val="right"/>
              <w:rPr>
                <w:b w:val="0"/>
                <w:bCs w:val="0"/>
                <w:szCs w:val="20"/>
              </w:rPr>
            </w:pPr>
            <w:r w:rsidRPr="00354295">
              <w:rPr>
                <w:b w:val="0"/>
                <w:bCs w:val="0"/>
                <w:szCs w:val="20"/>
              </w:rPr>
              <w:t>Meta-analysis, fixed effects</w:t>
            </w:r>
          </w:p>
        </w:tc>
        <w:tc>
          <w:tcPr>
            <w:tcW w:w="3006" w:type="dxa"/>
          </w:tcPr>
          <w:p w14:paraId="0E022117" w14:textId="77777777" w:rsidR="00D57BF2" w:rsidRPr="00354295" w:rsidRDefault="00D57BF2" w:rsidP="00F03C23">
            <w:pPr>
              <w:pStyle w:val="TableFigureHeading"/>
              <w:jc w:val="center"/>
              <w:rPr>
                <w:b w:val="0"/>
                <w:bCs w:val="0"/>
                <w:szCs w:val="20"/>
              </w:rPr>
            </w:pPr>
          </w:p>
          <w:p w14:paraId="45285F24" w14:textId="77777777" w:rsidR="00D57BF2" w:rsidRPr="00354295" w:rsidRDefault="00D57BF2" w:rsidP="00F03C23">
            <w:pPr>
              <w:pStyle w:val="TableFigureHeading"/>
              <w:jc w:val="center"/>
              <w:rPr>
                <w:szCs w:val="20"/>
              </w:rPr>
            </w:pPr>
            <w:r w:rsidRPr="00354295">
              <w:rPr>
                <w:szCs w:val="20"/>
              </w:rPr>
              <w:t>2.1 (1.2, 3.8)</w:t>
            </w:r>
          </w:p>
          <w:p w14:paraId="58419595" w14:textId="0D6C026E" w:rsidR="00D57BF2" w:rsidRPr="00354295" w:rsidRDefault="00D57BF2" w:rsidP="00F03C23">
            <w:pPr>
              <w:pStyle w:val="TableFigureHeading"/>
              <w:jc w:val="center"/>
              <w:rPr>
                <w:szCs w:val="20"/>
              </w:rPr>
            </w:pPr>
            <w:r w:rsidRPr="00354295">
              <w:rPr>
                <w:szCs w:val="20"/>
              </w:rPr>
              <w:t>2.4 (1.0</w:t>
            </w:r>
            <w:r w:rsidR="00551739" w:rsidRPr="00354295">
              <w:rPr>
                <w:szCs w:val="20"/>
              </w:rPr>
              <w:t>2</w:t>
            </w:r>
            <w:r w:rsidRPr="00354295">
              <w:rPr>
                <w:szCs w:val="20"/>
              </w:rPr>
              <w:t>, 5.7)</w:t>
            </w:r>
          </w:p>
          <w:p w14:paraId="12797DD0" w14:textId="77777777" w:rsidR="00D57BF2" w:rsidRPr="00354295" w:rsidRDefault="00D57BF2" w:rsidP="00F03C23">
            <w:pPr>
              <w:pStyle w:val="TableFigureHeading"/>
              <w:jc w:val="center"/>
              <w:rPr>
                <w:szCs w:val="20"/>
              </w:rPr>
            </w:pPr>
            <w:r w:rsidRPr="00354295">
              <w:rPr>
                <w:szCs w:val="20"/>
              </w:rPr>
              <w:t>1.61 (1.2, 2.2)</w:t>
            </w:r>
          </w:p>
          <w:p w14:paraId="51E08761" w14:textId="77777777" w:rsidR="00F03C23" w:rsidRPr="00354295" w:rsidRDefault="00F03C23" w:rsidP="00F03C23">
            <w:pPr>
              <w:pStyle w:val="TableFigureHeading"/>
              <w:jc w:val="center"/>
              <w:rPr>
                <w:szCs w:val="20"/>
              </w:rPr>
            </w:pPr>
            <w:r w:rsidRPr="00354295">
              <w:rPr>
                <w:szCs w:val="20"/>
              </w:rPr>
              <w:t>2.1 (1.6, 2.8)</w:t>
            </w:r>
          </w:p>
          <w:p w14:paraId="39B3FB3F" w14:textId="39B38690" w:rsidR="00DD11C8" w:rsidRPr="00354295" w:rsidRDefault="00DD11C8" w:rsidP="00F03C23">
            <w:pPr>
              <w:pStyle w:val="TableFigureHeading"/>
              <w:jc w:val="center"/>
              <w:rPr>
                <w:b w:val="0"/>
                <w:bCs w:val="0"/>
                <w:szCs w:val="20"/>
              </w:rPr>
            </w:pPr>
            <w:r w:rsidRPr="00354295">
              <w:rPr>
                <w:szCs w:val="20"/>
              </w:rPr>
              <w:t>1.9 (1.6, 2.4)</w:t>
            </w:r>
          </w:p>
        </w:tc>
        <w:tc>
          <w:tcPr>
            <w:tcW w:w="3006" w:type="dxa"/>
          </w:tcPr>
          <w:p w14:paraId="3D9FBC91" w14:textId="77777777" w:rsidR="00D57BF2" w:rsidRPr="00354295" w:rsidRDefault="00D57BF2" w:rsidP="00F03C23">
            <w:pPr>
              <w:pStyle w:val="TableFigureHeading"/>
              <w:jc w:val="center"/>
              <w:rPr>
                <w:b w:val="0"/>
                <w:bCs w:val="0"/>
                <w:szCs w:val="20"/>
              </w:rPr>
            </w:pPr>
          </w:p>
          <w:p w14:paraId="5CA86A04" w14:textId="77777777" w:rsidR="00D57BF2" w:rsidRPr="00354295" w:rsidRDefault="00D57BF2" w:rsidP="00F03C23">
            <w:pPr>
              <w:pStyle w:val="TableFigureHeading"/>
              <w:jc w:val="center"/>
              <w:rPr>
                <w:szCs w:val="20"/>
              </w:rPr>
            </w:pPr>
            <w:r w:rsidRPr="00354295">
              <w:rPr>
                <w:szCs w:val="20"/>
              </w:rPr>
              <w:t>29.0 (9.3, 48.6)</w:t>
            </w:r>
          </w:p>
          <w:p w14:paraId="14B29E47" w14:textId="77777777" w:rsidR="00D57BF2" w:rsidRPr="00354295" w:rsidRDefault="00D57BF2" w:rsidP="00F03C23">
            <w:pPr>
              <w:pStyle w:val="TableFigureHeading"/>
              <w:jc w:val="center"/>
              <w:rPr>
                <w:szCs w:val="20"/>
              </w:rPr>
            </w:pPr>
            <w:r w:rsidRPr="00354295">
              <w:rPr>
                <w:szCs w:val="20"/>
              </w:rPr>
              <w:t>31.8 (4.6, 59.0)</w:t>
            </w:r>
          </w:p>
          <w:p w14:paraId="56F2B85D" w14:textId="77777777" w:rsidR="00D57BF2" w:rsidRPr="00354295" w:rsidRDefault="00D57BF2" w:rsidP="00F03C23">
            <w:pPr>
              <w:pStyle w:val="TableFigureHeading"/>
              <w:jc w:val="center"/>
              <w:rPr>
                <w:szCs w:val="20"/>
              </w:rPr>
            </w:pPr>
            <w:r w:rsidRPr="00354295">
              <w:rPr>
                <w:szCs w:val="20"/>
              </w:rPr>
              <w:t>15.9 (</w:t>
            </w:r>
            <w:r w:rsidR="00F03C23" w:rsidRPr="00354295">
              <w:rPr>
                <w:szCs w:val="20"/>
              </w:rPr>
              <w:t>5.4, 26.3)</w:t>
            </w:r>
          </w:p>
          <w:p w14:paraId="64048A3A" w14:textId="77777777" w:rsidR="00F03C23" w:rsidRPr="00354295" w:rsidRDefault="00F03C23" w:rsidP="00F03C23">
            <w:pPr>
              <w:pStyle w:val="TableFigureHeading"/>
              <w:jc w:val="center"/>
              <w:rPr>
                <w:szCs w:val="20"/>
              </w:rPr>
            </w:pPr>
            <w:r w:rsidRPr="00354295">
              <w:rPr>
                <w:szCs w:val="20"/>
              </w:rPr>
              <w:t>31.3 (21.1, 41.5)</w:t>
            </w:r>
          </w:p>
          <w:p w14:paraId="48BA68F1" w14:textId="50B579FF" w:rsidR="00DD11C8" w:rsidRPr="00354295" w:rsidRDefault="00DD11C8" w:rsidP="00F03C23">
            <w:pPr>
              <w:pStyle w:val="TableFigureHeading"/>
              <w:jc w:val="center"/>
              <w:rPr>
                <w:b w:val="0"/>
                <w:bCs w:val="0"/>
                <w:szCs w:val="20"/>
              </w:rPr>
            </w:pPr>
            <w:r w:rsidRPr="00354295">
              <w:rPr>
                <w:szCs w:val="20"/>
              </w:rPr>
              <w:t>24.8 (18.2, 31.5)</w:t>
            </w:r>
          </w:p>
        </w:tc>
      </w:tr>
      <w:tr w:rsidR="00F03C23" w:rsidRPr="00354295" w14:paraId="13CA1E71" w14:textId="77777777" w:rsidTr="2B21198B">
        <w:tc>
          <w:tcPr>
            <w:tcW w:w="3005" w:type="dxa"/>
          </w:tcPr>
          <w:p w14:paraId="4B58E6D4" w14:textId="77777777" w:rsidR="00F03C23" w:rsidRPr="00354295" w:rsidRDefault="00F03C23" w:rsidP="00A0519A">
            <w:pPr>
              <w:pStyle w:val="TableFigureHeading"/>
              <w:rPr>
                <w:szCs w:val="20"/>
              </w:rPr>
            </w:pPr>
            <w:r w:rsidRPr="00354295">
              <w:rPr>
                <w:szCs w:val="20"/>
              </w:rPr>
              <w:t>Bimekizumab vs Placebo</w:t>
            </w:r>
          </w:p>
          <w:p w14:paraId="7EC41E3B" w14:textId="77777777" w:rsidR="00F03C23" w:rsidRPr="00354295" w:rsidRDefault="00F03C23" w:rsidP="00F03C23">
            <w:pPr>
              <w:pStyle w:val="TableFigureHeading"/>
              <w:jc w:val="right"/>
              <w:rPr>
                <w:b w:val="0"/>
                <w:bCs w:val="0"/>
                <w:szCs w:val="20"/>
              </w:rPr>
            </w:pPr>
            <w:r w:rsidRPr="00354295">
              <w:rPr>
                <w:b w:val="0"/>
                <w:bCs w:val="0"/>
                <w:szCs w:val="20"/>
              </w:rPr>
              <w:t>HS-0001</w:t>
            </w:r>
          </w:p>
          <w:p w14:paraId="580C0D04" w14:textId="77777777" w:rsidR="00F03C23" w:rsidRPr="00354295" w:rsidRDefault="00F03C23" w:rsidP="00F03C23">
            <w:pPr>
              <w:pStyle w:val="TableFigureHeading"/>
              <w:jc w:val="right"/>
              <w:rPr>
                <w:b w:val="0"/>
                <w:bCs w:val="0"/>
                <w:szCs w:val="20"/>
              </w:rPr>
            </w:pPr>
            <w:r w:rsidRPr="00354295">
              <w:rPr>
                <w:b w:val="0"/>
                <w:bCs w:val="0"/>
                <w:szCs w:val="20"/>
              </w:rPr>
              <w:t>BE HEARD I</w:t>
            </w:r>
          </w:p>
          <w:p w14:paraId="5528B91D" w14:textId="77777777" w:rsidR="00DD11C8" w:rsidRPr="00354295" w:rsidRDefault="00F03C23" w:rsidP="00F03C23">
            <w:pPr>
              <w:pStyle w:val="TableFigureHeading"/>
              <w:jc w:val="right"/>
              <w:rPr>
                <w:b w:val="0"/>
                <w:bCs w:val="0"/>
                <w:szCs w:val="20"/>
              </w:rPr>
            </w:pPr>
            <w:r w:rsidRPr="00354295">
              <w:rPr>
                <w:b w:val="0"/>
                <w:bCs w:val="0"/>
                <w:szCs w:val="20"/>
              </w:rPr>
              <w:t>BE HEARD II</w:t>
            </w:r>
          </w:p>
          <w:p w14:paraId="3D690795" w14:textId="16527949" w:rsidR="00F03C23" w:rsidRPr="00354295" w:rsidRDefault="00DD11C8" w:rsidP="00F03C23">
            <w:pPr>
              <w:pStyle w:val="TableFigureHeading"/>
              <w:jc w:val="right"/>
              <w:rPr>
                <w:b w:val="0"/>
                <w:bCs w:val="0"/>
                <w:szCs w:val="20"/>
              </w:rPr>
            </w:pPr>
            <w:r w:rsidRPr="00354295">
              <w:rPr>
                <w:b w:val="0"/>
                <w:bCs w:val="0"/>
                <w:szCs w:val="20"/>
              </w:rPr>
              <w:t>Meta-analysis, fixed effects</w:t>
            </w:r>
          </w:p>
        </w:tc>
        <w:tc>
          <w:tcPr>
            <w:tcW w:w="3006" w:type="dxa"/>
          </w:tcPr>
          <w:p w14:paraId="44146244" w14:textId="77777777" w:rsidR="00F03C23" w:rsidRPr="00354295" w:rsidRDefault="00F03C23" w:rsidP="00F03C23">
            <w:pPr>
              <w:pStyle w:val="TableFigureHeading"/>
              <w:jc w:val="center"/>
              <w:rPr>
                <w:b w:val="0"/>
                <w:bCs w:val="0"/>
                <w:szCs w:val="20"/>
              </w:rPr>
            </w:pPr>
          </w:p>
          <w:p w14:paraId="525518A1" w14:textId="77962500" w:rsidR="00F03C23" w:rsidRPr="00354295" w:rsidRDefault="00F03C23" w:rsidP="00F03C23">
            <w:pPr>
              <w:pStyle w:val="TableFigureHeading"/>
              <w:jc w:val="center"/>
              <w:rPr>
                <w:szCs w:val="20"/>
              </w:rPr>
            </w:pPr>
            <w:r w:rsidRPr="00354295">
              <w:rPr>
                <w:szCs w:val="20"/>
              </w:rPr>
              <w:t>2.4 (1.1, 5.4)</w:t>
            </w:r>
          </w:p>
          <w:p w14:paraId="3321CABF" w14:textId="110C7D99" w:rsidR="00F03C23" w:rsidRPr="00354295" w:rsidRDefault="00F03C23" w:rsidP="00F03C23">
            <w:pPr>
              <w:pStyle w:val="TableFigureHeading"/>
              <w:jc w:val="center"/>
              <w:rPr>
                <w:szCs w:val="20"/>
              </w:rPr>
            </w:pPr>
            <w:r w:rsidRPr="00354295">
              <w:rPr>
                <w:szCs w:val="20"/>
              </w:rPr>
              <w:t>1.6 (1.1, 2.2)</w:t>
            </w:r>
          </w:p>
          <w:p w14:paraId="2736731F" w14:textId="77777777" w:rsidR="00F03C23" w:rsidRPr="00354295" w:rsidRDefault="00F03C23" w:rsidP="00F03C23">
            <w:pPr>
              <w:pStyle w:val="TableFigureHeading"/>
              <w:jc w:val="center"/>
              <w:rPr>
                <w:szCs w:val="20"/>
              </w:rPr>
            </w:pPr>
            <w:r w:rsidRPr="00354295">
              <w:rPr>
                <w:szCs w:val="20"/>
              </w:rPr>
              <w:t>1.7 (1.2, 2.4)</w:t>
            </w:r>
          </w:p>
          <w:p w14:paraId="0154B706" w14:textId="37812895" w:rsidR="00DD11C8" w:rsidRPr="00354295" w:rsidRDefault="00DD11C8" w:rsidP="00F03C23">
            <w:pPr>
              <w:pStyle w:val="TableFigureHeading"/>
              <w:jc w:val="center"/>
              <w:rPr>
                <w:b w:val="0"/>
                <w:bCs w:val="0"/>
                <w:szCs w:val="20"/>
              </w:rPr>
            </w:pPr>
            <w:r w:rsidRPr="00354295">
              <w:rPr>
                <w:szCs w:val="20"/>
              </w:rPr>
              <w:t>1.7 (1.4, 2.2)</w:t>
            </w:r>
          </w:p>
        </w:tc>
        <w:tc>
          <w:tcPr>
            <w:tcW w:w="3006" w:type="dxa"/>
          </w:tcPr>
          <w:p w14:paraId="0D40EE90" w14:textId="77777777" w:rsidR="00F03C23" w:rsidRPr="00354295" w:rsidRDefault="00F03C23" w:rsidP="00F03C23">
            <w:pPr>
              <w:pStyle w:val="TableFigureHeading"/>
              <w:jc w:val="center"/>
              <w:rPr>
                <w:b w:val="0"/>
                <w:bCs w:val="0"/>
                <w:szCs w:val="20"/>
              </w:rPr>
            </w:pPr>
          </w:p>
          <w:p w14:paraId="24870096" w14:textId="0E452248" w:rsidR="00F03C23" w:rsidRPr="00354295" w:rsidRDefault="00F03C23" w:rsidP="00F03C23">
            <w:pPr>
              <w:pStyle w:val="TableFigureHeading"/>
              <w:jc w:val="center"/>
              <w:rPr>
                <w:szCs w:val="20"/>
              </w:rPr>
            </w:pPr>
            <w:r w:rsidRPr="00354295">
              <w:rPr>
                <w:szCs w:val="20"/>
              </w:rPr>
              <w:t>31.6 (9.0, 54.3)</w:t>
            </w:r>
          </w:p>
          <w:p w14:paraId="73ADC94F" w14:textId="77777777" w:rsidR="00F03C23" w:rsidRPr="00354295" w:rsidRDefault="00F03C23" w:rsidP="00F03C23">
            <w:pPr>
              <w:pStyle w:val="TableFigureHeading"/>
              <w:jc w:val="center"/>
              <w:rPr>
                <w:szCs w:val="20"/>
              </w:rPr>
            </w:pPr>
            <w:r w:rsidRPr="00354295">
              <w:rPr>
                <w:szCs w:val="20"/>
              </w:rPr>
              <w:t>18.9 (6.6, 31.2)</w:t>
            </w:r>
          </w:p>
          <w:p w14:paraId="73955F6C" w14:textId="77777777" w:rsidR="00F03C23" w:rsidRPr="00354295" w:rsidRDefault="00F03C23" w:rsidP="00F03C23">
            <w:pPr>
              <w:pStyle w:val="TableFigureHeading"/>
              <w:jc w:val="center"/>
              <w:rPr>
                <w:szCs w:val="20"/>
              </w:rPr>
            </w:pPr>
            <w:r w:rsidRPr="00354295">
              <w:rPr>
                <w:szCs w:val="20"/>
              </w:rPr>
              <w:t>23.9 (11.8, 36.0)</w:t>
            </w:r>
          </w:p>
          <w:p w14:paraId="29FE1721" w14:textId="60051629" w:rsidR="00DD11C8" w:rsidRPr="00354295" w:rsidRDefault="00DD11C8" w:rsidP="00F03C23">
            <w:pPr>
              <w:pStyle w:val="TableFigureHeading"/>
              <w:jc w:val="center"/>
              <w:rPr>
                <w:b w:val="0"/>
                <w:bCs w:val="0"/>
                <w:szCs w:val="20"/>
              </w:rPr>
            </w:pPr>
            <w:r w:rsidRPr="00354295">
              <w:rPr>
                <w:szCs w:val="20"/>
              </w:rPr>
              <w:t>22.6 (14.5, 30.7)</w:t>
            </w:r>
          </w:p>
        </w:tc>
      </w:tr>
      <w:tr w:rsidR="00F03C23" w:rsidRPr="00354295" w14:paraId="32E6C4CE" w14:textId="77777777" w:rsidTr="2B21198B">
        <w:tc>
          <w:tcPr>
            <w:tcW w:w="3005" w:type="dxa"/>
          </w:tcPr>
          <w:p w14:paraId="00E29F32" w14:textId="77777777" w:rsidR="00F03C23" w:rsidRPr="00354295" w:rsidRDefault="00F03C23" w:rsidP="00A0519A">
            <w:pPr>
              <w:pStyle w:val="TableFigureHeading"/>
              <w:rPr>
                <w:szCs w:val="20"/>
              </w:rPr>
            </w:pPr>
            <w:r w:rsidRPr="00354295">
              <w:rPr>
                <w:szCs w:val="20"/>
              </w:rPr>
              <w:t>Secukinumab vs Placebo</w:t>
            </w:r>
          </w:p>
          <w:p w14:paraId="6B3A4FB2" w14:textId="77777777" w:rsidR="00F03C23" w:rsidRPr="00354295" w:rsidRDefault="00F03C23" w:rsidP="00F03C23">
            <w:pPr>
              <w:pStyle w:val="TableFigureHeading"/>
              <w:jc w:val="right"/>
              <w:rPr>
                <w:b w:val="0"/>
                <w:bCs w:val="0"/>
                <w:szCs w:val="20"/>
              </w:rPr>
            </w:pPr>
            <w:r w:rsidRPr="00354295">
              <w:rPr>
                <w:b w:val="0"/>
                <w:bCs w:val="0"/>
                <w:szCs w:val="20"/>
              </w:rPr>
              <w:t>SUNSHINE</w:t>
            </w:r>
          </w:p>
          <w:p w14:paraId="53137D8D" w14:textId="77777777" w:rsidR="00F03C23" w:rsidRPr="00354295" w:rsidRDefault="00F03C23" w:rsidP="00F03C23">
            <w:pPr>
              <w:pStyle w:val="TableFigureHeading"/>
              <w:jc w:val="right"/>
              <w:rPr>
                <w:b w:val="0"/>
                <w:bCs w:val="0"/>
                <w:szCs w:val="20"/>
              </w:rPr>
            </w:pPr>
            <w:r w:rsidRPr="00354295">
              <w:rPr>
                <w:b w:val="0"/>
                <w:bCs w:val="0"/>
                <w:szCs w:val="20"/>
              </w:rPr>
              <w:t>SUNRISE</w:t>
            </w:r>
          </w:p>
          <w:p w14:paraId="16629B83" w14:textId="1B53EDF9" w:rsidR="00DD11C8" w:rsidRPr="00354295" w:rsidRDefault="00DD11C8" w:rsidP="00F03C23">
            <w:pPr>
              <w:pStyle w:val="TableFigureHeading"/>
              <w:jc w:val="right"/>
              <w:rPr>
                <w:b w:val="0"/>
                <w:bCs w:val="0"/>
                <w:szCs w:val="20"/>
              </w:rPr>
            </w:pPr>
            <w:r w:rsidRPr="00354295">
              <w:rPr>
                <w:b w:val="0"/>
                <w:bCs w:val="0"/>
                <w:szCs w:val="20"/>
              </w:rPr>
              <w:t>Meta-analysis, fixed effects</w:t>
            </w:r>
          </w:p>
        </w:tc>
        <w:tc>
          <w:tcPr>
            <w:tcW w:w="3006" w:type="dxa"/>
          </w:tcPr>
          <w:p w14:paraId="78F9079C" w14:textId="77777777" w:rsidR="00F03C23" w:rsidRPr="00354295" w:rsidRDefault="00F03C23" w:rsidP="00F03C23">
            <w:pPr>
              <w:pStyle w:val="TableFigureHeading"/>
              <w:jc w:val="center"/>
              <w:rPr>
                <w:b w:val="0"/>
                <w:bCs w:val="0"/>
                <w:szCs w:val="20"/>
              </w:rPr>
            </w:pPr>
          </w:p>
          <w:p w14:paraId="1B754F3E" w14:textId="69DFC927" w:rsidR="00F03C23" w:rsidRPr="00354295" w:rsidRDefault="00F03C23" w:rsidP="00F03C23">
            <w:pPr>
              <w:pStyle w:val="TableFigureHeading"/>
              <w:jc w:val="center"/>
              <w:rPr>
                <w:szCs w:val="20"/>
              </w:rPr>
            </w:pPr>
            <w:r w:rsidRPr="00354295">
              <w:rPr>
                <w:szCs w:val="20"/>
              </w:rPr>
              <w:t>1.</w:t>
            </w:r>
            <w:r w:rsidR="001961E8" w:rsidRPr="00354295">
              <w:rPr>
                <w:szCs w:val="20"/>
              </w:rPr>
              <w:t>3</w:t>
            </w:r>
            <w:r w:rsidRPr="00354295">
              <w:rPr>
                <w:szCs w:val="20"/>
              </w:rPr>
              <w:t xml:space="preserve"> (</w:t>
            </w:r>
            <w:r w:rsidR="001961E8" w:rsidRPr="00354295">
              <w:rPr>
                <w:szCs w:val="20"/>
              </w:rPr>
              <w:t>1.03, 1.7)</w:t>
            </w:r>
          </w:p>
          <w:p w14:paraId="26473306" w14:textId="77777777" w:rsidR="001961E8" w:rsidRPr="00354295" w:rsidRDefault="001961E8" w:rsidP="00F03C23">
            <w:pPr>
              <w:pStyle w:val="TableFigureHeading"/>
              <w:jc w:val="center"/>
              <w:rPr>
                <w:szCs w:val="20"/>
              </w:rPr>
            </w:pPr>
            <w:r w:rsidRPr="00354295">
              <w:rPr>
                <w:szCs w:val="20"/>
              </w:rPr>
              <w:t>1.4 (1.03, 1.8)</w:t>
            </w:r>
          </w:p>
          <w:p w14:paraId="5FF4A9D5" w14:textId="0D1A1298" w:rsidR="00DD11C8" w:rsidRPr="00354295" w:rsidRDefault="00DD11C8" w:rsidP="00F03C23">
            <w:pPr>
              <w:pStyle w:val="TableFigureHeading"/>
              <w:jc w:val="center"/>
              <w:rPr>
                <w:szCs w:val="20"/>
              </w:rPr>
            </w:pPr>
            <w:r w:rsidRPr="00354295">
              <w:rPr>
                <w:szCs w:val="20"/>
              </w:rPr>
              <w:t>1.35 (1.1, 1.6)</w:t>
            </w:r>
          </w:p>
        </w:tc>
        <w:tc>
          <w:tcPr>
            <w:tcW w:w="3006" w:type="dxa"/>
          </w:tcPr>
          <w:p w14:paraId="1724E1F6" w14:textId="77777777" w:rsidR="00F03C23" w:rsidRPr="00354295" w:rsidRDefault="00F03C23" w:rsidP="00F03C23">
            <w:pPr>
              <w:pStyle w:val="TableFigureHeading"/>
              <w:jc w:val="center"/>
              <w:rPr>
                <w:b w:val="0"/>
                <w:bCs w:val="0"/>
                <w:szCs w:val="20"/>
              </w:rPr>
            </w:pPr>
          </w:p>
          <w:p w14:paraId="7AFEC5FF" w14:textId="77777777" w:rsidR="001961E8" w:rsidRPr="00354295" w:rsidRDefault="001961E8" w:rsidP="00F03C23">
            <w:pPr>
              <w:pStyle w:val="TableFigureHeading"/>
              <w:jc w:val="center"/>
              <w:rPr>
                <w:szCs w:val="20"/>
              </w:rPr>
            </w:pPr>
            <w:r w:rsidRPr="00354295">
              <w:rPr>
                <w:szCs w:val="20"/>
              </w:rPr>
              <w:t>11.1 (1.2, 21.0)</w:t>
            </w:r>
          </w:p>
          <w:p w14:paraId="33FF9A48" w14:textId="77777777" w:rsidR="001961E8" w:rsidRPr="00354295" w:rsidRDefault="001961E8" w:rsidP="00F03C23">
            <w:pPr>
              <w:pStyle w:val="TableFigureHeading"/>
              <w:jc w:val="center"/>
              <w:rPr>
                <w:szCs w:val="20"/>
              </w:rPr>
            </w:pPr>
            <w:r w:rsidRPr="00354295">
              <w:rPr>
                <w:szCs w:val="20"/>
              </w:rPr>
              <w:t>11.3 (1.3, 21.3)</w:t>
            </w:r>
          </w:p>
          <w:p w14:paraId="482447E4" w14:textId="00C6477B" w:rsidR="00DD11C8" w:rsidRPr="00354295" w:rsidRDefault="00DD11C8" w:rsidP="00F03C23">
            <w:pPr>
              <w:pStyle w:val="TableFigureHeading"/>
              <w:jc w:val="center"/>
              <w:rPr>
                <w:b w:val="0"/>
                <w:bCs w:val="0"/>
                <w:szCs w:val="20"/>
              </w:rPr>
            </w:pPr>
            <w:r w:rsidRPr="00354295">
              <w:rPr>
                <w:szCs w:val="20"/>
              </w:rPr>
              <w:t>11.2 (4.2, 18.2)</w:t>
            </w:r>
          </w:p>
        </w:tc>
      </w:tr>
      <w:tr w:rsidR="00F03C23" w:rsidRPr="00354295" w14:paraId="75940995" w14:textId="77777777" w:rsidTr="2B21198B">
        <w:tc>
          <w:tcPr>
            <w:tcW w:w="3005" w:type="dxa"/>
          </w:tcPr>
          <w:p w14:paraId="581915C4" w14:textId="77777777" w:rsidR="001961E8" w:rsidRPr="00354295" w:rsidRDefault="00F03C23" w:rsidP="001961E8">
            <w:pPr>
              <w:pStyle w:val="TableFigureHeading"/>
              <w:rPr>
                <w:szCs w:val="20"/>
              </w:rPr>
            </w:pPr>
            <w:r w:rsidRPr="00354295">
              <w:rPr>
                <w:szCs w:val="20"/>
              </w:rPr>
              <w:t>Bimekizumab vs Adalimumab</w:t>
            </w:r>
          </w:p>
          <w:p w14:paraId="1E17A9CD" w14:textId="6CE733E1" w:rsidR="001961E8" w:rsidRPr="00354295" w:rsidRDefault="001961E8" w:rsidP="00551739">
            <w:pPr>
              <w:pStyle w:val="TableFigureHeading"/>
              <w:jc w:val="right"/>
              <w:rPr>
                <w:b w:val="0"/>
                <w:bCs w:val="0"/>
                <w:szCs w:val="20"/>
              </w:rPr>
            </w:pPr>
            <w:r w:rsidRPr="00354295">
              <w:rPr>
                <w:b w:val="0"/>
                <w:bCs w:val="0"/>
                <w:szCs w:val="20"/>
              </w:rPr>
              <w:t>Fixed effects</w:t>
            </w:r>
          </w:p>
        </w:tc>
        <w:tc>
          <w:tcPr>
            <w:tcW w:w="3006" w:type="dxa"/>
          </w:tcPr>
          <w:p w14:paraId="36B3F0EA" w14:textId="77777777" w:rsidR="001961E8" w:rsidRPr="00354295" w:rsidRDefault="001961E8" w:rsidP="00F03C23">
            <w:pPr>
              <w:pStyle w:val="TableFigureHeading"/>
              <w:jc w:val="center"/>
              <w:rPr>
                <w:b w:val="0"/>
                <w:bCs w:val="0"/>
                <w:szCs w:val="20"/>
              </w:rPr>
            </w:pPr>
          </w:p>
          <w:p w14:paraId="0CD9E4E2" w14:textId="7CBE38B8" w:rsidR="001961E8" w:rsidRPr="00354295" w:rsidRDefault="00551739" w:rsidP="00F03C23">
            <w:pPr>
              <w:pStyle w:val="TableFigureHeading"/>
              <w:jc w:val="center"/>
              <w:rPr>
                <w:b w:val="0"/>
                <w:bCs w:val="0"/>
                <w:szCs w:val="20"/>
              </w:rPr>
            </w:pPr>
            <w:r w:rsidRPr="00354295">
              <w:rPr>
                <w:b w:val="0"/>
                <w:bCs w:val="0"/>
                <w:szCs w:val="20"/>
              </w:rPr>
              <w:t>0.9 (0.6, 1.2)</w:t>
            </w:r>
          </w:p>
        </w:tc>
        <w:tc>
          <w:tcPr>
            <w:tcW w:w="3006" w:type="dxa"/>
          </w:tcPr>
          <w:p w14:paraId="5D94C2C1" w14:textId="77777777" w:rsidR="001961E8" w:rsidRPr="00354295" w:rsidRDefault="001961E8" w:rsidP="00F03C23">
            <w:pPr>
              <w:pStyle w:val="TableFigureHeading"/>
              <w:jc w:val="center"/>
              <w:rPr>
                <w:b w:val="0"/>
                <w:bCs w:val="0"/>
                <w:szCs w:val="20"/>
              </w:rPr>
            </w:pPr>
          </w:p>
          <w:p w14:paraId="1E2E698D" w14:textId="2892DFF5" w:rsidR="001961E8" w:rsidRPr="00354295" w:rsidRDefault="00551739" w:rsidP="00F03C23">
            <w:pPr>
              <w:pStyle w:val="TableFigureHeading"/>
              <w:jc w:val="center"/>
              <w:rPr>
                <w:b w:val="0"/>
                <w:bCs w:val="0"/>
                <w:szCs w:val="20"/>
              </w:rPr>
            </w:pPr>
            <w:r w:rsidRPr="00354295">
              <w:rPr>
                <w:b w:val="0"/>
                <w:bCs w:val="0"/>
                <w:szCs w:val="20"/>
              </w:rPr>
              <w:t>-2.2</w:t>
            </w:r>
            <w:r w:rsidR="001961E8" w:rsidRPr="00354295">
              <w:rPr>
                <w:b w:val="0"/>
                <w:bCs w:val="0"/>
                <w:szCs w:val="20"/>
              </w:rPr>
              <w:t xml:space="preserve"> (-</w:t>
            </w:r>
            <w:r w:rsidRPr="00354295">
              <w:rPr>
                <w:b w:val="0"/>
                <w:bCs w:val="0"/>
                <w:szCs w:val="20"/>
              </w:rPr>
              <w:t>12.7</w:t>
            </w:r>
            <w:r w:rsidR="001961E8" w:rsidRPr="00354295">
              <w:rPr>
                <w:b w:val="0"/>
                <w:bCs w:val="0"/>
                <w:szCs w:val="20"/>
              </w:rPr>
              <w:t xml:space="preserve">, </w:t>
            </w:r>
            <w:r w:rsidRPr="00354295">
              <w:rPr>
                <w:b w:val="0"/>
                <w:bCs w:val="0"/>
                <w:szCs w:val="20"/>
              </w:rPr>
              <w:t>8.2</w:t>
            </w:r>
            <w:r w:rsidR="001961E8" w:rsidRPr="00354295">
              <w:rPr>
                <w:b w:val="0"/>
                <w:bCs w:val="0"/>
                <w:szCs w:val="20"/>
              </w:rPr>
              <w:t>)</w:t>
            </w:r>
          </w:p>
        </w:tc>
      </w:tr>
      <w:tr w:rsidR="00F03C23" w:rsidRPr="00354295" w14:paraId="569D19CA" w14:textId="77777777" w:rsidTr="2B21198B">
        <w:tc>
          <w:tcPr>
            <w:tcW w:w="3005" w:type="dxa"/>
          </w:tcPr>
          <w:p w14:paraId="01F89D5A" w14:textId="77777777" w:rsidR="00F03C23" w:rsidRPr="00354295" w:rsidRDefault="00F03C23" w:rsidP="2B21198B">
            <w:pPr>
              <w:pStyle w:val="TableFigureHeading"/>
              <w:rPr>
                <w:szCs w:val="20"/>
              </w:rPr>
            </w:pPr>
            <w:r w:rsidRPr="00354295">
              <w:rPr>
                <w:szCs w:val="20"/>
              </w:rPr>
              <w:t>Bimekizumab vs Secukinumab</w:t>
            </w:r>
          </w:p>
          <w:p w14:paraId="7CAC890F" w14:textId="59FB7835" w:rsidR="00551739" w:rsidRPr="00354295" w:rsidRDefault="00551739" w:rsidP="00551739">
            <w:pPr>
              <w:pStyle w:val="TableFigureHeading"/>
              <w:jc w:val="right"/>
              <w:rPr>
                <w:b w:val="0"/>
                <w:bCs w:val="0"/>
                <w:szCs w:val="20"/>
              </w:rPr>
            </w:pPr>
            <w:r w:rsidRPr="00354295">
              <w:rPr>
                <w:b w:val="0"/>
                <w:bCs w:val="0"/>
                <w:szCs w:val="20"/>
              </w:rPr>
              <w:t>Fixed effects</w:t>
            </w:r>
          </w:p>
        </w:tc>
        <w:tc>
          <w:tcPr>
            <w:tcW w:w="3006" w:type="dxa"/>
          </w:tcPr>
          <w:p w14:paraId="5F674EC4" w14:textId="77777777" w:rsidR="00551739" w:rsidRPr="00354295" w:rsidRDefault="00551739" w:rsidP="00F03C23">
            <w:pPr>
              <w:pStyle w:val="TableFigureHeading"/>
              <w:jc w:val="center"/>
              <w:rPr>
                <w:b w:val="0"/>
                <w:bCs w:val="0"/>
                <w:szCs w:val="20"/>
              </w:rPr>
            </w:pPr>
          </w:p>
          <w:p w14:paraId="0212FBE4" w14:textId="1F3F6DE3" w:rsidR="00F03C23" w:rsidRPr="00354295" w:rsidRDefault="001961E8" w:rsidP="00F03C23">
            <w:pPr>
              <w:pStyle w:val="TableFigureHeading"/>
              <w:jc w:val="center"/>
              <w:rPr>
                <w:b w:val="0"/>
                <w:bCs w:val="0"/>
                <w:szCs w:val="20"/>
              </w:rPr>
            </w:pPr>
            <w:r w:rsidRPr="00354295">
              <w:rPr>
                <w:b w:val="0"/>
                <w:bCs w:val="0"/>
                <w:szCs w:val="20"/>
              </w:rPr>
              <w:t>1.32 (0.98, 1.8)</w:t>
            </w:r>
          </w:p>
        </w:tc>
        <w:tc>
          <w:tcPr>
            <w:tcW w:w="3006" w:type="dxa"/>
          </w:tcPr>
          <w:p w14:paraId="1F8A0845" w14:textId="77777777" w:rsidR="00551739" w:rsidRPr="00354295" w:rsidRDefault="00551739" w:rsidP="00F03C23">
            <w:pPr>
              <w:pStyle w:val="TableFigureHeading"/>
              <w:jc w:val="center"/>
              <w:rPr>
                <w:b w:val="0"/>
                <w:bCs w:val="0"/>
                <w:szCs w:val="20"/>
              </w:rPr>
            </w:pPr>
          </w:p>
          <w:p w14:paraId="2D55FB79" w14:textId="1945A2FA" w:rsidR="00F03C23" w:rsidRPr="00354295" w:rsidRDefault="001961E8" w:rsidP="00F03C23">
            <w:pPr>
              <w:pStyle w:val="TableFigureHeading"/>
              <w:jc w:val="center"/>
              <w:rPr>
                <w:szCs w:val="20"/>
              </w:rPr>
            </w:pPr>
            <w:r w:rsidRPr="00354295">
              <w:rPr>
                <w:szCs w:val="20"/>
              </w:rPr>
              <w:t>13.5 (2.8, 24.2)</w:t>
            </w:r>
          </w:p>
        </w:tc>
      </w:tr>
    </w:tbl>
    <w:p w14:paraId="0AF4C42D" w14:textId="70F9C374" w:rsidR="00A0519A" w:rsidRPr="00572BA4" w:rsidRDefault="69254C3A" w:rsidP="00572BA4">
      <w:pPr>
        <w:pStyle w:val="TableFigureFooter"/>
        <w:jc w:val="both"/>
      </w:pPr>
      <w:r w:rsidRPr="00572BA4">
        <w:t>Source: Attachment 4.3 of the submission. CI = confidence interval</w:t>
      </w:r>
      <w:r w:rsidR="67639076" w:rsidRPr="00572BA4">
        <w:t xml:space="preserve">; HiSCR50 = hidradenitis suppurativa clinical response as 50% reduction in abscess + nodule count with no increase in abscesses or draining tunnels; NRI = non-response imputation. </w:t>
      </w:r>
      <w:r w:rsidRPr="00572BA4">
        <w:t xml:space="preserve"> </w:t>
      </w:r>
    </w:p>
    <w:p w14:paraId="0A3FDF12" w14:textId="1D5C0712" w:rsidR="00625805" w:rsidRDefault="67639076" w:rsidP="2B21198B">
      <w:pPr>
        <w:pStyle w:val="3-BodyText"/>
      </w:pPr>
      <w:r w:rsidRPr="2B21198B">
        <w:t>A similar pattern of results was seen with HiSCR75, HiSCR90 and IHS4-55 (response defined as 55% reduction in IHS4 score</w:t>
      </w:r>
      <w:r w:rsidR="5C628DCA" w:rsidRPr="2B21198B">
        <w:t>)</w:t>
      </w:r>
      <w:r w:rsidRPr="2B21198B">
        <w:t>. However,</w:t>
      </w:r>
      <w:r w:rsidR="46E4BF41" w:rsidRPr="2B21198B">
        <w:t xml:space="preserve"> on the IHS4-55 outcome</w:t>
      </w:r>
      <w:r w:rsidRPr="2B21198B">
        <w:t xml:space="preserve"> </w:t>
      </w:r>
      <w:r w:rsidR="46E4BF41" w:rsidRPr="2B21198B">
        <w:t>the difference between bimekizumab and secukinumab was statistically significant</w:t>
      </w:r>
      <w:r w:rsidR="61542BFF" w:rsidRPr="2B21198B">
        <w:t xml:space="preserve"> in favour of bimekizumab</w:t>
      </w:r>
      <w:r w:rsidR="46E4BF41" w:rsidRPr="2B21198B">
        <w:t xml:space="preserve">: relative risk (95% CI) was 1.6 (1.1, 2.2) and risk difference was 15.8 (5.5, 26.2). </w:t>
      </w:r>
    </w:p>
    <w:p w14:paraId="23C68D29" w14:textId="02CAB6A8" w:rsidR="004A3664" w:rsidRDefault="004A3664" w:rsidP="2B21198B">
      <w:pPr>
        <w:pStyle w:val="3-BodyText"/>
      </w:pPr>
      <w:bookmarkStart w:id="39" w:name="_Ref198041450"/>
      <w:r w:rsidRPr="004A0905">
        <w:t xml:space="preserve">The Pre-Sub-Committee </w:t>
      </w:r>
      <w:r w:rsidR="00AC47A1">
        <w:t xml:space="preserve">Response </w:t>
      </w:r>
      <w:r w:rsidR="009C3B1B" w:rsidRPr="004A0905">
        <w:t xml:space="preserve">provided additional indirect treatment comparisons at 12-16 weeks based on </w:t>
      </w:r>
      <w:r w:rsidR="00863031" w:rsidRPr="004A0905">
        <w:t xml:space="preserve">BKZ treatment regimen (Q2W/Q4W and Q4W only) </w:t>
      </w:r>
      <w:r w:rsidR="001F2AE2" w:rsidRPr="004A0905">
        <w:t xml:space="preserve">for the outcomes of </w:t>
      </w:r>
      <w:r w:rsidR="00BC1D66" w:rsidRPr="004A0905">
        <w:t>HiSCR50, 75 and 90 response and change in IHS4 (</w:t>
      </w:r>
      <w:r w:rsidR="00F82AAB" w:rsidRPr="004A0905">
        <w:t xml:space="preserve">international hidradenitis suppurativa severity score system). For the primary outcome of HiSCR50, the results found </w:t>
      </w:r>
      <w:r w:rsidR="00D748CA" w:rsidRPr="004A0905">
        <w:t>a statistically significant difference for the Q2W/Q4W regimen over secukinumab Q2W and Q4W</w:t>
      </w:r>
      <w:r w:rsidR="00CF598B" w:rsidRPr="004A0905">
        <w:t xml:space="preserve"> based on the odds ratio statistic, with no significant difference found versus adalimumab or for the bimekizumab Q4W only regimen. The ESC considered the additional analyses provided in the PSCR at 12-16 weeks were difficult to interpret as the subgroup analyses were presented as odds ratios, whilst the original submission analyses were presented based on relative risk and risk difference.</w:t>
      </w:r>
      <w:bookmarkEnd w:id="39"/>
      <w:r w:rsidR="00772764">
        <w:t xml:space="preserve"> The</w:t>
      </w:r>
      <w:r w:rsidR="00467A5F">
        <w:t xml:space="preserve"> Pre-PBAC Response clarified</w:t>
      </w:r>
      <w:r w:rsidR="00E51A92">
        <w:t xml:space="preserve"> that analyses based on odds ratio were also presented in the original submission. </w:t>
      </w:r>
    </w:p>
    <w:p w14:paraId="2D60F55E" w14:textId="0BF904EF" w:rsidR="001D53FE" w:rsidRDefault="00DD11C8" w:rsidP="00C54106">
      <w:pPr>
        <w:pStyle w:val="5-SubsectionSubheading"/>
      </w:pPr>
      <w:bookmarkStart w:id="40" w:name="_Toc192760451"/>
      <w:r>
        <w:t>Efficacy during extended treatment periods</w:t>
      </w:r>
      <w:bookmarkEnd w:id="40"/>
    </w:p>
    <w:p w14:paraId="0BC3C2A7" w14:textId="3FE75E93" w:rsidR="008555A1" w:rsidRPr="00152967" w:rsidRDefault="78B09E66" w:rsidP="008555A1">
      <w:pPr>
        <w:pStyle w:val="3-BodyText"/>
      </w:pPr>
      <w:r w:rsidRPr="00152967">
        <w:t>R</w:t>
      </w:r>
      <w:r w:rsidR="3E466A78" w:rsidRPr="00152967">
        <w:t>esponse rates in BE H</w:t>
      </w:r>
      <w:r w:rsidR="3AF30B74" w:rsidRPr="00152967">
        <w:t>E</w:t>
      </w:r>
      <w:r w:rsidR="3E466A78" w:rsidRPr="00152967">
        <w:t>ARD I and II at 16 weeks and at 48 weeks are shown</w:t>
      </w:r>
      <w:r w:rsidR="002B4E57" w:rsidRPr="00152967">
        <w:t xml:space="preserve"> in </w:t>
      </w:r>
      <w:r w:rsidR="00FA5335" w:rsidRPr="00152967">
        <w:fldChar w:fldCharType="begin"/>
      </w:r>
      <w:r w:rsidR="00FA5335" w:rsidRPr="00152967">
        <w:instrText xml:space="preserve"> REF _Ref190947161 \h  \* MERGEFORMAT </w:instrText>
      </w:r>
      <w:r w:rsidR="00FA5335" w:rsidRPr="00152967">
        <w:fldChar w:fldCharType="separate"/>
      </w:r>
      <w:r w:rsidR="00184DE0">
        <w:t xml:space="preserve">Figure </w:t>
      </w:r>
      <w:r w:rsidR="00184DE0">
        <w:rPr>
          <w:noProof/>
        </w:rPr>
        <w:t>3</w:t>
      </w:r>
      <w:r w:rsidR="00FA5335" w:rsidRPr="00152967">
        <w:fldChar w:fldCharType="end"/>
      </w:r>
      <w:r w:rsidR="002B4E57" w:rsidRPr="00152967">
        <w:t xml:space="preserve"> and </w:t>
      </w:r>
      <w:r w:rsidRPr="00152967">
        <w:fldChar w:fldCharType="begin"/>
      </w:r>
      <w:r w:rsidRPr="00152967">
        <w:instrText xml:space="preserve"> REF _Ref190947163 \h </w:instrText>
      </w:r>
      <w:r w:rsidR="00152967" w:rsidRPr="00152967">
        <w:instrText xml:space="preserve"> \* MERGEFORMAT </w:instrText>
      </w:r>
      <w:r w:rsidRPr="00152967">
        <w:fldChar w:fldCharType="separate"/>
      </w:r>
      <w:r w:rsidR="00184DE0">
        <w:t xml:space="preserve">Figure </w:t>
      </w:r>
      <w:r w:rsidR="00184DE0">
        <w:rPr>
          <w:noProof/>
        </w:rPr>
        <w:t>4</w:t>
      </w:r>
      <w:r w:rsidRPr="00152967">
        <w:fldChar w:fldCharType="end"/>
      </w:r>
      <w:r w:rsidR="3E466A78" w:rsidRPr="00152967">
        <w:t>.</w:t>
      </w:r>
      <w:r w:rsidR="008555A1" w:rsidRPr="00152967">
        <w:t xml:space="preserve"> Placebo patients (triangles) switched to open label bimekizumab every 2 weeks after the 16 week double-blind period. </w:t>
      </w:r>
    </w:p>
    <w:p w14:paraId="597B0ECA" w14:textId="7D3B1600" w:rsidR="00354295" w:rsidRPr="00152967" w:rsidRDefault="5F33E91C" w:rsidP="004D7073">
      <w:pPr>
        <w:pStyle w:val="3-BodyText"/>
      </w:pPr>
      <w:r w:rsidRPr="00152967">
        <w:t>T</w:t>
      </w:r>
      <w:r w:rsidR="10D66641" w:rsidRPr="00152967">
        <w:t>here was a trend</w:t>
      </w:r>
      <w:r w:rsidRPr="00152967">
        <w:t>, somewhat more marked in BE HEARD I,</w:t>
      </w:r>
      <w:r w:rsidR="10D66641" w:rsidRPr="00152967">
        <w:t xml:space="preserve"> for response rates at 48</w:t>
      </w:r>
      <w:r w:rsidR="00FA5335">
        <w:t> </w:t>
      </w:r>
      <w:r w:rsidR="10D66641" w:rsidRPr="00152967">
        <w:t>weeks to be lower</w:t>
      </w:r>
      <w:r w:rsidR="008555A1" w:rsidRPr="00152967">
        <w:t>,</w:t>
      </w:r>
      <w:r w:rsidR="10D66641" w:rsidRPr="00152967">
        <w:t xml:space="preserve"> </w:t>
      </w:r>
      <w:r w:rsidR="78B09E66" w:rsidRPr="00152967">
        <w:t xml:space="preserve">but </w:t>
      </w:r>
      <w:r w:rsidR="10D66641" w:rsidRPr="00152967">
        <w:t>m</w:t>
      </w:r>
      <w:r w:rsidR="19BA17C5" w:rsidRPr="00152967">
        <w:t xml:space="preserve">ost patients in BE HEARD I and II who had achieved a </w:t>
      </w:r>
      <w:r w:rsidR="19BA17C5" w:rsidRPr="00152967">
        <w:lastRenderedPageBreak/>
        <w:t>HiSCR50 response at 16 weeks sustained their response to 48 weeks.</w:t>
      </w:r>
      <w:r w:rsidR="008555A1" w:rsidRPr="00152967">
        <w:t xml:space="preserve"> However, </w:t>
      </w:r>
      <w:r w:rsidR="00D77A7F" w:rsidRPr="00152967">
        <w:t>t</w:t>
      </w:r>
      <w:r w:rsidR="008555A1" w:rsidRPr="00152967">
        <w:t xml:space="preserve">he proportion of patients who had a HiSCR50 response at week 16 </w:t>
      </w:r>
      <w:r w:rsidR="008555A1" w:rsidRPr="00152967">
        <w:rPr>
          <w:u w:val="single"/>
        </w:rPr>
        <w:t>and</w:t>
      </w:r>
      <w:r w:rsidR="008555A1" w:rsidRPr="00152967">
        <w:t xml:space="preserve"> at week 48 was relatively low. In BE HEARD I, a HiSCR50 response was achieved at 16 and 48 weeks in 29/146 (19.9%) of patients treated with bimekizumab 320</w:t>
      </w:r>
      <w:r w:rsidR="00FA5335">
        <w:t> </w:t>
      </w:r>
      <w:r w:rsidR="008555A1" w:rsidRPr="00152967">
        <w:t xml:space="preserve">mg every 2 weeks during the first 16 weeks and bimekizumab 320 mg every 4 weeks in the second 32 weeks (BE HEARD I CSR, Table 8-12). In BE HEARD II a HiSCR50 response was achieved at 16 </w:t>
      </w:r>
      <w:r w:rsidR="008555A1" w:rsidRPr="00152967">
        <w:rPr>
          <w:u w:val="single"/>
        </w:rPr>
        <w:t>and</w:t>
      </w:r>
      <w:r w:rsidR="008555A1" w:rsidRPr="00152967">
        <w:t xml:space="preserve"> 48 weeks in 38/146 (26.0%) of patients treated with bimekizumab 320</w:t>
      </w:r>
      <w:r w:rsidR="00FA5335">
        <w:t> </w:t>
      </w:r>
      <w:r w:rsidR="008555A1" w:rsidRPr="00152967">
        <w:t>mg every 2</w:t>
      </w:r>
      <w:r w:rsidR="00FA5335">
        <w:t> </w:t>
      </w:r>
      <w:r w:rsidR="008555A1" w:rsidRPr="00152967">
        <w:t xml:space="preserve">weeks during the first 16 weeks and bimekizumab 320 mg every 4 weeks in the second 32 weeks. (BE HEARD II CSR, Table 8-13). </w:t>
      </w:r>
    </w:p>
    <w:p w14:paraId="16EF535B" w14:textId="73B1C6F0" w:rsidR="00B90C91" w:rsidRDefault="002B4E57" w:rsidP="002B4E57">
      <w:pPr>
        <w:pStyle w:val="Caption"/>
      </w:pPr>
      <w:bookmarkStart w:id="41" w:name="_Ref190947161"/>
      <w:r>
        <w:t xml:space="preserve">Figure </w:t>
      </w:r>
      <w:r>
        <w:fldChar w:fldCharType="begin"/>
      </w:r>
      <w:r>
        <w:instrText xml:space="preserve"> SEQ Figure \* ARABIC </w:instrText>
      </w:r>
      <w:r>
        <w:fldChar w:fldCharType="separate"/>
      </w:r>
      <w:r w:rsidR="00184DE0">
        <w:rPr>
          <w:noProof/>
        </w:rPr>
        <w:t>3</w:t>
      </w:r>
      <w:r>
        <w:rPr>
          <w:noProof/>
        </w:rPr>
        <w:fldChar w:fldCharType="end"/>
      </w:r>
      <w:bookmarkEnd w:id="41"/>
      <w:r>
        <w:t xml:space="preserve">: </w:t>
      </w:r>
      <w:r w:rsidR="00B90C91">
        <w:t>HiSCR50 response rates to 48 weeks in BE HEARD I</w:t>
      </w:r>
    </w:p>
    <w:p w14:paraId="72CD04B2" w14:textId="4B944894" w:rsidR="00B90C91" w:rsidRDefault="00B90C91" w:rsidP="00B90C91">
      <w:pPr>
        <w:pStyle w:val="TableFigureHeading"/>
      </w:pPr>
      <w:r>
        <w:rPr>
          <w:noProof/>
        </w:rPr>
        <w:drawing>
          <wp:inline distT="0" distB="0" distL="0" distR="0" wp14:anchorId="12B13F58" wp14:editId="6B1FF2E9">
            <wp:extent cx="5732145" cy="3258185"/>
            <wp:effectExtent l="0" t="0" r="0" b="5715"/>
            <wp:docPr id="1426555229" name="Picture 7" descr="Figure 3: HiSCR50 response rates to 48 weeks in BE HEARD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555229" name="Picture 7" descr="Figure 3: HiSCR50 response rates to 48 weeks in BE HEARD I"/>
                    <pic:cNvPicPr/>
                  </pic:nvPicPr>
                  <pic:blipFill>
                    <a:blip r:embed="rId12"/>
                    <a:stretch>
                      <a:fillRect/>
                    </a:stretch>
                  </pic:blipFill>
                  <pic:spPr>
                    <a:xfrm>
                      <a:off x="0" y="0"/>
                      <a:ext cx="5732145" cy="3258185"/>
                    </a:xfrm>
                    <a:prstGeom prst="rect">
                      <a:avLst/>
                    </a:prstGeom>
                  </pic:spPr>
                </pic:pic>
              </a:graphicData>
            </a:graphic>
          </wp:inline>
        </w:drawing>
      </w:r>
    </w:p>
    <w:p w14:paraId="715B2AEE" w14:textId="613FCAF3" w:rsidR="00816C13" w:rsidRPr="00816C13" w:rsidRDefault="00B90C91" w:rsidP="004D7073">
      <w:pPr>
        <w:pStyle w:val="TableFigureFooter"/>
      </w:pPr>
      <w:r w:rsidRPr="2B21198B">
        <w:t xml:space="preserve">Source: BE HEARD I CSR, Figure 8-4, p203. BKZ = bimekizumab. </w:t>
      </w:r>
    </w:p>
    <w:p w14:paraId="7D4CB252" w14:textId="7E93775B" w:rsidR="00B90C91" w:rsidRDefault="002B4E57" w:rsidP="002B4E57">
      <w:pPr>
        <w:pStyle w:val="Caption"/>
      </w:pPr>
      <w:bookmarkStart w:id="42" w:name="_Ref190947163"/>
      <w:r>
        <w:lastRenderedPageBreak/>
        <w:t xml:space="preserve">Figure </w:t>
      </w:r>
      <w:r>
        <w:fldChar w:fldCharType="begin"/>
      </w:r>
      <w:r>
        <w:instrText xml:space="preserve"> SEQ Figure \* ARABIC </w:instrText>
      </w:r>
      <w:r>
        <w:fldChar w:fldCharType="separate"/>
      </w:r>
      <w:r w:rsidR="00184DE0">
        <w:rPr>
          <w:noProof/>
        </w:rPr>
        <w:t>4</w:t>
      </w:r>
      <w:r>
        <w:rPr>
          <w:noProof/>
        </w:rPr>
        <w:fldChar w:fldCharType="end"/>
      </w:r>
      <w:bookmarkEnd w:id="42"/>
      <w:r>
        <w:t xml:space="preserve">: </w:t>
      </w:r>
      <w:r w:rsidR="00B90C91">
        <w:t>HiSCR50 response rates to 48 weeks in BE HEARD II</w:t>
      </w:r>
    </w:p>
    <w:p w14:paraId="45DAB7C3" w14:textId="5D7CFAC4" w:rsidR="00B90C91" w:rsidRDefault="00B90C91" w:rsidP="00B90C91">
      <w:pPr>
        <w:pStyle w:val="TableFigureHeading"/>
      </w:pPr>
      <w:r>
        <w:rPr>
          <w:noProof/>
        </w:rPr>
        <w:drawing>
          <wp:inline distT="0" distB="0" distL="0" distR="0" wp14:anchorId="1EAD0ABF" wp14:editId="4392AA3A">
            <wp:extent cx="5732145" cy="3098800"/>
            <wp:effectExtent l="0" t="0" r="0" b="0"/>
            <wp:docPr id="1776344124" name="Picture 8" descr="Figure 4: HiSCR50 response rates to 48 weeks in BE HEARD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44124" name="Picture 8" descr="Figure 4: HiSCR50 response rates to 48 weeks in BE HEARD II"/>
                    <pic:cNvPicPr/>
                  </pic:nvPicPr>
                  <pic:blipFill>
                    <a:blip r:embed="rId13"/>
                    <a:stretch>
                      <a:fillRect/>
                    </a:stretch>
                  </pic:blipFill>
                  <pic:spPr>
                    <a:xfrm>
                      <a:off x="0" y="0"/>
                      <a:ext cx="5732145" cy="3098800"/>
                    </a:xfrm>
                    <a:prstGeom prst="rect">
                      <a:avLst/>
                    </a:prstGeom>
                  </pic:spPr>
                </pic:pic>
              </a:graphicData>
            </a:graphic>
          </wp:inline>
        </w:drawing>
      </w:r>
    </w:p>
    <w:p w14:paraId="01315C0C" w14:textId="5CF3F9ED" w:rsidR="00D72770" w:rsidRPr="00D72770" w:rsidRDefault="00B90C91" w:rsidP="000C4A3B">
      <w:pPr>
        <w:pStyle w:val="TableFigureFooter"/>
      </w:pPr>
      <w:r w:rsidRPr="2B21198B">
        <w:t xml:space="preserve">Source: BE HEARD II CSR, Figure 8-4, p204. BKZ = bimekizumab. </w:t>
      </w:r>
    </w:p>
    <w:p w14:paraId="3BD48151" w14:textId="158BDFCB" w:rsidR="001D53FE" w:rsidRPr="004A0905" w:rsidRDefault="00EA3066" w:rsidP="00EA3066">
      <w:pPr>
        <w:pStyle w:val="3-BodyText"/>
      </w:pPr>
      <w:r w:rsidRPr="004A0905">
        <w:t>The submission present</w:t>
      </w:r>
      <w:r w:rsidR="00497076" w:rsidRPr="004A0905">
        <w:t xml:space="preserve">ed </w:t>
      </w:r>
      <w:r w:rsidRPr="004A0905">
        <w:t xml:space="preserve">a figure from Kimball 2024 for response rates over 48 weeks showing </w:t>
      </w:r>
      <w:r w:rsidR="004A3DBE" w:rsidRPr="004A0905">
        <w:t>a</w:t>
      </w:r>
      <w:r w:rsidR="00C54106" w:rsidRPr="004A0905">
        <w:t xml:space="preserve"> marked </w:t>
      </w:r>
      <w:r w:rsidRPr="004A0905">
        <w:t>rise in response rates in all groups between 16 and 48 weeks</w:t>
      </w:r>
      <w:r w:rsidR="004A3DBE" w:rsidRPr="004A0905">
        <w:t xml:space="preserve"> </w:t>
      </w:r>
      <w:r w:rsidR="00C54106" w:rsidRPr="004A0905">
        <w:t>(Figures 2.12 and 2.13</w:t>
      </w:r>
      <w:r w:rsidR="004D7073">
        <w:t xml:space="preserve"> </w:t>
      </w:r>
      <w:r w:rsidR="00C54106" w:rsidRPr="004A0905">
        <w:t>of the submission).</w:t>
      </w:r>
      <w:r w:rsidRPr="004A0905">
        <w:t xml:space="preserve"> This graph was prepared using the observed cases method of handling missing data</w:t>
      </w:r>
      <w:r w:rsidR="00C54106" w:rsidRPr="004A0905">
        <w:t>, which was pre-specified only as a sensitivity analysis (BE HEARD I CSR, Table 6-1; BE HEARD II CSR, Table 6-1</w:t>
      </w:r>
      <w:r w:rsidR="004A3DBE" w:rsidRPr="004A0905">
        <w:t>).</w:t>
      </w:r>
      <w:r w:rsidR="008555A1" w:rsidRPr="004A0905">
        <w:t xml:space="preserve"> </w:t>
      </w:r>
    </w:p>
    <w:p w14:paraId="09968C87" w14:textId="5D07EE5E" w:rsidR="004A3DBE" w:rsidRPr="004A0905" w:rsidRDefault="6A08B092" w:rsidP="2B21198B">
      <w:pPr>
        <w:pStyle w:val="3-BodyText"/>
      </w:pPr>
      <w:r w:rsidRPr="004A0905">
        <w:t xml:space="preserve">The graphs of </w:t>
      </w:r>
      <w:proofErr w:type="spellStart"/>
      <w:r w:rsidRPr="004A0905">
        <w:t>HiSCR</w:t>
      </w:r>
      <w:proofErr w:type="spellEnd"/>
      <w:r w:rsidRPr="004A0905">
        <w:t xml:space="preserve"> responses to 48 weeks reproduced above from the CSR</w:t>
      </w:r>
      <w:r w:rsidR="1E00F21C" w:rsidRPr="004A0905">
        <w:t xml:space="preserve"> were prepared using the</w:t>
      </w:r>
      <w:r w:rsidR="00B301F1" w:rsidRPr="004A0905">
        <w:t xml:space="preserve"> </w:t>
      </w:r>
      <w:r w:rsidR="1E00F21C" w:rsidRPr="004A0905">
        <w:t xml:space="preserve">multiple imputation Markov-Chain Monte Carlo method used </w:t>
      </w:r>
      <w:r w:rsidR="193F45C9" w:rsidRPr="004A0905">
        <w:t>generally in</w:t>
      </w:r>
      <w:r w:rsidR="1E00F21C" w:rsidRPr="004A0905">
        <w:t xml:space="preserve"> the CSR.</w:t>
      </w:r>
      <w:r w:rsidRPr="004A0905">
        <w:t xml:space="preserve"> </w:t>
      </w:r>
      <w:r w:rsidR="00D77A7F" w:rsidRPr="004A0905">
        <w:t>For patients treated with bimekizumab 320 mg every 2 weeks to week 16</w:t>
      </w:r>
      <w:r w:rsidR="004D5ED0" w:rsidRPr="004A0905">
        <w:t>, HiSCR50 response rate</w:t>
      </w:r>
      <w:r w:rsidR="00D77A7F" w:rsidRPr="004A0905">
        <w:t xml:space="preserve"> </w:t>
      </w:r>
      <w:r w:rsidR="004D5ED0" w:rsidRPr="004A0905">
        <w:t xml:space="preserve">was 61.9% </w:t>
      </w:r>
      <w:r w:rsidR="00D77A7F" w:rsidRPr="004A0905">
        <w:t>by the observed case method</w:t>
      </w:r>
      <w:r w:rsidR="004D5ED0" w:rsidRPr="004A0905">
        <w:t xml:space="preserve"> and 50% by the p</w:t>
      </w:r>
      <w:r w:rsidR="009524A8" w:rsidRPr="004A0905">
        <w:t>rotocol-defined method of handling missing data</w:t>
      </w:r>
      <w:r w:rsidR="004D5ED0" w:rsidRPr="004A0905">
        <w:t>. The response rate for patients treated with bimekizumab 320 mg every 2 weeks to week 16 then 320 mg every 4</w:t>
      </w:r>
      <w:r w:rsidR="004D7073">
        <w:t> </w:t>
      </w:r>
      <w:r w:rsidR="004D5ED0" w:rsidRPr="004A0905">
        <w:t>weeks to week 48 was 81.3% at week 48 by the observed case method</w:t>
      </w:r>
      <w:r w:rsidR="00D77A7F" w:rsidRPr="004A0905">
        <w:t xml:space="preserve"> and about 42% by the multiple imputation Markov</w:t>
      </w:r>
      <w:r w:rsidR="004D5ED0" w:rsidRPr="004A0905">
        <w:t>-</w:t>
      </w:r>
      <w:r w:rsidR="00D77A7F" w:rsidRPr="004A0905">
        <w:t xml:space="preserve">Chain Monte Carlo method. </w:t>
      </w:r>
      <w:r w:rsidR="1E00F21C" w:rsidRPr="004A0905">
        <w:t xml:space="preserve">This degree of sensitivity of outcomes to the method of handling missing data raises concerns about the generalisability of the results. </w:t>
      </w:r>
    </w:p>
    <w:p w14:paraId="69B54A3D" w14:textId="3221FC56" w:rsidR="00BF2A5A" w:rsidRPr="004A0905" w:rsidRDefault="08E404A2" w:rsidP="2B21198B">
      <w:pPr>
        <w:pStyle w:val="3-BodyText"/>
      </w:pPr>
      <w:r w:rsidRPr="004A0905">
        <w:t xml:space="preserve">The </w:t>
      </w:r>
      <w:proofErr w:type="spellStart"/>
      <w:r w:rsidRPr="004A0905">
        <w:t>HiSCR</w:t>
      </w:r>
      <w:proofErr w:type="spellEnd"/>
      <w:r w:rsidRPr="004A0905">
        <w:t xml:space="preserve"> response rate at 52 weeks for pooled SUNSHINE and SUNRISE</w:t>
      </w:r>
      <w:r w:rsidR="1B8DDC79" w:rsidRPr="004A0905">
        <w:t xml:space="preserve"> (secukinumab)</w:t>
      </w:r>
      <w:r w:rsidRPr="004A0905">
        <w:t xml:space="preserve"> data was 155/254 (61%) for patients receiving secukinumab 300</w:t>
      </w:r>
      <w:r w:rsidR="004D7073">
        <w:t> </w:t>
      </w:r>
      <w:r w:rsidRPr="004A0905">
        <w:t xml:space="preserve">mg </w:t>
      </w:r>
      <w:r w:rsidR="005756D0" w:rsidRPr="004A0905">
        <w:t>every 2 weeks</w:t>
      </w:r>
      <w:r w:rsidRPr="004A0905">
        <w:t xml:space="preserve"> and 151/255 (59.2%) for patients receiving secukinumab </w:t>
      </w:r>
      <w:r w:rsidR="004D7073" w:rsidRPr="004A0905">
        <w:t>300</w:t>
      </w:r>
      <w:r w:rsidR="004D7073">
        <w:t> </w:t>
      </w:r>
      <w:r w:rsidR="004D7073" w:rsidRPr="004A0905">
        <w:t>m</w:t>
      </w:r>
      <w:r w:rsidR="004D7073">
        <w:t>g</w:t>
      </w:r>
      <w:r w:rsidR="004D7073" w:rsidRPr="004A0905">
        <w:t xml:space="preserve"> </w:t>
      </w:r>
      <w:r w:rsidR="005756D0" w:rsidRPr="004A0905">
        <w:t>every 4 weeks</w:t>
      </w:r>
      <w:r w:rsidR="00EC6CF5" w:rsidRPr="004A0905">
        <w:t xml:space="preserve"> (Table 2.49</w:t>
      </w:r>
      <w:r w:rsidR="004D7073">
        <w:t xml:space="preserve"> </w:t>
      </w:r>
      <w:r w:rsidR="00EC6CF5" w:rsidRPr="004A0905">
        <w:t>of the submission)</w:t>
      </w:r>
      <w:r w:rsidRPr="004A0905">
        <w:t xml:space="preserve">. These rates </w:t>
      </w:r>
      <w:r w:rsidR="7CF9F5A0" w:rsidRPr="004A0905">
        <w:t>we</w:t>
      </w:r>
      <w:r w:rsidRPr="004A0905">
        <w:t>re higher than those achieved at 48 weeks with bimekizumab</w:t>
      </w:r>
      <w:r w:rsidR="009524A8" w:rsidRPr="004A0905">
        <w:t>.</w:t>
      </w:r>
    </w:p>
    <w:p w14:paraId="1EC009D6" w14:textId="04FF2CDD" w:rsidR="00BF2A5A" w:rsidRPr="004A0905" w:rsidRDefault="08E404A2" w:rsidP="2B21198B">
      <w:pPr>
        <w:pStyle w:val="3-BodyText"/>
      </w:pPr>
      <w:r w:rsidRPr="004A0905">
        <w:t>However, data for HiSCR50 response rates at 52 weeks in SUNSHINE and SUNRISE were difficult to compare with data from BE HEARD I/II, because of the method of dealing with missing data. The method used in SUNSHINE and SUNRISE</w:t>
      </w:r>
      <w:r w:rsidR="009524A8" w:rsidRPr="004A0905">
        <w:t xml:space="preserve"> was not clearly </w:t>
      </w:r>
      <w:r w:rsidR="009524A8" w:rsidRPr="004A0905">
        <w:lastRenderedPageBreak/>
        <w:t>defined in the published paper, but</w:t>
      </w:r>
      <w:r w:rsidRPr="004A0905">
        <w:t xml:space="preserve"> appears to have been similar to the observed case method in BE HEARD I/II and may have resulted in higher </w:t>
      </w:r>
      <w:r w:rsidR="0FB6C477" w:rsidRPr="004A0905">
        <w:t xml:space="preserve">estimated </w:t>
      </w:r>
      <w:r w:rsidRPr="004A0905">
        <w:t>response rates</w:t>
      </w:r>
      <w:r w:rsidR="0FB6C477" w:rsidRPr="004A0905">
        <w:t xml:space="preserve"> for secukinumab</w:t>
      </w:r>
      <w:r w:rsidRPr="004A0905">
        <w:t xml:space="preserve"> (Figures 2.22 and 2.23</w:t>
      </w:r>
      <w:r w:rsidR="004D7073">
        <w:t xml:space="preserve"> </w:t>
      </w:r>
      <w:r w:rsidRPr="004A0905">
        <w:t>of the submission).</w:t>
      </w:r>
    </w:p>
    <w:p w14:paraId="712B21E4" w14:textId="235E288C" w:rsidR="00BF2A5A" w:rsidRPr="004A0905" w:rsidRDefault="00A43DCF">
      <w:pPr>
        <w:pStyle w:val="3-BodyText"/>
      </w:pPr>
      <w:r w:rsidRPr="004A0905">
        <w:t>In</w:t>
      </w:r>
      <w:r w:rsidR="00BF2A5A" w:rsidRPr="004A0905">
        <w:t xml:space="preserve"> PIONEER I and II </w:t>
      </w:r>
      <w:r w:rsidRPr="004A0905">
        <w:t>loss of response with continued treatment was common. Of 21</w:t>
      </w:r>
      <w:r w:rsidR="004D7073">
        <w:t> </w:t>
      </w:r>
      <w:r w:rsidRPr="004A0905">
        <w:t xml:space="preserve">patients in PIONEER I treated with adalimumab 40 mg weekly for the first 12 weeks who had a HiSCR50 response at 12 weeks and who continued adalimumab </w:t>
      </w:r>
      <w:r w:rsidR="004D7073" w:rsidRPr="004A0905">
        <w:t>40</w:t>
      </w:r>
      <w:r w:rsidR="004D7073">
        <w:t> </w:t>
      </w:r>
      <w:r w:rsidRPr="004A0905">
        <w:t>mg weekly, 11/21 (52.4%) had a response at week 36. In the same group of patients in PIONEER II, 14/31 (45.2%) had a response at week 36.</w:t>
      </w:r>
    </w:p>
    <w:p w14:paraId="456BF281" w14:textId="27B02CCB" w:rsidR="00BF2A5A" w:rsidRPr="004A0905" w:rsidRDefault="7CF9F5A0" w:rsidP="2B21198B">
      <w:pPr>
        <w:pStyle w:val="3-BodyText"/>
      </w:pPr>
      <w:r w:rsidRPr="004A0905">
        <w:t xml:space="preserve">In PIONEER I/II more new responses between weeks 12 and 36 </w:t>
      </w:r>
      <w:r w:rsidR="7DC59892" w:rsidRPr="004A0905">
        <w:t xml:space="preserve">were reported </w:t>
      </w:r>
      <w:r w:rsidRPr="004A0905">
        <w:t xml:space="preserve">among patients who had not achieved a HiSCR50 response at 12 weeks than in BE HEARD I/II and SUNSHINE/SUNRISE. </w:t>
      </w:r>
      <w:r w:rsidR="7DC59892" w:rsidRPr="004A0905">
        <w:t>In PIONEER I of 27 subjects who received adalimumab 40</w:t>
      </w:r>
      <w:r w:rsidR="004D7073">
        <w:t> </w:t>
      </w:r>
      <w:r w:rsidR="7DC59892" w:rsidRPr="004A0905">
        <w:t>mg weekly to week 12 but had not had a response at week 12 and then continued on adalimumab 40 mg weekly, 10/27 (37%) had a response at week 36. In the same group of patients in PIONEER II, 8/20 (40%) had a response at week 36.</w:t>
      </w:r>
    </w:p>
    <w:p w14:paraId="119FBBFD" w14:textId="6F6C6E07" w:rsidR="00EC6CF5" w:rsidRPr="004A0905" w:rsidRDefault="00EC6CF5">
      <w:pPr>
        <w:pStyle w:val="3-BodyText"/>
      </w:pPr>
      <w:r w:rsidRPr="004A0905">
        <w:t xml:space="preserve">Overall, during the extended treatment periods (48 or 52 weeks), there were no large differences between bimekizumab and secukinumab using HiSCR50 as the response. However, comparison is difficult because of </w:t>
      </w:r>
      <w:r w:rsidR="00454372" w:rsidRPr="004A0905">
        <w:t>differences in methods of</w:t>
      </w:r>
      <w:r w:rsidRPr="004A0905">
        <w:t xml:space="preserve"> handling missing data</w:t>
      </w:r>
      <w:r w:rsidR="00454372" w:rsidRPr="004A0905">
        <w:t>,</w:t>
      </w:r>
      <w:r w:rsidRPr="004A0905">
        <w:t xml:space="preserve"> and the </w:t>
      </w:r>
      <w:r w:rsidR="00454372" w:rsidRPr="004A0905">
        <w:t>decision to make patients receiving rescue antibiotics non-responders in BE HEARD I/II but not in SUNSHINE and SUNRISE.</w:t>
      </w:r>
    </w:p>
    <w:p w14:paraId="190DFFC7" w14:textId="206CCAD3" w:rsidR="00C13343" w:rsidRPr="004A0905" w:rsidRDefault="00454372" w:rsidP="2B21198B">
      <w:pPr>
        <w:pStyle w:val="3-BodyText"/>
      </w:pPr>
      <w:r w:rsidRPr="004A0905">
        <w:t>Comparison with longer-term data in PIONEER I/II is very difficult because of</w:t>
      </w:r>
      <w:r w:rsidR="385A57E4" w:rsidRPr="004A0905">
        <w:t xml:space="preserve"> the very high drop-out rates in PIONEER I/II between week 12 and week 36, and the small numbers of patients completing 36 weeks</w:t>
      </w:r>
      <w:r w:rsidRPr="004A0905">
        <w:t>.</w:t>
      </w:r>
    </w:p>
    <w:p w14:paraId="79022B34" w14:textId="59A38E76" w:rsidR="00C13C4B" w:rsidRPr="004A0905" w:rsidRDefault="00A43B46" w:rsidP="00C13C4B">
      <w:pPr>
        <w:pStyle w:val="3-BodyText"/>
      </w:pPr>
      <w:r w:rsidRPr="004A0905">
        <w:t>The PSCR presented</w:t>
      </w:r>
      <w:r w:rsidR="00856CEC" w:rsidRPr="004A0905">
        <w:t xml:space="preserve"> </w:t>
      </w:r>
      <w:r w:rsidR="008D6B15" w:rsidRPr="004A0905">
        <w:t>a</w:t>
      </w:r>
      <w:r w:rsidR="00E7403F" w:rsidRPr="004A0905">
        <w:t xml:space="preserve"> group of</w:t>
      </w:r>
      <w:r w:rsidR="008D6B15" w:rsidRPr="004A0905">
        <w:t xml:space="preserve"> </w:t>
      </w:r>
      <w:r w:rsidR="00C672EB" w:rsidRPr="004A0905">
        <w:t>Matching-Adjusted Indirect Comparison</w:t>
      </w:r>
      <w:r w:rsidR="00E7403F" w:rsidRPr="004A0905">
        <w:t>s</w:t>
      </w:r>
      <w:r w:rsidR="00C672EB" w:rsidRPr="004A0905">
        <w:t xml:space="preserve"> (MAIC) </w:t>
      </w:r>
      <w:r w:rsidR="008D6B15" w:rsidRPr="004A0905">
        <w:t xml:space="preserve">at </w:t>
      </w:r>
      <w:r w:rsidR="00C672EB" w:rsidRPr="004A0905">
        <w:t>48</w:t>
      </w:r>
      <w:r w:rsidR="004D7073">
        <w:t> </w:t>
      </w:r>
      <w:r w:rsidR="00C672EB" w:rsidRPr="004A0905">
        <w:t xml:space="preserve">weeks </w:t>
      </w:r>
      <w:r w:rsidR="00740DDE" w:rsidRPr="004A0905">
        <w:t>for the bimekizumab Q2W/Q4W and Q4W regimens versus secukinumab Q2W, Q4W and adalimumab</w:t>
      </w:r>
      <w:r w:rsidR="00477659" w:rsidRPr="004A0905">
        <w:t>, matched on sex, race, smoking status and HS severity statu</w:t>
      </w:r>
      <w:r w:rsidR="00D679B8" w:rsidRPr="004A0905">
        <w:t xml:space="preserve">s, with scenario analyses exploring different </w:t>
      </w:r>
      <w:r w:rsidR="00EB79F9" w:rsidRPr="004A0905">
        <w:t>methods of handling missing data</w:t>
      </w:r>
      <w:r w:rsidR="000F4840" w:rsidRPr="004A0905">
        <w:t xml:space="preserve">. </w:t>
      </w:r>
      <w:r w:rsidR="005D4A7A" w:rsidRPr="004A0905">
        <w:t xml:space="preserve">Analyses </w:t>
      </w:r>
      <w:r w:rsidR="00281348" w:rsidRPr="004A0905">
        <w:t>for bimekizumab Q4W only versus secukinumab using a non-responder imputation approach also found</w:t>
      </w:r>
      <w:r w:rsidR="00B735B8" w:rsidRPr="004A0905">
        <w:t xml:space="preserve"> statistically significant differences favouring bimekizumab</w:t>
      </w:r>
      <w:r w:rsidR="00F74832" w:rsidRPr="004A0905">
        <w:t xml:space="preserve"> over both secukinumab regimens</w:t>
      </w:r>
      <w:r w:rsidR="00FB1336" w:rsidRPr="004A0905">
        <w:t xml:space="preserve"> for HiSCR50, 75 and 90 response</w:t>
      </w:r>
      <w:r w:rsidR="00F74832" w:rsidRPr="004A0905">
        <w:t xml:space="preserve">. Analyses for bimekizumab Q2W/Q4W and Q4W versus </w:t>
      </w:r>
      <w:r w:rsidR="00FB1336" w:rsidRPr="004A0905">
        <w:t xml:space="preserve">adalimumab generally found no difference between bimekizumab and adalimumab for HiSCR50, 75 or 90, </w:t>
      </w:r>
      <w:r w:rsidR="00E47FC9" w:rsidRPr="004A0905">
        <w:t xml:space="preserve">with the exception of bimekizumab Q2W/Q4W versus adalimumab, which favoured bimekizumab. </w:t>
      </w:r>
      <w:r w:rsidR="00C13C4B" w:rsidRPr="004A0905">
        <w:t xml:space="preserve">The ESC also considered the Matching-Adjusted Indirect Comparison (MAIC) at 48 weeks to be uncertain, as issues such as handling of missing data in the statistical comparison and large dropout rates in the adalimumab trials were not clearly addressed. </w:t>
      </w:r>
      <w:bookmarkStart w:id="43" w:name="_Toc22897642"/>
      <w:bookmarkStart w:id="44" w:name="_Toc192760452"/>
      <w:r w:rsidR="00A31C6F" w:rsidRPr="004A0905">
        <w:t xml:space="preserve">Furthermore, the </w:t>
      </w:r>
      <w:r w:rsidR="00355067" w:rsidRPr="004A0905">
        <w:t xml:space="preserve">ESC also considered the available data for adalimumab to be unreliable to inform comparisons at 48 weeks, </w:t>
      </w:r>
      <w:r w:rsidR="00055328" w:rsidRPr="004A0905">
        <w:t xml:space="preserve">due to the large number of dropouts in the adalimumab trials. </w:t>
      </w:r>
      <w:r w:rsidR="00BC6C60">
        <w:t xml:space="preserve">The Pre-PBAC Response reiterated these analyses represent the best available evidence </w:t>
      </w:r>
      <w:r w:rsidR="00C74F66">
        <w:t xml:space="preserve">and argued </w:t>
      </w:r>
      <w:r w:rsidR="00CB7E28">
        <w:t xml:space="preserve">bimekizumab should not be disadvantaged due to </w:t>
      </w:r>
      <w:r w:rsidR="0080390D">
        <w:t xml:space="preserve">the unreliability of the adalimumab data due to the high withdrawal rate in those trials. </w:t>
      </w:r>
    </w:p>
    <w:p w14:paraId="1452C351" w14:textId="2AF0F560" w:rsidR="00B60939" w:rsidRPr="0098262F" w:rsidRDefault="00B60939" w:rsidP="00D86231">
      <w:pPr>
        <w:pStyle w:val="4-SubsectionHeading"/>
      </w:pPr>
      <w:r w:rsidRPr="0098262F">
        <w:lastRenderedPageBreak/>
        <w:t>Comparative harms</w:t>
      </w:r>
      <w:bookmarkEnd w:id="43"/>
      <w:bookmarkEnd w:id="44"/>
    </w:p>
    <w:p w14:paraId="45F516F8" w14:textId="219407F4" w:rsidR="00486071" w:rsidRPr="00152967" w:rsidRDefault="56BE63E4" w:rsidP="00486071">
      <w:pPr>
        <w:pStyle w:val="3-BodyText"/>
      </w:pPr>
      <w:r w:rsidRPr="00152967">
        <w:rPr>
          <w:color w:val="000000" w:themeColor="text1"/>
        </w:rPr>
        <w:t>A</w:t>
      </w:r>
      <w:r w:rsidR="00454372" w:rsidRPr="00152967">
        <w:rPr>
          <w:color w:val="000000" w:themeColor="text1"/>
        </w:rPr>
        <w:t xml:space="preserve"> summary of a</w:t>
      </w:r>
      <w:r w:rsidRPr="00152967">
        <w:rPr>
          <w:color w:val="000000" w:themeColor="text1"/>
        </w:rPr>
        <w:t xml:space="preserve">dverse events in BE HEARD </w:t>
      </w:r>
      <w:r w:rsidR="5E17CE2E" w:rsidRPr="00152967">
        <w:rPr>
          <w:color w:val="000000" w:themeColor="text1"/>
        </w:rPr>
        <w:t xml:space="preserve">I and II and HS0001 are shown in </w:t>
      </w:r>
      <w:r w:rsidR="002B4E57" w:rsidRPr="00152967">
        <w:rPr>
          <w:color w:val="000000" w:themeColor="text1"/>
        </w:rPr>
        <w:fldChar w:fldCharType="begin"/>
      </w:r>
      <w:r w:rsidR="002B4E57" w:rsidRPr="00152967">
        <w:rPr>
          <w:color w:val="000000" w:themeColor="text1"/>
        </w:rPr>
        <w:instrText xml:space="preserve"> REF _Ref188783943 \h </w:instrText>
      </w:r>
      <w:r w:rsidR="00152967" w:rsidRPr="00152967">
        <w:rPr>
          <w:color w:val="000000" w:themeColor="text1"/>
        </w:rPr>
        <w:instrText xml:space="preserve"> \* MERGEFORMAT </w:instrText>
      </w:r>
      <w:r w:rsidR="002B4E57" w:rsidRPr="00152967">
        <w:rPr>
          <w:color w:val="000000" w:themeColor="text1"/>
        </w:rPr>
      </w:r>
      <w:r w:rsidR="002B4E57" w:rsidRPr="00152967">
        <w:rPr>
          <w:color w:val="000000" w:themeColor="text1"/>
        </w:rPr>
        <w:fldChar w:fldCharType="separate"/>
      </w:r>
      <w:r w:rsidR="00184DE0" w:rsidRPr="00152967">
        <w:t xml:space="preserve">Table </w:t>
      </w:r>
      <w:r w:rsidR="00184DE0">
        <w:rPr>
          <w:noProof/>
        </w:rPr>
        <w:t>8</w:t>
      </w:r>
      <w:r w:rsidR="002B4E57" w:rsidRPr="00152967">
        <w:rPr>
          <w:color w:val="000000" w:themeColor="text1"/>
        </w:rPr>
        <w:fldChar w:fldCharType="end"/>
      </w:r>
      <w:r w:rsidR="0086343E" w:rsidRPr="00152967">
        <w:t>.</w:t>
      </w:r>
    </w:p>
    <w:p w14:paraId="334CA5D7" w14:textId="5B03A342" w:rsidR="001B5CFE" w:rsidRDefault="005E0EA0" w:rsidP="000462D3">
      <w:pPr>
        <w:pStyle w:val="3-BodyText"/>
      </w:pPr>
      <w:r w:rsidRPr="00152967">
        <w:t>The increased rate of abnormalities of liver function seen in BE HEARD I but not BE HEARD II was noted in the TGA Delegate's overview (Table 43, 44). Also noted by the Delegate was that in BE HEARD I there were</w:t>
      </w:r>
      <w:r w:rsidR="009524A8" w:rsidRPr="00152967">
        <w:t xml:space="preserve"> only</w:t>
      </w:r>
      <w:r w:rsidRPr="00152967">
        <w:t xml:space="preserve"> 2/140 (1.4%) patients randomised to bimekizumab 320 mg </w:t>
      </w:r>
      <w:r w:rsidR="005756D0" w:rsidRPr="00152967">
        <w:t>every 4 weeks</w:t>
      </w:r>
      <w:r w:rsidRPr="00152967">
        <w:t xml:space="preserve"> throughout who had at least one abnormal liver function test result</w:t>
      </w:r>
      <w:r w:rsidR="00454372" w:rsidRPr="00152967">
        <w:t>.</w:t>
      </w:r>
    </w:p>
    <w:p w14:paraId="310B2246" w14:textId="38FA3765" w:rsidR="00B60939" w:rsidRPr="00152967" w:rsidRDefault="00D72770" w:rsidP="00D72770">
      <w:pPr>
        <w:pStyle w:val="Caption"/>
        <w:rPr>
          <w:rStyle w:val="CommentReference"/>
          <w:b/>
          <w:szCs w:val="24"/>
        </w:rPr>
      </w:pPr>
      <w:bookmarkStart w:id="45" w:name="_Ref188783943"/>
      <w:r w:rsidRPr="00152967">
        <w:t xml:space="preserve">Table </w:t>
      </w:r>
      <w:r w:rsidR="00C45318">
        <w:fldChar w:fldCharType="begin"/>
      </w:r>
      <w:r w:rsidR="00C45318">
        <w:instrText xml:space="preserve"> SEQ Table \* ARABIC </w:instrText>
      </w:r>
      <w:r w:rsidR="00C45318">
        <w:fldChar w:fldCharType="separate"/>
      </w:r>
      <w:r w:rsidR="00184DE0">
        <w:rPr>
          <w:noProof/>
        </w:rPr>
        <w:t>8</w:t>
      </w:r>
      <w:r w:rsidR="00C45318">
        <w:rPr>
          <w:noProof/>
        </w:rPr>
        <w:fldChar w:fldCharType="end"/>
      </w:r>
      <w:bookmarkEnd w:id="45"/>
      <w:r w:rsidRPr="00152967">
        <w:t xml:space="preserve">: </w:t>
      </w:r>
      <w:r w:rsidR="005D26B4" w:rsidRPr="00152967">
        <w:rPr>
          <w:rStyle w:val="CommentReference"/>
          <w:b/>
          <w:szCs w:val="24"/>
        </w:rPr>
        <w:t xml:space="preserve">Summary of key adverse events in </w:t>
      </w:r>
      <w:r w:rsidR="00036D4F" w:rsidRPr="00152967">
        <w:rPr>
          <w:rStyle w:val="CommentReference"/>
          <w:b/>
          <w:szCs w:val="24"/>
        </w:rPr>
        <w:t>BE HEARD I and II and HS0001</w:t>
      </w:r>
    </w:p>
    <w:tbl>
      <w:tblPr>
        <w:tblStyle w:val="TableGrid"/>
        <w:tblW w:w="0" w:type="auto"/>
        <w:tblLook w:val="04A0" w:firstRow="1" w:lastRow="0" w:firstColumn="1" w:lastColumn="0" w:noHBand="0" w:noVBand="1"/>
      </w:tblPr>
      <w:tblGrid>
        <w:gridCol w:w="1413"/>
        <w:gridCol w:w="1134"/>
        <w:gridCol w:w="1134"/>
        <w:gridCol w:w="1276"/>
        <w:gridCol w:w="1134"/>
        <w:gridCol w:w="992"/>
        <w:gridCol w:w="992"/>
        <w:gridCol w:w="942"/>
      </w:tblGrid>
      <w:tr w:rsidR="008E39B9" w:rsidRPr="00354295" w14:paraId="10861664" w14:textId="77777777" w:rsidTr="2B21198B">
        <w:tc>
          <w:tcPr>
            <w:tcW w:w="1413" w:type="dxa"/>
          </w:tcPr>
          <w:p w14:paraId="24159C23" w14:textId="77777777" w:rsidR="00036D4F" w:rsidRPr="00354295" w:rsidRDefault="00036D4F" w:rsidP="00D6076E">
            <w:pPr>
              <w:pStyle w:val="TableFigureHeading"/>
              <w:rPr>
                <w:rStyle w:val="CommentReference"/>
                <w:b/>
                <w:szCs w:val="20"/>
              </w:rPr>
            </w:pPr>
          </w:p>
        </w:tc>
        <w:tc>
          <w:tcPr>
            <w:tcW w:w="2268" w:type="dxa"/>
            <w:gridSpan w:val="2"/>
          </w:tcPr>
          <w:p w14:paraId="4AED09D7" w14:textId="4CD7DFFE" w:rsidR="00036D4F" w:rsidRPr="00354295" w:rsidRDefault="00036D4F" w:rsidP="00036D4F">
            <w:pPr>
              <w:pStyle w:val="TableFigureHeading"/>
              <w:jc w:val="center"/>
              <w:rPr>
                <w:rStyle w:val="CommentReference"/>
                <w:b/>
                <w:szCs w:val="20"/>
              </w:rPr>
            </w:pPr>
            <w:r w:rsidRPr="00354295">
              <w:rPr>
                <w:rStyle w:val="CommentReference"/>
                <w:b/>
                <w:szCs w:val="20"/>
              </w:rPr>
              <w:t>BE HEARD I</w:t>
            </w:r>
          </w:p>
        </w:tc>
        <w:tc>
          <w:tcPr>
            <w:tcW w:w="2410" w:type="dxa"/>
            <w:gridSpan w:val="2"/>
          </w:tcPr>
          <w:p w14:paraId="344AA56F" w14:textId="383EF2DF" w:rsidR="00036D4F" w:rsidRPr="00354295" w:rsidRDefault="00036D4F" w:rsidP="00036D4F">
            <w:pPr>
              <w:pStyle w:val="TableFigureHeading"/>
              <w:jc w:val="center"/>
              <w:rPr>
                <w:rStyle w:val="CommentReference"/>
                <w:b/>
                <w:szCs w:val="20"/>
              </w:rPr>
            </w:pPr>
            <w:r w:rsidRPr="00354295">
              <w:rPr>
                <w:rStyle w:val="CommentReference"/>
                <w:b/>
                <w:szCs w:val="20"/>
              </w:rPr>
              <w:t>BE HEARD II</w:t>
            </w:r>
          </w:p>
        </w:tc>
        <w:tc>
          <w:tcPr>
            <w:tcW w:w="2926" w:type="dxa"/>
            <w:gridSpan w:val="3"/>
          </w:tcPr>
          <w:p w14:paraId="586407A4" w14:textId="6ED5900C" w:rsidR="00036D4F" w:rsidRPr="00354295" w:rsidRDefault="00036D4F" w:rsidP="00036D4F">
            <w:pPr>
              <w:pStyle w:val="TableFigureHeading"/>
              <w:jc w:val="center"/>
              <w:rPr>
                <w:rStyle w:val="CommentReference"/>
                <w:b/>
                <w:szCs w:val="20"/>
              </w:rPr>
            </w:pPr>
            <w:r w:rsidRPr="00354295">
              <w:rPr>
                <w:rStyle w:val="CommentReference"/>
                <w:b/>
                <w:szCs w:val="20"/>
              </w:rPr>
              <w:t>HS0001</w:t>
            </w:r>
          </w:p>
        </w:tc>
      </w:tr>
      <w:tr w:rsidR="00771C6E" w:rsidRPr="00354295" w14:paraId="2C8CA075" w14:textId="77777777" w:rsidTr="2B21198B">
        <w:tc>
          <w:tcPr>
            <w:tcW w:w="1413" w:type="dxa"/>
          </w:tcPr>
          <w:p w14:paraId="0315BED1" w14:textId="77777777" w:rsidR="00036D4F" w:rsidRPr="00354295" w:rsidRDefault="00036D4F" w:rsidP="00D6076E">
            <w:pPr>
              <w:pStyle w:val="TableFigureHeading"/>
              <w:rPr>
                <w:rStyle w:val="CommentReference"/>
                <w:b/>
                <w:szCs w:val="20"/>
              </w:rPr>
            </w:pPr>
          </w:p>
        </w:tc>
        <w:tc>
          <w:tcPr>
            <w:tcW w:w="1134" w:type="dxa"/>
          </w:tcPr>
          <w:p w14:paraId="743B537F" w14:textId="77777777" w:rsidR="00771C6E" w:rsidRPr="00354295" w:rsidRDefault="00036D4F" w:rsidP="00D6076E">
            <w:pPr>
              <w:pStyle w:val="TableFigureHeading"/>
              <w:rPr>
                <w:rStyle w:val="CommentReference"/>
                <w:b/>
                <w:szCs w:val="20"/>
              </w:rPr>
            </w:pPr>
            <w:r w:rsidRPr="00354295">
              <w:rPr>
                <w:rStyle w:val="CommentReference"/>
                <w:b/>
                <w:szCs w:val="20"/>
              </w:rPr>
              <w:t>BKZ</w:t>
            </w:r>
          </w:p>
          <w:p w14:paraId="74460C26" w14:textId="338D0D3F" w:rsidR="00036D4F" w:rsidRPr="00354295" w:rsidRDefault="00771C6E" w:rsidP="00D6076E">
            <w:pPr>
              <w:pStyle w:val="TableFigureHeading"/>
              <w:rPr>
                <w:rStyle w:val="CommentReference"/>
                <w:b/>
                <w:szCs w:val="20"/>
              </w:rPr>
            </w:pPr>
            <w:r w:rsidRPr="00354295">
              <w:rPr>
                <w:rStyle w:val="CommentReference"/>
                <w:b/>
                <w:szCs w:val="20"/>
              </w:rPr>
              <w:t>320mg q2wk</w:t>
            </w:r>
            <w:r w:rsidR="00036D4F" w:rsidRPr="00354295">
              <w:rPr>
                <w:rStyle w:val="CommentReference"/>
                <w:b/>
                <w:szCs w:val="20"/>
              </w:rPr>
              <w:br/>
              <w:t>N = 286</w:t>
            </w:r>
          </w:p>
        </w:tc>
        <w:tc>
          <w:tcPr>
            <w:tcW w:w="1134" w:type="dxa"/>
          </w:tcPr>
          <w:p w14:paraId="4ADA697F" w14:textId="77777777" w:rsidR="00036D4F" w:rsidRPr="00354295" w:rsidRDefault="00036D4F" w:rsidP="00D6076E">
            <w:pPr>
              <w:pStyle w:val="TableFigureHeading"/>
              <w:rPr>
                <w:rStyle w:val="CommentReference"/>
                <w:b/>
                <w:szCs w:val="20"/>
              </w:rPr>
            </w:pPr>
            <w:r w:rsidRPr="00354295">
              <w:rPr>
                <w:rStyle w:val="CommentReference"/>
                <w:b/>
                <w:szCs w:val="20"/>
              </w:rPr>
              <w:t>Placebo</w:t>
            </w:r>
          </w:p>
          <w:p w14:paraId="3E4CFECD" w14:textId="2CEB07EA" w:rsidR="00036D4F" w:rsidRPr="00354295" w:rsidRDefault="00036D4F" w:rsidP="00D6076E">
            <w:pPr>
              <w:pStyle w:val="TableFigureHeading"/>
              <w:rPr>
                <w:rStyle w:val="CommentReference"/>
                <w:b/>
                <w:szCs w:val="20"/>
              </w:rPr>
            </w:pPr>
            <w:r w:rsidRPr="00354295">
              <w:rPr>
                <w:rStyle w:val="CommentReference"/>
                <w:b/>
                <w:szCs w:val="20"/>
              </w:rPr>
              <w:t>N = 72</w:t>
            </w:r>
          </w:p>
        </w:tc>
        <w:tc>
          <w:tcPr>
            <w:tcW w:w="1276" w:type="dxa"/>
          </w:tcPr>
          <w:p w14:paraId="507C82A2" w14:textId="77777777" w:rsidR="008E39B9" w:rsidRPr="00354295" w:rsidRDefault="00036D4F" w:rsidP="00D6076E">
            <w:pPr>
              <w:pStyle w:val="TableFigureHeading"/>
              <w:rPr>
                <w:rStyle w:val="CommentReference"/>
                <w:b/>
                <w:szCs w:val="20"/>
              </w:rPr>
            </w:pPr>
            <w:r w:rsidRPr="00354295">
              <w:rPr>
                <w:rStyle w:val="CommentReference"/>
                <w:b/>
                <w:szCs w:val="20"/>
              </w:rPr>
              <w:t>BKZ</w:t>
            </w:r>
          </w:p>
          <w:p w14:paraId="105F2AB4" w14:textId="7B59E38D" w:rsidR="00771C6E" w:rsidRPr="00354295" w:rsidRDefault="00771C6E" w:rsidP="00D6076E">
            <w:pPr>
              <w:pStyle w:val="TableFigureHeading"/>
              <w:rPr>
                <w:rStyle w:val="CommentReference"/>
                <w:b/>
                <w:szCs w:val="20"/>
              </w:rPr>
            </w:pPr>
            <w:r w:rsidRPr="00354295">
              <w:rPr>
                <w:rStyle w:val="CommentReference"/>
                <w:b/>
                <w:szCs w:val="20"/>
              </w:rPr>
              <w:t>320mg q2wk</w:t>
            </w:r>
          </w:p>
          <w:p w14:paraId="2AD7C595" w14:textId="291973CF" w:rsidR="00036D4F" w:rsidRPr="00354295" w:rsidRDefault="008E39B9" w:rsidP="00D6076E">
            <w:pPr>
              <w:pStyle w:val="TableFigureHeading"/>
              <w:rPr>
                <w:rStyle w:val="CommentReference"/>
                <w:b/>
                <w:szCs w:val="20"/>
              </w:rPr>
            </w:pPr>
            <w:r w:rsidRPr="00354295">
              <w:rPr>
                <w:rStyle w:val="CommentReference"/>
                <w:b/>
                <w:szCs w:val="20"/>
              </w:rPr>
              <w:t>N = 290</w:t>
            </w:r>
          </w:p>
        </w:tc>
        <w:tc>
          <w:tcPr>
            <w:tcW w:w="1134" w:type="dxa"/>
          </w:tcPr>
          <w:p w14:paraId="18C7DB6D" w14:textId="77777777" w:rsidR="00036D4F" w:rsidRPr="00354295" w:rsidRDefault="00036D4F" w:rsidP="00D6076E">
            <w:pPr>
              <w:pStyle w:val="TableFigureHeading"/>
              <w:rPr>
                <w:rStyle w:val="CommentReference"/>
                <w:b/>
                <w:szCs w:val="20"/>
              </w:rPr>
            </w:pPr>
            <w:r w:rsidRPr="00354295">
              <w:rPr>
                <w:rStyle w:val="CommentReference"/>
                <w:b/>
                <w:szCs w:val="20"/>
              </w:rPr>
              <w:t>Placebo</w:t>
            </w:r>
          </w:p>
          <w:p w14:paraId="32C3A711" w14:textId="6E18BD2F" w:rsidR="008E39B9" w:rsidRPr="00354295" w:rsidRDefault="008E39B9" w:rsidP="00D6076E">
            <w:pPr>
              <w:pStyle w:val="TableFigureHeading"/>
              <w:rPr>
                <w:rStyle w:val="CommentReference"/>
                <w:b/>
                <w:szCs w:val="20"/>
              </w:rPr>
            </w:pPr>
            <w:r w:rsidRPr="00354295">
              <w:rPr>
                <w:rStyle w:val="CommentReference"/>
                <w:b/>
                <w:szCs w:val="20"/>
              </w:rPr>
              <w:t>N = 74</w:t>
            </w:r>
          </w:p>
        </w:tc>
        <w:tc>
          <w:tcPr>
            <w:tcW w:w="992" w:type="dxa"/>
          </w:tcPr>
          <w:p w14:paraId="66BFF98C" w14:textId="77777777" w:rsidR="00036D4F" w:rsidRPr="00354295" w:rsidRDefault="00036D4F" w:rsidP="00D6076E">
            <w:pPr>
              <w:pStyle w:val="TableFigureHeading"/>
              <w:rPr>
                <w:rStyle w:val="CommentReference"/>
                <w:b/>
                <w:szCs w:val="20"/>
              </w:rPr>
            </w:pPr>
            <w:r w:rsidRPr="00354295">
              <w:rPr>
                <w:rStyle w:val="CommentReference"/>
                <w:b/>
                <w:szCs w:val="20"/>
              </w:rPr>
              <w:t>BKZ</w:t>
            </w:r>
          </w:p>
          <w:p w14:paraId="16ED0B06" w14:textId="50FF64DD" w:rsidR="00102A53" w:rsidRPr="00354295" w:rsidRDefault="00102A53" w:rsidP="00D6076E">
            <w:pPr>
              <w:pStyle w:val="TableFigureHeading"/>
              <w:rPr>
                <w:rStyle w:val="CommentReference"/>
                <w:b/>
                <w:szCs w:val="20"/>
              </w:rPr>
            </w:pPr>
            <w:r w:rsidRPr="00354295">
              <w:rPr>
                <w:rStyle w:val="CommentReference"/>
                <w:b/>
                <w:szCs w:val="20"/>
              </w:rPr>
              <w:t>N = 46</w:t>
            </w:r>
          </w:p>
        </w:tc>
        <w:tc>
          <w:tcPr>
            <w:tcW w:w="992" w:type="dxa"/>
          </w:tcPr>
          <w:p w14:paraId="1CB62523" w14:textId="77777777" w:rsidR="00036D4F" w:rsidRPr="00354295" w:rsidRDefault="00036D4F" w:rsidP="00D6076E">
            <w:pPr>
              <w:pStyle w:val="TableFigureHeading"/>
              <w:rPr>
                <w:rStyle w:val="CommentReference"/>
                <w:b/>
                <w:szCs w:val="20"/>
              </w:rPr>
            </w:pPr>
            <w:r w:rsidRPr="00354295">
              <w:rPr>
                <w:rStyle w:val="CommentReference"/>
                <w:b/>
                <w:szCs w:val="20"/>
              </w:rPr>
              <w:t>ADA</w:t>
            </w:r>
          </w:p>
          <w:p w14:paraId="1ECCA279" w14:textId="0E4F9F2E" w:rsidR="00102A53" w:rsidRPr="00354295" w:rsidRDefault="00102A53" w:rsidP="00D6076E">
            <w:pPr>
              <w:pStyle w:val="TableFigureHeading"/>
              <w:rPr>
                <w:rStyle w:val="CommentReference"/>
                <w:b/>
                <w:szCs w:val="20"/>
              </w:rPr>
            </w:pPr>
            <w:r w:rsidRPr="00354295">
              <w:rPr>
                <w:rStyle w:val="CommentReference"/>
                <w:b/>
                <w:szCs w:val="20"/>
              </w:rPr>
              <w:t>N = 21</w:t>
            </w:r>
          </w:p>
        </w:tc>
        <w:tc>
          <w:tcPr>
            <w:tcW w:w="942" w:type="dxa"/>
          </w:tcPr>
          <w:p w14:paraId="7726016C" w14:textId="77777777" w:rsidR="00102A53" w:rsidRPr="00354295" w:rsidRDefault="00036D4F" w:rsidP="00D6076E">
            <w:pPr>
              <w:pStyle w:val="TableFigureHeading"/>
              <w:rPr>
                <w:rStyle w:val="CommentReference"/>
                <w:b/>
                <w:szCs w:val="20"/>
              </w:rPr>
            </w:pPr>
            <w:r w:rsidRPr="00354295">
              <w:rPr>
                <w:rStyle w:val="CommentReference"/>
                <w:b/>
                <w:szCs w:val="20"/>
              </w:rPr>
              <w:t>Placebo</w:t>
            </w:r>
          </w:p>
          <w:p w14:paraId="2B81C5C3" w14:textId="05D27D85" w:rsidR="00036D4F" w:rsidRPr="00354295" w:rsidRDefault="00102A53" w:rsidP="00D6076E">
            <w:pPr>
              <w:pStyle w:val="TableFigureHeading"/>
              <w:rPr>
                <w:rStyle w:val="CommentReference"/>
                <w:b/>
                <w:szCs w:val="20"/>
              </w:rPr>
            </w:pPr>
            <w:r w:rsidRPr="00354295">
              <w:rPr>
                <w:rStyle w:val="CommentReference"/>
                <w:b/>
                <w:szCs w:val="20"/>
              </w:rPr>
              <w:t>N = 21</w:t>
            </w:r>
          </w:p>
        </w:tc>
      </w:tr>
      <w:tr w:rsidR="0093593E" w:rsidRPr="00354295" w14:paraId="3FF00E52" w14:textId="77777777" w:rsidTr="2B21198B">
        <w:tc>
          <w:tcPr>
            <w:tcW w:w="9017" w:type="dxa"/>
            <w:gridSpan w:val="8"/>
          </w:tcPr>
          <w:p w14:paraId="131FA455" w14:textId="06C96772" w:rsidR="0093593E" w:rsidRPr="00354295" w:rsidRDefault="0093593E" w:rsidP="00D6076E">
            <w:pPr>
              <w:pStyle w:val="TableFigureHeading"/>
              <w:rPr>
                <w:rStyle w:val="CommentReference"/>
                <w:b/>
                <w:szCs w:val="20"/>
              </w:rPr>
            </w:pPr>
            <w:r w:rsidRPr="00354295">
              <w:rPr>
                <w:rStyle w:val="CommentReference"/>
                <w:b/>
                <w:szCs w:val="20"/>
              </w:rPr>
              <w:t>Treatment Period 0 to 16 weeks</w:t>
            </w:r>
          </w:p>
        </w:tc>
      </w:tr>
      <w:tr w:rsidR="00771C6E" w:rsidRPr="00354295" w14:paraId="73083831" w14:textId="77777777" w:rsidTr="2B21198B">
        <w:tc>
          <w:tcPr>
            <w:tcW w:w="1413" w:type="dxa"/>
          </w:tcPr>
          <w:p w14:paraId="29F48172" w14:textId="63A47659" w:rsidR="00036D4F" w:rsidRPr="00354295" w:rsidRDefault="00036D4F" w:rsidP="00D6076E">
            <w:pPr>
              <w:pStyle w:val="TableFigureHeading"/>
              <w:rPr>
                <w:rStyle w:val="CommentReference"/>
                <w:bCs w:val="0"/>
                <w:szCs w:val="20"/>
              </w:rPr>
            </w:pPr>
            <w:r w:rsidRPr="00354295">
              <w:rPr>
                <w:rStyle w:val="CommentReference"/>
                <w:bCs w:val="0"/>
                <w:szCs w:val="20"/>
              </w:rPr>
              <w:t>Patients with TEAE, n (%)</w:t>
            </w:r>
          </w:p>
        </w:tc>
        <w:tc>
          <w:tcPr>
            <w:tcW w:w="1134" w:type="dxa"/>
          </w:tcPr>
          <w:p w14:paraId="2416BD32" w14:textId="2332D3E8" w:rsidR="00036D4F" w:rsidRPr="00354295" w:rsidRDefault="00036D4F" w:rsidP="00D6076E">
            <w:pPr>
              <w:pStyle w:val="TableFigureHeading"/>
              <w:rPr>
                <w:rStyle w:val="CommentReference"/>
                <w:bCs w:val="0"/>
                <w:szCs w:val="20"/>
              </w:rPr>
            </w:pPr>
            <w:r w:rsidRPr="00354295">
              <w:rPr>
                <w:rStyle w:val="CommentReference"/>
                <w:bCs w:val="0"/>
                <w:szCs w:val="20"/>
              </w:rPr>
              <w:t>192 (67.1%)</w:t>
            </w:r>
          </w:p>
        </w:tc>
        <w:tc>
          <w:tcPr>
            <w:tcW w:w="1134" w:type="dxa"/>
          </w:tcPr>
          <w:p w14:paraId="1764E548" w14:textId="5C1E558E" w:rsidR="00036D4F" w:rsidRPr="00354295" w:rsidRDefault="00036D4F" w:rsidP="00D6076E">
            <w:pPr>
              <w:pStyle w:val="TableFigureHeading"/>
              <w:rPr>
                <w:rStyle w:val="CommentReference"/>
                <w:bCs w:val="0"/>
                <w:szCs w:val="20"/>
              </w:rPr>
            </w:pPr>
            <w:r w:rsidRPr="00354295">
              <w:rPr>
                <w:rStyle w:val="CommentReference"/>
                <w:bCs w:val="0"/>
                <w:szCs w:val="20"/>
              </w:rPr>
              <w:t>48 (66.7%)</w:t>
            </w:r>
          </w:p>
        </w:tc>
        <w:tc>
          <w:tcPr>
            <w:tcW w:w="1276" w:type="dxa"/>
          </w:tcPr>
          <w:p w14:paraId="14BCC4E3" w14:textId="364A7DB6" w:rsidR="00036D4F" w:rsidRPr="00354295" w:rsidRDefault="00036D4F" w:rsidP="00D6076E">
            <w:pPr>
              <w:pStyle w:val="TableFigureHeading"/>
              <w:rPr>
                <w:rStyle w:val="CommentReference"/>
                <w:bCs w:val="0"/>
                <w:szCs w:val="20"/>
              </w:rPr>
            </w:pPr>
            <w:r w:rsidRPr="00354295">
              <w:rPr>
                <w:rStyle w:val="CommentReference"/>
                <w:bCs w:val="0"/>
                <w:szCs w:val="20"/>
              </w:rPr>
              <w:t>187 (64.5%)</w:t>
            </w:r>
          </w:p>
        </w:tc>
        <w:tc>
          <w:tcPr>
            <w:tcW w:w="1134" w:type="dxa"/>
          </w:tcPr>
          <w:p w14:paraId="28DA081E" w14:textId="0BDF803C" w:rsidR="00036D4F" w:rsidRPr="00354295" w:rsidRDefault="00036D4F" w:rsidP="00D6076E">
            <w:pPr>
              <w:pStyle w:val="TableFigureHeading"/>
              <w:rPr>
                <w:rStyle w:val="CommentReference"/>
                <w:bCs w:val="0"/>
                <w:szCs w:val="20"/>
              </w:rPr>
            </w:pPr>
            <w:r w:rsidRPr="00354295">
              <w:rPr>
                <w:rStyle w:val="CommentReference"/>
                <w:bCs w:val="0"/>
                <w:szCs w:val="20"/>
              </w:rPr>
              <w:t>42 (56.8%)</w:t>
            </w:r>
          </w:p>
        </w:tc>
        <w:tc>
          <w:tcPr>
            <w:tcW w:w="992" w:type="dxa"/>
          </w:tcPr>
          <w:p w14:paraId="4F761D98" w14:textId="615E6184" w:rsidR="00036D4F" w:rsidRPr="00354295" w:rsidRDefault="00102A53" w:rsidP="00D6076E">
            <w:pPr>
              <w:pStyle w:val="TableFigureHeading"/>
              <w:rPr>
                <w:rStyle w:val="CommentReference"/>
                <w:bCs w:val="0"/>
                <w:szCs w:val="20"/>
              </w:rPr>
            </w:pPr>
            <w:r w:rsidRPr="00354295">
              <w:rPr>
                <w:rStyle w:val="CommentReference"/>
                <w:bCs w:val="0"/>
                <w:szCs w:val="20"/>
              </w:rPr>
              <w:t>32 (70%)</w:t>
            </w:r>
          </w:p>
        </w:tc>
        <w:tc>
          <w:tcPr>
            <w:tcW w:w="992" w:type="dxa"/>
          </w:tcPr>
          <w:p w14:paraId="015A40FD" w14:textId="724E6C46" w:rsidR="00036D4F" w:rsidRPr="00354295" w:rsidRDefault="00102A53" w:rsidP="00D6076E">
            <w:pPr>
              <w:pStyle w:val="TableFigureHeading"/>
              <w:rPr>
                <w:rStyle w:val="CommentReference"/>
                <w:bCs w:val="0"/>
                <w:szCs w:val="20"/>
              </w:rPr>
            </w:pPr>
            <w:r w:rsidRPr="00354295">
              <w:rPr>
                <w:rStyle w:val="CommentReference"/>
                <w:bCs w:val="0"/>
                <w:szCs w:val="20"/>
              </w:rPr>
              <w:t>15 (71%)</w:t>
            </w:r>
          </w:p>
        </w:tc>
        <w:tc>
          <w:tcPr>
            <w:tcW w:w="942" w:type="dxa"/>
          </w:tcPr>
          <w:p w14:paraId="7E7BEB8B" w14:textId="70417418" w:rsidR="00036D4F" w:rsidRPr="00354295" w:rsidRDefault="00102A53" w:rsidP="00D6076E">
            <w:pPr>
              <w:pStyle w:val="TableFigureHeading"/>
              <w:rPr>
                <w:rStyle w:val="CommentReference"/>
                <w:bCs w:val="0"/>
                <w:szCs w:val="20"/>
              </w:rPr>
            </w:pPr>
            <w:r w:rsidRPr="00354295">
              <w:rPr>
                <w:rStyle w:val="CommentReference"/>
                <w:bCs w:val="0"/>
                <w:szCs w:val="20"/>
              </w:rPr>
              <w:t>13 (62%)</w:t>
            </w:r>
          </w:p>
        </w:tc>
      </w:tr>
      <w:tr w:rsidR="00771C6E" w:rsidRPr="00354295" w14:paraId="260E1049" w14:textId="77777777" w:rsidTr="2B21198B">
        <w:tc>
          <w:tcPr>
            <w:tcW w:w="1413" w:type="dxa"/>
          </w:tcPr>
          <w:p w14:paraId="321E5F29" w14:textId="66E11248" w:rsidR="00036D4F" w:rsidRPr="00354295" w:rsidRDefault="00036D4F" w:rsidP="00D6076E">
            <w:pPr>
              <w:pStyle w:val="TableFigureHeading"/>
              <w:rPr>
                <w:rStyle w:val="CommentReference"/>
                <w:bCs w:val="0"/>
                <w:szCs w:val="20"/>
              </w:rPr>
            </w:pPr>
            <w:r w:rsidRPr="00354295">
              <w:rPr>
                <w:rStyle w:val="CommentReference"/>
                <w:bCs w:val="0"/>
                <w:szCs w:val="20"/>
              </w:rPr>
              <w:t>Patients with TESAEs, n (%)</w:t>
            </w:r>
          </w:p>
        </w:tc>
        <w:tc>
          <w:tcPr>
            <w:tcW w:w="1134" w:type="dxa"/>
          </w:tcPr>
          <w:p w14:paraId="523572AC" w14:textId="49A4B230" w:rsidR="00036D4F" w:rsidRPr="00354295" w:rsidRDefault="008E39B9" w:rsidP="00D6076E">
            <w:pPr>
              <w:pStyle w:val="TableFigureHeading"/>
              <w:rPr>
                <w:rStyle w:val="CommentReference"/>
                <w:bCs w:val="0"/>
                <w:szCs w:val="20"/>
              </w:rPr>
            </w:pPr>
            <w:r w:rsidRPr="00354295">
              <w:rPr>
                <w:rStyle w:val="CommentReference"/>
                <w:bCs w:val="0"/>
                <w:szCs w:val="20"/>
              </w:rPr>
              <w:t>6 (2.1%)</w:t>
            </w:r>
          </w:p>
        </w:tc>
        <w:tc>
          <w:tcPr>
            <w:tcW w:w="1134" w:type="dxa"/>
          </w:tcPr>
          <w:p w14:paraId="677D14F6" w14:textId="205F91A0" w:rsidR="00036D4F" w:rsidRPr="00354295" w:rsidRDefault="008E39B9" w:rsidP="00D6076E">
            <w:pPr>
              <w:pStyle w:val="TableFigureHeading"/>
              <w:rPr>
                <w:rStyle w:val="CommentReference"/>
                <w:bCs w:val="0"/>
                <w:szCs w:val="20"/>
              </w:rPr>
            </w:pPr>
            <w:r w:rsidRPr="00354295">
              <w:rPr>
                <w:rStyle w:val="CommentReference"/>
                <w:bCs w:val="0"/>
                <w:szCs w:val="20"/>
              </w:rPr>
              <w:t>0</w:t>
            </w:r>
          </w:p>
        </w:tc>
        <w:tc>
          <w:tcPr>
            <w:tcW w:w="1276" w:type="dxa"/>
          </w:tcPr>
          <w:p w14:paraId="449A1176" w14:textId="469B15FF" w:rsidR="00036D4F" w:rsidRPr="00354295" w:rsidRDefault="008E39B9" w:rsidP="00D6076E">
            <w:pPr>
              <w:pStyle w:val="TableFigureHeading"/>
              <w:rPr>
                <w:rStyle w:val="CommentReference"/>
                <w:bCs w:val="0"/>
                <w:szCs w:val="20"/>
              </w:rPr>
            </w:pPr>
            <w:r w:rsidRPr="00354295">
              <w:rPr>
                <w:rStyle w:val="CommentReference"/>
                <w:bCs w:val="0"/>
                <w:szCs w:val="20"/>
              </w:rPr>
              <w:t>9 (3.1%)</w:t>
            </w:r>
          </w:p>
        </w:tc>
        <w:tc>
          <w:tcPr>
            <w:tcW w:w="1134" w:type="dxa"/>
          </w:tcPr>
          <w:p w14:paraId="659CAB84" w14:textId="145F7369" w:rsidR="00036D4F" w:rsidRPr="00354295" w:rsidRDefault="008E39B9" w:rsidP="00D6076E">
            <w:pPr>
              <w:pStyle w:val="TableFigureHeading"/>
              <w:rPr>
                <w:rStyle w:val="CommentReference"/>
                <w:bCs w:val="0"/>
                <w:szCs w:val="20"/>
              </w:rPr>
            </w:pPr>
            <w:r w:rsidRPr="00354295">
              <w:rPr>
                <w:rStyle w:val="CommentReference"/>
                <w:bCs w:val="0"/>
                <w:szCs w:val="20"/>
              </w:rPr>
              <w:t>0</w:t>
            </w:r>
          </w:p>
        </w:tc>
        <w:tc>
          <w:tcPr>
            <w:tcW w:w="992" w:type="dxa"/>
          </w:tcPr>
          <w:p w14:paraId="466CC404" w14:textId="7AE9F0E8" w:rsidR="00036D4F" w:rsidRPr="00354295" w:rsidRDefault="00102A53" w:rsidP="00D6076E">
            <w:pPr>
              <w:pStyle w:val="TableFigureHeading"/>
              <w:rPr>
                <w:rStyle w:val="CommentReference"/>
                <w:bCs w:val="0"/>
                <w:szCs w:val="20"/>
              </w:rPr>
            </w:pPr>
            <w:r w:rsidRPr="00354295">
              <w:rPr>
                <w:rStyle w:val="CommentReference"/>
                <w:bCs w:val="0"/>
                <w:szCs w:val="20"/>
              </w:rPr>
              <w:t>2 (4%)</w:t>
            </w:r>
          </w:p>
        </w:tc>
        <w:tc>
          <w:tcPr>
            <w:tcW w:w="992" w:type="dxa"/>
          </w:tcPr>
          <w:p w14:paraId="55A897DB" w14:textId="26FECE5F" w:rsidR="00036D4F" w:rsidRPr="00354295" w:rsidRDefault="00102A53" w:rsidP="00D6076E">
            <w:pPr>
              <w:pStyle w:val="TableFigureHeading"/>
              <w:rPr>
                <w:rStyle w:val="CommentReference"/>
                <w:bCs w:val="0"/>
                <w:szCs w:val="20"/>
              </w:rPr>
            </w:pPr>
            <w:r w:rsidRPr="00354295">
              <w:rPr>
                <w:rStyle w:val="CommentReference"/>
                <w:bCs w:val="0"/>
                <w:szCs w:val="20"/>
              </w:rPr>
              <w:t>1 (5%)</w:t>
            </w:r>
          </w:p>
        </w:tc>
        <w:tc>
          <w:tcPr>
            <w:tcW w:w="942" w:type="dxa"/>
          </w:tcPr>
          <w:p w14:paraId="3FD6948F" w14:textId="5A7920AC" w:rsidR="00036D4F" w:rsidRPr="00354295" w:rsidRDefault="00102A53" w:rsidP="00D6076E">
            <w:pPr>
              <w:pStyle w:val="TableFigureHeading"/>
              <w:rPr>
                <w:rStyle w:val="CommentReference"/>
                <w:bCs w:val="0"/>
                <w:szCs w:val="20"/>
              </w:rPr>
            </w:pPr>
            <w:r w:rsidRPr="00354295">
              <w:rPr>
                <w:rStyle w:val="CommentReference"/>
                <w:bCs w:val="0"/>
                <w:szCs w:val="20"/>
              </w:rPr>
              <w:t>2 (10%)</w:t>
            </w:r>
          </w:p>
        </w:tc>
      </w:tr>
      <w:tr w:rsidR="00771C6E" w:rsidRPr="00354295" w14:paraId="760E24C0" w14:textId="77777777" w:rsidTr="2B21198B">
        <w:tc>
          <w:tcPr>
            <w:tcW w:w="1413" w:type="dxa"/>
          </w:tcPr>
          <w:p w14:paraId="56720156" w14:textId="2FA98D2A" w:rsidR="00036D4F" w:rsidRPr="00354295" w:rsidRDefault="77FB265F" w:rsidP="2B21198B">
            <w:pPr>
              <w:pStyle w:val="TableFigureHeading"/>
              <w:rPr>
                <w:rStyle w:val="CommentReference"/>
                <w:szCs w:val="20"/>
              </w:rPr>
            </w:pPr>
            <w:r w:rsidRPr="00354295">
              <w:rPr>
                <w:rStyle w:val="CommentReference"/>
                <w:szCs w:val="20"/>
              </w:rPr>
              <w:t>Patients discontinuing due to AE, n (%)</w:t>
            </w:r>
          </w:p>
        </w:tc>
        <w:tc>
          <w:tcPr>
            <w:tcW w:w="1134" w:type="dxa"/>
          </w:tcPr>
          <w:p w14:paraId="6EAA30DB" w14:textId="5D115F8F" w:rsidR="00036D4F" w:rsidRPr="00354295" w:rsidRDefault="008E39B9" w:rsidP="00D6076E">
            <w:pPr>
              <w:pStyle w:val="TableFigureHeading"/>
              <w:rPr>
                <w:rStyle w:val="CommentReference"/>
                <w:bCs w:val="0"/>
                <w:szCs w:val="20"/>
              </w:rPr>
            </w:pPr>
            <w:r w:rsidRPr="00354295">
              <w:rPr>
                <w:rStyle w:val="CommentReference"/>
                <w:bCs w:val="0"/>
                <w:szCs w:val="20"/>
              </w:rPr>
              <w:t>10 (3.5%)</w:t>
            </w:r>
          </w:p>
        </w:tc>
        <w:tc>
          <w:tcPr>
            <w:tcW w:w="1134" w:type="dxa"/>
          </w:tcPr>
          <w:p w14:paraId="122141FD" w14:textId="7D33C70A" w:rsidR="00036D4F" w:rsidRPr="00354295" w:rsidRDefault="008E39B9" w:rsidP="00D6076E">
            <w:pPr>
              <w:pStyle w:val="TableFigureHeading"/>
              <w:rPr>
                <w:rStyle w:val="CommentReference"/>
                <w:bCs w:val="0"/>
                <w:szCs w:val="20"/>
              </w:rPr>
            </w:pPr>
            <w:r w:rsidRPr="00354295">
              <w:rPr>
                <w:rStyle w:val="CommentReference"/>
                <w:bCs w:val="0"/>
                <w:szCs w:val="20"/>
              </w:rPr>
              <w:t>1 (1.4%)</w:t>
            </w:r>
          </w:p>
        </w:tc>
        <w:tc>
          <w:tcPr>
            <w:tcW w:w="1276" w:type="dxa"/>
          </w:tcPr>
          <w:p w14:paraId="20ED4720" w14:textId="6CF90458" w:rsidR="00036D4F" w:rsidRPr="00354295" w:rsidRDefault="008E39B9" w:rsidP="00D6076E">
            <w:pPr>
              <w:pStyle w:val="TableFigureHeading"/>
              <w:rPr>
                <w:rStyle w:val="CommentReference"/>
                <w:bCs w:val="0"/>
                <w:szCs w:val="20"/>
              </w:rPr>
            </w:pPr>
            <w:r w:rsidRPr="00354295">
              <w:rPr>
                <w:rStyle w:val="CommentReference"/>
                <w:bCs w:val="0"/>
                <w:szCs w:val="20"/>
              </w:rPr>
              <w:t>12 (4.1%)</w:t>
            </w:r>
          </w:p>
        </w:tc>
        <w:tc>
          <w:tcPr>
            <w:tcW w:w="1134" w:type="dxa"/>
          </w:tcPr>
          <w:p w14:paraId="49CE63A7" w14:textId="282892A4" w:rsidR="00036D4F" w:rsidRPr="00354295" w:rsidRDefault="008E39B9" w:rsidP="00D6076E">
            <w:pPr>
              <w:pStyle w:val="TableFigureHeading"/>
              <w:rPr>
                <w:rStyle w:val="CommentReference"/>
                <w:bCs w:val="0"/>
                <w:szCs w:val="20"/>
              </w:rPr>
            </w:pPr>
            <w:r w:rsidRPr="00354295">
              <w:rPr>
                <w:rStyle w:val="CommentReference"/>
                <w:bCs w:val="0"/>
                <w:szCs w:val="20"/>
              </w:rPr>
              <w:t>0</w:t>
            </w:r>
          </w:p>
        </w:tc>
        <w:tc>
          <w:tcPr>
            <w:tcW w:w="992" w:type="dxa"/>
          </w:tcPr>
          <w:p w14:paraId="0DD1CD05" w14:textId="04CA4BC9" w:rsidR="00036D4F" w:rsidRPr="00354295" w:rsidRDefault="00102A53" w:rsidP="00D6076E">
            <w:pPr>
              <w:pStyle w:val="TableFigureHeading"/>
              <w:rPr>
                <w:rStyle w:val="CommentReference"/>
                <w:bCs w:val="0"/>
                <w:szCs w:val="20"/>
              </w:rPr>
            </w:pPr>
            <w:r w:rsidRPr="00354295">
              <w:rPr>
                <w:rStyle w:val="CommentReference"/>
                <w:bCs w:val="0"/>
                <w:szCs w:val="20"/>
              </w:rPr>
              <w:t>1 (2%)</w:t>
            </w:r>
          </w:p>
        </w:tc>
        <w:tc>
          <w:tcPr>
            <w:tcW w:w="992" w:type="dxa"/>
          </w:tcPr>
          <w:p w14:paraId="44B2FA01" w14:textId="5FCA0D86" w:rsidR="00036D4F" w:rsidRPr="00354295" w:rsidRDefault="00102A53" w:rsidP="00D6076E">
            <w:pPr>
              <w:pStyle w:val="TableFigureHeading"/>
              <w:rPr>
                <w:rStyle w:val="CommentReference"/>
                <w:bCs w:val="0"/>
                <w:szCs w:val="20"/>
              </w:rPr>
            </w:pPr>
            <w:r w:rsidRPr="00354295">
              <w:rPr>
                <w:rStyle w:val="CommentReference"/>
                <w:bCs w:val="0"/>
                <w:szCs w:val="20"/>
              </w:rPr>
              <w:t>0</w:t>
            </w:r>
          </w:p>
        </w:tc>
        <w:tc>
          <w:tcPr>
            <w:tcW w:w="942" w:type="dxa"/>
          </w:tcPr>
          <w:p w14:paraId="212DD341" w14:textId="6575ADA9" w:rsidR="00036D4F" w:rsidRPr="00354295" w:rsidRDefault="00102A53" w:rsidP="00D6076E">
            <w:pPr>
              <w:pStyle w:val="TableFigureHeading"/>
              <w:rPr>
                <w:rStyle w:val="CommentReference"/>
                <w:bCs w:val="0"/>
                <w:szCs w:val="20"/>
              </w:rPr>
            </w:pPr>
            <w:r w:rsidRPr="00354295">
              <w:rPr>
                <w:rStyle w:val="CommentReference"/>
                <w:bCs w:val="0"/>
                <w:szCs w:val="20"/>
              </w:rPr>
              <w:t>0</w:t>
            </w:r>
          </w:p>
        </w:tc>
      </w:tr>
      <w:tr w:rsidR="00771C6E" w:rsidRPr="00354295" w14:paraId="12EEC07B" w14:textId="77777777" w:rsidTr="2B21198B">
        <w:tc>
          <w:tcPr>
            <w:tcW w:w="1413" w:type="dxa"/>
          </w:tcPr>
          <w:p w14:paraId="3B729FB6" w14:textId="5E89CEB6" w:rsidR="00771C6E" w:rsidRPr="00354295" w:rsidRDefault="00771C6E" w:rsidP="00D6076E">
            <w:pPr>
              <w:pStyle w:val="TableFigureHeading"/>
              <w:rPr>
                <w:rStyle w:val="CommentReference"/>
                <w:bCs w:val="0"/>
                <w:szCs w:val="20"/>
              </w:rPr>
            </w:pPr>
            <w:r w:rsidRPr="00354295">
              <w:rPr>
                <w:rStyle w:val="CommentReference"/>
                <w:bCs w:val="0"/>
                <w:szCs w:val="20"/>
              </w:rPr>
              <w:t>Patients with Infections and infestation, n (%)</w:t>
            </w:r>
          </w:p>
        </w:tc>
        <w:tc>
          <w:tcPr>
            <w:tcW w:w="1134" w:type="dxa"/>
          </w:tcPr>
          <w:p w14:paraId="3765D146" w14:textId="1BCE5C20" w:rsidR="00771C6E" w:rsidRPr="00354295" w:rsidRDefault="00771C6E" w:rsidP="00D6076E">
            <w:pPr>
              <w:pStyle w:val="TableFigureHeading"/>
              <w:rPr>
                <w:rStyle w:val="CommentReference"/>
                <w:bCs w:val="0"/>
                <w:szCs w:val="20"/>
              </w:rPr>
            </w:pPr>
            <w:r w:rsidRPr="00354295">
              <w:rPr>
                <w:rStyle w:val="CommentReference"/>
                <w:bCs w:val="0"/>
                <w:szCs w:val="20"/>
              </w:rPr>
              <w:t>98 (34.3%)</w:t>
            </w:r>
          </w:p>
        </w:tc>
        <w:tc>
          <w:tcPr>
            <w:tcW w:w="1134" w:type="dxa"/>
          </w:tcPr>
          <w:p w14:paraId="581A4132" w14:textId="40D1BC6B" w:rsidR="00771C6E" w:rsidRPr="00354295" w:rsidRDefault="00771C6E" w:rsidP="00D6076E">
            <w:pPr>
              <w:pStyle w:val="TableFigureHeading"/>
              <w:rPr>
                <w:rStyle w:val="CommentReference"/>
                <w:bCs w:val="0"/>
                <w:szCs w:val="20"/>
              </w:rPr>
            </w:pPr>
            <w:r w:rsidRPr="00354295">
              <w:rPr>
                <w:rStyle w:val="CommentReference"/>
                <w:bCs w:val="0"/>
                <w:szCs w:val="20"/>
              </w:rPr>
              <w:t>18 (25.0%)</w:t>
            </w:r>
          </w:p>
        </w:tc>
        <w:tc>
          <w:tcPr>
            <w:tcW w:w="1276" w:type="dxa"/>
          </w:tcPr>
          <w:p w14:paraId="0244020B" w14:textId="6996D6A6" w:rsidR="00771C6E" w:rsidRPr="00354295" w:rsidRDefault="00771C6E" w:rsidP="00D6076E">
            <w:pPr>
              <w:pStyle w:val="TableFigureHeading"/>
              <w:rPr>
                <w:rStyle w:val="CommentReference"/>
                <w:bCs w:val="0"/>
                <w:szCs w:val="20"/>
              </w:rPr>
            </w:pPr>
            <w:r w:rsidRPr="00354295">
              <w:rPr>
                <w:rStyle w:val="CommentReference"/>
                <w:bCs w:val="0"/>
                <w:szCs w:val="20"/>
              </w:rPr>
              <w:t>95 (32.8%)</w:t>
            </w:r>
          </w:p>
        </w:tc>
        <w:tc>
          <w:tcPr>
            <w:tcW w:w="1134" w:type="dxa"/>
          </w:tcPr>
          <w:p w14:paraId="060F2289" w14:textId="637EF2CC" w:rsidR="00771C6E" w:rsidRPr="00354295" w:rsidRDefault="00771C6E" w:rsidP="00D6076E">
            <w:pPr>
              <w:pStyle w:val="TableFigureHeading"/>
              <w:rPr>
                <w:rStyle w:val="CommentReference"/>
                <w:bCs w:val="0"/>
                <w:szCs w:val="20"/>
              </w:rPr>
            </w:pPr>
            <w:r w:rsidRPr="00354295">
              <w:rPr>
                <w:rStyle w:val="CommentReference"/>
                <w:bCs w:val="0"/>
                <w:szCs w:val="20"/>
              </w:rPr>
              <w:t>12 (16.2%)</w:t>
            </w:r>
          </w:p>
        </w:tc>
        <w:tc>
          <w:tcPr>
            <w:tcW w:w="992" w:type="dxa"/>
          </w:tcPr>
          <w:p w14:paraId="0DACA0A4" w14:textId="22973849" w:rsidR="00771C6E" w:rsidRPr="00354295" w:rsidRDefault="00BE750C" w:rsidP="00D6076E">
            <w:pPr>
              <w:pStyle w:val="TableFigureHeading"/>
              <w:rPr>
                <w:rStyle w:val="CommentReference"/>
                <w:bCs w:val="0"/>
                <w:szCs w:val="20"/>
              </w:rPr>
            </w:pPr>
            <w:r w:rsidRPr="00354295">
              <w:rPr>
                <w:rStyle w:val="CommentReference"/>
                <w:bCs w:val="0"/>
                <w:szCs w:val="20"/>
              </w:rPr>
              <w:t>20 (44%)</w:t>
            </w:r>
          </w:p>
        </w:tc>
        <w:tc>
          <w:tcPr>
            <w:tcW w:w="992" w:type="dxa"/>
          </w:tcPr>
          <w:p w14:paraId="329B66E7" w14:textId="17476BDC" w:rsidR="00771C6E" w:rsidRPr="00354295" w:rsidRDefault="004B1969" w:rsidP="00D6076E">
            <w:pPr>
              <w:pStyle w:val="TableFigureHeading"/>
              <w:rPr>
                <w:rStyle w:val="CommentReference"/>
                <w:bCs w:val="0"/>
                <w:szCs w:val="20"/>
              </w:rPr>
            </w:pPr>
            <w:r w:rsidRPr="00354295">
              <w:rPr>
                <w:rStyle w:val="CommentReference"/>
                <w:bCs w:val="0"/>
                <w:szCs w:val="20"/>
              </w:rPr>
              <w:t>9 (43%)</w:t>
            </w:r>
          </w:p>
        </w:tc>
        <w:tc>
          <w:tcPr>
            <w:tcW w:w="942" w:type="dxa"/>
          </w:tcPr>
          <w:p w14:paraId="0EC76808" w14:textId="4D4BE3FB" w:rsidR="00771C6E" w:rsidRPr="00354295" w:rsidRDefault="004B1969" w:rsidP="00D6076E">
            <w:pPr>
              <w:pStyle w:val="TableFigureHeading"/>
              <w:rPr>
                <w:rStyle w:val="CommentReference"/>
                <w:bCs w:val="0"/>
                <w:szCs w:val="20"/>
              </w:rPr>
            </w:pPr>
            <w:r w:rsidRPr="00354295">
              <w:rPr>
                <w:rStyle w:val="CommentReference"/>
                <w:bCs w:val="0"/>
                <w:szCs w:val="20"/>
              </w:rPr>
              <w:t>4 (19%)</w:t>
            </w:r>
          </w:p>
        </w:tc>
      </w:tr>
      <w:tr w:rsidR="00771C6E" w:rsidRPr="00354295" w14:paraId="7B28F51F" w14:textId="77777777" w:rsidTr="2B21198B">
        <w:tc>
          <w:tcPr>
            <w:tcW w:w="1413" w:type="dxa"/>
          </w:tcPr>
          <w:p w14:paraId="5C9EF22B" w14:textId="7D70494B" w:rsidR="00771C6E" w:rsidRPr="00354295" w:rsidRDefault="00771C6E" w:rsidP="00D6076E">
            <w:pPr>
              <w:pStyle w:val="TableFigureHeading"/>
              <w:rPr>
                <w:rStyle w:val="CommentReference"/>
                <w:bCs w:val="0"/>
                <w:szCs w:val="20"/>
              </w:rPr>
            </w:pPr>
            <w:r w:rsidRPr="00354295">
              <w:rPr>
                <w:rStyle w:val="CommentReference"/>
                <w:bCs w:val="0"/>
                <w:szCs w:val="20"/>
              </w:rPr>
              <w:t>Number of infections and infestations</w:t>
            </w:r>
          </w:p>
        </w:tc>
        <w:tc>
          <w:tcPr>
            <w:tcW w:w="1134" w:type="dxa"/>
          </w:tcPr>
          <w:p w14:paraId="58BD4335" w14:textId="6A4BFCA0" w:rsidR="00771C6E" w:rsidRPr="00354295" w:rsidRDefault="00771C6E" w:rsidP="00D6076E">
            <w:pPr>
              <w:pStyle w:val="TableFigureHeading"/>
              <w:rPr>
                <w:rStyle w:val="CommentReference"/>
                <w:bCs w:val="0"/>
                <w:szCs w:val="20"/>
              </w:rPr>
            </w:pPr>
            <w:r w:rsidRPr="00354295">
              <w:rPr>
                <w:rStyle w:val="CommentReference"/>
                <w:bCs w:val="0"/>
                <w:szCs w:val="20"/>
              </w:rPr>
              <w:t>154</w:t>
            </w:r>
          </w:p>
        </w:tc>
        <w:tc>
          <w:tcPr>
            <w:tcW w:w="1134" w:type="dxa"/>
          </w:tcPr>
          <w:p w14:paraId="6FC839D8" w14:textId="3D7CFB5E" w:rsidR="00771C6E" w:rsidRPr="00354295" w:rsidRDefault="00771C6E" w:rsidP="00D6076E">
            <w:pPr>
              <w:pStyle w:val="TableFigureHeading"/>
              <w:rPr>
                <w:rStyle w:val="CommentReference"/>
                <w:bCs w:val="0"/>
                <w:szCs w:val="20"/>
              </w:rPr>
            </w:pPr>
            <w:r w:rsidRPr="00354295">
              <w:rPr>
                <w:rStyle w:val="CommentReference"/>
                <w:bCs w:val="0"/>
                <w:szCs w:val="20"/>
              </w:rPr>
              <w:t>26</w:t>
            </w:r>
          </w:p>
        </w:tc>
        <w:tc>
          <w:tcPr>
            <w:tcW w:w="1276" w:type="dxa"/>
          </w:tcPr>
          <w:p w14:paraId="6F5FFB64" w14:textId="6BBD4EC0" w:rsidR="00771C6E" w:rsidRPr="00354295" w:rsidRDefault="00771C6E" w:rsidP="00D6076E">
            <w:pPr>
              <w:pStyle w:val="TableFigureHeading"/>
              <w:rPr>
                <w:rStyle w:val="CommentReference"/>
                <w:bCs w:val="0"/>
                <w:szCs w:val="20"/>
              </w:rPr>
            </w:pPr>
            <w:r w:rsidRPr="00354295">
              <w:rPr>
                <w:rStyle w:val="CommentReference"/>
                <w:bCs w:val="0"/>
                <w:szCs w:val="20"/>
              </w:rPr>
              <w:t>154</w:t>
            </w:r>
          </w:p>
        </w:tc>
        <w:tc>
          <w:tcPr>
            <w:tcW w:w="1134" w:type="dxa"/>
          </w:tcPr>
          <w:p w14:paraId="503C2922" w14:textId="525CEF5F" w:rsidR="00771C6E" w:rsidRPr="00354295" w:rsidRDefault="00771C6E" w:rsidP="00D6076E">
            <w:pPr>
              <w:pStyle w:val="TableFigureHeading"/>
              <w:rPr>
                <w:rStyle w:val="CommentReference"/>
                <w:bCs w:val="0"/>
                <w:szCs w:val="20"/>
              </w:rPr>
            </w:pPr>
            <w:r w:rsidRPr="00354295">
              <w:rPr>
                <w:rStyle w:val="CommentReference"/>
                <w:bCs w:val="0"/>
                <w:szCs w:val="20"/>
              </w:rPr>
              <w:t>15</w:t>
            </w:r>
          </w:p>
        </w:tc>
        <w:tc>
          <w:tcPr>
            <w:tcW w:w="992" w:type="dxa"/>
          </w:tcPr>
          <w:p w14:paraId="2F02D64B" w14:textId="0AF70CD6" w:rsidR="00771C6E" w:rsidRPr="00354295" w:rsidRDefault="00BE750C" w:rsidP="00D6076E">
            <w:pPr>
              <w:pStyle w:val="TableFigureHeading"/>
              <w:rPr>
                <w:rStyle w:val="CommentReference"/>
                <w:bCs w:val="0"/>
                <w:szCs w:val="20"/>
              </w:rPr>
            </w:pPr>
            <w:r w:rsidRPr="00354295">
              <w:rPr>
                <w:rStyle w:val="CommentReference"/>
                <w:bCs w:val="0"/>
                <w:szCs w:val="20"/>
              </w:rPr>
              <w:t>41</w:t>
            </w:r>
          </w:p>
        </w:tc>
        <w:tc>
          <w:tcPr>
            <w:tcW w:w="992" w:type="dxa"/>
          </w:tcPr>
          <w:p w14:paraId="1AE3C607" w14:textId="18F3538C" w:rsidR="00771C6E" w:rsidRPr="00354295" w:rsidRDefault="004B1969" w:rsidP="00D6076E">
            <w:pPr>
              <w:pStyle w:val="TableFigureHeading"/>
              <w:rPr>
                <w:rStyle w:val="CommentReference"/>
                <w:bCs w:val="0"/>
                <w:szCs w:val="20"/>
              </w:rPr>
            </w:pPr>
            <w:r w:rsidRPr="00354295">
              <w:rPr>
                <w:rStyle w:val="CommentReference"/>
                <w:bCs w:val="0"/>
                <w:szCs w:val="20"/>
              </w:rPr>
              <w:t>19</w:t>
            </w:r>
          </w:p>
        </w:tc>
        <w:tc>
          <w:tcPr>
            <w:tcW w:w="942" w:type="dxa"/>
          </w:tcPr>
          <w:p w14:paraId="2F30B8A9" w14:textId="7375E853" w:rsidR="00771C6E" w:rsidRPr="00354295" w:rsidRDefault="004B1969" w:rsidP="00D6076E">
            <w:pPr>
              <w:pStyle w:val="TableFigureHeading"/>
              <w:rPr>
                <w:rStyle w:val="CommentReference"/>
                <w:bCs w:val="0"/>
                <w:szCs w:val="20"/>
              </w:rPr>
            </w:pPr>
            <w:r w:rsidRPr="00354295">
              <w:rPr>
                <w:rStyle w:val="CommentReference"/>
                <w:bCs w:val="0"/>
                <w:szCs w:val="20"/>
              </w:rPr>
              <w:t>4</w:t>
            </w:r>
          </w:p>
        </w:tc>
      </w:tr>
      <w:tr w:rsidR="00771C6E" w:rsidRPr="00354295" w14:paraId="336A9AA1" w14:textId="77777777" w:rsidTr="2B21198B">
        <w:tc>
          <w:tcPr>
            <w:tcW w:w="1413" w:type="dxa"/>
          </w:tcPr>
          <w:p w14:paraId="3C70B63A" w14:textId="4E89209E" w:rsidR="00771C6E" w:rsidRPr="00354295" w:rsidRDefault="00771C6E" w:rsidP="00D6076E">
            <w:pPr>
              <w:pStyle w:val="TableFigureHeading"/>
              <w:rPr>
                <w:rStyle w:val="CommentReference"/>
                <w:bCs w:val="0"/>
                <w:szCs w:val="20"/>
              </w:rPr>
            </w:pPr>
            <w:r w:rsidRPr="00354295">
              <w:rPr>
                <w:rStyle w:val="CommentReference"/>
                <w:bCs w:val="0"/>
                <w:szCs w:val="20"/>
              </w:rPr>
              <w:t>Patients with oral candidiasis, n (%)</w:t>
            </w:r>
          </w:p>
        </w:tc>
        <w:tc>
          <w:tcPr>
            <w:tcW w:w="1134" w:type="dxa"/>
          </w:tcPr>
          <w:p w14:paraId="4B0B92A8" w14:textId="01E5CBA8" w:rsidR="00771C6E" w:rsidRPr="00354295" w:rsidRDefault="00771C6E" w:rsidP="00D6076E">
            <w:pPr>
              <w:pStyle w:val="TableFigureHeading"/>
              <w:rPr>
                <w:rStyle w:val="CommentReference"/>
                <w:bCs w:val="0"/>
                <w:szCs w:val="20"/>
              </w:rPr>
            </w:pPr>
            <w:r w:rsidRPr="00354295">
              <w:rPr>
                <w:rStyle w:val="CommentReference"/>
                <w:bCs w:val="0"/>
                <w:szCs w:val="20"/>
              </w:rPr>
              <w:t>17 (5.9%)</w:t>
            </w:r>
          </w:p>
        </w:tc>
        <w:tc>
          <w:tcPr>
            <w:tcW w:w="1134" w:type="dxa"/>
          </w:tcPr>
          <w:p w14:paraId="16060ABB" w14:textId="43B36583" w:rsidR="00771C6E" w:rsidRPr="00354295" w:rsidRDefault="00771C6E" w:rsidP="00D6076E">
            <w:pPr>
              <w:pStyle w:val="TableFigureHeading"/>
              <w:rPr>
                <w:rStyle w:val="CommentReference"/>
                <w:bCs w:val="0"/>
                <w:szCs w:val="20"/>
              </w:rPr>
            </w:pPr>
            <w:r w:rsidRPr="00354295">
              <w:rPr>
                <w:rStyle w:val="CommentReference"/>
                <w:bCs w:val="0"/>
                <w:szCs w:val="20"/>
              </w:rPr>
              <w:t>0</w:t>
            </w:r>
          </w:p>
        </w:tc>
        <w:tc>
          <w:tcPr>
            <w:tcW w:w="1276" w:type="dxa"/>
          </w:tcPr>
          <w:p w14:paraId="00D6574B" w14:textId="29DC3E7D" w:rsidR="00771C6E" w:rsidRPr="00354295" w:rsidRDefault="00771C6E" w:rsidP="00D6076E">
            <w:pPr>
              <w:pStyle w:val="TableFigureHeading"/>
              <w:rPr>
                <w:rStyle w:val="CommentReference"/>
                <w:bCs w:val="0"/>
                <w:szCs w:val="20"/>
              </w:rPr>
            </w:pPr>
            <w:r w:rsidRPr="00354295">
              <w:rPr>
                <w:rStyle w:val="CommentReference"/>
                <w:bCs w:val="0"/>
                <w:szCs w:val="20"/>
              </w:rPr>
              <w:t>24 (8.3%)</w:t>
            </w:r>
          </w:p>
        </w:tc>
        <w:tc>
          <w:tcPr>
            <w:tcW w:w="1134" w:type="dxa"/>
          </w:tcPr>
          <w:p w14:paraId="39DF83EE" w14:textId="3D1084D1" w:rsidR="00771C6E" w:rsidRPr="00354295" w:rsidRDefault="00771C6E" w:rsidP="00D6076E">
            <w:pPr>
              <w:pStyle w:val="TableFigureHeading"/>
              <w:rPr>
                <w:rStyle w:val="CommentReference"/>
                <w:bCs w:val="0"/>
                <w:szCs w:val="20"/>
              </w:rPr>
            </w:pPr>
            <w:r w:rsidRPr="00354295">
              <w:rPr>
                <w:rStyle w:val="CommentReference"/>
                <w:bCs w:val="0"/>
                <w:szCs w:val="20"/>
              </w:rPr>
              <w:t>0</w:t>
            </w:r>
          </w:p>
        </w:tc>
        <w:tc>
          <w:tcPr>
            <w:tcW w:w="992" w:type="dxa"/>
          </w:tcPr>
          <w:p w14:paraId="4ED51754" w14:textId="2AB11B18" w:rsidR="00771C6E" w:rsidRPr="00354295" w:rsidRDefault="004B1969" w:rsidP="00D6076E">
            <w:pPr>
              <w:pStyle w:val="TableFigureHeading"/>
              <w:rPr>
                <w:rStyle w:val="CommentReference"/>
                <w:bCs w:val="0"/>
                <w:szCs w:val="20"/>
              </w:rPr>
            </w:pPr>
            <w:r w:rsidRPr="00354295">
              <w:rPr>
                <w:rStyle w:val="CommentReference"/>
                <w:bCs w:val="0"/>
                <w:szCs w:val="20"/>
              </w:rPr>
              <w:t>3 (7%)</w:t>
            </w:r>
          </w:p>
        </w:tc>
        <w:tc>
          <w:tcPr>
            <w:tcW w:w="992" w:type="dxa"/>
          </w:tcPr>
          <w:p w14:paraId="5FECDCF6" w14:textId="520B4AFA" w:rsidR="00771C6E" w:rsidRPr="00354295" w:rsidRDefault="004B1969" w:rsidP="00D6076E">
            <w:pPr>
              <w:pStyle w:val="TableFigureHeading"/>
              <w:rPr>
                <w:rStyle w:val="CommentReference"/>
                <w:bCs w:val="0"/>
                <w:szCs w:val="20"/>
              </w:rPr>
            </w:pPr>
            <w:r w:rsidRPr="00354295">
              <w:rPr>
                <w:rStyle w:val="CommentReference"/>
                <w:bCs w:val="0"/>
                <w:szCs w:val="20"/>
              </w:rPr>
              <w:t>1 (5%)</w:t>
            </w:r>
          </w:p>
        </w:tc>
        <w:tc>
          <w:tcPr>
            <w:tcW w:w="942" w:type="dxa"/>
          </w:tcPr>
          <w:p w14:paraId="1CE5B557" w14:textId="6ABB0FD7" w:rsidR="00771C6E" w:rsidRPr="00354295" w:rsidRDefault="004B1969" w:rsidP="00D6076E">
            <w:pPr>
              <w:pStyle w:val="TableFigureHeading"/>
              <w:rPr>
                <w:rStyle w:val="CommentReference"/>
                <w:bCs w:val="0"/>
                <w:szCs w:val="20"/>
              </w:rPr>
            </w:pPr>
            <w:r w:rsidRPr="00354295">
              <w:rPr>
                <w:rStyle w:val="CommentReference"/>
                <w:bCs w:val="0"/>
                <w:szCs w:val="20"/>
              </w:rPr>
              <w:t>0</w:t>
            </w:r>
          </w:p>
        </w:tc>
      </w:tr>
      <w:tr w:rsidR="00771C6E" w:rsidRPr="00354295" w14:paraId="75257651" w14:textId="77777777" w:rsidTr="2B21198B">
        <w:tc>
          <w:tcPr>
            <w:tcW w:w="1413" w:type="dxa"/>
          </w:tcPr>
          <w:p w14:paraId="406D5ADC" w14:textId="357E3A7A" w:rsidR="00771C6E" w:rsidRPr="00354295" w:rsidRDefault="00771C6E" w:rsidP="00D6076E">
            <w:pPr>
              <w:pStyle w:val="TableFigureHeading"/>
              <w:rPr>
                <w:rStyle w:val="CommentReference"/>
                <w:bCs w:val="0"/>
                <w:szCs w:val="20"/>
              </w:rPr>
            </w:pPr>
            <w:r w:rsidRPr="00354295">
              <w:rPr>
                <w:rStyle w:val="CommentReference"/>
                <w:bCs w:val="0"/>
                <w:szCs w:val="20"/>
              </w:rPr>
              <w:t>Number of events of oral candidiasis</w:t>
            </w:r>
          </w:p>
        </w:tc>
        <w:tc>
          <w:tcPr>
            <w:tcW w:w="1134" w:type="dxa"/>
          </w:tcPr>
          <w:p w14:paraId="3E437826" w14:textId="318AA319" w:rsidR="00771C6E" w:rsidRPr="00354295" w:rsidRDefault="00771C6E" w:rsidP="00D6076E">
            <w:pPr>
              <w:pStyle w:val="TableFigureHeading"/>
              <w:rPr>
                <w:rStyle w:val="CommentReference"/>
                <w:bCs w:val="0"/>
                <w:szCs w:val="20"/>
              </w:rPr>
            </w:pPr>
            <w:r w:rsidRPr="00354295">
              <w:rPr>
                <w:rStyle w:val="CommentReference"/>
                <w:bCs w:val="0"/>
                <w:szCs w:val="20"/>
              </w:rPr>
              <w:t>18</w:t>
            </w:r>
          </w:p>
        </w:tc>
        <w:tc>
          <w:tcPr>
            <w:tcW w:w="1134" w:type="dxa"/>
          </w:tcPr>
          <w:p w14:paraId="3D65158F" w14:textId="2E9FCE20" w:rsidR="00771C6E" w:rsidRPr="00354295" w:rsidRDefault="00771C6E" w:rsidP="00D6076E">
            <w:pPr>
              <w:pStyle w:val="TableFigureHeading"/>
              <w:rPr>
                <w:rStyle w:val="CommentReference"/>
                <w:bCs w:val="0"/>
                <w:szCs w:val="20"/>
              </w:rPr>
            </w:pPr>
            <w:r w:rsidRPr="00354295">
              <w:rPr>
                <w:rStyle w:val="CommentReference"/>
                <w:bCs w:val="0"/>
                <w:szCs w:val="20"/>
              </w:rPr>
              <w:t>0</w:t>
            </w:r>
          </w:p>
        </w:tc>
        <w:tc>
          <w:tcPr>
            <w:tcW w:w="1276" w:type="dxa"/>
          </w:tcPr>
          <w:p w14:paraId="69F8DAED" w14:textId="5C04BE97" w:rsidR="00771C6E" w:rsidRPr="00354295" w:rsidRDefault="00771C6E" w:rsidP="00D6076E">
            <w:pPr>
              <w:pStyle w:val="TableFigureHeading"/>
              <w:rPr>
                <w:rStyle w:val="CommentReference"/>
                <w:bCs w:val="0"/>
                <w:szCs w:val="20"/>
              </w:rPr>
            </w:pPr>
            <w:r w:rsidRPr="00354295">
              <w:rPr>
                <w:rStyle w:val="CommentReference"/>
                <w:bCs w:val="0"/>
                <w:szCs w:val="20"/>
              </w:rPr>
              <w:t>26</w:t>
            </w:r>
          </w:p>
        </w:tc>
        <w:tc>
          <w:tcPr>
            <w:tcW w:w="1134" w:type="dxa"/>
          </w:tcPr>
          <w:p w14:paraId="0AF396FC" w14:textId="3DC422B0" w:rsidR="00771C6E" w:rsidRPr="00354295" w:rsidRDefault="00771C6E" w:rsidP="00D6076E">
            <w:pPr>
              <w:pStyle w:val="TableFigureHeading"/>
              <w:rPr>
                <w:rStyle w:val="CommentReference"/>
                <w:bCs w:val="0"/>
                <w:szCs w:val="20"/>
              </w:rPr>
            </w:pPr>
            <w:r w:rsidRPr="00354295">
              <w:rPr>
                <w:rStyle w:val="CommentReference"/>
                <w:bCs w:val="0"/>
                <w:szCs w:val="20"/>
              </w:rPr>
              <w:t>0</w:t>
            </w:r>
          </w:p>
        </w:tc>
        <w:tc>
          <w:tcPr>
            <w:tcW w:w="992" w:type="dxa"/>
          </w:tcPr>
          <w:p w14:paraId="3DF3EFB4" w14:textId="676937BD" w:rsidR="00771C6E" w:rsidRPr="00354295" w:rsidRDefault="004B1969" w:rsidP="00D6076E">
            <w:pPr>
              <w:pStyle w:val="TableFigureHeading"/>
              <w:rPr>
                <w:rStyle w:val="CommentReference"/>
                <w:bCs w:val="0"/>
                <w:szCs w:val="20"/>
              </w:rPr>
            </w:pPr>
            <w:r w:rsidRPr="00354295">
              <w:rPr>
                <w:rStyle w:val="CommentReference"/>
                <w:bCs w:val="0"/>
                <w:szCs w:val="20"/>
              </w:rPr>
              <w:t>4</w:t>
            </w:r>
          </w:p>
        </w:tc>
        <w:tc>
          <w:tcPr>
            <w:tcW w:w="992" w:type="dxa"/>
          </w:tcPr>
          <w:p w14:paraId="523FA208" w14:textId="16483236" w:rsidR="00771C6E" w:rsidRPr="00354295" w:rsidRDefault="004B1969" w:rsidP="00D6076E">
            <w:pPr>
              <w:pStyle w:val="TableFigureHeading"/>
              <w:rPr>
                <w:rStyle w:val="CommentReference"/>
                <w:bCs w:val="0"/>
                <w:szCs w:val="20"/>
              </w:rPr>
            </w:pPr>
            <w:r w:rsidRPr="00354295">
              <w:rPr>
                <w:rStyle w:val="CommentReference"/>
                <w:bCs w:val="0"/>
                <w:szCs w:val="20"/>
              </w:rPr>
              <w:t>1</w:t>
            </w:r>
          </w:p>
        </w:tc>
        <w:tc>
          <w:tcPr>
            <w:tcW w:w="942" w:type="dxa"/>
          </w:tcPr>
          <w:p w14:paraId="6E37FE58" w14:textId="255B9D39" w:rsidR="00771C6E" w:rsidRPr="00354295" w:rsidRDefault="004B1969" w:rsidP="00D6076E">
            <w:pPr>
              <w:pStyle w:val="TableFigureHeading"/>
              <w:rPr>
                <w:rStyle w:val="CommentReference"/>
                <w:bCs w:val="0"/>
                <w:szCs w:val="20"/>
              </w:rPr>
            </w:pPr>
            <w:r w:rsidRPr="00354295">
              <w:rPr>
                <w:rStyle w:val="CommentReference"/>
                <w:bCs w:val="0"/>
                <w:szCs w:val="20"/>
              </w:rPr>
              <w:t>0</w:t>
            </w:r>
          </w:p>
        </w:tc>
      </w:tr>
      <w:tr w:rsidR="00370A9B" w:rsidRPr="00354295" w14:paraId="192A9E03" w14:textId="77777777" w:rsidTr="2B21198B">
        <w:tc>
          <w:tcPr>
            <w:tcW w:w="1413" w:type="dxa"/>
          </w:tcPr>
          <w:p w14:paraId="293ED503" w14:textId="08E402A4" w:rsidR="00370A9B" w:rsidRPr="00354295" w:rsidRDefault="00370A9B" w:rsidP="00D6076E">
            <w:pPr>
              <w:pStyle w:val="TableFigureHeading"/>
              <w:rPr>
                <w:rStyle w:val="CommentReference"/>
                <w:bCs w:val="0"/>
                <w:szCs w:val="20"/>
              </w:rPr>
            </w:pPr>
            <w:r w:rsidRPr="00354295">
              <w:rPr>
                <w:rStyle w:val="CommentReference"/>
                <w:bCs w:val="0"/>
                <w:szCs w:val="20"/>
              </w:rPr>
              <w:t>P</w:t>
            </w:r>
            <w:r w:rsidRPr="00354295">
              <w:rPr>
                <w:rStyle w:val="CommentReference"/>
                <w:szCs w:val="20"/>
              </w:rPr>
              <w:t>atients with at least one abnormal liver test, n (%)</w:t>
            </w:r>
          </w:p>
        </w:tc>
        <w:tc>
          <w:tcPr>
            <w:tcW w:w="1134" w:type="dxa"/>
          </w:tcPr>
          <w:p w14:paraId="6A7EA802" w14:textId="48D38F27" w:rsidR="00370A9B" w:rsidRPr="00354295" w:rsidRDefault="00370A9B" w:rsidP="00D6076E">
            <w:pPr>
              <w:pStyle w:val="TableFigureHeading"/>
              <w:rPr>
                <w:rStyle w:val="CommentReference"/>
                <w:bCs w:val="0"/>
                <w:szCs w:val="20"/>
              </w:rPr>
            </w:pPr>
            <w:r w:rsidRPr="00354295">
              <w:rPr>
                <w:rStyle w:val="CommentReference"/>
                <w:bCs w:val="0"/>
                <w:szCs w:val="20"/>
              </w:rPr>
              <w:t>10 (3.5%)</w:t>
            </w:r>
          </w:p>
        </w:tc>
        <w:tc>
          <w:tcPr>
            <w:tcW w:w="1134" w:type="dxa"/>
          </w:tcPr>
          <w:p w14:paraId="18003F5A" w14:textId="2E460CD2" w:rsidR="00370A9B" w:rsidRPr="00354295" w:rsidRDefault="00370A9B" w:rsidP="00D6076E">
            <w:pPr>
              <w:pStyle w:val="TableFigureHeading"/>
              <w:rPr>
                <w:rStyle w:val="CommentReference"/>
                <w:bCs w:val="0"/>
                <w:szCs w:val="20"/>
              </w:rPr>
            </w:pPr>
            <w:r w:rsidRPr="00354295">
              <w:rPr>
                <w:rStyle w:val="CommentReference"/>
                <w:bCs w:val="0"/>
                <w:szCs w:val="20"/>
              </w:rPr>
              <w:t>0</w:t>
            </w:r>
          </w:p>
        </w:tc>
        <w:tc>
          <w:tcPr>
            <w:tcW w:w="1276" w:type="dxa"/>
          </w:tcPr>
          <w:p w14:paraId="5C8B2561" w14:textId="623168E0" w:rsidR="00370A9B" w:rsidRPr="00354295" w:rsidRDefault="00370A9B" w:rsidP="00D6076E">
            <w:pPr>
              <w:pStyle w:val="TableFigureHeading"/>
              <w:rPr>
                <w:rStyle w:val="CommentReference"/>
                <w:bCs w:val="0"/>
                <w:szCs w:val="20"/>
              </w:rPr>
            </w:pPr>
            <w:r w:rsidRPr="00354295">
              <w:rPr>
                <w:rStyle w:val="CommentReference"/>
                <w:bCs w:val="0"/>
                <w:szCs w:val="20"/>
              </w:rPr>
              <w:t>3 (1.0%)</w:t>
            </w:r>
          </w:p>
        </w:tc>
        <w:tc>
          <w:tcPr>
            <w:tcW w:w="1134" w:type="dxa"/>
          </w:tcPr>
          <w:p w14:paraId="6125D13A" w14:textId="1B243E3E" w:rsidR="00370A9B" w:rsidRPr="00354295" w:rsidRDefault="00370A9B" w:rsidP="00D6076E">
            <w:pPr>
              <w:pStyle w:val="TableFigureHeading"/>
              <w:rPr>
                <w:rStyle w:val="CommentReference"/>
                <w:bCs w:val="0"/>
                <w:szCs w:val="20"/>
              </w:rPr>
            </w:pPr>
            <w:r w:rsidRPr="00354295">
              <w:rPr>
                <w:rStyle w:val="CommentReference"/>
                <w:bCs w:val="0"/>
                <w:szCs w:val="20"/>
              </w:rPr>
              <w:t>1 (1.4%)</w:t>
            </w:r>
          </w:p>
        </w:tc>
        <w:tc>
          <w:tcPr>
            <w:tcW w:w="2926" w:type="dxa"/>
            <w:gridSpan w:val="3"/>
            <w:vMerge w:val="restart"/>
          </w:tcPr>
          <w:p w14:paraId="08C2184B" w14:textId="341DEA3F" w:rsidR="00370A9B" w:rsidRPr="00354295" w:rsidRDefault="00370A9B" w:rsidP="00D6076E">
            <w:pPr>
              <w:pStyle w:val="TableFigureHeading"/>
              <w:rPr>
                <w:rStyle w:val="CommentReference"/>
                <w:bCs w:val="0"/>
                <w:szCs w:val="20"/>
              </w:rPr>
            </w:pPr>
            <w:r w:rsidRPr="00354295">
              <w:rPr>
                <w:rStyle w:val="CommentReference"/>
                <w:bCs w:val="0"/>
                <w:szCs w:val="20"/>
              </w:rPr>
              <w:t>NR</w:t>
            </w:r>
          </w:p>
        </w:tc>
      </w:tr>
      <w:tr w:rsidR="00370A9B" w:rsidRPr="00354295" w14:paraId="224ECDE4" w14:textId="77777777" w:rsidTr="2B21198B">
        <w:tc>
          <w:tcPr>
            <w:tcW w:w="1413" w:type="dxa"/>
          </w:tcPr>
          <w:p w14:paraId="621566A4" w14:textId="53B0EEFC" w:rsidR="00370A9B" w:rsidRPr="00354295" w:rsidRDefault="00370A9B" w:rsidP="00D6076E">
            <w:pPr>
              <w:pStyle w:val="TableFigureHeading"/>
              <w:rPr>
                <w:rStyle w:val="CommentReference"/>
                <w:bCs w:val="0"/>
                <w:szCs w:val="20"/>
              </w:rPr>
            </w:pPr>
            <w:r w:rsidRPr="00354295">
              <w:rPr>
                <w:rStyle w:val="CommentReference"/>
                <w:bCs w:val="0"/>
                <w:szCs w:val="20"/>
              </w:rPr>
              <w:t>AST or ALT &gt;3x ULN, n (%)</w:t>
            </w:r>
          </w:p>
        </w:tc>
        <w:tc>
          <w:tcPr>
            <w:tcW w:w="1134" w:type="dxa"/>
          </w:tcPr>
          <w:p w14:paraId="6A0F9BDC" w14:textId="10AC6EB1" w:rsidR="00370A9B" w:rsidRPr="00354295" w:rsidRDefault="00370A9B" w:rsidP="00D6076E">
            <w:pPr>
              <w:pStyle w:val="TableFigureHeading"/>
              <w:rPr>
                <w:rStyle w:val="CommentReference"/>
                <w:bCs w:val="0"/>
                <w:szCs w:val="20"/>
              </w:rPr>
            </w:pPr>
            <w:r w:rsidRPr="00354295">
              <w:rPr>
                <w:rStyle w:val="CommentReference"/>
                <w:bCs w:val="0"/>
                <w:szCs w:val="20"/>
              </w:rPr>
              <w:t>8 (2.8%)</w:t>
            </w:r>
          </w:p>
        </w:tc>
        <w:tc>
          <w:tcPr>
            <w:tcW w:w="1134" w:type="dxa"/>
          </w:tcPr>
          <w:p w14:paraId="73DB318B" w14:textId="421F32D9" w:rsidR="00370A9B" w:rsidRPr="00354295" w:rsidRDefault="00370A9B" w:rsidP="00D6076E">
            <w:pPr>
              <w:pStyle w:val="TableFigureHeading"/>
              <w:rPr>
                <w:rStyle w:val="CommentReference"/>
                <w:bCs w:val="0"/>
                <w:szCs w:val="20"/>
              </w:rPr>
            </w:pPr>
            <w:r w:rsidRPr="00354295">
              <w:rPr>
                <w:rStyle w:val="CommentReference"/>
                <w:bCs w:val="0"/>
                <w:szCs w:val="20"/>
              </w:rPr>
              <w:t>0</w:t>
            </w:r>
          </w:p>
        </w:tc>
        <w:tc>
          <w:tcPr>
            <w:tcW w:w="1276" w:type="dxa"/>
          </w:tcPr>
          <w:p w14:paraId="3B088D8B" w14:textId="41EE91AA" w:rsidR="00370A9B" w:rsidRPr="00354295" w:rsidRDefault="00370A9B" w:rsidP="00D6076E">
            <w:pPr>
              <w:pStyle w:val="TableFigureHeading"/>
              <w:rPr>
                <w:rStyle w:val="CommentReference"/>
                <w:bCs w:val="0"/>
                <w:szCs w:val="20"/>
              </w:rPr>
            </w:pPr>
            <w:r w:rsidRPr="00354295">
              <w:rPr>
                <w:rStyle w:val="CommentReference"/>
                <w:bCs w:val="0"/>
                <w:szCs w:val="20"/>
              </w:rPr>
              <w:t>0</w:t>
            </w:r>
          </w:p>
        </w:tc>
        <w:tc>
          <w:tcPr>
            <w:tcW w:w="1134" w:type="dxa"/>
          </w:tcPr>
          <w:p w14:paraId="522AE47D" w14:textId="7856F0A2" w:rsidR="00370A9B" w:rsidRPr="00354295" w:rsidRDefault="00370A9B" w:rsidP="00D6076E">
            <w:pPr>
              <w:pStyle w:val="TableFigureHeading"/>
              <w:rPr>
                <w:rStyle w:val="CommentReference"/>
                <w:bCs w:val="0"/>
                <w:szCs w:val="20"/>
              </w:rPr>
            </w:pPr>
            <w:r w:rsidRPr="00354295">
              <w:rPr>
                <w:rStyle w:val="CommentReference"/>
                <w:bCs w:val="0"/>
                <w:szCs w:val="20"/>
              </w:rPr>
              <w:t>0</w:t>
            </w:r>
          </w:p>
        </w:tc>
        <w:tc>
          <w:tcPr>
            <w:tcW w:w="2926" w:type="dxa"/>
            <w:gridSpan w:val="3"/>
            <w:vMerge/>
          </w:tcPr>
          <w:p w14:paraId="2C4D0894" w14:textId="77777777" w:rsidR="00370A9B" w:rsidRPr="00354295" w:rsidRDefault="00370A9B" w:rsidP="00D6076E">
            <w:pPr>
              <w:pStyle w:val="TableFigureHeading"/>
              <w:rPr>
                <w:rStyle w:val="CommentReference"/>
                <w:bCs w:val="0"/>
                <w:szCs w:val="20"/>
              </w:rPr>
            </w:pPr>
          </w:p>
        </w:tc>
      </w:tr>
    </w:tbl>
    <w:p w14:paraId="7162B4B6" w14:textId="7EAD24E0" w:rsidR="00816C13" w:rsidRPr="001B5CFE" w:rsidRDefault="00BE750C" w:rsidP="000462D3">
      <w:pPr>
        <w:pStyle w:val="TableFigureFooter"/>
        <w:jc w:val="both"/>
      </w:pPr>
      <w:r w:rsidRPr="001B5CFE">
        <w:t>Source: Table 2.61, p153, Table 2.62, pp154-155, Table 2.65, p160 of the submission; BE HEARD I CSR, Table 11-6, p301, Table 11-7, pp305-308; BE HEARD II CSR, Table 11-6, p308, Table 11-7, p313</w:t>
      </w:r>
      <w:r w:rsidR="005E0EA0" w:rsidRPr="001B5CFE">
        <w:t>; Bimekizumab Delegate's Overview e005979 – (0026) Table 43, 44, pp66-67.</w:t>
      </w:r>
      <w:r w:rsidRPr="001B5CFE">
        <w:t xml:space="preserve"> ADA = adalimumab; AE = adverse event; </w:t>
      </w:r>
      <w:r w:rsidR="001A5EC4" w:rsidRPr="001B5CFE">
        <w:t xml:space="preserve">ALT = alanine </w:t>
      </w:r>
      <w:r w:rsidR="009757C9" w:rsidRPr="001B5CFE">
        <w:t>aminotransferase</w:t>
      </w:r>
      <w:r w:rsidR="001A5EC4" w:rsidRPr="001B5CFE">
        <w:t xml:space="preserve">; AST = aspartate aminotransferase; </w:t>
      </w:r>
      <w:r w:rsidRPr="001B5CFE">
        <w:t>BKZ = bimekizumab; TEAE = treatment-emergent adverse event; TESAE = treatment-emergent serious adverse event</w:t>
      </w:r>
      <w:r w:rsidR="001A5EC4" w:rsidRPr="001B5CFE">
        <w:t xml:space="preserve">; ULN = upper limit of normal. </w:t>
      </w:r>
    </w:p>
    <w:p w14:paraId="2A2FB1FB" w14:textId="37216B38" w:rsidR="00F61861" w:rsidRPr="00152967" w:rsidRDefault="00876029" w:rsidP="2B21198B">
      <w:pPr>
        <w:pStyle w:val="3-BodyText"/>
      </w:pPr>
      <w:bookmarkStart w:id="46" w:name="_Toc22897643"/>
      <w:r w:rsidRPr="00152967">
        <w:t xml:space="preserve">Overall, the adverse event profiles of bimekizumab, secukinumab and adalimumab were similar. </w:t>
      </w:r>
      <w:r w:rsidR="003C0E8A" w:rsidRPr="00152967">
        <w:t xml:space="preserve">Oral candidiasis was more common with bimekizumab than with secukinumab, but total infections were similar. Total infections were more common with bimekizumab than with adalimumab. </w:t>
      </w:r>
      <w:r w:rsidR="00E86417" w:rsidRPr="00152967">
        <w:t xml:space="preserve">Discontinuations due to adverse events </w:t>
      </w:r>
      <w:r w:rsidR="00E86417" w:rsidRPr="00152967">
        <w:lastRenderedPageBreak/>
        <w:t>were more common with bimekizumab than with placebo, and the rate with bimekizumab may have been higher than with secukinumab and adalimumab. There was one death in all eight trials</w:t>
      </w:r>
      <w:r w:rsidR="003C0E8A" w:rsidRPr="00152967">
        <w:t xml:space="preserve">, considered not to be </w:t>
      </w:r>
      <w:r w:rsidR="009757C9" w:rsidRPr="00152967">
        <w:t>treatment related</w:t>
      </w:r>
      <w:r w:rsidR="00E86417" w:rsidRPr="00152967">
        <w:t xml:space="preserve">. </w:t>
      </w:r>
    </w:p>
    <w:p w14:paraId="087C29EC" w14:textId="3D35160D" w:rsidR="00F61861" w:rsidRPr="00152967" w:rsidRDefault="00F61861" w:rsidP="00F61861">
      <w:pPr>
        <w:pStyle w:val="5-SubsectionSubheading"/>
      </w:pPr>
      <w:bookmarkStart w:id="47" w:name="_Toc192760453"/>
      <w:r w:rsidRPr="00152967">
        <w:t>Extended Assessment of Safety</w:t>
      </w:r>
      <w:r w:rsidR="00C7617C" w:rsidRPr="00152967">
        <w:t xml:space="preserve"> (</w:t>
      </w:r>
      <w:r w:rsidR="003C0E8A" w:rsidRPr="00152967">
        <w:t>B</w:t>
      </w:r>
      <w:r w:rsidR="00C7617C" w:rsidRPr="00152967">
        <w:t>imekizumab</w:t>
      </w:r>
      <w:r w:rsidR="00864224" w:rsidRPr="00152967">
        <w:t xml:space="preserve"> only)</w:t>
      </w:r>
      <w:bookmarkEnd w:id="47"/>
    </w:p>
    <w:p w14:paraId="2D1E879C" w14:textId="4FEC4403" w:rsidR="007910C4" w:rsidRPr="00152967" w:rsidRDefault="049E0DFC" w:rsidP="006D5D71">
      <w:pPr>
        <w:pStyle w:val="3-BodyText"/>
      </w:pPr>
      <w:r w:rsidRPr="00152967">
        <w:t>Safety data from a</w:t>
      </w:r>
      <w:r w:rsidR="75C46EEF" w:rsidRPr="00152967">
        <w:t>n open label extension study of BE HEARD I/II, BE HEARD EXT</w:t>
      </w:r>
      <w:r w:rsidR="3ADA8A17" w:rsidRPr="00152967">
        <w:t xml:space="preserve"> (also referred to as HS0005)</w:t>
      </w:r>
      <w:r w:rsidR="75C46EEF" w:rsidRPr="00152967">
        <w:t xml:space="preserve">, </w:t>
      </w:r>
      <w:r w:rsidRPr="00152967">
        <w:t>were included in the submission</w:t>
      </w:r>
      <w:r w:rsidR="75C46EEF" w:rsidRPr="00152967">
        <w:t xml:space="preserve">. </w:t>
      </w:r>
      <w:r w:rsidR="61BEFD31" w:rsidRPr="00152967">
        <w:t xml:space="preserve">Patients </w:t>
      </w:r>
      <w:r w:rsidRPr="00152967">
        <w:t xml:space="preserve">entering BE HEARD EXT </w:t>
      </w:r>
      <w:r w:rsidR="61BEFD31" w:rsidRPr="00152967">
        <w:t>who had achieved HiSCR</w:t>
      </w:r>
      <w:r w:rsidR="61BEFD31" w:rsidRPr="00152967">
        <w:rPr>
          <w:u w:val="single"/>
        </w:rPr>
        <w:t>90</w:t>
      </w:r>
      <w:r w:rsidR="61BEFD31" w:rsidRPr="00152967">
        <w:t xml:space="preserve"> response were treated with bimekizumab 320</w:t>
      </w:r>
      <w:r w:rsidR="000462D3">
        <w:t> </w:t>
      </w:r>
      <w:r w:rsidR="61BEFD31" w:rsidRPr="00152967">
        <w:t xml:space="preserve">mg </w:t>
      </w:r>
      <w:r w:rsidR="005756D0" w:rsidRPr="00152967">
        <w:t>every 4 weeks</w:t>
      </w:r>
      <w:r w:rsidR="61BEFD31" w:rsidRPr="00152967">
        <w:t xml:space="preserve">, and those who had not achieved HiSCR90 response were treated with bimekizumab 320 mg </w:t>
      </w:r>
      <w:r w:rsidR="005756D0" w:rsidRPr="00152967">
        <w:t>every 2 weeks</w:t>
      </w:r>
      <w:r w:rsidR="61BEFD31" w:rsidRPr="00152967">
        <w:t xml:space="preserve">. Patients could switch from </w:t>
      </w:r>
      <w:r w:rsidR="005756D0" w:rsidRPr="00152967">
        <w:t>every 4 weeks</w:t>
      </w:r>
      <w:r w:rsidR="61BEFD31" w:rsidRPr="00152967">
        <w:t xml:space="preserve"> to </w:t>
      </w:r>
      <w:r w:rsidR="005756D0" w:rsidRPr="00152967">
        <w:t>every 2 weeks</w:t>
      </w:r>
      <w:r w:rsidR="61BEFD31" w:rsidRPr="00152967">
        <w:t xml:space="preserve"> based on prespecified criteria (</w:t>
      </w:r>
      <w:proofErr w:type="spellStart"/>
      <w:r w:rsidR="61BEFD31" w:rsidRPr="00152967">
        <w:t>Zouboulis</w:t>
      </w:r>
      <w:proofErr w:type="spellEnd"/>
      <w:r w:rsidR="61BEFD31" w:rsidRPr="00152967">
        <w:t xml:space="preserve">, 2024, slide 3). The numbers receiving each dose were not reported. A total of 556 patients entered BE HEARD EXT, </w:t>
      </w:r>
      <w:r w:rsidRPr="00152967">
        <w:t xml:space="preserve">but "96 week" data were presented for 995 patients - </w:t>
      </w:r>
      <w:r w:rsidR="009757C9" w:rsidRPr="00152967">
        <w:t>i.e.</w:t>
      </w:r>
      <w:r w:rsidRPr="00152967">
        <w:t>, patients who had received only 48 week treatment were included. For this reason</w:t>
      </w:r>
      <w:r w:rsidR="0C1C092B" w:rsidRPr="00152967">
        <w:t xml:space="preserve">, </w:t>
      </w:r>
      <w:r w:rsidRPr="00152967">
        <w:t xml:space="preserve">these data are not included in the evaluation. </w:t>
      </w:r>
    </w:p>
    <w:p w14:paraId="29EA1071" w14:textId="2A1959E1" w:rsidR="00742C13" w:rsidRPr="00152967" w:rsidRDefault="00B91993" w:rsidP="2B21198B">
      <w:pPr>
        <w:pStyle w:val="3-BodyText"/>
      </w:pPr>
      <w:r w:rsidRPr="00152967">
        <w:t xml:space="preserve">Bimekizumab has been in clinical use since 2021 and the Periodic Safety Update Report (PSUR) from August 2024 was provided. The dose of bimekizumab for HS is </w:t>
      </w:r>
      <w:r w:rsidR="00742C13" w:rsidRPr="00152967">
        <w:t>twice that</w:t>
      </w:r>
      <w:r w:rsidRPr="00152967">
        <w:t xml:space="preserve"> for other indications (for plaque psoriasis the dose is 320 mg </w:t>
      </w:r>
      <w:r w:rsidR="005756D0" w:rsidRPr="00152967">
        <w:t xml:space="preserve">every </w:t>
      </w:r>
      <w:r w:rsidR="000462D3" w:rsidRPr="00152967">
        <w:t>4</w:t>
      </w:r>
      <w:r w:rsidR="000462D3">
        <w:t> </w:t>
      </w:r>
      <w:r w:rsidR="005756D0" w:rsidRPr="00152967">
        <w:t>weeks</w:t>
      </w:r>
      <w:r w:rsidRPr="00152967">
        <w:t xml:space="preserve"> for 16 weeks then 8th weekly; for psoriatic arthritis and axial spondyloarthropathy the dose is 160 mg </w:t>
      </w:r>
      <w:r w:rsidR="005756D0" w:rsidRPr="00152967">
        <w:t>every 4 weeks</w:t>
      </w:r>
      <w:r w:rsidRPr="00152967">
        <w:t>). Since most use has been in conditions requiring lower doses, the</w:t>
      </w:r>
      <w:r w:rsidR="00742C13" w:rsidRPr="00152967">
        <w:t xml:space="preserve"> </w:t>
      </w:r>
      <w:r w:rsidRPr="00152967">
        <w:t xml:space="preserve">data from </w:t>
      </w:r>
      <w:r w:rsidR="00742C13" w:rsidRPr="00152967">
        <w:t>post-marketing experience may not reflect adverse event risk</w:t>
      </w:r>
      <w:r w:rsidRPr="00152967">
        <w:t xml:space="preserve"> in HS. </w:t>
      </w:r>
      <w:r w:rsidR="00477840" w:rsidRPr="00152967">
        <w:t xml:space="preserve">This is especially relevant in relation to the increased incidence of abnormal liver function tests seen in bimekizumab-treated patients in BE HEARD I. </w:t>
      </w:r>
    </w:p>
    <w:p w14:paraId="4AEE58E4" w14:textId="4536D9B1" w:rsidR="00F61861" w:rsidRPr="00152967" w:rsidRDefault="5CF3F49B" w:rsidP="006D5D71">
      <w:pPr>
        <w:pStyle w:val="3-BodyText"/>
      </w:pPr>
      <w:r w:rsidRPr="00152967">
        <w:t xml:space="preserve">Hypersensitivity reactions and </w:t>
      </w:r>
      <w:r w:rsidR="26E5AFD1" w:rsidRPr="00152967">
        <w:t xml:space="preserve">serious </w:t>
      </w:r>
      <w:r w:rsidRPr="00152967">
        <w:t xml:space="preserve">infections have been identified by regulatory agencies as risks of bimekizumab. </w:t>
      </w:r>
      <w:r w:rsidR="4296EAB7" w:rsidRPr="00152967">
        <w:t xml:space="preserve">No new safety signals were identified in post-marketing data for these risks. </w:t>
      </w:r>
    </w:p>
    <w:p w14:paraId="68AD6920" w14:textId="6105A600" w:rsidR="00B91993" w:rsidRPr="00152967" w:rsidRDefault="5CF3F49B" w:rsidP="006D5D71">
      <w:pPr>
        <w:pStyle w:val="3-BodyText"/>
      </w:pPr>
      <w:r w:rsidRPr="00152967">
        <w:t>Other issues</w:t>
      </w:r>
      <w:r w:rsidR="4303784F" w:rsidRPr="00152967">
        <w:t xml:space="preserve"> identified as</w:t>
      </w:r>
      <w:r w:rsidRPr="00152967">
        <w:t xml:space="preserve"> </w:t>
      </w:r>
      <w:r w:rsidR="4303784F" w:rsidRPr="00152967">
        <w:t xml:space="preserve">requiring post-marketing monitoring </w:t>
      </w:r>
      <w:r w:rsidR="4B5BF8D3" w:rsidRPr="00152967">
        <w:t>we</w:t>
      </w:r>
      <w:r w:rsidRPr="00152967">
        <w:t>re</w:t>
      </w:r>
      <w:r w:rsidR="4303784F" w:rsidRPr="00152967">
        <w:t xml:space="preserve"> adverse events for pre-filled pen vs pre-filled syringe preparations</w:t>
      </w:r>
      <w:r w:rsidR="4296EAB7" w:rsidRPr="00152967">
        <w:t xml:space="preserve"> and</w:t>
      </w:r>
      <w:r w:rsidR="4303784F" w:rsidRPr="00152967">
        <w:t xml:space="preserve"> suicida</w:t>
      </w:r>
      <w:r w:rsidR="2C74EEED" w:rsidRPr="00152967">
        <w:t>l ideation or behaviou</w:t>
      </w:r>
      <w:r w:rsidR="4296EAB7" w:rsidRPr="00152967">
        <w:t>r; b</w:t>
      </w:r>
      <w:r w:rsidR="26E5AFD1" w:rsidRPr="00152967">
        <w:t xml:space="preserve">imekizumab clinical trials excluded patients thought to be at </w:t>
      </w:r>
      <w:r w:rsidR="4296EAB7" w:rsidRPr="00152967">
        <w:t xml:space="preserve">higher </w:t>
      </w:r>
      <w:r w:rsidR="26E5AFD1" w:rsidRPr="00152967">
        <w:t>risk of suicide.</w:t>
      </w:r>
    </w:p>
    <w:p w14:paraId="3F4419A8" w14:textId="13B00DEE" w:rsidR="00572A70" w:rsidRPr="00152967" w:rsidRDefault="4303784F" w:rsidP="2B21198B">
      <w:pPr>
        <w:pStyle w:val="3-BodyText"/>
      </w:pPr>
      <w:r w:rsidRPr="00152967">
        <w:t>Rates of adverse events were roughly twice as high with pre-filled pen than with pre-filled syringe (47.82 per 100 patient</w:t>
      </w:r>
      <w:r w:rsidR="2C694B2A" w:rsidRPr="00152967">
        <w:t>-</w:t>
      </w:r>
      <w:r w:rsidRPr="00152967">
        <w:t>years vs 26.41)</w:t>
      </w:r>
      <w:r w:rsidR="75D3BFEB" w:rsidRPr="00152967">
        <w:t xml:space="preserve"> (Attachment 5.2, Table 15-1</w:t>
      </w:r>
      <w:r w:rsidR="0094517F">
        <w:t xml:space="preserve"> </w:t>
      </w:r>
      <w:r w:rsidR="00B17960">
        <w:t>of the submission</w:t>
      </w:r>
      <w:r w:rsidR="75D3BFEB" w:rsidRPr="00152967">
        <w:t xml:space="preserve">). Events likely to be related to the injection method were </w:t>
      </w:r>
      <w:r w:rsidR="2CF12868" w:rsidRPr="00152967">
        <w:t xml:space="preserve">consistently </w:t>
      </w:r>
      <w:r w:rsidR="75D3BFEB" w:rsidRPr="00152967">
        <w:t>more common with the pre-filled pen (</w:t>
      </w:r>
      <w:r w:rsidR="009757C9" w:rsidRPr="00152967">
        <w:t>e.g.</w:t>
      </w:r>
      <w:r w:rsidR="75D3BFEB" w:rsidRPr="00152967">
        <w:t>, injection site pain 2.60 per 100 patient</w:t>
      </w:r>
      <w:r w:rsidR="2C694B2A" w:rsidRPr="00152967">
        <w:t>-</w:t>
      </w:r>
      <w:r w:rsidR="75D3BFEB" w:rsidRPr="00152967">
        <w:t xml:space="preserve">years vs 1.01) (Attachment 5.2, Table 15-3 </w:t>
      </w:r>
      <w:r w:rsidR="00D96063">
        <w:t>of the submission</w:t>
      </w:r>
      <w:r w:rsidR="75D3BFEB" w:rsidRPr="00152967">
        <w:t>)</w:t>
      </w:r>
      <w:r w:rsidR="2CF12868" w:rsidRPr="00152967">
        <w:t>. However, s</w:t>
      </w:r>
      <w:r w:rsidR="75D3BFEB" w:rsidRPr="00152967">
        <w:t xml:space="preserve">imilar </w:t>
      </w:r>
      <w:r w:rsidRPr="00152967">
        <w:t>difference</w:t>
      </w:r>
      <w:r w:rsidR="75D3BFEB" w:rsidRPr="00152967">
        <w:t>s were</w:t>
      </w:r>
      <w:r w:rsidRPr="00152967">
        <w:t xml:space="preserve"> seen for nearly all adverse event classes</w:t>
      </w:r>
      <w:r w:rsidR="5CDE8775" w:rsidRPr="00152967">
        <w:t>, including some with no obvious connection to the injection device</w:t>
      </w:r>
      <w:r w:rsidR="2CF12868" w:rsidRPr="00152967">
        <w:t>,</w:t>
      </w:r>
      <w:r w:rsidR="75D3BFEB" w:rsidRPr="00152967">
        <w:t xml:space="preserve"> which may indicate</w:t>
      </w:r>
      <w:r w:rsidR="074CB259" w:rsidRPr="00152967">
        <w:t xml:space="preserve"> reporting bias.</w:t>
      </w:r>
    </w:p>
    <w:p w14:paraId="0461E95A" w14:textId="4EF8BD9B" w:rsidR="00DF7876" w:rsidRPr="00152967" w:rsidRDefault="00A2536B" w:rsidP="006D5D71">
      <w:pPr>
        <w:pStyle w:val="3-BodyText"/>
      </w:pPr>
      <w:r w:rsidRPr="00152967">
        <w:t xml:space="preserve">Suicidal ideation </w:t>
      </w:r>
      <w:r w:rsidR="00DF7876" w:rsidRPr="00152967">
        <w:t>or</w:t>
      </w:r>
      <w:r w:rsidRPr="00152967">
        <w:t xml:space="preserve"> behaviour </w:t>
      </w:r>
      <w:r w:rsidR="00DF7876" w:rsidRPr="00152967">
        <w:t>was reported in 22 patients, with no reported events of suicide attempts or completed suicide (one case</w:t>
      </w:r>
      <w:r w:rsidR="00415217" w:rsidRPr="00152967">
        <w:t xml:space="preserve"> of suicidal ideation</w:t>
      </w:r>
      <w:r w:rsidR="00DF7876" w:rsidRPr="00152967">
        <w:t xml:space="preserve"> was reported from Australia). The </w:t>
      </w:r>
      <w:r w:rsidR="00617516" w:rsidRPr="00152967">
        <w:t xml:space="preserve">reported </w:t>
      </w:r>
      <w:r w:rsidR="00DF7876" w:rsidRPr="00152967">
        <w:t xml:space="preserve">rate </w:t>
      </w:r>
      <w:r w:rsidR="00617516" w:rsidRPr="00152967">
        <w:t>wa</w:t>
      </w:r>
      <w:r w:rsidR="00DF7876" w:rsidRPr="00152967">
        <w:t>s not clearly higher than in the community at large</w:t>
      </w:r>
      <w:r w:rsidR="00617516" w:rsidRPr="00152967">
        <w:t>, but</w:t>
      </w:r>
      <w:r w:rsidR="00DF7876" w:rsidRPr="00152967">
        <w:t xml:space="preserve"> </w:t>
      </w:r>
      <w:r w:rsidR="00617516" w:rsidRPr="00152967">
        <w:t>it</w:t>
      </w:r>
      <w:r w:rsidR="00DF7876" w:rsidRPr="00152967">
        <w:t xml:space="preserve"> </w:t>
      </w:r>
      <w:r w:rsidR="00F61861" w:rsidRPr="00152967">
        <w:t>appears to have</w:t>
      </w:r>
      <w:r w:rsidR="00617516" w:rsidRPr="00152967">
        <w:t xml:space="preserve"> </w:t>
      </w:r>
      <w:r w:rsidR="00DF7876" w:rsidRPr="00152967">
        <w:t>increased</w:t>
      </w:r>
      <w:r w:rsidR="00F61861" w:rsidRPr="00152967">
        <w:t xml:space="preserve"> recently</w:t>
      </w:r>
      <w:r w:rsidR="00DF7876" w:rsidRPr="00152967">
        <w:t xml:space="preserve">: </w:t>
      </w:r>
      <w:r w:rsidR="00F61861" w:rsidRPr="00152967">
        <w:t xml:space="preserve">using data </w:t>
      </w:r>
      <w:r w:rsidR="00DF7876" w:rsidRPr="00152967">
        <w:t xml:space="preserve">up to 19 February 2024 it </w:t>
      </w:r>
      <w:r w:rsidR="00DF7876" w:rsidRPr="00152967">
        <w:lastRenderedPageBreak/>
        <w:t>was 0.17 per 100 patient</w:t>
      </w:r>
      <w:r w:rsidR="00D84FF3" w:rsidRPr="00152967">
        <w:t xml:space="preserve"> </w:t>
      </w:r>
      <w:r w:rsidR="00DF7876" w:rsidRPr="00152967">
        <w:t xml:space="preserve">years and </w:t>
      </w:r>
      <w:r w:rsidR="00F61861" w:rsidRPr="00152967">
        <w:t xml:space="preserve">using data </w:t>
      </w:r>
      <w:r w:rsidR="00DF7876" w:rsidRPr="00152967">
        <w:t>from then until 19 August 2024 it was 0.26 (Attachment 5.2, Table 15-7</w:t>
      </w:r>
      <w:r w:rsidR="0094517F">
        <w:t xml:space="preserve"> </w:t>
      </w:r>
      <w:r w:rsidR="00B17960">
        <w:t>of the submission</w:t>
      </w:r>
      <w:r w:rsidR="00DF7876" w:rsidRPr="00152967">
        <w:t>).</w:t>
      </w:r>
    </w:p>
    <w:p w14:paraId="33696279" w14:textId="0C2DABB3" w:rsidR="009B42DF" w:rsidRPr="0098262F" w:rsidRDefault="007F1017" w:rsidP="00816C13">
      <w:pPr>
        <w:pStyle w:val="4-SubsectionHeading"/>
      </w:pPr>
      <w:bookmarkStart w:id="48" w:name="_Toc192760454"/>
      <w:r w:rsidRPr="0098262F">
        <w:t>Benefits/harms</w:t>
      </w:r>
      <w:bookmarkEnd w:id="46"/>
      <w:bookmarkEnd w:id="48"/>
    </w:p>
    <w:p w14:paraId="02B9BDE3" w14:textId="3D6C2F50" w:rsidR="007A1345" w:rsidRPr="0098262F" w:rsidRDefault="20A0575D" w:rsidP="00D2155B">
      <w:pPr>
        <w:pStyle w:val="3-BodyText"/>
      </w:pPr>
      <w:r w:rsidRPr="2B21198B">
        <w:t>A benefits and harms table is not presented as the submission made a claim of non-inferiority</w:t>
      </w:r>
      <w:r w:rsidR="75C46EEF" w:rsidRPr="2B21198B">
        <w:t xml:space="preserve"> in relation to adalimumab and </w:t>
      </w:r>
      <w:r w:rsidR="75C46EEF" w:rsidRPr="00152967">
        <w:t xml:space="preserve">no evidence was presented from which benefits and harms could be calculated </w:t>
      </w:r>
      <w:r w:rsidR="26E5AFD1" w:rsidRPr="00152967">
        <w:t>versus</w:t>
      </w:r>
      <w:r w:rsidR="75C46EEF" w:rsidRPr="00152967">
        <w:t xml:space="preserve"> secukinumab</w:t>
      </w:r>
      <w:r w:rsidRPr="00152967">
        <w:t>.</w:t>
      </w:r>
      <w:r w:rsidR="0B510970" w:rsidRPr="00152967">
        <w:t xml:space="preserve"> </w:t>
      </w:r>
    </w:p>
    <w:p w14:paraId="7A1772B6" w14:textId="23BB3145" w:rsidR="00B60939" w:rsidRPr="0098262F" w:rsidRDefault="00B60939" w:rsidP="00E9094A">
      <w:pPr>
        <w:pStyle w:val="4-SubsectionHeading"/>
      </w:pPr>
      <w:bookmarkStart w:id="49" w:name="_Toc22897644"/>
      <w:bookmarkStart w:id="50" w:name="_Toc192760455"/>
      <w:r w:rsidRPr="0098262F">
        <w:t>Clinical claim</w:t>
      </w:r>
      <w:bookmarkEnd w:id="49"/>
      <w:bookmarkEnd w:id="50"/>
    </w:p>
    <w:p w14:paraId="3995BB69" w14:textId="2D936B81" w:rsidR="00F02BF2" w:rsidRDefault="3709D016" w:rsidP="00F02BF2">
      <w:pPr>
        <w:pStyle w:val="3-BodyText"/>
        <w:rPr>
          <w:color w:val="000000" w:themeColor="text1"/>
        </w:rPr>
      </w:pPr>
      <w:r w:rsidRPr="00456695">
        <w:rPr>
          <w:color w:val="000000" w:themeColor="text1"/>
        </w:rPr>
        <w:t xml:space="preserve">The submission </w:t>
      </w:r>
      <w:r w:rsidR="3708F63E" w:rsidRPr="00456695">
        <w:rPr>
          <w:color w:val="000000" w:themeColor="text1"/>
        </w:rPr>
        <w:t>described</w:t>
      </w:r>
      <w:r w:rsidRPr="00456695">
        <w:rPr>
          <w:color w:val="000000" w:themeColor="text1"/>
        </w:rPr>
        <w:t xml:space="preserve"> bimekizumab as </w:t>
      </w:r>
      <w:r w:rsidR="3708F63E" w:rsidRPr="00456695">
        <w:rPr>
          <w:color w:val="000000" w:themeColor="text1"/>
        </w:rPr>
        <w:t>superior in efficacy to secukinumab after both 16 week</w:t>
      </w:r>
      <w:r w:rsidR="52A886DE" w:rsidRPr="00456695">
        <w:rPr>
          <w:color w:val="000000" w:themeColor="text1"/>
        </w:rPr>
        <w:t>s</w:t>
      </w:r>
      <w:r w:rsidR="3708F63E" w:rsidRPr="00456695">
        <w:rPr>
          <w:color w:val="000000" w:themeColor="text1"/>
        </w:rPr>
        <w:t xml:space="preserve"> and 48 week</w:t>
      </w:r>
      <w:r w:rsidR="52A886DE" w:rsidRPr="00456695">
        <w:rPr>
          <w:color w:val="000000" w:themeColor="text1"/>
        </w:rPr>
        <w:t>s</w:t>
      </w:r>
      <w:r w:rsidR="3708F63E" w:rsidRPr="00456695">
        <w:rPr>
          <w:color w:val="000000" w:themeColor="text1"/>
        </w:rPr>
        <w:t xml:space="preserve"> treatment, and non-inferior in efficacy to adalimumab after 16 week</w:t>
      </w:r>
      <w:r w:rsidR="52A886DE" w:rsidRPr="00456695">
        <w:rPr>
          <w:color w:val="000000" w:themeColor="text1"/>
        </w:rPr>
        <w:t>s</w:t>
      </w:r>
      <w:r w:rsidR="3708F63E" w:rsidRPr="00456695">
        <w:rPr>
          <w:color w:val="000000" w:themeColor="text1"/>
        </w:rPr>
        <w:t xml:space="preserve"> treatment and superior after 48 week</w:t>
      </w:r>
      <w:r w:rsidR="52A886DE" w:rsidRPr="00456695">
        <w:rPr>
          <w:color w:val="000000" w:themeColor="text1"/>
        </w:rPr>
        <w:t>s</w:t>
      </w:r>
      <w:r w:rsidR="3708F63E" w:rsidRPr="00456695">
        <w:rPr>
          <w:color w:val="000000" w:themeColor="text1"/>
        </w:rPr>
        <w:t xml:space="preserve"> treatment (Table 1.1 of the submission). </w:t>
      </w:r>
    </w:p>
    <w:p w14:paraId="5231CEDA" w14:textId="24EFEEE6" w:rsidR="00F02BF2" w:rsidRPr="004A0905" w:rsidRDefault="00F02BF2" w:rsidP="00F02BF2">
      <w:pPr>
        <w:pStyle w:val="3-BodyText"/>
        <w:rPr>
          <w:rFonts w:eastAsia="Calibri"/>
        </w:rPr>
      </w:pPr>
      <w:r w:rsidRPr="004A0905">
        <w:rPr>
          <w:rFonts w:eastAsia="Calibri"/>
        </w:rPr>
        <w:t>The evaluation and ESC considered the claim of superiority to secukinumab in relation to 16 week</w:t>
      </w:r>
      <w:r w:rsidR="009D2887">
        <w:rPr>
          <w:rFonts w:eastAsia="Calibri"/>
        </w:rPr>
        <w:t>s</w:t>
      </w:r>
      <w:r w:rsidRPr="004A0905">
        <w:rPr>
          <w:rFonts w:eastAsia="Calibri"/>
        </w:rPr>
        <w:t xml:space="preserve"> treatment was not adequately supported. The results of the indirect treatment comparison were marginally statistically significant, and there were issues with the treatment of missing data that compromised the reliability of the comparisons. </w:t>
      </w:r>
    </w:p>
    <w:p w14:paraId="7A460CB0" w14:textId="75CE49C4" w:rsidR="00070FA6" w:rsidRPr="004A0905" w:rsidRDefault="00B80458" w:rsidP="005F72E7">
      <w:pPr>
        <w:pStyle w:val="3-BodyText"/>
        <w:rPr>
          <w:color w:val="000000" w:themeColor="text1"/>
        </w:rPr>
      </w:pPr>
      <w:bookmarkStart w:id="51" w:name="_Ref198111952"/>
      <w:r w:rsidRPr="004A0905">
        <w:rPr>
          <w:color w:val="000000" w:themeColor="text1"/>
        </w:rPr>
        <w:t xml:space="preserve">The </w:t>
      </w:r>
      <w:r w:rsidR="00F02BF2" w:rsidRPr="004A0905">
        <w:rPr>
          <w:color w:val="000000" w:themeColor="text1"/>
        </w:rPr>
        <w:t>evaluation and ESC considered</w:t>
      </w:r>
      <w:r w:rsidR="00456695" w:rsidRPr="004A0905">
        <w:rPr>
          <w:color w:val="000000" w:themeColor="text1"/>
        </w:rPr>
        <w:t xml:space="preserve"> that</w:t>
      </w:r>
      <w:r w:rsidR="00C13C4B" w:rsidRPr="004A0905">
        <w:rPr>
          <w:color w:val="000000" w:themeColor="text1"/>
        </w:rPr>
        <w:t xml:space="preserve"> the </w:t>
      </w:r>
      <w:r w:rsidR="002D40F8" w:rsidRPr="004A0905">
        <w:rPr>
          <w:rFonts w:eastAsia="Calibri"/>
        </w:rPr>
        <w:t xml:space="preserve">superiority </w:t>
      </w:r>
      <w:r w:rsidR="7DC59892" w:rsidRPr="004A0905">
        <w:rPr>
          <w:rFonts w:eastAsia="Calibri"/>
        </w:rPr>
        <w:t>claim</w:t>
      </w:r>
      <w:r w:rsidR="4B87677A" w:rsidRPr="004A0905">
        <w:rPr>
          <w:rFonts w:eastAsia="Calibri"/>
        </w:rPr>
        <w:t>s</w:t>
      </w:r>
      <w:r w:rsidR="7DC59892" w:rsidRPr="004A0905">
        <w:rPr>
          <w:rFonts w:eastAsia="Calibri"/>
        </w:rPr>
        <w:t xml:space="preserve"> </w:t>
      </w:r>
      <w:r w:rsidR="003108C0" w:rsidRPr="004A0905">
        <w:rPr>
          <w:rFonts w:eastAsia="Calibri"/>
        </w:rPr>
        <w:t>at 48 weeks</w:t>
      </w:r>
      <w:r w:rsidR="7DC59892" w:rsidRPr="004A0905">
        <w:rPr>
          <w:rFonts w:eastAsia="Calibri"/>
        </w:rPr>
        <w:t xml:space="preserve"> treatment </w:t>
      </w:r>
      <w:r w:rsidR="002D40F8" w:rsidRPr="004A0905">
        <w:rPr>
          <w:rFonts w:eastAsia="Calibri"/>
        </w:rPr>
        <w:t>(</w:t>
      </w:r>
      <w:r w:rsidR="00B12013" w:rsidRPr="004A0905">
        <w:rPr>
          <w:rFonts w:eastAsia="Calibri"/>
        </w:rPr>
        <w:t xml:space="preserve">against both secukinumab and adalimumab) </w:t>
      </w:r>
      <w:r w:rsidR="7DC59892" w:rsidRPr="004A0905">
        <w:rPr>
          <w:rFonts w:eastAsia="Calibri"/>
        </w:rPr>
        <w:t>w</w:t>
      </w:r>
      <w:r w:rsidR="4B87677A" w:rsidRPr="004A0905">
        <w:rPr>
          <w:rFonts w:eastAsia="Calibri"/>
        </w:rPr>
        <w:t xml:space="preserve">ere not </w:t>
      </w:r>
      <w:r w:rsidR="7DC976D2" w:rsidRPr="004A0905">
        <w:rPr>
          <w:rFonts w:eastAsia="Calibri"/>
        </w:rPr>
        <w:t>adequately supported</w:t>
      </w:r>
      <w:r w:rsidR="001D4F5B" w:rsidRPr="004A0905">
        <w:rPr>
          <w:rFonts w:eastAsia="Calibri"/>
        </w:rPr>
        <w:t xml:space="preserve"> due to the lack of</w:t>
      </w:r>
      <w:r w:rsidR="0082574E" w:rsidRPr="004A0905">
        <w:rPr>
          <w:rFonts w:eastAsia="Calibri"/>
        </w:rPr>
        <w:t xml:space="preserve"> interpretable</w:t>
      </w:r>
      <w:r w:rsidR="003108C0" w:rsidRPr="004A0905">
        <w:rPr>
          <w:rFonts w:eastAsia="Calibri"/>
        </w:rPr>
        <w:t xml:space="preserve"> </w:t>
      </w:r>
      <w:r w:rsidR="7DC59892" w:rsidRPr="004A0905">
        <w:rPr>
          <w:rFonts w:eastAsia="Calibri"/>
        </w:rPr>
        <w:t>comparative data capable of justifying th</w:t>
      </w:r>
      <w:r w:rsidR="4B87677A" w:rsidRPr="004A0905">
        <w:rPr>
          <w:rFonts w:eastAsia="Calibri"/>
        </w:rPr>
        <w:t>ese</w:t>
      </w:r>
      <w:r w:rsidR="7DC59892" w:rsidRPr="004A0905">
        <w:rPr>
          <w:rFonts w:eastAsia="Calibri"/>
        </w:rPr>
        <w:t xml:space="preserve"> claim</w:t>
      </w:r>
      <w:r w:rsidR="4B87677A" w:rsidRPr="004A0905">
        <w:rPr>
          <w:rFonts w:eastAsia="Calibri"/>
        </w:rPr>
        <w:t>s</w:t>
      </w:r>
      <w:r w:rsidR="7DC59892" w:rsidRPr="004A0905">
        <w:rPr>
          <w:rFonts w:eastAsia="Calibri"/>
        </w:rPr>
        <w:t xml:space="preserve"> </w:t>
      </w:r>
      <w:r w:rsidR="0082574E" w:rsidRPr="004A0905">
        <w:rPr>
          <w:rFonts w:eastAsia="Calibri"/>
        </w:rPr>
        <w:t xml:space="preserve">being </w:t>
      </w:r>
      <w:r w:rsidR="7DC59892" w:rsidRPr="004A0905">
        <w:rPr>
          <w:rFonts w:eastAsia="Calibri"/>
        </w:rPr>
        <w:t>presented</w:t>
      </w:r>
      <w:r w:rsidR="00B12013" w:rsidRPr="004A0905">
        <w:rPr>
          <w:rFonts w:eastAsia="Calibri"/>
        </w:rPr>
        <w:t xml:space="preserve"> (v</w:t>
      </w:r>
      <w:r w:rsidR="003108C0" w:rsidRPr="004A0905">
        <w:rPr>
          <w:rFonts w:eastAsia="Calibri"/>
        </w:rPr>
        <w:t>ersus</w:t>
      </w:r>
      <w:r w:rsidR="00B12013" w:rsidRPr="004A0905">
        <w:rPr>
          <w:rFonts w:eastAsia="Calibri"/>
        </w:rPr>
        <w:t xml:space="preserve"> secukinumab) and</w:t>
      </w:r>
      <w:r w:rsidR="00FE10E7" w:rsidRPr="004A0905">
        <w:rPr>
          <w:rFonts w:eastAsia="Calibri"/>
        </w:rPr>
        <w:t xml:space="preserve"> due to the large dropouts in adalimumab (v</w:t>
      </w:r>
      <w:r w:rsidR="0070641F">
        <w:rPr>
          <w:rFonts w:eastAsia="Calibri"/>
        </w:rPr>
        <w:t>ersus</w:t>
      </w:r>
      <w:r w:rsidR="00FE10E7" w:rsidRPr="004A0905">
        <w:rPr>
          <w:rFonts w:eastAsia="Calibri"/>
        </w:rPr>
        <w:t xml:space="preserve"> adalimu</w:t>
      </w:r>
      <w:r w:rsidR="001615DB" w:rsidRPr="004A0905">
        <w:rPr>
          <w:rFonts w:eastAsia="Calibri"/>
        </w:rPr>
        <w:t>mab)</w:t>
      </w:r>
      <w:r w:rsidR="7DC59892" w:rsidRPr="004A0905">
        <w:rPr>
          <w:rFonts w:eastAsia="Calibri"/>
        </w:rPr>
        <w:t>.</w:t>
      </w:r>
      <w:r w:rsidR="003108C0" w:rsidRPr="004A0905">
        <w:rPr>
          <w:rFonts w:eastAsia="Calibri"/>
        </w:rPr>
        <w:t xml:space="preserve"> The ESC acknowledged the PSCR</w:t>
      </w:r>
      <w:r w:rsidR="006A0887" w:rsidRPr="004A0905">
        <w:rPr>
          <w:rFonts w:eastAsia="Calibri"/>
        </w:rPr>
        <w:t xml:space="preserve"> </w:t>
      </w:r>
      <w:r w:rsidR="005F72E7" w:rsidRPr="004A0905">
        <w:rPr>
          <w:rFonts w:eastAsia="Calibri"/>
        </w:rPr>
        <w:t>statement that the presented data represents the best available data, however considered the comparisons were associated with inherent substantial uncertainty</w:t>
      </w:r>
      <w:r w:rsidR="0009191F" w:rsidRPr="004A0905">
        <w:rPr>
          <w:rFonts w:eastAsia="Calibri"/>
        </w:rPr>
        <w:t xml:space="preserve">, for the purposes of establishing superiority; </w:t>
      </w:r>
      <w:r w:rsidR="00B65294" w:rsidRPr="004A0905">
        <w:rPr>
          <w:rFonts w:eastAsia="Calibri"/>
        </w:rPr>
        <w:t>however,</w:t>
      </w:r>
      <w:r w:rsidR="0009191F" w:rsidRPr="004A0905">
        <w:rPr>
          <w:rFonts w:eastAsia="Calibri"/>
        </w:rPr>
        <w:t xml:space="preserve"> considered a claim of non-inferiority may be reasonable.</w:t>
      </w:r>
      <w:bookmarkEnd w:id="51"/>
    </w:p>
    <w:p w14:paraId="4A982BEA" w14:textId="5A03EA37" w:rsidR="00617516" w:rsidRPr="004A0905" w:rsidRDefault="7DC976D2" w:rsidP="2B21198B">
      <w:pPr>
        <w:pStyle w:val="3-BodyText"/>
      </w:pPr>
      <w:bookmarkStart w:id="52" w:name="_Ref198111954"/>
      <w:r w:rsidRPr="004A0905">
        <w:rPr>
          <w:rFonts w:eastAsia="Calibri"/>
        </w:rPr>
        <w:t>The</w:t>
      </w:r>
      <w:r w:rsidR="00950E5D" w:rsidRPr="004A0905">
        <w:rPr>
          <w:rFonts w:eastAsia="Calibri"/>
        </w:rPr>
        <w:t xml:space="preserve"> evaluation considered the</w:t>
      </w:r>
      <w:r w:rsidRPr="004A0905">
        <w:rPr>
          <w:rFonts w:eastAsia="Calibri"/>
        </w:rPr>
        <w:t xml:space="preserve"> </w:t>
      </w:r>
      <w:r w:rsidR="46651DDB" w:rsidRPr="004A0905">
        <w:rPr>
          <w:rFonts w:eastAsia="Calibri"/>
        </w:rPr>
        <w:t>claim of non-inferior</w:t>
      </w:r>
      <w:r w:rsidR="26E5AFD1" w:rsidRPr="004A0905">
        <w:rPr>
          <w:rFonts w:eastAsia="Calibri"/>
        </w:rPr>
        <w:t xml:space="preserve"> efficacy</w:t>
      </w:r>
      <w:r w:rsidR="46651DDB" w:rsidRPr="004A0905">
        <w:rPr>
          <w:rFonts w:eastAsia="Calibri"/>
        </w:rPr>
        <w:t xml:space="preserve"> </w:t>
      </w:r>
      <w:r w:rsidR="26E5AFD1" w:rsidRPr="004A0905">
        <w:rPr>
          <w:rFonts w:eastAsia="Calibri"/>
        </w:rPr>
        <w:t>versus</w:t>
      </w:r>
      <w:r w:rsidR="46651DDB" w:rsidRPr="004A0905">
        <w:rPr>
          <w:rFonts w:eastAsia="Calibri"/>
        </w:rPr>
        <w:t xml:space="preserve"> adalimumab in 16</w:t>
      </w:r>
      <w:r w:rsidR="0070641F">
        <w:rPr>
          <w:rFonts w:eastAsia="Calibri"/>
        </w:rPr>
        <w:t> </w:t>
      </w:r>
      <w:r w:rsidR="46651DDB" w:rsidRPr="004A0905">
        <w:rPr>
          <w:rFonts w:eastAsia="Calibri"/>
        </w:rPr>
        <w:t>weeks treatment was not adequately supported</w:t>
      </w:r>
      <w:r w:rsidR="74605099" w:rsidRPr="004A0905">
        <w:rPr>
          <w:rFonts w:eastAsia="Calibri"/>
        </w:rPr>
        <w:t xml:space="preserve"> based on the RCT evidence alone</w:t>
      </w:r>
      <w:r w:rsidR="46651DDB" w:rsidRPr="004A0905">
        <w:rPr>
          <w:rFonts w:eastAsia="Calibri"/>
        </w:rPr>
        <w:t xml:space="preserve"> because of the high risk of bias in the key trials of adalimumab and the issues with the handling of missing data in the bimekizumab trials</w:t>
      </w:r>
      <w:r w:rsidR="679A0F7D" w:rsidRPr="004A0905">
        <w:rPr>
          <w:rFonts w:eastAsia="Calibri"/>
        </w:rPr>
        <w:t>;</w:t>
      </w:r>
      <w:r w:rsidR="46651DDB" w:rsidRPr="004A0905">
        <w:rPr>
          <w:rFonts w:eastAsia="Calibri"/>
        </w:rPr>
        <w:t xml:space="preserve"> but</w:t>
      </w:r>
      <w:r w:rsidR="00950E5D" w:rsidRPr="004A0905">
        <w:rPr>
          <w:rFonts w:eastAsia="Calibri"/>
        </w:rPr>
        <w:t xml:space="preserve"> the evaluation and ESC considered that, taking into account the</w:t>
      </w:r>
      <w:r w:rsidR="46651DDB" w:rsidRPr="004A0905">
        <w:rPr>
          <w:rFonts w:eastAsia="Calibri"/>
        </w:rPr>
        <w:t xml:space="preserve"> totality of the evidence</w:t>
      </w:r>
      <w:r w:rsidR="679A0F7D" w:rsidRPr="004A0905">
        <w:rPr>
          <w:rFonts w:eastAsia="Calibri"/>
        </w:rPr>
        <w:t>,</w:t>
      </w:r>
      <w:r w:rsidR="00950E5D" w:rsidRPr="004A0905">
        <w:rPr>
          <w:rFonts w:eastAsia="Calibri"/>
        </w:rPr>
        <w:t xml:space="preserve"> the claim</w:t>
      </w:r>
      <w:r w:rsidR="46651DDB" w:rsidRPr="004A0905">
        <w:rPr>
          <w:rFonts w:eastAsia="Calibri"/>
        </w:rPr>
        <w:t xml:space="preserve"> is probably reasonable.</w:t>
      </w:r>
      <w:bookmarkEnd w:id="52"/>
      <w:r w:rsidR="00C42359" w:rsidRPr="004A0905">
        <w:rPr>
          <w:rFonts w:eastAsia="Calibri"/>
        </w:rPr>
        <w:t xml:space="preserve"> </w:t>
      </w:r>
    </w:p>
    <w:p w14:paraId="7DFA47D9" w14:textId="1E82F250" w:rsidR="00AB3CC0" w:rsidRPr="000855AE" w:rsidRDefault="00950E5D" w:rsidP="2B21198B">
      <w:pPr>
        <w:pStyle w:val="3-BodyText"/>
      </w:pPr>
      <w:r w:rsidRPr="004A0905">
        <w:rPr>
          <w:rFonts w:eastAsia="Calibri"/>
        </w:rPr>
        <w:t>The evaluation and ESC considered t</w:t>
      </w:r>
      <w:r w:rsidR="26E5AFD1" w:rsidRPr="004A0905">
        <w:rPr>
          <w:rFonts w:eastAsia="Calibri"/>
        </w:rPr>
        <w:t xml:space="preserve">he claims of non-inferior safety </w:t>
      </w:r>
      <w:r w:rsidR="4296EAB7" w:rsidRPr="004A0905">
        <w:rPr>
          <w:rFonts w:eastAsia="Calibri"/>
        </w:rPr>
        <w:t xml:space="preserve">relative to </w:t>
      </w:r>
      <w:r w:rsidR="4296EAB7" w:rsidRPr="000855AE">
        <w:rPr>
          <w:rFonts w:eastAsia="Calibri"/>
        </w:rPr>
        <w:t xml:space="preserve">adalimumab and secukinumab were adequately justified. </w:t>
      </w:r>
      <w:bookmarkStart w:id="53" w:name="_Toc22897645"/>
    </w:p>
    <w:p w14:paraId="41261D3F" w14:textId="4856AF50" w:rsidR="004A1CB2" w:rsidRPr="000855AE" w:rsidRDefault="004A1CB2" w:rsidP="004A1CB2">
      <w:pPr>
        <w:pStyle w:val="3-BodyText"/>
        <w:rPr>
          <w:snapToGrid w:val="0"/>
        </w:rPr>
      </w:pPr>
      <w:bookmarkStart w:id="54" w:name="_Hlk76376200"/>
      <w:r w:rsidRPr="000855AE">
        <w:rPr>
          <w:iCs/>
          <w:snapToGrid w:val="0"/>
        </w:rPr>
        <w:t>The</w:t>
      </w:r>
      <w:r w:rsidRPr="000855AE">
        <w:rPr>
          <w:snapToGrid w:val="0"/>
        </w:rPr>
        <w:t xml:space="preserve"> PBAC considered that the claim of superior comparative effectiveness</w:t>
      </w:r>
      <w:r w:rsidR="00F344B8" w:rsidRPr="000855AE">
        <w:rPr>
          <w:snapToGrid w:val="0"/>
        </w:rPr>
        <w:t xml:space="preserve"> to secukinumab at 16 weeks and 48 weeks</w:t>
      </w:r>
      <w:r w:rsidR="00CE6377">
        <w:rPr>
          <w:snapToGrid w:val="0"/>
        </w:rPr>
        <w:t xml:space="preserve"> was</w:t>
      </w:r>
      <w:r w:rsidRPr="000855AE">
        <w:rPr>
          <w:snapToGrid w:val="0"/>
        </w:rPr>
        <w:t xml:space="preserve"> </w:t>
      </w:r>
      <w:r w:rsidR="00F344B8" w:rsidRPr="000855AE">
        <w:rPr>
          <w:snapToGrid w:val="0"/>
        </w:rPr>
        <w:t>overall likely not supported by the available data. The PBAC considered the claim of non-inferiority to adalimumab a</w:t>
      </w:r>
      <w:r w:rsidR="009D2887">
        <w:rPr>
          <w:snapToGrid w:val="0"/>
        </w:rPr>
        <w:t>t</w:t>
      </w:r>
      <w:r w:rsidR="00F344B8" w:rsidRPr="000855AE">
        <w:rPr>
          <w:snapToGrid w:val="0"/>
        </w:rPr>
        <w:t>16 weeks was</w:t>
      </w:r>
      <w:r w:rsidR="005B6BEA" w:rsidRPr="000855AE">
        <w:rPr>
          <w:snapToGrid w:val="0"/>
        </w:rPr>
        <w:t xml:space="preserve"> overall reasonable, however the </w:t>
      </w:r>
      <w:r w:rsidR="00B00EE8" w:rsidRPr="000855AE">
        <w:rPr>
          <w:snapToGrid w:val="0"/>
        </w:rPr>
        <w:t xml:space="preserve">claim of superiority beyond 48 weeks was not adequately supported </w:t>
      </w:r>
      <w:r w:rsidR="007B37F9" w:rsidRPr="000855AE">
        <w:rPr>
          <w:snapToGrid w:val="0"/>
        </w:rPr>
        <w:t xml:space="preserve">due to difficulties interpreting the </w:t>
      </w:r>
      <w:r w:rsidR="000855AE" w:rsidRPr="000855AE">
        <w:rPr>
          <w:snapToGrid w:val="0"/>
        </w:rPr>
        <w:t xml:space="preserve">available data. Overall, the PBAC considered a claim of non-inferior comparative effectiveness across both 16 </w:t>
      </w:r>
      <w:r w:rsidR="000855AE" w:rsidRPr="000855AE">
        <w:rPr>
          <w:snapToGrid w:val="0"/>
        </w:rPr>
        <w:lastRenderedPageBreak/>
        <w:t xml:space="preserve">and 48 weeks of treatment to both secukinumab and adalimumab was likely supported by the data. </w:t>
      </w:r>
    </w:p>
    <w:p w14:paraId="6E3CBE85" w14:textId="25C1E209" w:rsidR="004A1CB2" w:rsidRPr="000855AE" w:rsidRDefault="004A1CB2" w:rsidP="004A1CB2">
      <w:pPr>
        <w:pStyle w:val="3-BodyText"/>
        <w:rPr>
          <w:snapToGrid w:val="0"/>
        </w:rPr>
      </w:pPr>
      <w:r w:rsidRPr="000855AE">
        <w:rPr>
          <w:snapToGrid w:val="0"/>
        </w:rPr>
        <w:t>The PBAC considered that the claim of non-inferior comparative safety</w:t>
      </w:r>
      <w:r w:rsidR="000855AE" w:rsidRPr="000855AE">
        <w:rPr>
          <w:snapToGrid w:val="0"/>
        </w:rPr>
        <w:t xml:space="preserve"> to secukinumab and adalimumab</w:t>
      </w:r>
      <w:r w:rsidRPr="000855AE">
        <w:rPr>
          <w:snapToGrid w:val="0"/>
        </w:rPr>
        <w:t xml:space="preserve"> was reasonable</w:t>
      </w:r>
      <w:r w:rsidR="000855AE" w:rsidRPr="000855AE">
        <w:rPr>
          <w:snapToGrid w:val="0"/>
        </w:rPr>
        <w:t>.</w:t>
      </w:r>
    </w:p>
    <w:p w14:paraId="74A1172E" w14:textId="207685DE" w:rsidR="00B60939" w:rsidRPr="0098262F" w:rsidRDefault="00B60939" w:rsidP="00816C13">
      <w:pPr>
        <w:pStyle w:val="4-SubsectionHeading"/>
      </w:pPr>
      <w:bookmarkStart w:id="55" w:name="_Toc192760456"/>
      <w:bookmarkEnd w:id="54"/>
      <w:r w:rsidRPr="0098262F">
        <w:t>Economic analysis</w:t>
      </w:r>
      <w:bookmarkEnd w:id="53"/>
      <w:bookmarkEnd w:id="55"/>
      <w:r w:rsidR="00491B3A" w:rsidRPr="0098262F">
        <w:t xml:space="preserve"> </w:t>
      </w:r>
    </w:p>
    <w:p w14:paraId="4B8239D3" w14:textId="5B00227B" w:rsidR="00835A05" w:rsidRPr="00B677A6" w:rsidRDefault="00835A05" w:rsidP="000C4A3B">
      <w:pPr>
        <w:pStyle w:val="3-BodyText"/>
      </w:pPr>
      <w:r w:rsidRPr="00B677A6">
        <w:t xml:space="preserve">The submission presented a cost minimisation approach </w:t>
      </w:r>
      <w:r w:rsidR="00FD385B" w:rsidRPr="00B677A6">
        <w:t xml:space="preserve">for </w:t>
      </w:r>
      <w:r w:rsidRPr="00B677A6">
        <w:t xml:space="preserve">the economic analysis. The key components in the analysis are summarised in </w:t>
      </w:r>
      <w:r w:rsidR="002B4E57" w:rsidRPr="00B677A6">
        <w:fldChar w:fldCharType="begin"/>
      </w:r>
      <w:r w:rsidR="002B4E57" w:rsidRPr="00B677A6">
        <w:instrText xml:space="preserve"> REF _Ref188784304 \h </w:instrText>
      </w:r>
      <w:r w:rsidR="00B677A6" w:rsidRPr="00B677A6">
        <w:instrText xml:space="preserve"> \* MERGEFORMAT </w:instrText>
      </w:r>
      <w:r w:rsidR="002B4E57" w:rsidRPr="00B677A6">
        <w:fldChar w:fldCharType="separate"/>
      </w:r>
      <w:r w:rsidR="00184DE0" w:rsidRPr="00B677A6">
        <w:t xml:space="preserve">Table </w:t>
      </w:r>
      <w:r w:rsidR="00184DE0">
        <w:rPr>
          <w:noProof/>
        </w:rPr>
        <w:t>9</w:t>
      </w:r>
      <w:r w:rsidR="002B4E57" w:rsidRPr="00B677A6">
        <w:fldChar w:fldCharType="end"/>
      </w:r>
      <w:r w:rsidR="002B4E57" w:rsidRPr="00B677A6">
        <w:t>.</w:t>
      </w:r>
    </w:p>
    <w:p w14:paraId="436C4872" w14:textId="4E634C44" w:rsidR="00835A05" w:rsidRPr="00B677A6" w:rsidRDefault="00486071" w:rsidP="00486071">
      <w:pPr>
        <w:pStyle w:val="Caption"/>
        <w:rPr>
          <w:rStyle w:val="CommentReference"/>
          <w:b/>
          <w:szCs w:val="24"/>
        </w:rPr>
      </w:pPr>
      <w:bookmarkStart w:id="56" w:name="_Ref188784304"/>
      <w:r w:rsidRPr="00B677A6">
        <w:t xml:space="preserve">Table </w:t>
      </w:r>
      <w:r w:rsidR="00C45318">
        <w:fldChar w:fldCharType="begin"/>
      </w:r>
      <w:r w:rsidR="00C45318">
        <w:instrText xml:space="preserve"> SEQ Table \* ARABIC </w:instrText>
      </w:r>
      <w:r w:rsidR="00C45318">
        <w:fldChar w:fldCharType="separate"/>
      </w:r>
      <w:r w:rsidR="00184DE0">
        <w:rPr>
          <w:noProof/>
        </w:rPr>
        <w:t>9</w:t>
      </w:r>
      <w:r w:rsidR="00C45318">
        <w:rPr>
          <w:noProof/>
        </w:rPr>
        <w:fldChar w:fldCharType="end"/>
      </w:r>
      <w:bookmarkEnd w:id="56"/>
      <w:r w:rsidRPr="00B677A6">
        <w:t xml:space="preserve">: </w:t>
      </w:r>
      <w:r w:rsidR="00835A05" w:rsidRPr="00B677A6">
        <w:rPr>
          <w:rStyle w:val="CommentReference"/>
          <w:b/>
          <w:szCs w:val="24"/>
        </w:rPr>
        <w:t>Key components and assumptions of the cost-minimisation approach</w:t>
      </w:r>
    </w:p>
    <w:tbl>
      <w:tblPr>
        <w:tblStyle w:val="TableGrid"/>
        <w:tblW w:w="9180" w:type="dxa"/>
        <w:tblLook w:val="04A0" w:firstRow="1" w:lastRow="0" w:firstColumn="1" w:lastColumn="0" w:noHBand="0" w:noVBand="1"/>
      </w:tblPr>
      <w:tblGrid>
        <w:gridCol w:w="1980"/>
        <w:gridCol w:w="7200"/>
      </w:tblGrid>
      <w:tr w:rsidR="00835A05" w:rsidRPr="00B677A6" w14:paraId="303A52E8" w14:textId="77777777" w:rsidTr="00AB1856">
        <w:tc>
          <w:tcPr>
            <w:tcW w:w="1980" w:type="dxa"/>
          </w:tcPr>
          <w:p w14:paraId="2C241276" w14:textId="77777777" w:rsidR="00835A05" w:rsidRPr="00B677A6" w:rsidRDefault="00835A05">
            <w:pPr>
              <w:pStyle w:val="In-tableHeading"/>
              <w:rPr>
                <w:lang w:val="en-AU"/>
              </w:rPr>
            </w:pPr>
            <w:r w:rsidRPr="00B677A6">
              <w:rPr>
                <w:lang w:val="en-AU"/>
              </w:rPr>
              <w:t>Component</w:t>
            </w:r>
          </w:p>
        </w:tc>
        <w:tc>
          <w:tcPr>
            <w:tcW w:w="7200" w:type="dxa"/>
          </w:tcPr>
          <w:p w14:paraId="7EE4F28F" w14:textId="77777777" w:rsidR="00835A05" w:rsidRPr="00B677A6" w:rsidRDefault="00835A05">
            <w:pPr>
              <w:pStyle w:val="In-tableHeading"/>
              <w:rPr>
                <w:lang w:val="en-AU"/>
              </w:rPr>
            </w:pPr>
            <w:r w:rsidRPr="00B677A6">
              <w:rPr>
                <w:lang w:val="en-AU"/>
              </w:rPr>
              <w:t>Claim or assumption</w:t>
            </w:r>
          </w:p>
        </w:tc>
      </w:tr>
      <w:tr w:rsidR="00835A05" w:rsidRPr="00B677A6" w14:paraId="5FBCE80F" w14:textId="77777777" w:rsidTr="00AB1856">
        <w:tc>
          <w:tcPr>
            <w:tcW w:w="1980" w:type="dxa"/>
          </w:tcPr>
          <w:p w14:paraId="488B6AF8" w14:textId="77777777" w:rsidR="00835A05" w:rsidRPr="00B677A6" w:rsidRDefault="00835A05">
            <w:pPr>
              <w:pStyle w:val="TableText0"/>
            </w:pPr>
            <w:r w:rsidRPr="00B677A6">
              <w:t>Therapeutic claim: effectiveness</w:t>
            </w:r>
          </w:p>
        </w:tc>
        <w:tc>
          <w:tcPr>
            <w:tcW w:w="7200" w:type="dxa"/>
          </w:tcPr>
          <w:p w14:paraId="27937A05" w14:textId="36081774" w:rsidR="00835A05" w:rsidRPr="00B677A6" w:rsidRDefault="00835A05">
            <w:pPr>
              <w:pStyle w:val="TableText0"/>
            </w:pPr>
            <w:r w:rsidRPr="00B677A6">
              <w:t>Based on evidence presented in Section 2, effectiveness of bimekizumab is assumed to be superior to secukinumab and non-inferior to adalimumab</w:t>
            </w:r>
          </w:p>
        </w:tc>
      </w:tr>
      <w:tr w:rsidR="00835A05" w:rsidRPr="00B677A6" w14:paraId="4A220C39" w14:textId="77777777" w:rsidTr="00AB1856">
        <w:tc>
          <w:tcPr>
            <w:tcW w:w="1980" w:type="dxa"/>
          </w:tcPr>
          <w:p w14:paraId="6D1F63E9" w14:textId="77777777" w:rsidR="00835A05" w:rsidRPr="00B677A6" w:rsidRDefault="00835A05">
            <w:pPr>
              <w:pStyle w:val="TableText0"/>
            </w:pPr>
            <w:r w:rsidRPr="00B677A6">
              <w:t>Therapeutic claim: safety</w:t>
            </w:r>
          </w:p>
        </w:tc>
        <w:tc>
          <w:tcPr>
            <w:tcW w:w="7200" w:type="dxa"/>
          </w:tcPr>
          <w:p w14:paraId="6848C107" w14:textId="62836159" w:rsidR="00835A05" w:rsidRPr="00B677A6" w:rsidRDefault="00835A05">
            <w:pPr>
              <w:pStyle w:val="TableText0"/>
            </w:pPr>
            <w:r w:rsidRPr="00B677A6">
              <w:t>Based on evidence presented in Section 2, safety is assumed to be non-inferior no secukinumab and adalimumab with potential benefits compared to adalimumab due to reduced injection frequency.</w:t>
            </w:r>
          </w:p>
        </w:tc>
      </w:tr>
      <w:tr w:rsidR="00835A05" w:rsidRPr="00B677A6" w14:paraId="426ED471" w14:textId="77777777" w:rsidTr="00AB1856">
        <w:tc>
          <w:tcPr>
            <w:tcW w:w="1980" w:type="dxa"/>
          </w:tcPr>
          <w:p w14:paraId="173BC904" w14:textId="77777777" w:rsidR="00835A05" w:rsidRPr="00B677A6" w:rsidRDefault="00835A05">
            <w:pPr>
              <w:pStyle w:val="TableText0"/>
            </w:pPr>
            <w:r w:rsidRPr="00B677A6">
              <w:t>Evidence base</w:t>
            </w:r>
          </w:p>
        </w:tc>
        <w:tc>
          <w:tcPr>
            <w:tcW w:w="7200" w:type="dxa"/>
          </w:tcPr>
          <w:p w14:paraId="6B9B5DEA" w14:textId="66DCFE91" w:rsidR="00835A05" w:rsidRPr="00B677A6" w:rsidRDefault="00835A05">
            <w:pPr>
              <w:pStyle w:val="TableText0"/>
            </w:pPr>
            <w:r w:rsidRPr="00B677A6">
              <w:t>Indirect comparison of randomised placeb</w:t>
            </w:r>
            <w:r w:rsidR="00415217" w:rsidRPr="00B677A6">
              <w:t>o-</w:t>
            </w:r>
            <w:r w:rsidRPr="00B677A6">
              <w:t>controlled trials.</w:t>
            </w:r>
          </w:p>
        </w:tc>
      </w:tr>
      <w:tr w:rsidR="00835A05" w:rsidRPr="00B677A6" w14:paraId="215F8F0B" w14:textId="77777777" w:rsidTr="00AB1856">
        <w:tc>
          <w:tcPr>
            <w:tcW w:w="1980" w:type="dxa"/>
          </w:tcPr>
          <w:p w14:paraId="30D8C540" w14:textId="77777777" w:rsidR="00835A05" w:rsidRPr="00B677A6" w:rsidRDefault="00835A05">
            <w:pPr>
              <w:pStyle w:val="TableText0"/>
            </w:pPr>
            <w:r w:rsidRPr="00B677A6">
              <w:t>Equi-effective doses</w:t>
            </w:r>
          </w:p>
        </w:tc>
        <w:tc>
          <w:tcPr>
            <w:tcW w:w="7200" w:type="dxa"/>
          </w:tcPr>
          <w:p w14:paraId="4BD1E294" w14:textId="6E61A037" w:rsidR="00835A05" w:rsidRPr="00B677A6" w:rsidRDefault="00835A05" w:rsidP="00835A05">
            <w:pPr>
              <w:pStyle w:val="TableText0"/>
            </w:pPr>
            <w:r w:rsidRPr="00B677A6">
              <w:t xml:space="preserve">The </w:t>
            </w:r>
            <w:proofErr w:type="spellStart"/>
            <w:r w:rsidRPr="00B677A6">
              <w:t>equi</w:t>
            </w:r>
            <w:proofErr w:type="spellEnd"/>
            <w:r w:rsidRPr="00B677A6">
              <w:t>-effective doses are based on the PIs and PBAC recommendation for SEC (Nov 2023):</w:t>
            </w:r>
          </w:p>
          <w:p w14:paraId="4DEE16F7" w14:textId="77777777" w:rsidR="00835A05" w:rsidRPr="00B677A6" w:rsidRDefault="00835A05" w:rsidP="00835A05">
            <w:pPr>
              <w:pStyle w:val="TableText0"/>
            </w:pPr>
          </w:p>
          <w:p w14:paraId="41F3DB58" w14:textId="77777777" w:rsidR="00835A05" w:rsidRPr="00B677A6" w:rsidRDefault="00835A05" w:rsidP="00835A05">
            <w:pPr>
              <w:pStyle w:val="TableText0"/>
            </w:pPr>
            <w:r w:rsidRPr="00B677A6">
              <w:t>BKZ 320 mg every 2 weeks up to Week 16 and every 4 weeks thereafter (30.25 x 320 mg doses over two years)</w:t>
            </w:r>
          </w:p>
          <w:p w14:paraId="4332A219" w14:textId="77777777" w:rsidR="00835A05" w:rsidRPr="00B677A6" w:rsidRDefault="00835A05" w:rsidP="00835A05">
            <w:pPr>
              <w:pStyle w:val="TableText0"/>
            </w:pPr>
          </w:p>
          <w:p w14:paraId="08817ED7" w14:textId="4DC922C4" w:rsidR="00835A05" w:rsidRPr="00B677A6" w:rsidRDefault="00835A05" w:rsidP="00835A05">
            <w:pPr>
              <w:pStyle w:val="TableText0"/>
            </w:pPr>
            <w:r w:rsidRPr="00B677A6">
              <w:t xml:space="preserve">SEC 300 mg weekly for 5 doses then SEC 300 mg </w:t>
            </w:r>
            <w:r w:rsidR="00A87BA5">
              <w:t>every</w:t>
            </w:r>
            <w:r w:rsidRPr="00B677A6">
              <w:t xml:space="preserve"> 4 weeks (80%) or SEC 300 mg every 2 weeks (20%) (29.25 x 300 mg doses over two years OR 5 x 300 mg doses plus 49.5 x 150 mg doses over two years). Using an 80:20 split from PBAC recommendation equals on average 34.3 x 300 mg doses of SEC over two years</w:t>
            </w:r>
          </w:p>
          <w:p w14:paraId="6AEBA4D7" w14:textId="77777777" w:rsidR="00835A05" w:rsidRPr="00B677A6" w:rsidRDefault="00835A05" w:rsidP="00835A05">
            <w:pPr>
              <w:pStyle w:val="TableText0"/>
            </w:pPr>
          </w:p>
          <w:p w14:paraId="0713E5B2" w14:textId="6D1FC8C9" w:rsidR="00835A05" w:rsidRPr="00B677A6" w:rsidRDefault="00835A05" w:rsidP="00835A05">
            <w:pPr>
              <w:pStyle w:val="TableText0"/>
            </w:pPr>
            <w:r w:rsidRPr="00B677A6">
              <w:t>ADA 160 mg initially at Day 1 followed by 80 mg two weeks later at Day 15 two weeks later continue with a dose of 40 mg every week or 80 mg fortnightly (53.5 x 80 mg doses over two years).</w:t>
            </w:r>
          </w:p>
        </w:tc>
      </w:tr>
      <w:tr w:rsidR="00835A05" w:rsidRPr="00B677A6" w14:paraId="1AC26BA1" w14:textId="77777777" w:rsidTr="00AB1856">
        <w:tc>
          <w:tcPr>
            <w:tcW w:w="1980" w:type="dxa"/>
          </w:tcPr>
          <w:p w14:paraId="69FF675E" w14:textId="77777777" w:rsidR="00835A05" w:rsidRPr="00B677A6" w:rsidRDefault="00835A05">
            <w:pPr>
              <w:pStyle w:val="TableText0"/>
            </w:pPr>
            <w:r w:rsidRPr="00B677A6">
              <w:t>Direct medicine costs</w:t>
            </w:r>
          </w:p>
        </w:tc>
        <w:tc>
          <w:tcPr>
            <w:tcW w:w="7200" w:type="dxa"/>
          </w:tcPr>
          <w:p w14:paraId="43937AA9" w14:textId="77777777" w:rsidR="00835A05" w:rsidRPr="00B677A6" w:rsidRDefault="00835A05" w:rsidP="00835A05">
            <w:pPr>
              <w:pStyle w:val="TableText0"/>
            </w:pPr>
            <w:r w:rsidRPr="00B677A6">
              <w:t>Cost minimisation of BKZ and SEC is based on the dosage recommendations in the PIs and PBAC recommendation over a 2-year period, which captures the loading and maintenance doses. Total costs of treatment are calculated over the 2-year period and the AEMP is calculated for BKZ based on the required number of packs.</w:t>
            </w:r>
          </w:p>
          <w:p w14:paraId="0BD589A7" w14:textId="77777777" w:rsidR="00835A05" w:rsidRPr="00B677A6" w:rsidRDefault="00835A05" w:rsidP="00835A05">
            <w:pPr>
              <w:pStyle w:val="TableText0"/>
            </w:pPr>
          </w:p>
          <w:p w14:paraId="1A0E8BF6" w14:textId="32E72D0C" w:rsidR="00835A05" w:rsidRPr="00E85E5C" w:rsidRDefault="00835A05" w:rsidP="00835A05">
            <w:pPr>
              <w:pStyle w:val="TableText0"/>
            </w:pPr>
            <w:r w:rsidRPr="00E85E5C">
              <w:t>The total two-year cost (AEMP) of SEC is $45,158.01 using published prices.</w:t>
            </w:r>
          </w:p>
          <w:p w14:paraId="062D8134" w14:textId="3B1C0A00" w:rsidR="00835A05" w:rsidRPr="00B677A6" w:rsidRDefault="00835A05" w:rsidP="00835A05">
            <w:pPr>
              <w:pStyle w:val="TableText0"/>
            </w:pPr>
            <w:r w:rsidRPr="00E85E5C">
              <w:t>The proposed AEMP of BKZ 320 mg using the SEC visible price is calculated to be $1,492.83 ($45,158.01/30.25), which is a DPMQ of $1,632.78 for 2 x 160 mg syringes</w:t>
            </w:r>
          </w:p>
        </w:tc>
      </w:tr>
      <w:tr w:rsidR="00835A05" w:rsidRPr="00B677A6" w14:paraId="35847070" w14:textId="77777777" w:rsidTr="00AB1856">
        <w:tc>
          <w:tcPr>
            <w:tcW w:w="1980" w:type="dxa"/>
          </w:tcPr>
          <w:p w14:paraId="2FA7BAC2" w14:textId="77777777" w:rsidR="00835A05" w:rsidRPr="00B677A6" w:rsidRDefault="00835A05">
            <w:pPr>
              <w:pStyle w:val="TableText0"/>
            </w:pPr>
            <w:r w:rsidRPr="00B677A6">
              <w:t>Other costs or cost offsets</w:t>
            </w:r>
          </w:p>
        </w:tc>
        <w:tc>
          <w:tcPr>
            <w:tcW w:w="7200" w:type="dxa"/>
          </w:tcPr>
          <w:p w14:paraId="50B471F4" w14:textId="43F30929" w:rsidR="00835A05" w:rsidRPr="00B677A6" w:rsidRDefault="00835A05">
            <w:pPr>
              <w:pStyle w:val="TableText0"/>
            </w:pPr>
            <w:r w:rsidRPr="00B677A6">
              <w:t>None</w:t>
            </w:r>
          </w:p>
        </w:tc>
      </w:tr>
    </w:tbl>
    <w:p w14:paraId="34DA4783" w14:textId="6898081D" w:rsidR="00835A05" w:rsidRPr="00B677A6" w:rsidRDefault="00835A05" w:rsidP="00835A05">
      <w:pPr>
        <w:pStyle w:val="FooterTableFigure"/>
        <w:rPr>
          <w:sz w:val="20"/>
        </w:rPr>
      </w:pPr>
      <w:r w:rsidRPr="00B677A6">
        <w:t xml:space="preserve">Source: Table 3.1.1, pp197-198 of the submission. </w:t>
      </w:r>
      <w:r w:rsidRPr="00B677A6">
        <w:rPr>
          <w:lang w:val="en-US"/>
        </w:rPr>
        <w:t xml:space="preserve">ADA = adalimumab, AEMP = approved ex-manufacture price, BKZ = bimekizumab, DPMQ = dispensed price max quantity, EED = </w:t>
      </w:r>
      <w:proofErr w:type="spellStart"/>
      <w:r w:rsidRPr="00B677A6">
        <w:rPr>
          <w:lang w:val="en-US"/>
        </w:rPr>
        <w:t>equi</w:t>
      </w:r>
      <w:proofErr w:type="spellEnd"/>
      <w:r w:rsidRPr="00B677A6">
        <w:rPr>
          <w:lang w:val="en-US"/>
        </w:rPr>
        <w:t>-effective dose, mg = milligram, PBS = Pharmaceutical Benefits Scheme, PI = Product Information, SEC = secukinumab</w:t>
      </w:r>
    </w:p>
    <w:p w14:paraId="6107A2AA" w14:textId="1450DAD1" w:rsidR="00402812" w:rsidRPr="00B677A6" w:rsidRDefault="00A86E8B" w:rsidP="00BB732D">
      <w:pPr>
        <w:pStyle w:val="3-BodyText"/>
      </w:pPr>
      <w:r w:rsidRPr="00B677A6">
        <w:t xml:space="preserve">The </w:t>
      </w:r>
      <w:proofErr w:type="spellStart"/>
      <w:r w:rsidRPr="00B677A6">
        <w:t>equi</w:t>
      </w:r>
      <w:proofErr w:type="spellEnd"/>
      <w:r w:rsidRPr="00B677A6">
        <w:t xml:space="preserve">-effective doses </w:t>
      </w:r>
      <w:r w:rsidR="00F61C18" w:rsidRPr="00B677A6">
        <w:t>we</w:t>
      </w:r>
      <w:r w:rsidRPr="00B677A6">
        <w:t>re</w:t>
      </w:r>
      <w:r w:rsidR="00F57A54" w:rsidRPr="00B677A6">
        <w:t xml:space="preserve"> </w:t>
      </w:r>
      <w:r w:rsidR="00835A05" w:rsidRPr="00B677A6">
        <w:t>based on the PBAC recommendation for secukinumab from November 2023</w:t>
      </w:r>
      <w:r w:rsidR="00F57A54" w:rsidRPr="00B677A6">
        <w:t xml:space="preserve"> and were </w:t>
      </w:r>
      <w:r w:rsidRPr="00B677A6">
        <w:t>estimated as</w:t>
      </w:r>
      <w:r w:rsidR="00F57A54" w:rsidRPr="00B677A6">
        <w:t>:</w:t>
      </w:r>
    </w:p>
    <w:p w14:paraId="1FA1CDF0" w14:textId="7F35AA3C" w:rsidR="00F57A54" w:rsidRPr="00DE6F25" w:rsidRDefault="00F57A54" w:rsidP="00DE6F25">
      <w:pPr>
        <w:pStyle w:val="ListParagraph"/>
        <w:ind w:left="1134"/>
        <w:jc w:val="both"/>
      </w:pPr>
      <w:r w:rsidRPr="00DE6F25">
        <w:t>BKZ 320 mg every 2 weeks up to Week 16 and every 4 weeks thereafter (30.25 x 320 mg doses over two years);</w:t>
      </w:r>
    </w:p>
    <w:p w14:paraId="75A35DB3" w14:textId="63CB8C3D" w:rsidR="00F57A54" w:rsidRPr="00DE6F25" w:rsidRDefault="00F57A54" w:rsidP="00DE6F25">
      <w:pPr>
        <w:pStyle w:val="ListParagraph"/>
        <w:ind w:left="1134"/>
        <w:jc w:val="both"/>
      </w:pPr>
      <w:r w:rsidRPr="00DE6F25">
        <w:t xml:space="preserve">SEC 300 mg weekly for 5 doses </w:t>
      </w:r>
      <w:r w:rsidR="002D501C" w:rsidRPr="00DE6F25">
        <w:t xml:space="preserve">(weeks 0, 1, 2, 3, 4) </w:t>
      </w:r>
      <w:r w:rsidRPr="00DE6F25">
        <w:t xml:space="preserve">then SEC 300 mg </w:t>
      </w:r>
      <w:r w:rsidR="006F218B" w:rsidRPr="00DE6F25">
        <w:t>every</w:t>
      </w:r>
      <w:r w:rsidRPr="00DE6F25">
        <w:t xml:space="preserve"> 4 weeks (80%) or SEC 300 mg every 2 weeks (20%) (29.25 x 300 mg doses over two years </w:t>
      </w:r>
      <w:r w:rsidRPr="00DE6F25">
        <w:lastRenderedPageBreak/>
        <w:t xml:space="preserve">OR 5 x 300 mg doses plus 49.5 x 150 mg doses over two years). Using an 80:20 split from </w:t>
      </w:r>
      <w:r w:rsidR="00903D9D" w:rsidRPr="00DE6F25">
        <w:t xml:space="preserve">the </w:t>
      </w:r>
      <w:r w:rsidRPr="00DE6F25">
        <w:t>PBAC recommendation equals on average 34.3 x 300 mg doses of SEC over two years;</w:t>
      </w:r>
      <w:r w:rsidR="00AC5B34" w:rsidRPr="00DE6F25">
        <w:t xml:space="preserve"> and</w:t>
      </w:r>
    </w:p>
    <w:p w14:paraId="400EEE70" w14:textId="7F8A72B1" w:rsidR="00F57A54" w:rsidRPr="00DE6F25" w:rsidRDefault="00F57A54" w:rsidP="00DE6F25">
      <w:pPr>
        <w:pStyle w:val="ListParagraph"/>
        <w:ind w:left="1134"/>
        <w:jc w:val="both"/>
      </w:pPr>
      <w:r w:rsidRPr="00DE6F25">
        <w:t xml:space="preserve">ADA 160 mg initially at Day 1 followed by 80 mg two weeks later at Day 15 </w:t>
      </w:r>
      <w:r w:rsidR="00C0354A" w:rsidRPr="00DE6F25">
        <w:t xml:space="preserve">then </w:t>
      </w:r>
      <w:r w:rsidRPr="00DE6F25">
        <w:t>two weeks later continue with a dose of 40 mg every week or 80 mg</w:t>
      </w:r>
      <w:r w:rsidR="00C0354A" w:rsidRPr="00DE6F25">
        <w:t xml:space="preserve"> </w:t>
      </w:r>
      <w:r w:rsidRPr="00DE6F25">
        <w:t>fortnightly (53.5 x 80 mg doses over two years).</w:t>
      </w:r>
    </w:p>
    <w:p w14:paraId="07AF3E68" w14:textId="4AFE05B7" w:rsidR="00D83401" w:rsidRDefault="031AB2AD" w:rsidP="00D83401">
      <w:pPr>
        <w:ind w:left="720"/>
      </w:pPr>
      <w:r w:rsidRPr="00B677A6">
        <w:t>These doses were consistent with the Product Information documents</w:t>
      </w:r>
      <w:r w:rsidR="3C8D8CBE" w:rsidRPr="00B677A6">
        <w:t>, including the draft PI for bimekizumab</w:t>
      </w:r>
      <w:r w:rsidR="00F5676A" w:rsidRPr="00B677A6">
        <w:t xml:space="preserve"> although the dose of secukinumab described in the text for the 2 weekly regime</w:t>
      </w:r>
      <w:r w:rsidR="00E8088E" w:rsidRPr="00B677A6">
        <w:t>n</w:t>
      </w:r>
      <w:r w:rsidR="00F5676A" w:rsidRPr="00B677A6">
        <w:t xml:space="preserve"> should be 300</w:t>
      </w:r>
      <w:r w:rsidR="008D47E5" w:rsidRPr="00B677A6">
        <w:t xml:space="preserve"> </w:t>
      </w:r>
      <w:r w:rsidR="00F5676A" w:rsidRPr="00B677A6">
        <w:t>mg, not 150</w:t>
      </w:r>
      <w:r w:rsidR="008D47E5" w:rsidRPr="00B677A6">
        <w:t xml:space="preserve"> </w:t>
      </w:r>
      <w:r w:rsidR="00F5676A" w:rsidRPr="00B677A6">
        <w:t>mg; 300</w:t>
      </w:r>
      <w:r w:rsidR="008D47E5" w:rsidRPr="00B677A6">
        <w:t xml:space="preserve"> </w:t>
      </w:r>
      <w:r w:rsidR="00F5676A" w:rsidRPr="00B677A6">
        <w:t>mg was used in the calculations in the submission.</w:t>
      </w:r>
      <w:r w:rsidR="00380381">
        <w:t xml:space="preserve"> </w:t>
      </w:r>
      <w:r w:rsidR="007759F4">
        <w:t xml:space="preserve">The Pre-PBAC Response proposed a weighting of bimekizumab initial dose regimens </w:t>
      </w:r>
      <w:r w:rsidR="00194349">
        <w:t>based on 20% Q2W/Q4W use and 80% Q4W use.</w:t>
      </w:r>
    </w:p>
    <w:p w14:paraId="073E505B" w14:textId="20825C76" w:rsidR="001B5CFE" w:rsidRPr="00B677A6" w:rsidRDefault="00D83401" w:rsidP="00DE6F25">
      <w:pPr>
        <w:pStyle w:val="3-BodyText"/>
      </w:pPr>
      <w:r w:rsidRPr="00B677A6">
        <w:t xml:space="preserve">The </w:t>
      </w:r>
      <w:r>
        <w:t xml:space="preserve">use of a </w:t>
      </w:r>
      <w:r w:rsidR="0048566A">
        <w:t>quarter-cycle correction to account for the 104</w:t>
      </w:r>
      <w:r w:rsidR="0048566A" w:rsidRPr="0048566A">
        <w:rPr>
          <w:vertAlign w:val="superscript"/>
        </w:rPr>
        <w:t>th</w:t>
      </w:r>
      <w:r w:rsidR="0048566A">
        <w:t xml:space="preserve"> week is unnecessary, as the standard approach for 2-year </w:t>
      </w:r>
      <w:r w:rsidR="00582337">
        <w:t>cost minimisation approaches</w:t>
      </w:r>
      <w:r w:rsidR="0048566A">
        <w:t xml:space="preserve"> for </w:t>
      </w:r>
      <w:r w:rsidR="00AC52D4">
        <w:t>therapies of this type are calculated to the end of week 103. The</w:t>
      </w:r>
      <w:r w:rsidR="00582337">
        <w:t xml:space="preserve"> calculations below remove</w:t>
      </w:r>
      <w:r w:rsidR="003F6445">
        <w:t>s the additional dose allowance for the 104</w:t>
      </w:r>
      <w:r w:rsidR="003F6445" w:rsidRPr="003F6445">
        <w:rPr>
          <w:vertAlign w:val="superscript"/>
        </w:rPr>
        <w:t>th</w:t>
      </w:r>
      <w:r w:rsidR="003F6445">
        <w:t xml:space="preserve"> week,</w:t>
      </w:r>
      <w:r w:rsidR="00976D19">
        <w:t xml:space="preserve"> and accounts for the bimekizumab induction dose weighting proposed in the Pre-PBAC Response. </w:t>
      </w:r>
      <w:r w:rsidR="031AB2AD" w:rsidRPr="00B677A6">
        <w:t>The results of the cost minimisation calculations using the published prices are shown in</w:t>
      </w:r>
      <w:r w:rsidR="3C8D8CBE" w:rsidRPr="00B677A6">
        <w:t xml:space="preserve"> </w:t>
      </w:r>
      <w:r w:rsidR="4F0AF414" w:rsidRPr="00B677A6">
        <w:fldChar w:fldCharType="begin"/>
      </w:r>
      <w:r w:rsidR="4F0AF414" w:rsidRPr="00B677A6">
        <w:instrText xml:space="preserve"> REF _Ref188786822 \h </w:instrText>
      </w:r>
      <w:r w:rsidR="00B677A6" w:rsidRPr="00B677A6">
        <w:instrText xml:space="preserve"> \* MERGEFORMAT </w:instrText>
      </w:r>
      <w:r w:rsidR="4F0AF414" w:rsidRPr="00B677A6">
        <w:fldChar w:fldCharType="separate"/>
      </w:r>
      <w:r w:rsidR="00184DE0" w:rsidRPr="00B677A6">
        <w:t xml:space="preserve">Table </w:t>
      </w:r>
      <w:r w:rsidR="00184DE0">
        <w:t>10</w:t>
      </w:r>
      <w:r w:rsidR="4F0AF414" w:rsidRPr="00B677A6">
        <w:fldChar w:fldCharType="end"/>
      </w:r>
      <w:r w:rsidR="1ED94AC5" w:rsidRPr="00B677A6">
        <w:t xml:space="preserve">. </w:t>
      </w:r>
      <w:r w:rsidR="0D4205DE" w:rsidRPr="00B677A6">
        <w:t>As the price versus adalimumab was not presented in the submission it has been added, based on AEMP of $618.80/80</w:t>
      </w:r>
      <w:r w:rsidR="00AC1D50">
        <w:t> </w:t>
      </w:r>
      <w:r w:rsidR="0D4205DE" w:rsidRPr="00B677A6">
        <w:t xml:space="preserve">mg injection as of </w:t>
      </w:r>
      <w:r w:rsidR="1A45218D" w:rsidRPr="00B677A6">
        <w:t xml:space="preserve">1 </w:t>
      </w:r>
      <w:r w:rsidR="0D4205DE" w:rsidRPr="00B677A6">
        <w:t>Feb</w:t>
      </w:r>
      <w:r w:rsidR="001B5CFE">
        <w:t>ruary</w:t>
      </w:r>
      <w:r w:rsidR="0D4205DE" w:rsidRPr="00B677A6">
        <w:t xml:space="preserve"> 2025 data. </w:t>
      </w:r>
    </w:p>
    <w:p w14:paraId="6A990E65" w14:textId="103D4392" w:rsidR="00F57A54" w:rsidRPr="00B677A6" w:rsidRDefault="00763910" w:rsidP="00763910">
      <w:pPr>
        <w:pStyle w:val="Caption"/>
      </w:pPr>
      <w:bookmarkStart w:id="57" w:name="_Ref188786822"/>
      <w:r w:rsidRPr="00B677A6">
        <w:t xml:space="preserve">Table </w:t>
      </w:r>
      <w:r w:rsidR="00C45318">
        <w:fldChar w:fldCharType="begin"/>
      </w:r>
      <w:r w:rsidR="00C45318">
        <w:instrText xml:space="preserve"> SEQ Table \* ARABIC </w:instrText>
      </w:r>
      <w:r w:rsidR="00C45318">
        <w:fldChar w:fldCharType="separate"/>
      </w:r>
      <w:r w:rsidR="00184DE0">
        <w:rPr>
          <w:noProof/>
        </w:rPr>
        <w:t>10</w:t>
      </w:r>
      <w:r w:rsidR="00C45318">
        <w:rPr>
          <w:noProof/>
        </w:rPr>
        <w:fldChar w:fldCharType="end"/>
      </w:r>
      <w:bookmarkEnd w:id="57"/>
      <w:r w:rsidRPr="00B677A6">
        <w:t xml:space="preserve">: </w:t>
      </w:r>
      <w:r w:rsidR="00C0354A" w:rsidRPr="00B677A6">
        <w:t xml:space="preserve">Results of the cost minimisation approach, </w:t>
      </w:r>
      <w:r w:rsidR="00F57A54" w:rsidRPr="00B677A6">
        <w:t>over 2 years</w:t>
      </w:r>
      <w:r w:rsidR="00C0354A" w:rsidRPr="00B677A6">
        <w:t>, published prices.</w:t>
      </w:r>
    </w:p>
    <w:tbl>
      <w:tblPr>
        <w:tblStyle w:val="TableGrid"/>
        <w:tblW w:w="0" w:type="auto"/>
        <w:tblLook w:val="04A0" w:firstRow="1" w:lastRow="0" w:firstColumn="1" w:lastColumn="0" w:noHBand="0" w:noVBand="1"/>
      </w:tblPr>
      <w:tblGrid>
        <w:gridCol w:w="2274"/>
        <w:gridCol w:w="2243"/>
        <w:gridCol w:w="2245"/>
        <w:gridCol w:w="2255"/>
      </w:tblGrid>
      <w:tr w:rsidR="00F57A54" w:rsidRPr="00B677A6" w14:paraId="6CC0094B" w14:textId="77777777" w:rsidTr="2B21198B">
        <w:tc>
          <w:tcPr>
            <w:tcW w:w="2280" w:type="dxa"/>
          </w:tcPr>
          <w:p w14:paraId="0CCA3A3F" w14:textId="77777777" w:rsidR="00F57A54" w:rsidRPr="00B677A6" w:rsidRDefault="00F57A54" w:rsidP="00F57A54">
            <w:pPr>
              <w:pStyle w:val="In-tableHeading"/>
            </w:pPr>
            <w:r w:rsidRPr="00B677A6">
              <w:t>Name</w:t>
            </w:r>
          </w:p>
        </w:tc>
        <w:tc>
          <w:tcPr>
            <w:tcW w:w="2223" w:type="dxa"/>
          </w:tcPr>
          <w:p w14:paraId="45293889" w14:textId="77777777" w:rsidR="00F57A54" w:rsidRPr="00B677A6" w:rsidRDefault="00F57A54" w:rsidP="00F57A54">
            <w:pPr>
              <w:pStyle w:val="In-tableHeading"/>
            </w:pPr>
            <w:r w:rsidRPr="00B677A6">
              <w:t>Doses over two years*</w:t>
            </w:r>
          </w:p>
        </w:tc>
        <w:tc>
          <w:tcPr>
            <w:tcW w:w="2252" w:type="dxa"/>
          </w:tcPr>
          <w:p w14:paraId="596ABBB5" w14:textId="77777777" w:rsidR="00F57A54" w:rsidRPr="00B677A6" w:rsidRDefault="00F57A54" w:rsidP="00F57A54">
            <w:pPr>
              <w:pStyle w:val="In-tableHeading"/>
            </w:pPr>
            <w:r w:rsidRPr="00B677A6">
              <w:t>AEMP per dose</w:t>
            </w:r>
          </w:p>
        </w:tc>
        <w:tc>
          <w:tcPr>
            <w:tcW w:w="2262" w:type="dxa"/>
          </w:tcPr>
          <w:p w14:paraId="6EAFE3B8" w14:textId="77777777" w:rsidR="00F57A54" w:rsidRPr="00B677A6" w:rsidRDefault="00F57A54" w:rsidP="00F57A54">
            <w:pPr>
              <w:pStyle w:val="In-tableHeading"/>
            </w:pPr>
            <w:r w:rsidRPr="00B677A6">
              <w:t>Two-year AEMP</w:t>
            </w:r>
          </w:p>
        </w:tc>
      </w:tr>
      <w:tr w:rsidR="00F57A54" w:rsidRPr="00B677A6" w14:paraId="289C9CA0" w14:textId="77777777" w:rsidTr="2B21198B">
        <w:tc>
          <w:tcPr>
            <w:tcW w:w="2280" w:type="dxa"/>
          </w:tcPr>
          <w:p w14:paraId="1E318167" w14:textId="77777777" w:rsidR="00F57A54" w:rsidRPr="00B677A6" w:rsidRDefault="00F57A54" w:rsidP="00F57A54">
            <w:pPr>
              <w:pStyle w:val="TableText0"/>
            </w:pPr>
            <w:r w:rsidRPr="00B677A6">
              <w:t>Secukinumab 300 mg Q4W</w:t>
            </w:r>
          </w:p>
        </w:tc>
        <w:tc>
          <w:tcPr>
            <w:tcW w:w="2223" w:type="dxa"/>
          </w:tcPr>
          <w:p w14:paraId="6C3E0955" w14:textId="503DDFFA" w:rsidR="00F57A54" w:rsidRPr="0042164C" w:rsidRDefault="00F57A54" w:rsidP="00F57A54">
            <w:pPr>
              <w:pStyle w:val="TableText0"/>
            </w:pPr>
            <w:r w:rsidRPr="0042164C">
              <w:t>29</w:t>
            </w:r>
          </w:p>
        </w:tc>
        <w:tc>
          <w:tcPr>
            <w:tcW w:w="2252" w:type="dxa"/>
          </w:tcPr>
          <w:p w14:paraId="22F8F592" w14:textId="70C659E0" w:rsidR="00F57A54" w:rsidRPr="0042164C" w:rsidRDefault="00F57A54" w:rsidP="00F57A54">
            <w:pPr>
              <w:pStyle w:val="TableText0"/>
              <w:rPr>
                <w:vertAlign w:val="superscript"/>
              </w:rPr>
            </w:pPr>
            <w:r w:rsidRPr="0042164C">
              <w:t>$1,316.56</w:t>
            </w:r>
          </w:p>
        </w:tc>
        <w:tc>
          <w:tcPr>
            <w:tcW w:w="2262" w:type="dxa"/>
          </w:tcPr>
          <w:p w14:paraId="43F1A6E6" w14:textId="71260A5D" w:rsidR="00F57A54" w:rsidRPr="0042164C" w:rsidRDefault="00F57A54" w:rsidP="00F57A54">
            <w:pPr>
              <w:pStyle w:val="TableText0"/>
            </w:pPr>
            <w:r w:rsidRPr="0042164C">
              <w:t>$38,</w:t>
            </w:r>
            <w:r w:rsidR="00165F8F" w:rsidRPr="0042164C">
              <w:t>180.24</w:t>
            </w:r>
          </w:p>
        </w:tc>
      </w:tr>
      <w:tr w:rsidR="00F57A54" w:rsidRPr="00B677A6" w14:paraId="004805F9" w14:textId="77777777" w:rsidTr="2B21198B">
        <w:tc>
          <w:tcPr>
            <w:tcW w:w="2280" w:type="dxa"/>
          </w:tcPr>
          <w:p w14:paraId="1B315C27" w14:textId="77777777" w:rsidR="00F57A54" w:rsidRPr="00B677A6" w:rsidRDefault="00F57A54" w:rsidP="00F57A54">
            <w:pPr>
              <w:pStyle w:val="TableText0"/>
            </w:pPr>
            <w:r w:rsidRPr="00B677A6">
              <w:t>Secukinumab 300 mg Q2W</w:t>
            </w:r>
          </w:p>
        </w:tc>
        <w:tc>
          <w:tcPr>
            <w:tcW w:w="2223" w:type="dxa"/>
          </w:tcPr>
          <w:p w14:paraId="4FA8F638" w14:textId="7A1DCB86" w:rsidR="00F57A54" w:rsidRPr="0042164C" w:rsidRDefault="00F57A54" w:rsidP="00F57A54">
            <w:pPr>
              <w:pStyle w:val="TableText0"/>
            </w:pPr>
            <w:r w:rsidRPr="0042164C">
              <w:t>54</w:t>
            </w:r>
          </w:p>
        </w:tc>
        <w:tc>
          <w:tcPr>
            <w:tcW w:w="2252" w:type="dxa"/>
          </w:tcPr>
          <w:p w14:paraId="1FFAA913" w14:textId="63E00F51" w:rsidR="00F57A54" w:rsidRPr="0042164C" w:rsidRDefault="00F57A54" w:rsidP="00F57A54">
            <w:pPr>
              <w:pStyle w:val="TableText0"/>
              <w:rPr>
                <w:vertAlign w:val="superscript"/>
              </w:rPr>
            </w:pPr>
            <w:r w:rsidRPr="0042164C">
              <w:t>$1,316.56</w:t>
            </w:r>
          </w:p>
        </w:tc>
        <w:tc>
          <w:tcPr>
            <w:tcW w:w="2262" w:type="dxa"/>
          </w:tcPr>
          <w:p w14:paraId="6E34F280" w14:textId="7BE69AA5" w:rsidR="00F57A54" w:rsidRPr="0042164C" w:rsidRDefault="00165F8F" w:rsidP="00F57A54">
            <w:pPr>
              <w:pStyle w:val="TableText0"/>
              <w:rPr>
                <w:vertAlign w:val="superscript"/>
              </w:rPr>
            </w:pPr>
            <w:r w:rsidRPr="0042164C">
              <w:t>$71,094.24</w:t>
            </w:r>
          </w:p>
        </w:tc>
      </w:tr>
      <w:tr w:rsidR="00F57A54" w:rsidRPr="00B677A6" w14:paraId="2CFE7CB4" w14:textId="77777777" w:rsidTr="2B21198B">
        <w:tc>
          <w:tcPr>
            <w:tcW w:w="6755" w:type="dxa"/>
            <w:gridSpan w:val="3"/>
          </w:tcPr>
          <w:p w14:paraId="6619E378" w14:textId="77777777" w:rsidR="00F57A54" w:rsidRPr="0042164C" w:rsidRDefault="00F57A54" w:rsidP="00F57A54">
            <w:pPr>
              <w:pStyle w:val="TableText0"/>
            </w:pPr>
            <w:r w:rsidRPr="0042164C">
              <w:t>Weighted 2-year cost (80% Q4W, 20% Q2W)</w:t>
            </w:r>
          </w:p>
        </w:tc>
        <w:tc>
          <w:tcPr>
            <w:tcW w:w="2262" w:type="dxa"/>
          </w:tcPr>
          <w:p w14:paraId="0A384D69" w14:textId="2F2F2100" w:rsidR="00F57A54" w:rsidRPr="0042164C" w:rsidRDefault="00165F8F" w:rsidP="00F57A54">
            <w:pPr>
              <w:pStyle w:val="TableText0"/>
            </w:pPr>
            <w:r w:rsidRPr="0042164C">
              <w:t>$44,763.04</w:t>
            </w:r>
          </w:p>
        </w:tc>
      </w:tr>
      <w:tr w:rsidR="00BA60E9" w:rsidRPr="00B677A6" w14:paraId="3419DCF0" w14:textId="77777777" w:rsidTr="2B21198B">
        <w:tc>
          <w:tcPr>
            <w:tcW w:w="2251" w:type="dxa"/>
          </w:tcPr>
          <w:p w14:paraId="0229BE59" w14:textId="77777777" w:rsidR="00BA60E9" w:rsidRPr="00B677A6" w:rsidRDefault="00BA60E9" w:rsidP="00F57A54">
            <w:pPr>
              <w:pStyle w:val="TableText0"/>
            </w:pPr>
            <w:r w:rsidRPr="00B677A6">
              <w:t>Adalimumab 80mg</w:t>
            </w:r>
          </w:p>
        </w:tc>
        <w:tc>
          <w:tcPr>
            <w:tcW w:w="2252" w:type="dxa"/>
          </w:tcPr>
          <w:p w14:paraId="16780D90" w14:textId="103589C4" w:rsidR="00BA60E9" w:rsidRPr="0042164C" w:rsidRDefault="00BA60E9" w:rsidP="00F57A54">
            <w:pPr>
              <w:pStyle w:val="TableText0"/>
            </w:pPr>
            <w:r w:rsidRPr="0042164C">
              <w:t>53</w:t>
            </w:r>
          </w:p>
        </w:tc>
        <w:tc>
          <w:tcPr>
            <w:tcW w:w="2252" w:type="dxa"/>
          </w:tcPr>
          <w:p w14:paraId="7486B195" w14:textId="0682BC31" w:rsidR="00BA60E9" w:rsidRPr="0042164C" w:rsidRDefault="00BA60E9" w:rsidP="00F57A54">
            <w:pPr>
              <w:pStyle w:val="TableText0"/>
            </w:pPr>
            <w:r w:rsidRPr="0042164C">
              <w:t>$618.90</w:t>
            </w:r>
          </w:p>
        </w:tc>
        <w:tc>
          <w:tcPr>
            <w:tcW w:w="2262" w:type="dxa"/>
          </w:tcPr>
          <w:p w14:paraId="6E57A9CC" w14:textId="47B294B5" w:rsidR="00BA60E9" w:rsidRPr="0042164C" w:rsidRDefault="00664348" w:rsidP="00F57A54">
            <w:pPr>
              <w:pStyle w:val="TableText0"/>
            </w:pPr>
            <w:r w:rsidRPr="0042164C">
              <w:t>$32,801.70</w:t>
            </w:r>
          </w:p>
        </w:tc>
      </w:tr>
      <w:tr w:rsidR="00BC72EC" w:rsidRPr="00B677A6" w14:paraId="1A5573E7" w14:textId="77777777" w:rsidTr="2B21198B">
        <w:tc>
          <w:tcPr>
            <w:tcW w:w="2251" w:type="dxa"/>
          </w:tcPr>
          <w:p w14:paraId="348349FA" w14:textId="1E282F9F" w:rsidR="00BC72EC" w:rsidRPr="00B677A6" w:rsidRDefault="00BC72EC" w:rsidP="00BC72EC">
            <w:pPr>
              <w:pStyle w:val="TableText0"/>
            </w:pPr>
            <w:r>
              <w:t>Bimekizumab 320 mg Q2W/Q4W</w:t>
            </w:r>
          </w:p>
        </w:tc>
        <w:tc>
          <w:tcPr>
            <w:tcW w:w="2252" w:type="dxa"/>
          </w:tcPr>
          <w:p w14:paraId="2BB9C567" w14:textId="5CD2DCCD" w:rsidR="00BC72EC" w:rsidRPr="0042164C" w:rsidRDefault="00BC72EC" w:rsidP="00BC72EC">
            <w:pPr>
              <w:pStyle w:val="TableText0"/>
            </w:pPr>
            <w:r w:rsidRPr="0042164C">
              <w:t>30</w:t>
            </w:r>
          </w:p>
        </w:tc>
        <w:tc>
          <w:tcPr>
            <w:tcW w:w="2252" w:type="dxa"/>
          </w:tcPr>
          <w:p w14:paraId="10D6C222" w14:textId="0E6664D1" w:rsidR="00BC72EC" w:rsidRPr="0042164C" w:rsidRDefault="00E23D8A" w:rsidP="00BC72EC">
            <w:pPr>
              <w:pStyle w:val="TableText0"/>
            </w:pPr>
            <w:r w:rsidRPr="0042164C">
              <w:t>$1,093.39</w:t>
            </w:r>
          </w:p>
        </w:tc>
        <w:tc>
          <w:tcPr>
            <w:tcW w:w="2262" w:type="dxa"/>
          </w:tcPr>
          <w:p w14:paraId="19E2514B" w14:textId="6FD75B60" w:rsidR="00BC72EC" w:rsidRPr="0042164C" w:rsidRDefault="00BC72EC" w:rsidP="00BC72EC">
            <w:pPr>
              <w:pStyle w:val="TableText0"/>
            </w:pPr>
            <w:r w:rsidRPr="0042164C">
              <w:t>$32,801.70</w:t>
            </w:r>
          </w:p>
        </w:tc>
      </w:tr>
      <w:tr w:rsidR="00BC72EC" w:rsidRPr="00B677A6" w14:paraId="324A5CBB" w14:textId="77777777" w:rsidTr="2B21198B">
        <w:tc>
          <w:tcPr>
            <w:tcW w:w="2251" w:type="dxa"/>
          </w:tcPr>
          <w:p w14:paraId="5232F194" w14:textId="43F5AE99" w:rsidR="00BC72EC" w:rsidRPr="00B677A6" w:rsidRDefault="00BC72EC" w:rsidP="00BC72EC">
            <w:pPr>
              <w:pStyle w:val="TableText0"/>
            </w:pPr>
            <w:r>
              <w:t>Bimekizumab 320 mg Q4W</w:t>
            </w:r>
          </w:p>
        </w:tc>
        <w:tc>
          <w:tcPr>
            <w:tcW w:w="2252" w:type="dxa"/>
          </w:tcPr>
          <w:p w14:paraId="076AAD09" w14:textId="3410F67B" w:rsidR="00BC72EC" w:rsidRPr="0042164C" w:rsidRDefault="00BC72EC" w:rsidP="00BC72EC">
            <w:pPr>
              <w:pStyle w:val="TableText0"/>
            </w:pPr>
            <w:r w:rsidRPr="0042164C">
              <w:t>26</w:t>
            </w:r>
          </w:p>
        </w:tc>
        <w:tc>
          <w:tcPr>
            <w:tcW w:w="2252" w:type="dxa"/>
          </w:tcPr>
          <w:p w14:paraId="227CE5D3" w14:textId="5F51F72D" w:rsidR="00BC72EC" w:rsidRPr="0042164C" w:rsidRDefault="00E73B7B" w:rsidP="00BC72EC">
            <w:pPr>
              <w:pStyle w:val="TableText0"/>
            </w:pPr>
            <w:r w:rsidRPr="0042164C">
              <w:t>$1,261.60</w:t>
            </w:r>
          </w:p>
        </w:tc>
        <w:tc>
          <w:tcPr>
            <w:tcW w:w="2262" w:type="dxa"/>
          </w:tcPr>
          <w:p w14:paraId="2C8981EE" w14:textId="641D57F8" w:rsidR="00BC72EC" w:rsidRPr="0042164C" w:rsidRDefault="00BC72EC" w:rsidP="00BC72EC">
            <w:pPr>
              <w:pStyle w:val="TableText0"/>
            </w:pPr>
            <w:r w:rsidRPr="0042164C">
              <w:t>$32,801.70</w:t>
            </w:r>
          </w:p>
        </w:tc>
      </w:tr>
    </w:tbl>
    <w:p w14:paraId="3A02CAC6" w14:textId="31E2BF28" w:rsidR="00F57A54" w:rsidRPr="001B5CFE" w:rsidRDefault="00F57A54" w:rsidP="0042164C">
      <w:pPr>
        <w:pStyle w:val="TableFigureFooter"/>
        <w:jc w:val="both"/>
      </w:pPr>
      <w:r w:rsidRPr="001B5CFE">
        <w:t>Source: Tables 3.4.1 and 3.4.2, p202 of the submission. Abbreviations: AEMP = approved ex-manufacturer price, mg = milligram</w:t>
      </w:r>
    </w:p>
    <w:p w14:paraId="52CC0B58" w14:textId="50C6A164" w:rsidR="00691DD2" w:rsidRPr="00B66FA4" w:rsidRDefault="031AB2AD" w:rsidP="0042164C">
      <w:pPr>
        <w:pStyle w:val="TableFigureFooter"/>
        <w:jc w:val="both"/>
        <w:rPr>
          <w:rFonts w:asciiTheme="minorHAnsi" w:hAnsiTheme="minorHAnsi" w:cstheme="minorHAnsi"/>
          <w:sz w:val="24"/>
        </w:rPr>
      </w:pPr>
      <w:r w:rsidRPr="001B5CFE">
        <w:t>*</w:t>
      </w:r>
      <w:r w:rsidR="00A9656B" w:rsidRPr="001B5CFE">
        <w:t xml:space="preserve">Updated based on Pre-PBAC Response </w:t>
      </w:r>
      <w:r w:rsidR="00E23D8A" w:rsidRPr="001B5CFE">
        <w:t xml:space="preserve">based on </w:t>
      </w:r>
      <w:r w:rsidR="00D447E9" w:rsidRPr="001B5CFE">
        <w:t>regimens outlined</w:t>
      </w:r>
      <w:r w:rsidRPr="001B5CFE">
        <w:t xml:space="preserve"> in the </w:t>
      </w:r>
      <w:r w:rsidR="00D447E9" w:rsidRPr="001B5CFE">
        <w:t>TGA Delegate’s Overview</w:t>
      </w:r>
      <w:r w:rsidR="002E4325" w:rsidRPr="001B5CFE">
        <w:t>.</w:t>
      </w:r>
      <w:r w:rsidRPr="001B5CFE">
        <w:t xml:space="preserve"> The AEMP per dose is taken from the September 2024 PBS pricing spreadsheets</w:t>
      </w:r>
    </w:p>
    <w:p w14:paraId="57BF8CBD" w14:textId="76034164" w:rsidR="00DE4273" w:rsidRPr="004A0905" w:rsidRDefault="447181E8" w:rsidP="2B21198B">
      <w:pPr>
        <w:pStyle w:val="3-BodyText"/>
      </w:pPr>
      <w:r w:rsidRPr="004A0905">
        <w:t>Should the PBAC accept the clinical claim of overall non-inferior effectiveness and safety</w:t>
      </w:r>
      <w:r w:rsidR="63679887" w:rsidRPr="004A0905">
        <w:t xml:space="preserve"> (versus secukinumab or adalimumab)</w:t>
      </w:r>
      <w:r w:rsidRPr="004A0905">
        <w:t xml:space="preserve">, the cost-minimisation approach must establish that the cost per patient for treatment with </w:t>
      </w:r>
      <w:r w:rsidR="0D4205DE" w:rsidRPr="004A0905">
        <w:t xml:space="preserve">bimekizumab </w:t>
      </w:r>
      <w:r w:rsidRPr="004A0905">
        <w:t xml:space="preserve">would be no more than the cost per patient </w:t>
      </w:r>
      <w:r w:rsidR="0D4205DE" w:rsidRPr="004A0905">
        <w:t xml:space="preserve">treated with </w:t>
      </w:r>
      <w:r w:rsidR="63679887" w:rsidRPr="004A0905">
        <w:t xml:space="preserve">secukinumab or </w:t>
      </w:r>
      <w:r w:rsidR="0D4205DE" w:rsidRPr="004A0905">
        <w:t xml:space="preserve">adalimumab. </w:t>
      </w:r>
      <w:r w:rsidRPr="004A0905">
        <w:t>Where these cost per patient calculations are uncertain, the guiding principle is that the Australian Government should not bear the financial risk of this uncertainty because the Australian population already has access to therapy that is at least as effective and safe.</w:t>
      </w:r>
      <w:r w:rsidR="00C45318" w:rsidRPr="004A0905">
        <w:t xml:space="preserve"> </w:t>
      </w:r>
      <w:r w:rsidR="4C2B381B" w:rsidRPr="004A0905">
        <w:t>No</w:t>
      </w:r>
      <w:r w:rsidR="00710C1C" w:rsidRPr="004A0905">
        <w:t xml:space="preserve"> compelling</w:t>
      </w:r>
      <w:r w:rsidR="4C2B381B" w:rsidRPr="004A0905">
        <w:t xml:space="preserve"> evidence was provided that bimekizumab provides a significant improvement in efficacy and/or safety over secukinumab or adalimumab. </w:t>
      </w:r>
    </w:p>
    <w:p w14:paraId="4DE52863" w14:textId="29A77A86" w:rsidR="00B66758" w:rsidRPr="004A0905" w:rsidRDefault="00B66758" w:rsidP="2B21198B">
      <w:pPr>
        <w:pStyle w:val="3-BodyText"/>
      </w:pPr>
      <w:r w:rsidRPr="004A0905">
        <w:t>The PSCR noted that based on the ACM advice that supported both Q2W and Q4</w:t>
      </w:r>
      <w:r w:rsidR="00921713" w:rsidRPr="004A0905">
        <w:t xml:space="preserve">W dosing in initial treatment, that a re-specified cost minimisation approach that included </w:t>
      </w:r>
      <w:r w:rsidR="009B4615" w:rsidRPr="004A0905">
        <w:t>a proportion of Q4W use in initial treatment would result in fewer doses</w:t>
      </w:r>
      <w:r w:rsidR="00D9187B" w:rsidRPr="004A0905">
        <w:t xml:space="preserve"> over </w:t>
      </w:r>
      <w:r w:rsidR="00D9187B" w:rsidRPr="004A0905">
        <w:lastRenderedPageBreak/>
        <w:t xml:space="preserve">two years and an increase in the price of bimekizumab. </w:t>
      </w:r>
      <w:r w:rsidR="0080390D">
        <w:t xml:space="preserve">The Pre-PBAC Response </w:t>
      </w:r>
      <w:r w:rsidR="009C052A">
        <w:t>noted the TGA had registered the Q2W</w:t>
      </w:r>
      <w:r w:rsidR="00E53BD4">
        <w:t xml:space="preserve"> dosing regimen for initial treatment (16 weeks) </w:t>
      </w:r>
      <w:r w:rsidR="009C13A3">
        <w:t>and proposed an 80:20 weighting (80% Q4W, 20% Q2W) dosing for initial treatment</w:t>
      </w:r>
      <w:r w:rsidR="007F2813">
        <w:t>, based on the dosing regimen split the PBAC recommended for secukinumab in November</w:t>
      </w:r>
      <w:r w:rsidR="00D454AE">
        <w:t> </w:t>
      </w:r>
      <w:r w:rsidR="007F2813">
        <w:t>2023 (</w:t>
      </w:r>
      <w:r w:rsidR="008B2656" w:rsidRPr="008B2656">
        <w:t>paragraph 5.8, secukinumab PSD, November 2023 PBAC)</w:t>
      </w:r>
      <w:r w:rsidR="008B2656">
        <w:t>.</w:t>
      </w:r>
    </w:p>
    <w:p w14:paraId="472842D7" w14:textId="429D82C0" w:rsidR="00C25D9C" w:rsidRPr="006C2A83" w:rsidRDefault="00C25D9C" w:rsidP="00BB732D">
      <w:pPr>
        <w:pStyle w:val="4-SubsectionHeading"/>
      </w:pPr>
      <w:bookmarkStart w:id="58" w:name="_Toc22897646"/>
      <w:bookmarkStart w:id="59" w:name="_Toc192760457"/>
      <w:r w:rsidRPr="006C2A83">
        <w:t>Drug cost/patient/</w:t>
      </w:r>
      <w:r w:rsidR="002B25CB" w:rsidRPr="006C2A83">
        <w:t xml:space="preserve"> </w:t>
      </w:r>
      <w:r w:rsidRPr="006C2A83">
        <w:t>year</w:t>
      </w:r>
      <w:bookmarkEnd w:id="58"/>
      <w:bookmarkEnd w:id="59"/>
    </w:p>
    <w:p w14:paraId="3A92B243" w14:textId="44E2DCBE" w:rsidR="002B25CB" w:rsidRPr="004A0905" w:rsidRDefault="4C2B381B" w:rsidP="2B21198B">
      <w:pPr>
        <w:pStyle w:val="3-BodyText"/>
        <w:rPr>
          <w:lang w:eastAsia="en-US"/>
        </w:rPr>
      </w:pPr>
      <w:r w:rsidRPr="004A0905">
        <w:rPr>
          <w:lang w:eastAsia="en-US"/>
        </w:rPr>
        <w:t>Based on the cost minimisation approach using the published price of secukinumab, the cost per patient over 2 years would be $</w:t>
      </w:r>
      <w:r w:rsidRPr="00D454AE">
        <w:rPr>
          <w:lang w:eastAsia="en-US"/>
        </w:rPr>
        <w:t>45</w:t>
      </w:r>
      <w:r w:rsidR="47BD2C13" w:rsidRPr="00D454AE">
        <w:rPr>
          <w:lang w:eastAsia="en-US"/>
        </w:rPr>
        <w:t>,</w:t>
      </w:r>
      <w:r w:rsidRPr="00D454AE">
        <w:rPr>
          <w:lang w:eastAsia="en-US"/>
        </w:rPr>
        <w:t>158.01.</w:t>
      </w:r>
      <w:r w:rsidRPr="004A0905">
        <w:rPr>
          <w:lang w:eastAsia="en-US"/>
        </w:rPr>
        <w:t xml:space="preserve">  </w:t>
      </w:r>
    </w:p>
    <w:p w14:paraId="268768EF" w14:textId="3626F292" w:rsidR="00B60939" w:rsidRPr="006C2A83" w:rsidRDefault="00B60939" w:rsidP="002B05A1">
      <w:pPr>
        <w:pStyle w:val="4-SubsectionHeading"/>
      </w:pPr>
      <w:bookmarkStart w:id="60" w:name="_Toc22897647"/>
      <w:bookmarkStart w:id="61" w:name="_Toc192760458"/>
      <w:r w:rsidRPr="006C2A83">
        <w:t>Estimated PBS usage &amp; financial implications</w:t>
      </w:r>
      <w:bookmarkEnd w:id="60"/>
      <w:bookmarkEnd w:id="61"/>
    </w:p>
    <w:p w14:paraId="04B31D2D" w14:textId="5FBCB7AD" w:rsidR="0072416F" w:rsidRPr="004A0905" w:rsidRDefault="7CDF810E" w:rsidP="2B21198B">
      <w:pPr>
        <w:pStyle w:val="3-BodyText"/>
        <w:rPr>
          <w:color w:val="0066FF"/>
        </w:rPr>
      </w:pPr>
      <w:r w:rsidRPr="004A0905">
        <w:t xml:space="preserve">This submission </w:t>
      </w:r>
      <w:r w:rsidR="00B677A6" w:rsidRPr="004A0905">
        <w:t xml:space="preserve">was not </w:t>
      </w:r>
      <w:r w:rsidRPr="004A0905">
        <w:t>considered by DUSC</w:t>
      </w:r>
      <w:r w:rsidRPr="004A0905">
        <w:rPr>
          <w:color w:val="0070C0"/>
        </w:rPr>
        <w:t>.</w:t>
      </w:r>
      <w:r w:rsidR="4F0AF414" w:rsidRPr="004A0905">
        <w:rPr>
          <w:color w:val="0070C0"/>
        </w:rPr>
        <w:t xml:space="preserve"> </w:t>
      </w:r>
      <w:r w:rsidR="51FCD9D6" w:rsidRPr="004A0905">
        <w:t xml:space="preserve">The submission appropriately </w:t>
      </w:r>
      <w:r w:rsidR="5CDE8775" w:rsidRPr="004A0905">
        <w:t>u</w:t>
      </w:r>
      <w:r w:rsidR="51FCD9D6" w:rsidRPr="004A0905">
        <w:t xml:space="preserve">sed a market share approach to estimate the use and financial impact of listing bimekizumab for HS. </w:t>
      </w:r>
      <w:r w:rsidR="00D5A476" w:rsidRPr="004A0905">
        <w:t xml:space="preserve">The key inputs for the financial estimates are shown in </w:t>
      </w:r>
      <w:r w:rsidRPr="004A0905">
        <w:fldChar w:fldCharType="begin"/>
      </w:r>
      <w:r w:rsidRPr="004A0905">
        <w:instrText xml:space="preserve"> REF _Ref104805262 \h </w:instrText>
      </w:r>
      <w:r w:rsidR="004A0905" w:rsidRPr="004A0905">
        <w:instrText xml:space="preserve"> \* MERGEFORMAT </w:instrText>
      </w:r>
      <w:r w:rsidRPr="004A0905">
        <w:fldChar w:fldCharType="separate"/>
      </w:r>
      <w:r w:rsidR="00184DE0" w:rsidRPr="004A0905">
        <w:t xml:space="preserve">Table </w:t>
      </w:r>
      <w:r w:rsidR="00184DE0">
        <w:rPr>
          <w:noProof/>
        </w:rPr>
        <w:t>11</w:t>
      </w:r>
      <w:r w:rsidRPr="004A0905">
        <w:fldChar w:fldCharType="end"/>
      </w:r>
      <w:r w:rsidRPr="004A0905">
        <w:fldChar w:fldCharType="begin"/>
      </w:r>
      <w:r w:rsidRPr="004A0905">
        <w:instrText xml:space="preserve"> REF _Ref104805262 \h </w:instrText>
      </w:r>
      <w:r w:rsidR="004A0905" w:rsidRPr="004A0905">
        <w:instrText xml:space="preserve"> \* MERGEFORMAT </w:instrText>
      </w:r>
      <w:r w:rsidRPr="004A0905">
        <w:fldChar w:fldCharType="separate"/>
      </w:r>
      <w:r w:rsidR="00184DE0" w:rsidRPr="004A0905">
        <w:t xml:space="preserve">Table </w:t>
      </w:r>
      <w:r w:rsidR="00184DE0">
        <w:rPr>
          <w:noProof/>
        </w:rPr>
        <w:t>11</w:t>
      </w:r>
      <w:r w:rsidRPr="004A0905">
        <w:fldChar w:fldCharType="end"/>
      </w:r>
      <w:r w:rsidR="00D5A476" w:rsidRPr="004A0905">
        <w:t xml:space="preserve">. </w:t>
      </w:r>
    </w:p>
    <w:p w14:paraId="3393BCE7" w14:textId="78DBE25E" w:rsidR="00E42F73" w:rsidRPr="004A0905" w:rsidRDefault="00E16AD8" w:rsidP="00E16AD8">
      <w:pPr>
        <w:pStyle w:val="Caption"/>
        <w:rPr>
          <w:rStyle w:val="CommentReference"/>
          <w:b/>
          <w:szCs w:val="24"/>
        </w:rPr>
      </w:pPr>
      <w:bookmarkStart w:id="62" w:name="_Ref104805262"/>
      <w:r w:rsidRPr="004A0905">
        <w:t xml:space="preserve">Table </w:t>
      </w:r>
      <w:r w:rsidR="00C45318">
        <w:fldChar w:fldCharType="begin"/>
      </w:r>
      <w:r w:rsidR="00C45318">
        <w:instrText xml:space="preserve"> SEQ Table \* ARABIC </w:instrText>
      </w:r>
      <w:r w:rsidR="00C45318">
        <w:fldChar w:fldCharType="separate"/>
      </w:r>
      <w:r w:rsidR="00184DE0">
        <w:rPr>
          <w:noProof/>
        </w:rPr>
        <w:t>11</w:t>
      </w:r>
      <w:r w:rsidR="00C45318">
        <w:rPr>
          <w:noProof/>
        </w:rPr>
        <w:fldChar w:fldCharType="end"/>
      </w:r>
      <w:bookmarkEnd w:id="62"/>
      <w:r w:rsidRPr="004A0905">
        <w:t>:</w:t>
      </w:r>
      <w:r w:rsidR="00E42F73" w:rsidRPr="004A0905">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3"/>
        <w:gridCol w:w="4094"/>
        <w:gridCol w:w="3210"/>
      </w:tblGrid>
      <w:tr w:rsidR="00E42F73" w:rsidRPr="004A0905" w14:paraId="7AFD013A" w14:textId="77777777" w:rsidTr="2B21198B">
        <w:trPr>
          <w:tblHeader/>
        </w:trPr>
        <w:tc>
          <w:tcPr>
            <w:tcW w:w="950" w:type="pct"/>
            <w:vAlign w:val="center"/>
          </w:tcPr>
          <w:p w14:paraId="45C2C4CE" w14:textId="370E9AAB" w:rsidR="00E42F73" w:rsidRPr="004A0905" w:rsidRDefault="004658B5" w:rsidP="007925DF">
            <w:pPr>
              <w:pStyle w:val="In-tableHeading"/>
              <w:rPr>
                <w:szCs w:val="20"/>
                <w:lang w:val="en-AU"/>
              </w:rPr>
            </w:pPr>
            <w:r w:rsidRPr="004A0905">
              <w:rPr>
                <w:szCs w:val="20"/>
                <w:lang w:val="en-AU"/>
              </w:rPr>
              <w:t>Parameter</w:t>
            </w:r>
          </w:p>
        </w:tc>
        <w:tc>
          <w:tcPr>
            <w:tcW w:w="2270" w:type="pct"/>
            <w:vAlign w:val="center"/>
          </w:tcPr>
          <w:p w14:paraId="5C04F956" w14:textId="559E8DB1" w:rsidR="00E42F73" w:rsidRPr="004A0905" w:rsidRDefault="004658B5" w:rsidP="007925DF">
            <w:pPr>
              <w:pStyle w:val="In-tableHeading"/>
              <w:rPr>
                <w:szCs w:val="20"/>
                <w:lang w:val="en-AU"/>
              </w:rPr>
            </w:pPr>
            <w:r w:rsidRPr="004A0905">
              <w:rPr>
                <w:szCs w:val="20"/>
                <w:lang w:val="en-AU"/>
              </w:rPr>
              <w:t>Value applied and source</w:t>
            </w:r>
          </w:p>
        </w:tc>
        <w:tc>
          <w:tcPr>
            <w:tcW w:w="1780" w:type="pct"/>
            <w:vAlign w:val="center"/>
          </w:tcPr>
          <w:p w14:paraId="45DE44AA" w14:textId="4713F72E" w:rsidR="00E42F73" w:rsidRPr="004A0905" w:rsidRDefault="004658B5" w:rsidP="007925DF">
            <w:pPr>
              <w:pStyle w:val="In-tableHeading"/>
              <w:rPr>
                <w:szCs w:val="20"/>
                <w:lang w:val="en-AU"/>
              </w:rPr>
            </w:pPr>
            <w:r w:rsidRPr="004A0905">
              <w:rPr>
                <w:szCs w:val="20"/>
                <w:lang w:val="en-AU"/>
              </w:rPr>
              <w:t>Comment</w:t>
            </w:r>
          </w:p>
        </w:tc>
      </w:tr>
      <w:tr w:rsidR="00E42F73" w:rsidRPr="004A0905" w14:paraId="4BEF206D" w14:textId="77777777" w:rsidTr="2B21198B">
        <w:tc>
          <w:tcPr>
            <w:tcW w:w="950" w:type="pct"/>
            <w:vAlign w:val="center"/>
          </w:tcPr>
          <w:p w14:paraId="5724F53F" w14:textId="3AB5D034" w:rsidR="00E42F73" w:rsidRPr="004A0905" w:rsidRDefault="000C6C82" w:rsidP="007925DF">
            <w:pPr>
              <w:pStyle w:val="TableText0"/>
              <w:rPr>
                <w:szCs w:val="20"/>
              </w:rPr>
            </w:pPr>
            <w:r w:rsidRPr="004A0905">
              <w:rPr>
                <w:szCs w:val="20"/>
              </w:rPr>
              <w:t>Current market for HS</w:t>
            </w:r>
          </w:p>
        </w:tc>
        <w:tc>
          <w:tcPr>
            <w:tcW w:w="2270" w:type="pct"/>
            <w:vAlign w:val="center"/>
          </w:tcPr>
          <w:p w14:paraId="2974F923" w14:textId="555520E6" w:rsidR="00E42F73" w:rsidRPr="004A0905" w:rsidRDefault="000C6C82" w:rsidP="007925DF">
            <w:pPr>
              <w:pStyle w:val="TableText0"/>
              <w:rPr>
                <w:szCs w:val="20"/>
              </w:rPr>
            </w:pPr>
            <w:r w:rsidRPr="004A0905">
              <w:rPr>
                <w:szCs w:val="20"/>
              </w:rPr>
              <w:t>PBS Statistics for adalimumab and secukinumab, authority codes</w:t>
            </w:r>
          </w:p>
        </w:tc>
        <w:tc>
          <w:tcPr>
            <w:tcW w:w="1780" w:type="pct"/>
            <w:vAlign w:val="center"/>
          </w:tcPr>
          <w:p w14:paraId="078672CF" w14:textId="619B5769" w:rsidR="00E42F73" w:rsidRPr="004A0905" w:rsidRDefault="4F836B4A" w:rsidP="38616EB4">
            <w:pPr>
              <w:pStyle w:val="TableText0"/>
              <w:rPr>
                <w:szCs w:val="20"/>
              </w:rPr>
            </w:pPr>
            <w:r w:rsidRPr="004A0905">
              <w:rPr>
                <w:szCs w:val="20"/>
              </w:rPr>
              <w:t xml:space="preserve">Reasonable </w:t>
            </w:r>
          </w:p>
        </w:tc>
      </w:tr>
      <w:tr w:rsidR="00E42F73" w:rsidRPr="004A0905" w14:paraId="72C9FBDD" w14:textId="77777777" w:rsidTr="2B21198B">
        <w:tc>
          <w:tcPr>
            <w:tcW w:w="950" w:type="pct"/>
            <w:vAlign w:val="center"/>
          </w:tcPr>
          <w:p w14:paraId="2FBBDC67" w14:textId="4663E679" w:rsidR="00E42F73" w:rsidRPr="004A0905" w:rsidRDefault="004658B5" w:rsidP="007925DF">
            <w:pPr>
              <w:pStyle w:val="TableText0"/>
              <w:rPr>
                <w:szCs w:val="20"/>
              </w:rPr>
            </w:pPr>
            <w:r w:rsidRPr="004A0905">
              <w:rPr>
                <w:szCs w:val="20"/>
              </w:rPr>
              <w:t>Uptake rate</w:t>
            </w:r>
            <w:r w:rsidR="000C6C82" w:rsidRPr="004A0905">
              <w:rPr>
                <w:szCs w:val="20"/>
              </w:rPr>
              <w:t xml:space="preserve"> from existing treatments</w:t>
            </w:r>
          </w:p>
        </w:tc>
        <w:tc>
          <w:tcPr>
            <w:tcW w:w="2270" w:type="pct"/>
            <w:vAlign w:val="center"/>
          </w:tcPr>
          <w:tbl>
            <w:tblPr>
              <w:tblStyle w:val="TableGrid"/>
              <w:tblW w:w="0" w:type="auto"/>
              <w:tblLayout w:type="fixed"/>
              <w:tblLook w:val="04A0" w:firstRow="1" w:lastRow="0" w:firstColumn="1" w:lastColumn="0" w:noHBand="0" w:noVBand="1"/>
            </w:tblPr>
            <w:tblGrid>
              <w:gridCol w:w="1342"/>
              <w:gridCol w:w="1343"/>
              <w:gridCol w:w="1343"/>
            </w:tblGrid>
            <w:tr w:rsidR="000C6C82" w:rsidRPr="004A0905" w14:paraId="4493EC65" w14:textId="77777777" w:rsidTr="2B21198B">
              <w:tc>
                <w:tcPr>
                  <w:tcW w:w="1342" w:type="dxa"/>
                </w:tcPr>
                <w:p w14:paraId="5050DB94" w14:textId="24A67791" w:rsidR="000C6C82" w:rsidRPr="004A0905" w:rsidRDefault="000C6C82" w:rsidP="007925DF">
                  <w:pPr>
                    <w:pStyle w:val="TableText0"/>
                    <w:rPr>
                      <w:szCs w:val="20"/>
                    </w:rPr>
                  </w:pPr>
                </w:p>
              </w:tc>
              <w:tc>
                <w:tcPr>
                  <w:tcW w:w="1343" w:type="dxa"/>
                </w:tcPr>
                <w:p w14:paraId="4904A67D" w14:textId="0FBE6020" w:rsidR="000C6C82" w:rsidRPr="004A0905" w:rsidRDefault="000C6C82" w:rsidP="007925DF">
                  <w:pPr>
                    <w:pStyle w:val="TableText0"/>
                    <w:rPr>
                      <w:szCs w:val="20"/>
                    </w:rPr>
                  </w:pPr>
                  <w:r w:rsidRPr="004A0905">
                    <w:rPr>
                      <w:szCs w:val="20"/>
                    </w:rPr>
                    <w:t>adalimumab</w:t>
                  </w:r>
                </w:p>
              </w:tc>
              <w:tc>
                <w:tcPr>
                  <w:tcW w:w="1343" w:type="dxa"/>
                </w:tcPr>
                <w:p w14:paraId="5273EE90" w14:textId="63227E09" w:rsidR="000C6C82" w:rsidRPr="004A0905" w:rsidRDefault="000C6C82" w:rsidP="007925DF">
                  <w:pPr>
                    <w:pStyle w:val="TableText0"/>
                    <w:rPr>
                      <w:szCs w:val="20"/>
                    </w:rPr>
                  </w:pPr>
                  <w:r w:rsidRPr="004A0905">
                    <w:rPr>
                      <w:szCs w:val="20"/>
                    </w:rPr>
                    <w:t>secukinumab</w:t>
                  </w:r>
                </w:p>
              </w:tc>
            </w:tr>
            <w:tr w:rsidR="000C6C82" w:rsidRPr="004A0905" w14:paraId="375CAE00" w14:textId="77777777" w:rsidTr="2B21198B">
              <w:tc>
                <w:tcPr>
                  <w:tcW w:w="1342" w:type="dxa"/>
                </w:tcPr>
                <w:p w14:paraId="79E0AF9C" w14:textId="533E3790" w:rsidR="000C6C82" w:rsidRPr="004A0905" w:rsidRDefault="000C6C82" w:rsidP="007925DF">
                  <w:pPr>
                    <w:pStyle w:val="TableText0"/>
                    <w:rPr>
                      <w:szCs w:val="20"/>
                    </w:rPr>
                  </w:pPr>
                  <w:r w:rsidRPr="004A0905">
                    <w:rPr>
                      <w:szCs w:val="20"/>
                    </w:rPr>
                    <w:t>Year 1 (2025)</w:t>
                  </w:r>
                </w:p>
              </w:tc>
              <w:tc>
                <w:tcPr>
                  <w:tcW w:w="1343" w:type="dxa"/>
                </w:tcPr>
                <w:p w14:paraId="3BBDFA78" w14:textId="5CEB45BB" w:rsidR="000C6C82" w:rsidRPr="004A0905" w:rsidRDefault="004C1F08" w:rsidP="007925DF">
                  <w:pPr>
                    <w:pStyle w:val="TableText0"/>
                    <w:rPr>
                      <w:szCs w:val="20"/>
                    </w:rPr>
                  </w:pPr>
                  <w:r w:rsidRPr="005F3CAC">
                    <w:rPr>
                      <w:color w:val="000000"/>
                      <w:spacing w:val="53"/>
                      <w:szCs w:val="20"/>
                      <w:shd w:val="solid" w:color="000000" w:fill="000000"/>
                      <w:fitText w:val="330" w:id="-663599616"/>
                      <w14:textFill>
                        <w14:solidFill>
                          <w14:srgbClr w14:val="000000">
                            <w14:alpha w14:val="100000"/>
                          </w14:srgbClr>
                        </w14:solidFill>
                      </w14:textFill>
                    </w:rPr>
                    <w:t>|||</w:t>
                  </w:r>
                  <w:r w:rsidRPr="005F3CAC">
                    <w:rPr>
                      <w:color w:val="000000"/>
                      <w:spacing w:val="1"/>
                      <w:szCs w:val="20"/>
                      <w:shd w:val="solid" w:color="000000" w:fill="000000"/>
                      <w:fitText w:val="330" w:id="-663599616"/>
                      <w14:textFill>
                        <w14:solidFill>
                          <w14:srgbClr w14:val="000000">
                            <w14:alpha w14:val="100000"/>
                          </w14:srgbClr>
                        </w14:solidFill>
                      </w14:textFill>
                    </w:rPr>
                    <w:t>|</w:t>
                  </w:r>
                  <w:r w:rsidR="000C6C82" w:rsidRPr="004A0905">
                    <w:rPr>
                      <w:szCs w:val="20"/>
                    </w:rPr>
                    <w:t>%</w:t>
                  </w:r>
                </w:p>
              </w:tc>
              <w:tc>
                <w:tcPr>
                  <w:tcW w:w="1343" w:type="dxa"/>
                </w:tcPr>
                <w:p w14:paraId="023E9EBF" w14:textId="0F6EB82E" w:rsidR="000C6C82" w:rsidRPr="004A0905" w:rsidRDefault="004C1F08" w:rsidP="007925DF">
                  <w:pPr>
                    <w:pStyle w:val="TableText0"/>
                    <w:rPr>
                      <w:szCs w:val="20"/>
                    </w:rPr>
                  </w:pPr>
                  <w:r w:rsidRPr="00383E30">
                    <w:rPr>
                      <w:color w:val="000000"/>
                      <w:spacing w:val="53"/>
                      <w:szCs w:val="20"/>
                      <w:shd w:val="solid" w:color="000000" w:fill="000000"/>
                      <w:fitText w:val="330" w:id="-663599615"/>
                      <w14:textFill>
                        <w14:solidFill>
                          <w14:srgbClr w14:val="000000">
                            <w14:alpha w14:val="100000"/>
                          </w14:srgbClr>
                        </w14:solidFill>
                      </w14:textFill>
                    </w:rPr>
                    <w:t>|||</w:t>
                  </w:r>
                  <w:r w:rsidRPr="00383E30">
                    <w:rPr>
                      <w:color w:val="000000"/>
                      <w:spacing w:val="1"/>
                      <w:szCs w:val="20"/>
                      <w:shd w:val="solid" w:color="000000" w:fill="000000"/>
                      <w:fitText w:val="330" w:id="-663599615"/>
                      <w14:textFill>
                        <w14:solidFill>
                          <w14:srgbClr w14:val="000000">
                            <w14:alpha w14:val="100000"/>
                          </w14:srgbClr>
                        </w14:solidFill>
                      </w14:textFill>
                    </w:rPr>
                    <w:t>|</w:t>
                  </w:r>
                  <w:r w:rsidR="000C6C82" w:rsidRPr="004A0905">
                    <w:rPr>
                      <w:szCs w:val="20"/>
                    </w:rPr>
                    <w:t>%</w:t>
                  </w:r>
                </w:p>
              </w:tc>
            </w:tr>
            <w:tr w:rsidR="000C6C82" w:rsidRPr="004A0905" w14:paraId="60E205EC" w14:textId="77777777" w:rsidTr="2B21198B">
              <w:tc>
                <w:tcPr>
                  <w:tcW w:w="1342" w:type="dxa"/>
                </w:tcPr>
                <w:p w14:paraId="798BFAB5" w14:textId="1C85A16D" w:rsidR="000C6C82" w:rsidRPr="004A0905" w:rsidRDefault="000C6C82" w:rsidP="007925DF">
                  <w:pPr>
                    <w:pStyle w:val="TableText0"/>
                    <w:rPr>
                      <w:szCs w:val="20"/>
                    </w:rPr>
                  </w:pPr>
                  <w:r w:rsidRPr="004A0905">
                    <w:rPr>
                      <w:szCs w:val="20"/>
                    </w:rPr>
                    <w:t>Year 2 (2026)</w:t>
                  </w:r>
                </w:p>
              </w:tc>
              <w:tc>
                <w:tcPr>
                  <w:tcW w:w="1343" w:type="dxa"/>
                </w:tcPr>
                <w:p w14:paraId="0A1DF841" w14:textId="7EE5FB72" w:rsidR="000C6C82" w:rsidRPr="004A0905" w:rsidRDefault="004C1F08" w:rsidP="007925DF">
                  <w:pPr>
                    <w:pStyle w:val="TableText0"/>
                    <w:rPr>
                      <w:szCs w:val="20"/>
                    </w:rPr>
                  </w:pPr>
                  <w:r w:rsidRPr="00383E30">
                    <w:rPr>
                      <w:color w:val="000000"/>
                      <w:spacing w:val="53"/>
                      <w:szCs w:val="20"/>
                      <w:shd w:val="solid" w:color="000000" w:fill="000000"/>
                      <w:fitText w:val="330" w:id="-663599614"/>
                      <w14:textFill>
                        <w14:solidFill>
                          <w14:srgbClr w14:val="000000">
                            <w14:alpha w14:val="100000"/>
                          </w14:srgbClr>
                        </w14:solidFill>
                      </w14:textFill>
                    </w:rPr>
                    <w:t>|||</w:t>
                  </w:r>
                  <w:r w:rsidRPr="00383E30">
                    <w:rPr>
                      <w:color w:val="000000"/>
                      <w:spacing w:val="1"/>
                      <w:szCs w:val="20"/>
                      <w:shd w:val="solid" w:color="000000" w:fill="000000"/>
                      <w:fitText w:val="330" w:id="-663599614"/>
                      <w14:textFill>
                        <w14:solidFill>
                          <w14:srgbClr w14:val="000000">
                            <w14:alpha w14:val="100000"/>
                          </w14:srgbClr>
                        </w14:solidFill>
                      </w14:textFill>
                    </w:rPr>
                    <w:t>|</w:t>
                  </w:r>
                  <w:r w:rsidR="000C6C82" w:rsidRPr="004A0905">
                    <w:rPr>
                      <w:szCs w:val="20"/>
                    </w:rPr>
                    <w:t>%</w:t>
                  </w:r>
                </w:p>
              </w:tc>
              <w:tc>
                <w:tcPr>
                  <w:tcW w:w="1343" w:type="dxa"/>
                </w:tcPr>
                <w:p w14:paraId="3AC98AE3" w14:textId="155414BD" w:rsidR="000C6C82" w:rsidRPr="004A0905" w:rsidRDefault="004C1F08" w:rsidP="007925DF">
                  <w:pPr>
                    <w:pStyle w:val="TableText0"/>
                    <w:rPr>
                      <w:szCs w:val="20"/>
                    </w:rPr>
                  </w:pPr>
                  <w:r w:rsidRPr="00383E30">
                    <w:rPr>
                      <w:color w:val="000000"/>
                      <w:spacing w:val="53"/>
                      <w:szCs w:val="20"/>
                      <w:shd w:val="solid" w:color="000000" w:fill="000000"/>
                      <w:fitText w:val="330" w:id="-663599613"/>
                      <w14:textFill>
                        <w14:solidFill>
                          <w14:srgbClr w14:val="000000">
                            <w14:alpha w14:val="100000"/>
                          </w14:srgbClr>
                        </w14:solidFill>
                      </w14:textFill>
                    </w:rPr>
                    <w:t>|||</w:t>
                  </w:r>
                  <w:r w:rsidRPr="00383E30">
                    <w:rPr>
                      <w:color w:val="000000"/>
                      <w:spacing w:val="1"/>
                      <w:szCs w:val="20"/>
                      <w:shd w:val="solid" w:color="000000" w:fill="000000"/>
                      <w:fitText w:val="330" w:id="-663599613"/>
                      <w14:textFill>
                        <w14:solidFill>
                          <w14:srgbClr w14:val="000000">
                            <w14:alpha w14:val="100000"/>
                          </w14:srgbClr>
                        </w14:solidFill>
                      </w14:textFill>
                    </w:rPr>
                    <w:t>|</w:t>
                  </w:r>
                  <w:r w:rsidR="000C6C82" w:rsidRPr="004A0905">
                    <w:rPr>
                      <w:szCs w:val="20"/>
                    </w:rPr>
                    <w:t>%</w:t>
                  </w:r>
                </w:p>
              </w:tc>
            </w:tr>
            <w:tr w:rsidR="000C6C82" w:rsidRPr="004A0905" w14:paraId="18D5090E" w14:textId="77777777" w:rsidTr="2B21198B">
              <w:tc>
                <w:tcPr>
                  <w:tcW w:w="1342" w:type="dxa"/>
                </w:tcPr>
                <w:p w14:paraId="5A0A184F" w14:textId="089309DB" w:rsidR="000C6C82" w:rsidRPr="004A0905" w:rsidRDefault="000C6C82" w:rsidP="007925DF">
                  <w:pPr>
                    <w:pStyle w:val="TableText0"/>
                    <w:rPr>
                      <w:szCs w:val="20"/>
                    </w:rPr>
                  </w:pPr>
                  <w:r w:rsidRPr="004A0905">
                    <w:rPr>
                      <w:szCs w:val="20"/>
                    </w:rPr>
                    <w:t>Year 3 (2027</w:t>
                  </w:r>
                </w:p>
              </w:tc>
              <w:tc>
                <w:tcPr>
                  <w:tcW w:w="1343" w:type="dxa"/>
                </w:tcPr>
                <w:p w14:paraId="505365EA" w14:textId="14A9056C" w:rsidR="000C6C82" w:rsidRPr="004A0905" w:rsidRDefault="004C1F08" w:rsidP="007925DF">
                  <w:pPr>
                    <w:pStyle w:val="TableText0"/>
                    <w:rPr>
                      <w:szCs w:val="20"/>
                    </w:rPr>
                  </w:pPr>
                  <w:r w:rsidRPr="00383E30">
                    <w:rPr>
                      <w:color w:val="000000"/>
                      <w:spacing w:val="53"/>
                      <w:szCs w:val="20"/>
                      <w:shd w:val="solid" w:color="000000" w:fill="000000"/>
                      <w:fitText w:val="330" w:id="-663599612"/>
                      <w14:textFill>
                        <w14:solidFill>
                          <w14:srgbClr w14:val="000000">
                            <w14:alpha w14:val="100000"/>
                          </w14:srgbClr>
                        </w14:solidFill>
                      </w14:textFill>
                    </w:rPr>
                    <w:t>|||</w:t>
                  </w:r>
                  <w:r w:rsidRPr="00383E30">
                    <w:rPr>
                      <w:color w:val="000000"/>
                      <w:spacing w:val="1"/>
                      <w:szCs w:val="20"/>
                      <w:shd w:val="solid" w:color="000000" w:fill="000000"/>
                      <w:fitText w:val="330" w:id="-663599612"/>
                      <w14:textFill>
                        <w14:solidFill>
                          <w14:srgbClr w14:val="000000">
                            <w14:alpha w14:val="100000"/>
                          </w14:srgbClr>
                        </w14:solidFill>
                      </w14:textFill>
                    </w:rPr>
                    <w:t>|</w:t>
                  </w:r>
                  <w:r w:rsidR="000C6C82" w:rsidRPr="004A0905">
                    <w:rPr>
                      <w:szCs w:val="20"/>
                    </w:rPr>
                    <w:t>%</w:t>
                  </w:r>
                </w:p>
              </w:tc>
              <w:tc>
                <w:tcPr>
                  <w:tcW w:w="1343" w:type="dxa"/>
                </w:tcPr>
                <w:p w14:paraId="2A79AC55" w14:textId="0A40B19C" w:rsidR="000C6C82" w:rsidRPr="004A0905" w:rsidRDefault="004C1F08" w:rsidP="007925DF">
                  <w:pPr>
                    <w:pStyle w:val="TableText0"/>
                    <w:rPr>
                      <w:szCs w:val="20"/>
                    </w:rPr>
                  </w:pPr>
                  <w:r w:rsidRPr="00383E30">
                    <w:rPr>
                      <w:color w:val="000000"/>
                      <w:spacing w:val="53"/>
                      <w:szCs w:val="20"/>
                      <w:shd w:val="solid" w:color="000000" w:fill="000000"/>
                      <w:fitText w:val="330" w:id="-663599611"/>
                      <w14:textFill>
                        <w14:solidFill>
                          <w14:srgbClr w14:val="000000">
                            <w14:alpha w14:val="100000"/>
                          </w14:srgbClr>
                        </w14:solidFill>
                      </w14:textFill>
                    </w:rPr>
                    <w:t>|||</w:t>
                  </w:r>
                  <w:r w:rsidRPr="00383E30">
                    <w:rPr>
                      <w:color w:val="000000"/>
                      <w:spacing w:val="1"/>
                      <w:szCs w:val="20"/>
                      <w:shd w:val="solid" w:color="000000" w:fill="000000"/>
                      <w:fitText w:val="330" w:id="-663599611"/>
                      <w14:textFill>
                        <w14:solidFill>
                          <w14:srgbClr w14:val="000000">
                            <w14:alpha w14:val="100000"/>
                          </w14:srgbClr>
                        </w14:solidFill>
                      </w14:textFill>
                    </w:rPr>
                    <w:t>|</w:t>
                  </w:r>
                  <w:r w:rsidR="000C6C82" w:rsidRPr="004A0905">
                    <w:rPr>
                      <w:szCs w:val="20"/>
                    </w:rPr>
                    <w:t>%</w:t>
                  </w:r>
                </w:p>
              </w:tc>
            </w:tr>
            <w:tr w:rsidR="000C6C82" w:rsidRPr="004A0905" w14:paraId="3CC41851" w14:textId="77777777" w:rsidTr="2B21198B">
              <w:tc>
                <w:tcPr>
                  <w:tcW w:w="1342" w:type="dxa"/>
                </w:tcPr>
                <w:p w14:paraId="3FC91F33" w14:textId="5F0835B9" w:rsidR="000C6C82" w:rsidRPr="004A0905" w:rsidRDefault="000C6C82" w:rsidP="007925DF">
                  <w:pPr>
                    <w:pStyle w:val="TableText0"/>
                    <w:rPr>
                      <w:szCs w:val="20"/>
                    </w:rPr>
                  </w:pPr>
                  <w:r w:rsidRPr="004A0905">
                    <w:rPr>
                      <w:szCs w:val="20"/>
                    </w:rPr>
                    <w:t>Year 4 (2028)</w:t>
                  </w:r>
                </w:p>
              </w:tc>
              <w:tc>
                <w:tcPr>
                  <w:tcW w:w="1343" w:type="dxa"/>
                </w:tcPr>
                <w:p w14:paraId="21BEBB73" w14:textId="120F9487" w:rsidR="000C6C82" w:rsidRPr="004A0905" w:rsidRDefault="004C1F08" w:rsidP="007925DF">
                  <w:pPr>
                    <w:pStyle w:val="TableText0"/>
                    <w:rPr>
                      <w:szCs w:val="20"/>
                    </w:rPr>
                  </w:pPr>
                  <w:r w:rsidRPr="00383E30">
                    <w:rPr>
                      <w:color w:val="000000"/>
                      <w:spacing w:val="53"/>
                      <w:szCs w:val="20"/>
                      <w:shd w:val="solid" w:color="000000" w:fill="000000"/>
                      <w:fitText w:val="330" w:id="-663599610"/>
                      <w14:textFill>
                        <w14:solidFill>
                          <w14:srgbClr w14:val="000000">
                            <w14:alpha w14:val="100000"/>
                          </w14:srgbClr>
                        </w14:solidFill>
                      </w14:textFill>
                    </w:rPr>
                    <w:t>|||</w:t>
                  </w:r>
                  <w:r w:rsidRPr="00383E30">
                    <w:rPr>
                      <w:color w:val="000000"/>
                      <w:spacing w:val="1"/>
                      <w:szCs w:val="20"/>
                      <w:shd w:val="solid" w:color="000000" w:fill="000000"/>
                      <w:fitText w:val="330" w:id="-663599610"/>
                      <w14:textFill>
                        <w14:solidFill>
                          <w14:srgbClr w14:val="000000">
                            <w14:alpha w14:val="100000"/>
                          </w14:srgbClr>
                        </w14:solidFill>
                      </w14:textFill>
                    </w:rPr>
                    <w:t>|</w:t>
                  </w:r>
                  <w:r w:rsidR="000C6C82" w:rsidRPr="004A0905">
                    <w:rPr>
                      <w:szCs w:val="20"/>
                    </w:rPr>
                    <w:t>%</w:t>
                  </w:r>
                </w:p>
              </w:tc>
              <w:tc>
                <w:tcPr>
                  <w:tcW w:w="1343" w:type="dxa"/>
                </w:tcPr>
                <w:p w14:paraId="2D29EF0A" w14:textId="29E3585D" w:rsidR="000C6C82" w:rsidRPr="004A0905" w:rsidRDefault="004C1F08" w:rsidP="007925DF">
                  <w:pPr>
                    <w:pStyle w:val="TableText0"/>
                    <w:rPr>
                      <w:szCs w:val="20"/>
                    </w:rPr>
                  </w:pPr>
                  <w:r w:rsidRPr="00383E30">
                    <w:rPr>
                      <w:color w:val="000000"/>
                      <w:spacing w:val="53"/>
                      <w:szCs w:val="20"/>
                      <w:shd w:val="solid" w:color="000000" w:fill="000000"/>
                      <w:fitText w:val="330" w:id="-663599609"/>
                      <w14:textFill>
                        <w14:solidFill>
                          <w14:srgbClr w14:val="000000">
                            <w14:alpha w14:val="100000"/>
                          </w14:srgbClr>
                        </w14:solidFill>
                      </w14:textFill>
                    </w:rPr>
                    <w:t>|||</w:t>
                  </w:r>
                  <w:r w:rsidRPr="00383E30">
                    <w:rPr>
                      <w:color w:val="000000"/>
                      <w:spacing w:val="1"/>
                      <w:szCs w:val="20"/>
                      <w:shd w:val="solid" w:color="000000" w:fill="000000"/>
                      <w:fitText w:val="330" w:id="-663599609"/>
                      <w14:textFill>
                        <w14:solidFill>
                          <w14:srgbClr w14:val="000000">
                            <w14:alpha w14:val="100000"/>
                          </w14:srgbClr>
                        </w14:solidFill>
                      </w14:textFill>
                    </w:rPr>
                    <w:t>|</w:t>
                  </w:r>
                  <w:r w:rsidR="000C6C82" w:rsidRPr="004A0905">
                    <w:rPr>
                      <w:szCs w:val="20"/>
                    </w:rPr>
                    <w:t>%</w:t>
                  </w:r>
                </w:p>
              </w:tc>
            </w:tr>
            <w:tr w:rsidR="000C6C82" w:rsidRPr="004A0905" w14:paraId="56FEFE39" w14:textId="77777777" w:rsidTr="2B21198B">
              <w:tc>
                <w:tcPr>
                  <w:tcW w:w="1342" w:type="dxa"/>
                </w:tcPr>
                <w:p w14:paraId="49E5B26B" w14:textId="1101B1EC" w:rsidR="000C6C82" w:rsidRPr="004A0905" w:rsidRDefault="000C6C82" w:rsidP="007925DF">
                  <w:pPr>
                    <w:pStyle w:val="TableText0"/>
                    <w:rPr>
                      <w:szCs w:val="20"/>
                    </w:rPr>
                  </w:pPr>
                  <w:r w:rsidRPr="004A0905">
                    <w:rPr>
                      <w:szCs w:val="20"/>
                    </w:rPr>
                    <w:t>Year 5 (2029)</w:t>
                  </w:r>
                </w:p>
              </w:tc>
              <w:tc>
                <w:tcPr>
                  <w:tcW w:w="1343" w:type="dxa"/>
                </w:tcPr>
                <w:p w14:paraId="0BFA884B" w14:textId="1D31FC27" w:rsidR="000C6C82" w:rsidRPr="004A0905" w:rsidRDefault="004C1F08" w:rsidP="007925DF">
                  <w:pPr>
                    <w:pStyle w:val="TableText0"/>
                    <w:rPr>
                      <w:szCs w:val="20"/>
                    </w:rPr>
                  </w:pPr>
                  <w:r w:rsidRPr="00383E30">
                    <w:rPr>
                      <w:color w:val="000000"/>
                      <w:spacing w:val="53"/>
                      <w:szCs w:val="20"/>
                      <w:shd w:val="solid" w:color="000000" w:fill="000000"/>
                      <w:fitText w:val="330" w:id="-663599608"/>
                      <w14:textFill>
                        <w14:solidFill>
                          <w14:srgbClr w14:val="000000">
                            <w14:alpha w14:val="100000"/>
                          </w14:srgbClr>
                        </w14:solidFill>
                      </w14:textFill>
                    </w:rPr>
                    <w:t>|||</w:t>
                  </w:r>
                  <w:r w:rsidRPr="00383E30">
                    <w:rPr>
                      <w:color w:val="000000"/>
                      <w:spacing w:val="1"/>
                      <w:szCs w:val="20"/>
                      <w:shd w:val="solid" w:color="000000" w:fill="000000"/>
                      <w:fitText w:val="330" w:id="-663599608"/>
                      <w14:textFill>
                        <w14:solidFill>
                          <w14:srgbClr w14:val="000000">
                            <w14:alpha w14:val="100000"/>
                          </w14:srgbClr>
                        </w14:solidFill>
                      </w14:textFill>
                    </w:rPr>
                    <w:t>|</w:t>
                  </w:r>
                  <w:r w:rsidR="000C6C82" w:rsidRPr="004A0905">
                    <w:rPr>
                      <w:szCs w:val="20"/>
                    </w:rPr>
                    <w:t>%</w:t>
                  </w:r>
                </w:p>
              </w:tc>
              <w:tc>
                <w:tcPr>
                  <w:tcW w:w="1343" w:type="dxa"/>
                </w:tcPr>
                <w:p w14:paraId="254B5B6C" w14:textId="2E87441E" w:rsidR="000C6C82" w:rsidRPr="004A0905" w:rsidRDefault="004C1F08" w:rsidP="007925DF">
                  <w:pPr>
                    <w:pStyle w:val="TableText0"/>
                    <w:rPr>
                      <w:szCs w:val="20"/>
                    </w:rPr>
                  </w:pPr>
                  <w:r w:rsidRPr="00383E30">
                    <w:rPr>
                      <w:color w:val="000000"/>
                      <w:spacing w:val="53"/>
                      <w:szCs w:val="20"/>
                      <w:shd w:val="solid" w:color="000000" w:fill="000000"/>
                      <w:fitText w:val="330" w:id="-663599607"/>
                      <w14:textFill>
                        <w14:solidFill>
                          <w14:srgbClr w14:val="000000">
                            <w14:alpha w14:val="100000"/>
                          </w14:srgbClr>
                        </w14:solidFill>
                      </w14:textFill>
                    </w:rPr>
                    <w:t>|||</w:t>
                  </w:r>
                  <w:r w:rsidRPr="00383E30">
                    <w:rPr>
                      <w:color w:val="000000"/>
                      <w:spacing w:val="1"/>
                      <w:szCs w:val="20"/>
                      <w:shd w:val="solid" w:color="000000" w:fill="000000"/>
                      <w:fitText w:val="330" w:id="-663599607"/>
                      <w14:textFill>
                        <w14:solidFill>
                          <w14:srgbClr w14:val="000000">
                            <w14:alpha w14:val="100000"/>
                          </w14:srgbClr>
                        </w14:solidFill>
                      </w14:textFill>
                    </w:rPr>
                    <w:t>|</w:t>
                  </w:r>
                  <w:r w:rsidR="000C6C82" w:rsidRPr="004A0905">
                    <w:rPr>
                      <w:szCs w:val="20"/>
                    </w:rPr>
                    <w:t>%</w:t>
                  </w:r>
                </w:p>
              </w:tc>
            </w:tr>
            <w:tr w:rsidR="000C6C82" w:rsidRPr="004A0905" w14:paraId="073C1A2B" w14:textId="77777777" w:rsidTr="2B21198B">
              <w:tc>
                <w:tcPr>
                  <w:tcW w:w="1342" w:type="dxa"/>
                </w:tcPr>
                <w:p w14:paraId="2470DCC3" w14:textId="6951E41B" w:rsidR="000C6C82" w:rsidRPr="004A0905" w:rsidRDefault="000C6C82" w:rsidP="007925DF">
                  <w:pPr>
                    <w:pStyle w:val="TableText0"/>
                    <w:rPr>
                      <w:szCs w:val="20"/>
                    </w:rPr>
                  </w:pPr>
                  <w:r w:rsidRPr="004A0905">
                    <w:rPr>
                      <w:szCs w:val="20"/>
                    </w:rPr>
                    <w:t>Year 6 (2030)</w:t>
                  </w:r>
                </w:p>
              </w:tc>
              <w:tc>
                <w:tcPr>
                  <w:tcW w:w="1343" w:type="dxa"/>
                </w:tcPr>
                <w:p w14:paraId="18D1E2CF" w14:textId="3D818BFA" w:rsidR="000C6C82" w:rsidRPr="004A0905" w:rsidRDefault="004C1F08" w:rsidP="007925DF">
                  <w:pPr>
                    <w:pStyle w:val="TableText0"/>
                    <w:rPr>
                      <w:szCs w:val="20"/>
                    </w:rPr>
                  </w:pPr>
                  <w:r w:rsidRPr="00383E30">
                    <w:rPr>
                      <w:color w:val="000000"/>
                      <w:spacing w:val="53"/>
                      <w:szCs w:val="20"/>
                      <w:shd w:val="solid" w:color="000000" w:fill="000000"/>
                      <w:fitText w:val="330" w:id="-663599606"/>
                      <w14:textFill>
                        <w14:solidFill>
                          <w14:srgbClr w14:val="000000">
                            <w14:alpha w14:val="100000"/>
                          </w14:srgbClr>
                        </w14:solidFill>
                      </w14:textFill>
                    </w:rPr>
                    <w:t>|||</w:t>
                  </w:r>
                  <w:r w:rsidRPr="00383E30">
                    <w:rPr>
                      <w:color w:val="000000"/>
                      <w:spacing w:val="1"/>
                      <w:szCs w:val="20"/>
                      <w:shd w:val="solid" w:color="000000" w:fill="000000"/>
                      <w:fitText w:val="330" w:id="-663599606"/>
                      <w14:textFill>
                        <w14:solidFill>
                          <w14:srgbClr w14:val="000000">
                            <w14:alpha w14:val="100000"/>
                          </w14:srgbClr>
                        </w14:solidFill>
                      </w14:textFill>
                    </w:rPr>
                    <w:t>|</w:t>
                  </w:r>
                  <w:r w:rsidR="000C6C82" w:rsidRPr="004A0905">
                    <w:rPr>
                      <w:szCs w:val="20"/>
                    </w:rPr>
                    <w:t>%</w:t>
                  </w:r>
                </w:p>
              </w:tc>
              <w:tc>
                <w:tcPr>
                  <w:tcW w:w="1343" w:type="dxa"/>
                </w:tcPr>
                <w:p w14:paraId="46F6DAFE" w14:textId="492DE1AB" w:rsidR="000C6C82" w:rsidRPr="004A0905" w:rsidRDefault="004C1F08" w:rsidP="007925DF">
                  <w:pPr>
                    <w:pStyle w:val="TableText0"/>
                    <w:rPr>
                      <w:szCs w:val="20"/>
                    </w:rPr>
                  </w:pPr>
                  <w:r w:rsidRPr="00383E30">
                    <w:rPr>
                      <w:color w:val="000000"/>
                      <w:spacing w:val="53"/>
                      <w:szCs w:val="20"/>
                      <w:shd w:val="solid" w:color="000000" w:fill="000000"/>
                      <w:fitText w:val="330" w:id="-663599605"/>
                      <w14:textFill>
                        <w14:solidFill>
                          <w14:srgbClr w14:val="000000">
                            <w14:alpha w14:val="100000"/>
                          </w14:srgbClr>
                        </w14:solidFill>
                      </w14:textFill>
                    </w:rPr>
                    <w:t>|||</w:t>
                  </w:r>
                  <w:r w:rsidRPr="00383E30">
                    <w:rPr>
                      <w:color w:val="000000"/>
                      <w:spacing w:val="1"/>
                      <w:szCs w:val="20"/>
                      <w:shd w:val="solid" w:color="000000" w:fill="000000"/>
                      <w:fitText w:val="330" w:id="-663599605"/>
                      <w14:textFill>
                        <w14:solidFill>
                          <w14:srgbClr w14:val="000000">
                            <w14:alpha w14:val="100000"/>
                          </w14:srgbClr>
                        </w14:solidFill>
                      </w14:textFill>
                    </w:rPr>
                    <w:t>|</w:t>
                  </w:r>
                  <w:r w:rsidR="000C6C82" w:rsidRPr="004A0905">
                    <w:rPr>
                      <w:szCs w:val="20"/>
                    </w:rPr>
                    <w:t>%</w:t>
                  </w:r>
                </w:p>
              </w:tc>
            </w:tr>
          </w:tbl>
          <w:p w14:paraId="550316FC" w14:textId="62D63A85" w:rsidR="00E42F73" w:rsidRPr="004A0905" w:rsidRDefault="00E42F73" w:rsidP="007925DF">
            <w:pPr>
              <w:pStyle w:val="TableText0"/>
              <w:rPr>
                <w:szCs w:val="20"/>
              </w:rPr>
            </w:pPr>
          </w:p>
        </w:tc>
        <w:tc>
          <w:tcPr>
            <w:tcW w:w="1780" w:type="pct"/>
            <w:vAlign w:val="center"/>
          </w:tcPr>
          <w:p w14:paraId="7295AAE5" w14:textId="0CB3F089" w:rsidR="00E42F73" w:rsidRPr="004A0905" w:rsidRDefault="009655D5" w:rsidP="007925DF">
            <w:pPr>
              <w:pStyle w:val="TableText0"/>
              <w:rPr>
                <w:szCs w:val="20"/>
              </w:rPr>
            </w:pPr>
            <w:r w:rsidRPr="004A0905">
              <w:rPr>
                <w:szCs w:val="20"/>
              </w:rPr>
              <w:t>Estimates based on sponsor assumptions.</w:t>
            </w:r>
          </w:p>
        </w:tc>
      </w:tr>
      <w:tr w:rsidR="00A05C32" w:rsidRPr="004A0905" w14:paraId="512A8938" w14:textId="77777777" w:rsidTr="2B21198B">
        <w:tc>
          <w:tcPr>
            <w:tcW w:w="950" w:type="pct"/>
            <w:vAlign w:val="center"/>
          </w:tcPr>
          <w:p w14:paraId="1F4C70A3" w14:textId="2B05C0CA" w:rsidR="00A05C32" w:rsidRPr="004A0905" w:rsidRDefault="00A05C32" w:rsidP="007925DF">
            <w:pPr>
              <w:pStyle w:val="TableText0"/>
              <w:rPr>
                <w:szCs w:val="20"/>
              </w:rPr>
            </w:pPr>
            <w:r w:rsidRPr="004A0905">
              <w:rPr>
                <w:szCs w:val="20"/>
              </w:rPr>
              <w:t>Growth rate</w:t>
            </w:r>
          </w:p>
        </w:tc>
        <w:tc>
          <w:tcPr>
            <w:tcW w:w="2270" w:type="pct"/>
            <w:vAlign w:val="center"/>
          </w:tcPr>
          <w:p w14:paraId="3A1D4342" w14:textId="2135C6A5" w:rsidR="00A05C32" w:rsidRPr="00E71B75" w:rsidRDefault="00207612" w:rsidP="007925DF">
            <w:pPr>
              <w:pStyle w:val="TableText0"/>
              <w:rPr>
                <w:szCs w:val="20"/>
              </w:rPr>
            </w:pPr>
            <w:r w:rsidRPr="00E71B75">
              <w:rPr>
                <w:szCs w:val="20"/>
              </w:rPr>
              <w:t xml:space="preserve">Year 1 (2025) </w:t>
            </w:r>
            <w:r w:rsidR="004C1F08" w:rsidRPr="00383E30">
              <w:rPr>
                <w:color w:val="000000"/>
                <w:spacing w:val="55"/>
                <w:w w:val="96"/>
                <w:szCs w:val="20"/>
                <w:shd w:val="solid" w:color="000000" w:fill="000000"/>
                <w:fitText w:val="330" w:id="-663599604"/>
                <w14:textFill>
                  <w14:solidFill>
                    <w14:srgbClr w14:val="000000">
                      <w14:alpha w14:val="100000"/>
                    </w14:srgbClr>
                  </w14:solidFill>
                </w14:textFill>
              </w:rPr>
              <w:t>|||</w:t>
            </w:r>
            <w:r w:rsidR="004C1F08" w:rsidRPr="00383E30">
              <w:rPr>
                <w:color w:val="000000"/>
                <w:spacing w:val="2"/>
                <w:w w:val="96"/>
                <w:szCs w:val="20"/>
                <w:shd w:val="solid" w:color="000000" w:fill="000000"/>
                <w:fitText w:val="330" w:id="-663599604"/>
                <w14:textFill>
                  <w14:solidFill>
                    <w14:srgbClr w14:val="000000">
                      <w14:alpha w14:val="100000"/>
                    </w14:srgbClr>
                  </w14:solidFill>
                </w14:textFill>
              </w:rPr>
              <w:t>|</w:t>
            </w:r>
            <w:r w:rsidRPr="003412F7">
              <w:rPr>
                <w:szCs w:val="20"/>
              </w:rPr>
              <w:t>%</w:t>
            </w:r>
          </w:p>
          <w:p w14:paraId="09AE05CC" w14:textId="3F9A2434" w:rsidR="00207612" w:rsidRPr="00E71B75" w:rsidRDefault="00207612" w:rsidP="007925DF">
            <w:pPr>
              <w:pStyle w:val="TableText0"/>
              <w:rPr>
                <w:szCs w:val="20"/>
              </w:rPr>
            </w:pPr>
            <w:r w:rsidRPr="00E71B75">
              <w:rPr>
                <w:szCs w:val="20"/>
              </w:rPr>
              <w:t xml:space="preserve">Year 2 (2026) </w:t>
            </w:r>
            <w:r w:rsidR="004C1F08" w:rsidRPr="00383E30">
              <w:rPr>
                <w:color w:val="000000"/>
                <w:spacing w:val="55"/>
                <w:w w:val="96"/>
                <w:szCs w:val="20"/>
                <w:shd w:val="solid" w:color="000000" w:fill="000000"/>
                <w:fitText w:val="330" w:id="-663599603"/>
                <w14:textFill>
                  <w14:solidFill>
                    <w14:srgbClr w14:val="000000">
                      <w14:alpha w14:val="100000"/>
                    </w14:srgbClr>
                  </w14:solidFill>
                </w14:textFill>
              </w:rPr>
              <w:t>|||</w:t>
            </w:r>
            <w:r w:rsidR="004C1F08" w:rsidRPr="00383E30">
              <w:rPr>
                <w:color w:val="000000"/>
                <w:spacing w:val="2"/>
                <w:w w:val="96"/>
                <w:szCs w:val="20"/>
                <w:shd w:val="solid" w:color="000000" w:fill="000000"/>
                <w:fitText w:val="330" w:id="-663599603"/>
                <w14:textFill>
                  <w14:solidFill>
                    <w14:srgbClr w14:val="000000">
                      <w14:alpha w14:val="100000"/>
                    </w14:srgbClr>
                  </w14:solidFill>
                </w14:textFill>
              </w:rPr>
              <w:t>|</w:t>
            </w:r>
            <w:r w:rsidRPr="003412F7">
              <w:rPr>
                <w:szCs w:val="20"/>
              </w:rPr>
              <w:t>%</w:t>
            </w:r>
          </w:p>
          <w:p w14:paraId="25474B71" w14:textId="7B9BF1D1" w:rsidR="00207612" w:rsidRPr="00E71B75" w:rsidRDefault="00207612" w:rsidP="007925DF">
            <w:pPr>
              <w:pStyle w:val="TableText0"/>
              <w:rPr>
                <w:szCs w:val="20"/>
              </w:rPr>
            </w:pPr>
            <w:r w:rsidRPr="00E71B75">
              <w:rPr>
                <w:szCs w:val="20"/>
              </w:rPr>
              <w:t>Year 3 (2027</w:t>
            </w:r>
            <w:r w:rsidRPr="000F7009">
              <w:rPr>
                <w:szCs w:val="20"/>
              </w:rPr>
              <w:t xml:space="preserve">) </w:t>
            </w:r>
            <w:r w:rsidR="004C1F08" w:rsidRPr="00383E30">
              <w:rPr>
                <w:color w:val="000000"/>
                <w:spacing w:val="55"/>
                <w:w w:val="96"/>
                <w:szCs w:val="20"/>
                <w:shd w:val="solid" w:color="000000" w:fill="000000"/>
                <w:fitText w:val="330" w:id="-663599602"/>
                <w14:textFill>
                  <w14:solidFill>
                    <w14:srgbClr w14:val="000000">
                      <w14:alpha w14:val="100000"/>
                    </w14:srgbClr>
                  </w14:solidFill>
                </w14:textFill>
              </w:rPr>
              <w:t>|||</w:t>
            </w:r>
            <w:r w:rsidR="004C1F08" w:rsidRPr="00383E30">
              <w:rPr>
                <w:color w:val="000000"/>
                <w:spacing w:val="2"/>
                <w:w w:val="96"/>
                <w:szCs w:val="20"/>
                <w:shd w:val="solid" w:color="000000" w:fill="000000"/>
                <w:fitText w:val="330" w:id="-663599602"/>
                <w14:textFill>
                  <w14:solidFill>
                    <w14:srgbClr w14:val="000000">
                      <w14:alpha w14:val="100000"/>
                    </w14:srgbClr>
                  </w14:solidFill>
                </w14:textFill>
              </w:rPr>
              <w:t>|</w:t>
            </w:r>
            <w:r w:rsidRPr="003412F7">
              <w:rPr>
                <w:szCs w:val="20"/>
              </w:rPr>
              <w:t>%</w:t>
            </w:r>
          </w:p>
          <w:p w14:paraId="00D0C4A3" w14:textId="3FAD88D6" w:rsidR="00207612" w:rsidRPr="00E71B75" w:rsidRDefault="00207612" w:rsidP="007925DF">
            <w:pPr>
              <w:pStyle w:val="TableText0"/>
              <w:rPr>
                <w:szCs w:val="20"/>
              </w:rPr>
            </w:pPr>
            <w:r w:rsidRPr="00E71B75">
              <w:rPr>
                <w:szCs w:val="20"/>
              </w:rPr>
              <w:t xml:space="preserve">Year 4 (2028) </w:t>
            </w:r>
            <w:r w:rsidR="004C1F08" w:rsidRPr="00383E30">
              <w:rPr>
                <w:color w:val="000000"/>
                <w:spacing w:val="55"/>
                <w:w w:val="96"/>
                <w:szCs w:val="20"/>
                <w:shd w:val="solid" w:color="000000" w:fill="000000"/>
                <w:fitText w:val="330" w:id="-663599601"/>
                <w14:textFill>
                  <w14:solidFill>
                    <w14:srgbClr w14:val="000000">
                      <w14:alpha w14:val="100000"/>
                    </w14:srgbClr>
                  </w14:solidFill>
                </w14:textFill>
              </w:rPr>
              <w:t>|||</w:t>
            </w:r>
            <w:r w:rsidR="004C1F08" w:rsidRPr="00383E30">
              <w:rPr>
                <w:color w:val="000000"/>
                <w:spacing w:val="2"/>
                <w:w w:val="96"/>
                <w:szCs w:val="20"/>
                <w:shd w:val="solid" w:color="000000" w:fill="000000"/>
                <w:fitText w:val="330" w:id="-663599601"/>
                <w14:textFill>
                  <w14:solidFill>
                    <w14:srgbClr w14:val="000000">
                      <w14:alpha w14:val="100000"/>
                    </w14:srgbClr>
                  </w14:solidFill>
                </w14:textFill>
              </w:rPr>
              <w:t>|</w:t>
            </w:r>
            <w:r w:rsidRPr="003412F7">
              <w:rPr>
                <w:szCs w:val="20"/>
              </w:rPr>
              <w:t>%</w:t>
            </w:r>
          </w:p>
          <w:p w14:paraId="4EF27C37" w14:textId="0E31C98D" w:rsidR="00207612" w:rsidRPr="00E71B75" w:rsidRDefault="00207612" w:rsidP="007925DF">
            <w:pPr>
              <w:pStyle w:val="TableText0"/>
              <w:rPr>
                <w:szCs w:val="20"/>
              </w:rPr>
            </w:pPr>
            <w:r w:rsidRPr="00E71B75">
              <w:rPr>
                <w:szCs w:val="20"/>
              </w:rPr>
              <w:t xml:space="preserve">Year 5 (2029) </w:t>
            </w:r>
            <w:r w:rsidR="004C1F08" w:rsidRPr="00383E30">
              <w:rPr>
                <w:color w:val="000000"/>
                <w:spacing w:val="55"/>
                <w:w w:val="96"/>
                <w:szCs w:val="20"/>
                <w:shd w:val="solid" w:color="000000" w:fill="000000"/>
                <w:fitText w:val="330" w:id="-663599600"/>
                <w14:textFill>
                  <w14:solidFill>
                    <w14:srgbClr w14:val="000000">
                      <w14:alpha w14:val="100000"/>
                    </w14:srgbClr>
                  </w14:solidFill>
                </w14:textFill>
              </w:rPr>
              <w:t>|||</w:t>
            </w:r>
            <w:r w:rsidR="004C1F08" w:rsidRPr="00383E30">
              <w:rPr>
                <w:color w:val="000000"/>
                <w:spacing w:val="2"/>
                <w:w w:val="96"/>
                <w:szCs w:val="20"/>
                <w:shd w:val="solid" w:color="000000" w:fill="000000"/>
                <w:fitText w:val="330" w:id="-663599600"/>
                <w14:textFill>
                  <w14:solidFill>
                    <w14:srgbClr w14:val="000000">
                      <w14:alpha w14:val="100000"/>
                    </w14:srgbClr>
                  </w14:solidFill>
                </w14:textFill>
              </w:rPr>
              <w:t>|</w:t>
            </w:r>
            <w:r w:rsidRPr="003412F7">
              <w:rPr>
                <w:szCs w:val="20"/>
              </w:rPr>
              <w:t>%</w:t>
            </w:r>
          </w:p>
          <w:p w14:paraId="5289CDB1" w14:textId="322CC573" w:rsidR="00207612" w:rsidRPr="004A0905" w:rsidRDefault="00207612" w:rsidP="007925DF">
            <w:pPr>
              <w:pStyle w:val="TableText0"/>
              <w:rPr>
                <w:szCs w:val="20"/>
              </w:rPr>
            </w:pPr>
            <w:r w:rsidRPr="00E71B75">
              <w:rPr>
                <w:szCs w:val="20"/>
              </w:rPr>
              <w:t xml:space="preserve">Year 6 (2030) </w:t>
            </w:r>
            <w:r w:rsidR="004C1F08" w:rsidRPr="00383E30">
              <w:rPr>
                <w:color w:val="000000"/>
                <w:spacing w:val="55"/>
                <w:w w:val="96"/>
                <w:szCs w:val="20"/>
                <w:shd w:val="solid" w:color="000000" w:fill="000000"/>
                <w:fitText w:val="330" w:id="-663599616"/>
                <w14:textFill>
                  <w14:solidFill>
                    <w14:srgbClr w14:val="000000">
                      <w14:alpha w14:val="100000"/>
                    </w14:srgbClr>
                  </w14:solidFill>
                </w14:textFill>
              </w:rPr>
              <w:t>|||</w:t>
            </w:r>
            <w:r w:rsidR="004C1F08" w:rsidRPr="00383E30">
              <w:rPr>
                <w:color w:val="000000"/>
                <w:spacing w:val="2"/>
                <w:w w:val="96"/>
                <w:szCs w:val="20"/>
                <w:shd w:val="solid" w:color="000000" w:fill="000000"/>
                <w:fitText w:val="330" w:id="-663599616"/>
                <w14:textFill>
                  <w14:solidFill>
                    <w14:srgbClr w14:val="000000">
                      <w14:alpha w14:val="100000"/>
                    </w14:srgbClr>
                  </w14:solidFill>
                </w14:textFill>
              </w:rPr>
              <w:t>|</w:t>
            </w:r>
            <w:r w:rsidR="00607C5B" w:rsidRPr="000F7009">
              <w:rPr>
                <w:szCs w:val="20"/>
              </w:rPr>
              <w:t>%</w:t>
            </w:r>
            <w:r w:rsidR="00DB54EC" w:rsidRPr="000F7009">
              <w:rPr>
                <w:szCs w:val="20"/>
              </w:rPr>
              <w:t>*</w:t>
            </w:r>
            <w:r w:rsidRPr="000F7009">
              <w:rPr>
                <w:szCs w:val="20"/>
              </w:rPr>
              <w:t xml:space="preserve"> </w:t>
            </w:r>
          </w:p>
        </w:tc>
        <w:tc>
          <w:tcPr>
            <w:tcW w:w="1780" w:type="pct"/>
            <w:vAlign w:val="center"/>
          </w:tcPr>
          <w:p w14:paraId="0E031804" w14:textId="6C3EEBD4" w:rsidR="00A05C32" w:rsidRDefault="00207612" w:rsidP="007925DF">
            <w:pPr>
              <w:pStyle w:val="TableText0"/>
              <w:rPr>
                <w:szCs w:val="20"/>
              </w:rPr>
            </w:pPr>
            <w:r w:rsidRPr="004A0905">
              <w:rPr>
                <w:szCs w:val="20"/>
              </w:rPr>
              <w:t>Assumes market growth will flatten</w:t>
            </w:r>
            <w:r w:rsidR="005C724D">
              <w:rPr>
                <w:szCs w:val="20"/>
              </w:rPr>
              <w:t xml:space="preserve"> over time.</w:t>
            </w:r>
            <w:r w:rsidRPr="004A0905">
              <w:rPr>
                <w:szCs w:val="20"/>
              </w:rPr>
              <w:t xml:space="preserve"> </w:t>
            </w:r>
          </w:p>
          <w:p w14:paraId="1B69F981" w14:textId="77777777" w:rsidR="00DB54EC" w:rsidRDefault="00DB54EC" w:rsidP="007925DF">
            <w:pPr>
              <w:pStyle w:val="TableText0"/>
              <w:rPr>
                <w:szCs w:val="20"/>
              </w:rPr>
            </w:pPr>
          </w:p>
          <w:p w14:paraId="0BA4ED26" w14:textId="046BC75F" w:rsidR="00DB54EC" w:rsidRPr="004A0905" w:rsidRDefault="00DB54EC" w:rsidP="007925DF">
            <w:pPr>
              <w:pStyle w:val="TableText0"/>
              <w:rPr>
                <w:szCs w:val="20"/>
              </w:rPr>
            </w:pPr>
            <w:r>
              <w:rPr>
                <w:szCs w:val="20"/>
              </w:rPr>
              <w:t>*Growth rate not needed</w:t>
            </w:r>
            <w:r w:rsidR="000B7A90">
              <w:rPr>
                <w:szCs w:val="20"/>
              </w:rPr>
              <w:t xml:space="preserve"> for this year of the model.</w:t>
            </w:r>
          </w:p>
        </w:tc>
      </w:tr>
      <w:tr w:rsidR="00D244B6" w:rsidRPr="004A0905" w14:paraId="18F4FF1F" w14:textId="77777777" w:rsidTr="2B21198B">
        <w:tc>
          <w:tcPr>
            <w:tcW w:w="950" w:type="pct"/>
            <w:vAlign w:val="center"/>
          </w:tcPr>
          <w:p w14:paraId="09A388E2" w14:textId="09AC01F4" w:rsidR="00D244B6" w:rsidRPr="004A0905" w:rsidRDefault="00D244B6" w:rsidP="007925DF">
            <w:pPr>
              <w:pStyle w:val="TableText0"/>
              <w:rPr>
                <w:szCs w:val="20"/>
              </w:rPr>
            </w:pPr>
            <w:r w:rsidRPr="004A0905">
              <w:rPr>
                <w:szCs w:val="20"/>
              </w:rPr>
              <w:t>Grandfathered patients</w:t>
            </w:r>
          </w:p>
        </w:tc>
        <w:tc>
          <w:tcPr>
            <w:tcW w:w="2270" w:type="pct"/>
            <w:vAlign w:val="center"/>
          </w:tcPr>
          <w:p w14:paraId="61C6F202" w14:textId="1C380FFE" w:rsidR="00D244B6" w:rsidRPr="004A0905" w:rsidRDefault="000C6C82" w:rsidP="007925DF">
            <w:pPr>
              <w:pStyle w:val="TableText0"/>
              <w:rPr>
                <w:szCs w:val="20"/>
              </w:rPr>
            </w:pPr>
            <w:r w:rsidRPr="004A0905">
              <w:rPr>
                <w:szCs w:val="20"/>
              </w:rPr>
              <w:t>Not included – claims it would be double counting</w:t>
            </w:r>
          </w:p>
        </w:tc>
        <w:tc>
          <w:tcPr>
            <w:tcW w:w="1780" w:type="pct"/>
            <w:vAlign w:val="center"/>
          </w:tcPr>
          <w:p w14:paraId="283F2180" w14:textId="48FFA880" w:rsidR="00D244B6" w:rsidRPr="004A0905" w:rsidRDefault="006D28AB" w:rsidP="007925DF">
            <w:pPr>
              <w:pStyle w:val="TableText0"/>
              <w:rPr>
                <w:szCs w:val="20"/>
              </w:rPr>
            </w:pPr>
            <w:r w:rsidRPr="004A0905">
              <w:rPr>
                <w:szCs w:val="20"/>
              </w:rPr>
              <w:t xml:space="preserve">May be </w:t>
            </w:r>
            <w:r w:rsidR="009138A7" w:rsidRPr="004A0905">
              <w:rPr>
                <w:szCs w:val="20"/>
              </w:rPr>
              <w:t>reasonable</w:t>
            </w:r>
          </w:p>
        </w:tc>
      </w:tr>
      <w:tr w:rsidR="00E42F73" w:rsidRPr="004A0905" w14:paraId="0C865763" w14:textId="77777777" w:rsidTr="2B21198B">
        <w:tc>
          <w:tcPr>
            <w:tcW w:w="950" w:type="pct"/>
            <w:vAlign w:val="center"/>
          </w:tcPr>
          <w:p w14:paraId="49D0440C" w14:textId="3838081C" w:rsidR="00E42F73" w:rsidRPr="004A0905" w:rsidRDefault="004658B5" w:rsidP="007925DF">
            <w:pPr>
              <w:pStyle w:val="TableText0"/>
              <w:rPr>
                <w:szCs w:val="20"/>
              </w:rPr>
            </w:pPr>
            <w:r w:rsidRPr="004A0905">
              <w:rPr>
                <w:szCs w:val="20"/>
              </w:rPr>
              <w:t>Dose/duration</w:t>
            </w:r>
          </w:p>
        </w:tc>
        <w:tc>
          <w:tcPr>
            <w:tcW w:w="2270" w:type="pct"/>
            <w:vAlign w:val="center"/>
          </w:tcPr>
          <w:p w14:paraId="55CF5673" w14:textId="2F53538D" w:rsidR="00E42F73" w:rsidRPr="004A0905" w:rsidRDefault="0005519C" w:rsidP="007925DF">
            <w:pPr>
              <w:pStyle w:val="TableText0"/>
              <w:rPr>
                <w:szCs w:val="20"/>
              </w:rPr>
            </w:pPr>
            <w:r w:rsidRPr="004A0905">
              <w:rPr>
                <w:szCs w:val="20"/>
              </w:rPr>
              <w:t>Calculated over 2 years as for economic evaluation</w:t>
            </w:r>
          </w:p>
        </w:tc>
        <w:tc>
          <w:tcPr>
            <w:tcW w:w="1780" w:type="pct"/>
            <w:vAlign w:val="center"/>
          </w:tcPr>
          <w:p w14:paraId="0E346EAB" w14:textId="4938F2EF" w:rsidR="00E42F73" w:rsidRPr="004A0905" w:rsidRDefault="59B1F7B2" w:rsidP="38616EB4">
            <w:pPr>
              <w:pStyle w:val="TableText0"/>
              <w:rPr>
                <w:szCs w:val="20"/>
              </w:rPr>
            </w:pPr>
            <w:r w:rsidRPr="004A0905">
              <w:rPr>
                <w:szCs w:val="20"/>
              </w:rPr>
              <w:t>Reasonabl</w:t>
            </w:r>
            <w:r w:rsidR="003C51ED" w:rsidRPr="004A0905">
              <w:rPr>
                <w:szCs w:val="20"/>
              </w:rPr>
              <w:t>e</w:t>
            </w:r>
          </w:p>
        </w:tc>
      </w:tr>
      <w:tr w:rsidR="00207612" w:rsidRPr="004A0905" w14:paraId="12F97A83" w14:textId="77777777" w:rsidTr="2B21198B">
        <w:tc>
          <w:tcPr>
            <w:tcW w:w="950" w:type="pct"/>
            <w:vAlign w:val="center"/>
          </w:tcPr>
          <w:p w14:paraId="6DDF61A7" w14:textId="5BEDB6A5" w:rsidR="00207612" w:rsidRPr="004A0905" w:rsidRDefault="00207612" w:rsidP="007925DF">
            <w:pPr>
              <w:pStyle w:val="TableText0"/>
              <w:rPr>
                <w:szCs w:val="20"/>
              </w:rPr>
            </w:pPr>
            <w:r w:rsidRPr="004A0905">
              <w:rPr>
                <w:szCs w:val="20"/>
              </w:rPr>
              <w:t xml:space="preserve">Script equivalence </w:t>
            </w:r>
          </w:p>
        </w:tc>
        <w:tc>
          <w:tcPr>
            <w:tcW w:w="2270" w:type="pct"/>
            <w:vAlign w:val="center"/>
          </w:tcPr>
          <w:p w14:paraId="39222F51" w14:textId="6703F998" w:rsidR="00376038" w:rsidRPr="004A0905" w:rsidRDefault="00376038" w:rsidP="007925DF">
            <w:pPr>
              <w:pStyle w:val="TableText0"/>
              <w:rPr>
                <w:szCs w:val="20"/>
              </w:rPr>
            </w:pPr>
            <w:r w:rsidRPr="004A0905">
              <w:rPr>
                <w:szCs w:val="20"/>
              </w:rPr>
              <w:t xml:space="preserve">12.2 = 13.0 </w:t>
            </w:r>
          </w:p>
          <w:p w14:paraId="2DB22800" w14:textId="21724DDF" w:rsidR="00207612" w:rsidRPr="004A0905" w:rsidRDefault="00376038" w:rsidP="007925DF">
            <w:pPr>
              <w:pStyle w:val="TableText0"/>
              <w:rPr>
                <w:szCs w:val="20"/>
              </w:rPr>
            </w:pPr>
            <w:r w:rsidRPr="004A0905">
              <w:rPr>
                <w:szCs w:val="20"/>
              </w:rPr>
              <w:t>Derived from PI documents and weighted according to secukinumab PBAC recommendation for usage- 20% Q2W: 80%Q4W.</w:t>
            </w:r>
          </w:p>
        </w:tc>
        <w:tc>
          <w:tcPr>
            <w:tcW w:w="1780" w:type="pct"/>
            <w:vAlign w:val="center"/>
          </w:tcPr>
          <w:p w14:paraId="26B543DF" w14:textId="34361DDC" w:rsidR="00207612" w:rsidRPr="004A0905" w:rsidRDefault="00376038" w:rsidP="00D244B6">
            <w:pPr>
              <w:pStyle w:val="TableText0"/>
              <w:rPr>
                <w:szCs w:val="20"/>
              </w:rPr>
            </w:pPr>
            <w:r w:rsidRPr="004A0905">
              <w:rPr>
                <w:szCs w:val="20"/>
              </w:rPr>
              <w:t>reasonable</w:t>
            </w:r>
          </w:p>
        </w:tc>
      </w:tr>
      <w:tr w:rsidR="004658B5" w:rsidRPr="004A0905" w14:paraId="7B7FA999" w14:textId="77777777" w:rsidTr="2B21198B">
        <w:tc>
          <w:tcPr>
            <w:tcW w:w="950" w:type="pct"/>
            <w:vAlign w:val="center"/>
          </w:tcPr>
          <w:p w14:paraId="2C67FF14" w14:textId="02CD0590" w:rsidR="004658B5" w:rsidRPr="004A0905" w:rsidRDefault="004658B5" w:rsidP="007925DF">
            <w:pPr>
              <w:pStyle w:val="TableText0"/>
              <w:rPr>
                <w:szCs w:val="20"/>
              </w:rPr>
            </w:pPr>
            <w:r w:rsidRPr="004A0905">
              <w:rPr>
                <w:szCs w:val="20"/>
              </w:rPr>
              <w:t>MBS item</w:t>
            </w:r>
            <w:r w:rsidR="00207612" w:rsidRPr="004A0905">
              <w:rPr>
                <w:szCs w:val="20"/>
              </w:rPr>
              <w:t>s</w:t>
            </w:r>
          </w:p>
        </w:tc>
        <w:tc>
          <w:tcPr>
            <w:tcW w:w="2270" w:type="pct"/>
            <w:vAlign w:val="center"/>
          </w:tcPr>
          <w:p w14:paraId="2CB17643" w14:textId="180A7C8A" w:rsidR="004658B5" w:rsidRPr="004A0905" w:rsidRDefault="00207612" w:rsidP="007925DF">
            <w:pPr>
              <w:pStyle w:val="TableText0"/>
              <w:rPr>
                <w:szCs w:val="20"/>
              </w:rPr>
            </w:pPr>
            <w:r w:rsidRPr="004A0905">
              <w:rPr>
                <w:szCs w:val="20"/>
              </w:rPr>
              <w:t>None</w:t>
            </w:r>
          </w:p>
        </w:tc>
        <w:tc>
          <w:tcPr>
            <w:tcW w:w="1780" w:type="pct"/>
            <w:vAlign w:val="center"/>
          </w:tcPr>
          <w:p w14:paraId="2F12B392" w14:textId="43FFA89C" w:rsidR="004658B5" w:rsidRPr="004A0905" w:rsidRDefault="00B65611" w:rsidP="007925DF">
            <w:pPr>
              <w:pStyle w:val="TableText0"/>
              <w:rPr>
                <w:szCs w:val="20"/>
              </w:rPr>
            </w:pPr>
            <w:r w:rsidRPr="004A0905">
              <w:rPr>
                <w:szCs w:val="20"/>
              </w:rPr>
              <w:t>Appropriate</w:t>
            </w:r>
          </w:p>
        </w:tc>
      </w:tr>
    </w:tbl>
    <w:p w14:paraId="220DA9D9" w14:textId="4EE8F600" w:rsidR="007925DF" w:rsidRPr="004A0905" w:rsidRDefault="00E42F73" w:rsidP="00111006">
      <w:pPr>
        <w:pStyle w:val="FooterTableFigure"/>
      </w:pPr>
      <w:r w:rsidRPr="004A0905">
        <w:t xml:space="preserve">Source: </w:t>
      </w:r>
      <w:r w:rsidR="0005519C" w:rsidRPr="004A0905">
        <w:t xml:space="preserve">compiled from Section 4 of the submission </w:t>
      </w:r>
    </w:p>
    <w:p w14:paraId="329200AB" w14:textId="5AA32C70" w:rsidR="001B5CFE" w:rsidRPr="004A0905" w:rsidRDefault="2D466BA4" w:rsidP="00111006">
      <w:pPr>
        <w:pStyle w:val="3-BodyText"/>
      </w:pPr>
      <w:r w:rsidRPr="004A0905">
        <w:t>The net cost to the PBS using the published price of secukinum</w:t>
      </w:r>
      <w:r w:rsidR="79DE5469" w:rsidRPr="004A0905">
        <w:t>a</w:t>
      </w:r>
      <w:r w:rsidRPr="004A0905">
        <w:t xml:space="preserve">b to calculate the cost minimised price of bimekizumab is shown in </w:t>
      </w:r>
      <w:r w:rsidR="00A90C6B" w:rsidRPr="004A0905">
        <w:fldChar w:fldCharType="begin"/>
      </w:r>
      <w:r w:rsidR="00A90C6B" w:rsidRPr="004A0905">
        <w:instrText xml:space="preserve"> REF _Ref104805295 \h </w:instrText>
      </w:r>
      <w:r w:rsidR="00B677A6" w:rsidRPr="004A0905">
        <w:instrText xml:space="preserve"> \* MERGEFORMAT </w:instrText>
      </w:r>
      <w:r w:rsidR="00A90C6B" w:rsidRPr="004A0905">
        <w:fldChar w:fldCharType="separate"/>
      </w:r>
      <w:r w:rsidR="00184DE0" w:rsidRPr="0098262F">
        <w:t xml:space="preserve">Table </w:t>
      </w:r>
      <w:r w:rsidR="00184DE0">
        <w:rPr>
          <w:noProof/>
        </w:rPr>
        <w:t>12</w:t>
      </w:r>
      <w:r w:rsidR="00A90C6B" w:rsidRPr="004A0905">
        <w:fldChar w:fldCharType="end"/>
      </w:r>
      <w:r w:rsidR="1ED94AC5" w:rsidRPr="004A0905">
        <w:t xml:space="preserve">. </w:t>
      </w:r>
      <w:r w:rsidRPr="004A0905">
        <w:t>The submission also presented estimates of the cost base</w:t>
      </w:r>
      <w:r w:rsidR="1ED94AC5" w:rsidRPr="004A0905">
        <w:t>d</w:t>
      </w:r>
      <w:r w:rsidRPr="004A0905">
        <w:t xml:space="preserve"> on the proposed published price of </w:t>
      </w:r>
      <w:proofErr w:type="spellStart"/>
      <w:r w:rsidRPr="004A0905">
        <w:t>bimekizumab</w:t>
      </w:r>
      <w:proofErr w:type="spellEnd"/>
      <w:r w:rsidRPr="004A0905">
        <w:t>.</w:t>
      </w:r>
    </w:p>
    <w:p w14:paraId="38EC053C" w14:textId="6D02677D" w:rsidR="00C25D9C" w:rsidRPr="0098262F" w:rsidRDefault="00E16AD8" w:rsidP="00E16AD8">
      <w:pPr>
        <w:pStyle w:val="Caption"/>
      </w:pPr>
      <w:bookmarkStart w:id="63" w:name="_Ref104805295"/>
      <w:r w:rsidRPr="0098262F">
        <w:lastRenderedPageBreak/>
        <w:t xml:space="preserve">Table </w:t>
      </w:r>
      <w:r w:rsidR="00C45318">
        <w:fldChar w:fldCharType="begin"/>
      </w:r>
      <w:r w:rsidR="00C45318">
        <w:instrText xml:space="preserve"> SEQ Table \* ARABIC </w:instrText>
      </w:r>
      <w:r w:rsidR="00C45318">
        <w:fldChar w:fldCharType="separate"/>
      </w:r>
      <w:r w:rsidR="00184DE0">
        <w:rPr>
          <w:noProof/>
        </w:rPr>
        <w:t>12</w:t>
      </w:r>
      <w:r w:rsidR="00C45318">
        <w:rPr>
          <w:noProof/>
        </w:rPr>
        <w:fldChar w:fldCharType="end"/>
      </w:r>
      <w:bookmarkEnd w:id="63"/>
      <w:r w:rsidRPr="0098262F">
        <w:t>:</w:t>
      </w:r>
      <w:r w:rsidR="002A2F50" w:rsidRPr="0098262F">
        <w:rPr>
          <w:rStyle w:val="CommentReference"/>
          <w:b/>
          <w:szCs w:val="24"/>
        </w:rPr>
        <w:t xml:space="preserve"> Estimated use and financial implications</w:t>
      </w:r>
      <w:r w:rsidR="00376038">
        <w:rPr>
          <w:rStyle w:val="CommentReference"/>
          <w:b/>
          <w:szCs w:val="24"/>
        </w:rPr>
        <w:t xml:space="preserve">, </w:t>
      </w:r>
      <w:r w:rsidR="00C6492E">
        <w:rPr>
          <w:rStyle w:val="CommentReference"/>
          <w:b/>
          <w:szCs w:val="24"/>
        </w:rPr>
        <w:t xml:space="preserve">DPMQ, </w:t>
      </w:r>
      <w:r w:rsidR="00376038">
        <w:rPr>
          <w:rStyle w:val="CommentReference"/>
          <w:b/>
          <w:szCs w:val="24"/>
        </w:rPr>
        <w:t>published prices.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385A9D" w:rsidRPr="00354295" w14:paraId="43A2A3A1" w14:textId="77777777" w:rsidTr="008A3158">
        <w:trPr>
          <w:tblHeader/>
        </w:trPr>
        <w:tc>
          <w:tcPr>
            <w:tcW w:w="1334" w:type="pct"/>
            <w:vAlign w:val="center"/>
          </w:tcPr>
          <w:p w14:paraId="0A4E41E1" w14:textId="77777777" w:rsidR="00385A9D" w:rsidRPr="00354295" w:rsidRDefault="00385A9D" w:rsidP="00606FBA">
            <w:pPr>
              <w:pStyle w:val="In-tableHeading"/>
              <w:jc w:val="center"/>
              <w:rPr>
                <w:szCs w:val="20"/>
                <w:lang w:val="en-AU"/>
              </w:rPr>
            </w:pPr>
          </w:p>
        </w:tc>
        <w:tc>
          <w:tcPr>
            <w:tcW w:w="611" w:type="pct"/>
            <w:vAlign w:val="center"/>
          </w:tcPr>
          <w:p w14:paraId="77420B6F" w14:textId="77777777" w:rsidR="00385A9D" w:rsidRPr="00354295" w:rsidRDefault="00385A9D" w:rsidP="00606FBA">
            <w:pPr>
              <w:pStyle w:val="In-tableHeading"/>
              <w:jc w:val="center"/>
              <w:rPr>
                <w:szCs w:val="20"/>
                <w:lang w:val="en-AU"/>
              </w:rPr>
            </w:pPr>
            <w:r w:rsidRPr="00354295">
              <w:rPr>
                <w:szCs w:val="20"/>
                <w:lang w:val="en-AU"/>
              </w:rPr>
              <w:t>Year 1</w:t>
            </w:r>
          </w:p>
        </w:tc>
        <w:tc>
          <w:tcPr>
            <w:tcW w:w="611" w:type="pct"/>
            <w:vAlign w:val="center"/>
          </w:tcPr>
          <w:p w14:paraId="3BBD9218" w14:textId="77777777" w:rsidR="00385A9D" w:rsidRPr="00354295" w:rsidRDefault="00385A9D" w:rsidP="00606FBA">
            <w:pPr>
              <w:pStyle w:val="In-tableHeading"/>
              <w:jc w:val="center"/>
              <w:rPr>
                <w:szCs w:val="20"/>
                <w:lang w:val="en-AU"/>
              </w:rPr>
            </w:pPr>
            <w:r w:rsidRPr="00354295">
              <w:rPr>
                <w:szCs w:val="20"/>
                <w:lang w:val="en-AU"/>
              </w:rPr>
              <w:t>Year 2</w:t>
            </w:r>
          </w:p>
        </w:tc>
        <w:tc>
          <w:tcPr>
            <w:tcW w:w="611" w:type="pct"/>
            <w:vAlign w:val="center"/>
          </w:tcPr>
          <w:p w14:paraId="729A646E" w14:textId="77777777" w:rsidR="00385A9D" w:rsidRPr="00354295" w:rsidRDefault="00385A9D" w:rsidP="00606FBA">
            <w:pPr>
              <w:pStyle w:val="In-tableHeading"/>
              <w:jc w:val="center"/>
              <w:rPr>
                <w:szCs w:val="20"/>
                <w:lang w:val="en-AU"/>
              </w:rPr>
            </w:pPr>
            <w:r w:rsidRPr="00354295">
              <w:rPr>
                <w:szCs w:val="20"/>
                <w:lang w:val="en-AU"/>
              </w:rPr>
              <w:t>Year 3</w:t>
            </w:r>
          </w:p>
        </w:tc>
        <w:tc>
          <w:tcPr>
            <w:tcW w:w="611" w:type="pct"/>
            <w:vAlign w:val="center"/>
          </w:tcPr>
          <w:p w14:paraId="280BB544" w14:textId="77777777" w:rsidR="00385A9D" w:rsidRPr="00354295" w:rsidRDefault="00385A9D" w:rsidP="00606FBA">
            <w:pPr>
              <w:pStyle w:val="In-tableHeading"/>
              <w:jc w:val="center"/>
              <w:rPr>
                <w:szCs w:val="20"/>
                <w:lang w:val="en-AU"/>
              </w:rPr>
            </w:pPr>
            <w:r w:rsidRPr="00354295">
              <w:rPr>
                <w:szCs w:val="20"/>
                <w:lang w:val="en-AU"/>
              </w:rPr>
              <w:t>Year 4</w:t>
            </w:r>
          </w:p>
        </w:tc>
        <w:tc>
          <w:tcPr>
            <w:tcW w:w="611" w:type="pct"/>
            <w:vAlign w:val="center"/>
          </w:tcPr>
          <w:p w14:paraId="6435BB5B" w14:textId="77777777" w:rsidR="00385A9D" w:rsidRPr="00354295" w:rsidRDefault="00385A9D" w:rsidP="00606FBA">
            <w:pPr>
              <w:pStyle w:val="In-tableHeading"/>
              <w:jc w:val="center"/>
              <w:rPr>
                <w:szCs w:val="20"/>
                <w:lang w:val="en-AU"/>
              </w:rPr>
            </w:pPr>
            <w:r w:rsidRPr="00354295">
              <w:rPr>
                <w:szCs w:val="20"/>
                <w:lang w:val="en-AU"/>
              </w:rPr>
              <w:t>Year 5</w:t>
            </w:r>
          </w:p>
        </w:tc>
        <w:tc>
          <w:tcPr>
            <w:tcW w:w="611" w:type="pct"/>
          </w:tcPr>
          <w:p w14:paraId="7C618119" w14:textId="77777777" w:rsidR="00385A9D" w:rsidRPr="00354295" w:rsidRDefault="00385A9D" w:rsidP="00606FBA">
            <w:pPr>
              <w:pStyle w:val="In-tableHeading"/>
              <w:jc w:val="center"/>
              <w:rPr>
                <w:szCs w:val="20"/>
                <w:lang w:val="en-AU"/>
              </w:rPr>
            </w:pPr>
            <w:r w:rsidRPr="00354295">
              <w:rPr>
                <w:szCs w:val="20"/>
                <w:lang w:val="en-AU"/>
              </w:rPr>
              <w:t>Year 6</w:t>
            </w:r>
          </w:p>
        </w:tc>
      </w:tr>
      <w:tr w:rsidR="00385A9D" w:rsidRPr="00354295" w14:paraId="3C519059" w14:textId="77777777" w:rsidTr="009C3A3A">
        <w:tc>
          <w:tcPr>
            <w:tcW w:w="5000" w:type="pct"/>
            <w:gridSpan w:val="7"/>
            <w:vAlign w:val="center"/>
          </w:tcPr>
          <w:p w14:paraId="516C2197" w14:textId="77777777" w:rsidR="00385A9D" w:rsidRPr="00354295" w:rsidRDefault="00385A9D" w:rsidP="00606FBA">
            <w:pPr>
              <w:pStyle w:val="In-tableHeading"/>
              <w:rPr>
                <w:bCs/>
                <w:color w:val="000000"/>
                <w:szCs w:val="20"/>
                <w:lang w:val="en-AU"/>
              </w:rPr>
            </w:pPr>
            <w:r w:rsidRPr="00354295">
              <w:rPr>
                <w:bCs/>
                <w:color w:val="000000"/>
                <w:szCs w:val="20"/>
                <w:lang w:val="en-AU"/>
              </w:rPr>
              <w:t>Estimated extent of use</w:t>
            </w:r>
          </w:p>
        </w:tc>
      </w:tr>
      <w:tr w:rsidR="00376038" w:rsidRPr="00354295" w14:paraId="1CEE4D09" w14:textId="77777777" w:rsidTr="00B3074D">
        <w:tc>
          <w:tcPr>
            <w:tcW w:w="1334" w:type="pct"/>
            <w:vAlign w:val="center"/>
          </w:tcPr>
          <w:p w14:paraId="229A1EDF" w14:textId="37A332C8" w:rsidR="00376038" w:rsidRPr="00354295" w:rsidRDefault="00376038" w:rsidP="00376038">
            <w:pPr>
              <w:pStyle w:val="TableText0"/>
              <w:rPr>
                <w:rFonts w:ascii="Times" w:hAnsi="Times"/>
                <w:szCs w:val="20"/>
              </w:rPr>
            </w:pPr>
            <w:r w:rsidRPr="00354295">
              <w:rPr>
                <w:szCs w:val="20"/>
              </w:rPr>
              <w:t>Number of scripts dispensed</w:t>
            </w:r>
          </w:p>
        </w:tc>
        <w:tc>
          <w:tcPr>
            <w:tcW w:w="611" w:type="pct"/>
            <w:vAlign w:val="center"/>
          </w:tcPr>
          <w:p w14:paraId="0D9F25C2" w14:textId="447B5A3A" w:rsidR="00376038" w:rsidRPr="00354295" w:rsidRDefault="004C1F08" w:rsidP="00B3074D">
            <w:pPr>
              <w:pStyle w:val="TableText0"/>
              <w:jc w:val="center"/>
              <w:rPr>
                <w:szCs w:val="20"/>
              </w:rPr>
            </w:pPr>
            <w:r w:rsidRPr="00383E30">
              <w:rPr>
                <w:color w:val="000000"/>
                <w:spacing w:val="53"/>
                <w:szCs w:val="20"/>
                <w:shd w:val="solid" w:color="000000" w:fill="000000"/>
                <w:fitText w:val="330" w:id="-663599615"/>
                <w14:textFill>
                  <w14:solidFill>
                    <w14:srgbClr w14:val="000000">
                      <w14:alpha w14:val="100000"/>
                    </w14:srgbClr>
                  </w14:solidFill>
                </w14:textFill>
              </w:rPr>
              <w:t>|||</w:t>
            </w:r>
            <w:r w:rsidRPr="00383E30">
              <w:rPr>
                <w:color w:val="000000"/>
                <w:spacing w:val="1"/>
                <w:szCs w:val="20"/>
                <w:shd w:val="solid" w:color="000000" w:fill="000000"/>
                <w:fitText w:val="330" w:id="-663599615"/>
                <w14:textFill>
                  <w14:solidFill>
                    <w14:srgbClr w14:val="000000">
                      <w14:alpha w14:val="100000"/>
                    </w14:srgbClr>
                  </w14:solidFill>
                </w14:textFill>
              </w:rPr>
              <w:t>|</w:t>
            </w:r>
            <w:r w:rsidR="009C6F4E">
              <w:rPr>
                <w:szCs w:val="20"/>
                <w:vertAlign w:val="superscript"/>
              </w:rPr>
              <w:t>1</w:t>
            </w:r>
          </w:p>
        </w:tc>
        <w:tc>
          <w:tcPr>
            <w:tcW w:w="611" w:type="pct"/>
            <w:vAlign w:val="center"/>
          </w:tcPr>
          <w:p w14:paraId="2D7847AA" w14:textId="7C1A6951" w:rsidR="00376038" w:rsidRPr="00354295" w:rsidRDefault="004C1F08" w:rsidP="00B3074D">
            <w:pPr>
              <w:pStyle w:val="TableText0"/>
              <w:jc w:val="center"/>
              <w:rPr>
                <w:szCs w:val="20"/>
              </w:rPr>
            </w:pPr>
            <w:r w:rsidRPr="00383E30">
              <w:rPr>
                <w:color w:val="000000"/>
                <w:spacing w:val="53"/>
                <w:szCs w:val="20"/>
                <w:shd w:val="solid" w:color="000000" w:fill="000000"/>
                <w:fitText w:val="330" w:id="-663599614"/>
                <w14:textFill>
                  <w14:solidFill>
                    <w14:srgbClr w14:val="000000">
                      <w14:alpha w14:val="100000"/>
                    </w14:srgbClr>
                  </w14:solidFill>
                </w14:textFill>
              </w:rPr>
              <w:t>|||</w:t>
            </w:r>
            <w:r w:rsidRPr="00383E30">
              <w:rPr>
                <w:color w:val="000000"/>
                <w:spacing w:val="1"/>
                <w:szCs w:val="20"/>
                <w:shd w:val="solid" w:color="000000" w:fill="000000"/>
                <w:fitText w:val="330" w:id="-663599614"/>
                <w14:textFill>
                  <w14:solidFill>
                    <w14:srgbClr w14:val="000000">
                      <w14:alpha w14:val="100000"/>
                    </w14:srgbClr>
                  </w14:solidFill>
                </w14:textFill>
              </w:rPr>
              <w:t>|</w:t>
            </w:r>
            <w:r w:rsidR="009C6F4E">
              <w:rPr>
                <w:szCs w:val="20"/>
                <w:vertAlign w:val="superscript"/>
              </w:rPr>
              <w:t>1</w:t>
            </w:r>
          </w:p>
        </w:tc>
        <w:tc>
          <w:tcPr>
            <w:tcW w:w="611" w:type="pct"/>
            <w:vAlign w:val="center"/>
          </w:tcPr>
          <w:p w14:paraId="7A620378" w14:textId="7AA4DA13" w:rsidR="00376038" w:rsidRPr="00354295" w:rsidRDefault="004C1F08" w:rsidP="00B3074D">
            <w:pPr>
              <w:pStyle w:val="TableText0"/>
              <w:jc w:val="center"/>
              <w:rPr>
                <w:szCs w:val="20"/>
              </w:rPr>
            </w:pPr>
            <w:r w:rsidRPr="00383E30">
              <w:rPr>
                <w:color w:val="000000"/>
                <w:spacing w:val="53"/>
                <w:szCs w:val="20"/>
                <w:shd w:val="solid" w:color="000000" w:fill="000000"/>
                <w:fitText w:val="330" w:id="-663599613"/>
                <w14:textFill>
                  <w14:solidFill>
                    <w14:srgbClr w14:val="000000">
                      <w14:alpha w14:val="100000"/>
                    </w14:srgbClr>
                  </w14:solidFill>
                </w14:textFill>
              </w:rPr>
              <w:t>|||</w:t>
            </w:r>
            <w:r w:rsidRPr="00383E30">
              <w:rPr>
                <w:color w:val="000000"/>
                <w:spacing w:val="1"/>
                <w:szCs w:val="20"/>
                <w:shd w:val="solid" w:color="000000" w:fill="000000"/>
                <w:fitText w:val="330" w:id="-663599613"/>
                <w14:textFill>
                  <w14:solidFill>
                    <w14:srgbClr w14:val="000000">
                      <w14:alpha w14:val="100000"/>
                    </w14:srgbClr>
                  </w14:solidFill>
                </w14:textFill>
              </w:rPr>
              <w:t>|</w:t>
            </w:r>
            <w:r w:rsidR="009C6F4E">
              <w:rPr>
                <w:szCs w:val="20"/>
                <w:vertAlign w:val="superscript"/>
              </w:rPr>
              <w:t>1</w:t>
            </w:r>
          </w:p>
        </w:tc>
        <w:tc>
          <w:tcPr>
            <w:tcW w:w="611" w:type="pct"/>
            <w:vAlign w:val="center"/>
          </w:tcPr>
          <w:p w14:paraId="1D2C1413" w14:textId="39B862F1" w:rsidR="00376038" w:rsidRPr="00354295" w:rsidRDefault="004C1F08" w:rsidP="00B3074D">
            <w:pPr>
              <w:pStyle w:val="TableText0"/>
              <w:jc w:val="center"/>
              <w:rPr>
                <w:szCs w:val="20"/>
              </w:rPr>
            </w:pPr>
            <w:r w:rsidRPr="00383E30">
              <w:rPr>
                <w:color w:val="000000"/>
                <w:spacing w:val="53"/>
                <w:szCs w:val="20"/>
                <w:shd w:val="solid" w:color="000000" w:fill="000000"/>
                <w:fitText w:val="330" w:id="-663599612"/>
                <w14:textFill>
                  <w14:solidFill>
                    <w14:srgbClr w14:val="000000">
                      <w14:alpha w14:val="100000"/>
                    </w14:srgbClr>
                  </w14:solidFill>
                </w14:textFill>
              </w:rPr>
              <w:t>|||</w:t>
            </w:r>
            <w:r w:rsidRPr="00383E30">
              <w:rPr>
                <w:color w:val="000000"/>
                <w:spacing w:val="1"/>
                <w:szCs w:val="20"/>
                <w:shd w:val="solid" w:color="000000" w:fill="000000"/>
                <w:fitText w:val="330" w:id="-663599612"/>
                <w14:textFill>
                  <w14:solidFill>
                    <w14:srgbClr w14:val="000000">
                      <w14:alpha w14:val="100000"/>
                    </w14:srgbClr>
                  </w14:solidFill>
                </w14:textFill>
              </w:rPr>
              <w:t>|</w:t>
            </w:r>
            <w:r w:rsidR="009C6F4E">
              <w:rPr>
                <w:szCs w:val="20"/>
                <w:vertAlign w:val="superscript"/>
              </w:rPr>
              <w:t>2</w:t>
            </w:r>
          </w:p>
        </w:tc>
        <w:tc>
          <w:tcPr>
            <w:tcW w:w="611" w:type="pct"/>
            <w:vAlign w:val="center"/>
          </w:tcPr>
          <w:p w14:paraId="3F0ACB95" w14:textId="3292D238" w:rsidR="00376038" w:rsidRPr="00354295" w:rsidRDefault="004C1F08" w:rsidP="00B3074D">
            <w:pPr>
              <w:pStyle w:val="TableText0"/>
              <w:jc w:val="center"/>
              <w:rPr>
                <w:szCs w:val="20"/>
              </w:rPr>
            </w:pPr>
            <w:r w:rsidRPr="00383E30">
              <w:rPr>
                <w:color w:val="000000"/>
                <w:spacing w:val="53"/>
                <w:szCs w:val="20"/>
                <w:shd w:val="solid" w:color="000000" w:fill="000000"/>
                <w:fitText w:val="330" w:id="-663599360"/>
                <w14:textFill>
                  <w14:solidFill>
                    <w14:srgbClr w14:val="000000">
                      <w14:alpha w14:val="100000"/>
                    </w14:srgbClr>
                  </w14:solidFill>
                </w14:textFill>
              </w:rPr>
              <w:t>|||</w:t>
            </w:r>
            <w:r w:rsidRPr="00383E30">
              <w:rPr>
                <w:color w:val="000000"/>
                <w:spacing w:val="1"/>
                <w:szCs w:val="20"/>
                <w:shd w:val="solid" w:color="000000" w:fill="000000"/>
                <w:fitText w:val="330" w:id="-663599360"/>
                <w14:textFill>
                  <w14:solidFill>
                    <w14:srgbClr w14:val="000000">
                      <w14:alpha w14:val="100000"/>
                    </w14:srgbClr>
                  </w14:solidFill>
                </w14:textFill>
              </w:rPr>
              <w:t>|</w:t>
            </w:r>
            <w:r w:rsidR="009C6F4E">
              <w:rPr>
                <w:szCs w:val="20"/>
                <w:vertAlign w:val="superscript"/>
              </w:rPr>
              <w:t>2</w:t>
            </w:r>
          </w:p>
        </w:tc>
        <w:tc>
          <w:tcPr>
            <w:tcW w:w="611" w:type="pct"/>
            <w:vAlign w:val="center"/>
          </w:tcPr>
          <w:p w14:paraId="1C30F331" w14:textId="35BEFBC7" w:rsidR="00376038" w:rsidRPr="00354295" w:rsidRDefault="004C1F08" w:rsidP="00B3074D">
            <w:pPr>
              <w:pStyle w:val="TableText0"/>
              <w:jc w:val="center"/>
              <w:rPr>
                <w:szCs w:val="20"/>
              </w:rPr>
            </w:pPr>
            <w:r w:rsidRPr="00383E30">
              <w:rPr>
                <w:color w:val="000000"/>
                <w:spacing w:val="53"/>
                <w:szCs w:val="20"/>
                <w:shd w:val="solid" w:color="000000" w:fill="000000"/>
                <w:fitText w:val="330" w:id="-663599359"/>
                <w14:textFill>
                  <w14:solidFill>
                    <w14:srgbClr w14:val="000000">
                      <w14:alpha w14:val="100000"/>
                    </w14:srgbClr>
                  </w14:solidFill>
                </w14:textFill>
              </w:rPr>
              <w:t>|||</w:t>
            </w:r>
            <w:r w:rsidRPr="00383E30">
              <w:rPr>
                <w:color w:val="000000"/>
                <w:spacing w:val="1"/>
                <w:szCs w:val="20"/>
                <w:shd w:val="solid" w:color="000000" w:fill="000000"/>
                <w:fitText w:val="330" w:id="-663599359"/>
                <w14:textFill>
                  <w14:solidFill>
                    <w14:srgbClr w14:val="000000">
                      <w14:alpha w14:val="100000"/>
                    </w14:srgbClr>
                  </w14:solidFill>
                </w14:textFill>
              </w:rPr>
              <w:t>|</w:t>
            </w:r>
            <w:r w:rsidR="009C6F4E">
              <w:rPr>
                <w:szCs w:val="20"/>
                <w:vertAlign w:val="superscript"/>
              </w:rPr>
              <w:t>2</w:t>
            </w:r>
          </w:p>
        </w:tc>
      </w:tr>
      <w:tr w:rsidR="00376038" w:rsidRPr="00354295" w14:paraId="1E699D47" w14:textId="77777777" w:rsidTr="009C3A3A">
        <w:tc>
          <w:tcPr>
            <w:tcW w:w="5000" w:type="pct"/>
            <w:gridSpan w:val="7"/>
            <w:vAlign w:val="center"/>
          </w:tcPr>
          <w:p w14:paraId="7D0E0884" w14:textId="3B56E0EA" w:rsidR="00376038" w:rsidRPr="00354295" w:rsidRDefault="00376038" w:rsidP="00376038">
            <w:pPr>
              <w:pStyle w:val="In-tableHeading"/>
              <w:rPr>
                <w:szCs w:val="20"/>
                <w:lang w:val="en-AU"/>
              </w:rPr>
            </w:pPr>
            <w:r w:rsidRPr="00354295">
              <w:rPr>
                <w:szCs w:val="20"/>
                <w:lang w:val="en-AU"/>
              </w:rPr>
              <w:t>Estimated financial implications of bim</w:t>
            </w:r>
            <w:r w:rsidR="00C6492E" w:rsidRPr="00354295">
              <w:rPr>
                <w:szCs w:val="20"/>
                <w:lang w:val="en-AU"/>
              </w:rPr>
              <w:t>ekizumab.</w:t>
            </w:r>
          </w:p>
        </w:tc>
      </w:tr>
      <w:tr w:rsidR="00C6492E" w:rsidRPr="00354295" w14:paraId="4B4ACF1A" w14:textId="77777777" w:rsidTr="00B3074D">
        <w:tc>
          <w:tcPr>
            <w:tcW w:w="1334" w:type="pct"/>
            <w:vAlign w:val="center"/>
          </w:tcPr>
          <w:p w14:paraId="467993BD" w14:textId="618A57F1" w:rsidR="00C6492E" w:rsidRPr="00354295" w:rsidRDefault="00C6492E" w:rsidP="00C6492E">
            <w:pPr>
              <w:pStyle w:val="TableText0"/>
              <w:rPr>
                <w:szCs w:val="20"/>
              </w:rPr>
            </w:pPr>
            <w:r w:rsidRPr="00354295">
              <w:rPr>
                <w:szCs w:val="20"/>
              </w:rPr>
              <w:t>Cost to PBS/RPBS less copayments</w:t>
            </w:r>
          </w:p>
        </w:tc>
        <w:tc>
          <w:tcPr>
            <w:tcW w:w="611" w:type="pct"/>
            <w:vAlign w:val="center"/>
          </w:tcPr>
          <w:p w14:paraId="4125A2B6" w14:textId="54916BE3" w:rsidR="00C6492E" w:rsidRPr="001747FE" w:rsidRDefault="00C6492E" w:rsidP="00B3074D">
            <w:pPr>
              <w:pStyle w:val="TableText0"/>
              <w:jc w:val="center"/>
              <w:rPr>
                <w:szCs w:val="20"/>
                <w:vertAlign w:val="superscript"/>
              </w:rPr>
            </w:pPr>
            <w:r w:rsidRPr="00354295">
              <w:rPr>
                <w:szCs w:val="20"/>
              </w:rPr>
              <w:t>$</w:t>
            </w:r>
            <w:r w:rsidR="004C1F08" w:rsidRPr="004C1F08">
              <w:rPr>
                <w:color w:val="000000"/>
                <w:spacing w:val="53"/>
                <w:szCs w:val="20"/>
                <w:shd w:val="solid" w:color="000000" w:fill="000000"/>
                <w:fitText w:val="330" w:id="-663599358"/>
                <w14:textFill>
                  <w14:solidFill>
                    <w14:srgbClr w14:val="000000">
                      <w14:alpha w14:val="100000"/>
                    </w14:srgbClr>
                  </w14:solidFill>
                </w14:textFill>
              </w:rPr>
              <w:t>|||</w:t>
            </w:r>
            <w:r w:rsidR="004C1F08" w:rsidRPr="004C1F08">
              <w:rPr>
                <w:color w:val="000000"/>
                <w:spacing w:val="1"/>
                <w:szCs w:val="20"/>
                <w:shd w:val="solid" w:color="000000" w:fill="000000"/>
                <w:fitText w:val="330" w:id="-663599358"/>
                <w14:textFill>
                  <w14:solidFill>
                    <w14:srgbClr w14:val="000000">
                      <w14:alpha w14:val="100000"/>
                    </w14:srgbClr>
                  </w14:solidFill>
                </w14:textFill>
              </w:rPr>
              <w:t>|</w:t>
            </w:r>
            <w:r w:rsidR="00C25871">
              <w:rPr>
                <w:szCs w:val="20"/>
                <w:vertAlign w:val="superscript"/>
              </w:rPr>
              <w:t>3</w:t>
            </w:r>
          </w:p>
        </w:tc>
        <w:tc>
          <w:tcPr>
            <w:tcW w:w="611" w:type="pct"/>
            <w:vAlign w:val="center"/>
          </w:tcPr>
          <w:p w14:paraId="5BDFECEB" w14:textId="5A287E37" w:rsidR="00C6492E" w:rsidRPr="00354295" w:rsidRDefault="00C6492E" w:rsidP="00B3074D">
            <w:pPr>
              <w:pStyle w:val="TableText0"/>
              <w:jc w:val="center"/>
              <w:rPr>
                <w:szCs w:val="20"/>
              </w:rPr>
            </w:pPr>
            <w:r w:rsidRPr="00354295">
              <w:rPr>
                <w:szCs w:val="20"/>
              </w:rPr>
              <w:t>$</w:t>
            </w:r>
            <w:r w:rsidR="004C1F08" w:rsidRPr="004C1F08">
              <w:rPr>
                <w:color w:val="000000"/>
                <w:spacing w:val="53"/>
                <w:szCs w:val="20"/>
                <w:shd w:val="solid" w:color="000000" w:fill="000000"/>
                <w:fitText w:val="330" w:id="-663599357"/>
                <w14:textFill>
                  <w14:solidFill>
                    <w14:srgbClr w14:val="000000">
                      <w14:alpha w14:val="100000"/>
                    </w14:srgbClr>
                  </w14:solidFill>
                </w14:textFill>
              </w:rPr>
              <w:t>|||</w:t>
            </w:r>
            <w:r w:rsidR="004C1F08" w:rsidRPr="004C1F08">
              <w:rPr>
                <w:color w:val="000000"/>
                <w:spacing w:val="1"/>
                <w:szCs w:val="20"/>
                <w:shd w:val="solid" w:color="000000" w:fill="000000"/>
                <w:fitText w:val="330" w:id="-663599357"/>
                <w14:textFill>
                  <w14:solidFill>
                    <w14:srgbClr w14:val="000000">
                      <w14:alpha w14:val="100000"/>
                    </w14:srgbClr>
                  </w14:solidFill>
                </w14:textFill>
              </w:rPr>
              <w:t>|</w:t>
            </w:r>
            <w:r w:rsidR="00C25871">
              <w:rPr>
                <w:szCs w:val="20"/>
                <w:vertAlign w:val="superscript"/>
              </w:rPr>
              <w:t>3</w:t>
            </w:r>
          </w:p>
        </w:tc>
        <w:tc>
          <w:tcPr>
            <w:tcW w:w="611" w:type="pct"/>
            <w:vAlign w:val="center"/>
          </w:tcPr>
          <w:p w14:paraId="3890D42E" w14:textId="2FFE19A0" w:rsidR="00C6492E" w:rsidRPr="00354295" w:rsidRDefault="00C6492E" w:rsidP="00B3074D">
            <w:pPr>
              <w:pStyle w:val="TableText0"/>
              <w:jc w:val="center"/>
              <w:rPr>
                <w:szCs w:val="20"/>
              </w:rPr>
            </w:pPr>
            <w:r w:rsidRPr="00354295">
              <w:rPr>
                <w:szCs w:val="20"/>
              </w:rPr>
              <w:t>$</w:t>
            </w:r>
            <w:r w:rsidR="004C1F08" w:rsidRPr="004C1F08">
              <w:rPr>
                <w:color w:val="000000"/>
                <w:spacing w:val="53"/>
                <w:szCs w:val="20"/>
                <w:shd w:val="solid" w:color="000000" w:fill="000000"/>
                <w:fitText w:val="330" w:id="-663599356"/>
                <w14:textFill>
                  <w14:solidFill>
                    <w14:srgbClr w14:val="000000">
                      <w14:alpha w14:val="100000"/>
                    </w14:srgbClr>
                  </w14:solidFill>
                </w14:textFill>
              </w:rPr>
              <w:t>|||</w:t>
            </w:r>
            <w:r w:rsidR="004C1F08" w:rsidRPr="004C1F08">
              <w:rPr>
                <w:color w:val="000000"/>
                <w:spacing w:val="1"/>
                <w:szCs w:val="20"/>
                <w:shd w:val="solid" w:color="000000" w:fill="000000"/>
                <w:fitText w:val="330" w:id="-663599356"/>
                <w14:textFill>
                  <w14:solidFill>
                    <w14:srgbClr w14:val="000000">
                      <w14:alpha w14:val="100000"/>
                    </w14:srgbClr>
                  </w14:solidFill>
                </w14:textFill>
              </w:rPr>
              <w:t>|</w:t>
            </w:r>
            <w:r w:rsidR="00C25871">
              <w:rPr>
                <w:szCs w:val="20"/>
                <w:vertAlign w:val="superscript"/>
              </w:rPr>
              <w:t>3</w:t>
            </w:r>
          </w:p>
        </w:tc>
        <w:tc>
          <w:tcPr>
            <w:tcW w:w="611" w:type="pct"/>
            <w:vAlign w:val="center"/>
          </w:tcPr>
          <w:p w14:paraId="2728B643" w14:textId="25C9B49A" w:rsidR="00C6492E" w:rsidRPr="00354295" w:rsidRDefault="00C6492E" w:rsidP="00B3074D">
            <w:pPr>
              <w:pStyle w:val="TableText0"/>
              <w:jc w:val="center"/>
              <w:rPr>
                <w:szCs w:val="20"/>
              </w:rPr>
            </w:pPr>
            <w:r w:rsidRPr="00354295">
              <w:rPr>
                <w:szCs w:val="20"/>
              </w:rPr>
              <w:t>$</w:t>
            </w:r>
            <w:r w:rsidR="004C1F08" w:rsidRPr="004C1F08">
              <w:rPr>
                <w:color w:val="000000"/>
                <w:spacing w:val="53"/>
                <w:szCs w:val="20"/>
                <w:shd w:val="solid" w:color="000000" w:fill="000000"/>
                <w:fitText w:val="330" w:id="-663599355"/>
                <w14:textFill>
                  <w14:solidFill>
                    <w14:srgbClr w14:val="000000">
                      <w14:alpha w14:val="100000"/>
                    </w14:srgbClr>
                  </w14:solidFill>
                </w14:textFill>
              </w:rPr>
              <w:t>|||</w:t>
            </w:r>
            <w:r w:rsidR="004C1F08" w:rsidRPr="004C1F08">
              <w:rPr>
                <w:color w:val="000000"/>
                <w:spacing w:val="1"/>
                <w:szCs w:val="20"/>
                <w:shd w:val="solid" w:color="000000" w:fill="000000"/>
                <w:fitText w:val="330" w:id="-663599355"/>
                <w14:textFill>
                  <w14:solidFill>
                    <w14:srgbClr w14:val="000000">
                      <w14:alpha w14:val="100000"/>
                    </w14:srgbClr>
                  </w14:solidFill>
                </w14:textFill>
              </w:rPr>
              <w:t>|</w:t>
            </w:r>
            <w:r w:rsidR="00C25871">
              <w:rPr>
                <w:szCs w:val="20"/>
                <w:vertAlign w:val="superscript"/>
              </w:rPr>
              <w:t>4</w:t>
            </w:r>
          </w:p>
        </w:tc>
        <w:tc>
          <w:tcPr>
            <w:tcW w:w="611" w:type="pct"/>
            <w:vAlign w:val="center"/>
          </w:tcPr>
          <w:p w14:paraId="5FE5021A" w14:textId="59B14B66" w:rsidR="00C6492E" w:rsidRPr="00354295" w:rsidRDefault="00C6492E" w:rsidP="00B3074D">
            <w:pPr>
              <w:pStyle w:val="TableText0"/>
              <w:jc w:val="center"/>
              <w:rPr>
                <w:szCs w:val="20"/>
              </w:rPr>
            </w:pPr>
            <w:r w:rsidRPr="00354295">
              <w:rPr>
                <w:szCs w:val="20"/>
              </w:rPr>
              <w:t>$</w:t>
            </w:r>
            <w:r w:rsidR="004C1F08" w:rsidRPr="004C1F08">
              <w:rPr>
                <w:color w:val="000000"/>
                <w:spacing w:val="53"/>
                <w:szCs w:val="20"/>
                <w:shd w:val="solid" w:color="000000" w:fill="000000"/>
                <w:fitText w:val="330" w:id="-663599354"/>
                <w14:textFill>
                  <w14:solidFill>
                    <w14:srgbClr w14:val="000000">
                      <w14:alpha w14:val="100000"/>
                    </w14:srgbClr>
                  </w14:solidFill>
                </w14:textFill>
              </w:rPr>
              <w:t>|||</w:t>
            </w:r>
            <w:r w:rsidR="004C1F08" w:rsidRPr="004C1F08">
              <w:rPr>
                <w:color w:val="000000"/>
                <w:spacing w:val="1"/>
                <w:szCs w:val="20"/>
                <w:shd w:val="solid" w:color="000000" w:fill="000000"/>
                <w:fitText w:val="330" w:id="-663599354"/>
                <w14:textFill>
                  <w14:solidFill>
                    <w14:srgbClr w14:val="000000">
                      <w14:alpha w14:val="100000"/>
                    </w14:srgbClr>
                  </w14:solidFill>
                </w14:textFill>
              </w:rPr>
              <w:t>|</w:t>
            </w:r>
            <w:r w:rsidR="00C25871">
              <w:rPr>
                <w:szCs w:val="20"/>
                <w:vertAlign w:val="superscript"/>
              </w:rPr>
              <w:t>4</w:t>
            </w:r>
          </w:p>
        </w:tc>
        <w:tc>
          <w:tcPr>
            <w:tcW w:w="611" w:type="pct"/>
            <w:vAlign w:val="center"/>
          </w:tcPr>
          <w:p w14:paraId="6F8E9082" w14:textId="5317DA2C" w:rsidR="00C6492E" w:rsidRPr="00354295" w:rsidRDefault="00C6492E" w:rsidP="00B3074D">
            <w:pPr>
              <w:pStyle w:val="TableText0"/>
              <w:jc w:val="center"/>
              <w:rPr>
                <w:szCs w:val="20"/>
              </w:rPr>
            </w:pPr>
            <w:r w:rsidRPr="00354295">
              <w:rPr>
                <w:szCs w:val="20"/>
              </w:rPr>
              <w:t>$</w:t>
            </w:r>
            <w:r w:rsidR="004C1F08" w:rsidRPr="004C1F08">
              <w:rPr>
                <w:color w:val="000000"/>
                <w:spacing w:val="53"/>
                <w:szCs w:val="20"/>
                <w:shd w:val="solid" w:color="000000" w:fill="000000"/>
                <w:fitText w:val="330" w:id="-663599353"/>
                <w14:textFill>
                  <w14:solidFill>
                    <w14:srgbClr w14:val="000000">
                      <w14:alpha w14:val="100000"/>
                    </w14:srgbClr>
                  </w14:solidFill>
                </w14:textFill>
              </w:rPr>
              <w:t>|||</w:t>
            </w:r>
            <w:r w:rsidR="004C1F08" w:rsidRPr="004C1F08">
              <w:rPr>
                <w:color w:val="000000"/>
                <w:spacing w:val="1"/>
                <w:szCs w:val="20"/>
                <w:shd w:val="solid" w:color="000000" w:fill="000000"/>
                <w:fitText w:val="330" w:id="-663599353"/>
                <w14:textFill>
                  <w14:solidFill>
                    <w14:srgbClr w14:val="000000">
                      <w14:alpha w14:val="100000"/>
                    </w14:srgbClr>
                  </w14:solidFill>
                </w14:textFill>
              </w:rPr>
              <w:t>|</w:t>
            </w:r>
            <w:r w:rsidR="00C25871">
              <w:rPr>
                <w:szCs w:val="20"/>
                <w:vertAlign w:val="superscript"/>
              </w:rPr>
              <w:t>4</w:t>
            </w:r>
          </w:p>
        </w:tc>
      </w:tr>
      <w:tr w:rsidR="00C6492E" w:rsidRPr="00354295" w14:paraId="344AC0E2" w14:textId="77777777" w:rsidTr="009C3A3A">
        <w:tc>
          <w:tcPr>
            <w:tcW w:w="5000" w:type="pct"/>
            <w:gridSpan w:val="7"/>
            <w:vAlign w:val="center"/>
          </w:tcPr>
          <w:p w14:paraId="0FF7E64D" w14:textId="5B50394D" w:rsidR="00C6492E" w:rsidRPr="00354295" w:rsidRDefault="00C6492E" w:rsidP="00C6492E">
            <w:pPr>
              <w:pStyle w:val="In-tableHeading"/>
              <w:rPr>
                <w:szCs w:val="20"/>
              </w:rPr>
            </w:pPr>
            <w:r w:rsidRPr="00354295">
              <w:rPr>
                <w:szCs w:val="20"/>
              </w:rPr>
              <w:t>Estimated financial implications for other medicines}</w:t>
            </w:r>
          </w:p>
        </w:tc>
      </w:tr>
      <w:tr w:rsidR="00C6492E" w:rsidRPr="00354295" w14:paraId="0CE077D9" w14:textId="77777777" w:rsidTr="00B3074D">
        <w:tc>
          <w:tcPr>
            <w:tcW w:w="1334" w:type="pct"/>
            <w:vAlign w:val="center"/>
          </w:tcPr>
          <w:p w14:paraId="40F6A2C5" w14:textId="135CB323" w:rsidR="00C6492E" w:rsidRPr="00354295" w:rsidRDefault="00C6492E" w:rsidP="00C6492E">
            <w:pPr>
              <w:pStyle w:val="TableText0"/>
              <w:rPr>
                <w:szCs w:val="20"/>
              </w:rPr>
            </w:pPr>
            <w:r w:rsidRPr="00354295">
              <w:rPr>
                <w:szCs w:val="20"/>
              </w:rPr>
              <w:t>Cost to PBS/RPBS less copayments</w:t>
            </w:r>
          </w:p>
        </w:tc>
        <w:tc>
          <w:tcPr>
            <w:tcW w:w="611" w:type="pct"/>
            <w:vAlign w:val="center"/>
          </w:tcPr>
          <w:p w14:paraId="50CF2446" w14:textId="04DD764D" w:rsidR="00C6492E" w:rsidRPr="00354295" w:rsidRDefault="00C6492E" w:rsidP="00B3074D">
            <w:pPr>
              <w:pStyle w:val="TableText0"/>
              <w:jc w:val="center"/>
              <w:rPr>
                <w:szCs w:val="20"/>
              </w:rPr>
            </w:pPr>
            <w:r w:rsidRPr="00354295">
              <w:rPr>
                <w:szCs w:val="20"/>
              </w:rPr>
              <w:t>-$</w:t>
            </w:r>
            <w:r w:rsidR="004C1F08" w:rsidRPr="004C1F08">
              <w:rPr>
                <w:color w:val="000000"/>
                <w:spacing w:val="53"/>
                <w:szCs w:val="20"/>
                <w:shd w:val="solid" w:color="000000" w:fill="000000"/>
                <w:fitText w:val="330" w:id="-663599352"/>
                <w14:textFill>
                  <w14:solidFill>
                    <w14:srgbClr w14:val="000000">
                      <w14:alpha w14:val="100000"/>
                    </w14:srgbClr>
                  </w14:solidFill>
                </w14:textFill>
              </w:rPr>
              <w:t>|||</w:t>
            </w:r>
            <w:r w:rsidR="004C1F08" w:rsidRPr="004C1F08">
              <w:rPr>
                <w:color w:val="000000"/>
                <w:spacing w:val="1"/>
                <w:szCs w:val="20"/>
                <w:shd w:val="solid" w:color="000000" w:fill="000000"/>
                <w:fitText w:val="330" w:id="-663599352"/>
                <w14:textFill>
                  <w14:solidFill>
                    <w14:srgbClr w14:val="000000">
                      <w14:alpha w14:val="100000"/>
                    </w14:srgbClr>
                  </w14:solidFill>
                </w14:textFill>
              </w:rPr>
              <w:t>|</w:t>
            </w:r>
            <w:r w:rsidR="00911628">
              <w:rPr>
                <w:szCs w:val="20"/>
                <w:vertAlign w:val="superscript"/>
              </w:rPr>
              <w:t>5</w:t>
            </w:r>
          </w:p>
        </w:tc>
        <w:tc>
          <w:tcPr>
            <w:tcW w:w="611" w:type="pct"/>
            <w:vAlign w:val="center"/>
          </w:tcPr>
          <w:p w14:paraId="35AF80ED" w14:textId="4AA480E3" w:rsidR="00C6492E" w:rsidRPr="00354295" w:rsidRDefault="00C6492E" w:rsidP="00B3074D">
            <w:pPr>
              <w:pStyle w:val="TableText0"/>
              <w:jc w:val="center"/>
              <w:rPr>
                <w:szCs w:val="20"/>
              </w:rPr>
            </w:pPr>
            <w:r w:rsidRPr="00354295">
              <w:rPr>
                <w:szCs w:val="20"/>
              </w:rPr>
              <w:t>-$</w:t>
            </w:r>
            <w:r w:rsidR="004C1F08" w:rsidRPr="004C1F08">
              <w:rPr>
                <w:color w:val="000000"/>
                <w:spacing w:val="53"/>
                <w:szCs w:val="20"/>
                <w:shd w:val="solid" w:color="000000" w:fill="000000"/>
                <w:fitText w:val="330" w:id="-663599351"/>
                <w14:textFill>
                  <w14:solidFill>
                    <w14:srgbClr w14:val="000000">
                      <w14:alpha w14:val="100000"/>
                    </w14:srgbClr>
                  </w14:solidFill>
                </w14:textFill>
              </w:rPr>
              <w:t>|||</w:t>
            </w:r>
            <w:r w:rsidR="004C1F08" w:rsidRPr="004C1F08">
              <w:rPr>
                <w:color w:val="000000"/>
                <w:spacing w:val="1"/>
                <w:szCs w:val="20"/>
                <w:shd w:val="solid" w:color="000000" w:fill="000000"/>
                <w:fitText w:val="330" w:id="-663599351"/>
                <w14:textFill>
                  <w14:solidFill>
                    <w14:srgbClr w14:val="000000">
                      <w14:alpha w14:val="100000"/>
                    </w14:srgbClr>
                  </w14:solidFill>
                </w14:textFill>
              </w:rPr>
              <w:t>|</w:t>
            </w:r>
            <w:r w:rsidR="00911628">
              <w:rPr>
                <w:szCs w:val="20"/>
                <w:vertAlign w:val="superscript"/>
              </w:rPr>
              <w:t>5</w:t>
            </w:r>
          </w:p>
        </w:tc>
        <w:tc>
          <w:tcPr>
            <w:tcW w:w="611" w:type="pct"/>
            <w:vAlign w:val="center"/>
          </w:tcPr>
          <w:p w14:paraId="28F1C25D" w14:textId="29AAC81D" w:rsidR="00C6492E" w:rsidRPr="00354295" w:rsidRDefault="00C6492E" w:rsidP="00B3074D">
            <w:pPr>
              <w:pStyle w:val="TableText0"/>
              <w:jc w:val="center"/>
              <w:rPr>
                <w:szCs w:val="20"/>
              </w:rPr>
            </w:pPr>
            <w:r w:rsidRPr="00354295">
              <w:rPr>
                <w:szCs w:val="20"/>
              </w:rPr>
              <w:t>-$</w:t>
            </w:r>
            <w:r w:rsidR="004C1F08" w:rsidRPr="004C1F08">
              <w:rPr>
                <w:color w:val="000000"/>
                <w:spacing w:val="53"/>
                <w:szCs w:val="20"/>
                <w:shd w:val="solid" w:color="000000" w:fill="000000"/>
                <w:fitText w:val="330" w:id="-663599350"/>
                <w14:textFill>
                  <w14:solidFill>
                    <w14:srgbClr w14:val="000000">
                      <w14:alpha w14:val="100000"/>
                    </w14:srgbClr>
                  </w14:solidFill>
                </w14:textFill>
              </w:rPr>
              <w:t>|||</w:t>
            </w:r>
            <w:r w:rsidR="004C1F08" w:rsidRPr="004C1F08">
              <w:rPr>
                <w:color w:val="000000"/>
                <w:spacing w:val="1"/>
                <w:szCs w:val="20"/>
                <w:shd w:val="solid" w:color="000000" w:fill="000000"/>
                <w:fitText w:val="330" w:id="-663599350"/>
                <w14:textFill>
                  <w14:solidFill>
                    <w14:srgbClr w14:val="000000">
                      <w14:alpha w14:val="100000"/>
                    </w14:srgbClr>
                  </w14:solidFill>
                </w14:textFill>
              </w:rPr>
              <w:t>|</w:t>
            </w:r>
            <w:r w:rsidR="00911628">
              <w:rPr>
                <w:szCs w:val="20"/>
                <w:vertAlign w:val="superscript"/>
              </w:rPr>
              <w:t>5</w:t>
            </w:r>
          </w:p>
        </w:tc>
        <w:tc>
          <w:tcPr>
            <w:tcW w:w="611" w:type="pct"/>
            <w:vAlign w:val="center"/>
          </w:tcPr>
          <w:p w14:paraId="5DBA4173" w14:textId="4358E0E5" w:rsidR="00C6492E" w:rsidRPr="00354295" w:rsidRDefault="00C6492E" w:rsidP="00B3074D">
            <w:pPr>
              <w:pStyle w:val="TableText0"/>
              <w:jc w:val="center"/>
              <w:rPr>
                <w:szCs w:val="20"/>
              </w:rPr>
            </w:pPr>
            <w:r w:rsidRPr="00354295">
              <w:rPr>
                <w:szCs w:val="20"/>
              </w:rPr>
              <w:t>-$</w:t>
            </w:r>
            <w:r w:rsidR="004C1F08" w:rsidRPr="004C1F08">
              <w:rPr>
                <w:color w:val="000000"/>
                <w:spacing w:val="53"/>
                <w:szCs w:val="20"/>
                <w:shd w:val="solid" w:color="000000" w:fill="000000"/>
                <w:fitText w:val="330" w:id="-663599349"/>
                <w14:textFill>
                  <w14:solidFill>
                    <w14:srgbClr w14:val="000000">
                      <w14:alpha w14:val="100000"/>
                    </w14:srgbClr>
                  </w14:solidFill>
                </w14:textFill>
              </w:rPr>
              <w:t>|||</w:t>
            </w:r>
            <w:r w:rsidR="004C1F08" w:rsidRPr="004C1F08">
              <w:rPr>
                <w:color w:val="000000"/>
                <w:spacing w:val="1"/>
                <w:szCs w:val="20"/>
                <w:shd w:val="solid" w:color="000000" w:fill="000000"/>
                <w:fitText w:val="330" w:id="-663599349"/>
                <w14:textFill>
                  <w14:solidFill>
                    <w14:srgbClr w14:val="000000">
                      <w14:alpha w14:val="100000"/>
                    </w14:srgbClr>
                  </w14:solidFill>
                </w14:textFill>
              </w:rPr>
              <w:t>|</w:t>
            </w:r>
            <w:r w:rsidR="00911628">
              <w:rPr>
                <w:szCs w:val="20"/>
                <w:vertAlign w:val="superscript"/>
              </w:rPr>
              <w:t>5</w:t>
            </w:r>
          </w:p>
        </w:tc>
        <w:tc>
          <w:tcPr>
            <w:tcW w:w="611" w:type="pct"/>
            <w:vAlign w:val="center"/>
          </w:tcPr>
          <w:p w14:paraId="4D6DC68C" w14:textId="04A59693" w:rsidR="00C6492E" w:rsidRPr="00354295" w:rsidRDefault="00C6492E" w:rsidP="00B3074D">
            <w:pPr>
              <w:pStyle w:val="TableText0"/>
              <w:jc w:val="center"/>
              <w:rPr>
                <w:szCs w:val="20"/>
              </w:rPr>
            </w:pPr>
            <w:r w:rsidRPr="00354295">
              <w:rPr>
                <w:szCs w:val="20"/>
              </w:rPr>
              <w:t>-$</w:t>
            </w:r>
            <w:r w:rsidR="004C1F08" w:rsidRPr="004C1F08">
              <w:rPr>
                <w:color w:val="000000"/>
                <w:spacing w:val="53"/>
                <w:szCs w:val="20"/>
                <w:shd w:val="solid" w:color="000000" w:fill="000000"/>
                <w:fitText w:val="330" w:id="-663599348"/>
                <w14:textFill>
                  <w14:solidFill>
                    <w14:srgbClr w14:val="000000">
                      <w14:alpha w14:val="100000"/>
                    </w14:srgbClr>
                  </w14:solidFill>
                </w14:textFill>
              </w:rPr>
              <w:t>|||</w:t>
            </w:r>
            <w:r w:rsidR="004C1F08" w:rsidRPr="004C1F08">
              <w:rPr>
                <w:color w:val="000000"/>
                <w:spacing w:val="1"/>
                <w:szCs w:val="20"/>
                <w:shd w:val="solid" w:color="000000" w:fill="000000"/>
                <w:fitText w:val="330" w:id="-663599348"/>
                <w14:textFill>
                  <w14:solidFill>
                    <w14:srgbClr w14:val="000000">
                      <w14:alpha w14:val="100000"/>
                    </w14:srgbClr>
                  </w14:solidFill>
                </w14:textFill>
              </w:rPr>
              <w:t>|</w:t>
            </w:r>
            <w:r w:rsidR="00911628">
              <w:rPr>
                <w:szCs w:val="20"/>
                <w:vertAlign w:val="superscript"/>
              </w:rPr>
              <w:t>5</w:t>
            </w:r>
          </w:p>
        </w:tc>
        <w:tc>
          <w:tcPr>
            <w:tcW w:w="611" w:type="pct"/>
            <w:vAlign w:val="center"/>
          </w:tcPr>
          <w:p w14:paraId="0766C6AC" w14:textId="19352052" w:rsidR="00C6492E" w:rsidRPr="00354295" w:rsidRDefault="00C6492E" w:rsidP="00B3074D">
            <w:pPr>
              <w:pStyle w:val="TableText0"/>
              <w:jc w:val="center"/>
              <w:rPr>
                <w:szCs w:val="20"/>
              </w:rPr>
            </w:pPr>
            <w:r w:rsidRPr="00354295">
              <w:rPr>
                <w:szCs w:val="20"/>
              </w:rPr>
              <w:t>-$</w:t>
            </w:r>
            <w:r w:rsidR="004C1F08" w:rsidRPr="004C1F08">
              <w:rPr>
                <w:color w:val="000000"/>
                <w:spacing w:val="53"/>
                <w:szCs w:val="20"/>
                <w:shd w:val="solid" w:color="000000" w:fill="000000"/>
                <w:fitText w:val="330" w:id="-663599347"/>
                <w14:textFill>
                  <w14:solidFill>
                    <w14:srgbClr w14:val="000000">
                      <w14:alpha w14:val="100000"/>
                    </w14:srgbClr>
                  </w14:solidFill>
                </w14:textFill>
              </w:rPr>
              <w:t>|||</w:t>
            </w:r>
            <w:r w:rsidR="004C1F08" w:rsidRPr="004C1F08">
              <w:rPr>
                <w:color w:val="000000"/>
                <w:spacing w:val="1"/>
                <w:szCs w:val="20"/>
                <w:shd w:val="solid" w:color="000000" w:fill="000000"/>
                <w:fitText w:val="330" w:id="-663599347"/>
                <w14:textFill>
                  <w14:solidFill>
                    <w14:srgbClr w14:val="000000">
                      <w14:alpha w14:val="100000"/>
                    </w14:srgbClr>
                  </w14:solidFill>
                </w14:textFill>
              </w:rPr>
              <w:t>|</w:t>
            </w:r>
            <w:r w:rsidR="00911628">
              <w:rPr>
                <w:szCs w:val="20"/>
                <w:vertAlign w:val="superscript"/>
              </w:rPr>
              <w:t>5</w:t>
            </w:r>
          </w:p>
        </w:tc>
      </w:tr>
      <w:tr w:rsidR="00C6492E" w:rsidRPr="00354295" w14:paraId="4FA07BD8" w14:textId="77777777" w:rsidTr="009C3A3A">
        <w:tc>
          <w:tcPr>
            <w:tcW w:w="5000" w:type="pct"/>
            <w:gridSpan w:val="7"/>
            <w:vAlign w:val="center"/>
          </w:tcPr>
          <w:p w14:paraId="1A627EA0" w14:textId="1845E93D" w:rsidR="00C6492E" w:rsidRPr="00354295" w:rsidRDefault="00C6492E" w:rsidP="00C6492E">
            <w:pPr>
              <w:pStyle w:val="In-tableHeading"/>
              <w:rPr>
                <w:szCs w:val="20"/>
                <w:lang w:val="en-AU"/>
              </w:rPr>
            </w:pPr>
            <w:r w:rsidRPr="00354295">
              <w:rPr>
                <w:szCs w:val="20"/>
                <w:lang w:val="en-AU"/>
              </w:rPr>
              <w:t>Net financial implications</w:t>
            </w:r>
            <w:r w:rsidRPr="00354295">
              <w:rPr>
                <w:color w:val="4BACC6" w:themeColor="accent5"/>
                <w:szCs w:val="20"/>
                <w:lang w:val="en-AU"/>
              </w:rPr>
              <w:t xml:space="preserve"> </w:t>
            </w:r>
          </w:p>
        </w:tc>
      </w:tr>
      <w:tr w:rsidR="00C6492E" w:rsidRPr="00354295" w14:paraId="3F33D4C6" w14:textId="77777777" w:rsidTr="00B3074D">
        <w:tc>
          <w:tcPr>
            <w:tcW w:w="1334" w:type="pct"/>
            <w:vAlign w:val="center"/>
          </w:tcPr>
          <w:p w14:paraId="5ABBDE64" w14:textId="77777777" w:rsidR="00C6492E" w:rsidRPr="00354295" w:rsidRDefault="00C6492E" w:rsidP="00C6492E">
            <w:pPr>
              <w:pStyle w:val="TableText0"/>
              <w:rPr>
                <w:szCs w:val="20"/>
              </w:rPr>
            </w:pPr>
            <w:r w:rsidRPr="00354295">
              <w:rPr>
                <w:szCs w:val="20"/>
              </w:rPr>
              <w:t>Net cost to PBS/RPBS</w:t>
            </w:r>
          </w:p>
        </w:tc>
        <w:tc>
          <w:tcPr>
            <w:tcW w:w="611" w:type="pct"/>
            <w:vAlign w:val="center"/>
          </w:tcPr>
          <w:p w14:paraId="744F82C2" w14:textId="6A1FC4DC" w:rsidR="00C6492E" w:rsidRPr="00354295" w:rsidRDefault="00C6492E" w:rsidP="00B3074D">
            <w:pPr>
              <w:pStyle w:val="TableText0"/>
              <w:jc w:val="center"/>
              <w:rPr>
                <w:szCs w:val="20"/>
              </w:rPr>
            </w:pPr>
            <w:r w:rsidRPr="00354295">
              <w:rPr>
                <w:szCs w:val="20"/>
              </w:rPr>
              <w:t>$</w:t>
            </w:r>
            <w:r w:rsidR="004C1F08" w:rsidRPr="004C1F08">
              <w:rPr>
                <w:color w:val="000000"/>
                <w:spacing w:val="53"/>
                <w:szCs w:val="20"/>
                <w:shd w:val="solid" w:color="000000" w:fill="000000"/>
                <w:fitText w:val="330" w:id="-663599346"/>
                <w14:textFill>
                  <w14:solidFill>
                    <w14:srgbClr w14:val="000000">
                      <w14:alpha w14:val="100000"/>
                    </w14:srgbClr>
                  </w14:solidFill>
                </w14:textFill>
              </w:rPr>
              <w:t>|||</w:t>
            </w:r>
            <w:r w:rsidR="004C1F08" w:rsidRPr="004C1F08">
              <w:rPr>
                <w:color w:val="000000"/>
                <w:spacing w:val="1"/>
                <w:szCs w:val="20"/>
                <w:shd w:val="solid" w:color="000000" w:fill="000000"/>
                <w:fitText w:val="330" w:id="-663599346"/>
                <w14:textFill>
                  <w14:solidFill>
                    <w14:srgbClr w14:val="000000">
                      <w14:alpha w14:val="100000"/>
                    </w14:srgbClr>
                  </w14:solidFill>
                </w14:textFill>
              </w:rPr>
              <w:t>|</w:t>
            </w:r>
            <w:r w:rsidR="00C25871">
              <w:rPr>
                <w:szCs w:val="20"/>
                <w:vertAlign w:val="superscript"/>
              </w:rPr>
              <w:t>3</w:t>
            </w:r>
          </w:p>
        </w:tc>
        <w:tc>
          <w:tcPr>
            <w:tcW w:w="611" w:type="pct"/>
            <w:vAlign w:val="center"/>
          </w:tcPr>
          <w:p w14:paraId="295843EA" w14:textId="3635E3DA" w:rsidR="00C6492E" w:rsidRPr="00354295" w:rsidRDefault="00C6492E" w:rsidP="00B3074D">
            <w:pPr>
              <w:pStyle w:val="TableText0"/>
              <w:jc w:val="center"/>
              <w:rPr>
                <w:szCs w:val="20"/>
              </w:rPr>
            </w:pPr>
            <w:r w:rsidRPr="00354295">
              <w:rPr>
                <w:szCs w:val="20"/>
              </w:rPr>
              <w:t>$</w:t>
            </w:r>
            <w:r w:rsidR="004C1F08" w:rsidRPr="004C1F08">
              <w:rPr>
                <w:color w:val="000000"/>
                <w:spacing w:val="53"/>
                <w:szCs w:val="20"/>
                <w:shd w:val="solid" w:color="000000" w:fill="000000"/>
                <w:fitText w:val="330" w:id="-663599345"/>
                <w14:textFill>
                  <w14:solidFill>
                    <w14:srgbClr w14:val="000000">
                      <w14:alpha w14:val="100000"/>
                    </w14:srgbClr>
                  </w14:solidFill>
                </w14:textFill>
              </w:rPr>
              <w:t>|||</w:t>
            </w:r>
            <w:r w:rsidR="004C1F08" w:rsidRPr="004C1F08">
              <w:rPr>
                <w:color w:val="000000"/>
                <w:spacing w:val="1"/>
                <w:szCs w:val="20"/>
                <w:shd w:val="solid" w:color="000000" w:fill="000000"/>
                <w:fitText w:val="330" w:id="-663599345"/>
                <w14:textFill>
                  <w14:solidFill>
                    <w14:srgbClr w14:val="000000">
                      <w14:alpha w14:val="100000"/>
                    </w14:srgbClr>
                  </w14:solidFill>
                </w14:textFill>
              </w:rPr>
              <w:t>|</w:t>
            </w:r>
            <w:r w:rsidR="00C25871">
              <w:rPr>
                <w:szCs w:val="20"/>
                <w:vertAlign w:val="superscript"/>
              </w:rPr>
              <w:t>3</w:t>
            </w:r>
          </w:p>
        </w:tc>
        <w:tc>
          <w:tcPr>
            <w:tcW w:w="611" w:type="pct"/>
            <w:vAlign w:val="center"/>
          </w:tcPr>
          <w:p w14:paraId="3A32302A" w14:textId="0BC73AA7" w:rsidR="00C6492E" w:rsidRPr="00354295" w:rsidRDefault="00C6492E" w:rsidP="00B3074D">
            <w:pPr>
              <w:pStyle w:val="TableText0"/>
              <w:jc w:val="center"/>
              <w:rPr>
                <w:szCs w:val="20"/>
              </w:rPr>
            </w:pPr>
            <w:r w:rsidRPr="00354295">
              <w:rPr>
                <w:szCs w:val="20"/>
              </w:rPr>
              <w:t>$</w:t>
            </w:r>
            <w:r w:rsidR="004C1F08" w:rsidRPr="004C1F08">
              <w:rPr>
                <w:color w:val="000000"/>
                <w:spacing w:val="53"/>
                <w:szCs w:val="20"/>
                <w:shd w:val="solid" w:color="000000" w:fill="000000"/>
                <w:fitText w:val="330" w:id="-663599344"/>
                <w14:textFill>
                  <w14:solidFill>
                    <w14:srgbClr w14:val="000000">
                      <w14:alpha w14:val="100000"/>
                    </w14:srgbClr>
                  </w14:solidFill>
                </w14:textFill>
              </w:rPr>
              <w:t>|||</w:t>
            </w:r>
            <w:r w:rsidR="004C1F08" w:rsidRPr="004C1F08">
              <w:rPr>
                <w:color w:val="000000"/>
                <w:spacing w:val="1"/>
                <w:szCs w:val="20"/>
                <w:shd w:val="solid" w:color="000000" w:fill="000000"/>
                <w:fitText w:val="330" w:id="-663599344"/>
                <w14:textFill>
                  <w14:solidFill>
                    <w14:srgbClr w14:val="000000">
                      <w14:alpha w14:val="100000"/>
                    </w14:srgbClr>
                  </w14:solidFill>
                </w14:textFill>
              </w:rPr>
              <w:t>|</w:t>
            </w:r>
            <w:r w:rsidR="00C25871">
              <w:rPr>
                <w:szCs w:val="20"/>
                <w:vertAlign w:val="superscript"/>
              </w:rPr>
              <w:t>3</w:t>
            </w:r>
          </w:p>
        </w:tc>
        <w:tc>
          <w:tcPr>
            <w:tcW w:w="611" w:type="pct"/>
            <w:vAlign w:val="center"/>
          </w:tcPr>
          <w:p w14:paraId="326E9207" w14:textId="02414FAB" w:rsidR="00C6492E" w:rsidRPr="00354295" w:rsidRDefault="00C6492E" w:rsidP="00B3074D">
            <w:pPr>
              <w:pStyle w:val="TableText0"/>
              <w:jc w:val="center"/>
              <w:rPr>
                <w:szCs w:val="20"/>
              </w:rPr>
            </w:pPr>
            <w:r w:rsidRPr="00354295">
              <w:rPr>
                <w:szCs w:val="20"/>
              </w:rPr>
              <w:t>$</w:t>
            </w:r>
            <w:r w:rsidR="004C1F08" w:rsidRPr="004C1F08">
              <w:rPr>
                <w:color w:val="000000"/>
                <w:spacing w:val="53"/>
                <w:szCs w:val="20"/>
                <w:shd w:val="solid" w:color="000000" w:fill="000000"/>
                <w:fitText w:val="330" w:id="-663599360"/>
                <w14:textFill>
                  <w14:solidFill>
                    <w14:srgbClr w14:val="000000">
                      <w14:alpha w14:val="100000"/>
                    </w14:srgbClr>
                  </w14:solidFill>
                </w14:textFill>
              </w:rPr>
              <w:t>|||</w:t>
            </w:r>
            <w:r w:rsidR="004C1F08" w:rsidRPr="004C1F08">
              <w:rPr>
                <w:color w:val="000000"/>
                <w:spacing w:val="1"/>
                <w:szCs w:val="20"/>
                <w:shd w:val="solid" w:color="000000" w:fill="000000"/>
                <w:fitText w:val="330" w:id="-663599360"/>
                <w14:textFill>
                  <w14:solidFill>
                    <w14:srgbClr w14:val="000000">
                      <w14:alpha w14:val="100000"/>
                    </w14:srgbClr>
                  </w14:solidFill>
                </w14:textFill>
              </w:rPr>
              <w:t>|</w:t>
            </w:r>
            <w:r w:rsidR="00C25871">
              <w:rPr>
                <w:szCs w:val="20"/>
                <w:vertAlign w:val="superscript"/>
              </w:rPr>
              <w:t>3</w:t>
            </w:r>
          </w:p>
        </w:tc>
        <w:tc>
          <w:tcPr>
            <w:tcW w:w="611" w:type="pct"/>
            <w:vAlign w:val="center"/>
          </w:tcPr>
          <w:p w14:paraId="56E4D70E" w14:textId="2C3708FF" w:rsidR="00C6492E" w:rsidRPr="00354295" w:rsidRDefault="00C6492E" w:rsidP="00B3074D">
            <w:pPr>
              <w:pStyle w:val="TableText0"/>
              <w:jc w:val="center"/>
              <w:rPr>
                <w:szCs w:val="20"/>
              </w:rPr>
            </w:pPr>
            <w:r w:rsidRPr="00354295">
              <w:rPr>
                <w:szCs w:val="20"/>
              </w:rPr>
              <w:t>$</w:t>
            </w:r>
            <w:r w:rsidR="004C1F08" w:rsidRPr="004C1F08">
              <w:rPr>
                <w:color w:val="000000"/>
                <w:spacing w:val="53"/>
                <w:szCs w:val="20"/>
                <w:shd w:val="solid" w:color="000000" w:fill="000000"/>
                <w:fitText w:val="330" w:id="-663599359"/>
                <w14:textFill>
                  <w14:solidFill>
                    <w14:srgbClr w14:val="000000">
                      <w14:alpha w14:val="100000"/>
                    </w14:srgbClr>
                  </w14:solidFill>
                </w14:textFill>
              </w:rPr>
              <w:t>|||</w:t>
            </w:r>
            <w:r w:rsidR="004C1F08" w:rsidRPr="004C1F08">
              <w:rPr>
                <w:color w:val="000000"/>
                <w:spacing w:val="1"/>
                <w:szCs w:val="20"/>
                <w:shd w:val="solid" w:color="000000" w:fill="000000"/>
                <w:fitText w:val="330" w:id="-663599359"/>
                <w14:textFill>
                  <w14:solidFill>
                    <w14:srgbClr w14:val="000000">
                      <w14:alpha w14:val="100000"/>
                    </w14:srgbClr>
                  </w14:solidFill>
                </w14:textFill>
              </w:rPr>
              <w:t>|</w:t>
            </w:r>
            <w:r w:rsidR="00C25871">
              <w:rPr>
                <w:szCs w:val="20"/>
                <w:vertAlign w:val="superscript"/>
              </w:rPr>
              <w:t>3</w:t>
            </w:r>
          </w:p>
        </w:tc>
        <w:tc>
          <w:tcPr>
            <w:tcW w:w="611" w:type="pct"/>
            <w:vAlign w:val="center"/>
          </w:tcPr>
          <w:p w14:paraId="241B1CFD" w14:textId="71EC4859" w:rsidR="00C6492E" w:rsidRPr="00354295" w:rsidRDefault="00C6492E" w:rsidP="00B3074D">
            <w:pPr>
              <w:pStyle w:val="TableText0"/>
              <w:jc w:val="center"/>
              <w:rPr>
                <w:szCs w:val="20"/>
              </w:rPr>
            </w:pPr>
            <w:r w:rsidRPr="00354295">
              <w:rPr>
                <w:szCs w:val="20"/>
              </w:rPr>
              <w:t>$</w:t>
            </w:r>
            <w:r w:rsidR="004C1F08" w:rsidRPr="004C1F08">
              <w:rPr>
                <w:color w:val="000000"/>
                <w:spacing w:val="53"/>
                <w:szCs w:val="20"/>
                <w:shd w:val="solid" w:color="000000" w:fill="000000"/>
                <w:fitText w:val="330" w:id="-663599358"/>
                <w14:textFill>
                  <w14:solidFill>
                    <w14:srgbClr w14:val="000000">
                      <w14:alpha w14:val="100000"/>
                    </w14:srgbClr>
                  </w14:solidFill>
                </w14:textFill>
              </w:rPr>
              <w:t>|||</w:t>
            </w:r>
            <w:r w:rsidR="004C1F08" w:rsidRPr="004C1F08">
              <w:rPr>
                <w:color w:val="000000"/>
                <w:spacing w:val="1"/>
                <w:szCs w:val="20"/>
                <w:shd w:val="solid" w:color="000000" w:fill="000000"/>
                <w:fitText w:val="330" w:id="-663599358"/>
                <w14:textFill>
                  <w14:solidFill>
                    <w14:srgbClr w14:val="000000">
                      <w14:alpha w14:val="100000"/>
                    </w14:srgbClr>
                  </w14:solidFill>
                </w14:textFill>
              </w:rPr>
              <w:t>|</w:t>
            </w:r>
            <w:r w:rsidR="00C25871">
              <w:rPr>
                <w:szCs w:val="20"/>
                <w:vertAlign w:val="superscript"/>
              </w:rPr>
              <w:t>3</w:t>
            </w:r>
          </w:p>
        </w:tc>
      </w:tr>
    </w:tbl>
    <w:p w14:paraId="34A0DBEC" w14:textId="77777777" w:rsidR="00727F1A" w:rsidRDefault="00620C25" w:rsidP="00727F1A">
      <w:pPr>
        <w:pStyle w:val="TableFigureFooter"/>
        <w:spacing w:after="0"/>
        <w:jc w:val="both"/>
      </w:pPr>
      <w:r w:rsidRPr="0098262F">
        <w:t>Source: Table</w:t>
      </w:r>
      <w:r w:rsidR="00C6492E">
        <w:t>s 4.6, 4.7, 4.10</w:t>
      </w:r>
      <w:r w:rsidRPr="0098262F">
        <w:t>, pp</w:t>
      </w:r>
      <w:r w:rsidR="00C6492E">
        <w:t xml:space="preserve">208-210 </w:t>
      </w:r>
      <w:r w:rsidRPr="0098262F">
        <w:t>of the submission</w:t>
      </w:r>
      <w:r w:rsidR="00C6492E">
        <w:t>.</w:t>
      </w:r>
    </w:p>
    <w:p w14:paraId="5027A873" w14:textId="14AC0543" w:rsidR="009C6F4E" w:rsidRDefault="001747FE" w:rsidP="001747FE">
      <w:pPr>
        <w:jc w:val="left"/>
        <w:rPr>
          <w:rFonts w:ascii="Arial Narrow" w:hAnsi="Arial Narrow" w:cstheme="minorHAnsi"/>
          <w:bCs/>
          <w:i/>
          <w:iCs/>
          <w:sz w:val="18"/>
          <w:szCs w:val="18"/>
        </w:rPr>
      </w:pPr>
      <w:r w:rsidRPr="00F56B14">
        <w:rPr>
          <w:rFonts w:ascii="Arial Narrow" w:hAnsi="Arial Narrow" w:cstheme="minorHAnsi"/>
          <w:bCs/>
          <w:i/>
          <w:iCs/>
          <w:sz w:val="18"/>
          <w:szCs w:val="18"/>
        </w:rPr>
        <w:t>The redacted values correspond to the following ranges</w:t>
      </w:r>
      <w:r w:rsidR="009C6F4E">
        <w:rPr>
          <w:rFonts w:ascii="Arial Narrow" w:hAnsi="Arial Narrow" w:cstheme="minorHAnsi"/>
          <w:bCs/>
          <w:i/>
          <w:iCs/>
          <w:sz w:val="18"/>
          <w:szCs w:val="18"/>
        </w:rPr>
        <w:t>:</w:t>
      </w:r>
    </w:p>
    <w:p w14:paraId="7D5A8785" w14:textId="2EAEB64E" w:rsidR="009C6F4E" w:rsidRPr="00792EB7" w:rsidRDefault="009C6F4E" w:rsidP="009C6F4E">
      <w:pPr>
        <w:jc w:val="left"/>
        <w:rPr>
          <w:rFonts w:ascii="Arial Narrow" w:hAnsi="Arial Narrow" w:cstheme="minorHAnsi"/>
          <w:bCs/>
          <w:i/>
          <w:iCs/>
          <w:sz w:val="18"/>
          <w:szCs w:val="18"/>
        </w:rPr>
      </w:pPr>
      <w:r>
        <w:rPr>
          <w:rFonts w:ascii="Arial Narrow" w:hAnsi="Arial Narrow" w:cstheme="minorHAnsi"/>
          <w:bCs/>
          <w:i/>
          <w:iCs/>
          <w:sz w:val="18"/>
          <w:szCs w:val="18"/>
          <w:vertAlign w:val="superscript"/>
        </w:rPr>
        <w:t>1</w:t>
      </w:r>
      <w:r w:rsidRPr="00792EB7">
        <w:rPr>
          <w:rFonts w:ascii="Arial Narrow" w:hAnsi="Arial Narrow" w:cstheme="minorHAnsi"/>
          <w:bCs/>
          <w:i/>
          <w:iCs/>
          <w:sz w:val="18"/>
          <w:szCs w:val="18"/>
        </w:rPr>
        <w:t xml:space="preserve"> </w:t>
      </w:r>
      <w:r w:rsidRPr="00717C0C">
        <w:rPr>
          <w:rFonts w:ascii="Arial Narrow" w:hAnsi="Arial Narrow" w:cstheme="minorHAnsi"/>
          <w:bCs/>
          <w:i/>
          <w:iCs/>
          <w:sz w:val="18"/>
          <w:szCs w:val="18"/>
        </w:rPr>
        <w:t>500 to &lt; 5,000</w:t>
      </w:r>
    </w:p>
    <w:p w14:paraId="2B192DFA" w14:textId="265298C8" w:rsidR="001747FE" w:rsidRPr="00F56B14" w:rsidRDefault="009C6F4E" w:rsidP="001747FE">
      <w:pPr>
        <w:jc w:val="left"/>
        <w:rPr>
          <w:rFonts w:ascii="Arial Narrow" w:hAnsi="Arial Narrow" w:cstheme="minorHAnsi"/>
          <w:bCs/>
          <w:i/>
          <w:iCs/>
          <w:sz w:val="18"/>
          <w:szCs w:val="18"/>
        </w:rPr>
      </w:pPr>
      <w:r>
        <w:rPr>
          <w:rFonts w:ascii="Arial Narrow" w:hAnsi="Arial Narrow" w:cstheme="minorHAnsi"/>
          <w:bCs/>
          <w:i/>
          <w:iCs/>
          <w:sz w:val="18"/>
          <w:szCs w:val="18"/>
          <w:vertAlign w:val="superscript"/>
        </w:rPr>
        <w:t>2</w:t>
      </w:r>
      <w:r w:rsidRPr="00792EB7">
        <w:rPr>
          <w:rFonts w:ascii="Arial Narrow" w:hAnsi="Arial Narrow" w:cstheme="minorHAnsi"/>
          <w:bCs/>
          <w:i/>
          <w:iCs/>
          <w:sz w:val="18"/>
          <w:szCs w:val="18"/>
        </w:rPr>
        <w:t xml:space="preserve"> </w:t>
      </w:r>
      <w:r w:rsidRPr="000930F3">
        <w:rPr>
          <w:rFonts w:ascii="Arial Narrow" w:hAnsi="Arial Narrow" w:cstheme="minorHAnsi"/>
          <w:bCs/>
          <w:i/>
          <w:iCs/>
          <w:sz w:val="18"/>
          <w:szCs w:val="18"/>
        </w:rPr>
        <w:t>5,000 to &lt; 10,000</w:t>
      </w:r>
    </w:p>
    <w:p w14:paraId="0005895F" w14:textId="49BC0866" w:rsidR="001747FE" w:rsidRPr="00792EB7" w:rsidRDefault="009C6F4E" w:rsidP="001747FE">
      <w:pPr>
        <w:jc w:val="left"/>
        <w:rPr>
          <w:rFonts w:ascii="Arial Narrow" w:hAnsi="Arial Narrow" w:cstheme="minorHAnsi"/>
          <w:bCs/>
          <w:i/>
          <w:iCs/>
          <w:sz w:val="18"/>
          <w:szCs w:val="18"/>
        </w:rPr>
      </w:pPr>
      <w:r>
        <w:rPr>
          <w:rFonts w:ascii="Arial Narrow" w:hAnsi="Arial Narrow" w:cstheme="minorHAnsi"/>
          <w:bCs/>
          <w:i/>
          <w:iCs/>
          <w:sz w:val="18"/>
          <w:szCs w:val="18"/>
          <w:vertAlign w:val="superscript"/>
        </w:rPr>
        <w:t>3</w:t>
      </w:r>
      <w:r w:rsidR="001747FE" w:rsidRPr="00792EB7">
        <w:rPr>
          <w:rFonts w:ascii="Arial Narrow" w:hAnsi="Arial Narrow" w:cstheme="minorHAnsi"/>
          <w:bCs/>
          <w:i/>
          <w:iCs/>
          <w:sz w:val="18"/>
          <w:szCs w:val="18"/>
        </w:rPr>
        <w:t xml:space="preserve"> </w:t>
      </w:r>
      <w:r w:rsidR="00CA58BC" w:rsidRPr="00CA58BC">
        <w:rPr>
          <w:rFonts w:ascii="Arial Narrow" w:hAnsi="Arial Narrow" w:cstheme="minorHAnsi"/>
          <w:bCs/>
          <w:i/>
          <w:iCs/>
          <w:sz w:val="18"/>
          <w:szCs w:val="18"/>
        </w:rPr>
        <w:t>$0 to &lt; $10 million</w:t>
      </w:r>
    </w:p>
    <w:p w14:paraId="439311F6" w14:textId="38DA6B0D" w:rsidR="005D5978" w:rsidRDefault="00C25871" w:rsidP="00303BE7">
      <w:pPr>
        <w:jc w:val="left"/>
        <w:rPr>
          <w:rFonts w:ascii="Arial Narrow" w:hAnsi="Arial Narrow" w:cstheme="minorHAnsi"/>
          <w:bCs/>
          <w:i/>
          <w:iCs/>
          <w:sz w:val="18"/>
          <w:szCs w:val="18"/>
        </w:rPr>
      </w:pPr>
      <w:r>
        <w:rPr>
          <w:rFonts w:ascii="Arial Narrow" w:hAnsi="Arial Narrow" w:cstheme="minorHAnsi"/>
          <w:bCs/>
          <w:i/>
          <w:iCs/>
          <w:sz w:val="18"/>
          <w:szCs w:val="18"/>
          <w:vertAlign w:val="superscript"/>
        </w:rPr>
        <w:t>4</w:t>
      </w:r>
      <w:r w:rsidR="001747FE" w:rsidRPr="00792EB7">
        <w:rPr>
          <w:rFonts w:ascii="Arial Narrow" w:hAnsi="Arial Narrow" w:cstheme="minorHAnsi"/>
          <w:bCs/>
          <w:i/>
          <w:iCs/>
          <w:sz w:val="18"/>
          <w:szCs w:val="18"/>
        </w:rPr>
        <w:t xml:space="preserve"> </w:t>
      </w:r>
      <w:r w:rsidR="00C50BF3" w:rsidRPr="00C50BF3">
        <w:rPr>
          <w:rFonts w:ascii="Arial Narrow" w:hAnsi="Arial Narrow" w:cstheme="minorHAnsi"/>
          <w:bCs/>
          <w:i/>
          <w:iCs/>
          <w:sz w:val="18"/>
          <w:szCs w:val="18"/>
        </w:rPr>
        <w:t>$10 million to &lt; $20 million</w:t>
      </w:r>
    </w:p>
    <w:p w14:paraId="0E0DC491" w14:textId="77D38F89" w:rsidR="0069688A" w:rsidRPr="00792EB7" w:rsidRDefault="00931DE3" w:rsidP="0069688A">
      <w:pPr>
        <w:jc w:val="left"/>
        <w:rPr>
          <w:rFonts w:ascii="Arial Narrow" w:hAnsi="Arial Narrow" w:cstheme="minorHAnsi"/>
          <w:bCs/>
          <w:i/>
          <w:iCs/>
          <w:sz w:val="18"/>
          <w:szCs w:val="18"/>
        </w:rPr>
      </w:pPr>
      <w:r>
        <w:rPr>
          <w:rFonts w:ascii="Arial Narrow" w:hAnsi="Arial Narrow" w:cstheme="minorHAnsi"/>
          <w:bCs/>
          <w:i/>
          <w:iCs/>
          <w:sz w:val="18"/>
          <w:szCs w:val="18"/>
          <w:vertAlign w:val="superscript"/>
        </w:rPr>
        <w:t>5</w:t>
      </w:r>
      <w:r w:rsidR="0069688A" w:rsidRPr="00792EB7">
        <w:rPr>
          <w:rFonts w:ascii="Arial Narrow" w:hAnsi="Arial Narrow" w:cstheme="minorHAnsi"/>
          <w:bCs/>
          <w:i/>
          <w:iCs/>
          <w:sz w:val="18"/>
          <w:szCs w:val="18"/>
        </w:rPr>
        <w:t xml:space="preserve"> </w:t>
      </w:r>
      <w:r w:rsidRPr="00931DE3">
        <w:rPr>
          <w:rFonts w:ascii="Arial Narrow" w:hAnsi="Arial Narrow" w:cstheme="minorHAnsi"/>
          <w:bCs/>
          <w:i/>
          <w:iCs/>
          <w:sz w:val="18"/>
          <w:szCs w:val="18"/>
        </w:rPr>
        <w:t>net cost saving</w:t>
      </w:r>
    </w:p>
    <w:p w14:paraId="3D264A01" w14:textId="5B8BBB4E" w:rsidR="00834079" w:rsidRPr="00354295" w:rsidRDefault="00C6492E" w:rsidP="00606FBA">
      <w:pPr>
        <w:pStyle w:val="3-BodyText"/>
        <w:rPr>
          <w:color w:val="0066FF"/>
        </w:rPr>
      </w:pPr>
      <w:r>
        <w:t>The submiss</w:t>
      </w:r>
      <w:r w:rsidR="00834079">
        <w:t>i</w:t>
      </w:r>
      <w:r>
        <w:t>on presented sensitivity analyses varying population growth and therefore market growth rates</w:t>
      </w:r>
      <w:r w:rsidR="00834079">
        <w:t xml:space="preserve"> as well as uptake rates. These are shown in</w:t>
      </w:r>
      <w:r w:rsidR="00C45318">
        <w:t xml:space="preserve"> </w:t>
      </w:r>
      <w:r w:rsidR="00C45318">
        <w:fldChar w:fldCharType="begin"/>
      </w:r>
      <w:r w:rsidR="00C45318">
        <w:instrText xml:space="preserve"> REF _Ref190948062 \h </w:instrText>
      </w:r>
      <w:r w:rsidR="00C45318">
        <w:fldChar w:fldCharType="separate"/>
      </w:r>
      <w:r w:rsidR="00184DE0">
        <w:t xml:space="preserve">Table </w:t>
      </w:r>
      <w:r w:rsidR="00184DE0">
        <w:rPr>
          <w:noProof/>
        </w:rPr>
        <w:t>13</w:t>
      </w:r>
      <w:r w:rsidR="00C45318">
        <w:fldChar w:fldCharType="end"/>
      </w:r>
      <w:r w:rsidR="00834079">
        <w:t>, based on the published prices.</w:t>
      </w:r>
    </w:p>
    <w:p w14:paraId="0A9CB2C7" w14:textId="1E5D661A" w:rsidR="00834079" w:rsidRPr="007F2EF5" w:rsidRDefault="00C45318" w:rsidP="00C45318">
      <w:pPr>
        <w:pStyle w:val="Caption"/>
      </w:pPr>
      <w:bookmarkStart w:id="64" w:name="_Ref190948062"/>
      <w:r>
        <w:t xml:space="preserve">Table </w:t>
      </w:r>
      <w:r>
        <w:fldChar w:fldCharType="begin"/>
      </w:r>
      <w:r>
        <w:instrText xml:space="preserve"> SEQ Table \* ARABIC </w:instrText>
      </w:r>
      <w:r>
        <w:fldChar w:fldCharType="separate"/>
      </w:r>
      <w:r w:rsidR="00184DE0">
        <w:rPr>
          <w:noProof/>
        </w:rPr>
        <w:t>13</w:t>
      </w:r>
      <w:r>
        <w:rPr>
          <w:noProof/>
        </w:rPr>
        <w:fldChar w:fldCharType="end"/>
      </w:r>
      <w:bookmarkEnd w:id="64"/>
      <w:r>
        <w:t xml:space="preserve">: </w:t>
      </w:r>
      <w:r w:rsidR="00834079" w:rsidRPr="007A660E">
        <w:t>Results of the sensitivity analysis</w:t>
      </w:r>
      <w:r w:rsidR="00834079">
        <w:t xml:space="preserve"> – proposed effective price of BKZ using published SEC price, and published prices of substituted products</w:t>
      </w:r>
    </w:p>
    <w:tbl>
      <w:tblPr>
        <w:tblStyle w:val="TableGrid"/>
        <w:tblW w:w="5028" w:type="pct"/>
        <w:tblLayout w:type="fixed"/>
        <w:tblLook w:val="04A0" w:firstRow="1" w:lastRow="0" w:firstColumn="1" w:lastColumn="0" w:noHBand="0" w:noVBand="1"/>
      </w:tblPr>
      <w:tblGrid>
        <w:gridCol w:w="1413"/>
        <w:gridCol w:w="1191"/>
        <w:gridCol w:w="1128"/>
        <w:gridCol w:w="1128"/>
        <w:gridCol w:w="1128"/>
        <w:gridCol w:w="1128"/>
        <w:gridCol w:w="1128"/>
        <w:gridCol w:w="823"/>
      </w:tblGrid>
      <w:tr w:rsidR="00834079" w:rsidRPr="00354295" w14:paraId="798A6632" w14:textId="77777777" w:rsidTr="00354295">
        <w:trPr>
          <w:trHeight w:val="20"/>
          <w:tblHeader/>
        </w:trPr>
        <w:tc>
          <w:tcPr>
            <w:tcW w:w="779" w:type="pct"/>
            <w:hideMark/>
          </w:tcPr>
          <w:p w14:paraId="38833730" w14:textId="77777777" w:rsidR="00834079" w:rsidRPr="00354295" w:rsidRDefault="00834079" w:rsidP="00834079">
            <w:pPr>
              <w:pStyle w:val="TableText0"/>
              <w:rPr>
                <w:szCs w:val="20"/>
              </w:rPr>
            </w:pPr>
          </w:p>
        </w:tc>
        <w:tc>
          <w:tcPr>
            <w:tcW w:w="657" w:type="pct"/>
            <w:hideMark/>
          </w:tcPr>
          <w:p w14:paraId="1CE8FD70" w14:textId="77777777" w:rsidR="00834079" w:rsidRPr="00354295" w:rsidRDefault="00834079" w:rsidP="00834079">
            <w:pPr>
              <w:pStyle w:val="In-tableHeading"/>
              <w:rPr>
                <w:szCs w:val="20"/>
              </w:rPr>
            </w:pPr>
            <w:r w:rsidRPr="00354295">
              <w:rPr>
                <w:szCs w:val="20"/>
              </w:rPr>
              <w:t>2025</w:t>
            </w:r>
          </w:p>
        </w:tc>
        <w:tc>
          <w:tcPr>
            <w:tcW w:w="622" w:type="pct"/>
            <w:hideMark/>
          </w:tcPr>
          <w:p w14:paraId="314F72BA" w14:textId="77777777" w:rsidR="00834079" w:rsidRPr="00354295" w:rsidRDefault="00834079" w:rsidP="00834079">
            <w:pPr>
              <w:pStyle w:val="In-tableHeading"/>
              <w:rPr>
                <w:szCs w:val="20"/>
              </w:rPr>
            </w:pPr>
            <w:r w:rsidRPr="00354295">
              <w:rPr>
                <w:szCs w:val="20"/>
              </w:rPr>
              <w:t>2026</w:t>
            </w:r>
          </w:p>
        </w:tc>
        <w:tc>
          <w:tcPr>
            <w:tcW w:w="622" w:type="pct"/>
            <w:hideMark/>
          </w:tcPr>
          <w:p w14:paraId="4FF11685" w14:textId="77777777" w:rsidR="00834079" w:rsidRPr="00354295" w:rsidRDefault="00834079" w:rsidP="00834079">
            <w:pPr>
              <w:pStyle w:val="In-tableHeading"/>
              <w:rPr>
                <w:szCs w:val="20"/>
              </w:rPr>
            </w:pPr>
            <w:r w:rsidRPr="00354295">
              <w:rPr>
                <w:szCs w:val="20"/>
              </w:rPr>
              <w:t>2027</w:t>
            </w:r>
          </w:p>
        </w:tc>
        <w:tc>
          <w:tcPr>
            <w:tcW w:w="622" w:type="pct"/>
          </w:tcPr>
          <w:p w14:paraId="6EF9DB0F" w14:textId="77777777" w:rsidR="00834079" w:rsidRPr="00354295" w:rsidRDefault="00834079" w:rsidP="00834079">
            <w:pPr>
              <w:pStyle w:val="In-tableHeading"/>
              <w:rPr>
                <w:szCs w:val="20"/>
              </w:rPr>
            </w:pPr>
            <w:r w:rsidRPr="00354295">
              <w:rPr>
                <w:szCs w:val="20"/>
              </w:rPr>
              <w:t>2028</w:t>
            </w:r>
          </w:p>
        </w:tc>
        <w:tc>
          <w:tcPr>
            <w:tcW w:w="622" w:type="pct"/>
          </w:tcPr>
          <w:p w14:paraId="0255BA20" w14:textId="77777777" w:rsidR="00834079" w:rsidRPr="00354295" w:rsidRDefault="00834079" w:rsidP="00834079">
            <w:pPr>
              <w:pStyle w:val="In-tableHeading"/>
              <w:rPr>
                <w:szCs w:val="20"/>
              </w:rPr>
            </w:pPr>
            <w:r w:rsidRPr="00354295">
              <w:rPr>
                <w:szCs w:val="20"/>
              </w:rPr>
              <w:t>2029</w:t>
            </w:r>
          </w:p>
        </w:tc>
        <w:tc>
          <w:tcPr>
            <w:tcW w:w="622" w:type="pct"/>
          </w:tcPr>
          <w:p w14:paraId="2DD211DA" w14:textId="77777777" w:rsidR="00834079" w:rsidRPr="00354295" w:rsidRDefault="00834079" w:rsidP="00834079">
            <w:pPr>
              <w:pStyle w:val="In-tableHeading"/>
              <w:rPr>
                <w:szCs w:val="20"/>
              </w:rPr>
            </w:pPr>
            <w:r w:rsidRPr="00354295">
              <w:rPr>
                <w:szCs w:val="20"/>
              </w:rPr>
              <w:t>2030</w:t>
            </w:r>
          </w:p>
        </w:tc>
        <w:tc>
          <w:tcPr>
            <w:tcW w:w="454" w:type="pct"/>
          </w:tcPr>
          <w:p w14:paraId="6F03A2D3" w14:textId="77777777" w:rsidR="00834079" w:rsidRPr="0065160C" w:rsidRDefault="00834079" w:rsidP="00834079">
            <w:pPr>
              <w:pStyle w:val="In-tableHeading"/>
              <w:rPr>
                <w:szCs w:val="20"/>
              </w:rPr>
            </w:pPr>
            <w:r w:rsidRPr="0065160C">
              <w:rPr>
                <w:szCs w:val="20"/>
              </w:rPr>
              <w:t>% Change</w:t>
            </w:r>
          </w:p>
        </w:tc>
      </w:tr>
      <w:tr w:rsidR="00834079" w:rsidRPr="00354295" w14:paraId="2FB2940C" w14:textId="77777777" w:rsidTr="003731AB">
        <w:trPr>
          <w:trHeight w:val="277"/>
          <w:tblHeader/>
        </w:trPr>
        <w:tc>
          <w:tcPr>
            <w:tcW w:w="779" w:type="pct"/>
            <w:shd w:val="clear" w:color="auto" w:fill="auto"/>
            <w:noWrap/>
            <w:hideMark/>
          </w:tcPr>
          <w:p w14:paraId="4D7F7B6F" w14:textId="77777777" w:rsidR="00834079" w:rsidRPr="00354295" w:rsidRDefault="00834079" w:rsidP="00834079">
            <w:pPr>
              <w:pStyle w:val="TableText0"/>
              <w:rPr>
                <w:szCs w:val="20"/>
              </w:rPr>
            </w:pPr>
            <w:r w:rsidRPr="00354295">
              <w:rPr>
                <w:szCs w:val="20"/>
              </w:rPr>
              <w:t>Base case</w:t>
            </w:r>
          </w:p>
        </w:tc>
        <w:tc>
          <w:tcPr>
            <w:tcW w:w="657" w:type="pct"/>
            <w:noWrap/>
            <w:vAlign w:val="center"/>
          </w:tcPr>
          <w:p w14:paraId="2EAF2120" w14:textId="5ACD5880" w:rsidR="00834079" w:rsidRPr="00354295" w:rsidRDefault="00834079" w:rsidP="00834079">
            <w:pPr>
              <w:pStyle w:val="TableText0"/>
              <w:rPr>
                <w:szCs w:val="20"/>
              </w:rPr>
            </w:pPr>
            <w:r w:rsidRPr="00354295">
              <w:rPr>
                <w:rFonts w:cs="Calibri"/>
                <w:color w:val="000000"/>
                <w:szCs w:val="20"/>
              </w:rPr>
              <w:t>$</w:t>
            </w:r>
            <w:r w:rsidR="004C1F08" w:rsidRPr="004C1F08">
              <w:rPr>
                <w:color w:val="000000"/>
                <w:spacing w:val="53"/>
                <w:szCs w:val="20"/>
                <w:shd w:val="solid" w:color="000000" w:fill="000000"/>
                <w:fitText w:val="330" w:id="-663599357"/>
                <w14:textFill>
                  <w14:solidFill>
                    <w14:srgbClr w14:val="000000">
                      <w14:alpha w14:val="100000"/>
                    </w14:srgbClr>
                  </w14:solidFill>
                </w14:textFill>
              </w:rPr>
              <w:t>|||</w:t>
            </w:r>
            <w:r w:rsidR="004C1F08" w:rsidRPr="004C1F08">
              <w:rPr>
                <w:color w:val="000000"/>
                <w:spacing w:val="1"/>
                <w:szCs w:val="20"/>
                <w:shd w:val="solid" w:color="000000" w:fill="000000"/>
                <w:fitText w:val="330" w:id="-663599357"/>
                <w14:textFill>
                  <w14:solidFill>
                    <w14:srgbClr w14:val="000000">
                      <w14:alpha w14:val="100000"/>
                    </w14:srgbClr>
                  </w14:solidFill>
                </w14:textFill>
              </w:rPr>
              <w:t>|</w:t>
            </w:r>
            <w:r w:rsidR="006C2A83">
              <w:rPr>
                <w:szCs w:val="20"/>
                <w:vertAlign w:val="superscript"/>
              </w:rPr>
              <w:t>1</w:t>
            </w:r>
          </w:p>
        </w:tc>
        <w:tc>
          <w:tcPr>
            <w:tcW w:w="622" w:type="pct"/>
            <w:noWrap/>
            <w:vAlign w:val="center"/>
          </w:tcPr>
          <w:p w14:paraId="0F968D43" w14:textId="78396C73" w:rsidR="00834079" w:rsidRPr="00354295" w:rsidRDefault="00834079" w:rsidP="00834079">
            <w:pPr>
              <w:pStyle w:val="TableText0"/>
              <w:rPr>
                <w:szCs w:val="20"/>
              </w:rPr>
            </w:pPr>
            <w:r w:rsidRPr="00354295">
              <w:rPr>
                <w:rFonts w:cs="Calibri"/>
                <w:color w:val="000000"/>
                <w:szCs w:val="20"/>
              </w:rPr>
              <w:t>$</w:t>
            </w:r>
            <w:r w:rsidR="004C1F08" w:rsidRPr="004C1F08">
              <w:rPr>
                <w:color w:val="000000"/>
                <w:spacing w:val="53"/>
                <w:szCs w:val="20"/>
                <w:shd w:val="solid" w:color="000000" w:fill="000000"/>
                <w:fitText w:val="330" w:id="-663599356"/>
                <w14:textFill>
                  <w14:solidFill>
                    <w14:srgbClr w14:val="000000">
                      <w14:alpha w14:val="100000"/>
                    </w14:srgbClr>
                  </w14:solidFill>
                </w14:textFill>
              </w:rPr>
              <w:t>|||</w:t>
            </w:r>
            <w:r w:rsidR="004C1F08" w:rsidRPr="004C1F08">
              <w:rPr>
                <w:color w:val="000000"/>
                <w:spacing w:val="1"/>
                <w:szCs w:val="20"/>
                <w:shd w:val="solid" w:color="000000" w:fill="000000"/>
                <w:fitText w:val="330" w:id="-663599356"/>
                <w14:textFill>
                  <w14:solidFill>
                    <w14:srgbClr w14:val="000000">
                      <w14:alpha w14:val="100000"/>
                    </w14:srgbClr>
                  </w14:solidFill>
                </w14:textFill>
              </w:rPr>
              <w:t>|</w:t>
            </w:r>
            <w:r w:rsidR="006C2A83">
              <w:rPr>
                <w:szCs w:val="20"/>
                <w:vertAlign w:val="superscript"/>
              </w:rPr>
              <w:t>1</w:t>
            </w:r>
          </w:p>
        </w:tc>
        <w:tc>
          <w:tcPr>
            <w:tcW w:w="622" w:type="pct"/>
            <w:noWrap/>
            <w:vAlign w:val="center"/>
          </w:tcPr>
          <w:p w14:paraId="1DB60581" w14:textId="622624FA" w:rsidR="00834079" w:rsidRPr="00354295" w:rsidRDefault="00834079" w:rsidP="00834079">
            <w:pPr>
              <w:pStyle w:val="TableText0"/>
              <w:rPr>
                <w:szCs w:val="20"/>
              </w:rPr>
            </w:pPr>
            <w:r w:rsidRPr="00354295">
              <w:rPr>
                <w:rFonts w:cs="Calibri"/>
                <w:color w:val="000000"/>
                <w:szCs w:val="20"/>
              </w:rPr>
              <w:t>$</w:t>
            </w:r>
            <w:r w:rsidR="004C1F08" w:rsidRPr="004C1F08">
              <w:rPr>
                <w:color w:val="000000"/>
                <w:spacing w:val="53"/>
                <w:szCs w:val="20"/>
                <w:shd w:val="solid" w:color="000000" w:fill="000000"/>
                <w:fitText w:val="330" w:id="-663599355"/>
                <w14:textFill>
                  <w14:solidFill>
                    <w14:srgbClr w14:val="000000">
                      <w14:alpha w14:val="100000"/>
                    </w14:srgbClr>
                  </w14:solidFill>
                </w14:textFill>
              </w:rPr>
              <w:t>|||</w:t>
            </w:r>
            <w:r w:rsidR="004C1F08" w:rsidRPr="004C1F08">
              <w:rPr>
                <w:color w:val="000000"/>
                <w:spacing w:val="1"/>
                <w:szCs w:val="20"/>
                <w:shd w:val="solid" w:color="000000" w:fill="000000"/>
                <w:fitText w:val="330" w:id="-663599355"/>
                <w14:textFill>
                  <w14:solidFill>
                    <w14:srgbClr w14:val="000000">
                      <w14:alpha w14:val="100000"/>
                    </w14:srgbClr>
                  </w14:solidFill>
                </w14:textFill>
              </w:rPr>
              <w:t>|</w:t>
            </w:r>
            <w:r w:rsidR="006C2A83">
              <w:rPr>
                <w:szCs w:val="20"/>
                <w:vertAlign w:val="superscript"/>
              </w:rPr>
              <w:t>1</w:t>
            </w:r>
          </w:p>
        </w:tc>
        <w:tc>
          <w:tcPr>
            <w:tcW w:w="622" w:type="pct"/>
            <w:vAlign w:val="center"/>
          </w:tcPr>
          <w:p w14:paraId="6AFDE83F" w14:textId="04283DB6" w:rsidR="00834079" w:rsidRPr="00354295" w:rsidRDefault="00834079" w:rsidP="00834079">
            <w:pPr>
              <w:pStyle w:val="TableText0"/>
              <w:rPr>
                <w:szCs w:val="20"/>
              </w:rPr>
            </w:pPr>
            <w:r w:rsidRPr="00354295">
              <w:rPr>
                <w:rFonts w:cs="Calibri"/>
                <w:color w:val="000000"/>
                <w:szCs w:val="20"/>
              </w:rPr>
              <w:t>$</w:t>
            </w:r>
            <w:r w:rsidR="004C1F08" w:rsidRPr="004C1F08">
              <w:rPr>
                <w:color w:val="000000"/>
                <w:spacing w:val="53"/>
                <w:szCs w:val="20"/>
                <w:shd w:val="solid" w:color="000000" w:fill="000000"/>
                <w:fitText w:val="330" w:id="-663599354"/>
                <w14:textFill>
                  <w14:solidFill>
                    <w14:srgbClr w14:val="000000">
                      <w14:alpha w14:val="100000"/>
                    </w14:srgbClr>
                  </w14:solidFill>
                </w14:textFill>
              </w:rPr>
              <w:t>|||</w:t>
            </w:r>
            <w:r w:rsidR="004C1F08" w:rsidRPr="004C1F08">
              <w:rPr>
                <w:color w:val="000000"/>
                <w:spacing w:val="1"/>
                <w:szCs w:val="20"/>
                <w:shd w:val="solid" w:color="000000" w:fill="000000"/>
                <w:fitText w:val="330" w:id="-663599354"/>
                <w14:textFill>
                  <w14:solidFill>
                    <w14:srgbClr w14:val="000000">
                      <w14:alpha w14:val="100000"/>
                    </w14:srgbClr>
                  </w14:solidFill>
                </w14:textFill>
              </w:rPr>
              <w:t>|</w:t>
            </w:r>
            <w:r w:rsidR="006C2A83">
              <w:rPr>
                <w:szCs w:val="20"/>
                <w:vertAlign w:val="superscript"/>
              </w:rPr>
              <w:t>1</w:t>
            </w:r>
          </w:p>
        </w:tc>
        <w:tc>
          <w:tcPr>
            <w:tcW w:w="622" w:type="pct"/>
            <w:vAlign w:val="center"/>
          </w:tcPr>
          <w:p w14:paraId="29C3B68B" w14:textId="2E0DE18E" w:rsidR="00834079" w:rsidRPr="00354295" w:rsidRDefault="00834079" w:rsidP="00834079">
            <w:pPr>
              <w:pStyle w:val="TableText0"/>
              <w:rPr>
                <w:szCs w:val="20"/>
              </w:rPr>
            </w:pPr>
            <w:r w:rsidRPr="00354295">
              <w:rPr>
                <w:rFonts w:cs="Calibri"/>
                <w:color w:val="000000"/>
                <w:szCs w:val="20"/>
              </w:rPr>
              <w:t>$</w:t>
            </w:r>
            <w:r w:rsidR="004C1F08" w:rsidRPr="004C1F08">
              <w:rPr>
                <w:color w:val="000000"/>
                <w:spacing w:val="53"/>
                <w:szCs w:val="20"/>
                <w:shd w:val="solid" w:color="000000" w:fill="000000"/>
                <w:fitText w:val="330" w:id="-663599353"/>
                <w14:textFill>
                  <w14:solidFill>
                    <w14:srgbClr w14:val="000000">
                      <w14:alpha w14:val="100000"/>
                    </w14:srgbClr>
                  </w14:solidFill>
                </w14:textFill>
              </w:rPr>
              <w:t>|||</w:t>
            </w:r>
            <w:r w:rsidR="004C1F08" w:rsidRPr="004C1F08">
              <w:rPr>
                <w:color w:val="000000"/>
                <w:spacing w:val="1"/>
                <w:szCs w:val="20"/>
                <w:shd w:val="solid" w:color="000000" w:fill="000000"/>
                <w:fitText w:val="330" w:id="-663599353"/>
                <w14:textFill>
                  <w14:solidFill>
                    <w14:srgbClr w14:val="000000">
                      <w14:alpha w14:val="100000"/>
                    </w14:srgbClr>
                  </w14:solidFill>
                </w14:textFill>
              </w:rPr>
              <w:t>|</w:t>
            </w:r>
            <w:r w:rsidR="006C2A83">
              <w:rPr>
                <w:szCs w:val="20"/>
                <w:vertAlign w:val="superscript"/>
              </w:rPr>
              <w:t>1</w:t>
            </w:r>
          </w:p>
        </w:tc>
        <w:tc>
          <w:tcPr>
            <w:tcW w:w="622" w:type="pct"/>
            <w:vAlign w:val="center"/>
          </w:tcPr>
          <w:p w14:paraId="543EBD80" w14:textId="161606A1" w:rsidR="00834079" w:rsidRPr="00354295" w:rsidRDefault="00834079" w:rsidP="00834079">
            <w:pPr>
              <w:pStyle w:val="TableText0"/>
              <w:rPr>
                <w:szCs w:val="20"/>
              </w:rPr>
            </w:pPr>
            <w:r w:rsidRPr="00354295">
              <w:rPr>
                <w:rFonts w:cs="Calibri"/>
                <w:color w:val="000000"/>
                <w:szCs w:val="20"/>
              </w:rPr>
              <w:t>$</w:t>
            </w:r>
            <w:r w:rsidR="004C1F08" w:rsidRPr="004C1F08">
              <w:rPr>
                <w:color w:val="000000"/>
                <w:spacing w:val="53"/>
                <w:szCs w:val="20"/>
                <w:shd w:val="solid" w:color="000000" w:fill="000000"/>
                <w:fitText w:val="330" w:id="-663599352"/>
                <w14:textFill>
                  <w14:solidFill>
                    <w14:srgbClr w14:val="000000">
                      <w14:alpha w14:val="100000"/>
                    </w14:srgbClr>
                  </w14:solidFill>
                </w14:textFill>
              </w:rPr>
              <w:t>|||</w:t>
            </w:r>
            <w:r w:rsidR="004C1F08" w:rsidRPr="004C1F08">
              <w:rPr>
                <w:color w:val="000000"/>
                <w:spacing w:val="1"/>
                <w:szCs w:val="20"/>
                <w:shd w:val="solid" w:color="000000" w:fill="000000"/>
                <w:fitText w:val="330" w:id="-663599352"/>
                <w14:textFill>
                  <w14:solidFill>
                    <w14:srgbClr w14:val="000000">
                      <w14:alpha w14:val="100000"/>
                    </w14:srgbClr>
                  </w14:solidFill>
                </w14:textFill>
              </w:rPr>
              <w:t>|</w:t>
            </w:r>
            <w:r w:rsidR="006C2A83">
              <w:rPr>
                <w:szCs w:val="20"/>
                <w:vertAlign w:val="superscript"/>
              </w:rPr>
              <w:t>1</w:t>
            </w:r>
          </w:p>
        </w:tc>
        <w:tc>
          <w:tcPr>
            <w:tcW w:w="454" w:type="pct"/>
            <w:vAlign w:val="center"/>
          </w:tcPr>
          <w:p w14:paraId="05F8AA86" w14:textId="77777777" w:rsidR="00834079" w:rsidRPr="0065160C" w:rsidRDefault="00834079" w:rsidP="00834079">
            <w:pPr>
              <w:pStyle w:val="TableText0"/>
              <w:rPr>
                <w:szCs w:val="20"/>
              </w:rPr>
            </w:pPr>
            <w:r w:rsidRPr="0065160C">
              <w:rPr>
                <w:rFonts w:cs="Calibri"/>
                <w:color w:val="000000"/>
                <w:szCs w:val="20"/>
              </w:rPr>
              <w:t>-</w:t>
            </w:r>
          </w:p>
        </w:tc>
      </w:tr>
      <w:tr w:rsidR="00834079" w:rsidRPr="00354295" w14:paraId="6875B91D" w14:textId="77777777" w:rsidTr="003731AB">
        <w:trPr>
          <w:trHeight w:val="20"/>
          <w:tblHeader/>
        </w:trPr>
        <w:tc>
          <w:tcPr>
            <w:tcW w:w="779" w:type="pct"/>
            <w:shd w:val="clear" w:color="auto" w:fill="auto"/>
            <w:noWrap/>
            <w:hideMark/>
          </w:tcPr>
          <w:p w14:paraId="70E66121" w14:textId="77777777" w:rsidR="00834079" w:rsidRPr="0065160C" w:rsidRDefault="00834079" w:rsidP="00834079">
            <w:pPr>
              <w:pStyle w:val="TableText0"/>
              <w:rPr>
                <w:szCs w:val="20"/>
              </w:rPr>
            </w:pPr>
            <w:r w:rsidRPr="0065160C">
              <w:rPr>
                <w:szCs w:val="20"/>
              </w:rPr>
              <w:t>Population growth (-20%)</w:t>
            </w:r>
          </w:p>
        </w:tc>
        <w:tc>
          <w:tcPr>
            <w:tcW w:w="657" w:type="pct"/>
            <w:noWrap/>
            <w:vAlign w:val="center"/>
          </w:tcPr>
          <w:p w14:paraId="512927D9" w14:textId="0D764FB4" w:rsidR="00834079" w:rsidRPr="00354295" w:rsidRDefault="00834079" w:rsidP="00834079">
            <w:pPr>
              <w:pStyle w:val="TableText0"/>
              <w:rPr>
                <w:szCs w:val="20"/>
              </w:rPr>
            </w:pPr>
            <w:r w:rsidRPr="00354295">
              <w:rPr>
                <w:rFonts w:cs="Calibri"/>
                <w:color w:val="000000"/>
                <w:szCs w:val="20"/>
              </w:rPr>
              <w:t>$</w:t>
            </w:r>
            <w:r w:rsidR="004C1F08" w:rsidRPr="004C1F08">
              <w:rPr>
                <w:color w:val="000000"/>
                <w:spacing w:val="53"/>
                <w:szCs w:val="20"/>
                <w:shd w:val="solid" w:color="000000" w:fill="000000"/>
                <w:fitText w:val="330" w:id="-663599351"/>
                <w14:textFill>
                  <w14:solidFill>
                    <w14:srgbClr w14:val="000000">
                      <w14:alpha w14:val="100000"/>
                    </w14:srgbClr>
                  </w14:solidFill>
                </w14:textFill>
              </w:rPr>
              <w:t>|||</w:t>
            </w:r>
            <w:r w:rsidR="004C1F08" w:rsidRPr="004C1F08">
              <w:rPr>
                <w:color w:val="000000"/>
                <w:spacing w:val="1"/>
                <w:szCs w:val="20"/>
                <w:shd w:val="solid" w:color="000000" w:fill="000000"/>
                <w:fitText w:val="330" w:id="-663599351"/>
                <w14:textFill>
                  <w14:solidFill>
                    <w14:srgbClr w14:val="000000">
                      <w14:alpha w14:val="100000"/>
                    </w14:srgbClr>
                  </w14:solidFill>
                </w14:textFill>
              </w:rPr>
              <w:t>|</w:t>
            </w:r>
            <w:r w:rsidR="006C2A83">
              <w:rPr>
                <w:szCs w:val="20"/>
                <w:vertAlign w:val="superscript"/>
              </w:rPr>
              <w:t>1</w:t>
            </w:r>
          </w:p>
        </w:tc>
        <w:tc>
          <w:tcPr>
            <w:tcW w:w="622" w:type="pct"/>
            <w:noWrap/>
            <w:vAlign w:val="center"/>
          </w:tcPr>
          <w:p w14:paraId="32EA8939" w14:textId="1854BAEA" w:rsidR="00834079" w:rsidRPr="00354295" w:rsidRDefault="00834079" w:rsidP="00834079">
            <w:pPr>
              <w:pStyle w:val="TableText0"/>
              <w:rPr>
                <w:szCs w:val="20"/>
              </w:rPr>
            </w:pPr>
            <w:r w:rsidRPr="00354295">
              <w:rPr>
                <w:rFonts w:cs="Calibri"/>
                <w:color w:val="000000"/>
                <w:szCs w:val="20"/>
              </w:rPr>
              <w:t>$</w:t>
            </w:r>
            <w:r w:rsidR="004C1F08" w:rsidRPr="004C1F08">
              <w:rPr>
                <w:color w:val="000000"/>
                <w:spacing w:val="53"/>
                <w:szCs w:val="20"/>
                <w:shd w:val="solid" w:color="000000" w:fill="000000"/>
                <w:fitText w:val="330" w:id="-663599350"/>
                <w14:textFill>
                  <w14:solidFill>
                    <w14:srgbClr w14:val="000000">
                      <w14:alpha w14:val="100000"/>
                    </w14:srgbClr>
                  </w14:solidFill>
                </w14:textFill>
              </w:rPr>
              <w:t>|||</w:t>
            </w:r>
            <w:r w:rsidR="004C1F08" w:rsidRPr="004C1F08">
              <w:rPr>
                <w:color w:val="000000"/>
                <w:spacing w:val="1"/>
                <w:szCs w:val="20"/>
                <w:shd w:val="solid" w:color="000000" w:fill="000000"/>
                <w:fitText w:val="330" w:id="-663599350"/>
                <w14:textFill>
                  <w14:solidFill>
                    <w14:srgbClr w14:val="000000">
                      <w14:alpha w14:val="100000"/>
                    </w14:srgbClr>
                  </w14:solidFill>
                </w14:textFill>
              </w:rPr>
              <w:t>|</w:t>
            </w:r>
            <w:r w:rsidR="006C2A83">
              <w:rPr>
                <w:szCs w:val="20"/>
                <w:vertAlign w:val="superscript"/>
              </w:rPr>
              <w:t>1</w:t>
            </w:r>
          </w:p>
        </w:tc>
        <w:tc>
          <w:tcPr>
            <w:tcW w:w="622" w:type="pct"/>
            <w:noWrap/>
            <w:vAlign w:val="center"/>
          </w:tcPr>
          <w:p w14:paraId="6A9F1DEE" w14:textId="12BE4639" w:rsidR="00834079" w:rsidRPr="00776505" w:rsidRDefault="00834079" w:rsidP="00834079">
            <w:pPr>
              <w:pStyle w:val="TableText0"/>
              <w:rPr>
                <w:szCs w:val="20"/>
                <w:vertAlign w:val="superscript"/>
              </w:rPr>
            </w:pPr>
            <w:r w:rsidRPr="00354295">
              <w:rPr>
                <w:rFonts w:cs="Calibri"/>
                <w:color w:val="000000"/>
                <w:szCs w:val="20"/>
              </w:rPr>
              <w:t>$</w:t>
            </w:r>
            <w:r w:rsidR="004C1F08" w:rsidRPr="004C1F08">
              <w:rPr>
                <w:color w:val="000000"/>
                <w:spacing w:val="53"/>
                <w:szCs w:val="20"/>
                <w:shd w:val="solid" w:color="000000" w:fill="000000"/>
                <w:fitText w:val="330" w:id="-663599349"/>
                <w14:textFill>
                  <w14:solidFill>
                    <w14:srgbClr w14:val="000000">
                      <w14:alpha w14:val="100000"/>
                    </w14:srgbClr>
                  </w14:solidFill>
                </w14:textFill>
              </w:rPr>
              <w:t>|||</w:t>
            </w:r>
            <w:r w:rsidR="004C1F08" w:rsidRPr="004C1F08">
              <w:rPr>
                <w:color w:val="000000"/>
                <w:spacing w:val="1"/>
                <w:szCs w:val="20"/>
                <w:shd w:val="solid" w:color="000000" w:fill="000000"/>
                <w:fitText w:val="330" w:id="-663599349"/>
                <w14:textFill>
                  <w14:solidFill>
                    <w14:srgbClr w14:val="000000">
                      <w14:alpha w14:val="100000"/>
                    </w14:srgbClr>
                  </w14:solidFill>
                </w14:textFill>
              </w:rPr>
              <w:t>|</w:t>
            </w:r>
            <w:r w:rsidR="006C2A83">
              <w:rPr>
                <w:szCs w:val="20"/>
                <w:vertAlign w:val="superscript"/>
              </w:rPr>
              <w:t>1</w:t>
            </w:r>
          </w:p>
        </w:tc>
        <w:tc>
          <w:tcPr>
            <w:tcW w:w="622" w:type="pct"/>
            <w:vAlign w:val="center"/>
          </w:tcPr>
          <w:p w14:paraId="754C2593" w14:textId="686ABA53" w:rsidR="00834079" w:rsidRPr="00354295" w:rsidRDefault="00834079" w:rsidP="00834079">
            <w:pPr>
              <w:pStyle w:val="TableText0"/>
              <w:rPr>
                <w:szCs w:val="20"/>
              </w:rPr>
            </w:pPr>
            <w:r w:rsidRPr="00354295">
              <w:rPr>
                <w:rFonts w:cs="Calibri"/>
                <w:color w:val="000000"/>
                <w:szCs w:val="20"/>
              </w:rPr>
              <w:t>$</w:t>
            </w:r>
            <w:r w:rsidR="004C1F08" w:rsidRPr="004C1F08">
              <w:rPr>
                <w:color w:val="000000"/>
                <w:spacing w:val="53"/>
                <w:szCs w:val="20"/>
                <w:shd w:val="solid" w:color="000000" w:fill="000000"/>
                <w:fitText w:val="330" w:id="-663599348"/>
                <w14:textFill>
                  <w14:solidFill>
                    <w14:srgbClr w14:val="000000">
                      <w14:alpha w14:val="100000"/>
                    </w14:srgbClr>
                  </w14:solidFill>
                </w14:textFill>
              </w:rPr>
              <w:t>|||</w:t>
            </w:r>
            <w:r w:rsidR="004C1F08" w:rsidRPr="004C1F08">
              <w:rPr>
                <w:color w:val="000000"/>
                <w:spacing w:val="1"/>
                <w:szCs w:val="20"/>
                <w:shd w:val="solid" w:color="000000" w:fill="000000"/>
                <w:fitText w:val="330" w:id="-663599348"/>
                <w14:textFill>
                  <w14:solidFill>
                    <w14:srgbClr w14:val="000000">
                      <w14:alpha w14:val="100000"/>
                    </w14:srgbClr>
                  </w14:solidFill>
                </w14:textFill>
              </w:rPr>
              <w:t>|</w:t>
            </w:r>
            <w:r w:rsidR="006C2A83">
              <w:rPr>
                <w:szCs w:val="20"/>
                <w:vertAlign w:val="superscript"/>
              </w:rPr>
              <w:t>1</w:t>
            </w:r>
          </w:p>
        </w:tc>
        <w:tc>
          <w:tcPr>
            <w:tcW w:w="622" w:type="pct"/>
            <w:vAlign w:val="center"/>
          </w:tcPr>
          <w:p w14:paraId="054A6ABF" w14:textId="40474CE1" w:rsidR="00834079" w:rsidRPr="00354295" w:rsidRDefault="00834079" w:rsidP="00834079">
            <w:pPr>
              <w:pStyle w:val="TableText0"/>
              <w:rPr>
                <w:szCs w:val="20"/>
              </w:rPr>
            </w:pPr>
            <w:r w:rsidRPr="00354295">
              <w:rPr>
                <w:rFonts w:cs="Calibri"/>
                <w:color w:val="000000"/>
                <w:szCs w:val="20"/>
              </w:rPr>
              <w:t>$</w:t>
            </w:r>
            <w:r w:rsidR="004C1F08" w:rsidRPr="004C1F08">
              <w:rPr>
                <w:color w:val="000000"/>
                <w:spacing w:val="53"/>
                <w:szCs w:val="20"/>
                <w:shd w:val="solid" w:color="000000" w:fill="000000"/>
                <w:fitText w:val="330" w:id="-663599347"/>
                <w14:textFill>
                  <w14:solidFill>
                    <w14:srgbClr w14:val="000000">
                      <w14:alpha w14:val="100000"/>
                    </w14:srgbClr>
                  </w14:solidFill>
                </w14:textFill>
              </w:rPr>
              <w:t>|||</w:t>
            </w:r>
            <w:r w:rsidR="004C1F08" w:rsidRPr="004C1F08">
              <w:rPr>
                <w:color w:val="000000"/>
                <w:spacing w:val="1"/>
                <w:szCs w:val="20"/>
                <w:shd w:val="solid" w:color="000000" w:fill="000000"/>
                <w:fitText w:val="330" w:id="-663599347"/>
                <w14:textFill>
                  <w14:solidFill>
                    <w14:srgbClr w14:val="000000">
                      <w14:alpha w14:val="100000"/>
                    </w14:srgbClr>
                  </w14:solidFill>
                </w14:textFill>
              </w:rPr>
              <w:t>|</w:t>
            </w:r>
            <w:r w:rsidR="006C2A83">
              <w:rPr>
                <w:szCs w:val="20"/>
                <w:vertAlign w:val="superscript"/>
              </w:rPr>
              <w:t>1</w:t>
            </w:r>
          </w:p>
        </w:tc>
        <w:tc>
          <w:tcPr>
            <w:tcW w:w="622" w:type="pct"/>
            <w:vAlign w:val="center"/>
          </w:tcPr>
          <w:p w14:paraId="12EDDBE9" w14:textId="63BA5709" w:rsidR="00834079" w:rsidRPr="00354295" w:rsidRDefault="00834079" w:rsidP="00834079">
            <w:pPr>
              <w:pStyle w:val="TableText0"/>
              <w:rPr>
                <w:szCs w:val="20"/>
              </w:rPr>
            </w:pPr>
            <w:r w:rsidRPr="00354295">
              <w:rPr>
                <w:rFonts w:cs="Calibri"/>
                <w:color w:val="000000"/>
                <w:szCs w:val="20"/>
              </w:rPr>
              <w:t>$</w:t>
            </w:r>
            <w:r w:rsidR="004C1F08" w:rsidRPr="004C1F08">
              <w:rPr>
                <w:color w:val="000000"/>
                <w:spacing w:val="53"/>
                <w:szCs w:val="20"/>
                <w:shd w:val="solid" w:color="000000" w:fill="000000"/>
                <w:fitText w:val="330" w:id="-663599346"/>
                <w14:textFill>
                  <w14:solidFill>
                    <w14:srgbClr w14:val="000000">
                      <w14:alpha w14:val="100000"/>
                    </w14:srgbClr>
                  </w14:solidFill>
                </w14:textFill>
              </w:rPr>
              <w:t>|||</w:t>
            </w:r>
            <w:r w:rsidR="004C1F08" w:rsidRPr="004C1F08">
              <w:rPr>
                <w:color w:val="000000"/>
                <w:spacing w:val="1"/>
                <w:szCs w:val="20"/>
                <w:shd w:val="solid" w:color="000000" w:fill="000000"/>
                <w:fitText w:val="330" w:id="-663599346"/>
                <w14:textFill>
                  <w14:solidFill>
                    <w14:srgbClr w14:val="000000">
                      <w14:alpha w14:val="100000"/>
                    </w14:srgbClr>
                  </w14:solidFill>
                </w14:textFill>
              </w:rPr>
              <w:t>|</w:t>
            </w:r>
            <w:r w:rsidR="006C2A83">
              <w:rPr>
                <w:szCs w:val="20"/>
                <w:vertAlign w:val="superscript"/>
              </w:rPr>
              <w:t>1</w:t>
            </w:r>
          </w:p>
        </w:tc>
        <w:tc>
          <w:tcPr>
            <w:tcW w:w="454" w:type="pct"/>
            <w:vAlign w:val="center"/>
          </w:tcPr>
          <w:p w14:paraId="4A1A27CD" w14:textId="1D713A9F" w:rsidR="00834079" w:rsidRPr="001F2532" w:rsidRDefault="006E5396" w:rsidP="00834079">
            <w:pPr>
              <w:pStyle w:val="TableText0"/>
              <w:rPr>
                <w:i/>
                <w:iCs/>
                <w:szCs w:val="20"/>
              </w:rPr>
            </w:pPr>
            <w:r w:rsidRPr="001F2532">
              <w:rPr>
                <w:rFonts w:cs="Calibri"/>
                <w:i/>
                <w:iCs/>
                <w:color w:val="000000"/>
                <w:szCs w:val="20"/>
              </w:rPr>
              <w:t>-</w:t>
            </w:r>
            <w:r w:rsidR="004C1F08" w:rsidRPr="004C1F08">
              <w:rPr>
                <w:color w:val="000000"/>
                <w:spacing w:val="53"/>
                <w:szCs w:val="20"/>
                <w:shd w:val="solid" w:color="000000" w:fill="000000"/>
                <w:fitText w:val="330" w:id="-663599345"/>
                <w14:textFill>
                  <w14:solidFill>
                    <w14:srgbClr w14:val="000000">
                      <w14:alpha w14:val="100000"/>
                    </w14:srgbClr>
                  </w14:solidFill>
                </w14:textFill>
              </w:rPr>
              <w:t>|||</w:t>
            </w:r>
            <w:r w:rsidR="004C1F08" w:rsidRPr="004C1F08">
              <w:rPr>
                <w:color w:val="000000"/>
                <w:spacing w:val="1"/>
                <w:szCs w:val="20"/>
                <w:shd w:val="solid" w:color="000000" w:fill="000000"/>
                <w:fitText w:val="330" w:id="-663599345"/>
                <w14:textFill>
                  <w14:solidFill>
                    <w14:srgbClr w14:val="000000">
                      <w14:alpha w14:val="100000"/>
                    </w14:srgbClr>
                  </w14:solidFill>
                </w14:textFill>
              </w:rPr>
              <w:t>|</w:t>
            </w:r>
            <w:r w:rsidR="00834079" w:rsidRPr="001F2532">
              <w:rPr>
                <w:rFonts w:cs="Calibri"/>
                <w:i/>
                <w:iCs/>
                <w:color w:val="000000"/>
                <w:szCs w:val="20"/>
              </w:rPr>
              <w:t>%</w:t>
            </w:r>
          </w:p>
        </w:tc>
      </w:tr>
      <w:tr w:rsidR="00834079" w:rsidRPr="00354295" w14:paraId="34FF617C" w14:textId="77777777" w:rsidTr="003731AB">
        <w:trPr>
          <w:trHeight w:val="20"/>
          <w:tblHeader/>
        </w:trPr>
        <w:tc>
          <w:tcPr>
            <w:tcW w:w="779" w:type="pct"/>
            <w:shd w:val="clear" w:color="auto" w:fill="auto"/>
            <w:noWrap/>
            <w:hideMark/>
          </w:tcPr>
          <w:p w14:paraId="074B7EFB" w14:textId="77777777" w:rsidR="00834079" w:rsidRPr="0065160C" w:rsidRDefault="00834079" w:rsidP="00834079">
            <w:pPr>
              <w:pStyle w:val="TableText0"/>
              <w:rPr>
                <w:szCs w:val="20"/>
              </w:rPr>
            </w:pPr>
            <w:r w:rsidRPr="0065160C">
              <w:rPr>
                <w:szCs w:val="20"/>
              </w:rPr>
              <w:t>Population growth (+20%)</w:t>
            </w:r>
          </w:p>
        </w:tc>
        <w:tc>
          <w:tcPr>
            <w:tcW w:w="657" w:type="pct"/>
            <w:noWrap/>
            <w:vAlign w:val="center"/>
          </w:tcPr>
          <w:p w14:paraId="765316CE" w14:textId="17B911CE" w:rsidR="00834079" w:rsidRPr="00354295" w:rsidRDefault="00834079" w:rsidP="00834079">
            <w:pPr>
              <w:pStyle w:val="TableText0"/>
              <w:rPr>
                <w:szCs w:val="20"/>
              </w:rPr>
            </w:pPr>
            <w:r w:rsidRPr="00354295">
              <w:rPr>
                <w:rFonts w:cs="Calibri"/>
                <w:color w:val="000000"/>
                <w:szCs w:val="20"/>
              </w:rPr>
              <w:t>$</w:t>
            </w:r>
            <w:r w:rsidR="004C1F08" w:rsidRPr="004C1F08">
              <w:rPr>
                <w:color w:val="000000"/>
                <w:spacing w:val="53"/>
                <w:szCs w:val="20"/>
                <w:shd w:val="solid" w:color="000000" w:fill="000000"/>
                <w:fitText w:val="330" w:id="-663599344"/>
                <w14:textFill>
                  <w14:solidFill>
                    <w14:srgbClr w14:val="000000">
                      <w14:alpha w14:val="100000"/>
                    </w14:srgbClr>
                  </w14:solidFill>
                </w14:textFill>
              </w:rPr>
              <w:t>|||</w:t>
            </w:r>
            <w:r w:rsidR="004C1F08" w:rsidRPr="004C1F08">
              <w:rPr>
                <w:color w:val="000000"/>
                <w:spacing w:val="1"/>
                <w:szCs w:val="20"/>
                <w:shd w:val="solid" w:color="000000" w:fill="000000"/>
                <w:fitText w:val="330" w:id="-663599344"/>
                <w14:textFill>
                  <w14:solidFill>
                    <w14:srgbClr w14:val="000000">
                      <w14:alpha w14:val="100000"/>
                    </w14:srgbClr>
                  </w14:solidFill>
                </w14:textFill>
              </w:rPr>
              <w:t>|</w:t>
            </w:r>
            <w:r w:rsidR="006C2A83">
              <w:rPr>
                <w:szCs w:val="20"/>
                <w:vertAlign w:val="superscript"/>
              </w:rPr>
              <w:t>1</w:t>
            </w:r>
          </w:p>
        </w:tc>
        <w:tc>
          <w:tcPr>
            <w:tcW w:w="622" w:type="pct"/>
            <w:noWrap/>
            <w:vAlign w:val="center"/>
          </w:tcPr>
          <w:p w14:paraId="6C9EE2CE" w14:textId="3CB73489" w:rsidR="00834079" w:rsidRPr="00354295" w:rsidRDefault="00834079" w:rsidP="00834079">
            <w:pPr>
              <w:pStyle w:val="TableText0"/>
              <w:rPr>
                <w:szCs w:val="20"/>
              </w:rPr>
            </w:pPr>
            <w:r w:rsidRPr="00354295">
              <w:rPr>
                <w:rFonts w:cs="Calibri"/>
                <w:color w:val="000000"/>
                <w:szCs w:val="20"/>
              </w:rPr>
              <w:t>$</w:t>
            </w:r>
            <w:r w:rsidR="004C1F08" w:rsidRPr="004C1F08">
              <w:rPr>
                <w:color w:val="000000"/>
                <w:spacing w:val="53"/>
                <w:szCs w:val="20"/>
                <w:shd w:val="solid" w:color="000000" w:fill="000000"/>
                <w:fitText w:val="330" w:id="-663599360"/>
                <w14:textFill>
                  <w14:solidFill>
                    <w14:srgbClr w14:val="000000">
                      <w14:alpha w14:val="100000"/>
                    </w14:srgbClr>
                  </w14:solidFill>
                </w14:textFill>
              </w:rPr>
              <w:t>|||</w:t>
            </w:r>
            <w:r w:rsidR="004C1F08" w:rsidRPr="004C1F08">
              <w:rPr>
                <w:color w:val="000000"/>
                <w:spacing w:val="1"/>
                <w:szCs w:val="20"/>
                <w:shd w:val="solid" w:color="000000" w:fill="000000"/>
                <w:fitText w:val="330" w:id="-663599360"/>
                <w14:textFill>
                  <w14:solidFill>
                    <w14:srgbClr w14:val="000000">
                      <w14:alpha w14:val="100000"/>
                    </w14:srgbClr>
                  </w14:solidFill>
                </w14:textFill>
              </w:rPr>
              <w:t>|</w:t>
            </w:r>
            <w:r w:rsidR="006C2A83">
              <w:rPr>
                <w:szCs w:val="20"/>
                <w:vertAlign w:val="superscript"/>
              </w:rPr>
              <w:t>1</w:t>
            </w:r>
          </w:p>
        </w:tc>
        <w:tc>
          <w:tcPr>
            <w:tcW w:w="622" w:type="pct"/>
            <w:noWrap/>
            <w:vAlign w:val="center"/>
          </w:tcPr>
          <w:p w14:paraId="266FF059" w14:textId="0D1EEADD" w:rsidR="00834079" w:rsidRPr="00354295" w:rsidRDefault="00834079" w:rsidP="00834079">
            <w:pPr>
              <w:pStyle w:val="TableText0"/>
              <w:rPr>
                <w:szCs w:val="20"/>
              </w:rPr>
            </w:pPr>
            <w:r w:rsidRPr="00354295">
              <w:rPr>
                <w:rFonts w:cs="Calibri"/>
                <w:color w:val="000000"/>
                <w:szCs w:val="20"/>
              </w:rPr>
              <w:t>$</w:t>
            </w:r>
            <w:r w:rsidR="004C1F08" w:rsidRPr="004C1F08">
              <w:rPr>
                <w:color w:val="000000"/>
                <w:spacing w:val="53"/>
                <w:szCs w:val="20"/>
                <w:shd w:val="solid" w:color="000000" w:fill="000000"/>
                <w:fitText w:val="330" w:id="-663599359"/>
                <w14:textFill>
                  <w14:solidFill>
                    <w14:srgbClr w14:val="000000">
                      <w14:alpha w14:val="100000"/>
                    </w14:srgbClr>
                  </w14:solidFill>
                </w14:textFill>
              </w:rPr>
              <w:t>|||</w:t>
            </w:r>
            <w:r w:rsidR="004C1F08" w:rsidRPr="004C1F08">
              <w:rPr>
                <w:color w:val="000000"/>
                <w:spacing w:val="1"/>
                <w:szCs w:val="20"/>
                <w:shd w:val="solid" w:color="000000" w:fill="000000"/>
                <w:fitText w:val="330" w:id="-663599359"/>
                <w14:textFill>
                  <w14:solidFill>
                    <w14:srgbClr w14:val="000000">
                      <w14:alpha w14:val="100000"/>
                    </w14:srgbClr>
                  </w14:solidFill>
                </w14:textFill>
              </w:rPr>
              <w:t>|</w:t>
            </w:r>
            <w:r w:rsidR="006C2A83">
              <w:rPr>
                <w:szCs w:val="20"/>
                <w:vertAlign w:val="superscript"/>
              </w:rPr>
              <w:t>1</w:t>
            </w:r>
          </w:p>
        </w:tc>
        <w:tc>
          <w:tcPr>
            <w:tcW w:w="622" w:type="pct"/>
            <w:vAlign w:val="center"/>
          </w:tcPr>
          <w:p w14:paraId="2F645562" w14:textId="31609329" w:rsidR="00834079" w:rsidRPr="00354295" w:rsidRDefault="00834079" w:rsidP="00834079">
            <w:pPr>
              <w:pStyle w:val="TableText0"/>
              <w:rPr>
                <w:szCs w:val="20"/>
              </w:rPr>
            </w:pPr>
            <w:r w:rsidRPr="00354295">
              <w:rPr>
                <w:rFonts w:cs="Calibri"/>
                <w:color w:val="000000"/>
                <w:szCs w:val="20"/>
              </w:rPr>
              <w:t>$</w:t>
            </w:r>
            <w:r w:rsidR="004C1F08" w:rsidRPr="004C1F08">
              <w:rPr>
                <w:color w:val="000000"/>
                <w:spacing w:val="53"/>
                <w:szCs w:val="20"/>
                <w:shd w:val="solid" w:color="000000" w:fill="000000"/>
                <w:fitText w:val="330" w:id="-663599358"/>
                <w14:textFill>
                  <w14:solidFill>
                    <w14:srgbClr w14:val="000000">
                      <w14:alpha w14:val="100000"/>
                    </w14:srgbClr>
                  </w14:solidFill>
                </w14:textFill>
              </w:rPr>
              <w:t>|||</w:t>
            </w:r>
            <w:r w:rsidR="004C1F08" w:rsidRPr="004C1F08">
              <w:rPr>
                <w:color w:val="000000"/>
                <w:spacing w:val="1"/>
                <w:szCs w:val="20"/>
                <w:shd w:val="solid" w:color="000000" w:fill="000000"/>
                <w:fitText w:val="330" w:id="-663599358"/>
                <w14:textFill>
                  <w14:solidFill>
                    <w14:srgbClr w14:val="000000">
                      <w14:alpha w14:val="100000"/>
                    </w14:srgbClr>
                  </w14:solidFill>
                </w14:textFill>
              </w:rPr>
              <w:t>|</w:t>
            </w:r>
            <w:r w:rsidR="006C2A83">
              <w:rPr>
                <w:szCs w:val="20"/>
                <w:vertAlign w:val="superscript"/>
              </w:rPr>
              <w:t>1</w:t>
            </w:r>
          </w:p>
        </w:tc>
        <w:tc>
          <w:tcPr>
            <w:tcW w:w="622" w:type="pct"/>
            <w:vAlign w:val="center"/>
          </w:tcPr>
          <w:p w14:paraId="372C5C48" w14:textId="535FD05C" w:rsidR="00834079" w:rsidRPr="00354295" w:rsidRDefault="00834079" w:rsidP="00834079">
            <w:pPr>
              <w:pStyle w:val="TableText0"/>
              <w:rPr>
                <w:szCs w:val="20"/>
              </w:rPr>
            </w:pPr>
            <w:r w:rsidRPr="00354295">
              <w:rPr>
                <w:rFonts w:cs="Calibri"/>
                <w:color w:val="000000"/>
                <w:szCs w:val="20"/>
              </w:rPr>
              <w:t>$</w:t>
            </w:r>
            <w:r w:rsidR="004C1F08" w:rsidRPr="004C1F08">
              <w:rPr>
                <w:color w:val="000000"/>
                <w:spacing w:val="53"/>
                <w:szCs w:val="20"/>
                <w:shd w:val="solid" w:color="000000" w:fill="000000"/>
                <w:fitText w:val="330" w:id="-663599357"/>
                <w14:textFill>
                  <w14:solidFill>
                    <w14:srgbClr w14:val="000000">
                      <w14:alpha w14:val="100000"/>
                    </w14:srgbClr>
                  </w14:solidFill>
                </w14:textFill>
              </w:rPr>
              <w:t>|||</w:t>
            </w:r>
            <w:r w:rsidR="004C1F08" w:rsidRPr="004C1F08">
              <w:rPr>
                <w:color w:val="000000"/>
                <w:spacing w:val="1"/>
                <w:szCs w:val="20"/>
                <w:shd w:val="solid" w:color="000000" w:fill="000000"/>
                <w:fitText w:val="330" w:id="-663599357"/>
                <w14:textFill>
                  <w14:solidFill>
                    <w14:srgbClr w14:val="000000">
                      <w14:alpha w14:val="100000"/>
                    </w14:srgbClr>
                  </w14:solidFill>
                </w14:textFill>
              </w:rPr>
              <w:t>|</w:t>
            </w:r>
            <w:r w:rsidR="006C2A83">
              <w:rPr>
                <w:szCs w:val="20"/>
                <w:vertAlign w:val="superscript"/>
              </w:rPr>
              <w:t>1</w:t>
            </w:r>
          </w:p>
        </w:tc>
        <w:tc>
          <w:tcPr>
            <w:tcW w:w="622" w:type="pct"/>
            <w:vAlign w:val="center"/>
          </w:tcPr>
          <w:p w14:paraId="3BDCFB2A" w14:textId="066B6F88" w:rsidR="00834079" w:rsidRPr="00354295" w:rsidRDefault="00834079" w:rsidP="00834079">
            <w:pPr>
              <w:pStyle w:val="TableText0"/>
              <w:rPr>
                <w:szCs w:val="20"/>
              </w:rPr>
            </w:pPr>
            <w:r w:rsidRPr="00354295">
              <w:rPr>
                <w:rFonts w:cs="Calibri"/>
                <w:color w:val="000000"/>
                <w:szCs w:val="20"/>
              </w:rPr>
              <w:t>$</w:t>
            </w:r>
            <w:r w:rsidR="004C1F08" w:rsidRPr="004C1F08">
              <w:rPr>
                <w:color w:val="000000"/>
                <w:spacing w:val="53"/>
                <w:szCs w:val="20"/>
                <w:shd w:val="solid" w:color="000000" w:fill="000000"/>
                <w:fitText w:val="330" w:id="-663599356"/>
                <w14:textFill>
                  <w14:solidFill>
                    <w14:srgbClr w14:val="000000">
                      <w14:alpha w14:val="100000"/>
                    </w14:srgbClr>
                  </w14:solidFill>
                </w14:textFill>
              </w:rPr>
              <w:t>|||</w:t>
            </w:r>
            <w:r w:rsidR="004C1F08" w:rsidRPr="004C1F08">
              <w:rPr>
                <w:color w:val="000000"/>
                <w:spacing w:val="1"/>
                <w:szCs w:val="20"/>
                <w:shd w:val="solid" w:color="000000" w:fill="000000"/>
                <w:fitText w:val="330" w:id="-663599356"/>
                <w14:textFill>
                  <w14:solidFill>
                    <w14:srgbClr w14:val="000000">
                      <w14:alpha w14:val="100000"/>
                    </w14:srgbClr>
                  </w14:solidFill>
                </w14:textFill>
              </w:rPr>
              <w:t>|</w:t>
            </w:r>
            <w:r w:rsidR="006C2A83">
              <w:rPr>
                <w:szCs w:val="20"/>
                <w:vertAlign w:val="superscript"/>
              </w:rPr>
              <w:t>1</w:t>
            </w:r>
          </w:p>
        </w:tc>
        <w:tc>
          <w:tcPr>
            <w:tcW w:w="454" w:type="pct"/>
            <w:vAlign w:val="center"/>
          </w:tcPr>
          <w:p w14:paraId="279C5F43" w14:textId="31E5EFF6" w:rsidR="00834079" w:rsidRPr="001F2532" w:rsidRDefault="004C1F08" w:rsidP="00834079">
            <w:pPr>
              <w:pStyle w:val="TableText0"/>
              <w:rPr>
                <w:i/>
                <w:iCs/>
                <w:szCs w:val="20"/>
              </w:rPr>
            </w:pPr>
            <w:r w:rsidRPr="004C1F08">
              <w:rPr>
                <w:color w:val="000000"/>
                <w:spacing w:val="53"/>
                <w:szCs w:val="20"/>
                <w:shd w:val="solid" w:color="000000" w:fill="000000"/>
                <w:fitText w:val="330" w:id="-663599355"/>
                <w14:textFill>
                  <w14:solidFill>
                    <w14:srgbClr w14:val="000000">
                      <w14:alpha w14:val="100000"/>
                    </w14:srgbClr>
                  </w14:solidFill>
                </w14:textFill>
              </w:rPr>
              <w:t>|||</w:t>
            </w:r>
            <w:r w:rsidRPr="004C1F08">
              <w:rPr>
                <w:color w:val="000000"/>
                <w:spacing w:val="1"/>
                <w:szCs w:val="20"/>
                <w:shd w:val="solid" w:color="000000" w:fill="000000"/>
                <w:fitText w:val="330" w:id="-663599355"/>
                <w14:textFill>
                  <w14:solidFill>
                    <w14:srgbClr w14:val="000000">
                      <w14:alpha w14:val="100000"/>
                    </w14:srgbClr>
                  </w14:solidFill>
                </w14:textFill>
              </w:rPr>
              <w:t>|</w:t>
            </w:r>
            <w:r w:rsidR="00834079" w:rsidRPr="001F2532">
              <w:rPr>
                <w:rFonts w:cs="Calibri"/>
                <w:i/>
                <w:iCs/>
                <w:color w:val="000000"/>
                <w:szCs w:val="20"/>
              </w:rPr>
              <w:t>%</w:t>
            </w:r>
          </w:p>
        </w:tc>
      </w:tr>
      <w:tr w:rsidR="00834079" w:rsidRPr="00354295" w14:paraId="1E505202" w14:textId="77777777" w:rsidTr="003731AB">
        <w:trPr>
          <w:trHeight w:val="20"/>
          <w:tblHeader/>
        </w:trPr>
        <w:tc>
          <w:tcPr>
            <w:tcW w:w="779" w:type="pct"/>
            <w:shd w:val="clear" w:color="auto" w:fill="auto"/>
            <w:noWrap/>
          </w:tcPr>
          <w:p w14:paraId="444BAB36" w14:textId="77777777" w:rsidR="00834079" w:rsidRPr="0065160C" w:rsidRDefault="00834079" w:rsidP="00834079">
            <w:pPr>
              <w:pStyle w:val="TableText0"/>
              <w:rPr>
                <w:szCs w:val="20"/>
              </w:rPr>
            </w:pPr>
            <w:r w:rsidRPr="0065160C">
              <w:rPr>
                <w:szCs w:val="20"/>
              </w:rPr>
              <w:t>Uptake reduced by 20%</w:t>
            </w:r>
          </w:p>
        </w:tc>
        <w:tc>
          <w:tcPr>
            <w:tcW w:w="657" w:type="pct"/>
            <w:noWrap/>
            <w:vAlign w:val="center"/>
          </w:tcPr>
          <w:p w14:paraId="25F4164D" w14:textId="44A2EB8E" w:rsidR="00834079" w:rsidRPr="00825D0E" w:rsidRDefault="00834079" w:rsidP="00834079">
            <w:pPr>
              <w:pStyle w:val="TableText0"/>
              <w:rPr>
                <w:szCs w:val="20"/>
                <w:vertAlign w:val="superscript"/>
              </w:rPr>
            </w:pPr>
            <w:r w:rsidRPr="00354295">
              <w:rPr>
                <w:rFonts w:cs="Calibri"/>
                <w:color w:val="000000"/>
                <w:szCs w:val="20"/>
              </w:rPr>
              <w:t>$</w:t>
            </w:r>
            <w:r w:rsidR="004C1F08" w:rsidRPr="004C1F08">
              <w:rPr>
                <w:color w:val="000000"/>
                <w:spacing w:val="53"/>
                <w:szCs w:val="20"/>
                <w:shd w:val="solid" w:color="000000" w:fill="000000"/>
                <w:fitText w:val="330" w:id="-663599354"/>
                <w14:textFill>
                  <w14:solidFill>
                    <w14:srgbClr w14:val="000000">
                      <w14:alpha w14:val="100000"/>
                    </w14:srgbClr>
                  </w14:solidFill>
                </w14:textFill>
              </w:rPr>
              <w:t>|||</w:t>
            </w:r>
            <w:r w:rsidR="004C1F08" w:rsidRPr="004C1F08">
              <w:rPr>
                <w:color w:val="000000"/>
                <w:spacing w:val="1"/>
                <w:szCs w:val="20"/>
                <w:shd w:val="solid" w:color="000000" w:fill="000000"/>
                <w:fitText w:val="330" w:id="-663599354"/>
                <w14:textFill>
                  <w14:solidFill>
                    <w14:srgbClr w14:val="000000">
                      <w14:alpha w14:val="100000"/>
                    </w14:srgbClr>
                  </w14:solidFill>
                </w14:textFill>
              </w:rPr>
              <w:t>|</w:t>
            </w:r>
            <w:r w:rsidR="00825D0E">
              <w:rPr>
                <w:szCs w:val="20"/>
                <w:vertAlign w:val="superscript"/>
              </w:rPr>
              <w:t>1</w:t>
            </w:r>
          </w:p>
        </w:tc>
        <w:tc>
          <w:tcPr>
            <w:tcW w:w="622" w:type="pct"/>
            <w:noWrap/>
            <w:vAlign w:val="center"/>
          </w:tcPr>
          <w:p w14:paraId="20086017" w14:textId="442902B4" w:rsidR="00834079" w:rsidRPr="00F94BA9" w:rsidRDefault="00834079" w:rsidP="00834079">
            <w:pPr>
              <w:pStyle w:val="TableText0"/>
              <w:rPr>
                <w:szCs w:val="20"/>
                <w:vertAlign w:val="superscript"/>
              </w:rPr>
            </w:pPr>
            <w:r w:rsidRPr="00354295">
              <w:rPr>
                <w:rFonts w:cs="Calibri"/>
                <w:color w:val="000000"/>
                <w:szCs w:val="20"/>
              </w:rPr>
              <w:t>$</w:t>
            </w:r>
            <w:r w:rsidR="004C1F08" w:rsidRPr="004C1F08">
              <w:rPr>
                <w:color w:val="000000"/>
                <w:spacing w:val="53"/>
                <w:szCs w:val="20"/>
                <w:shd w:val="solid" w:color="000000" w:fill="000000"/>
                <w:fitText w:val="330" w:id="-663599353"/>
                <w14:textFill>
                  <w14:solidFill>
                    <w14:srgbClr w14:val="000000">
                      <w14:alpha w14:val="100000"/>
                    </w14:srgbClr>
                  </w14:solidFill>
                </w14:textFill>
              </w:rPr>
              <w:t>|||</w:t>
            </w:r>
            <w:r w:rsidR="004C1F08" w:rsidRPr="004C1F08">
              <w:rPr>
                <w:color w:val="000000"/>
                <w:spacing w:val="1"/>
                <w:szCs w:val="20"/>
                <w:shd w:val="solid" w:color="000000" w:fill="000000"/>
                <w:fitText w:val="330" w:id="-663599353"/>
                <w14:textFill>
                  <w14:solidFill>
                    <w14:srgbClr w14:val="000000">
                      <w14:alpha w14:val="100000"/>
                    </w14:srgbClr>
                  </w14:solidFill>
                </w14:textFill>
              </w:rPr>
              <w:t>|</w:t>
            </w:r>
            <w:r w:rsidR="006C2A83">
              <w:rPr>
                <w:szCs w:val="20"/>
                <w:vertAlign w:val="superscript"/>
              </w:rPr>
              <w:t>1</w:t>
            </w:r>
          </w:p>
        </w:tc>
        <w:tc>
          <w:tcPr>
            <w:tcW w:w="622" w:type="pct"/>
            <w:noWrap/>
            <w:vAlign w:val="center"/>
          </w:tcPr>
          <w:p w14:paraId="7C5B1D35" w14:textId="197F5584" w:rsidR="00834079" w:rsidRPr="00D13099" w:rsidRDefault="00834079" w:rsidP="00834079">
            <w:pPr>
              <w:pStyle w:val="TableText0"/>
              <w:rPr>
                <w:szCs w:val="20"/>
                <w:vertAlign w:val="superscript"/>
              </w:rPr>
            </w:pPr>
            <w:r w:rsidRPr="00354295">
              <w:rPr>
                <w:rFonts w:cs="Calibri"/>
                <w:color w:val="000000"/>
                <w:szCs w:val="20"/>
              </w:rPr>
              <w:t>$</w:t>
            </w:r>
            <w:r w:rsidR="004C1F08" w:rsidRPr="004C1F08">
              <w:rPr>
                <w:color w:val="000000"/>
                <w:spacing w:val="53"/>
                <w:szCs w:val="20"/>
                <w:shd w:val="solid" w:color="000000" w:fill="000000"/>
                <w:fitText w:val="330" w:id="-663599352"/>
                <w14:textFill>
                  <w14:solidFill>
                    <w14:srgbClr w14:val="000000">
                      <w14:alpha w14:val="100000"/>
                    </w14:srgbClr>
                  </w14:solidFill>
                </w14:textFill>
              </w:rPr>
              <w:t>|||</w:t>
            </w:r>
            <w:r w:rsidR="004C1F08" w:rsidRPr="004C1F08">
              <w:rPr>
                <w:color w:val="000000"/>
                <w:spacing w:val="1"/>
                <w:szCs w:val="20"/>
                <w:shd w:val="solid" w:color="000000" w:fill="000000"/>
                <w:fitText w:val="330" w:id="-663599352"/>
                <w14:textFill>
                  <w14:solidFill>
                    <w14:srgbClr w14:val="000000">
                      <w14:alpha w14:val="100000"/>
                    </w14:srgbClr>
                  </w14:solidFill>
                </w14:textFill>
              </w:rPr>
              <w:t>|</w:t>
            </w:r>
            <w:r w:rsidR="006C2A83">
              <w:rPr>
                <w:szCs w:val="20"/>
                <w:vertAlign w:val="superscript"/>
              </w:rPr>
              <w:t>1</w:t>
            </w:r>
          </w:p>
        </w:tc>
        <w:tc>
          <w:tcPr>
            <w:tcW w:w="622" w:type="pct"/>
            <w:vAlign w:val="center"/>
          </w:tcPr>
          <w:p w14:paraId="4E7C65B3" w14:textId="366193E5" w:rsidR="00834079" w:rsidRPr="00354295" w:rsidRDefault="00834079" w:rsidP="00834079">
            <w:pPr>
              <w:pStyle w:val="TableText0"/>
              <w:rPr>
                <w:szCs w:val="20"/>
              </w:rPr>
            </w:pPr>
            <w:r w:rsidRPr="00354295">
              <w:rPr>
                <w:rFonts w:cs="Calibri"/>
                <w:color w:val="000000"/>
                <w:szCs w:val="20"/>
              </w:rPr>
              <w:t>$</w:t>
            </w:r>
            <w:r w:rsidR="004C1F08" w:rsidRPr="004C1F08">
              <w:rPr>
                <w:color w:val="000000"/>
                <w:spacing w:val="53"/>
                <w:szCs w:val="20"/>
                <w:shd w:val="solid" w:color="000000" w:fill="000000"/>
                <w:fitText w:val="330" w:id="-663599351"/>
                <w14:textFill>
                  <w14:solidFill>
                    <w14:srgbClr w14:val="000000">
                      <w14:alpha w14:val="100000"/>
                    </w14:srgbClr>
                  </w14:solidFill>
                </w14:textFill>
              </w:rPr>
              <w:t>|||</w:t>
            </w:r>
            <w:r w:rsidR="004C1F08" w:rsidRPr="004C1F08">
              <w:rPr>
                <w:color w:val="000000"/>
                <w:spacing w:val="1"/>
                <w:szCs w:val="20"/>
                <w:shd w:val="solid" w:color="000000" w:fill="000000"/>
                <w:fitText w:val="330" w:id="-663599351"/>
                <w14:textFill>
                  <w14:solidFill>
                    <w14:srgbClr w14:val="000000">
                      <w14:alpha w14:val="100000"/>
                    </w14:srgbClr>
                  </w14:solidFill>
                </w14:textFill>
              </w:rPr>
              <w:t>|</w:t>
            </w:r>
            <w:r w:rsidR="006C2A83">
              <w:rPr>
                <w:szCs w:val="20"/>
                <w:vertAlign w:val="superscript"/>
              </w:rPr>
              <w:t>1</w:t>
            </w:r>
          </w:p>
        </w:tc>
        <w:tc>
          <w:tcPr>
            <w:tcW w:w="622" w:type="pct"/>
            <w:vAlign w:val="center"/>
          </w:tcPr>
          <w:p w14:paraId="15567000" w14:textId="0B62B45E" w:rsidR="00834079" w:rsidRPr="00354295" w:rsidRDefault="00834079" w:rsidP="00834079">
            <w:pPr>
              <w:pStyle w:val="TableText0"/>
              <w:rPr>
                <w:szCs w:val="20"/>
              </w:rPr>
            </w:pPr>
            <w:r w:rsidRPr="00354295">
              <w:rPr>
                <w:rFonts w:cs="Calibri"/>
                <w:color w:val="000000"/>
                <w:szCs w:val="20"/>
              </w:rPr>
              <w:t>$</w:t>
            </w:r>
            <w:r w:rsidR="004C1F08" w:rsidRPr="004C1F08">
              <w:rPr>
                <w:color w:val="000000"/>
                <w:spacing w:val="53"/>
                <w:szCs w:val="20"/>
                <w:shd w:val="solid" w:color="000000" w:fill="000000"/>
                <w:fitText w:val="330" w:id="-663599350"/>
                <w14:textFill>
                  <w14:solidFill>
                    <w14:srgbClr w14:val="000000">
                      <w14:alpha w14:val="100000"/>
                    </w14:srgbClr>
                  </w14:solidFill>
                </w14:textFill>
              </w:rPr>
              <w:t>|||</w:t>
            </w:r>
            <w:r w:rsidR="004C1F08" w:rsidRPr="004C1F08">
              <w:rPr>
                <w:color w:val="000000"/>
                <w:spacing w:val="1"/>
                <w:szCs w:val="20"/>
                <w:shd w:val="solid" w:color="000000" w:fill="000000"/>
                <w:fitText w:val="330" w:id="-663599350"/>
                <w14:textFill>
                  <w14:solidFill>
                    <w14:srgbClr w14:val="000000">
                      <w14:alpha w14:val="100000"/>
                    </w14:srgbClr>
                  </w14:solidFill>
                </w14:textFill>
              </w:rPr>
              <w:t>|</w:t>
            </w:r>
            <w:r w:rsidR="006C2A83">
              <w:rPr>
                <w:szCs w:val="20"/>
                <w:vertAlign w:val="superscript"/>
              </w:rPr>
              <w:t>1</w:t>
            </w:r>
          </w:p>
        </w:tc>
        <w:tc>
          <w:tcPr>
            <w:tcW w:w="622" w:type="pct"/>
            <w:vAlign w:val="center"/>
          </w:tcPr>
          <w:p w14:paraId="30138006" w14:textId="27A1E655" w:rsidR="00834079" w:rsidRPr="00354295" w:rsidRDefault="00834079" w:rsidP="00834079">
            <w:pPr>
              <w:pStyle w:val="TableText0"/>
              <w:rPr>
                <w:szCs w:val="20"/>
              </w:rPr>
            </w:pPr>
            <w:r w:rsidRPr="00354295">
              <w:rPr>
                <w:rFonts w:cs="Calibri"/>
                <w:color w:val="000000"/>
                <w:szCs w:val="20"/>
              </w:rPr>
              <w:t>$</w:t>
            </w:r>
            <w:r w:rsidR="004C1F08" w:rsidRPr="004C1F08">
              <w:rPr>
                <w:color w:val="000000"/>
                <w:spacing w:val="53"/>
                <w:szCs w:val="20"/>
                <w:shd w:val="solid" w:color="000000" w:fill="000000"/>
                <w:fitText w:val="330" w:id="-663599349"/>
                <w14:textFill>
                  <w14:solidFill>
                    <w14:srgbClr w14:val="000000">
                      <w14:alpha w14:val="100000"/>
                    </w14:srgbClr>
                  </w14:solidFill>
                </w14:textFill>
              </w:rPr>
              <w:t>|||</w:t>
            </w:r>
            <w:r w:rsidR="004C1F08" w:rsidRPr="004C1F08">
              <w:rPr>
                <w:color w:val="000000"/>
                <w:spacing w:val="1"/>
                <w:szCs w:val="20"/>
                <w:shd w:val="solid" w:color="000000" w:fill="000000"/>
                <w:fitText w:val="330" w:id="-663599349"/>
                <w14:textFill>
                  <w14:solidFill>
                    <w14:srgbClr w14:val="000000">
                      <w14:alpha w14:val="100000"/>
                    </w14:srgbClr>
                  </w14:solidFill>
                </w14:textFill>
              </w:rPr>
              <w:t>|</w:t>
            </w:r>
            <w:r w:rsidR="006C2A83">
              <w:rPr>
                <w:szCs w:val="20"/>
                <w:vertAlign w:val="superscript"/>
              </w:rPr>
              <w:t>1</w:t>
            </w:r>
          </w:p>
        </w:tc>
        <w:tc>
          <w:tcPr>
            <w:tcW w:w="454" w:type="pct"/>
            <w:vAlign w:val="center"/>
          </w:tcPr>
          <w:p w14:paraId="77233FB7" w14:textId="7C5FE709" w:rsidR="00834079" w:rsidRPr="001F2532" w:rsidRDefault="006E5396" w:rsidP="00834079">
            <w:pPr>
              <w:pStyle w:val="TableText0"/>
              <w:rPr>
                <w:i/>
                <w:iCs/>
                <w:szCs w:val="20"/>
              </w:rPr>
            </w:pPr>
            <w:r w:rsidRPr="001F2532">
              <w:rPr>
                <w:rFonts w:cs="Calibri"/>
                <w:i/>
                <w:iCs/>
                <w:color w:val="000000"/>
                <w:szCs w:val="20"/>
              </w:rPr>
              <w:t>-</w:t>
            </w:r>
            <w:r w:rsidR="004C1F08" w:rsidRPr="004C1F08">
              <w:rPr>
                <w:color w:val="000000"/>
                <w:spacing w:val="53"/>
                <w:szCs w:val="20"/>
                <w:shd w:val="solid" w:color="000000" w:fill="000000"/>
                <w:fitText w:val="330" w:id="-663599348"/>
                <w14:textFill>
                  <w14:solidFill>
                    <w14:srgbClr w14:val="000000">
                      <w14:alpha w14:val="100000"/>
                    </w14:srgbClr>
                  </w14:solidFill>
                </w14:textFill>
              </w:rPr>
              <w:t>|||</w:t>
            </w:r>
            <w:r w:rsidR="004C1F08" w:rsidRPr="004C1F08">
              <w:rPr>
                <w:color w:val="000000"/>
                <w:spacing w:val="1"/>
                <w:szCs w:val="20"/>
                <w:shd w:val="solid" w:color="000000" w:fill="000000"/>
                <w:fitText w:val="330" w:id="-663599348"/>
                <w14:textFill>
                  <w14:solidFill>
                    <w14:srgbClr w14:val="000000">
                      <w14:alpha w14:val="100000"/>
                    </w14:srgbClr>
                  </w14:solidFill>
                </w14:textFill>
              </w:rPr>
              <w:t>|</w:t>
            </w:r>
            <w:r w:rsidR="00834079" w:rsidRPr="001F2532">
              <w:rPr>
                <w:rFonts w:cs="Calibri"/>
                <w:i/>
                <w:iCs/>
                <w:color w:val="000000"/>
                <w:szCs w:val="20"/>
              </w:rPr>
              <w:t>%</w:t>
            </w:r>
          </w:p>
        </w:tc>
      </w:tr>
      <w:tr w:rsidR="00834079" w:rsidRPr="00354295" w14:paraId="2907E7DD" w14:textId="77777777" w:rsidTr="003731AB">
        <w:trPr>
          <w:trHeight w:val="20"/>
          <w:tblHeader/>
        </w:trPr>
        <w:tc>
          <w:tcPr>
            <w:tcW w:w="779" w:type="pct"/>
            <w:shd w:val="clear" w:color="auto" w:fill="auto"/>
            <w:noWrap/>
          </w:tcPr>
          <w:p w14:paraId="0A66DA3E" w14:textId="77777777" w:rsidR="00834079" w:rsidRPr="0065160C" w:rsidRDefault="00834079" w:rsidP="00834079">
            <w:pPr>
              <w:pStyle w:val="TableText0"/>
              <w:rPr>
                <w:szCs w:val="20"/>
              </w:rPr>
            </w:pPr>
            <w:r w:rsidRPr="0065160C">
              <w:rPr>
                <w:szCs w:val="20"/>
              </w:rPr>
              <w:t>Uptake increased by 20%</w:t>
            </w:r>
          </w:p>
        </w:tc>
        <w:tc>
          <w:tcPr>
            <w:tcW w:w="657" w:type="pct"/>
            <w:noWrap/>
            <w:vAlign w:val="center"/>
          </w:tcPr>
          <w:p w14:paraId="26CF22E3" w14:textId="2A9EF5D8" w:rsidR="00834079" w:rsidRPr="00B830B8" w:rsidRDefault="00834079" w:rsidP="00834079">
            <w:pPr>
              <w:pStyle w:val="TableText0"/>
              <w:rPr>
                <w:szCs w:val="20"/>
                <w:vertAlign w:val="superscript"/>
              </w:rPr>
            </w:pPr>
            <w:r w:rsidRPr="00354295">
              <w:rPr>
                <w:rFonts w:cs="Calibri"/>
                <w:color w:val="000000"/>
                <w:szCs w:val="20"/>
              </w:rPr>
              <w:t>$</w:t>
            </w:r>
            <w:r w:rsidR="004C1F08" w:rsidRPr="004C1F08">
              <w:rPr>
                <w:color w:val="000000"/>
                <w:spacing w:val="53"/>
                <w:szCs w:val="20"/>
                <w:shd w:val="solid" w:color="000000" w:fill="000000"/>
                <w:fitText w:val="330" w:id="-663599347"/>
                <w14:textFill>
                  <w14:solidFill>
                    <w14:srgbClr w14:val="000000">
                      <w14:alpha w14:val="100000"/>
                    </w14:srgbClr>
                  </w14:solidFill>
                </w14:textFill>
              </w:rPr>
              <w:t>|||</w:t>
            </w:r>
            <w:r w:rsidR="004C1F08" w:rsidRPr="004C1F08">
              <w:rPr>
                <w:color w:val="000000"/>
                <w:spacing w:val="1"/>
                <w:szCs w:val="20"/>
                <w:shd w:val="solid" w:color="000000" w:fill="000000"/>
                <w:fitText w:val="330" w:id="-663599347"/>
                <w14:textFill>
                  <w14:solidFill>
                    <w14:srgbClr w14:val="000000">
                      <w14:alpha w14:val="100000"/>
                    </w14:srgbClr>
                  </w14:solidFill>
                </w14:textFill>
              </w:rPr>
              <w:t>|</w:t>
            </w:r>
            <w:r w:rsidR="006C2A83">
              <w:rPr>
                <w:szCs w:val="20"/>
                <w:vertAlign w:val="superscript"/>
              </w:rPr>
              <w:t>1</w:t>
            </w:r>
          </w:p>
        </w:tc>
        <w:tc>
          <w:tcPr>
            <w:tcW w:w="622" w:type="pct"/>
            <w:noWrap/>
            <w:vAlign w:val="center"/>
          </w:tcPr>
          <w:p w14:paraId="737A384D" w14:textId="400816B3" w:rsidR="00834079" w:rsidRPr="00354295" w:rsidRDefault="00834079" w:rsidP="00834079">
            <w:pPr>
              <w:pStyle w:val="TableText0"/>
              <w:rPr>
                <w:szCs w:val="20"/>
              </w:rPr>
            </w:pPr>
            <w:r w:rsidRPr="00354295">
              <w:rPr>
                <w:rFonts w:cs="Calibri"/>
                <w:color w:val="000000"/>
                <w:szCs w:val="20"/>
              </w:rPr>
              <w:t>$</w:t>
            </w:r>
            <w:r w:rsidR="004C1F08" w:rsidRPr="004C1F08">
              <w:rPr>
                <w:color w:val="000000"/>
                <w:spacing w:val="53"/>
                <w:szCs w:val="20"/>
                <w:shd w:val="solid" w:color="000000" w:fill="000000"/>
                <w:fitText w:val="330" w:id="-663599346"/>
                <w14:textFill>
                  <w14:solidFill>
                    <w14:srgbClr w14:val="000000">
                      <w14:alpha w14:val="100000"/>
                    </w14:srgbClr>
                  </w14:solidFill>
                </w14:textFill>
              </w:rPr>
              <w:t>|||</w:t>
            </w:r>
            <w:r w:rsidR="004C1F08" w:rsidRPr="004C1F08">
              <w:rPr>
                <w:color w:val="000000"/>
                <w:spacing w:val="1"/>
                <w:szCs w:val="20"/>
                <w:shd w:val="solid" w:color="000000" w:fill="000000"/>
                <w:fitText w:val="330" w:id="-663599346"/>
                <w14:textFill>
                  <w14:solidFill>
                    <w14:srgbClr w14:val="000000">
                      <w14:alpha w14:val="100000"/>
                    </w14:srgbClr>
                  </w14:solidFill>
                </w14:textFill>
              </w:rPr>
              <w:t>|</w:t>
            </w:r>
            <w:r w:rsidR="006C2A83">
              <w:rPr>
                <w:szCs w:val="20"/>
                <w:vertAlign w:val="superscript"/>
              </w:rPr>
              <w:t>1</w:t>
            </w:r>
          </w:p>
        </w:tc>
        <w:tc>
          <w:tcPr>
            <w:tcW w:w="622" w:type="pct"/>
            <w:noWrap/>
            <w:vAlign w:val="center"/>
          </w:tcPr>
          <w:p w14:paraId="32CEDA02" w14:textId="1B218544" w:rsidR="00834079" w:rsidRPr="00354295" w:rsidRDefault="00834079" w:rsidP="00834079">
            <w:pPr>
              <w:pStyle w:val="TableText0"/>
              <w:rPr>
                <w:szCs w:val="20"/>
              </w:rPr>
            </w:pPr>
            <w:r w:rsidRPr="00354295">
              <w:rPr>
                <w:rFonts w:cs="Calibri"/>
                <w:color w:val="000000"/>
                <w:szCs w:val="20"/>
              </w:rPr>
              <w:t>$</w:t>
            </w:r>
            <w:r w:rsidR="004C1F08" w:rsidRPr="004C1F08">
              <w:rPr>
                <w:color w:val="000000"/>
                <w:spacing w:val="53"/>
                <w:szCs w:val="20"/>
                <w:shd w:val="solid" w:color="000000" w:fill="000000"/>
                <w:fitText w:val="330" w:id="-663599345"/>
                <w14:textFill>
                  <w14:solidFill>
                    <w14:srgbClr w14:val="000000">
                      <w14:alpha w14:val="100000"/>
                    </w14:srgbClr>
                  </w14:solidFill>
                </w14:textFill>
              </w:rPr>
              <w:t>|||</w:t>
            </w:r>
            <w:r w:rsidR="004C1F08" w:rsidRPr="004C1F08">
              <w:rPr>
                <w:color w:val="000000"/>
                <w:spacing w:val="1"/>
                <w:szCs w:val="20"/>
                <w:shd w:val="solid" w:color="000000" w:fill="000000"/>
                <w:fitText w:val="330" w:id="-663599345"/>
                <w14:textFill>
                  <w14:solidFill>
                    <w14:srgbClr w14:val="000000">
                      <w14:alpha w14:val="100000"/>
                    </w14:srgbClr>
                  </w14:solidFill>
                </w14:textFill>
              </w:rPr>
              <w:t>|</w:t>
            </w:r>
            <w:r w:rsidR="006C2A83">
              <w:rPr>
                <w:szCs w:val="20"/>
                <w:vertAlign w:val="superscript"/>
              </w:rPr>
              <w:t>1</w:t>
            </w:r>
          </w:p>
        </w:tc>
        <w:tc>
          <w:tcPr>
            <w:tcW w:w="622" w:type="pct"/>
            <w:vAlign w:val="center"/>
          </w:tcPr>
          <w:p w14:paraId="448E581E" w14:textId="76436C09" w:rsidR="00834079" w:rsidRPr="00354295" w:rsidRDefault="00834079" w:rsidP="00834079">
            <w:pPr>
              <w:pStyle w:val="TableText0"/>
              <w:rPr>
                <w:szCs w:val="20"/>
              </w:rPr>
            </w:pPr>
            <w:r w:rsidRPr="00354295">
              <w:rPr>
                <w:rFonts w:cs="Calibri"/>
                <w:color w:val="000000"/>
                <w:szCs w:val="20"/>
              </w:rPr>
              <w:t>$</w:t>
            </w:r>
            <w:r w:rsidR="004C1F08" w:rsidRPr="004C1F08">
              <w:rPr>
                <w:color w:val="000000"/>
                <w:spacing w:val="53"/>
                <w:szCs w:val="20"/>
                <w:shd w:val="solid" w:color="000000" w:fill="000000"/>
                <w:fitText w:val="330" w:id="-663599344"/>
                <w14:textFill>
                  <w14:solidFill>
                    <w14:srgbClr w14:val="000000">
                      <w14:alpha w14:val="100000"/>
                    </w14:srgbClr>
                  </w14:solidFill>
                </w14:textFill>
              </w:rPr>
              <w:t>|||</w:t>
            </w:r>
            <w:r w:rsidR="004C1F08" w:rsidRPr="004C1F08">
              <w:rPr>
                <w:color w:val="000000"/>
                <w:spacing w:val="1"/>
                <w:szCs w:val="20"/>
                <w:shd w:val="solid" w:color="000000" w:fill="000000"/>
                <w:fitText w:val="330" w:id="-663599344"/>
                <w14:textFill>
                  <w14:solidFill>
                    <w14:srgbClr w14:val="000000">
                      <w14:alpha w14:val="100000"/>
                    </w14:srgbClr>
                  </w14:solidFill>
                </w14:textFill>
              </w:rPr>
              <w:t>|</w:t>
            </w:r>
            <w:r w:rsidR="006C2A83">
              <w:rPr>
                <w:szCs w:val="20"/>
                <w:vertAlign w:val="superscript"/>
              </w:rPr>
              <w:t>1</w:t>
            </w:r>
          </w:p>
        </w:tc>
        <w:tc>
          <w:tcPr>
            <w:tcW w:w="622" w:type="pct"/>
            <w:vAlign w:val="center"/>
          </w:tcPr>
          <w:p w14:paraId="23D74520" w14:textId="44F5295D" w:rsidR="00834079" w:rsidRPr="00354295" w:rsidRDefault="00834079" w:rsidP="00834079">
            <w:pPr>
              <w:pStyle w:val="TableText0"/>
              <w:rPr>
                <w:szCs w:val="20"/>
              </w:rPr>
            </w:pPr>
            <w:r w:rsidRPr="00354295">
              <w:rPr>
                <w:rFonts w:cs="Calibri"/>
                <w:color w:val="000000"/>
                <w:szCs w:val="20"/>
              </w:rPr>
              <w:t>$</w:t>
            </w:r>
            <w:r w:rsidR="004C1F08" w:rsidRPr="004C1F08">
              <w:rPr>
                <w:color w:val="000000"/>
                <w:spacing w:val="53"/>
                <w:szCs w:val="20"/>
                <w:shd w:val="solid" w:color="000000" w:fill="000000"/>
                <w:fitText w:val="330" w:id="-663599360"/>
                <w14:textFill>
                  <w14:solidFill>
                    <w14:srgbClr w14:val="000000">
                      <w14:alpha w14:val="100000"/>
                    </w14:srgbClr>
                  </w14:solidFill>
                </w14:textFill>
              </w:rPr>
              <w:t>|||</w:t>
            </w:r>
            <w:r w:rsidR="004C1F08" w:rsidRPr="004C1F08">
              <w:rPr>
                <w:color w:val="000000"/>
                <w:spacing w:val="1"/>
                <w:szCs w:val="20"/>
                <w:shd w:val="solid" w:color="000000" w:fill="000000"/>
                <w:fitText w:val="330" w:id="-663599360"/>
                <w14:textFill>
                  <w14:solidFill>
                    <w14:srgbClr w14:val="000000">
                      <w14:alpha w14:val="100000"/>
                    </w14:srgbClr>
                  </w14:solidFill>
                </w14:textFill>
              </w:rPr>
              <w:t>|</w:t>
            </w:r>
            <w:r w:rsidR="006C2A83">
              <w:rPr>
                <w:szCs w:val="20"/>
                <w:vertAlign w:val="superscript"/>
              </w:rPr>
              <w:t>1</w:t>
            </w:r>
          </w:p>
        </w:tc>
        <w:tc>
          <w:tcPr>
            <w:tcW w:w="622" w:type="pct"/>
            <w:vAlign w:val="center"/>
          </w:tcPr>
          <w:p w14:paraId="1483A861" w14:textId="10EB38C4" w:rsidR="00834079" w:rsidRPr="00354295" w:rsidRDefault="00834079" w:rsidP="00834079">
            <w:pPr>
              <w:pStyle w:val="TableText0"/>
              <w:rPr>
                <w:szCs w:val="20"/>
              </w:rPr>
            </w:pPr>
            <w:r w:rsidRPr="00354295">
              <w:rPr>
                <w:rFonts w:cs="Calibri"/>
                <w:color w:val="000000"/>
                <w:szCs w:val="20"/>
              </w:rPr>
              <w:t>$</w:t>
            </w:r>
            <w:r w:rsidR="004C1F08" w:rsidRPr="004C1F08">
              <w:rPr>
                <w:color w:val="000000"/>
                <w:spacing w:val="53"/>
                <w:szCs w:val="20"/>
                <w:shd w:val="solid" w:color="000000" w:fill="000000"/>
                <w:fitText w:val="330" w:id="-663599359"/>
                <w14:textFill>
                  <w14:solidFill>
                    <w14:srgbClr w14:val="000000">
                      <w14:alpha w14:val="100000"/>
                    </w14:srgbClr>
                  </w14:solidFill>
                </w14:textFill>
              </w:rPr>
              <w:t>|||</w:t>
            </w:r>
            <w:r w:rsidR="004C1F08" w:rsidRPr="004C1F08">
              <w:rPr>
                <w:color w:val="000000"/>
                <w:spacing w:val="1"/>
                <w:szCs w:val="20"/>
                <w:shd w:val="solid" w:color="000000" w:fill="000000"/>
                <w:fitText w:val="330" w:id="-663599359"/>
                <w14:textFill>
                  <w14:solidFill>
                    <w14:srgbClr w14:val="000000">
                      <w14:alpha w14:val="100000"/>
                    </w14:srgbClr>
                  </w14:solidFill>
                </w14:textFill>
              </w:rPr>
              <w:t>|</w:t>
            </w:r>
            <w:r w:rsidR="006C2A83">
              <w:rPr>
                <w:szCs w:val="20"/>
                <w:vertAlign w:val="superscript"/>
              </w:rPr>
              <w:t>1</w:t>
            </w:r>
          </w:p>
        </w:tc>
        <w:tc>
          <w:tcPr>
            <w:tcW w:w="454" w:type="pct"/>
            <w:vAlign w:val="center"/>
          </w:tcPr>
          <w:p w14:paraId="19DF5D38" w14:textId="25D824CE" w:rsidR="00834079" w:rsidRPr="001F2532" w:rsidRDefault="004C1F08" w:rsidP="00834079">
            <w:pPr>
              <w:pStyle w:val="TableText0"/>
              <w:rPr>
                <w:i/>
                <w:iCs/>
                <w:szCs w:val="20"/>
              </w:rPr>
            </w:pPr>
            <w:r w:rsidRPr="004C1F08">
              <w:rPr>
                <w:color w:val="000000"/>
                <w:spacing w:val="53"/>
                <w:szCs w:val="20"/>
                <w:shd w:val="solid" w:color="000000" w:fill="000000"/>
                <w:fitText w:val="330" w:id="-663599358"/>
                <w14:textFill>
                  <w14:solidFill>
                    <w14:srgbClr w14:val="000000">
                      <w14:alpha w14:val="100000"/>
                    </w14:srgbClr>
                  </w14:solidFill>
                </w14:textFill>
              </w:rPr>
              <w:t>|||</w:t>
            </w:r>
            <w:r w:rsidRPr="004C1F08">
              <w:rPr>
                <w:color w:val="000000"/>
                <w:spacing w:val="1"/>
                <w:szCs w:val="20"/>
                <w:shd w:val="solid" w:color="000000" w:fill="000000"/>
                <w:fitText w:val="330" w:id="-663599358"/>
                <w14:textFill>
                  <w14:solidFill>
                    <w14:srgbClr w14:val="000000">
                      <w14:alpha w14:val="100000"/>
                    </w14:srgbClr>
                  </w14:solidFill>
                </w14:textFill>
              </w:rPr>
              <w:t>|</w:t>
            </w:r>
            <w:r w:rsidR="00834079" w:rsidRPr="001F2532">
              <w:rPr>
                <w:rFonts w:cs="Calibri"/>
                <w:i/>
                <w:iCs/>
                <w:color w:val="000000"/>
                <w:szCs w:val="20"/>
              </w:rPr>
              <w:t>%</w:t>
            </w:r>
          </w:p>
        </w:tc>
      </w:tr>
    </w:tbl>
    <w:p w14:paraId="3E02A244" w14:textId="4B73048A" w:rsidR="0045091A" w:rsidRDefault="00834079" w:rsidP="0045091A">
      <w:pPr>
        <w:pStyle w:val="TableFigureFooter"/>
        <w:spacing w:after="0"/>
        <w:jc w:val="both"/>
        <w:rPr>
          <w:rFonts w:cstheme="minorHAnsi"/>
          <w:bCs/>
          <w:i/>
          <w:iCs/>
          <w:szCs w:val="18"/>
        </w:rPr>
      </w:pPr>
      <w:r w:rsidRPr="001B5CFE">
        <w:rPr>
          <w:rFonts w:eastAsiaTheme="minorHAnsi"/>
        </w:rPr>
        <w:t>Source: Table 4.15, p214 of the submission.</w:t>
      </w:r>
      <w:r w:rsidR="006E5396" w:rsidRPr="001B5CFE">
        <w:rPr>
          <w:rFonts w:eastAsiaTheme="minorHAnsi"/>
        </w:rPr>
        <w:t xml:space="preserve"> Italics – corrected during the evaluation to refer to difference versus base case estimate.</w:t>
      </w:r>
    </w:p>
    <w:p w14:paraId="6EB21D57" w14:textId="2FDFF68F" w:rsidR="001747FE" w:rsidRPr="00F56B14" w:rsidRDefault="001747FE" w:rsidP="001747FE">
      <w:pPr>
        <w:jc w:val="left"/>
        <w:rPr>
          <w:rFonts w:ascii="Arial Narrow" w:hAnsi="Arial Narrow" w:cstheme="minorHAnsi"/>
          <w:bCs/>
          <w:i/>
          <w:iCs/>
          <w:sz w:val="18"/>
          <w:szCs w:val="18"/>
        </w:rPr>
      </w:pPr>
      <w:r w:rsidRPr="00F56B14">
        <w:rPr>
          <w:rFonts w:ascii="Arial Narrow" w:hAnsi="Arial Narrow" w:cstheme="minorHAnsi"/>
          <w:bCs/>
          <w:i/>
          <w:iCs/>
          <w:sz w:val="18"/>
          <w:szCs w:val="18"/>
        </w:rPr>
        <w:t xml:space="preserve">The redacted values correspond to the following ranges: </w:t>
      </w:r>
    </w:p>
    <w:p w14:paraId="10E1080A" w14:textId="604D7DB8" w:rsidR="00B53026" w:rsidRPr="00A551A5" w:rsidRDefault="001747FE" w:rsidP="006C2A83">
      <w:pPr>
        <w:pStyle w:val="TableText0"/>
        <w:spacing w:after="120"/>
        <w:rPr>
          <w:color w:val="0066FF"/>
        </w:rPr>
      </w:pPr>
      <w:r w:rsidRPr="00792EB7">
        <w:rPr>
          <w:rFonts w:cstheme="minorHAnsi"/>
          <w:i/>
          <w:iCs/>
          <w:sz w:val="18"/>
          <w:szCs w:val="18"/>
          <w:vertAlign w:val="superscript"/>
        </w:rPr>
        <w:t>1</w:t>
      </w:r>
      <w:r w:rsidRPr="00792EB7">
        <w:rPr>
          <w:rFonts w:cstheme="minorHAnsi"/>
          <w:i/>
          <w:iCs/>
          <w:sz w:val="18"/>
          <w:szCs w:val="18"/>
        </w:rPr>
        <w:t xml:space="preserve"> </w:t>
      </w:r>
      <w:r w:rsidR="006C2A83" w:rsidRPr="006C2A83">
        <w:rPr>
          <w:rFonts w:cstheme="minorHAnsi"/>
          <w:i/>
          <w:iCs/>
          <w:sz w:val="18"/>
          <w:szCs w:val="18"/>
        </w:rPr>
        <w:t>$0 to &lt; $10 million</w:t>
      </w:r>
      <w:r w:rsidR="006C2A83" w:rsidRPr="006C2A83" w:rsidDel="00C918A9">
        <w:rPr>
          <w:rFonts w:cstheme="minorHAnsi"/>
          <w:i/>
          <w:iCs/>
          <w:sz w:val="18"/>
          <w:szCs w:val="18"/>
        </w:rPr>
        <w:t xml:space="preserve"> </w:t>
      </w:r>
    </w:p>
    <w:p w14:paraId="6015A395" w14:textId="2EDB6A4E" w:rsidR="00576972" w:rsidRPr="0098262F" w:rsidRDefault="00576972" w:rsidP="00606FBA">
      <w:pPr>
        <w:pStyle w:val="4-SubsectionHeading"/>
      </w:pPr>
      <w:bookmarkStart w:id="65" w:name="_Toc22897649"/>
      <w:bookmarkStart w:id="66" w:name="_Toc192760460"/>
      <w:r w:rsidRPr="0098262F">
        <w:t>Financial Management – Risk Sharing Arrangements</w:t>
      </w:r>
      <w:bookmarkEnd w:id="65"/>
      <w:bookmarkEnd w:id="66"/>
    </w:p>
    <w:p w14:paraId="1F99625A" w14:textId="70995C89" w:rsidR="00862250" w:rsidRDefault="00207612" w:rsidP="006C2A83">
      <w:pPr>
        <w:pStyle w:val="3-BodyText"/>
      </w:pPr>
      <w:r>
        <w:t xml:space="preserve">The submission did not propose a </w:t>
      </w:r>
      <w:r w:rsidR="0005519C">
        <w:t>r</w:t>
      </w:r>
      <w:r>
        <w:t>is</w:t>
      </w:r>
      <w:r w:rsidR="0005519C">
        <w:t xml:space="preserve">k sharing arrangement. </w:t>
      </w:r>
    </w:p>
    <w:p w14:paraId="7BD3602B" w14:textId="2A965B37" w:rsidR="00A140EE" w:rsidRDefault="00733AFE" w:rsidP="006C2A83">
      <w:pPr>
        <w:spacing w:before="120" w:after="120"/>
        <w:ind w:firstLine="709"/>
      </w:pPr>
      <w:bookmarkStart w:id="67" w:name="_Hlk76375324"/>
      <w:r w:rsidRPr="00C33D30">
        <w:rPr>
          <w:rFonts w:asciiTheme="minorHAnsi" w:hAnsiTheme="minorHAnsi"/>
          <w:i/>
        </w:rPr>
        <w:t>For more detail on PBAC’s view, see section 7 PBAC outcome.</w:t>
      </w:r>
      <w:bookmarkEnd w:id="67"/>
    </w:p>
    <w:p w14:paraId="00C03935" w14:textId="77777777" w:rsidR="00A140EE" w:rsidRPr="0090150D" w:rsidRDefault="00A140EE" w:rsidP="00A140EE">
      <w:pPr>
        <w:pStyle w:val="2-SectionHeading"/>
        <w:numPr>
          <w:ilvl w:val="0"/>
          <w:numId w:val="1"/>
        </w:numPr>
      </w:pPr>
      <w:bookmarkStart w:id="68" w:name="_Hlk76381249"/>
      <w:bookmarkStart w:id="69" w:name="_Hlk76377955"/>
      <w:r w:rsidRPr="0090150D">
        <w:t>PBAC Outcome</w:t>
      </w:r>
    </w:p>
    <w:p w14:paraId="5BC6157F" w14:textId="2B1FBA73" w:rsidR="00E401D7" w:rsidRDefault="00E401D7" w:rsidP="00A140EE">
      <w:pPr>
        <w:widowControl w:val="0"/>
        <w:numPr>
          <w:ilvl w:val="1"/>
          <w:numId w:val="1"/>
        </w:numPr>
        <w:spacing w:after="120"/>
        <w:rPr>
          <w:rFonts w:asciiTheme="minorHAnsi" w:hAnsiTheme="minorHAnsi"/>
          <w:snapToGrid w:val="0"/>
          <w:lang w:val="en-GB"/>
        </w:rPr>
      </w:pPr>
      <w:bookmarkStart w:id="70" w:name="_Hlk111543188"/>
      <w:r w:rsidRPr="00E401D7">
        <w:rPr>
          <w:rFonts w:asciiTheme="minorHAnsi" w:hAnsiTheme="minorHAnsi"/>
          <w:snapToGrid w:val="0"/>
          <w:lang w:val="en-GB"/>
        </w:rPr>
        <w:t xml:space="preserve">The PBAC recommended the General Schedule, Authority Required (in writing) listing of bimekizumab for the treatment of moderate to severe hidradenitis suppurativa (HS). The PBAC's recommendation was based on, among other matters, its assessment </w:t>
      </w:r>
      <w:r w:rsidR="005971F8">
        <w:rPr>
          <w:rFonts w:asciiTheme="minorHAnsi" w:hAnsiTheme="minorHAnsi"/>
          <w:snapToGrid w:val="0"/>
          <w:lang w:val="en-GB"/>
        </w:rPr>
        <w:t xml:space="preserve">that </w:t>
      </w:r>
      <w:r w:rsidRPr="00E401D7">
        <w:rPr>
          <w:rFonts w:asciiTheme="minorHAnsi" w:hAnsiTheme="minorHAnsi"/>
          <w:snapToGrid w:val="0"/>
          <w:lang w:val="en-GB"/>
        </w:rPr>
        <w:t xml:space="preserve">the cost effectiveness of bimekizumab would be acceptable if it were cost </w:t>
      </w:r>
      <w:r w:rsidRPr="00E401D7">
        <w:rPr>
          <w:rFonts w:asciiTheme="minorHAnsi" w:hAnsiTheme="minorHAnsi"/>
          <w:snapToGrid w:val="0"/>
          <w:lang w:val="en-GB"/>
        </w:rPr>
        <w:lastRenderedPageBreak/>
        <w:t xml:space="preserve">minimised to the least costly alternative therapy of either secukinumab or adalimumab. </w:t>
      </w:r>
      <w:bookmarkEnd w:id="70"/>
    </w:p>
    <w:p w14:paraId="1A981726" w14:textId="67B23D43" w:rsidR="00E401D7" w:rsidRDefault="0045623C" w:rsidP="00A140EE">
      <w:pPr>
        <w:widowControl w:val="0"/>
        <w:numPr>
          <w:ilvl w:val="1"/>
          <w:numId w:val="1"/>
        </w:numPr>
        <w:spacing w:after="120"/>
        <w:rPr>
          <w:rFonts w:asciiTheme="minorHAnsi" w:hAnsiTheme="minorHAnsi"/>
          <w:snapToGrid w:val="0"/>
          <w:lang w:val="en-GB"/>
        </w:rPr>
      </w:pPr>
      <w:r w:rsidRPr="0045623C">
        <w:rPr>
          <w:rFonts w:asciiTheme="minorHAnsi" w:hAnsiTheme="minorHAnsi"/>
          <w:snapToGrid w:val="0"/>
          <w:lang w:val="en-GB"/>
        </w:rPr>
        <w:t xml:space="preserve">The PBAC considered the </w:t>
      </w:r>
      <w:proofErr w:type="spellStart"/>
      <w:r w:rsidRPr="0045623C">
        <w:rPr>
          <w:rFonts w:asciiTheme="minorHAnsi" w:hAnsiTheme="minorHAnsi"/>
          <w:snapToGrid w:val="0"/>
          <w:lang w:val="en-GB"/>
        </w:rPr>
        <w:t>equi</w:t>
      </w:r>
      <w:proofErr w:type="spellEnd"/>
      <w:r w:rsidRPr="0045623C">
        <w:rPr>
          <w:rFonts w:asciiTheme="minorHAnsi" w:hAnsiTheme="minorHAnsi"/>
          <w:snapToGrid w:val="0"/>
          <w:lang w:val="en-GB"/>
        </w:rPr>
        <w:t>-effective doses were:</w:t>
      </w:r>
    </w:p>
    <w:p w14:paraId="56BBDE1F" w14:textId="34525503" w:rsidR="0045623C" w:rsidRPr="0045623C" w:rsidRDefault="0045623C" w:rsidP="006C2A83">
      <w:pPr>
        <w:pStyle w:val="ListParagraph"/>
        <w:widowControl w:val="0"/>
        <w:numPr>
          <w:ilvl w:val="0"/>
          <w:numId w:val="49"/>
        </w:numPr>
        <w:ind w:left="1134"/>
        <w:jc w:val="both"/>
        <w:rPr>
          <w:lang w:val="en-GB"/>
        </w:rPr>
      </w:pPr>
      <w:r w:rsidRPr="0045623C">
        <w:rPr>
          <w:lang w:val="en-GB"/>
        </w:rPr>
        <w:t>Bimekizumab 320 mg given either once every 2 weeks or once every 4 weeks for 16 weeks, and 320 mg every four weeks thereafter (total 26 or 30 doses over 2</w:t>
      </w:r>
      <w:r w:rsidR="006C2A83">
        <w:rPr>
          <w:lang w:val="en-GB"/>
        </w:rPr>
        <w:t> </w:t>
      </w:r>
      <w:r w:rsidRPr="0045623C">
        <w:rPr>
          <w:lang w:val="en-GB"/>
        </w:rPr>
        <w:t xml:space="preserve">years); </w:t>
      </w:r>
    </w:p>
    <w:p w14:paraId="77654B59" w14:textId="4C43D608" w:rsidR="0045623C" w:rsidRPr="0045623C" w:rsidRDefault="0045623C" w:rsidP="006C2A83">
      <w:pPr>
        <w:pStyle w:val="ListParagraph"/>
        <w:widowControl w:val="0"/>
        <w:numPr>
          <w:ilvl w:val="0"/>
          <w:numId w:val="49"/>
        </w:numPr>
        <w:ind w:left="1134"/>
        <w:jc w:val="both"/>
        <w:rPr>
          <w:lang w:val="en-GB"/>
        </w:rPr>
      </w:pPr>
      <w:r w:rsidRPr="0045623C">
        <w:rPr>
          <w:lang w:val="en-GB"/>
        </w:rPr>
        <w:t>Secukinumab 300 mg given at weeks 0, 1, 2, 3, 4, followed by 300 mg given every 2 or 4 weeks; and</w:t>
      </w:r>
    </w:p>
    <w:p w14:paraId="79E0C309" w14:textId="556F0791" w:rsidR="0045623C" w:rsidRPr="0045623C" w:rsidRDefault="0045623C" w:rsidP="006C2A83">
      <w:pPr>
        <w:pStyle w:val="ListParagraph"/>
        <w:widowControl w:val="0"/>
        <w:numPr>
          <w:ilvl w:val="0"/>
          <w:numId w:val="49"/>
        </w:numPr>
        <w:ind w:left="1134"/>
        <w:jc w:val="both"/>
        <w:rPr>
          <w:lang w:val="en-GB"/>
        </w:rPr>
      </w:pPr>
      <w:r w:rsidRPr="0045623C">
        <w:rPr>
          <w:lang w:val="en-GB"/>
        </w:rPr>
        <w:t>Adalimumab 80 mg given every 2 weeks, with an additional dose at initiation.</w:t>
      </w:r>
    </w:p>
    <w:p w14:paraId="029CD41C" w14:textId="79437F4F" w:rsidR="007507A0" w:rsidRDefault="007507A0" w:rsidP="00A140EE">
      <w:pPr>
        <w:widowControl w:val="0"/>
        <w:numPr>
          <w:ilvl w:val="1"/>
          <w:numId w:val="1"/>
        </w:numPr>
        <w:spacing w:after="120"/>
        <w:rPr>
          <w:rFonts w:asciiTheme="minorHAnsi" w:hAnsiTheme="minorHAnsi"/>
          <w:snapToGrid w:val="0"/>
          <w:lang w:val="en-GB"/>
        </w:rPr>
      </w:pPr>
      <w:r w:rsidRPr="007507A0">
        <w:rPr>
          <w:rFonts w:asciiTheme="minorHAnsi" w:hAnsiTheme="minorHAnsi"/>
          <w:snapToGrid w:val="0"/>
          <w:lang w:val="en-GB"/>
        </w:rPr>
        <w:t xml:space="preserve">The PBAC acknowledged HS is a severe and debilitating condition that has a significant impact on quality of life and considered there remained a moderate to high clinical need for additional effective therapies. The Committee welcomed the input from individuals, health professionals and organisations that described HS as 'hell on earth' and highlighted the pain, anxiety and isolating nature of the condition, the stigma arising from wounds and repeat surgeries and the impacts of disease flares, as well as reiterating that current treatments are only partially </w:t>
      </w:r>
      <w:r w:rsidR="00803ECD" w:rsidRPr="007507A0">
        <w:rPr>
          <w:rFonts w:asciiTheme="minorHAnsi" w:hAnsiTheme="minorHAnsi"/>
          <w:snapToGrid w:val="0"/>
          <w:lang w:val="en-GB"/>
        </w:rPr>
        <w:t>effective,</w:t>
      </w:r>
      <w:r w:rsidRPr="007507A0">
        <w:rPr>
          <w:rFonts w:asciiTheme="minorHAnsi" w:hAnsiTheme="minorHAnsi"/>
          <w:snapToGrid w:val="0"/>
          <w:lang w:val="en-GB"/>
        </w:rPr>
        <w:t xml:space="preserve"> and not all patients respond. The PBAC </w:t>
      </w:r>
      <w:r w:rsidR="002811BA">
        <w:rPr>
          <w:rFonts w:asciiTheme="minorHAnsi" w:hAnsiTheme="minorHAnsi"/>
          <w:snapToGrid w:val="0"/>
          <w:lang w:val="en-GB"/>
        </w:rPr>
        <w:t xml:space="preserve">acknowledged </w:t>
      </w:r>
      <w:r w:rsidRPr="007507A0">
        <w:rPr>
          <w:rFonts w:asciiTheme="minorHAnsi" w:hAnsiTheme="minorHAnsi"/>
          <w:snapToGrid w:val="0"/>
          <w:lang w:val="en-GB"/>
        </w:rPr>
        <w:t xml:space="preserve">that additional treatment options would be beneficial to </w:t>
      </w:r>
      <w:r w:rsidR="00803ECD" w:rsidRPr="007507A0">
        <w:rPr>
          <w:rFonts w:asciiTheme="minorHAnsi" w:hAnsiTheme="minorHAnsi"/>
          <w:snapToGrid w:val="0"/>
          <w:lang w:val="en-GB"/>
        </w:rPr>
        <w:t>patients</w:t>
      </w:r>
      <w:r w:rsidR="002811BA">
        <w:rPr>
          <w:rFonts w:asciiTheme="minorHAnsi" w:hAnsiTheme="minorHAnsi"/>
          <w:snapToGrid w:val="0"/>
          <w:lang w:val="en-GB"/>
        </w:rPr>
        <w:t xml:space="preserve"> with HS.</w:t>
      </w:r>
      <w:r w:rsidR="00803ECD" w:rsidRPr="007507A0">
        <w:rPr>
          <w:rFonts w:asciiTheme="minorHAnsi" w:hAnsiTheme="minorHAnsi"/>
          <w:snapToGrid w:val="0"/>
          <w:lang w:val="en-GB"/>
        </w:rPr>
        <w:t xml:space="preserve"> </w:t>
      </w:r>
    </w:p>
    <w:p w14:paraId="798D108B" w14:textId="40E35A3C" w:rsidR="007507A0" w:rsidRDefault="007507A0" w:rsidP="00A140EE">
      <w:pPr>
        <w:widowControl w:val="0"/>
        <w:numPr>
          <w:ilvl w:val="1"/>
          <w:numId w:val="1"/>
        </w:numPr>
        <w:spacing w:after="120"/>
        <w:rPr>
          <w:rFonts w:asciiTheme="minorHAnsi" w:hAnsiTheme="minorHAnsi"/>
          <w:snapToGrid w:val="0"/>
        </w:rPr>
      </w:pPr>
      <w:r w:rsidRPr="3522C01C">
        <w:rPr>
          <w:rFonts w:asciiTheme="minorHAnsi" w:hAnsiTheme="minorHAnsi"/>
          <w:snapToGrid w:val="0"/>
        </w:rPr>
        <w:t xml:space="preserve">With respect to the </w:t>
      </w:r>
      <w:r w:rsidR="00803ECD" w:rsidRPr="3522C01C">
        <w:rPr>
          <w:rFonts w:asciiTheme="minorHAnsi" w:hAnsiTheme="minorHAnsi"/>
          <w:snapToGrid w:val="0"/>
        </w:rPr>
        <w:t>requested</w:t>
      </w:r>
      <w:r w:rsidRPr="3522C01C">
        <w:rPr>
          <w:rFonts w:asciiTheme="minorHAnsi" w:hAnsiTheme="minorHAnsi"/>
          <w:snapToGrid w:val="0"/>
        </w:rPr>
        <w:t xml:space="preserve"> listing and restriction, the PBAC considered the listing should be aligned with that of adalimumab and secukinumab, including prior antibiotics, abscess and nodule counts,</w:t>
      </w:r>
      <w:r w:rsidR="008375E1" w:rsidRPr="3522C01C">
        <w:rPr>
          <w:rFonts w:asciiTheme="minorHAnsi" w:hAnsiTheme="minorHAnsi"/>
          <w:snapToGrid w:val="0"/>
        </w:rPr>
        <w:t xml:space="preserve"> remain age agnostic,</w:t>
      </w:r>
      <w:r w:rsidRPr="3522C01C">
        <w:rPr>
          <w:rFonts w:asciiTheme="minorHAnsi" w:hAnsiTheme="minorHAnsi"/>
          <w:snapToGrid w:val="0"/>
        </w:rPr>
        <w:t xml:space="preserve"> with quantities and repeats to achieve the last dose in the initial treatment phase at 16 weeks (at either the 2-weekly or 4-weekly dosing schedule), with the continuing listing to provide for up to 6 months treatment based on maintenance dosing at 4-weekly intervals</w:t>
      </w:r>
      <w:r w:rsidR="00F70FE3" w:rsidRPr="3522C01C">
        <w:rPr>
          <w:rFonts w:asciiTheme="minorHAnsi" w:hAnsiTheme="minorHAnsi"/>
          <w:snapToGrid w:val="0"/>
        </w:rPr>
        <w:t xml:space="preserve"> (a.k.a. Q2W/Q4W or Q4W)</w:t>
      </w:r>
      <w:r w:rsidRPr="3522C01C">
        <w:rPr>
          <w:rFonts w:asciiTheme="minorHAnsi" w:hAnsiTheme="minorHAnsi"/>
          <w:snapToGrid w:val="0"/>
        </w:rPr>
        <w:t>.</w:t>
      </w:r>
      <w:r w:rsidR="00F04181" w:rsidRPr="3522C01C">
        <w:rPr>
          <w:rFonts w:asciiTheme="minorHAnsi" w:hAnsiTheme="minorHAnsi"/>
          <w:snapToGrid w:val="0"/>
        </w:rPr>
        <w:t xml:space="preserve"> The Committee noted the TGA registration included </w:t>
      </w:r>
      <w:r w:rsidR="0046553F" w:rsidRPr="3522C01C">
        <w:rPr>
          <w:rFonts w:asciiTheme="minorHAnsi" w:hAnsiTheme="minorHAnsi"/>
          <w:snapToGrid w:val="0"/>
        </w:rPr>
        <w:t xml:space="preserve">the Q2W dosing option for the first 16 weeks for patients who require rapid symptom control and therefore considered it was appropriate to </w:t>
      </w:r>
      <w:r w:rsidR="00642350" w:rsidRPr="3522C01C">
        <w:rPr>
          <w:rFonts w:asciiTheme="minorHAnsi" w:hAnsiTheme="minorHAnsi"/>
          <w:snapToGrid w:val="0"/>
        </w:rPr>
        <w:t>permit</w:t>
      </w:r>
      <w:r w:rsidR="0046553F" w:rsidRPr="3522C01C">
        <w:rPr>
          <w:rFonts w:asciiTheme="minorHAnsi" w:hAnsiTheme="minorHAnsi"/>
          <w:snapToGrid w:val="0"/>
        </w:rPr>
        <w:t xml:space="preserve"> this dosing option in the initial treatment phase.</w:t>
      </w:r>
      <w:r w:rsidR="005D3262" w:rsidRPr="3522C01C">
        <w:rPr>
          <w:rFonts w:asciiTheme="minorHAnsi" w:hAnsiTheme="minorHAnsi"/>
          <w:snapToGrid w:val="0"/>
        </w:rPr>
        <w:t xml:space="preserve"> </w:t>
      </w:r>
      <w:r w:rsidR="002D793A" w:rsidRPr="3522C01C">
        <w:rPr>
          <w:rFonts w:asciiTheme="minorHAnsi" w:hAnsiTheme="minorHAnsi"/>
          <w:snapToGrid w:val="0"/>
        </w:rPr>
        <w:t>The</w:t>
      </w:r>
      <w:r w:rsidR="00F97506" w:rsidRPr="3522C01C">
        <w:rPr>
          <w:rFonts w:asciiTheme="minorHAnsi" w:hAnsiTheme="minorHAnsi"/>
          <w:snapToGrid w:val="0"/>
        </w:rPr>
        <w:t xml:space="preserve"> PBAC </w:t>
      </w:r>
      <w:r w:rsidR="00AD6A02" w:rsidRPr="3522C01C">
        <w:rPr>
          <w:rFonts w:asciiTheme="minorHAnsi" w:hAnsiTheme="minorHAnsi"/>
          <w:snapToGrid w:val="0"/>
        </w:rPr>
        <w:t>also considered it reasonable</w:t>
      </w:r>
      <w:r w:rsidR="00203F58" w:rsidRPr="3522C01C">
        <w:rPr>
          <w:rFonts w:asciiTheme="minorHAnsi" w:hAnsiTheme="minorHAnsi"/>
          <w:snapToGrid w:val="0"/>
        </w:rPr>
        <w:t xml:space="preserve"> for the </w:t>
      </w:r>
      <w:r w:rsidR="002D793A" w:rsidRPr="3522C01C">
        <w:rPr>
          <w:rFonts w:asciiTheme="minorHAnsi" w:hAnsiTheme="minorHAnsi"/>
          <w:snapToGrid w:val="0"/>
        </w:rPr>
        <w:t>assessment of response timeframe</w:t>
      </w:r>
      <w:r w:rsidR="00A216CD" w:rsidRPr="3522C01C">
        <w:rPr>
          <w:rFonts w:asciiTheme="minorHAnsi" w:hAnsiTheme="minorHAnsi"/>
          <w:snapToGrid w:val="0"/>
        </w:rPr>
        <w:t xml:space="preserve"> </w:t>
      </w:r>
      <w:r w:rsidR="00203F58" w:rsidRPr="3522C01C">
        <w:rPr>
          <w:rFonts w:asciiTheme="minorHAnsi" w:hAnsiTheme="minorHAnsi"/>
          <w:snapToGrid w:val="0"/>
        </w:rPr>
        <w:t>to</w:t>
      </w:r>
      <w:r w:rsidR="00A216CD" w:rsidRPr="3522C01C">
        <w:rPr>
          <w:rFonts w:asciiTheme="minorHAnsi" w:hAnsiTheme="minorHAnsi"/>
          <w:snapToGrid w:val="0"/>
        </w:rPr>
        <w:t xml:space="preserve"> occur after a minimum of 12 weeks, </w:t>
      </w:r>
      <w:r w:rsidR="009E1613" w:rsidRPr="3522C01C">
        <w:rPr>
          <w:rFonts w:asciiTheme="minorHAnsi" w:hAnsiTheme="minorHAnsi"/>
          <w:snapToGrid w:val="0"/>
        </w:rPr>
        <w:t xml:space="preserve">to </w:t>
      </w:r>
      <w:r w:rsidR="004E2092" w:rsidRPr="3522C01C">
        <w:rPr>
          <w:rFonts w:asciiTheme="minorHAnsi" w:hAnsiTheme="minorHAnsi"/>
          <w:snapToGrid w:val="0"/>
        </w:rPr>
        <w:t xml:space="preserve">provide </w:t>
      </w:r>
      <w:r w:rsidR="00203F58" w:rsidRPr="3522C01C">
        <w:rPr>
          <w:rFonts w:asciiTheme="minorHAnsi" w:hAnsiTheme="minorHAnsi"/>
          <w:snapToGrid w:val="0"/>
        </w:rPr>
        <w:t xml:space="preserve">patients with </w:t>
      </w:r>
      <w:r w:rsidR="004E2092" w:rsidRPr="3522C01C">
        <w:rPr>
          <w:rFonts w:asciiTheme="minorHAnsi" w:hAnsiTheme="minorHAnsi"/>
          <w:snapToGrid w:val="0"/>
        </w:rPr>
        <w:t>4 weeks</w:t>
      </w:r>
      <w:r w:rsidR="00A7644E" w:rsidRPr="3522C01C">
        <w:rPr>
          <w:rFonts w:asciiTheme="minorHAnsi" w:hAnsiTheme="minorHAnsi"/>
          <w:snapToGrid w:val="0"/>
        </w:rPr>
        <w:t xml:space="preserve"> of treatment</w:t>
      </w:r>
      <w:r w:rsidR="00203F58" w:rsidRPr="3522C01C">
        <w:rPr>
          <w:rFonts w:asciiTheme="minorHAnsi" w:hAnsiTheme="minorHAnsi"/>
          <w:snapToGrid w:val="0"/>
        </w:rPr>
        <w:t xml:space="preserve"> (i.e., up until Week 16)</w:t>
      </w:r>
      <w:r w:rsidR="00A7644E" w:rsidRPr="3522C01C">
        <w:rPr>
          <w:rFonts w:asciiTheme="minorHAnsi" w:hAnsiTheme="minorHAnsi"/>
          <w:snapToGrid w:val="0"/>
        </w:rPr>
        <w:t xml:space="preserve"> </w:t>
      </w:r>
      <w:r w:rsidR="00203F58" w:rsidRPr="3522C01C">
        <w:rPr>
          <w:rFonts w:asciiTheme="minorHAnsi" w:hAnsiTheme="minorHAnsi"/>
          <w:snapToGrid w:val="0"/>
        </w:rPr>
        <w:t>before</w:t>
      </w:r>
      <w:r w:rsidR="00A7644E" w:rsidRPr="3522C01C">
        <w:rPr>
          <w:rFonts w:asciiTheme="minorHAnsi" w:hAnsiTheme="minorHAnsi"/>
          <w:snapToGrid w:val="0"/>
        </w:rPr>
        <w:t xml:space="preserve"> </w:t>
      </w:r>
      <w:r w:rsidR="00DA6801" w:rsidRPr="3522C01C">
        <w:rPr>
          <w:rFonts w:asciiTheme="minorHAnsi" w:hAnsiTheme="minorHAnsi"/>
          <w:snapToGrid w:val="0"/>
        </w:rPr>
        <w:t xml:space="preserve">their </w:t>
      </w:r>
      <w:r w:rsidR="009E1613" w:rsidRPr="3522C01C">
        <w:rPr>
          <w:rFonts w:asciiTheme="minorHAnsi" w:hAnsiTheme="minorHAnsi"/>
          <w:snapToGrid w:val="0"/>
        </w:rPr>
        <w:t>response is</w:t>
      </w:r>
      <w:r w:rsidR="00DA6801" w:rsidRPr="3522C01C">
        <w:rPr>
          <w:rFonts w:asciiTheme="minorHAnsi" w:hAnsiTheme="minorHAnsi"/>
          <w:snapToGrid w:val="0"/>
        </w:rPr>
        <w:t xml:space="preserve"> assessed. </w:t>
      </w:r>
      <w:r w:rsidR="00D41CC0" w:rsidRPr="3522C01C">
        <w:rPr>
          <w:rFonts w:asciiTheme="minorHAnsi" w:hAnsiTheme="minorHAnsi"/>
          <w:snapToGrid w:val="0"/>
        </w:rPr>
        <w:t xml:space="preserve">Noting </w:t>
      </w:r>
      <w:r w:rsidR="00BE071C" w:rsidRPr="3522C01C">
        <w:rPr>
          <w:rFonts w:asciiTheme="minorHAnsi" w:hAnsiTheme="minorHAnsi"/>
          <w:snapToGrid w:val="0"/>
        </w:rPr>
        <w:t xml:space="preserve">the addition of </w:t>
      </w:r>
      <w:r w:rsidR="007F351A" w:rsidRPr="3522C01C">
        <w:rPr>
          <w:rFonts w:asciiTheme="minorHAnsi" w:hAnsiTheme="minorHAnsi"/>
          <w:snapToGrid w:val="0"/>
        </w:rPr>
        <w:t xml:space="preserve">bimekizumab </w:t>
      </w:r>
      <w:r w:rsidR="001D1B70" w:rsidRPr="3522C01C">
        <w:rPr>
          <w:rFonts w:asciiTheme="minorHAnsi" w:hAnsiTheme="minorHAnsi"/>
          <w:snapToGrid w:val="0"/>
        </w:rPr>
        <w:t>to the PBS would mean</w:t>
      </w:r>
      <w:r w:rsidR="007F351A" w:rsidRPr="3522C01C">
        <w:rPr>
          <w:rFonts w:asciiTheme="minorHAnsi" w:hAnsiTheme="minorHAnsi"/>
          <w:snapToGrid w:val="0"/>
        </w:rPr>
        <w:t xml:space="preserve"> </w:t>
      </w:r>
      <w:r w:rsidR="00BE071C" w:rsidRPr="3522C01C">
        <w:rPr>
          <w:rFonts w:asciiTheme="minorHAnsi" w:hAnsiTheme="minorHAnsi"/>
          <w:snapToGrid w:val="0"/>
        </w:rPr>
        <w:t>a third biologic</w:t>
      </w:r>
      <w:r w:rsidR="001D1B70" w:rsidRPr="3522C01C">
        <w:rPr>
          <w:rFonts w:asciiTheme="minorHAnsi" w:hAnsiTheme="minorHAnsi"/>
          <w:snapToGrid w:val="0"/>
        </w:rPr>
        <w:t>al medicine</w:t>
      </w:r>
      <w:r w:rsidR="000E395B" w:rsidRPr="3522C01C">
        <w:rPr>
          <w:rFonts w:asciiTheme="minorHAnsi" w:hAnsiTheme="minorHAnsi"/>
          <w:snapToGrid w:val="0"/>
        </w:rPr>
        <w:t xml:space="preserve"> for the treatment of HS</w:t>
      </w:r>
      <w:r w:rsidR="00BE071C" w:rsidRPr="3522C01C">
        <w:rPr>
          <w:rFonts w:asciiTheme="minorHAnsi" w:hAnsiTheme="minorHAnsi"/>
          <w:snapToGrid w:val="0"/>
        </w:rPr>
        <w:t xml:space="preserve">, </w:t>
      </w:r>
      <w:r w:rsidR="009747D7" w:rsidRPr="3522C01C">
        <w:rPr>
          <w:rFonts w:asciiTheme="minorHAnsi" w:hAnsiTheme="minorHAnsi"/>
          <w:snapToGrid w:val="0"/>
        </w:rPr>
        <w:t xml:space="preserve">the PBAC </w:t>
      </w:r>
      <w:r w:rsidR="003F7586" w:rsidRPr="3522C01C">
        <w:rPr>
          <w:rFonts w:asciiTheme="minorHAnsi" w:hAnsiTheme="minorHAnsi"/>
          <w:snapToGrid w:val="0"/>
        </w:rPr>
        <w:t>found it</w:t>
      </w:r>
      <w:r w:rsidR="00D41CC0" w:rsidRPr="3522C01C">
        <w:rPr>
          <w:rFonts w:asciiTheme="minorHAnsi" w:hAnsiTheme="minorHAnsi"/>
          <w:snapToGrid w:val="0"/>
        </w:rPr>
        <w:t xml:space="preserve"> appropriate</w:t>
      </w:r>
      <w:r w:rsidR="00B14B8A" w:rsidRPr="3522C01C">
        <w:rPr>
          <w:rFonts w:asciiTheme="minorHAnsi" w:hAnsiTheme="minorHAnsi"/>
          <w:snapToGrid w:val="0"/>
        </w:rPr>
        <w:t xml:space="preserve"> for </w:t>
      </w:r>
      <w:r w:rsidR="00BE071C" w:rsidRPr="3522C01C">
        <w:rPr>
          <w:rFonts w:asciiTheme="minorHAnsi" w:hAnsiTheme="minorHAnsi"/>
          <w:snapToGrid w:val="0"/>
        </w:rPr>
        <w:t xml:space="preserve">patients </w:t>
      </w:r>
      <w:r w:rsidR="00B14B8A" w:rsidRPr="3522C01C">
        <w:rPr>
          <w:rFonts w:asciiTheme="minorHAnsi" w:hAnsiTheme="minorHAnsi"/>
          <w:snapToGrid w:val="0"/>
        </w:rPr>
        <w:t>to</w:t>
      </w:r>
      <w:r w:rsidR="00BE071C" w:rsidRPr="3522C01C">
        <w:rPr>
          <w:rFonts w:asciiTheme="minorHAnsi" w:hAnsiTheme="minorHAnsi"/>
          <w:snapToGrid w:val="0"/>
        </w:rPr>
        <w:t xml:space="preserve"> trial and fail, or cease to respond to each biologic once within the same treatment cycl</w:t>
      </w:r>
      <w:r w:rsidR="002F312E" w:rsidRPr="3522C01C">
        <w:rPr>
          <w:rFonts w:asciiTheme="minorHAnsi" w:hAnsiTheme="minorHAnsi"/>
          <w:snapToGrid w:val="0"/>
        </w:rPr>
        <w:t>e</w:t>
      </w:r>
      <w:r w:rsidR="002C4028" w:rsidRPr="3522C01C">
        <w:rPr>
          <w:rFonts w:asciiTheme="minorHAnsi" w:hAnsiTheme="minorHAnsi"/>
          <w:snapToGrid w:val="0"/>
        </w:rPr>
        <w:t>.</w:t>
      </w:r>
      <w:r w:rsidR="0014579D" w:rsidRPr="3522C01C">
        <w:rPr>
          <w:rFonts w:asciiTheme="minorHAnsi" w:hAnsiTheme="minorHAnsi"/>
          <w:snapToGrid w:val="0"/>
        </w:rPr>
        <w:t xml:space="preserve"> As such, a</w:t>
      </w:r>
      <w:r w:rsidR="002C4028" w:rsidRPr="3522C01C">
        <w:rPr>
          <w:rFonts w:asciiTheme="minorHAnsi" w:hAnsiTheme="minorHAnsi"/>
          <w:snapToGrid w:val="0"/>
        </w:rPr>
        <w:t xml:space="preserve"> </w:t>
      </w:r>
      <w:r w:rsidR="002F312E" w:rsidRPr="3522C01C">
        <w:rPr>
          <w:rFonts w:asciiTheme="minorHAnsi" w:hAnsiTheme="minorHAnsi"/>
          <w:snapToGrid w:val="0"/>
        </w:rPr>
        <w:t xml:space="preserve">new </w:t>
      </w:r>
      <w:r w:rsidR="002C4028" w:rsidRPr="3522C01C">
        <w:rPr>
          <w:rFonts w:asciiTheme="minorHAnsi" w:hAnsiTheme="minorHAnsi"/>
          <w:snapToGrid w:val="0"/>
        </w:rPr>
        <w:t xml:space="preserve">treatment </w:t>
      </w:r>
      <w:r w:rsidR="002F312E" w:rsidRPr="3522C01C">
        <w:rPr>
          <w:rFonts w:asciiTheme="minorHAnsi" w:hAnsiTheme="minorHAnsi"/>
          <w:snapToGrid w:val="0"/>
        </w:rPr>
        <w:t>cycle reset date</w:t>
      </w:r>
      <w:r w:rsidR="00B14B8A" w:rsidRPr="3522C01C">
        <w:rPr>
          <w:rFonts w:asciiTheme="minorHAnsi" w:hAnsiTheme="minorHAnsi"/>
          <w:snapToGrid w:val="0"/>
        </w:rPr>
        <w:t xml:space="preserve"> upon PBS listing</w:t>
      </w:r>
      <w:r w:rsidR="002C4028" w:rsidRPr="3522C01C">
        <w:rPr>
          <w:rFonts w:asciiTheme="minorHAnsi" w:hAnsiTheme="minorHAnsi"/>
          <w:snapToGrid w:val="0"/>
        </w:rPr>
        <w:t xml:space="preserve"> was </w:t>
      </w:r>
      <w:r w:rsidR="0014579D" w:rsidRPr="3522C01C">
        <w:rPr>
          <w:rFonts w:asciiTheme="minorHAnsi" w:hAnsiTheme="minorHAnsi"/>
          <w:snapToGrid w:val="0"/>
        </w:rPr>
        <w:t xml:space="preserve">also </w:t>
      </w:r>
      <w:r w:rsidR="002C4028" w:rsidRPr="3522C01C">
        <w:rPr>
          <w:rFonts w:asciiTheme="minorHAnsi" w:hAnsiTheme="minorHAnsi"/>
          <w:snapToGrid w:val="0"/>
        </w:rPr>
        <w:t xml:space="preserve">considered </w:t>
      </w:r>
      <w:r w:rsidR="0014579D" w:rsidRPr="3522C01C">
        <w:rPr>
          <w:rFonts w:asciiTheme="minorHAnsi" w:hAnsiTheme="minorHAnsi"/>
          <w:snapToGrid w:val="0"/>
        </w:rPr>
        <w:t>to be reasonable</w:t>
      </w:r>
      <w:r w:rsidR="002C4028" w:rsidRPr="3522C01C">
        <w:rPr>
          <w:rFonts w:asciiTheme="minorHAnsi" w:hAnsiTheme="minorHAnsi"/>
          <w:snapToGrid w:val="0"/>
        </w:rPr>
        <w:t>.</w:t>
      </w:r>
    </w:p>
    <w:p w14:paraId="6246F7D5" w14:textId="783C23E8" w:rsidR="000830AD" w:rsidRDefault="000830AD" w:rsidP="15E3544B">
      <w:pPr>
        <w:widowControl w:val="0"/>
        <w:numPr>
          <w:ilvl w:val="1"/>
          <w:numId w:val="1"/>
        </w:numPr>
        <w:spacing w:after="120"/>
        <w:rPr>
          <w:rFonts w:asciiTheme="minorHAnsi" w:hAnsiTheme="minorHAnsi"/>
          <w:snapToGrid w:val="0"/>
          <w:lang w:val="en-GB"/>
        </w:rPr>
      </w:pPr>
      <w:r w:rsidRPr="15E3544B">
        <w:rPr>
          <w:rFonts w:asciiTheme="minorHAnsi" w:hAnsiTheme="minorHAnsi"/>
          <w:snapToGrid w:val="0"/>
          <w:lang w:val="en-GB"/>
        </w:rPr>
        <w:t xml:space="preserve">The PBAC considered the nominated comparators of secukinumab (primary) and adalimumab (secondary) were appropriate. </w:t>
      </w:r>
    </w:p>
    <w:p w14:paraId="333CD350" w14:textId="6DD6764B" w:rsidR="00C605B4" w:rsidRPr="00C605B4" w:rsidRDefault="00C605B4" w:rsidP="00A140EE">
      <w:pPr>
        <w:widowControl w:val="0"/>
        <w:numPr>
          <w:ilvl w:val="1"/>
          <w:numId w:val="1"/>
        </w:numPr>
        <w:spacing w:after="120"/>
        <w:rPr>
          <w:rFonts w:asciiTheme="minorHAnsi" w:hAnsiTheme="minorHAnsi"/>
          <w:snapToGrid w:val="0"/>
          <w:lang w:val="en-GB"/>
        </w:rPr>
      </w:pPr>
      <w:r w:rsidRPr="00C605B4">
        <w:rPr>
          <w:rFonts w:asciiTheme="minorHAnsi" w:hAnsiTheme="minorHAnsi" w:cstheme="minorHAnsi"/>
          <w:lang w:val="en-GB"/>
        </w:rPr>
        <w:t xml:space="preserve">The PBAC noted the submission was supported by three randomised controlled trials, BE-HEARD I and II, and HS0001, and the comparator trials for secukinumab (SUNSHINE/SUNRISE) and adalimumab (PIONEER I/II and M10-467) having been previously seen in support of those submissions. The Committee noted the primary </w:t>
      </w:r>
      <w:r w:rsidRPr="00C605B4">
        <w:rPr>
          <w:rFonts w:asciiTheme="minorHAnsi" w:hAnsiTheme="minorHAnsi" w:cstheme="minorHAnsi"/>
          <w:lang w:val="en-GB"/>
        </w:rPr>
        <w:lastRenderedPageBreak/>
        <w:t>outcome for most of these trials was a 50% improvement in hidradenitis suppurativa clinical response (HiSCR50)</w:t>
      </w:r>
      <w:r w:rsidR="000D64DA">
        <w:rPr>
          <w:rFonts w:asciiTheme="minorHAnsi" w:hAnsiTheme="minorHAnsi" w:cstheme="minorHAnsi"/>
          <w:lang w:val="en-GB"/>
        </w:rPr>
        <w:t xml:space="preserve">. </w:t>
      </w:r>
      <w:r w:rsidR="00041194">
        <w:rPr>
          <w:rFonts w:asciiTheme="minorHAnsi" w:hAnsiTheme="minorHAnsi" w:cstheme="minorHAnsi"/>
          <w:lang w:val="en-GB"/>
        </w:rPr>
        <w:t xml:space="preserve">The PBAC noted </w:t>
      </w:r>
      <w:r w:rsidR="007D1DEC">
        <w:rPr>
          <w:rFonts w:asciiTheme="minorHAnsi" w:hAnsiTheme="minorHAnsi" w:cstheme="minorHAnsi"/>
          <w:lang w:val="en-GB"/>
        </w:rPr>
        <w:t>some of the adalimumab trials m</w:t>
      </w:r>
      <w:r w:rsidR="000B0703">
        <w:rPr>
          <w:rFonts w:asciiTheme="minorHAnsi" w:hAnsiTheme="minorHAnsi" w:cstheme="minorHAnsi"/>
          <w:lang w:val="en-GB"/>
        </w:rPr>
        <w:t>ay have occurred whilst the</w:t>
      </w:r>
      <w:r w:rsidRPr="00C605B4">
        <w:rPr>
          <w:rFonts w:asciiTheme="minorHAnsi" w:hAnsiTheme="minorHAnsi" w:cstheme="minorHAnsi"/>
          <w:lang w:val="en-GB"/>
        </w:rPr>
        <w:t xml:space="preserve"> </w:t>
      </w:r>
      <w:proofErr w:type="spellStart"/>
      <w:r w:rsidRPr="00C605B4">
        <w:rPr>
          <w:rFonts w:asciiTheme="minorHAnsi" w:hAnsiTheme="minorHAnsi" w:cstheme="minorHAnsi"/>
          <w:lang w:val="en-GB"/>
        </w:rPr>
        <w:t>HiSCR</w:t>
      </w:r>
      <w:proofErr w:type="spellEnd"/>
      <w:r w:rsidRPr="00C605B4">
        <w:rPr>
          <w:rFonts w:asciiTheme="minorHAnsi" w:hAnsiTheme="minorHAnsi" w:cstheme="minorHAnsi"/>
          <w:lang w:val="en-GB"/>
        </w:rPr>
        <w:t xml:space="preserve"> scale </w:t>
      </w:r>
      <w:r w:rsidR="000B0703">
        <w:rPr>
          <w:rFonts w:asciiTheme="minorHAnsi" w:hAnsiTheme="minorHAnsi" w:cstheme="minorHAnsi"/>
          <w:lang w:val="en-GB"/>
        </w:rPr>
        <w:t>was being</w:t>
      </w:r>
      <w:r w:rsidRPr="00C605B4">
        <w:rPr>
          <w:rFonts w:asciiTheme="minorHAnsi" w:hAnsiTheme="minorHAnsi" w:cstheme="minorHAnsi"/>
          <w:lang w:val="en-GB"/>
        </w:rPr>
        <w:t xml:space="preserve"> devised (paragraphs </w:t>
      </w:r>
      <w:r w:rsidR="00BB4582">
        <w:rPr>
          <w:rFonts w:asciiTheme="minorHAnsi" w:hAnsiTheme="minorHAnsi" w:cstheme="minorHAnsi"/>
          <w:lang w:val="en-GB"/>
        </w:rPr>
        <w:fldChar w:fldCharType="begin"/>
      </w:r>
      <w:r w:rsidR="00BB4582">
        <w:rPr>
          <w:rFonts w:asciiTheme="minorHAnsi" w:hAnsiTheme="minorHAnsi" w:cstheme="minorHAnsi"/>
          <w:lang w:val="en-GB"/>
        </w:rPr>
        <w:instrText xml:space="preserve"> REF _Ref198111734 \r \h </w:instrText>
      </w:r>
      <w:r w:rsidR="00BB4582">
        <w:rPr>
          <w:rFonts w:asciiTheme="minorHAnsi" w:hAnsiTheme="minorHAnsi" w:cstheme="minorHAnsi"/>
          <w:lang w:val="en-GB"/>
        </w:rPr>
      </w:r>
      <w:r w:rsidR="00BB4582">
        <w:rPr>
          <w:rFonts w:asciiTheme="minorHAnsi" w:hAnsiTheme="minorHAnsi" w:cstheme="minorHAnsi"/>
          <w:lang w:val="en-GB"/>
        </w:rPr>
        <w:fldChar w:fldCharType="separate"/>
      </w:r>
      <w:r w:rsidR="00184DE0">
        <w:rPr>
          <w:rFonts w:asciiTheme="minorHAnsi" w:hAnsiTheme="minorHAnsi" w:cstheme="minorHAnsi"/>
          <w:lang w:val="en-GB"/>
        </w:rPr>
        <w:t>6.28</w:t>
      </w:r>
      <w:r w:rsidR="00BB4582">
        <w:rPr>
          <w:rFonts w:asciiTheme="minorHAnsi" w:hAnsiTheme="minorHAnsi" w:cstheme="minorHAnsi"/>
          <w:lang w:val="en-GB"/>
        </w:rPr>
        <w:fldChar w:fldCharType="end"/>
      </w:r>
      <w:r w:rsidR="00BB4582">
        <w:rPr>
          <w:rFonts w:asciiTheme="minorHAnsi" w:hAnsiTheme="minorHAnsi" w:cstheme="minorHAnsi"/>
          <w:lang w:val="en-GB"/>
        </w:rPr>
        <w:t>-</w:t>
      </w:r>
      <w:r w:rsidR="00BB4582">
        <w:rPr>
          <w:rFonts w:asciiTheme="minorHAnsi" w:hAnsiTheme="minorHAnsi" w:cstheme="minorHAnsi"/>
          <w:lang w:val="en-GB"/>
        </w:rPr>
        <w:fldChar w:fldCharType="begin"/>
      </w:r>
      <w:r w:rsidR="00BB4582">
        <w:rPr>
          <w:rFonts w:asciiTheme="minorHAnsi" w:hAnsiTheme="minorHAnsi" w:cstheme="minorHAnsi"/>
          <w:lang w:val="en-GB"/>
        </w:rPr>
        <w:instrText xml:space="preserve"> REF _Ref198111735 \r \h </w:instrText>
      </w:r>
      <w:r w:rsidR="00BB4582">
        <w:rPr>
          <w:rFonts w:asciiTheme="minorHAnsi" w:hAnsiTheme="minorHAnsi" w:cstheme="minorHAnsi"/>
          <w:lang w:val="en-GB"/>
        </w:rPr>
      </w:r>
      <w:r w:rsidR="00BB4582">
        <w:rPr>
          <w:rFonts w:asciiTheme="minorHAnsi" w:hAnsiTheme="minorHAnsi" w:cstheme="minorHAnsi"/>
          <w:lang w:val="en-GB"/>
        </w:rPr>
        <w:fldChar w:fldCharType="separate"/>
      </w:r>
      <w:r w:rsidR="00184DE0">
        <w:rPr>
          <w:rFonts w:asciiTheme="minorHAnsi" w:hAnsiTheme="minorHAnsi" w:cstheme="minorHAnsi"/>
          <w:lang w:val="en-GB"/>
        </w:rPr>
        <w:t>6.29</w:t>
      </w:r>
      <w:r w:rsidR="00BB4582">
        <w:rPr>
          <w:rFonts w:asciiTheme="minorHAnsi" w:hAnsiTheme="minorHAnsi" w:cstheme="minorHAnsi"/>
          <w:lang w:val="en-GB"/>
        </w:rPr>
        <w:fldChar w:fldCharType="end"/>
      </w:r>
      <w:r w:rsidR="00A36C85">
        <w:rPr>
          <w:rFonts w:asciiTheme="minorHAnsi" w:hAnsiTheme="minorHAnsi" w:cstheme="minorHAnsi"/>
          <w:lang w:val="en-GB"/>
        </w:rPr>
        <w:t xml:space="preserve"> </w:t>
      </w:r>
      <w:r w:rsidRPr="00C605B4">
        <w:rPr>
          <w:rFonts w:asciiTheme="minorHAnsi" w:hAnsiTheme="minorHAnsi" w:cstheme="minorHAnsi"/>
          <w:lang w:val="en-GB"/>
        </w:rPr>
        <w:t xml:space="preserve">refer) </w:t>
      </w:r>
      <w:r w:rsidR="000B0703">
        <w:rPr>
          <w:rFonts w:asciiTheme="minorHAnsi" w:hAnsiTheme="minorHAnsi" w:cstheme="minorHAnsi"/>
          <w:lang w:val="en-GB"/>
        </w:rPr>
        <w:t xml:space="preserve">and considered that whilst this </w:t>
      </w:r>
      <w:r w:rsidR="00C87A19">
        <w:rPr>
          <w:rFonts w:asciiTheme="minorHAnsi" w:hAnsiTheme="minorHAnsi" w:cstheme="minorHAnsi"/>
          <w:lang w:val="en-GB"/>
        </w:rPr>
        <w:t>introduced some uncertainty</w:t>
      </w:r>
      <w:r w:rsidRPr="00C605B4">
        <w:rPr>
          <w:rFonts w:asciiTheme="minorHAnsi" w:hAnsiTheme="minorHAnsi" w:cstheme="minorHAnsi"/>
          <w:lang w:val="en-GB"/>
        </w:rPr>
        <w:t xml:space="preserve"> </w:t>
      </w:r>
      <w:r w:rsidR="00C87A19">
        <w:rPr>
          <w:rFonts w:asciiTheme="minorHAnsi" w:hAnsiTheme="minorHAnsi" w:cstheme="minorHAnsi"/>
          <w:lang w:val="en-GB"/>
        </w:rPr>
        <w:t>,</w:t>
      </w:r>
      <w:r w:rsidRPr="00C605B4">
        <w:rPr>
          <w:rFonts w:asciiTheme="minorHAnsi" w:hAnsiTheme="minorHAnsi" w:cstheme="minorHAnsi"/>
          <w:lang w:val="en-GB"/>
        </w:rPr>
        <w:t xml:space="preserve"> </w:t>
      </w:r>
      <w:r w:rsidR="00C87A19">
        <w:rPr>
          <w:rFonts w:asciiTheme="minorHAnsi" w:hAnsiTheme="minorHAnsi" w:cstheme="minorHAnsi"/>
          <w:lang w:val="en-GB"/>
        </w:rPr>
        <w:t>it would</w:t>
      </w:r>
      <w:r w:rsidR="00B07679">
        <w:rPr>
          <w:rFonts w:asciiTheme="minorHAnsi" w:hAnsiTheme="minorHAnsi" w:cstheme="minorHAnsi"/>
          <w:lang w:val="en-GB"/>
        </w:rPr>
        <w:t xml:space="preserve"> likely</w:t>
      </w:r>
      <w:r w:rsidRPr="00C605B4">
        <w:rPr>
          <w:rFonts w:asciiTheme="minorHAnsi" w:hAnsiTheme="minorHAnsi" w:cstheme="minorHAnsi"/>
          <w:lang w:val="en-GB"/>
        </w:rPr>
        <w:t xml:space="preserve"> not preclude an assessment of the comparative effectiveness of bimekizumab and adalimumab. The PBAC also noted the clinical effectiveness claims were supported primarily by indirect treatment comparisons using the available evidence. </w:t>
      </w:r>
    </w:p>
    <w:p w14:paraId="7D471BCD" w14:textId="77777777" w:rsidR="000E6073" w:rsidRDefault="00B27153" w:rsidP="00A140EE">
      <w:pPr>
        <w:widowControl w:val="0"/>
        <w:numPr>
          <w:ilvl w:val="1"/>
          <w:numId w:val="1"/>
        </w:numPr>
        <w:spacing w:after="120"/>
        <w:rPr>
          <w:rFonts w:asciiTheme="minorHAnsi" w:hAnsiTheme="minorHAnsi"/>
          <w:snapToGrid w:val="0"/>
          <w:lang w:val="en-GB"/>
        </w:rPr>
      </w:pPr>
      <w:r w:rsidRPr="00B27153">
        <w:rPr>
          <w:rFonts w:asciiTheme="minorHAnsi" w:hAnsiTheme="minorHAnsi"/>
          <w:snapToGrid w:val="0"/>
          <w:lang w:val="en-GB"/>
        </w:rPr>
        <w:t xml:space="preserve">With respect to comparative effectiveness, the PBAC noted the </w:t>
      </w:r>
      <w:r w:rsidR="00EF465E" w:rsidRPr="00B27153">
        <w:rPr>
          <w:rFonts w:asciiTheme="minorHAnsi" w:hAnsiTheme="minorHAnsi"/>
          <w:snapToGrid w:val="0"/>
          <w:lang w:val="en-GB"/>
        </w:rPr>
        <w:t>submission</w:t>
      </w:r>
      <w:r w:rsidR="00EF465E">
        <w:rPr>
          <w:rFonts w:asciiTheme="minorHAnsi" w:hAnsiTheme="minorHAnsi"/>
          <w:snapToGrid w:val="0"/>
          <w:lang w:val="en-GB"/>
        </w:rPr>
        <w:t xml:space="preserve"> </w:t>
      </w:r>
      <w:r w:rsidRPr="00B27153">
        <w:rPr>
          <w:rFonts w:asciiTheme="minorHAnsi" w:hAnsiTheme="minorHAnsi"/>
          <w:snapToGrid w:val="0"/>
          <w:lang w:val="en-GB"/>
        </w:rPr>
        <w:t>and subsequent responses discussed the effectiveness of bimekizumab (versus placebo) and described it as superior to secukinumab in both induction and maintenance therapy, and non-inferior to adalimumab in initial treatment but superior after 48 weeks' treatment. The PBAC considered the available data suggests HS is a difficult condition to treat, with HiSCR50 response rates to treatment of about 50% in BE HEARD I/</w:t>
      </w:r>
      <w:r w:rsidR="00EF465E" w:rsidRPr="00B27153">
        <w:rPr>
          <w:rFonts w:asciiTheme="minorHAnsi" w:hAnsiTheme="minorHAnsi"/>
          <w:snapToGrid w:val="0"/>
          <w:lang w:val="en-GB"/>
        </w:rPr>
        <w:t>II but</w:t>
      </w:r>
      <w:r w:rsidRPr="00B27153">
        <w:rPr>
          <w:rFonts w:asciiTheme="minorHAnsi" w:hAnsiTheme="minorHAnsi"/>
          <w:snapToGrid w:val="0"/>
          <w:lang w:val="en-GB"/>
        </w:rPr>
        <w:t xml:space="preserve"> also noted the relatively high placebo response rates (~20-30%) observed in the BE HEARD trials out to week 16 before patients switched to bimekizumab treatment. </w:t>
      </w:r>
    </w:p>
    <w:p w14:paraId="1C845CDA" w14:textId="6D5C2A94" w:rsidR="009A577F" w:rsidRDefault="00B27153" w:rsidP="00A140EE">
      <w:pPr>
        <w:widowControl w:val="0"/>
        <w:numPr>
          <w:ilvl w:val="1"/>
          <w:numId w:val="1"/>
        </w:numPr>
        <w:spacing w:after="120"/>
        <w:rPr>
          <w:rFonts w:asciiTheme="minorHAnsi" w:hAnsiTheme="minorHAnsi"/>
          <w:snapToGrid w:val="0"/>
          <w:lang w:val="en-GB"/>
        </w:rPr>
      </w:pPr>
      <w:r w:rsidRPr="00B27153">
        <w:rPr>
          <w:rFonts w:asciiTheme="minorHAnsi" w:hAnsiTheme="minorHAnsi"/>
          <w:snapToGrid w:val="0"/>
          <w:lang w:val="en-GB"/>
        </w:rPr>
        <w:t>Overall, the Committee noted the results of the BE HEARD trials supported a conclusion that bimekizumab is effective for the treatment of moderate to severe HS (</w:t>
      </w:r>
      <w:r w:rsidR="00EF465E" w:rsidRPr="00B27153">
        <w:rPr>
          <w:rFonts w:asciiTheme="minorHAnsi" w:hAnsiTheme="minorHAnsi"/>
          <w:snapToGrid w:val="0"/>
          <w:lang w:val="en-GB"/>
        </w:rPr>
        <w:t>Bayesi</w:t>
      </w:r>
      <w:r w:rsidR="00DA3C85">
        <w:rPr>
          <w:rFonts w:asciiTheme="minorHAnsi" w:hAnsiTheme="minorHAnsi"/>
          <w:snapToGrid w:val="0"/>
          <w:lang w:val="en-GB"/>
        </w:rPr>
        <w:t>an difference</w:t>
      </w:r>
      <w:r w:rsidRPr="00B27153">
        <w:rPr>
          <w:rFonts w:asciiTheme="minorHAnsi" w:hAnsiTheme="minorHAnsi"/>
          <w:snapToGrid w:val="0"/>
          <w:lang w:val="en-GB"/>
        </w:rPr>
        <w:t xml:space="preserve"> </w:t>
      </w:r>
      <w:r w:rsidR="00DA3C85">
        <w:rPr>
          <w:rFonts w:asciiTheme="minorHAnsi" w:hAnsiTheme="minorHAnsi"/>
          <w:snapToGrid w:val="0"/>
          <w:lang w:val="en-GB"/>
        </w:rPr>
        <w:t>(</w:t>
      </w:r>
      <w:r w:rsidRPr="00B27153">
        <w:rPr>
          <w:rFonts w:asciiTheme="minorHAnsi" w:hAnsiTheme="minorHAnsi"/>
          <w:snapToGrid w:val="0"/>
          <w:lang w:val="en-GB"/>
        </w:rPr>
        <w:t>95% CI</w:t>
      </w:r>
      <w:r w:rsidR="00DA3C85">
        <w:rPr>
          <w:rFonts w:asciiTheme="minorHAnsi" w:hAnsiTheme="minorHAnsi"/>
          <w:snapToGrid w:val="0"/>
          <w:lang w:val="en-GB"/>
        </w:rPr>
        <w:t>)</w:t>
      </w:r>
      <w:r w:rsidRPr="00B27153">
        <w:rPr>
          <w:rFonts w:asciiTheme="minorHAnsi" w:hAnsiTheme="minorHAnsi"/>
          <w:snapToGrid w:val="0"/>
          <w:lang w:val="en-GB"/>
        </w:rPr>
        <w:t xml:space="preserve"> for BE HEARD I of 18.1 (6.3, 30.0) and BE HEARD II of</w:t>
      </w:r>
      <w:r w:rsidR="000243F8">
        <w:rPr>
          <w:rFonts w:asciiTheme="minorHAnsi" w:hAnsiTheme="minorHAnsi"/>
          <w:snapToGrid w:val="0"/>
          <w:lang w:val="en-GB"/>
        </w:rPr>
        <w:t xml:space="preserve"> 19.6</w:t>
      </w:r>
      <w:r w:rsidR="00DA3C85">
        <w:rPr>
          <w:rFonts w:asciiTheme="minorHAnsi" w:hAnsiTheme="minorHAnsi"/>
          <w:snapToGrid w:val="0"/>
          <w:lang w:val="en-GB"/>
        </w:rPr>
        <w:t xml:space="preserve"> (7.5, 31.7))</w:t>
      </w:r>
      <w:r w:rsidRPr="00B27153">
        <w:rPr>
          <w:rFonts w:asciiTheme="minorHAnsi" w:hAnsiTheme="minorHAnsi"/>
          <w:snapToGrid w:val="0"/>
          <w:lang w:val="en-GB"/>
        </w:rPr>
        <w:t>.</w:t>
      </w:r>
      <w:r w:rsidR="00611051">
        <w:rPr>
          <w:rFonts w:asciiTheme="minorHAnsi" w:hAnsiTheme="minorHAnsi"/>
          <w:snapToGrid w:val="0"/>
          <w:lang w:val="en-GB"/>
        </w:rPr>
        <w:t xml:space="preserve"> The PBAC noted the results of the analyses for difference in dermatology quality of life (DLQI) and </w:t>
      </w:r>
      <w:r w:rsidR="00150A61">
        <w:rPr>
          <w:rFonts w:asciiTheme="minorHAnsi" w:hAnsiTheme="minorHAnsi"/>
          <w:snapToGrid w:val="0"/>
          <w:lang w:val="en-GB"/>
        </w:rPr>
        <w:t>least squares mean difference for wors</w:t>
      </w:r>
      <w:r w:rsidR="002A69BC">
        <w:rPr>
          <w:rFonts w:asciiTheme="minorHAnsi" w:hAnsiTheme="minorHAnsi"/>
          <w:snapToGrid w:val="0"/>
          <w:lang w:val="en-GB"/>
        </w:rPr>
        <w:t>t</w:t>
      </w:r>
      <w:r w:rsidR="00150A61">
        <w:rPr>
          <w:rFonts w:asciiTheme="minorHAnsi" w:hAnsiTheme="minorHAnsi"/>
          <w:snapToGrid w:val="0"/>
          <w:lang w:val="en-GB"/>
        </w:rPr>
        <w:t xml:space="preserve"> skin pain at 16 weeks favoured </w:t>
      </w:r>
      <w:proofErr w:type="spellStart"/>
      <w:r w:rsidR="00150A61">
        <w:rPr>
          <w:rFonts w:asciiTheme="minorHAnsi" w:hAnsiTheme="minorHAnsi"/>
          <w:snapToGrid w:val="0"/>
          <w:lang w:val="en-GB"/>
        </w:rPr>
        <w:t>bimekizumab</w:t>
      </w:r>
      <w:proofErr w:type="spellEnd"/>
      <w:r w:rsidR="00150A61">
        <w:rPr>
          <w:rFonts w:asciiTheme="minorHAnsi" w:hAnsiTheme="minorHAnsi"/>
          <w:snapToGrid w:val="0"/>
          <w:lang w:val="en-GB"/>
        </w:rPr>
        <w:t xml:space="preserve"> (</w:t>
      </w:r>
      <w:r w:rsidR="00BB4582">
        <w:rPr>
          <w:rFonts w:asciiTheme="minorHAnsi" w:hAnsiTheme="minorHAnsi"/>
          <w:snapToGrid w:val="0"/>
          <w:lang w:val="en-GB"/>
        </w:rPr>
        <w:fldChar w:fldCharType="begin"/>
      </w:r>
      <w:r w:rsidR="00BB4582">
        <w:rPr>
          <w:rFonts w:asciiTheme="minorHAnsi" w:hAnsiTheme="minorHAnsi"/>
          <w:snapToGrid w:val="0"/>
          <w:lang w:val="en-GB"/>
        </w:rPr>
        <w:instrText xml:space="preserve"> REF _Ref190946833 \h </w:instrText>
      </w:r>
      <w:r w:rsidR="00BB4582">
        <w:rPr>
          <w:rFonts w:asciiTheme="minorHAnsi" w:hAnsiTheme="minorHAnsi"/>
          <w:snapToGrid w:val="0"/>
          <w:lang w:val="en-GB"/>
        </w:rPr>
      </w:r>
      <w:r w:rsidR="00BB4582">
        <w:rPr>
          <w:rFonts w:asciiTheme="minorHAnsi" w:hAnsiTheme="minorHAnsi"/>
          <w:snapToGrid w:val="0"/>
          <w:lang w:val="en-GB"/>
        </w:rPr>
        <w:fldChar w:fldCharType="separate"/>
      </w:r>
      <w:r w:rsidR="00184DE0">
        <w:t xml:space="preserve">Table </w:t>
      </w:r>
      <w:r w:rsidR="00184DE0">
        <w:rPr>
          <w:noProof/>
        </w:rPr>
        <w:t>4</w:t>
      </w:r>
      <w:r w:rsidR="00BB4582">
        <w:rPr>
          <w:rFonts w:asciiTheme="minorHAnsi" w:hAnsiTheme="minorHAnsi"/>
          <w:snapToGrid w:val="0"/>
          <w:lang w:val="en-GB"/>
        </w:rPr>
        <w:fldChar w:fldCharType="end"/>
      </w:r>
      <w:r w:rsidR="00150A61">
        <w:rPr>
          <w:rFonts w:asciiTheme="minorHAnsi" w:hAnsiTheme="minorHAnsi"/>
          <w:snapToGrid w:val="0"/>
          <w:lang w:val="en-GB"/>
        </w:rPr>
        <w:t xml:space="preserve">). </w:t>
      </w:r>
      <w:r w:rsidR="00DC191D">
        <w:rPr>
          <w:rFonts w:asciiTheme="minorHAnsi" w:hAnsiTheme="minorHAnsi"/>
          <w:snapToGrid w:val="0"/>
          <w:lang w:val="en-GB"/>
        </w:rPr>
        <w:t xml:space="preserve">With respect to longer term outcomes, the </w:t>
      </w:r>
      <w:r w:rsidR="008E0F4D">
        <w:rPr>
          <w:rFonts w:asciiTheme="minorHAnsi" w:hAnsiTheme="minorHAnsi"/>
          <w:snapToGrid w:val="0"/>
          <w:lang w:val="en-GB"/>
        </w:rPr>
        <w:t xml:space="preserve">PBAC also noted the </w:t>
      </w:r>
      <w:r w:rsidR="004374AA">
        <w:rPr>
          <w:rFonts w:asciiTheme="minorHAnsi" w:hAnsiTheme="minorHAnsi"/>
          <w:snapToGrid w:val="0"/>
          <w:lang w:val="en-GB"/>
        </w:rPr>
        <w:t xml:space="preserve">results of the open label extension phases of BE HEARD I and II </w:t>
      </w:r>
      <w:r w:rsidR="00625082">
        <w:rPr>
          <w:rFonts w:asciiTheme="minorHAnsi" w:hAnsiTheme="minorHAnsi"/>
          <w:snapToGrid w:val="0"/>
          <w:lang w:val="en-GB"/>
        </w:rPr>
        <w:t xml:space="preserve">from week 16-48 </w:t>
      </w:r>
      <w:r w:rsidR="00BE4ED8">
        <w:rPr>
          <w:rFonts w:asciiTheme="minorHAnsi" w:hAnsiTheme="minorHAnsi"/>
          <w:snapToGrid w:val="0"/>
          <w:lang w:val="en-GB"/>
        </w:rPr>
        <w:t>supported a conclusion</w:t>
      </w:r>
      <w:r w:rsidR="0035645B">
        <w:rPr>
          <w:rFonts w:asciiTheme="minorHAnsi" w:hAnsiTheme="minorHAnsi"/>
          <w:snapToGrid w:val="0"/>
          <w:lang w:val="en-GB"/>
        </w:rPr>
        <w:t xml:space="preserve"> that</w:t>
      </w:r>
      <w:r w:rsidR="00BE4ED8">
        <w:rPr>
          <w:rFonts w:asciiTheme="minorHAnsi" w:hAnsiTheme="minorHAnsi"/>
          <w:snapToGrid w:val="0"/>
          <w:lang w:val="en-GB"/>
        </w:rPr>
        <w:t xml:space="preserve"> the effec</w:t>
      </w:r>
      <w:r w:rsidR="00C01A22">
        <w:rPr>
          <w:rFonts w:asciiTheme="minorHAnsi" w:hAnsiTheme="minorHAnsi"/>
          <w:snapToGrid w:val="0"/>
          <w:lang w:val="en-GB"/>
        </w:rPr>
        <w:t xml:space="preserve">tiveness of bimekizumab </w:t>
      </w:r>
      <w:r w:rsidR="002A69BC">
        <w:rPr>
          <w:rFonts w:asciiTheme="minorHAnsi" w:hAnsiTheme="minorHAnsi"/>
          <w:snapToGrid w:val="0"/>
          <w:lang w:val="en-GB"/>
        </w:rPr>
        <w:t>is likely maintained over this period</w:t>
      </w:r>
      <w:r w:rsidR="00771818">
        <w:rPr>
          <w:rFonts w:asciiTheme="minorHAnsi" w:hAnsiTheme="minorHAnsi"/>
          <w:snapToGrid w:val="0"/>
          <w:lang w:val="en-GB"/>
        </w:rPr>
        <w:t xml:space="preserve">. </w:t>
      </w:r>
    </w:p>
    <w:p w14:paraId="5FC3AEEA" w14:textId="63737A11" w:rsidR="00B27153" w:rsidRDefault="00B27153" w:rsidP="00A140EE">
      <w:pPr>
        <w:widowControl w:val="0"/>
        <w:numPr>
          <w:ilvl w:val="1"/>
          <w:numId w:val="1"/>
        </w:numPr>
        <w:spacing w:after="120"/>
        <w:rPr>
          <w:rFonts w:asciiTheme="minorHAnsi" w:hAnsiTheme="minorHAnsi"/>
          <w:snapToGrid w:val="0"/>
          <w:lang w:val="en-GB"/>
        </w:rPr>
      </w:pPr>
      <w:r w:rsidRPr="00B27153">
        <w:rPr>
          <w:rFonts w:asciiTheme="minorHAnsi" w:hAnsiTheme="minorHAnsi"/>
          <w:snapToGrid w:val="0"/>
          <w:lang w:val="en-GB"/>
        </w:rPr>
        <w:t>The PBAC noted the results of the indirect treatment comparisons in the submission</w:t>
      </w:r>
      <w:r w:rsidR="00FA70B9">
        <w:rPr>
          <w:rFonts w:asciiTheme="minorHAnsi" w:hAnsiTheme="minorHAnsi"/>
          <w:snapToGrid w:val="0"/>
          <w:lang w:val="en-GB"/>
        </w:rPr>
        <w:t xml:space="preserve"> and</w:t>
      </w:r>
      <w:r w:rsidR="000936D0">
        <w:rPr>
          <w:rFonts w:asciiTheme="minorHAnsi" w:hAnsiTheme="minorHAnsi"/>
          <w:snapToGrid w:val="0"/>
          <w:lang w:val="en-GB"/>
        </w:rPr>
        <w:t xml:space="preserve"> </w:t>
      </w:r>
      <w:r w:rsidR="00253FC0">
        <w:rPr>
          <w:rFonts w:asciiTheme="minorHAnsi" w:hAnsiTheme="minorHAnsi"/>
          <w:snapToGrid w:val="0"/>
          <w:lang w:val="en-GB"/>
        </w:rPr>
        <w:t>PSCR</w:t>
      </w:r>
      <w:r w:rsidR="000936D0">
        <w:rPr>
          <w:rFonts w:asciiTheme="minorHAnsi" w:hAnsiTheme="minorHAnsi"/>
          <w:snapToGrid w:val="0"/>
          <w:lang w:val="en-GB"/>
        </w:rPr>
        <w:t xml:space="preserve"> responses</w:t>
      </w:r>
      <w:r w:rsidRPr="00B27153">
        <w:rPr>
          <w:rFonts w:asciiTheme="minorHAnsi" w:hAnsiTheme="minorHAnsi"/>
          <w:snapToGrid w:val="0"/>
          <w:lang w:val="en-GB"/>
        </w:rPr>
        <w:t xml:space="preserve"> produced mixed results based on outcome</w:t>
      </w:r>
      <w:r w:rsidR="003405EE">
        <w:rPr>
          <w:rFonts w:asciiTheme="minorHAnsi" w:hAnsiTheme="minorHAnsi"/>
          <w:snapToGrid w:val="0"/>
          <w:lang w:val="en-GB"/>
        </w:rPr>
        <w:t>,</w:t>
      </w:r>
      <w:r w:rsidRPr="00B27153">
        <w:rPr>
          <w:rFonts w:asciiTheme="minorHAnsi" w:hAnsiTheme="minorHAnsi"/>
          <w:snapToGrid w:val="0"/>
          <w:lang w:val="en-GB"/>
        </w:rPr>
        <w:t xml:space="preserve"> statistical method</w:t>
      </w:r>
      <w:r w:rsidR="000936D0">
        <w:rPr>
          <w:rFonts w:asciiTheme="minorHAnsi" w:hAnsiTheme="minorHAnsi"/>
          <w:snapToGrid w:val="0"/>
          <w:lang w:val="en-GB"/>
        </w:rPr>
        <w:t xml:space="preserve"> and time of measurement. For the comparisons </w:t>
      </w:r>
      <w:r w:rsidR="00F72792">
        <w:rPr>
          <w:rFonts w:asciiTheme="minorHAnsi" w:hAnsiTheme="minorHAnsi"/>
          <w:snapToGrid w:val="0"/>
          <w:lang w:val="en-GB"/>
        </w:rPr>
        <w:t xml:space="preserve">at 16 weeks, the PBAC noted the results of the </w:t>
      </w:r>
      <w:r w:rsidR="00837707">
        <w:rPr>
          <w:rFonts w:asciiTheme="minorHAnsi" w:hAnsiTheme="minorHAnsi"/>
          <w:snapToGrid w:val="0"/>
          <w:lang w:val="en-GB"/>
        </w:rPr>
        <w:t xml:space="preserve">analyses in the submission based on relative risk (RR) and risk difference (RD) for the </w:t>
      </w:r>
      <w:r w:rsidR="00D10A3A">
        <w:rPr>
          <w:rFonts w:asciiTheme="minorHAnsi" w:hAnsiTheme="minorHAnsi"/>
          <w:snapToGrid w:val="0"/>
          <w:lang w:val="en-GB"/>
        </w:rPr>
        <w:t xml:space="preserve">Q4W regimen </w:t>
      </w:r>
      <w:r w:rsidR="00DD0994">
        <w:rPr>
          <w:rFonts w:asciiTheme="minorHAnsi" w:hAnsiTheme="minorHAnsi"/>
          <w:snapToGrid w:val="0"/>
          <w:lang w:val="en-GB"/>
        </w:rPr>
        <w:t xml:space="preserve">did not find a statistically significant difference between </w:t>
      </w:r>
      <w:proofErr w:type="spellStart"/>
      <w:r w:rsidR="00DD0994">
        <w:rPr>
          <w:rFonts w:asciiTheme="minorHAnsi" w:hAnsiTheme="minorHAnsi"/>
          <w:snapToGrid w:val="0"/>
          <w:lang w:val="en-GB"/>
        </w:rPr>
        <w:t>bimekizumab</w:t>
      </w:r>
      <w:proofErr w:type="spellEnd"/>
      <w:r w:rsidR="00DD0994">
        <w:rPr>
          <w:rFonts w:asciiTheme="minorHAnsi" w:hAnsiTheme="minorHAnsi"/>
          <w:snapToGrid w:val="0"/>
          <w:lang w:val="en-GB"/>
        </w:rPr>
        <w:t xml:space="preserve"> and either </w:t>
      </w:r>
      <w:proofErr w:type="spellStart"/>
      <w:r w:rsidR="00DD0994">
        <w:rPr>
          <w:rFonts w:asciiTheme="minorHAnsi" w:hAnsiTheme="minorHAnsi"/>
          <w:snapToGrid w:val="0"/>
          <w:lang w:val="en-GB"/>
        </w:rPr>
        <w:t>secukinumab</w:t>
      </w:r>
      <w:proofErr w:type="spellEnd"/>
      <w:r w:rsidR="00DD0994">
        <w:rPr>
          <w:rFonts w:asciiTheme="minorHAnsi" w:hAnsiTheme="minorHAnsi"/>
          <w:snapToGrid w:val="0"/>
          <w:lang w:val="en-GB"/>
        </w:rPr>
        <w:t xml:space="preserve"> (</w:t>
      </w:r>
      <w:r w:rsidR="00727186">
        <w:rPr>
          <w:rFonts w:asciiTheme="minorHAnsi" w:hAnsiTheme="minorHAnsi"/>
          <w:snapToGrid w:val="0"/>
          <w:lang w:val="en-GB"/>
        </w:rPr>
        <w:t>RR 1.32, 95% CI 0.98, 1.8) or adalimumab (RR 0.9, 95% CI 0.6, 1.2)</w:t>
      </w:r>
      <w:r w:rsidR="007F5F50">
        <w:rPr>
          <w:rFonts w:asciiTheme="minorHAnsi" w:hAnsiTheme="minorHAnsi"/>
          <w:snapToGrid w:val="0"/>
          <w:lang w:val="en-GB"/>
        </w:rPr>
        <w:t xml:space="preserve">, and also noted the risk difference did favour </w:t>
      </w:r>
      <w:proofErr w:type="spellStart"/>
      <w:r w:rsidR="007F5F50">
        <w:rPr>
          <w:rFonts w:asciiTheme="minorHAnsi" w:hAnsiTheme="minorHAnsi"/>
          <w:snapToGrid w:val="0"/>
          <w:lang w:val="en-GB"/>
        </w:rPr>
        <w:t>bimekizumab</w:t>
      </w:r>
      <w:proofErr w:type="spellEnd"/>
      <w:r w:rsidR="007F5F50">
        <w:rPr>
          <w:rFonts w:asciiTheme="minorHAnsi" w:hAnsiTheme="minorHAnsi"/>
          <w:snapToGrid w:val="0"/>
          <w:lang w:val="en-GB"/>
        </w:rPr>
        <w:t xml:space="preserve"> over </w:t>
      </w:r>
      <w:proofErr w:type="spellStart"/>
      <w:r w:rsidR="00253FC0">
        <w:rPr>
          <w:rFonts w:asciiTheme="minorHAnsi" w:hAnsiTheme="minorHAnsi"/>
          <w:snapToGrid w:val="0"/>
          <w:lang w:val="en-GB"/>
        </w:rPr>
        <w:t>secukinumab</w:t>
      </w:r>
      <w:proofErr w:type="spellEnd"/>
      <w:r w:rsidR="00253FC0">
        <w:rPr>
          <w:rFonts w:asciiTheme="minorHAnsi" w:hAnsiTheme="minorHAnsi"/>
          <w:snapToGrid w:val="0"/>
          <w:lang w:val="en-GB"/>
        </w:rPr>
        <w:t xml:space="preserve"> but not adalimumab (</w:t>
      </w:r>
      <w:r w:rsidR="001D613F">
        <w:rPr>
          <w:rFonts w:asciiTheme="minorHAnsi" w:hAnsiTheme="minorHAnsi"/>
          <w:snapToGrid w:val="0"/>
          <w:lang w:val="en-GB"/>
        </w:rPr>
        <w:fldChar w:fldCharType="begin"/>
      </w:r>
      <w:r w:rsidR="001D613F">
        <w:rPr>
          <w:rFonts w:asciiTheme="minorHAnsi" w:hAnsiTheme="minorHAnsi"/>
          <w:snapToGrid w:val="0"/>
          <w:lang w:val="en-GB"/>
        </w:rPr>
        <w:instrText xml:space="preserve"> REF _Ref188783592 \h </w:instrText>
      </w:r>
      <w:r w:rsidR="001D613F">
        <w:rPr>
          <w:rFonts w:asciiTheme="minorHAnsi" w:hAnsiTheme="minorHAnsi"/>
          <w:snapToGrid w:val="0"/>
          <w:lang w:val="en-GB"/>
        </w:rPr>
      </w:r>
      <w:r w:rsidR="001D613F">
        <w:rPr>
          <w:rFonts w:asciiTheme="minorHAnsi" w:hAnsiTheme="minorHAnsi"/>
          <w:snapToGrid w:val="0"/>
          <w:lang w:val="en-GB"/>
        </w:rPr>
        <w:fldChar w:fldCharType="separate"/>
      </w:r>
      <w:r w:rsidR="00184DE0">
        <w:t xml:space="preserve">Table </w:t>
      </w:r>
      <w:r w:rsidR="00184DE0">
        <w:rPr>
          <w:noProof/>
        </w:rPr>
        <w:t>7</w:t>
      </w:r>
      <w:r w:rsidR="001D613F">
        <w:rPr>
          <w:rFonts w:asciiTheme="minorHAnsi" w:hAnsiTheme="minorHAnsi"/>
          <w:snapToGrid w:val="0"/>
          <w:lang w:val="en-GB"/>
        </w:rPr>
        <w:fldChar w:fldCharType="end"/>
      </w:r>
      <w:r w:rsidR="00253FC0">
        <w:rPr>
          <w:rFonts w:asciiTheme="minorHAnsi" w:hAnsiTheme="minorHAnsi"/>
          <w:snapToGrid w:val="0"/>
          <w:lang w:val="en-GB"/>
        </w:rPr>
        <w:t xml:space="preserve">). The Committee noted the analyses presented in the PSCR were based on odds ratio (OR) </w:t>
      </w:r>
      <w:r w:rsidR="00E148CE">
        <w:rPr>
          <w:rFonts w:asciiTheme="minorHAnsi" w:hAnsiTheme="minorHAnsi"/>
          <w:snapToGrid w:val="0"/>
          <w:lang w:val="en-GB"/>
        </w:rPr>
        <w:t>and</w:t>
      </w:r>
      <w:r w:rsidR="00EC20F9">
        <w:rPr>
          <w:rFonts w:asciiTheme="minorHAnsi" w:hAnsiTheme="minorHAnsi"/>
          <w:snapToGrid w:val="0"/>
          <w:lang w:val="en-GB"/>
        </w:rPr>
        <w:t xml:space="preserve"> </w:t>
      </w:r>
      <w:r w:rsidR="009D3AE4">
        <w:rPr>
          <w:rFonts w:asciiTheme="minorHAnsi" w:hAnsiTheme="minorHAnsi"/>
          <w:snapToGrid w:val="0"/>
          <w:lang w:val="en-GB"/>
        </w:rPr>
        <w:t>also noted the variability in the results, with the Q2W/Q4W</w:t>
      </w:r>
      <w:r w:rsidR="00F70FE3">
        <w:rPr>
          <w:rFonts w:asciiTheme="minorHAnsi" w:hAnsiTheme="minorHAnsi"/>
          <w:snapToGrid w:val="0"/>
          <w:lang w:val="en-GB"/>
        </w:rPr>
        <w:t xml:space="preserve"> </w:t>
      </w:r>
      <w:r w:rsidR="000D6F42">
        <w:rPr>
          <w:rFonts w:asciiTheme="minorHAnsi" w:hAnsiTheme="minorHAnsi"/>
          <w:snapToGrid w:val="0"/>
          <w:lang w:val="en-GB"/>
        </w:rPr>
        <w:t xml:space="preserve">regimen </w:t>
      </w:r>
      <w:r w:rsidR="00000FD2">
        <w:rPr>
          <w:rFonts w:asciiTheme="minorHAnsi" w:hAnsiTheme="minorHAnsi"/>
          <w:snapToGrid w:val="0"/>
          <w:lang w:val="en-GB"/>
        </w:rPr>
        <w:t xml:space="preserve">finding a statistically significant improvement in HiSCR50 over </w:t>
      </w:r>
      <w:r w:rsidR="00602E22">
        <w:rPr>
          <w:rFonts w:asciiTheme="minorHAnsi" w:hAnsiTheme="minorHAnsi"/>
          <w:snapToGrid w:val="0"/>
          <w:lang w:val="en-GB"/>
        </w:rPr>
        <w:t>secukinumab</w:t>
      </w:r>
      <w:r w:rsidR="00000FD2">
        <w:rPr>
          <w:rFonts w:asciiTheme="minorHAnsi" w:hAnsiTheme="minorHAnsi"/>
          <w:snapToGrid w:val="0"/>
          <w:lang w:val="en-GB"/>
        </w:rPr>
        <w:t xml:space="preserve"> Q2W and Q4W</w:t>
      </w:r>
      <w:r w:rsidR="00602E22">
        <w:rPr>
          <w:rFonts w:asciiTheme="minorHAnsi" w:hAnsiTheme="minorHAnsi"/>
          <w:snapToGrid w:val="0"/>
          <w:lang w:val="en-GB"/>
        </w:rPr>
        <w:t xml:space="preserve"> (but no difference versus adalimumab), but no statistically significant differences</w:t>
      </w:r>
      <w:r w:rsidR="000B548C">
        <w:rPr>
          <w:rFonts w:asciiTheme="minorHAnsi" w:hAnsiTheme="minorHAnsi"/>
          <w:snapToGrid w:val="0"/>
          <w:lang w:val="en-GB"/>
        </w:rPr>
        <w:t xml:space="preserve"> for the bimekizumab Q4W regimen </w:t>
      </w:r>
      <w:r w:rsidR="00F14274">
        <w:rPr>
          <w:rFonts w:asciiTheme="minorHAnsi" w:hAnsiTheme="minorHAnsi"/>
          <w:snapToGrid w:val="0"/>
          <w:lang w:val="en-GB"/>
        </w:rPr>
        <w:t>versus</w:t>
      </w:r>
      <w:r w:rsidR="00334A4B">
        <w:rPr>
          <w:rFonts w:asciiTheme="minorHAnsi" w:hAnsiTheme="minorHAnsi"/>
          <w:snapToGrid w:val="0"/>
          <w:lang w:val="en-GB"/>
        </w:rPr>
        <w:t xml:space="preserve"> secukinumab (either regimen) or adalimumab (</w:t>
      </w:r>
      <w:r w:rsidR="00341EF0">
        <w:rPr>
          <w:rFonts w:asciiTheme="minorHAnsi" w:hAnsiTheme="minorHAnsi"/>
          <w:snapToGrid w:val="0"/>
          <w:lang w:val="en-GB"/>
        </w:rPr>
        <w:t xml:space="preserve">paragraph </w:t>
      </w:r>
      <w:r w:rsidR="00341EF0">
        <w:rPr>
          <w:rFonts w:asciiTheme="minorHAnsi" w:hAnsiTheme="minorHAnsi"/>
          <w:snapToGrid w:val="0"/>
          <w:lang w:val="en-GB"/>
        </w:rPr>
        <w:fldChar w:fldCharType="begin"/>
      </w:r>
      <w:r w:rsidR="00341EF0">
        <w:rPr>
          <w:rFonts w:asciiTheme="minorHAnsi" w:hAnsiTheme="minorHAnsi"/>
          <w:snapToGrid w:val="0"/>
          <w:lang w:val="en-GB"/>
        </w:rPr>
        <w:instrText xml:space="preserve"> REF _Ref198041450 \r \h </w:instrText>
      </w:r>
      <w:r w:rsidR="00341EF0">
        <w:rPr>
          <w:rFonts w:asciiTheme="minorHAnsi" w:hAnsiTheme="minorHAnsi"/>
          <w:snapToGrid w:val="0"/>
          <w:lang w:val="en-GB"/>
        </w:rPr>
      </w:r>
      <w:r w:rsidR="00341EF0">
        <w:rPr>
          <w:rFonts w:asciiTheme="minorHAnsi" w:hAnsiTheme="minorHAnsi"/>
          <w:snapToGrid w:val="0"/>
          <w:lang w:val="en-GB"/>
        </w:rPr>
        <w:fldChar w:fldCharType="separate"/>
      </w:r>
      <w:r w:rsidR="00184DE0">
        <w:rPr>
          <w:rFonts w:asciiTheme="minorHAnsi" w:hAnsiTheme="minorHAnsi"/>
          <w:snapToGrid w:val="0"/>
          <w:lang w:val="en-GB"/>
        </w:rPr>
        <w:t>6.53</w:t>
      </w:r>
      <w:r w:rsidR="00341EF0">
        <w:rPr>
          <w:rFonts w:asciiTheme="minorHAnsi" w:hAnsiTheme="minorHAnsi"/>
          <w:snapToGrid w:val="0"/>
          <w:lang w:val="en-GB"/>
        </w:rPr>
        <w:fldChar w:fldCharType="end"/>
      </w:r>
      <w:r w:rsidR="00334A4B">
        <w:rPr>
          <w:rFonts w:asciiTheme="minorHAnsi" w:hAnsiTheme="minorHAnsi"/>
          <w:snapToGrid w:val="0"/>
          <w:lang w:val="en-GB"/>
        </w:rPr>
        <w:t xml:space="preserve">). </w:t>
      </w:r>
      <w:r w:rsidR="00101C78" w:rsidRPr="00101C78">
        <w:rPr>
          <w:rFonts w:asciiTheme="minorHAnsi" w:hAnsiTheme="minorHAnsi"/>
          <w:snapToGrid w:val="0"/>
          <w:lang w:val="en-GB"/>
        </w:rPr>
        <w:t xml:space="preserve">With respect to the longer-term analyses out to 48 weeks, the PBAC agreed with the evaluation and ESC that the results of the analyses (including the matching-adjusted analyses) were difficult to interpret </w:t>
      </w:r>
      <w:r w:rsidR="008E4AB9">
        <w:rPr>
          <w:rFonts w:asciiTheme="minorHAnsi" w:hAnsiTheme="minorHAnsi"/>
          <w:snapToGrid w:val="0"/>
          <w:lang w:val="en-GB"/>
        </w:rPr>
        <w:t xml:space="preserve">due </w:t>
      </w:r>
      <w:r w:rsidR="00101C78" w:rsidRPr="00101C78">
        <w:rPr>
          <w:rFonts w:asciiTheme="minorHAnsi" w:hAnsiTheme="minorHAnsi"/>
          <w:snapToGrid w:val="0"/>
          <w:lang w:val="en-GB"/>
        </w:rPr>
        <w:t>to the nature of the informing data (paragraph</w:t>
      </w:r>
      <w:r w:rsidR="00FC4A23">
        <w:rPr>
          <w:rFonts w:asciiTheme="minorHAnsi" w:hAnsiTheme="minorHAnsi"/>
          <w:snapToGrid w:val="0"/>
          <w:lang w:val="en-GB"/>
        </w:rPr>
        <w:t xml:space="preserve">s </w:t>
      </w:r>
      <w:r w:rsidR="00FC4A23">
        <w:rPr>
          <w:rFonts w:asciiTheme="minorHAnsi" w:hAnsiTheme="minorHAnsi"/>
          <w:snapToGrid w:val="0"/>
          <w:lang w:val="en-GB"/>
        </w:rPr>
        <w:fldChar w:fldCharType="begin"/>
      </w:r>
      <w:r w:rsidR="00FC4A23">
        <w:rPr>
          <w:rFonts w:asciiTheme="minorHAnsi" w:hAnsiTheme="minorHAnsi"/>
          <w:snapToGrid w:val="0"/>
          <w:lang w:val="en-GB"/>
        </w:rPr>
        <w:instrText xml:space="preserve"> REF _Ref198111952 \r \h </w:instrText>
      </w:r>
      <w:r w:rsidR="00FC4A23">
        <w:rPr>
          <w:rFonts w:asciiTheme="minorHAnsi" w:hAnsiTheme="minorHAnsi"/>
          <w:snapToGrid w:val="0"/>
          <w:lang w:val="en-GB"/>
        </w:rPr>
      </w:r>
      <w:r w:rsidR="00FC4A23">
        <w:rPr>
          <w:rFonts w:asciiTheme="minorHAnsi" w:hAnsiTheme="minorHAnsi"/>
          <w:snapToGrid w:val="0"/>
          <w:lang w:val="en-GB"/>
        </w:rPr>
        <w:fldChar w:fldCharType="separate"/>
      </w:r>
      <w:r w:rsidR="00184DE0">
        <w:rPr>
          <w:rFonts w:asciiTheme="minorHAnsi" w:hAnsiTheme="minorHAnsi"/>
          <w:snapToGrid w:val="0"/>
          <w:lang w:val="en-GB"/>
        </w:rPr>
        <w:t>6.77</w:t>
      </w:r>
      <w:r w:rsidR="00FC4A23">
        <w:rPr>
          <w:rFonts w:asciiTheme="minorHAnsi" w:hAnsiTheme="minorHAnsi"/>
          <w:snapToGrid w:val="0"/>
          <w:lang w:val="en-GB"/>
        </w:rPr>
        <w:fldChar w:fldCharType="end"/>
      </w:r>
      <w:r w:rsidR="00FC4A23">
        <w:rPr>
          <w:rFonts w:asciiTheme="minorHAnsi" w:hAnsiTheme="minorHAnsi"/>
          <w:snapToGrid w:val="0"/>
          <w:lang w:val="en-GB"/>
        </w:rPr>
        <w:t>-</w:t>
      </w:r>
      <w:r w:rsidR="00FC4A23">
        <w:rPr>
          <w:rFonts w:asciiTheme="minorHAnsi" w:hAnsiTheme="minorHAnsi"/>
          <w:snapToGrid w:val="0"/>
          <w:lang w:val="en-GB"/>
        </w:rPr>
        <w:fldChar w:fldCharType="begin"/>
      </w:r>
      <w:r w:rsidR="00FC4A23">
        <w:rPr>
          <w:rFonts w:asciiTheme="minorHAnsi" w:hAnsiTheme="minorHAnsi"/>
          <w:snapToGrid w:val="0"/>
          <w:lang w:val="en-GB"/>
        </w:rPr>
        <w:instrText xml:space="preserve"> REF _Ref198111954 \r \h </w:instrText>
      </w:r>
      <w:r w:rsidR="00FC4A23">
        <w:rPr>
          <w:rFonts w:asciiTheme="minorHAnsi" w:hAnsiTheme="minorHAnsi"/>
          <w:snapToGrid w:val="0"/>
          <w:lang w:val="en-GB"/>
        </w:rPr>
      </w:r>
      <w:r w:rsidR="00FC4A23">
        <w:rPr>
          <w:rFonts w:asciiTheme="minorHAnsi" w:hAnsiTheme="minorHAnsi"/>
          <w:snapToGrid w:val="0"/>
          <w:lang w:val="en-GB"/>
        </w:rPr>
        <w:fldChar w:fldCharType="separate"/>
      </w:r>
      <w:r w:rsidR="00184DE0">
        <w:rPr>
          <w:rFonts w:asciiTheme="minorHAnsi" w:hAnsiTheme="minorHAnsi"/>
          <w:snapToGrid w:val="0"/>
          <w:lang w:val="en-GB"/>
        </w:rPr>
        <w:t>6.78</w:t>
      </w:r>
      <w:r w:rsidR="00FC4A23">
        <w:rPr>
          <w:rFonts w:asciiTheme="minorHAnsi" w:hAnsiTheme="minorHAnsi"/>
          <w:snapToGrid w:val="0"/>
          <w:lang w:val="en-GB"/>
        </w:rPr>
        <w:fldChar w:fldCharType="end"/>
      </w:r>
      <w:r w:rsidR="00101C78" w:rsidRPr="00101C78">
        <w:rPr>
          <w:rFonts w:asciiTheme="minorHAnsi" w:hAnsiTheme="minorHAnsi"/>
          <w:snapToGrid w:val="0"/>
          <w:lang w:val="en-GB"/>
        </w:rPr>
        <w:t xml:space="preserve"> refer). The PBAC considered that while some of the results tended to favour </w:t>
      </w:r>
      <w:r w:rsidR="00101C78" w:rsidRPr="00101C78">
        <w:rPr>
          <w:rFonts w:asciiTheme="minorHAnsi" w:hAnsiTheme="minorHAnsi"/>
          <w:snapToGrid w:val="0"/>
          <w:lang w:val="en-GB"/>
        </w:rPr>
        <w:lastRenderedPageBreak/>
        <w:t>bimekizumab, the analyses had substantial inherent uncertainty and were therefore likely not sufficient for the purposes of establishing superiority over secukinumab or adalimumab</w:t>
      </w:r>
      <w:r w:rsidR="00D65662">
        <w:rPr>
          <w:rFonts w:asciiTheme="minorHAnsi" w:hAnsiTheme="minorHAnsi"/>
          <w:snapToGrid w:val="0"/>
          <w:lang w:val="en-GB"/>
        </w:rPr>
        <w:t>. Overall, the Committee</w:t>
      </w:r>
      <w:r w:rsidR="00101C78" w:rsidRPr="00101C78">
        <w:rPr>
          <w:rFonts w:asciiTheme="minorHAnsi" w:hAnsiTheme="minorHAnsi"/>
          <w:snapToGrid w:val="0"/>
          <w:lang w:val="en-GB"/>
        </w:rPr>
        <w:t xml:space="preserve"> considered on balance, taking into account the totality of the available evidence, that a claim of non-inferior comparative effectiveness to both secukinumab and adalimumab at both 16 and 48 weeks was likely to be reasonable.</w:t>
      </w:r>
    </w:p>
    <w:p w14:paraId="4715A1B2" w14:textId="77777777" w:rsidR="00CE41B0" w:rsidRDefault="00CE41B0" w:rsidP="00A140EE">
      <w:pPr>
        <w:widowControl w:val="0"/>
        <w:numPr>
          <w:ilvl w:val="1"/>
          <w:numId w:val="1"/>
        </w:numPr>
        <w:spacing w:after="120"/>
        <w:rPr>
          <w:rFonts w:asciiTheme="minorHAnsi" w:hAnsiTheme="minorHAnsi"/>
          <w:snapToGrid w:val="0"/>
          <w:lang w:val="en-GB"/>
        </w:rPr>
      </w:pPr>
      <w:r w:rsidRPr="00CE41B0">
        <w:rPr>
          <w:rFonts w:asciiTheme="minorHAnsi" w:hAnsiTheme="minorHAnsi"/>
          <w:snapToGrid w:val="0"/>
          <w:lang w:val="en-GB"/>
        </w:rPr>
        <w:t>In terms of comparative safety, the PBAC noted the submission did not present a formal statistical comparison of bimekizumab, secukinumab and adalimumab, however considered the available data suggested the adverse event profiles were similar, and the extended assessment of safety that included additional open label extension data did not raise additional significant concerns. Overall, the PBAC was satisfied that the claim of non-inferior comparative safety to secukinumab and adalimumab was likely supported.</w:t>
      </w:r>
    </w:p>
    <w:p w14:paraId="100B20E3" w14:textId="07BD9C1B" w:rsidR="00943DC7" w:rsidRPr="00943DC7" w:rsidRDefault="00943DC7" w:rsidP="00A140EE">
      <w:pPr>
        <w:widowControl w:val="0"/>
        <w:numPr>
          <w:ilvl w:val="1"/>
          <w:numId w:val="1"/>
        </w:numPr>
        <w:spacing w:after="120"/>
      </w:pPr>
      <w:r w:rsidRPr="00943DC7">
        <w:rPr>
          <w:rFonts w:asciiTheme="minorHAnsi" w:hAnsiTheme="minorHAnsi"/>
          <w:snapToGrid w:val="0"/>
          <w:lang w:val="en-GB"/>
        </w:rPr>
        <w:t>The PBAC noted the submission requested listing on a cost minimisation basis</w:t>
      </w:r>
      <w:r w:rsidR="00D65662">
        <w:rPr>
          <w:rFonts w:asciiTheme="minorHAnsi" w:hAnsiTheme="minorHAnsi"/>
          <w:snapToGrid w:val="0"/>
          <w:lang w:val="en-GB"/>
        </w:rPr>
        <w:t>.</w:t>
      </w:r>
      <w:r w:rsidRPr="00943DC7">
        <w:rPr>
          <w:rFonts w:asciiTheme="minorHAnsi" w:hAnsiTheme="minorHAnsi"/>
          <w:snapToGrid w:val="0"/>
          <w:lang w:val="en-GB"/>
        </w:rPr>
        <w:t xml:space="preserve"> Given its view on the clinical claims that bimekizumab is likely non-inferior to both secukinumab and adalimumab,</w:t>
      </w:r>
      <w:r w:rsidR="004256B0">
        <w:rPr>
          <w:rFonts w:asciiTheme="minorHAnsi" w:hAnsiTheme="minorHAnsi"/>
          <w:snapToGrid w:val="0"/>
          <w:lang w:val="en-GB"/>
        </w:rPr>
        <w:t xml:space="preserve"> the Committee</w:t>
      </w:r>
      <w:r w:rsidRPr="00943DC7">
        <w:rPr>
          <w:rFonts w:asciiTheme="minorHAnsi" w:hAnsiTheme="minorHAnsi"/>
          <w:snapToGrid w:val="0"/>
          <w:lang w:val="en-GB"/>
        </w:rPr>
        <w:t xml:space="preserve"> considered that </w:t>
      </w:r>
      <w:r w:rsidR="004256B0">
        <w:rPr>
          <w:rFonts w:asciiTheme="minorHAnsi" w:hAnsiTheme="minorHAnsi"/>
          <w:snapToGrid w:val="0"/>
          <w:lang w:val="en-GB"/>
        </w:rPr>
        <w:t>the</w:t>
      </w:r>
      <w:r w:rsidRPr="00943DC7">
        <w:rPr>
          <w:rFonts w:asciiTheme="minorHAnsi" w:hAnsiTheme="minorHAnsi"/>
          <w:snapToGrid w:val="0"/>
          <w:lang w:val="en-GB"/>
        </w:rPr>
        <w:t xml:space="preserve"> cost minimisation approach (CMA) presented in the submission was </w:t>
      </w:r>
      <w:r w:rsidR="0006106A">
        <w:rPr>
          <w:rFonts w:asciiTheme="minorHAnsi" w:hAnsiTheme="minorHAnsi"/>
          <w:snapToGrid w:val="0"/>
          <w:lang w:val="en-GB"/>
        </w:rPr>
        <w:t>generally</w:t>
      </w:r>
      <w:r w:rsidRPr="00943DC7">
        <w:rPr>
          <w:rFonts w:asciiTheme="minorHAnsi" w:hAnsiTheme="minorHAnsi"/>
          <w:snapToGrid w:val="0"/>
          <w:lang w:val="en-GB"/>
        </w:rPr>
        <w:t xml:space="preserve"> methodologically consistent with the standard two-year approach for bDMARDs. Furthermore, the PBAC noted the TGA registered two dosing regimens for bimekizumab (Q2W/Q4W and Q4W) after the submission was lodged, and the CMA required adjustment to account for this</w:t>
      </w:r>
      <w:r w:rsidR="006F1E8D">
        <w:rPr>
          <w:rFonts w:asciiTheme="minorHAnsi" w:hAnsiTheme="minorHAnsi"/>
          <w:snapToGrid w:val="0"/>
          <w:lang w:val="en-GB"/>
        </w:rPr>
        <w:t>.</w:t>
      </w:r>
      <w:r w:rsidRPr="00943DC7">
        <w:rPr>
          <w:rFonts w:asciiTheme="minorHAnsi" w:hAnsiTheme="minorHAnsi"/>
          <w:snapToGrid w:val="0"/>
          <w:lang w:val="en-GB"/>
        </w:rPr>
        <w:t xml:space="preserve"> </w:t>
      </w:r>
      <w:r w:rsidR="006F1E8D">
        <w:rPr>
          <w:rFonts w:asciiTheme="minorHAnsi" w:hAnsiTheme="minorHAnsi"/>
          <w:snapToGrid w:val="0"/>
          <w:lang w:val="en-GB"/>
        </w:rPr>
        <w:t>The PBAC</w:t>
      </w:r>
      <w:r w:rsidRPr="00943DC7">
        <w:rPr>
          <w:rFonts w:asciiTheme="minorHAnsi" w:hAnsiTheme="minorHAnsi"/>
          <w:snapToGrid w:val="0"/>
          <w:lang w:val="en-GB"/>
        </w:rPr>
        <w:t xml:space="preserve"> not</w:t>
      </w:r>
      <w:r w:rsidR="006F1E8D">
        <w:rPr>
          <w:rFonts w:asciiTheme="minorHAnsi" w:hAnsiTheme="minorHAnsi"/>
          <w:snapToGrid w:val="0"/>
          <w:lang w:val="en-GB"/>
        </w:rPr>
        <w:t>ed</w:t>
      </w:r>
      <w:r w:rsidRPr="00943DC7">
        <w:rPr>
          <w:rFonts w:asciiTheme="minorHAnsi" w:hAnsiTheme="minorHAnsi"/>
          <w:snapToGrid w:val="0"/>
          <w:lang w:val="en-GB"/>
        </w:rPr>
        <w:t xml:space="preserve"> the Q2W/Q4W regimen was only recommended for patients in whom rapid symptom control is required. </w:t>
      </w:r>
      <w:r w:rsidR="006F1E8D">
        <w:rPr>
          <w:rFonts w:asciiTheme="minorHAnsi" w:hAnsiTheme="minorHAnsi"/>
          <w:snapToGrid w:val="0"/>
          <w:lang w:val="en-GB"/>
        </w:rPr>
        <w:t xml:space="preserve">Given this, the Committee noted </w:t>
      </w:r>
      <w:r w:rsidRPr="00943DC7">
        <w:rPr>
          <w:rFonts w:asciiTheme="minorHAnsi" w:hAnsiTheme="minorHAnsi"/>
          <w:snapToGrid w:val="0"/>
          <w:lang w:val="en-GB"/>
        </w:rPr>
        <w:t xml:space="preserve">the Pre-PBAC Response proposed a weighting of 20% Q2W/Q4W and 80% Q4W dosing, based on a similar weighting being accepted for secukinumab for HS in November 2023 (paragraph 5.8, secukinumab PSD, November 2023 PBAC) and considered that in the absence of any other evidentiary basis </w:t>
      </w:r>
      <w:r w:rsidR="006F1E8D">
        <w:rPr>
          <w:rFonts w:asciiTheme="minorHAnsi" w:hAnsiTheme="minorHAnsi"/>
          <w:snapToGrid w:val="0"/>
          <w:lang w:val="en-GB"/>
        </w:rPr>
        <w:t>for</w:t>
      </w:r>
      <w:r w:rsidRPr="00943DC7">
        <w:rPr>
          <w:rFonts w:asciiTheme="minorHAnsi" w:hAnsiTheme="minorHAnsi"/>
          <w:snapToGrid w:val="0"/>
          <w:lang w:val="en-GB"/>
        </w:rPr>
        <w:t xml:space="preserve"> determin</w:t>
      </w:r>
      <w:r>
        <w:rPr>
          <w:rFonts w:asciiTheme="minorHAnsi" w:hAnsiTheme="minorHAnsi"/>
          <w:snapToGrid w:val="0"/>
          <w:lang w:val="en-GB"/>
        </w:rPr>
        <w:t>in</w:t>
      </w:r>
      <w:r w:rsidRPr="00943DC7">
        <w:rPr>
          <w:rFonts w:asciiTheme="minorHAnsi" w:hAnsiTheme="minorHAnsi"/>
          <w:snapToGrid w:val="0"/>
          <w:lang w:val="en-GB"/>
        </w:rPr>
        <w:t>g the weighting this was reasonable</w:t>
      </w:r>
      <w:r w:rsidR="00897548">
        <w:rPr>
          <w:rFonts w:asciiTheme="minorHAnsi" w:hAnsiTheme="minorHAnsi"/>
          <w:snapToGrid w:val="0"/>
          <w:lang w:val="en-GB"/>
        </w:rPr>
        <w:t>.</w:t>
      </w:r>
      <w:r>
        <w:rPr>
          <w:rFonts w:asciiTheme="minorHAnsi" w:hAnsiTheme="minorHAnsi"/>
          <w:snapToGrid w:val="0"/>
          <w:lang w:val="en-GB"/>
        </w:rPr>
        <w:t xml:space="preserve"> </w:t>
      </w:r>
    </w:p>
    <w:p w14:paraId="3D6CA823" w14:textId="77777777" w:rsidR="004B5AFE" w:rsidRDefault="004B5AFE" w:rsidP="00B83AE3">
      <w:pPr>
        <w:pStyle w:val="ListParagraph"/>
        <w:numPr>
          <w:ilvl w:val="1"/>
          <w:numId w:val="1"/>
        </w:numPr>
        <w:contextualSpacing/>
        <w:jc w:val="both"/>
        <w:rPr>
          <w:lang w:val="en-GB" w:eastAsia="en-US"/>
        </w:rPr>
      </w:pPr>
      <w:r w:rsidRPr="004B5AFE">
        <w:rPr>
          <w:lang w:val="en-GB"/>
        </w:rPr>
        <w:t xml:space="preserve">The PBAC noted the financial estimates in the submission were based on published prices and considered that if bimekizumab were listed on a cost minimisation basis with the least costly alternative, the listing would likely be cost neutral or modestly cost saving to the PBS as it will only replace therapies that are either of equivalent cost or more expensive. </w:t>
      </w:r>
      <w:r>
        <w:rPr>
          <w:lang w:val="en-GB"/>
        </w:rPr>
        <w:t xml:space="preserve"> </w:t>
      </w:r>
    </w:p>
    <w:p w14:paraId="6D20DF54" w14:textId="20ED62BA" w:rsidR="00A140EE" w:rsidRPr="001C7A7F" w:rsidRDefault="00A140EE" w:rsidP="001C7A7F">
      <w:pPr>
        <w:widowControl w:val="0"/>
        <w:numPr>
          <w:ilvl w:val="1"/>
          <w:numId w:val="1"/>
        </w:numPr>
        <w:spacing w:after="120"/>
        <w:rPr>
          <w:rFonts w:asciiTheme="minorHAnsi" w:hAnsiTheme="minorHAnsi"/>
          <w:bCs/>
          <w:snapToGrid w:val="0"/>
          <w:lang w:val="en-GB"/>
        </w:rPr>
      </w:pPr>
      <w:r w:rsidRPr="001C7A7F">
        <w:rPr>
          <w:rFonts w:asciiTheme="minorHAnsi" w:hAnsiTheme="minorHAnsi"/>
          <w:bCs/>
          <w:snapToGrid w:val="0"/>
          <w:lang w:val="en-GB"/>
        </w:rPr>
        <w:t xml:space="preserve">The PBAC advised, under Section 101 (4AACD) of the </w:t>
      </w:r>
      <w:r w:rsidRPr="001C7A7F">
        <w:rPr>
          <w:rFonts w:asciiTheme="minorHAnsi" w:hAnsiTheme="minorHAnsi"/>
          <w:bCs/>
          <w:i/>
          <w:iCs/>
          <w:snapToGrid w:val="0"/>
          <w:lang w:val="en-GB"/>
        </w:rPr>
        <w:t>National Health Act</w:t>
      </w:r>
      <w:r w:rsidR="00304C5E">
        <w:rPr>
          <w:rFonts w:asciiTheme="minorHAnsi" w:hAnsiTheme="minorHAnsi"/>
          <w:bCs/>
          <w:i/>
          <w:iCs/>
          <w:snapToGrid w:val="0"/>
          <w:lang w:val="en-GB"/>
        </w:rPr>
        <w:t xml:space="preserve"> 1953</w:t>
      </w:r>
      <w:r w:rsidRPr="001C7A7F">
        <w:rPr>
          <w:rFonts w:asciiTheme="minorHAnsi" w:hAnsiTheme="minorHAnsi"/>
          <w:bCs/>
          <w:snapToGrid w:val="0"/>
          <w:lang w:val="en-GB"/>
        </w:rPr>
        <w:t xml:space="preserve">, that </w:t>
      </w:r>
      <w:r w:rsidR="001C7A7F">
        <w:rPr>
          <w:rFonts w:asciiTheme="minorHAnsi" w:hAnsiTheme="minorHAnsi"/>
          <w:bCs/>
          <w:snapToGrid w:val="0"/>
          <w:lang w:val="en-GB"/>
        </w:rPr>
        <w:t>bimekizumab 320 mg syringe</w:t>
      </w:r>
      <w:r w:rsidRPr="001C7A7F">
        <w:rPr>
          <w:rFonts w:asciiTheme="minorHAnsi" w:hAnsiTheme="minorHAnsi"/>
          <w:bCs/>
          <w:snapToGrid w:val="0"/>
          <w:lang w:val="en-GB"/>
        </w:rPr>
        <w:t xml:space="preserve"> and </w:t>
      </w:r>
      <w:r w:rsidR="001C7A7F">
        <w:rPr>
          <w:rFonts w:asciiTheme="minorHAnsi" w:hAnsiTheme="minorHAnsi"/>
          <w:bCs/>
          <w:snapToGrid w:val="0"/>
          <w:lang w:val="en-GB"/>
        </w:rPr>
        <w:t>bimekizumab 320 mg pen</w:t>
      </w:r>
      <w:r w:rsidR="00345464">
        <w:rPr>
          <w:rFonts w:asciiTheme="minorHAnsi" w:hAnsiTheme="minorHAnsi"/>
          <w:bCs/>
          <w:snapToGrid w:val="0"/>
          <w:lang w:val="en-GB"/>
        </w:rPr>
        <w:t>; as well as bimekizumab 160 mg syringe and 160 mg pen,</w:t>
      </w:r>
      <w:r w:rsidR="001C7A7F">
        <w:rPr>
          <w:rFonts w:asciiTheme="minorHAnsi" w:hAnsiTheme="minorHAnsi"/>
          <w:bCs/>
          <w:snapToGrid w:val="0"/>
          <w:lang w:val="en-GB"/>
        </w:rPr>
        <w:t xml:space="preserve"> </w:t>
      </w:r>
      <w:r w:rsidRPr="001C7A7F">
        <w:rPr>
          <w:rFonts w:asciiTheme="minorHAnsi" w:hAnsiTheme="minorHAnsi"/>
          <w:bCs/>
          <w:snapToGrid w:val="0"/>
          <w:lang w:val="en-GB"/>
        </w:rPr>
        <w:t xml:space="preserve">should be considered equivalent for the purposes of substitution (i.e., ‘a’ flagged in the Schedule with a NOTE stating PBS of one form and PBS of another form </w:t>
      </w:r>
      <w:r w:rsidR="001829B1">
        <w:rPr>
          <w:rFonts w:asciiTheme="minorHAnsi" w:hAnsiTheme="minorHAnsi"/>
          <w:bCs/>
          <w:snapToGrid w:val="0"/>
          <w:lang w:val="en-GB"/>
        </w:rPr>
        <w:t xml:space="preserve">of the relevant strength </w:t>
      </w:r>
      <w:r w:rsidRPr="001C7A7F">
        <w:rPr>
          <w:rFonts w:asciiTheme="minorHAnsi" w:hAnsiTheme="minorHAnsi"/>
          <w:bCs/>
          <w:snapToGrid w:val="0"/>
          <w:lang w:val="en-GB"/>
        </w:rPr>
        <w:t>are equivalent for the purposes of substitution)</w:t>
      </w:r>
      <w:r w:rsidR="00345464">
        <w:rPr>
          <w:rFonts w:asciiTheme="minorHAnsi" w:hAnsiTheme="minorHAnsi"/>
          <w:bCs/>
          <w:snapToGrid w:val="0"/>
          <w:lang w:val="en-GB"/>
        </w:rPr>
        <w:t>.</w:t>
      </w:r>
    </w:p>
    <w:p w14:paraId="1194D757" w14:textId="0F69E508" w:rsidR="00A140EE" w:rsidRDefault="008C3BBA" w:rsidP="00A140EE">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The PBAC also noted the flow-</w:t>
      </w:r>
      <w:proofErr w:type="spellStart"/>
      <w:r>
        <w:rPr>
          <w:rFonts w:asciiTheme="minorHAnsi" w:hAnsiTheme="minorHAnsi"/>
          <w:bCs/>
          <w:snapToGrid w:val="0"/>
          <w:lang w:val="en-GB"/>
        </w:rPr>
        <w:t>ons</w:t>
      </w:r>
      <w:proofErr w:type="spellEnd"/>
      <w:r>
        <w:rPr>
          <w:rFonts w:asciiTheme="minorHAnsi" w:hAnsiTheme="minorHAnsi"/>
          <w:bCs/>
          <w:snapToGrid w:val="0"/>
          <w:lang w:val="en-GB"/>
        </w:rPr>
        <w:t xml:space="preserve"> to </w:t>
      </w:r>
      <w:proofErr w:type="spellStart"/>
      <w:r>
        <w:rPr>
          <w:rFonts w:asciiTheme="minorHAnsi" w:hAnsiTheme="minorHAnsi"/>
          <w:bCs/>
          <w:snapToGrid w:val="0"/>
          <w:lang w:val="en-GB"/>
        </w:rPr>
        <w:t>secukinumab</w:t>
      </w:r>
      <w:proofErr w:type="spellEnd"/>
      <w:r>
        <w:rPr>
          <w:rFonts w:asciiTheme="minorHAnsi" w:hAnsiTheme="minorHAnsi"/>
          <w:bCs/>
          <w:snapToGrid w:val="0"/>
          <w:lang w:val="en-GB"/>
        </w:rPr>
        <w:t xml:space="preserve"> and adalimumab to include bimekizumab in the list of eligible therapies for moderate to severe HS, and considered that a grandfather listing was appropriate, </w:t>
      </w:r>
      <w:r w:rsidR="00C25664">
        <w:rPr>
          <w:rFonts w:asciiTheme="minorHAnsi" w:hAnsiTheme="minorHAnsi"/>
          <w:bCs/>
          <w:snapToGrid w:val="0"/>
          <w:lang w:val="en-GB"/>
        </w:rPr>
        <w:t xml:space="preserve">which should be removed after </w:t>
      </w:r>
      <w:r w:rsidR="00C25664">
        <w:rPr>
          <w:rFonts w:asciiTheme="minorHAnsi" w:hAnsiTheme="minorHAnsi"/>
          <w:bCs/>
          <w:snapToGrid w:val="0"/>
          <w:lang w:val="en-GB"/>
        </w:rPr>
        <w:lastRenderedPageBreak/>
        <w:t xml:space="preserve">12 months per standard practice, in the absence of any </w:t>
      </w:r>
      <w:r w:rsidR="00476527">
        <w:rPr>
          <w:rFonts w:asciiTheme="minorHAnsi" w:hAnsiTheme="minorHAnsi"/>
          <w:bCs/>
          <w:snapToGrid w:val="0"/>
          <w:lang w:val="en-GB"/>
        </w:rPr>
        <w:t xml:space="preserve">other reason for an alternative period to apply. </w:t>
      </w:r>
    </w:p>
    <w:p w14:paraId="65D9AAEA" w14:textId="678A9929" w:rsidR="00BC48A1" w:rsidRPr="00B83AE3" w:rsidRDefault="00A140EE" w:rsidP="00B83AE3">
      <w:pPr>
        <w:widowControl w:val="0"/>
        <w:numPr>
          <w:ilvl w:val="1"/>
          <w:numId w:val="1"/>
        </w:numPr>
        <w:spacing w:after="120"/>
        <w:rPr>
          <w:rFonts w:asciiTheme="minorHAnsi" w:hAnsiTheme="minorHAnsi"/>
          <w:bCs/>
          <w:snapToGrid w:val="0"/>
          <w:lang w:val="en-GB"/>
        </w:rPr>
      </w:pPr>
      <w:r w:rsidRPr="00B83AE3">
        <w:rPr>
          <w:rFonts w:asciiTheme="minorHAnsi" w:hAnsiTheme="minorHAnsi"/>
          <w:bCs/>
          <w:snapToGrid w:val="0"/>
          <w:lang w:val="en-GB"/>
        </w:rPr>
        <w:t xml:space="preserve">The PBAC noted that its recommendation was on a cost-minimisation basis and advised that, because </w:t>
      </w:r>
      <w:r w:rsidR="00476527" w:rsidRPr="00B83AE3">
        <w:rPr>
          <w:rFonts w:asciiTheme="minorHAnsi" w:hAnsiTheme="minorHAnsi"/>
          <w:bCs/>
          <w:snapToGrid w:val="0"/>
          <w:lang w:val="en-GB"/>
        </w:rPr>
        <w:t>bimekizumab</w:t>
      </w:r>
      <w:r w:rsidRPr="00B83AE3">
        <w:rPr>
          <w:rFonts w:asciiTheme="minorHAnsi" w:hAnsiTheme="minorHAnsi"/>
          <w:bCs/>
          <w:snapToGrid w:val="0"/>
          <w:lang w:val="en-GB"/>
        </w:rPr>
        <w:t xml:space="preserve"> is not expected to provide a substantial and clinically relevant improvement in efficacy, or reduction of toxicity, over </w:t>
      </w:r>
      <w:r w:rsidR="006D2651" w:rsidRPr="00B83AE3">
        <w:rPr>
          <w:rFonts w:asciiTheme="minorHAnsi" w:hAnsiTheme="minorHAnsi"/>
          <w:bCs/>
          <w:snapToGrid w:val="0"/>
          <w:lang w:val="en-GB"/>
        </w:rPr>
        <w:t xml:space="preserve">secukinumab or adalimumab, </w:t>
      </w:r>
      <w:r w:rsidRPr="00B83AE3">
        <w:rPr>
          <w:rFonts w:asciiTheme="minorHAnsi" w:hAnsiTheme="minorHAnsi"/>
          <w:bCs/>
          <w:snapToGrid w:val="0"/>
          <w:lang w:val="en-GB"/>
        </w:rPr>
        <w:t xml:space="preserve">or not expected to address a high and urgent unmet clinical need given the presence of an alternative therapy, the criteria prescribed by the </w:t>
      </w:r>
      <w:r w:rsidRPr="00B83AE3">
        <w:rPr>
          <w:rFonts w:asciiTheme="minorHAnsi" w:hAnsiTheme="minorHAnsi"/>
          <w:bCs/>
          <w:i/>
          <w:iCs/>
          <w:snapToGrid w:val="0"/>
          <w:lang w:val="en-GB"/>
        </w:rPr>
        <w:t>National Health (Pharmaceuticals and Vaccines – Cost Recovery) Regulations 2022</w:t>
      </w:r>
      <w:r w:rsidRPr="00B83AE3">
        <w:rPr>
          <w:rFonts w:asciiTheme="minorHAnsi" w:hAnsiTheme="minorHAnsi"/>
          <w:bCs/>
          <w:snapToGrid w:val="0"/>
          <w:lang w:val="en-GB"/>
        </w:rPr>
        <w:t xml:space="preserve"> for Pricing Pathway A were not met.</w:t>
      </w:r>
    </w:p>
    <w:p w14:paraId="1F050EEF" w14:textId="0FBFD2B6" w:rsidR="00A140EE" w:rsidRPr="00767730" w:rsidRDefault="00A140EE" w:rsidP="00A140EE">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The PBAC noted that this submission is not eligible for an Independent Review</w:t>
      </w:r>
      <w:r w:rsidR="006D2651">
        <w:rPr>
          <w:rFonts w:asciiTheme="minorHAnsi" w:hAnsiTheme="minorHAnsi"/>
          <w:bCs/>
          <w:snapToGrid w:val="0"/>
          <w:lang w:val="en-GB"/>
        </w:rPr>
        <w:t xml:space="preserve"> as it received a positive recommendation</w:t>
      </w:r>
      <w:r w:rsidRPr="00525B39">
        <w:rPr>
          <w:rFonts w:asciiTheme="minorHAnsi" w:hAnsiTheme="minorHAnsi"/>
          <w:bCs/>
          <w:snapToGrid w:val="0"/>
          <w:lang w:val="en-GB"/>
        </w:rPr>
        <w:t xml:space="preserve">. </w:t>
      </w:r>
    </w:p>
    <w:p w14:paraId="201ABA99" w14:textId="77777777" w:rsidR="00A140EE" w:rsidRPr="00525B39" w:rsidRDefault="00A140EE" w:rsidP="00A140EE">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3C7535E8" w14:textId="12EC9DBB" w:rsidR="00A140EE" w:rsidRPr="00525B39" w:rsidRDefault="00A140EE" w:rsidP="00A140EE">
      <w:pPr>
        <w:rPr>
          <w:rFonts w:asciiTheme="minorHAnsi" w:hAnsiTheme="minorHAnsi"/>
          <w:bCs/>
          <w:snapToGrid w:val="0"/>
          <w:lang w:val="en-GB"/>
        </w:rPr>
      </w:pPr>
      <w:r w:rsidRPr="00525B39">
        <w:rPr>
          <w:rFonts w:asciiTheme="minorHAnsi" w:hAnsiTheme="minorHAnsi"/>
          <w:bCs/>
          <w:snapToGrid w:val="0"/>
          <w:lang w:val="en-GB"/>
        </w:rPr>
        <w:t xml:space="preserve">Recommended </w:t>
      </w:r>
    </w:p>
    <w:bookmarkEnd w:id="68"/>
    <w:p w14:paraId="74726BD9" w14:textId="77777777" w:rsidR="00A140EE" w:rsidRPr="00907671" w:rsidRDefault="00A140EE" w:rsidP="00A140EE">
      <w:pPr>
        <w:pStyle w:val="2-SectionHeading"/>
        <w:numPr>
          <w:ilvl w:val="0"/>
          <w:numId w:val="1"/>
        </w:numPr>
      </w:pPr>
      <w:r w:rsidRPr="00907671">
        <w:t>Recommended listing</w:t>
      </w:r>
    </w:p>
    <w:p w14:paraId="767E325C" w14:textId="431CAE1B" w:rsidR="00A140EE" w:rsidRPr="00D34B5F" w:rsidRDefault="00A140EE" w:rsidP="00B83AE3">
      <w:pPr>
        <w:pStyle w:val="3-BodyText"/>
        <w:rPr>
          <w:b/>
          <w:snapToGrid w:val="0"/>
        </w:rPr>
      </w:pPr>
      <w:r w:rsidRPr="00D34B5F">
        <w:rPr>
          <w:snapToGrid w:val="0"/>
        </w:rPr>
        <w:t>Add new item:</w:t>
      </w:r>
    </w:p>
    <w:bookmarkEnd w:id="69"/>
    <w:p w14:paraId="2C61F657" w14:textId="7D18AA10" w:rsidR="002D6186" w:rsidRDefault="002D6186" w:rsidP="00B83AE3">
      <w:pPr>
        <w:spacing w:after="120"/>
        <w:rPr>
          <w:u w:val="single"/>
        </w:rPr>
      </w:pPr>
      <w:r w:rsidRPr="008846ED">
        <w:rPr>
          <w:u w:val="single"/>
        </w:rPr>
        <w:t xml:space="preserve">Initial </w:t>
      </w:r>
    </w:p>
    <w:tbl>
      <w:tblPr>
        <w:tblW w:w="496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8"/>
        <w:gridCol w:w="2648"/>
        <w:gridCol w:w="807"/>
        <w:gridCol w:w="808"/>
        <w:gridCol w:w="807"/>
        <w:gridCol w:w="808"/>
        <w:gridCol w:w="1813"/>
      </w:tblGrid>
      <w:tr w:rsidR="002D6186" w:rsidRPr="00446E53" w14:paraId="38D36842" w14:textId="77777777" w:rsidTr="00686FE7">
        <w:trPr>
          <w:cantSplit/>
          <w:trHeight w:val="20"/>
        </w:trPr>
        <w:tc>
          <w:tcPr>
            <w:tcW w:w="3916" w:type="dxa"/>
            <w:gridSpan w:val="2"/>
            <w:vAlign w:val="center"/>
          </w:tcPr>
          <w:p w14:paraId="453438D4" w14:textId="77777777" w:rsidR="002D6186" w:rsidRPr="00446E53" w:rsidRDefault="002D6186">
            <w:pPr>
              <w:keepLines/>
              <w:rPr>
                <w:rFonts w:ascii="Arial Narrow" w:hAnsi="Arial Narrow"/>
                <w:b/>
                <w:bCs/>
                <w:sz w:val="20"/>
                <w:szCs w:val="20"/>
              </w:rPr>
            </w:pPr>
            <w:r w:rsidRPr="00446E53">
              <w:rPr>
                <w:rFonts w:ascii="Arial Narrow" w:hAnsi="Arial Narrow"/>
                <w:b/>
                <w:bCs/>
                <w:sz w:val="20"/>
                <w:szCs w:val="20"/>
              </w:rPr>
              <w:t>MEDICINAL PRODUCT</w:t>
            </w:r>
          </w:p>
          <w:p w14:paraId="7F74F2F4" w14:textId="77777777" w:rsidR="002D6186" w:rsidRPr="00446E53" w:rsidRDefault="002D6186">
            <w:pPr>
              <w:keepLines/>
              <w:rPr>
                <w:rFonts w:ascii="Arial Narrow" w:hAnsi="Arial Narrow"/>
                <w:b/>
                <w:sz w:val="20"/>
                <w:szCs w:val="20"/>
              </w:rPr>
            </w:pPr>
            <w:r w:rsidRPr="00446E53">
              <w:rPr>
                <w:rFonts w:ascii="Arial Narrow" w:hAnsi="Arial Narrow"/>
                <w:b/>
                <w:bCs/>
                <w:sz w:val="20"/>
                <w:szCs w:val="20"/>
              </w:rPr>
              <w:t>medicinal product pack</w:t>
            </w:r>
          </w:p>
        </w:tc>
        <w:tc>
          <w:tcPr>
            <w:tcW w:w="807" w:type="dxa"/>
            <w:vAlign w:val="center"/>
          </w:tcPr>
          <w:p w14:paraId="449987F5" w14:textId="77777777" w:rsidR="002D6186" w:rsidRPr="00446E53" w:rsidRDefault="002D6186">
            <w:pPr>
              <w:keepLines/>
              <w:jc w:val="center"/>
              <w:rPr>
                <w:rFonts w:ascii="Arial Narrow" w:hAnsi="Arial Narrow"/>
                <w:b/>
                <w:sz w:val="20"/>
                <w:szCs w:val="20"/>
              </w:rPr>
            </w:pPr>
            <w:r w:rsidRPr="00446E53">
              <w:rPr>
                <w:rFonts w:ascii="Arial Narrow" w:hAnsi="Arial Narrow"/>
                <w:b/>
                <w:sz w:val="20"/>
                <w:szCs w:val="20"/>
              </w:rPr>
              <w:t>PBS item code</w:t>
            </w:r>
          </w:p>
        </w:tc>
        <w:tc>
          <w:tcPr>
            <w:tcW w:w="808" w:type="dxa"/>
            <w:vAlign w:val="center"/>
          </w:tcPr>
          <w:p w14:paraId="51018BA8" w14:textId="77777777" w:rsidR="002D6186" w:rsidRPr="00446E53" w:rsidRDefault="002D6186">
            <w:pPr>
              <w:keepLines/>
              <w:jc w:val="center"/>
              <w:rPr>
                <w:rFonts w:ascii="Arial Narrow" w:hAnsi="Arial Narrow"/>
                <w:b/>
                <w:sz w:val="20"/>
                <w:szCs w:val="20"/>
              </w:rPr>
            </w:pPr>
            <w:r w:rsidRPr="00446E53">
              <w:rPr>
                <w:rFonts w:ascii="Arial Narrow" w:hAnsi="Arial Narrow"/>
                <w:b/>
                <w:sz w:val="20"/>
                <w:szCs w:val="20"/>
              </w:rPr>
              <w:t>Max. qty packs</w:t>
            </w:r>
          </w:p>
        </w:tc>
        <w:tc>
          <w:tcPr>
            <w:tcW w:w="807" w:type="dxa"/>
            <w:vAlign w:val="center"/>
          </w:tcPr>
          <w:p w14:paraId="43579B13" w14:textId="77777777" w:rsidR="002D6186" w:rsidRPr="00446E53" w:rsidRDefault="002D6186">
            <w:pPr>
              <w:keepLines/>
              <w:jc w:val="center"/>
              <w:rPr>
                <w:rFonts w:ascii="Arial Narrow" w:hAnsi="Arial Narrow"/>
                <w:b/>
                <w:sz w:val="20"/>
                <w:szCs w:val="20"/>
              </w:rPr>
            </w:pPr>
            <w:r w:rsidRPr="00446E53">
              <w:rPr>
                <w:rFonts w:ascii="Arial Narrow" w:hAnsi="Arial Narrow"/>
                <w:b/>
                <w:sz w:val="20"/>
                <w:szCs w:val="20"/>
              </w:rPr>
              <w:t>Max. qty units</w:t>
            </w:r>
          </w:p>
        </w:tc>
        <w:tc>
          <w:tcPr>
            <w:tcW w:w="808" w:type="dxa"/>
            <w:vAlign w:val="center"/>
          </w:tcPr>
          <w:p w14:paraId="12E50916" w14:textId="77777777" w:rsidR="002D6186" w:rsidRPr="00446E53" w:rsidRDefault="002D6186">
            <w:pPr>
              <w:keepLines/>
              <w:jc w:val="center"/>
              <w:rPr>
                <w:rFonts w:ascii="Arial Narrow" w:hAnsi="Arial Narrow"/>
                <w:b/>
                <w:sz w:val="20"/>
                <w:szCs w:val="20"/>
              </w:rPr>
            </w:pPr>
            <w:r w:rsidRPr="00446E53">
              <w:rPr>
                <w:rFonts w:ascii="Arial Narrow" w:hAnsi="Arial Narrow"/>
                <w:b/>
                <w:sz w:val="20"/>
                <w:szCs w:val="20"/>
              </w:rPr>
              <w:t>№.of</w:t>
            </w:r>
          </w:p>
          <w:p w14:paraId="779A5B05" w14:textId="77777777" w:rsidR="002D6186" w:rsidRPr="00446E53" w:rsidRDefault="002D6186">
            <w:pPr>
              <w:keepLines/>
              <w:jc w:val="center"/>
              <w:rPr>
                <w:rFonts w:ascii="Arial Narrow" w:hAnsi="Arial Narrow"/>
                <w:b/>
                <w:sz w:val="20"/>
                <w:szCs w:val="20"/>
              </w:rPr>
            </w:pPr>
            <w:proofErr w:type="spellStart"/>
            <w:r w:rsidRPr="00446E53">
              <w:rPr>
                <w:rFonts w:ascii="Arial Narrow" w:hAnsi="Arial Narrow"/>
                <w:b/>
                <w:sz w:val="20"/>
                <w:szCs w:val="20"/>
              </w:rPr>
              <w:t>Rpts</w:t>
            </w:r>
            <w:proofErr w:type="spellEnd"/>
          </w:p>
        </w:tc>
        <w:tc>
          <w:tcPr>
            <w:tcW w:w="1813" w:type="dxa"/>
            <w:vAlign w:val="center"/>
          </w:tcPr>
          <w:p w14:paraId="77A2BA56" w14:textId="77777777" w:rsidR="002D6186" w:rsidRPr="00446E53" w:rsidRDefault="002D6186">
            <w:pPr>
              <w:keepLines/>
              <w:rPr>
                <w:rFonts w:ascii="Arial Narrow" w:hAnsi="Arial Narrow"/>
                <w:b/>
                <w:sz w:val="20"/>
                <w:szCs w:val="20"/>
                <w:lang w:val="fr-FR"/>
              </w:rPr>
            </w:pPr>
            <w:r w:rsidRPr="00446E53">
              <w:rPr>
                <w:rFonts w:ascii="Arial Narrow" w:hAnsi="Arial Narrow"/>
                <w:b/>
                <w:sz w:val="20"/>
                <w:szCs w:val="20"/>
              </w:rPr>
              <w:t>Available brands</w:t>
            </w:r>
          </w:p>
        </w:tc>
      </w:tr>
      <w:tr w:rsidR="002D6186" w:rsidRPr="00446E53" w14:paraId="1B390080" w14:textId="77777777" w:rsidTr="00686FE7">
        <w:trPr>
          <w:cantSplit/>
          <w:trHeight w:val="20"/>
        </w:trPr>
        <w:tc>
          <w:tcPr>
            <w:tcW w:w="8959" w:type="dxa"/>
            <w:gridSpan w:val="7"/>
            <w:vAlign w:val="center"/>
          </w:tcPr>
          <w:p w14:paraId="21537EED" w14:textId="77777777" w:rsidR="002D6186" w:rsidRPr="00EA24BD" w:rsidRDefault="002D6186">
            <w:pPr>
              <w:keepLines/>
              <w:rPr>
                <w:rFonts w:ascii="Arial Narrow" w:hAnsi="Arial Narrow"/>
                <w:sz w:val="20"/>
                <w:szCs w:val="20"/>
              </w:rPr>
            </w:pPr>
            <w:r>
              <w:rPr>
                <w:rFonts w:ascii="Arial Narrow" w:hAnsi="Arial Narrow" w:cs="Segoe UI"/>
                <w:sz w:val="20"/>
                <w:szCs w:val="20"/>
                <w:lang w:eastAsia="en-US"/>
              </w:rPr>
              <w:t>BIMEKIZUMAB</w:t>
            </w:r>
          </w:p>
        </w:tc>
      </w:tr>
      <w:tr w:rsidR="002D6186" w:rsidRPr="00446E53" w14:paraId="4E1847FD" w14:textId="77777777" w:rsidTr="00686FE7">
        <w:trPr>
          <w:cantSplit/>
          <w:trHeight w:val="20"/>
        </w:trPr>
        <w:tc>
          <w:tcPr>
            <w:tcW w:w="3916" w:type="dxa"/>
            <w:gridSpan w:val="2"/>
            <w:vAlign w:val="center"/>
          </w:tcPr>
          <w:p w14:paraId="74D4DD07" w14:textId="77777777" w:rsidR="002D6186" w:rsidRPr="00EA24BD" w:rsidRDefault="002D6186">
            <w:pPr>
              <w:keepLines/>
              <w:rPr>
                <w:rFonts w:ascii="Arial Narrow" w:hAnsi="Arial Narrow"/>
                <w:sz w:val="20"/>
                <w:szCs w:val="20"/>
              </w:rPr>
            </w:pPr>
            <w:r w:rsidRPr="6EFCEB1B">
              <w:rPr>
                <w:rFonts w:ascii="Arial Narrow" w:hAnsi="Arial Narrow"/>
                <w:sz w:val="20"/>
                <w:szCs w:val="20"/>
              </w:rPr>
              <w:t>bimekizumab 160 mg/mL injection, 2 x 1 mL pen devices</w:t>
            </w:r>
          </w:p>
        </w:tc>
        <w:tc>
          <w:tcPr>
            <w:tcW w:w="807" w:type="dxa"/>
            <w:vAlign w:val="center"/>
          </w:tcPr>
          <w:p w14:paraId="25304E08" w14:textId="77777777" w:rsidR="002D6186" w:rsidRPr="00EA24BD" w:rsidRDefault="002D6186">
            <w:pPr>
              <w:keepLines/>
              <w:jc w:val="center"/>
              <w:rPr>
                <w:rFonts w:ascii="Arial Narrow" w:hAnsi="Arial Narrow"/>
                <w:sz w:val="20"/>
                <w:szCs w:val="20"/>
              </w:rPr>
            </w:pPr>
            <w:r w:rsidRPr="00EA24BD">
              <w:rPr>
                <w:rFonts w:ascii="Arial Narrow" w:hAnsi="Arial Narrow"/>
                <w:sz w:val="20"/>
                <w:szCs w:val="20"/>
              </w:rPr>
              <w:t>NEW</w:t>
            </w:r>
          </w:p>
        </w:tc>
        <w:tc>
          <w:tcPr>
            <w:tcW w:w="808" w:type="dxa"/>
            <w:vAlign w:val="center"/>
          </w:tcPr>
          <w:p w14:paraId="492E3F61" w14:textId="77777777" w:rsidR="002D6186" w:rsidRPr="00EA24BD" w:rsidRDefault="002D6186">
            <w:pPr>
              <w:keepLines/>
              <w:jc w:val="center"/>
              <w:rPr>
                <w:rFonts w:ascii="Arial Narrow" w:hAnsi="Arial Narrow"/>
                <w:sz w:val="20"/>
                <w:szCs w:val="20"/>
              </w:rPr>
            </w:pPr>
            <w:r>
              <w:rPr>
                <w:rFonts w:ascii="Arial Narrow" w:hAnsi="Arial Narrow"/>
                <w:sz w:val="20"/>
                <w:szCs w:val="20"/>
              </w:rPr>
              <w:t>2</w:t>
            </w:r>
          </w:p>
        </w:tc>
        <w:tc>
          <w:tcPr>
            <w:tcW w:w="807" w:type="dxa"/>
            <w:vAlign w:val="center"/>
          </w:tcPr>
          <w:p w14:paraId="0E42481B" w14:textId="77777777" w:rsidR="002D6186" w:rsidRPr="00EA24BD" w:rsidRDefault="002D6186">
            <w:pPr>
              <w:keepLines/>
              <w:jc w:val="center"/>
              <w:rPr>
                <w:rFonts w:ascii="Arial Narrow" w:hAnsi="Arial Narrow"/>
                <w:sz w:val="20"/>
                <w:szCs w:val="20"/>
              </w:rPr>
            </w:pPr>
            <w:r>
              <w:rPr>
                <w:rFonts w:ascii="Arial Narrow" w:hAnsi="Arial Narrow"/>
                <w:sz w:val="20"/>
                <w:szCs w:val="20"/>
              </w:rPr>
              <w:t>4</w:t>
            </w:r>
          </w:p>
        </w:tc>
        <w:tc>
          <w:tcPr>
            <w:tcW w:w="808" w:type="dxa"/>
            <w:vAlign w:val="center"/>
          </w:tcPr>
          <w:p w14:paraId="1FD4DB73" w14:textId="77777777" w:rsidR="002D6186" w:rsidRPr="00EA24BD" w:rsidRDefault="002D6186">
            <w:pPr>
              <w:keepLines/>
              <w:jc w:val="center"/>
              <w:rPr>
                <w:rFonts w:ascii="Arial Narrow" w:hAnsi="Arial Narrow"/>
                <w:sz w:val="20"/>
                <w:szCs w:val="20"/>
              </w:rPr>
            </w:pPr>
            <w:r>
              <w:rPr>
                <w:rFonts w:ascii="Arial Narrow" w:hAnsi="Arial Narrow"/>
                <w:sz w:val="20"/>
                <w:szCs w:val="20"/>
              </w:rPr>
              <w:t>3</w:t>
            </w:r>
          </w:p>
        </w:tc>
        <w:tc>
          <w:tcPr>
            <w:tcW w:w="1813" w:type="dxa"/>
            <w:vMerge w:val="restart"/>
            <w:vAlign w:val="center"/>
          </w:tcPr>
          <w:p w14:paraId="43F381A0" w14:textId="39125731" w:rsidR="002D6186" w:rsidRPr="00EA24BD" w:rsidRDefault="002D6186">
            <w:pPr>
              <w:keepLines/>
              <w:rPr>
                <w:rFonts w:ascii="Arial Narrow" w:hAnsi="Arial Narrow"/>
                <w:sz w:val="20"/>
                <w:szCs w:val="20"/>
              </w:rPr>
            </w:pPr>
            <w:proofErr w:type="spellStart"/>
            <w:r w:rsidRPr="6EFCEB1B">
              <w:rPr>
                <w:rFonts w:ascii="Arial Narrow" w:hAnsi="Arial Narrow"/>
                <w:sz w:val="20"/>
                <w:szCs w:val="20"/>
              </w:rPr>
              <w:t>Bimzelx</w:t>
            </w:r>
            <w:proofErr w:type="spellEnd"/>
          </w:p>
          <w:p w14:paraId="6FC0AF76" w14:textId="77777777" w:rsidR="002D6186" w:rsidRPr="00EA24BD" w:rsidRDefault="002D6186">
            <w:pPr>
              <w:keepLines/>
              <w:rPr>
                <w:rFonts w:ascii="Arial Narrow" w:hAnsi="Arial Narrow"/>
                <w:sz w:val="20"/>
                <w:szCs w:val="20"/>
              </w:rPr>
            </w:pPr>
          </w:p>
        </w:tc>
      </w:tr>
      <w:tr w:rsidR="002D6186" w:rsidRPr="00446E53" w14:paraId="4951041E" w14:textId="77777777" w:rsidTr="00686FE7">
        <w:trPr>
          <w:cantSplit/>
          <w:trHeight w:val="20"/>
        </w:trPr>
        <w:tc>
          <w:tcPr>
            <w:tcW w:w="3916" w:type="dxa"/>
            <w:gridSpan w:val="2"/>
            <w:vAlign w:val="center"/>
          </w:tcPr>
          <w:p w14:paraId="148E9426" w14:textId="77777777" w:rsidR="002D6186" w:rsidRPr="00EA24BD" w:rsidRDefault="002D6186">
            <w:pPr>
              <w:keepLines/>
              <w:rPr>
                <w:rFonts w:ascii="Arial Narrow" w:hAnsi="Arial Narrow"/>
                <w:sz w:val="20"/>
                <w:szCs w:val="20"/>
              </w:rPr>
            </w:pPr>
            <w:bookmarkStart w:id="71" w:name="_Hlk177412462"/>
            <w:r w:rsidRPr="6EFCEB1B">
              <w:rPr>
                <w:rFonts w:ascii="Arial Narrow" w:hAnsi="Arial Narrow"/>
                <w:sz w:val="20"/>
                <w:szCs w:val="20"/>
              </w:rPr>
              <w:t xml:space="preserve">bimekizumab 160 mg/mL </w:t>
            </w:r>
            <w:bookmarkEnd w:id="71"/>
            <w:r w:rsidRPr="6EFCEB1B">
              <w:rPr>
                <w:rFonts w:ascii="Arial Narrow" w:hAnsi="Arial Narrow"/>
                <w:sz w:val="20"/>
                <w:szCs w:val="20"/>
              </w:rPr>
              <w:t>injection, 2 x 1 mL syringe</w:t>
            </w:r>
          </w:p>
        </w:tc>
        <w:tc>
          <w:tcPr>
            <w:tcW w:w="807" w:type="dxa"/>
            <w:vAlign w:val="center"/>
          </w:tcPr>
          <w:p w14:paraId="3CD6241C" w14:textId="77777777" w:rsidR="002D6186" w:rsidRPr="00EA24BD" w:rsidRDefault="002D6186">
            <w:pPr>
              <w:keepLines/>
              <w:jc w:val="center"/>
              <w:rPr>
                <w:rFonts w:ascii="Arial Narrow" w:hAnsi="Arial Narrow"/>
                <w:sz w:val="20"/>
                <w:szCs w:val="20"/>
              </w:rPr>
            </w:pPr>
            <w:r w:rsidRPr="00A4334D">
              <w:rPr>
                <w:rFonts w:ascii="Arial Narrow" w:hAnsi="Arial Narrow"/>
                <w:sz w:val="20"/>
                <w:szCs w:val="20"/>
              </w:rPr>
              <w:t>NEW </w:t>
            </w:r>
          </w:p>
        </w:tc>
        <w:tc>
          <w:tcPr>
            <w:tcW w:w="808" w:type="dxa"/>
            <w:vAlign w:val="center"/>
          </w:tcPr>
          <w:p w14:paraId="7E3429C0" w14:textId="77777777" w:rsidR="002D6186" w:rsidRPr="00EA24BD" w:rsidRDefault="002D6186">
            <w:pPr>
              <w:keepLines/>
              <w:jc w:val="center"/>
              <w:rPr>
                <w:rFonts w:ascii="Arial Narrow" w:hAnsi="Arial Narrow"/>
                <w:sz w:val="20"/>
                <w:szCs w:val="20"/>
              </w:rPr>
            </w:pPr>
            <w:r>
              <w:rPr>
                <w:rFonts w:ascii="Arial Narrow" w:hAnsi="Arial Narrow"/>
                <w:sz w:val="20"/>
                <w:szCs w:val="20"/>
              </w:rPr>
              <w:t>2</w:t>
            </w:r>
          </w:p>
        </w:tc>
        <w:tc>
          <w:tcPr>
            <w:tcW w:w="807" w:type="dxa"/>
            <w:vAlign w:val="center"/>
          </w:tcPr>
          <w:p w14:paraId="323293F3" w14:textId="77777777" w:rsidR="002D6186" w:rsidRPr="00EA24BD" w:rsidRDefault="002D6186">
            <w:pPr>
              <w:keepLines/>
              <w:jc w:val="center"/>
              <w:rPr>
                <w:rFonts w:ascii="Arial Narrow" w:hAnsi="Arial Narrow"/>
                <w:sz w:val="20"/>
                <w:szCs w:val="20"/>
              </w:rPr>
            </w:pPr>
            <w:r>
              <w:rPr>
                <w:rFonts w:ascii="Arial Narrow" w:hAnsi="Arial Narrow"/>
                <w:sz w:val="20"/>
                <w:szCs w:val="20"/>
              </w:rPr>
              <w:t>4</w:t>
            </w:r>
          </w:p>
        </w:tc>
        <w:tc>
          <w:tcPr>
            <w:tcW w:w="808" w:type="dxa"/>
            <w:vAlign w:val="center"/>
          </w:tcPr>
          <w:p w14:paraId="5962AC04" w14:textId="77777777" w:rsidR="002D6186" w:rsidRDefault="002D6186">
            <w:pPr>
              <w:keepLines/>
              <w:jc w:val="center"/>
              <w:rPr>
                <w:rFonts w:ascii="Arial Narrow" w:hAnsi="Arial Narrow"/>
                <w:sz w:val="20"/>
                <w:szCs w:val="20"/>
              </w:rPr>
            </w:pPr>
            <w:r>
              <w:rPr>
                <w:rFonts w:ascii="Arial Narrow" w:hAnsi="Arial Narrow"/>
                <w:sz w:val="20"/>
                <w:szCs w:val="20"/>
              </w:rPr>
              <w:t>3</w:t>
            </w:r>
          </w:p>
        </w:tc>
        <w:tc>
          <w:tcPr>
            <w:tcW w:w="1813" w:type="dxa"/>
            <w:vMerge/>
            <w:vAlign w:val="center"/>
          </w:tcPr>
          <w:p w14:paraId="396DEE05" w14:textId="77777777" w:rsidR="002D6186" w:rsidRPr="00EA24BD" w:rsidRDefault="002D6186">
            <w:pPr>
              <w:keepLines/>
              <w:rPr>
                <w:rFonts w:ascii="Arial Narrow" w:hAnsi="Arial Narrow"/>
                <w:sz w:val="20"/>
                <w:szCs w:val="20"/>
              </w:rPr>
            </w:pPr>
          </w:p>
        </w:tc>
      </w:tr>
      <w:tr w:rsidR="002D6186" w:rsidRPr="00446E53" w14:paraId="75FD4807" w14:textId="77777777" w:rsidTr="00686FE7">
        <w:trPr>
          <w:cantSplit/>
          <w:trHeight w:val="20"/>
        </w:trPr>
        <w:tc>
          <w:tcPr>
            <w:tcW w:w="3916" w:type="dxa"/>
            <w:gridSpan w:val="2"/>
            <w:vAlign w:val="center"/>
          </w:tcPr>
          <w:p w14:paraId="4417C59F" w14:textId="77777777" w:rsidR="002D6186" w:rsidRPr="00EA24BD" w:rsidRDefault="002D6186">
            <w:pPr>
              <w:keepLines/>
              <w:rPr>
                <w:rFonts w:ascii="Arial Narrow" w:hAnsi="Arial Narrow"/>
                <w:sz w:val="20"/>
                <w:szCs w:val="20"/>
              </w:rPr>
            </w:pPr>
            <w:r w:rsidRPr="6EFCEB1B">
              <w:rPr>
                <w:rFonts w:ascii="Arial Narrow" w:hAnsi="Arial Narrow"/>
                <w:sz w:val="20"/>
                <w:szCs w:val="20"/>
              </w:rPr>
              <w:t>bimekizumab 320 mg/2mL injection, 1 x 2 mL pen devices</w:t>
            </w:r>
          </w:p>
        </w:tc>
        <w:tc>
          <w:tcPr>
            <w:tcW w:w="807" w:type="dxa"/>
            <w:vAlign w:val="center"/>
          </w:tcPr>
          <w:p w14:paraId="5F052C9E" w14:textId="77777777" w:rsidR="002D6186" w:rsidRPr="00A4334D" w:rsidRDefault="002D6186">
            <w:pPr>
              <w:keepLines/>
              <w:jc w:val="center"/>
              <w:rPr>
                <w:rFonts w:ascii="Arial Narrow" w:hAnsi="Arial Narrow"/>
                <w:sz w:val="20"/>
                <w:szCs w:val="20"/>
              </w:rPr>
            </w:pPr>
            <w:r>
              <w:rPr>
                <w:rFonts w:ascii="Arial Narrow" w:hAnsi="Arial Narrow"/>
                <w:sz w:val="20"/>
                <w:szCs w:val="20"/>
              </w:rPr>
              <w:t>NEW</w:t>
            </w:r>
          </w:p>
        </w:tc>
        <w:tc>
          <w:tcPr>
            <w:tcW w:w="808" w:type="dxa"/>
            <w:vAlign w:val="center"/>
          </w:tcPr>
          <w:p w14:paraId="648D8AA7" w14:textId="77777777" w:rsidR="002D6186" w:rsidRPr="00EA24BD" w:rsidRDefault="002D6186">
            <w:pPr>
              <w:keepLines/>
              <w:jc w:val="center"/>
              <w:rPr>
                <w:rFonts w:ascii="Arial Narrow" w:hAnsi="Arial Narrow"/>
                <w:sz w:val="20"/>
                <w:szCs w:val="20"/>
              </w:rPr>
            </w:pPr>
            <w:r>
              <w:rPr>
                <w:rFonts w:ascii="Arial Narrow" w:hAnsi="Arial Narrow"/>
                <w:sz w:val="20"/>
                <w:szCs w:val="20"/>
              </w:rPr>
              <w:t>2</w:t>
            </w:r>
          </w:p>
        </w:tc>
        <w:tc>
          <w:tcPr>
            <w:tcW w:w="807" w:type="dxa"/>
            <w:vAlign w:val="center"/>
          </w:tcPr>
          <w:p w14:paraId="250D2008" w14:textId="77777777" w:rsidR="002D6186" w:rsidRPr="00EA24BD" w:rsidRDefault="002D6186">
            <w:pPr>
              <w:keepLines/>
              <w:jc w:val="center"/>
              <w:rPr>
                <w:rFonts w:ascii="Arial Narrow" w:hAnsi="Arial Narrow"/>
                <w:sz w:val="20"/>
                <w:szCs w:val="20"/>
              </w:rPr>
            </w:pPr>
            <w:r>
              <w:rPr>
                <w:rFonts w:ascii="Arial Narrow" w:hAnsi="Arial Narrow"/>
                <w:sz w:val="20"/>
                <w:szCs w:val="20"/>
              </w:rPr>
              <w:t>2</w:t>
            </w:r>
          </w:p>
        </w:tc>
        <w:tc>
          <w:tcPr>
            <w:tcW w:w="808" w:type="dxa"/>
            <w:vAlign w:val="center"/>
          </w:tcPr>
          <w:p w14:paraId="039293F3" w14:textId="77777777" w:rsidR="002D6186" w:rsidRDefault="002D6186">
            <w:pPr>
              <w:keepLines/>
              <w:jc w:val="center"/>
              <w:rPr>
                <w:rFonts w:ascii="Arial Narrow" w:hAnsi="Arial Narrow"/>
                <w:sz w:val="20"/>
                <w:szCs w:val="20"/>
              </w:rPr>
            </w:pPr>
            <w:r>
              <w:rPr>
                <w:rFonts w:ascii="Arial Narrow" w:hAnsi="Arial Narrow"/>
                <w:sz w:val="20"/>
                <w:szCs w:val="20"/>
              </w:rPr>
              <w:t>3</w:t>
            </w:r>
          </w:p>
        </w:tc>
        <w:tc>
          <w:tcPr>
            <w:tcW w:w="1813" w:type="dxa"/>
            <w:vMerge/>
            <w:vAlign w:val="center"/>
          </w:tcPr>
          <w:p w14:paraId="294277DE" w14:textId="77777777" w:rsidR="002D6186" w:rsidRPr="00EA24BD" w:rsidRDefault="002D6186">
            <w:pPr>
              <w:keepLines/>
              <w:rPr>
                <w:rFonts w:ascii="Arial Narrow" w:hAnsi="Arial Narrow"/>
                <w:sz w:val="20"/>
                <w:szCs w:val="20"/>
              </w:rPr>
            </w:pPr>
          </w:p>
        </w:tc>
      </w:tr>
      <w:tr w:rsidR="002D6186" w:rsidRPr="00446E53" w14:paraId="70FDB739" w14:textId="77777777" w:rsidTr="00686FE7">
        <w:trPr>
          <w:cantSplit/>
          <w:trHeight w:val="20"/>
        </w:trPr>
        <w:tc>
          <w:tcPr>
            <w:tcW w:w="3916" w:type="dxa"/>
            <w:gridSpan w:val="2"/>
            <w:vAlign w:val="center"/>
          </w:tcPr>
          <w:p w14:paraId="10C12038" w14:textId="77777777" w:rsidR="002D6186" w:rsidRPr="00EA24BD" w:rsidRDefault="002D6186">
            <w:pPr>
              <w:keepLines/>
              <w:rPr>
                <w:rFonts w:ascii="Arial Narrow" w:hAnsi="Arial Narrow"/>
                <w:sz w:val="20"/>
                <w:szCs w:val="20"/>
              </w:rPr>
            </w:pPr>
            <w:r w:rsidRPr="6EFCEB1B">
              <w:rPr>
                <w:rFonts w:ascii="Arial Narrow" w:hAnsi="Arial Narrow"/>
                <w:sz w:val="20"/>
                <w:szCs w:val="20"/>
              </w:rPr>
              <w:t>bimekizumab 320 mg/2mL injection, 1 x 2 mL syringe</w:t>
            </w:r>
          </w:p>
        </w:tc>
        <w:tc>
          <w:tcPr>
            <w:tcW w:w="807" w:type="dxa"/>
            <w:vAlign w:val="center"/>
          </w:tcPr>
          <w:p w14:paraId="5BFDB891" w14:textId="77777777" w:rsidR="002D6186" w:rsidRPr="00A4334D" w:rsidRDefault="002D6186">
            <w:pPr>
              <w:keepLines/>
              <w:jc w:val="center"/>
              <w:rPr>
                <w:rFonts w:ascii="Arial Narrow" w:hAnsi="Arial Narrow"/>
                <w:sz w:val="20"/>
                <w:szCs w:val="20"/>
              </w:rPr>
            </w:pPr>
            <w:r>
              <w:rPr>
                <w:rFonts w:ascii="Arial Narrow" w:hAnsi="Arial Narrow"/>
                <w:sz w:val="20"/>
                <w:szCs w:val="20"/>
              </w:rPr>
              <w:t>NEW</w:t>
            </w:r>
          </w:p>
        </w:tc>
        <w:tc>
          <w:tcPr>
            <w:tcW w:w="808" w:type="dxa"/>
            <w:vAlign w:val="center"/>
          </w:tcPr>
          <w:p w14:paraId="2F9E83AB" w14:textId="77777777" w:rsidR="002D6186" w:rsidRPr="00EA24BD" w:rsidRDefault="002D6186">
            <w:pPr>
              <w:keepLines/>
              <w:jc w:val="center"/>
              <w:rPr>
                <w:rFonts w:ascii="Arial Narrow" w:hAnsi="Arial Narrow"/>
                <w:sz w:val="20"/>
                <w:szCs w:val="20"/>
              </w:rPr>
            </w:pPr>
            <w:r>
              <w:rPr>
                <w:rFonts w:ascii="Arial Narrow" w:hAnsi="Arial Narrow"/>
                <w:sz w:val="20"/>
                <w:szCs w:val="20"/>
              </w:rPr>
              <w:t>2</w:t>
            </w:r>
          </w:p>
        </w:tc>
        <w:tc>
          <w:tcPr>
            <w:tcW w:w="807" w:type="dxa"/>
            <w:vAlign w:val="center"/>
          </w:tcPr>
          <w:p w14:paraId="6F2E0DA9" w14:textId="77777777" w:rsidR="002D6186" w:rsidRPr="00EA24BD" w:rsidRDefault="002D6186">
            <w:pPr>
              <w:keepLines/>
              <w:jc w:val="center"/>
              <w:rPr>
                <w:rFonts w:ascii="Arial Narrow" w:hAnsi="Arial Narrow"/>
                <w:sz w:val="20"/>
                <w:szCs w:val="20"/>
              </w:rPr>
            </w:pPr>
            <w:r>
              <w:rPr>
                <w:rFonts w:ascii="Arial Narrow" w:hAnsi="Arial Narrow"/>
                <w:sz w:val="20"/>
                <w:szCs w:val="20"/>
              </w:rPr>
              <w:t>2</w:t>
            </w:r>
          </w:p>
        </w:tc>
        <w:tc>
          <w:tcPr>
            <w:tcW w:w="808" w:type="dxa"/>
            <w:vAlign w:val="center"/>
          </w:tcPr>
          <w:p w14:paraId="54CF04BA" w14:textId="77777777" w:rsidR="002D6186" w:rsidRDefault="002D6186">
            <w:pPr>
              <w:keepLines/>
              <w:jc w:val="center"/>
              <w:rPr>
                <w:rFonts w:ascii="Arial Narrow" w:hAnsi="Arial Narrow"/>
                <w:sz w:val="20"/>
                <w:szCs w:val="20"/>
              </w:rPr>
            </w:pPr>
            <w:r>
              <w:rPr>
                <w:rFonts w:ascii="Arial Narrow" w:hAnsi="Arial Narrow"/>
                <w:sz w:val="20"/>
                <w:szCs w:val="20"/>
              </w:rPr>
              <w:t>3</w:t>
            </w:r>
          </w:p>
        </w:tc>
        <w:tc>
          <w:tcPr>
            <w:tcW w:w="1813" w:type="dxa"/>
            <w:vMerge/>
            <w:vAlign w:val="center"/>
          </w:tcPr>
          <w:p w14:paraId="24F548FC" w14:textId="77777777" w:rsidR="002D6186" w:rsidRPr="00EA24BD" w:rsidRDefault="002D6186">
            <w:pPr>
              <w:keepLines/>
              <w:rPr>
                <w:rFonts w:ascii="Arial Narrow" w:hAnsi="Arial Narrow"/>
                <w:sz w:val="20"/>
                <w:szCs w:val="20"/>
              </w:rPr>
            </w:pPr>
          </w:p>
        </w:tc>
      </w:tr>
      <w:tr w:rsidR="002D6186" w:rsidRPr="00446E53" w14:paraId="31AF7158" w14:textId="77777777" w:rsidTr="00686FE7">
        <w:tblPrEx>
          <w:tblCellMar>
            <w:top w:w="15" w:type="dxa"/>
            <w:bottom w:w="15" w:type="dxa"/>
          </w:tblCellMar>
          <w:tblLook w:val="04A0" w:firstRow="1" w:lastRow="0" w:firstColumn="1" w:lastColumn="0" w:noHBand="0" w:noVBand="1"/>
        </w:tblPrEx>
        <w:trPr>
          <w:trHeight w:val="20"/>
        </w:trPr>
        <w:tc>
          <w:tcPr>
            <w:tcW w:w="8959" w:type="dxa"/>
            <w:gridSpan w:val="7"/>
            <w:tcBorders>
              <w:top w:val="single" w:sz="4" w:space="0" w:color="auto"/>
              <w:left w:val="single" w:sz="4" w:space="0" w:color="auto"/>
              <w:right w:val="single" w:sz="4" w:space="0" w:color="auto"/>
            </w:tcBorders>
            <w:vAlign w:val="center"/>
          </w:tcPr>
          <w:p w14:paraId="506AF114" w14:textId="77777777" w:rsidR="002D6186" w:rsidRPr="00446E53" w:rsidRDefault="002D6186">
            <w:pPr>
              <w:rPr>
                <w:rFonts w:ascii="Arial Narrow" w:hAnsi="Arial Narrow"/>
                <w:sz w:val="20"/>
                <w:szCs w:val="20"/>
              </w:rPr>
            </w:pPr>
          </w:p>
        </w:tc>
      </w:tr>
      <w:tr w:rsidR="00686FE7" w:rsidRPr="00446E53" w14:paraId="7DB9B916" w14:textId="77777777" w:rsidTr="00686FE7">
        <w:tblPrEx>
          <w:tblCellMar>
            <w:top w:w="15" w:type="dxa"/>
            <w:bottom w:w="15" w:type="dxa"/>
          </w:tblCellMar>
          <w:tblLook w:val="04A0" w:firstRow="1" w:lastRow="0" w:firstColumn="1" w:lastColumn="0" w:noHBand="0" w:noVBand="1"/>
        </w:tblPrEx>
        <w:trPr>
          <w:trHeight w:val="20"/>
        </w:trPr>
        <w:tc>
          <w:tcPr>
            <w:tcW w:w="8959" w:type="dxa"/>
            <w:gridSpan w:val="7"/>
            <w:tcBorders>
              <w:top w:val="single" w:sz="4" w:space="0" w:color="auto"/>
              <w:left w:val="single" w:sz="4" w:space="0" w:color="auto"/>
              <w:bottom w:val="single" w:sz="4" w:space="0" w:color="auto"/>
              <w:right w:val="single" w:sz="4" w:space="0" w:color="auto"/>
            </w:tcBorders>
            <w:vAlign w:val="center"/>
          </w:tcPr>
          <w:p w14:paraId="3157508B" w14:textId="77777777" w:rsidR="00686FE7" w:rsidRPr="00736BC8" w:rsidRDefault="00686FE7">
            <w:pPr>
              <w:keepLines/>
              <w:rPr>
                <w:rFonts w:ascii="Arial Narrow" w:hAnsi="Arial Narrow"/>
                <w:sz w:val="20"/>
                <w:szCs w:val="20"/>
              </w:rPr>
            </w:pPr>
            <w:r w:rsidRPr="00736BC8">
              <w:rPr>
                <w:rFonts w:ascii="Arial Narrow" w:hAnsi="Arial Narrow"/>
                <w:b/>
                <w:sz w:val="20"/>
                <w:szCs w:val="20"/>
              </w:rPr>
              <w:t>Category / Program:</w:t>
            </w:r>
            <w:r w:rsidRPr="00736BC8">
              <w:rPr>
                <w:rFonts w:ascii="Arial Narrow" w:hAnsi="Arial Narrow"/>
                <w:sz w:val="20"/>
                <w:szCs w:val="20"/>
              </w:rPr>
              <w:t xml:space="preserve"> </w:t>
            </w:r>
            <w:r w:rsidRPr="00736BC8">
              <w:rPr>
                <w:rFonts w:ascii="Arial Narrow" w:eastAsia="Calibri" w:hAnsi="Arial Narrow"/>
                <w:sz w:val="20"/>
                <w:szCs w:val="20"/>
              </w:rPr>
              <w:fldChar w:fldCharType="begin" w:fldLock="1">
                <w:ffData>
                  <w:name w:val=""/>
                  <w:enabled/>
                  <w:calcOnExit w:val="0"/>
                  <w:checkBox>
                    <w:sizeAuto/>
                    <w:default w:val="1"/>
                  </w:checkBox>
                </w:ffData>
              </w:fldChar>
            </w:r>
            <w:r w:rsidRPr="00736BC8">
              <w:rPr>
                <w:rFonts w:ascii="Arial Narrow" w:eastAsia="Calibri" w:hAnsi="Arial Narrow"/>
                <w:sz w:val="20"/>
                <w:szCs w:val="20"/>
              </w:rPr>
              <w:instrText xml:space="preserve"> FORMCHECKBOX </w:instrText>
            </w:r>
            <w:r w:rsidRPr="00736BC8">
              <w:rPr>
                <w:rFonts w:ascii="Arial Narrow" w:eastAsia="Calibri" w:hAnsi="Arial Narrow"/>
                <w:sz w:val="20"/>
                <w:szCs w:val="20"/>
              </w:rPr>
            </w:r>
            <w:r w:rsidRPr="00736BC8">
              <w:rPr>
                <w:rFonts w:ascii="Arial Narrow" w:eastAsia="Calibri" w:hAnsi="Arial Narrow"/>
                <w:sz w:val="20"/>
                <w:szCs w:val="20"/>
              </w:rPr>
              <w:fldChar w:fldCharType="separate"/>
            </w:r>
            <w:r w:rsidRPr="00736BC8">
              <w:rPr>
                <w:rFonts w:ascii="Arial Narrow" w:eastAsia="Calibri" w:hAnsi="Arial Narrow"/>
                <w:sz w:val="20"/>
                <w:szCs w:val="20"/>
              </w:rPr>
              <w:fldChar w:fldCharType="end"/>
            </w:r>
            <w:r w:rsidRPr="00736BC8">
              <w:rPr>
                <w:rFonts w:ascii="Arial Narrow" w:eastAsia="Calibri" w:hAnsi="Arial Narrow"/>
                <w:sz w:val="20"/>
                <w:szCs w:val="20"/>
              </w:rPr>
              <w:t xml:space="preserve"> GENERAL - General Schedule (Code GE) </w:t>
            </w:r>
          </w:p>
        </w:tc>
      </w:tr>
      <w:tr w:rsidR="00686FE7" w:rsidRPr="00446E53" w14:paraId="69853515" w14:textId="77777777" w:rsidTr="00686FE7">
        <w:tblPrEx>
          <w:tblCellMar>
            <w:top w:w="15" w:type="dxa"/>
            <w:bottom w:w="15" w:type="dxa"/>
          </w:tblCellMar>
          <w:tblLook w:val="04A0" w:firstRow="1" w:lastRow="0" w:firstColumn="1" w:lastColumn="0" w:noHBand="0" w:noVBand="1"/>
        </w:tblPrEx>
        <w:trPr>
          <w:trHeight w:val="20"/>
        </w:trPr>
        <w:tc>
          <w:tcPr>
            <w:tcW w:w="8959" w:type="dxa"/>
            <w:gridSpan w:val="7"/>
            <w:tcBorders>
              <w:top w:val="single" w:sz="4" w:space="0" w:color="auto"/>
              <w:left w:val="single" w:sz="4" w:space="0" w:color="auto"/>
              <w:bottom w:val="single" w:sz="4" w:space="0" w:color="auto"/>
              <w:right w:val="single" w:sz="4" w:space="0" w:color="auto"/>
            </w:tcBorders>
            <w:vAlign w:val="center"/>
          </w:tcPr>
          <w:p w14:paraId="3719880D" w14:textId="77777777" w:rsidR="00686FE7" w:rsidRPr="00736BC8" w:rsidRDefault="00686FE7">
            <w:pPr>
              <w:keepLines/>
              <w:rPr>
                <w:rFonts w:ascii="Arial Narrow" w:hAnsi="Arial Narrow"/>
                <w:b/>
                <w:sz w:val="20"/>
                <w:szCs w:val="20"/>
              </w:rPr>
            </w:pPr>
            <w:r w:rsidRPr="00736BC8">
              <w:rPr>
                <w:rFonts w:ascii="Arial Narrow" w:hAnsi="Arial Narrow"/>
                <w:b/>
                <w:sz w:val="20"/>
                <w:szCs w:val="20"/>
              </w:rPr>
              <w:t xml:space="preserve">Prescriber type: </w:t>
            </w:r>
            <w:r w:rsidRPr="00736BC8">
              <w:rPr>
                <w:rFonts w:ascii="Arial Narrow" w:hAnsi="Arial Narrow"/>
                <w:sz w:val="20"/>
                <w:szCs w:val="20"/>
              </w:rPr>
              <w:fldChar w:fldCharType="begin" w:fldLock="1">
                <w:ffData>
                  <w:name w:val=""/>
                  <w:enabled/>
                  <w:calcOnExit w:val="0"/>
                  <w:checkBox>
                    <w:sizeAuto/>
                    <w:default w:val="1"/>
                  </w:checkBox>
                </w:ffData>
              </w:fldChar>
            </w:r>
            <w:r w:rsidRPr="00736BC8">
              <w:rPr>
                <w:rFonts w:ascii="Arial Narrow" w:hAnsi="Arial Narrow"/>
                <w:sz w:val="20"/>
                <w:szCs w:val="20"/>
              </w:rPr>
              <w:instrText xml:space="preserve"> FORMCHECKBOX </w:instrText>
            </w:r>
            <w:r w:rsidRPr="00736BC8">
              <w:rPr>
                <w:rFonts w:ascii="Arial Narrow" w:hAnsi="Arial Narrow"/>
                <w:sz w:val="20"/>
                <w:szCs w:val="20"/>
              </w:rPr>
            </w:r>
            <w:r w:rsidRPr="00736BC8">
              <w:rPr>
                <w:rFonts w:ascii="Arial Narrow" w:hAnsi="Arial Narrow"/>
                <w:sz w:val="20"/>
                <w:szCs w:val="20"/>
              </w:rPr>
              <w:fldChar w:fldCharType="separate"/>
            </w:r>
            <w:r w:rsidRPr="00736BC8">
              <w:rPr>
                <w:rFonts w:ascii="Arial Narrow" w:hAnsi="Arial Narrow"/>
                <w:sz w:val="20"/>
                <w:szCs w:val="20"/>
              </w:rPr>
              <w:fldChar w:fldCharType="end"/>
            </w:r>
            <w:r w:rsidRPr="00736BC8">
              <w:rPr>
                <w:rFonts w:ascii="Arial Narrow" w:hAnsi="Arial Narrow"/>
                <w:sz w:val="20"/>
                <w:szCs w:val="20"/>
              </w:rPr>
              <w:t xml:space="preserve">Medical Practitioners </w:t>
            </w:r>
          </w:p>
        </w:tc>
      </w:tr>
      <w:tr w:rsidR="00686FE7" w:rsidRPr="00446E53" w14:paraId="209DF3D6" w14:textId="77777777" w:rsidTr="00686FE7">
        <w:tblPrEx>
          <w:tblCellMar>
            <w:top w:w="15" w:type="dxa"/>
            <w:bottom w:w="15" w:type="dxa"/>
          </w:tblCellMar>
          <w:tblLook w:val="04A0" w:firstRow="1" w:lastRow="0" w:firstColumn="1" w:lastColumn="0" w:noHBand="0" w:noVBand="1"/>
        </w:tblPrEx>
        <w:trPr>
          <w:trHeight w:val="20"/>
        </w:trPr>
        <w:tc>
          <w:tcPr>
            <w:tcW w:w="8959" w:type="dxa"/>
            <w:gridSpan w:val="7"/>
            <w:tcBorders>
              <w:top w:val="single" w:sz="4" w:space="0" w:color="auto"/>
              <w:left w:val="single" w:sz="4" w:space="0" w:color="auto"/>
              <w:bottom w:val="single" w:sz="4" w:space="0" w:color="auto"/>
              <w:right w:val="single" w:sz="4" w:space="0" w:color="auto"/>
            </w:tcBorders>
            <w:vAlign w:val="center"/>
          </w:tcPr>
          <w:p w14:paraId="1296072D" w14:textId="6B874030" w:rsidR="00686FE7" w:rsidRPr="00736BC8" w:rsidRDefault="00686FE7">
            <w:pPr>
              <w:keepLines/>
              <w:rPr>
                <w:rFonts w:ascii="Arial Narrow" w:eastAsia="Calibri" w:hAnsi="Arial Narrow"/>
                <w:sz w:val="20"/>
                <w:szCs w:val="20"/>
              </w:rPr>
            </w:pPr>
            <w:r w:rsidRPr="00736BC8">
              <w:rPr>
                <w:rFonts w:ascii="Arial Narrow" w:hAnsi="Arial Narrow"/>
                <w:b/>
                <w:sz w:val="20"/>
                <w:szCs w:val="20"/>
              </w:rPr>
              <w:t xml:space="preserve">Restriction type: </w:t>
            </w:r>
            <w:r w:rsidRPr="00736BC8">
              <w:rPr>
                <w:rFonts w:ascii="Arial Narrow" w:eastAsia="Calibri" w:hAnsi="Arial Narrow"/>
                <w:sz w:val="20"/>
                <w:szCs w:val="20"/>
              </w:rPr>
              <w:fldChar w:fldCharType="begin" w:fldLock="1">
                <w:ffData>
                  <w:name w:val=""/>
                  <w:enabled/>
                  <w:calcOnExit w:val="0"/>
                  <w:checkBox>
                    <w:sizeAuto/>
                    <w:default w:val="1"/>
                  </w:checkBox>
                </w:ffData>
              </w:fldChar>
            </w:r>
            <w:r w:rsidRPr="00736BC8">
              <w:rPr>
                <w:rFonts w:ascii="Arial Narrow" w:eastAsia="Calibri" w:hAnsi="Arial Narrow"/>
                <w:sz w:val="20"/>
                <w:szCs w:val="20"/>
              </w:rPr>
              <w:instrText xml:space="preserve"> FORMCHECKBOX </w:instrText>
            </w:r>
            <w:r w:rsidRPr="00736BC8">
              <w:rPr>
                <w:rFonts w:ascii="Arial Narrow" w:eastAsia="Calibri" w:hAnsi="Arial Narrow"/>
                <w:sz w:val="20"/>
                <w:szCs w:val="20"/>
              </w:rPr>
            </w:r>
            <w:r w:rsidRPr="00736BC8">
              <w:rPr>
                <w:rFonts w:ascii="Arial Narrow" w:eastAsia="Calibri" w:hAnsi="Arial Narrow"/>
                <w:sz w:val="20"/>
                <w:szCs w:val="20"/>
              </w:rPr>
              <w:fldChar w:fldCharType="separate"/>
            </w:r>
            <w:r w:rsidRPr="00736BC8">
              <w:rPr>
                <w:rFonts w:ascii="Arial Narrow" w:eastAsia="Calibri" w:hAnsi="Arial Narrow"/>
                <w:sz w:val="20"/>
                <w:szCs w:val="20"/>
              </w:rPr>
              <w:fldChar w:fldCharType="end"/>
            </w:r>
            <w:r w:rsidRPr="00736BC8">
              <w:rPr>
                <w:rFonts w:ascii="Arial Narrow" w:eastAsia="Calibri" w:hAnsi="Arial Narrow"/>
                <w:sz w:val="20"/>
                <w:szCs w:val="20"/>
              </w:rPr>
              <w:t xml:space="preserve">Authority Required (in writing only via </w:t>
            </w:r>
            <w:r>
              <w:rPr>
                <w:rFonts w:ascii="Arial Narrow" w:eastAsia="Calibri" w:hAnsi="Arial Narrow"/>
                <w:sz w:val="20"/>
                <w:szCs w:val="20"/>
              </w:rPr>
              <w:t>OPA/</w:t>
            </w:r>
            <w:r w:rsidRPr="00736BC8">
              <w:rPr>
                <w:rFonts w:ascii="Arial Narrow" w:eastAsia="Calibri" w:hAnsi="Arial Narrow"/>
                <w:sz w:val="20"/>
                <w:szCs w:val="20"/>
              </w:rPr>
              <w:t>post/HPOS upload)</w:t>
            </w:r>
          </w:p>
        </w:tc>
      </w:tr>
      <w:tr w:rsidR="00686FE7" w:rsidRPr="00446E53" w14:paraId="20EB6B64" w14:textId="77777777" w:rsidTr="00686FE7">
        <w:tblPrEx>
          <w:tblCellMar>
            <w:top w:w="15" w:type="dxa"/>
            <w:bottom w:w="15" w:type="dxa"/>
          </w:tblCellMar>
          <w:tblLook w:val="04A0" w:firstRow="1" w:lastRow="0" w:firstColumn="1" w:lastColumn="0" w:noHBand="0" w:noVBand="1"/>
        </w:tblPrEx>
        <w:trPr>
          <w:trHeight w:val="20"/>
        </w:trPr>
        <w:tc>
          <w:tcPr>
            <w:tcW w:w="8959" w:type="dxa"/>
            <w:gridSpan w:val="7"/>
            <w:tcBorders>
              <w:top w:val="single" w:sz="4" w:space="0" w:color="auto"/>
              <w:left w:val="single" w:sz="4" w:space="0" w:color="auto"/>
              <w:bottom w:val="single" w:sz="4" w:space="0" w:color="auto"/>
              <w:right w:val="single" w:sz="4" w:space="0" w:color="auto"/>
            </w:tcBorders>
            <w:vAlign w:val="center"/>
          </w:tcPr>
          <w:p w14:paraId="24F332AA" w14:textId="77777777" w:rsidR="00686FE7" w:rsidRPr="00736BC8" w:rsidRDefault="00686FE7">
            <w:pPr>
              <w:keepLines/>
              <w:rPr>
                <w:rFonts w:ascii="Arial Narrow" w:hAnsi="Arial Narrow"/>
                <w:b/>
                <w:sz w:val="20"/>
                <w:szCs w:val="20"/>
              </w:rPr>
            </w:pPr>
            <w:r w:rsidRPr="00446E53">
              <w:rPr>
                <w:rFonts w:ascii="Arial Narrow" w:hAnsi="Arial Narrow"/>
                <w:b/>
                <w:sz w:val="20"/>
                <w:szCs w:val="20"/>
              </w:rPr>
              <w:t xml:space="preserve">Prescribing rule level:  </w:t>
            </w:r>
          </w:p>
        </w:tc>
      </w:tr>
      <w:tr w:rsidR="00686FE7" w:rsidRPr="00446E53" w14:paraId="4D120FF2" w14:textId="77777777" w:rsidTr="00686FE7">
        <w:tblPrEx>
          <w:tblCellMar>
            <w:top w:w="15" w:type="dxa"/>
            <w:bottom w:w="15" w:type="dxa"/>
          </w:tblCellMar>
          <w:tblLook w:val="04A0" w:firstRow="1" w:lastRow="0" w:firstColumn="1" w:lastColumn="0" w:noHBand="0" w:noVBand="1"/>
        </w:tblPrEx>
        <w:trPr>
          <w:trHeight w:val="20"/>
        </w:trPr>
        <w:tc>
          <w:tcPr>
            <w:tcW w:w="8959" w:type="dxa"/>
            <w:gridSpan w:val="7"/>
            <w:tcBorders>
              <w:top w:val="single" w:sz="4" w:space="0" w:color="auto"/>
              <w:left w:val="single" w:sz="4" w:space="0" w:color="auto"/>
              <w:bottom w:val="single" w:sz="4" w:space="0" w:color="auto"/>
              <w:right w:val="single" w:sz="4" w:space="0" w:color="auto"/>
            </w:tcBorders>
            <w:vAlign w:val="center"/>
          </w:tcPr>
          <w:p w14:paraId="0FC49B93" w14:textId="77777777" w:rsidR="00686FE7" w:rsidRDefault="00686FE7">
            <w:pPr>
              <w:spacing w:line="256" w:lineRule="auto"/>
              <w:jc w:val="left"/>
              <w:textAlignment w:val="baseline"/>
              <w:rPr>
                <w:rFonts w:ascii="Arial Narrow" w:hAnsi="Arial Narrow" w:cs="Segoe UI"/>
                <w:color w:val="333333"/>
                <w:sz w:val="20"/>
                <w:szCs w:val="20"/>
                <w:lang w:eastAsia="en-US"/>
              </w:rPr>
            </w:pPr>
            <w:r>
              <w:rPr>
                <w:rFonts w:ascii="Arial Narrow" w:hAnsi="Arial Narrow" w:cs="Segoe UI"/>
                <w:b/>
                <w:bCs/>
                <w:color w:val="333333"/>
                <w:sz w:val="20"/>
                <w:szCs w:val="20"/>
                <w:lang w:eastAsia="en-US"/>
              </w:rPr>
              <w:t>Administrative Advice:</w:t>
            </w:r>
            <w:r>
              <w:rPr>
                <w:rFonts w:ascii="Arial Narrow" w:hAnsi="Arial Narrow" w:cs="Segoe UI"/>
                <w:color w:val="333333"/>
                <w:sz w:val="20"/>
                <w:szCs w:val="20"/>
                <w:lang w:eastAsia="en-US"/>
              </w:rPr>
              <w:t> </w:t>
            </w:r>
          </w:p>
          <w:p w14:paraId="04911653" w14:textId="77777777" w:rsidR="00686FE7" w:rsidRPr="0025488F" w:rsidRDefault="00686FE7">
            <w:pPr>
              <w:keepLines/>
              <w:rPr>
                <w:rFonts w:ascii="Arial Narrow" w:hAnsi="Arial Narrow"/>
                <w:b/>
                <w:bCs/>
                <w:sz w:val="20"/>
                <w:szCs w:val="20"/>
              </w:rPr>
            </w:pPr>
            <w:r>
              <w:rPr>
                <w:rFonts w:ascii="Arial Narrow" w:hAnsi="Arial Narrow" w:cs="Segoe UI"/>
                <w:sz w:val="20"/>
                <w:szCs w:val="20"/>
                <w:lang w:eastAsia="en-US"/>
              </w:rPr>
              <w:t xml:space="preserve">Overarching administrative note. </w:t>
            </w:r>
          </w:p>
        </w:tc>
      </w:tr>
      <w:tr w:rsidR="00686FE7" w:rsidRPr="00446E53" w14:paraId="5802FF0E" w14:textId="77777777" w:rsidTr="00686FE7">
        <w:tblPrEx>
          <w:tblCellMar>
            <w:top w:w="15" w:type="dxa"/>
            <w:bottom w:w="15" w:type="dxa"/>
          </w:tblCellMar>
          <w:tblLook w:val="04A0" w:firstRow="1" w:lastRow="0" w:firstColumn="1" w:lastColumn="0" w:noHBand="0" w:noVBand="1"/>
        </w:tblPrEx>
        <w:trPr>
          <w:trHeight w:val="20"/>
        </w:trPr>
        <w:tc>
          <w:tcPr>
            <w:tcW w:w="8959" w:type="dxa"/>
            <w:gridSpan w:val="7"/>
            <w:tcBorders>
              <w:top w:val="single" w:sz="4" w:space="0" w:color="auto"/>
              <w:left w:val="single" w:sz="4" w:space="0" w:color="auto"/>
              <w:bottom w:val="single" w:sz="4" w:space="0" w:color="auto"/>
              <w:right w:val="single" w:sz="4" w:space="0" w:color="auto"/>
            </w:tcBorders>
            <w:vAlign w:val="center"/>
          </w:tcPr>
          <w:p w14:paraId="4F1A3316" w14:textId="77777777" w:rsidR="00686FE7" w:rsidRPr="000B5C03" w:rsidRDefault="00686FE7">
            <w:pPr>
              <w:keepLines/>
              <w:rPr>
                <w:rFonts w:ascii="Arial Narrow" w:hAnsi="Arial Narrow"/>
                <w:sz w:val="20"/>
                <w:szCs w:val="20"/>
              </w:rPr>
            </w:pPr>
            <w:r w:rsidRPr="000B5C03">
              <w:rPr>
                <w:rFonts w:ascii="Arial Narrow" w:hAnsi="Arial Narrow"/>
                <w:b/>
                <w:bCs/>
                <w:sz w:val="20"/>
                <w:szCs w:val="20"/>
              </w:rPr>
              <w:t>Administrative Advice:</w:t>
            </w:r>
            <w:r w:rsidRPr="000B5C03">
              <w:rPr>
                <w:rFonts w:ascii="Arial Narrow" w:hAnsi="Arial Narrow"/>
                <w:sz w:val="20"/>
                <w:szCs w:val="20"/>
              </w:rPr>
              <w:t xml:space="preserve"> </w:t>
            </w:r>
          </w:p>
          <w:p w14:paraId="3B26BBE4" w14:textId="77777777" w:rsidR="00686FE7" w:rsidRPr="000B5C03" w:rsidRDefault="00686FE7">
            <w:pPr>
              <w:keepLines/>
              <w:rPr>
                <w:rFonts w:ascii="Arial Narrow" w:hAnsi="Arial Narrow"/>
                <w:b/>
                <w:bCs/>
                <w:sz w:val="20"/>
                <w:szCs w:val="20"/>
              </w:rPr>
            </w:pPr>
            <w:r w:rsidRPr="000B5C03">
              <w:rPr>
                <w:rFonts w:ascii="Arial Narrow" w:hAnsi="Arial Narrow"/>
                <w:sz w:val="20"/>
                <w:szCs w:val="20"/>
              </w:rPr>
              <w:t>No increase in the maximum quantity or number of units may be authorised.</w:t>
            </w:r>
          </w:p>
        </w:tc>
      </w:tr>
      <w:tr w:rsidR="00686FE7" w:rsidRPr="00446E53" w14:paraId="6D26EA63" w14:textId="77777777" w:rsidTr="00686FE7">
        <w:tblPrEx>
          <w:tblCellMar>
            <w:top w:w="15" w:type="dxa"/>
            <w:bottom w:w="15" w:type="dxa"/>
          </w:tblCellMar>
          <w:tblLook w:val="04A0" w:firstRow="1" w:lastRow="0" w:firstColumn="1" w:lastColumn="0" w:noHBand="0" w:noVBand="1"/>
        </w:tblPrEx>
        <w:trPr>
          <w:trHeight w:val="20"/>
        </w:trPr>
        <w:tc>
          <w:tcPr>
            <w:tcW w:w="8959" w:type="dxa"/>
            <w:gridSpan w:val="7"/>
            <w:tcBorders>
              <w:top w:val="single" w:sz="4" w:space="0" w:color="auto"/>
              <w:left w:val="single" w:sz="4" w:space="0" w:color="auto"/>
              <w:bottom w:val="single" w:sz="4" w:space="0" w:color="auto"/>
              <w:right w:val="single" w:sz="4" w:space="0" w:color="auto"/>
            </w:tcBorders>
            <w:vAlign w:val="center"/>
          </w:tcPr>
          <w:p w14:paraId="3B6EFC84" w14:textId="77777777" w:rsidR="00686FE7" w:rsidRDefault="00686FE7">
            <w:pPr>
              <w:keepLines/>
              <w:rPr>
                <w:rFonts w:ascii="Arial Narrow" w:hAnsi="Arial Narrow"/>
                <w:sz w:val="20"/>
                <w:szCs w:val="20"/>
              </w:rPr>
            </w:pPr>
            <w:r w:rsidRPr="0025488F">
              <w:rPr>
                <w:rFonts w:ascii="Arial Narrow" w:hAnsi="Arial Narrow"/>
                <w:b/>
                <w:bCs/>
                <w:sz w:val="20"/>
                <w:szCs w:val="20"/>
              </w:rPr>
              <w:t>Administrative Advice:</w:t>
            </w:r>
            <w:r w:rsidRPr="0025488F">
              <w:rPr>
                <w:rFonts w:ascii="Arial Narrow" w:hAnsi="Arial Narrow"/>
                <w:sz w:val="20"/>
                <w:szCs w:val="20"/>
              </w:rPr>
              <w:t xml:space="preserve"> </w:t>
            </w:r>
          </w:p>
          <w:p w14:paraId="2BDA34C3" w14:textId="77777777" w:rsidR="00686FE7" w:rsidRPr="0025488F" w:rsidRDefault="00686FE7">
            <w:pPr>
              <w:keepLines/>
              <w:rPr>
                <w:rFonts w:ascii="Arial Narrow" w:hAnsi="Arial Narrow"/>
                <w:b/>
                <w:sz w:val="20"/>
                <w:szCs w:val="20"/>
              </w:rPr>
            </w:pPr>
            <w:r w:rsidRPr="0025488F">
              <w:rPr>
                <w:rFonts w:ascii="Arial Narrow" w:hAnsi="Arial Narrow"/>
                <w:sz w:val="20"/>
                <w:szCs w:val="20"/>
              </w:rPr>
              <w:t>No increase in the maximum number of repeats may be authorised.</w:t>
            </w:r>
          </w:p>
        </w:tc>
      </w:tr>
      <w:tr w:rsidR="00686FE7" w:rsidRPr="00446E53" w14:paraId="04A69006" w14:textId="77777777" w:rsidTr="00686FE7">
        <w:tblPrEx>
          <w:tblCellMar>
            <w:top w:w="15" w:type="dxa"/>
            <w:bottom w:w="15" w:type="dxa"/>
          </w:tblCellMar>
          <w:tblLook w:val="04A0" w:firstRow="1" w:lastRow="0" w:firstColumn="1" w:lastColumn="0" w:noHBand="0" w:noVBand="1"/>
        </w:tblPrEx>
        <w:trPr>
          <w:trHeight w:val="20"/>
        </w:trPr>
        <w:tc>
          <w:tcPr>
            <w:tcW w:w="8959" w:type="dxa"/>
            <w:gridSpan w:val="7"/>
            <w:tcBorders>
              <w:top w:val="single" w:sz="4" w:space="0" w:color="auto"/>
              <w:left w:val="single" w:sz="4" w:space="0" w:color="auto"/>
              <w:bottom w:val="single" w:sz="4" w:space="0" w:color="auto"/>
              <w:right w:val="single" w:sz="4" w:space="0" w:color="auto"/>
            </w:tcBorders>
            <w:vAlign w:val="center"/>
          </w:tcPr>
          <w:p w14:paraId="1A40DB93" w14:textId="77777777" w:rsidR="00686FE7" w:rsidRDefault="00686FE7">
            <w:pPr>
              <w:spacing w:line="256" w:lineRule="auto"/>
              <w:jc w:val="left"/>
              <w:textAlignment w:val="baseline"/>
              <w:rPr>
                <w:rFonts w:ascii="Arial Narrow" w:hAnsi="Arial Narrow" w:cs="Segoe UI"/>
                <w:color w:val="333333"/>
                <w:sz w:val="20"/>
                <w:szCs w:val="20"/>
                <w:lang w:eastAsia="en-US"/>
              </w:rPr>
            </w:pPr>
            <w:r>
              <w:rPr>
                <w:rFonts w:ascii="Arial Narrow" w:hAnsi="Arial Narrow" w:cs="Segoe UI"/>
                <w:b/>
                <w:bCs/>
                <w:color w:val="333333"/>
                <w:sz w:val="20"/>
                <w:szCs w:val="20"/>
                <w:lang w:eastAsia="en-US"/>
              </w:rPr>
              <w:t>Administrative Advice:</w:t>
            </w:r>
            <w:r>
              <w:rPr>
                <w:rFonts w:ascii="Arial Narrow" w:hAnsi="Arial Narrow" w:cs="Segoe UI"/>
                <w:color w:val="333333"/>
                <w:sz w:val="20"/>
                <w:szCs w:val="20"/>
                <w:lang w:eastAsia="en-US"/>
              </w:rPr>
              <w:t> </w:t>
            </w:r>
          </w:p>
          <w:p w14:paraId="45345B7C" w14:textId="77777777" w:rsidR="00686FE7" w:rsidRPr="0025488F" w:rsidRDefault="00686FE7">
            <w:pPr>
              <w:keepLines/>
              <w:rPr>
                <w:rFonts w:ascii="Arial Narrow" w:hAnsi="Arial Narrow"/>
                <w:b/>
                <w:bCs/>
                <w:sz w:val="20"/>
                <w:szCs w:val="20"/>
              </w:rPr>
            </w:pPr>
            <w:r>
              <w:rPr>
                <w:rFonts w:ascii="Arial Narrow" w:hAnsi="Arial Narrow" w:cs="Segoe UI"/>
                <w:sz w:val="20"/>
                <w:szCs w:val="20"/>
                <w:lang w:eastAsia="en-US"/>
              </w:rPr>
              <w:t>Special Pricing Arrangements apply</w:t>
            </w:r>
            <w:r>
              <w:rPr>
                <w:rFonts w:ascii="Arial Narrow" w:hAnsi="Arial Narrow" w:cs="Segoe UI"/>
                <w:i/>
                <w:iCs/>
                <w:sz w:val="20"/>
                <w:szCs w:val="20"/>
                <w:lang w:eastAsia="en-US"/>
              </w:rPr>
              <w:t>.</w:t>
            </w:r>
          </w:p>
        </w:tc>
      </w:tr>
      <w:tr w:rsidR="00686FE7" w:rsidRPr="00446E53" w14:paraId="3A66FD3C" w14:textId="77777777" w:rsidTr="00686FE7">
        <w:tblPrEx>
          <w:tblCellMar>
            <w:top w:w="15" w:type="dxa"/>
            <w:bottom w:w="15" w:type="dxa"/>
          </w:tblCellMar>
          <w:tblLook w:val="04A0" w:firstRow="1" w:lastRow="0" w:firstColumn="1" w:lastColumn="0" w:noHBand="0" w:noVBand="1"/>
        </w:tblPrEx>
        <w:trPr>
          <w:trHeight w:val="20"/>
        </w:trPr>
        <w:tc>
          <w:tcPr>
            <w:tcW w:w="8959" w:type="dxa"/>
            <w:gridSpan w:val="7"/>
            <w:tcBorders>
              <w:top w:val="single" w:sz="4" w:space="0" w:color="auto"/>
              <w:left w:val="single" w:sz="4" w:space="0" w:color="auto"/>
              <w:bottom w:val="single" w:sz="4" w:space="0" w:color="auto"/>
              <w:right w:val="single" w:sz="4" w:space="0" w:color="auto"/>
            </w:tcBorders>
            <w:vAlign w:val="center"/>
          </w:tcPr>
          <w:p w14:paraId="0403DA1B" w14:textId="77777777" w:rsidR="00686FE7" w:rsidRPr="00CE1D7B" w:rsidRDefault="00686FE7">
            <w:pPr>
              <w:rPr>
                <w:rFonts w:ascii="Arial Narrow" w:hAnsi="Arial Narrow"/>
                <w:b/>
                <w:bCs/>
                <w:sz w:val="20"/>
                <w:szCs w:val="20"/>
              </w:rPr>
            </w:pPr>
            <w:r w:rsidRPr="00CE1D7B">
              <w:rPr>
                <w:rFonts w:ascii="Arial Narrow" w:hAnsi="Arial Narrow"/>
                <w:b/>
                <w:bCs/>
                <w:sz w:val="20"/>
                <w:szCs w:val="20"/>
              </w:rPr>
              <w:t>Administrative Advice:</w:t>
            </w:r>
          </w:p>
          <w:p w14:paraId="22D30152" w14:textId="77777777" w:rsidR="00686FE7" w:rsidRDefault="00686FE7">
            <w:pPr>
              <w:rPr>
                <w:rFonts w:ascii="Arial Narrow" w:hAnsi="Arial Narrow"/>
                <w:sz w:val="20"/>
                <w:szCs w:val="20"/>
              </w:rPr>
            </w:pPr>
            <w:r w:rsidRPr="00CE1D7B">
              <w:rPr>
                <w:rFonts w:ascii="Arial Narrow" w:hAnsi="Arial Narrow"/>
                <w:sz w:val="20"/>
                <w:szCs w:val="20"/>
              </w:rPr>
              <w:t>Any queries concerning the arrangements to prescribe may be directed to Services Australia on 1800 700 270 (hours of operation 8 a.m. to 5 p.m. Monday to Friday).</w:t>
            </w:r>
          </w:p>
          <w:p w14:paraId="349B80C7" w14:textId="77777777" w:rsidR="00686FE7" w:rsidRPr="00CE1D7B" w:rsidRDefault="00686FE7">
            <w:pPr>
              <w:rPr>
                <w:rFonts w:ascii="Arial Narrow" w:hAnsi="Arial Narrow"/>
                <w:sz w:val="20"/>
                <w:szCs w:val="20"/>
              </w:rPr>
            </w:pPr>
          </w:p>
          <w:p w14:paraId="13E67F04" w14:textId="75B20838" w:rsidR="00686FE7" w:rsidRPr="00233AF4" w:rsidRDefault="00686FE7">
            <w:pPr>
              <w:rPr>
                <w:rFonts w:ascii="Arial Narrow" w:hAnsi="Arial Narrow"/>
                <w:sz w:val="20"/>
                <w:szCs w:val="20"/>
              </w:rPr>
            </w:pPr>
            <w:r w:rsidRPr="00CE1D7B">
              <w:rPr>
                <w:rFonts w:ascii="Arial Narrow" w:hAnsi="Arial Narrow"/>
                <w:sz w:val="20"/>
                <w:szCs w:val="20"/>
              </w:rPr>
              <w:t xml:space="preserve">Prescribing information (including Authority Application forms and </w:t>
            </w:r>
            <w:r w:rsidRPr="00233AF4">
              <w:rPr>
                <w:rFonts w:ascii="Arial Narrow" w:hAnsi="Arial Narrow"/>
                <w:sz w:val="20"/>
                <w:szCs w:val="20"/>
              </w:rPr>
              <w:t xml:space="preserve">other relevant documentation as applicable) is available on the Services Australia website at </w:t>
            </w:r>
            <w:hyperlink r:id="rId14" w:history="1">
              <w:r w:rsidRPr="00233AF4">
                <w:rPr>
                  <w:rStyle w:val="Hyperlink"/>
                  <w:rFonts w:ascii="Arial Narrow" w:hAnsi="Arial Narrow"/>
                  <w:color w:val="auto"/>
                  <w:sz w:val="20"/>
                  <w:szCs w:val="20"/>
                </w:rPr>
                <w:t>www.servicesaustralia.gov.au</w:t>
              </w:r>
            </w:hyperlink>
          </w:p>
          <w:p w14:paraId="46BFCBB3" w14:textId="77777777" w:rsidR="00686FE7" w:rsidRPr="00233AF4" w:rsidRDefault="00686FE7">
            <w:pPr>
              <w:rPr>
                <w:rFonts w:ascii="Arial Narrow" w:hAnsi="Arial Narrow"/>
                <w:sz w:val="20"/>
                <w:szCs w:val="20"/>
              </w:rPr>
            </w:pPr>
          </w:p>
          <w:p w14:paraId="1777D54A" w14:textId="3A152B96" w:rsidR="00686FE7" w:rsidRPr="00582FE0" w:rsidRDefault="00686FE7">
            <w:pPr>
              <w:rPr>
                <w:rFonts w:ascii="Arial Narrow" w:hAnsi="Arial Narrow"/>
                <w:sz w:val="20"/>
                <w:szCs w:val="20"/>
              </w:rPr>
            </w:pPr>
            <w:r w:rsidRPr="00582FE0">
              <w:rPr>
                <w:rFonts w:ascii="Arial Narrow" w:hAnsi="Arial Narrow"/>
                <w:sz w:val="20"/>
                <w:szCs w:val="20"/>
              </w:rPr>
              <w:t xml:space="preserve">Applications for authorisation under this restriction should be made using the Online PBS Authorities system (see </w:t>
            </w:r>
            <w:hyperlink r:id="rId15" w:history="1">
              <w:r w:rsidRPr="00582FE0">
                <w:rPr>
                  <w:rStyle w:val="Hyperlink"/>
                  <w:rFonts w:ascii="Arial Narrow" w:hAnsi="Arial Narrow"/>
                  <w:color w:val="auto"/>
                  <w:sz w:val="20"/>
                  <w:szCs w:val="20"/>
                </w:rPr>
                <w:t>www.servicesaustralia.gov.au/hpos</w:t>
              </w:r>
            </w:hyperlink>
            <w:r w:rsidRPr="00582FE0">
              <w:rPr>
                <w:rFonts w:ascii="Arial Narrow" w:hAnsi="Arial Narrow"/>
                <w:sz w:val="20"/>
                <w:szCs w:val="20"/>
              </w:rPr>
              <w:t>)</w:t>
            </w:r>
          </w:p>
          <w:p w14:paraId="4A8B1D5F" w14:textId="77777777" w:rsidR="00686FE7" w:rsidRPr="00233AF4" w:rsidRDefault="00686FE7">
            <w:pPr>
              <w:rPr>
                <w:rFonts w:ascii="Arial Narrow" w:hAnsi="Arial Narrow"/>
                <w:sz w:val="20"/>
                <w:szCs w:val="20"/>
              </w:rPr>
            </w:pPr>
          </w:p>
          <w:p w14:paraId="0CA376F0" w14:textId="7041F969" w:rsidR="00686FE7" w:rsidRPr="00233AF4" w:rsidRDefault="00686FE7">
            <w:pPr>
              <w:rPr>
                <w:rFonts w:ascii="Arial Narrow" w:hAnsi="Arial Narrow"/>
                <w:sz w:val="20"/>
                <w:szCs w:val="20"/>
              </w:rPr>
            </w:pPr>
            <w:r>
              <w:rPr>
                <w:rFonts w:ascii="Arial Narrow" w:hAnsi="Arial Narrow"/>
                <w:sz w:val="20"/>
                <w:szCs w:val="20"/>
              </w:rPr>
              <w:t>Alternatively, a</w:t>
            </w:r>
            <w:r w:rsidRPr="00233AF4">
              <w:rPr>
                <w:rFonts w:ascii="Arial Narrow" w:hAnsi="Arial Narrow"/>
                <w:sz w:val="20"/>
                <w:szCs w:val="20"/>
              </w:rPr>
              <w:t>pplications for authority to prescribe</w:t>
            </w:r>
            <w:r>
              <w:rPr>
                <w:rFonts w:ascii="Arial Narrow" w:hAnsi="Arial Narrow"/>
                <w:sz w:val="20"/>
                <w:szCs w:val="20"/>
              </w:rPr>
              <w:t xml:space="preserve"> can</w:t>
            </w:r>
            <w:r w:rsidRPr="00233AF4">
              <w:rPr>
                <w:rFonts w:ascii="Arial Narrow" w:hAnsi="Arial Narrow"/>
                <w:sz w:val="20"/>
                <w:szCs w:val="20"/>
              </w:rPr>
              <w:t xml:space="preserve"> be submitted online using the form upload facility in Health Professional Online Services (HPOS) at </w:t>
            </w:r>
            <w:hyperlink r:id="rId16" w:history="1">
              <w:r w:rsidRPr="00233AF4">
                <w:rPr>
                  <w:rStyle w:val="Hyperlink"/>
                  <w:rFonts w:ascii="Arial Narrow" w:hAnsi="Arial Narrow"/>
                  <w:color w:val="auto"/>
                  <w:sz w:val="20"/>
                  <w:szCs w:val="20"/>
                </w:rPr>
                <w:t>www.servicesaustralia.gov.au/hpos</w:t>
              </w:r>
            </w:hyperlink>
          </w:p>
          <w:p w14:paraId="5C20606B" w14:textId="77777777" w:rsidR="00686FE7" w:rsidRPr="00CE1D7B" w:rsidRDefault="00686FE7">
            <w:pPr>
              <w:rPr>
                <w:rFonts w:ascii="Arial Narrow" w:hAnsi="Arial Narrow"/>
                <w:sz w:val="20"/>
                <w:szCs w:val="20"/>
              </w:rPr>
            </w:pPr>
          </w:p>
          <w:p w14:paraId="7616930A" w14:textId="77777777" w:rsidR="00686FE7" w:rsidRPr="00CE1D7B" w:rsidRDefault="00686FE7">
            <w:pPr>
              <w:rPr>
                <w:rFonts w:ascii="Arial Narrow" w:hAnsi="Arial Narrow"/>
                <w:sz w:val="20"/>
                <w:szCs w:val="20"/>
              </w:rPr>
            </w:pPr>
            <w:r w:rsidRPr="00CE1D7B">
              <w:rPr>
                <w:rFonts w:ascii="Arial Narrow" w:hAnsi="Arial Narrow"/>
                <w:sz w:val="20"/>
                <w:szCs w:val="20"/>
              </w:rPr>
              <w:t>Or mailed to:</w:t>
            </w:r>
          </w:p>
          <w:p w14:paraId="5B13D184" w14:textId="77777777" w:rsidR="00686FE7" w:rsidRPr="00CE1D7B" w:rsidRDefault="00686FE7">
            <w:pPr>
              <w:rPr>
                <w:rFonts w:ascii="Arial Narrow" w:hAnsi="Arial Narrow"/>
                <w:sz w:val="20"/>
                <w:szCs w:val="20"/>
              </w:rPr>
            </w:pPr>
            <w:r w:rsidRPr="00CE1D7B">
              <w:rPr>
                <w:rFonts w:ascii="Arial Narrow" w:hAnsi="Arial Narrow"/>
                <w:sz w:val="20"/>
                <w:szCs w:val="20"/>
              </w:rPr>
              <w:t>Services Australia</w:t>
            </w:r>
          </w:p>
          <w:p w14:paraId="2259A652" w14:textId="77777777" w:rsidR="00686FE7" w:rsidRPr="00CE1D7B" w:rsidRDefault="00686FE7">
            <w:pPr>
              <w:rPr>
                <w:rFonts w:ascii="Arial Narrow" w:hAnsi="Arial Narrow"/>
                <w:sz w:val="20"/>
                <w:szCs w:val="20"/>
              </w:rPr>
            </w:pPr>
            <w:r w:rsidRPr="00CE1D7B">
              <w:rPr>
                <w:rFonts w:ascii="Arial Narrow" w:hAnsi="Arial Narrow"/>
                <w:sz w:val="20"/>
                <w:szCs w:val="20"/>
              </w:rPr>
              <w:t>Complex Drugs</w:t>
            </w:r>
          </w:p>
          <w:p w14:paraId="644E6ACF" w14:textId="77777777" w:rsidR="00686FE7" w:rsidRPr="00CE1D7B" w:rsidRDefault="00686FE7">
            <w:pPr>
              <w:rPr>
                <w:rFonts w:ascii="Arial Narrow" w:hAnsi="Arial Narrow"/>
                <w:sz w:val="20"/>
                <w:szCs w:val="20"/>
              </w:rPr>
            </w:pPr>
            <w:r w:rsidRPr="00CE1D7B">
              <w:rPr>
                <w:rFonts w:ascii="Arial Narrow" w:hAnsi="Arial Narrow"/>
                <w:sz w:val="20"/>
                <w:szCs w:val="20"/>
              </w:rPr>
              <w:t>Reply Paid 9826</w:t>
            </w:r>
          </w:p>
          <w:p w14:paraId="2F646AEE" w14:textId="77777777" w:rsidR="00686FE7" w:rsidRPr="00D378AE" w:rsidRDefault="00686FE7">
            <w:pPr>
              <w:keepLines/>
              <w:rPr>
                <w:rFonts w:ascii="Arial Narrow" w:hAnsi="Arial Narrow"/>
                <w:b/>
                <w:bCs/>
                <w:i/>
                <w:iCs/>
                <w:sz w:val="20"/>
                <w:szCs w:val="20"/>
              </w:rPr>
            </w:pPr>
            <w:r w:rsidRPr="2BF78AC1">
              <w:rPr>
                <w:rFonts w:ascii="Arial Narrow" w:hAnsi="Arial Narrow"/>
                <w:sz w:val="20"/>
                <w:szCs w:val="20"/>
              </w:rPr>
              <w:t>HOBART TAS 7001</w:t>
            </w:r>
          </w:p>
        </w:tc>
      </w:tr>
      <w:tr w:rsidR="00686FE7" w:rsidRPr="00446E53" w14:paraId="35819A92" w14:textId="77777777" w:rsidTr="00686FE7">
        <w:tblPrEx>
          <w:tblCellMar>
            <w:top w:w="15" w:type="dxa"/>
            <w:bottom w:w="15" w:type="dxa"/>
          </w:tblCellMar>
          <w:tblLook w:val="04A0" w:firstRow="1" w:lastRow="0" w:firstColumn="1" w:lastColumn="0" w:noHBand="0" w:noVBand="1"/>
        </w:tblPrEx>
        <w:trPr>
          <w:trHeight w:val="20"/>
        </w:trPr>
        <w:tc>
          <w:tcPr>
            <w:tcW w:w="8959"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8A4B8F" w14:textId="77777777" w:rsidR="00686FE7" w:rsidRPr="002314B4" w:rsidRDefault="00686FE7">
            <w:pPr>
              <w:keepLines/>
              <w:rPr>
                <w:rFonts w:ascii="Arial Narrow" w:hAnsi="Arial Narrow"/>
                <w:b/>
                <w:bCs/>
                <w:sz w:val="20"/>
                <w:szCs w:val="20"/>
              </w:rPr>
            </w:pPr>
            <w:r w:rsidRPr="002314B4">
              <w:rPr>
                <w:rFonts w:ascii="Arial Narrow" w:hAnsi="Arial Narrow"/>
                <w:b/>
                <w:sz w:val="20"/>
                <w:szCs w:val="20"/>
              </w:rPr>
              <w:lastRenderedPageBreak/>
              <w:t xml:space="preserve">Restriction Summary [new1] / Treatment of Concept: [new1A] </w:t>
            </w:r>
          </w:p>
        </w:tc>
      </w:tr>
      <w:tr w:rsidR="00686FE7" w:rsidRPr="00446E53" w14:paraId="0A336314"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hideMark/>
          </w:tcPr>
          <w:p w14:paraId="345DB69D" w14:textId="77777777" w:rsidR="00686FE7" w:rsidRPr="008864EE" w:rsidRDefault="00686FE7">
            <w:pPr>
              <w:keepLines/>
              <w:rPr>
                <w:rFonts w:ascii="Arial Narrow" w:hAnsi="Arial Narrow"/>
                <w:sz w:val="20"/>
                <w:szCs w:val="20"/>
              </w:rPr>
            </w:pPr>
            <w:r>
              <w:rPr>
                <w:rFonts w:ascii="Arial Narrow" w:hAnsi="Arial Narrow" w:cs="Segoe UI"/>
                <w:b/>
                <w:bCs/>
                <w:color w:val="333333"/>
                <w:sz w:val="20"/>
                <w:szCs w:val="20"/>
                <w:lang w:eastAsia="en-US"/>
              </w:rPr>
              <w:t>Indication:</w:t>
            </w:r>
            <w:r>
              <w:rPr>
                <w:rFonts w:ascii="Arial Narrow" w:hAnsi="Arial Narrow" w:cs="Segoe UI"/>
                <w:color w:val="333333"/>
                <w:sz w:val="20"/>
                <w:szCs w:val="20"/>
                <w:lang w:eastAsia="en-US"/>
              </w:rPr>
              <w:t xml:space="preserve"> </w:t>
            </w:r>
            <w:r w:rsidRPr="00F407A6">
              <w:rPr>
                <w:rFonts w:ascii="Arial Narrow" w:hAnsi="Arial Narrow" w:cs="Times New Roman"/>
                <w:sz w:val="20"/>
                <w:szCs w:val="20"/>
              </w:rPr>
              <w:t>Moderate to severe hidradenitis suppurativa</w:t>
            </w:r>
          </w:p>
        </w:tc>
      </w:tr>
      <w:tr w:rsidR="00686FE7" w:rsidRPr="00446E53" w14:paraId="0F557AE7"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hideMark/>
          </w:tcPr>
          <w:p w14:paraId="16031551" w14:textId="77777777" w:rsidR="00686FE7" w:rsidRPr="00AB061F" w:rsidRDefault="00686FE7">
            <w:pPr>
              <w:rPr>
                <w:rFonts w:ascii="Arial Narrow" w:hAnsi="Arial Narrow"/>
                <w:sz w:val="20"/>
                <w:szCs w:val="20"/>
              </w:rPr>
            </w:pPr>
            <w:r>
              <w:rPr>
                <w:rFonts w:ascii="Arial Narrow" w:hAnsi="Arial Narrow" w:cs="Segoe UI"/>
                <w:b/>
                <w:bCs/>
                <w:color w:val="333333"/>
                <w:sz w:val="20"/>
                <w:szCs w:val="20"/>
                <w:lang w:eastAsia="en-US"/>
              </w:rPr>
              <w:t>Treatment Phase:</w:t>
            </w:r>
            <w:r>
              <w:rPr>
                <w:rFonts w:ascii="Arial Narrow" w:hAnsi="Arial Narrow" w:cs="Segoe UI"/>
                <w:color w:val="FF0000"/>
                <w:sz w:val="20"/>
                <w:szCs w:val="20"/>
                <w:lang w:eastAsia="en-US"/>
              </w:rPr>
              <w:t xml:space="preserve"> </w:t>
            </w:r>
            <w:r>
              <w:rPr>
                <w:rFonts w:ascii="Arial Narrow" w:hAnsi="Arial Narrow" w:cs="Segoe UI"/>
                <w:sz w:val="20"/>
                <w:szCs w:val="20"/>
                <w:lang w:eastAsia="en-US"/>
              </w:rPr>
              <w:t>Initial treatment – Initial 1 (new patient)</w:t>
            </w:r>
          </w:p>
        </w:tc>
      </w:tr>
      <w:tr w:rsidR="00686FE7" w:rsidRPr="00446E53" w14:paraId="13D6933A"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hideMark/>
          </w:tcPr>
          <w:p w14:paraId="2CCEC7DF" w14:textId="77777777" w:rsidR="00686FE7" w:rsidRPr="008864EE" w:rsidRDefault="00686FE7">
            <w:pPr>
              <w:rPr>
                <w:rFonts w:ascii="Arial Narrow" w:hAnsi="Arial Narrow"/>
                <w:sz w:val="20"/>
                <w:szCs w:val="20"/>
              </w:rPr>
            </w:pPr>
            <w:r>
              <w:rPr>
                <w:rFonts w:ascii="Arial Narrow" w:hAnsi="Arial Narrow" w:cs="Segoe UI"/>
                <w:b/>
                <w:bCs/>
                <w:color w:val="333333"/>
                <w:sz w:val="20"/>
                <w:szCs w:val="20"/>
                <w:lang w:eastAsia="en-US"/>
              </w:rPr>
              <w:t>Clinical criteria:</w:t>
            </w:r>
          </w:p>
        </w:tc>
      </w:tr>
      <w:tr w:rsidR="00686FE7" w:rsidRPr="00446E53" w14:paraId="36D873FC"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hideMark/>
          </w:tcPr>
          <w:p w14:paraId="49860E1E" w14:textId="77777777" w:rsidR="00686FE7" w:rsidRPr="008864EE" w:rsidRDefault="00686FE7">
            <w:pPr>
              <w:rPr>
                <w:rFonts w:ascii="Arial Narrow" w:hAnsi="Arial Narrow"/>
                <w:sz w:val="20"/>
                <w:szCs w:val="20"/>
              </w:rPr>
            </w:pPr>
            <w:r w:rsidRPr="00F407A6">
              <w:rPr>
                <w:rFonts w:ascii="Arial Narrow" w:hAnsi="Arial Narrow" w:cs="Times New Roman"/>
                <w:sz w:val="20"/>
                <w:szCs w:val="20"/>
              </w:rPr>
              <w:t>Patient must</w:t>
            </w:r>
            <w:r>
              <w:rPr>
                <w:rFonts w:ascii="Arial Narrow" w:hAnsi="Arial Narrow" w:cs="Times New Roman"/>
                <w:sz w:val="20"/>
                <w:szCs w:val="20"/>
              </w:rPr>
              <w:t xml:space="preserve"> </w:t>
            </w:r>
            <w:r w:rsidRPr="00F407A6">
              <w:rPr>
                <w:rFonts w:ascii="Arial Narrow" w:hAnsi="Arial Narrow" w:cs="Times New Roman"/>
                <w:sz w:val="20"/>
                <w:szCs w:val="20"/>
              </w:rPr>
              <w:t>have, at the time of application, a Hurley stage II or III grading with an abscess and inflammatory nodule (AN) count greater than or equal to 3</w:t>
            </w:r>
          </w:p>
        </w:tc>
      </w:tr>
      <w:tr w:rsidR="00686FE7" w:rsidRPr="00446E53" w14:paraId="078FFB7D"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26C8FC9E" w14:textId="77777777" w:rsidR="00686FE7" w:rsidRPr="008864EE" w:rsidRDefault="00686FE7">
            <w:pPr>
              <w:rPr>
                <w:rFonts w:ascii="Arial Narrow" w:hAnsi="Arial Narrow"/>
                <w:sz w:val="20"/>
                <w:szCs w:val="20"/>
              </w:rPr>
            </w:pPr>
            <w:r>
              <w:rPr>
                <w:rFonts w:ascii="Arial Narrow" w:hAnsi="Arial Narrow" w:cs="Segoe UI"/>
                <w:b/>
                <w:bCs/>
                <w:color w:val="333333"/>
                <w:sz w:val="20"/>
                <w:szCs w:val="20"/>
                <w:lang w:eastAsia="en-US"/>
              </w:rPr>
              <w:t>AND</w:t>
            </w:r>
          </w:p>
        </w:tc>
      </w:tr>
      <w:tr w:rsidR="00686FE7" w:rsidRPr="00446E53" w14:paraId="2CCCF384"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hideMark/>
          </w:tcPr>
          <w:p w14:paraId="2279916E" w14:textId="77777777" w:rsidR="00686FE7" w:rsidRPr="008864EE" w:rsidRDefault="00686FE7">
            <w:pPr>
              <w:rPr>
                <w:rFonts w:ascii="Arial Narrow" w:hAnsi="Arial Narrow"/>
                <w:sz w:val="20"/>
                <w:szCs w:val="20"/>
              </w:rPr>
            </w:pPr>
            <w:r>
              <w:rPr>
                <w:rFonts w:ascii="Arial Narrow" w:hAnsi="Arial Narrow" w:cs="Segoe UI"/>
                <w:b/>
                <w:bCs/>
                <w:color w:val="333333"/>
                <w:sz w:val="20"/>
                <w:szCs w:val="20"/>
                <w:lang w:eastAsia="en-US"/>
              </w:rPr>
              <w:t xml:space="preserve">Clinical criteria: </w:t>
            </w:r>
          </w:p>
        </w:tc>
      </w:tr>
      <w:tr w:rsidR="00686FE7" w:rsidRPr="00446E53" w14:paraId="2A85883E"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hideMark/>
          </w:tcPr>
          <w:p w14:paraId="15B3B723" w14:textId="77777777" w:rsidR="00686FE7" w:rsidRPr="007B266F" w:rsidRDefault="00686FE7">
            <w:pPr>
              <w:rPr>
                <w:rFonts w:ascii="Arial Narrow" w:hAnsi="Arial Narrow"/>
                <w:sz w:val="20"/>
                <w:szCs w:val="20"/>
              </w:rPr>
            </w:pPr>
            <w:r w:rsidRPr="00F407A6">
              <w:rPr>
                <w:rFonts w:ascii="Arial Narrow" w:hAnsi="Arial Narrow" w:cs="Times New Roman"/>
                <w:sz w:val="20"/>
                <w:szCs w:val="20"/>
              </w:rPr>
              <w:t>Patient must have failed to achieve an adequate response to 2 courses of different antibiotics each for 3 months prior to initiation of PBS subsidised treatment with this drug for this condition; or</w:t>
            </w:r>
          </w:p>
        </w:tc>
      </w:tr>
      <w:tr w:rsidR="00686FE7" w:rsidRPr="00446E53" w14:paraId="5A16BEC1"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280EC7E1" w14:textId="77777777" w:rsidR="00686FE7" w:rsidRPr="008864EE" w:rsidRDefault="00686FE7">
            <w:pPr>
              <w:rPr>
                <w:rFonts w:ascii="Arial Narrow" w:hAnsi="Arial Narrow"/>
                <w:sz w:val="20"/>
                <w:szCs w:val="20"/>
              </w:rPr>
            </w:pPr>
            <w:r w:rsidRPr="00F407A6">
              <w:rPr>
                <w:rFonts w:ascii="Arial Narrow" w:hAnsi="Arial Narrow" w:cs="Times New Roman"/>
                <w:sz w:val="20"/>
                <w:szCs w:val="20"/>
              </w:rPr>
              <w:t>Patient must have had an adverse reaction to an antibiotic of a severity necessitating permanent treatment withdrawal resulting in the patient being unable to complete treatment with 2 different courses of antibiotics each for 3 months prior to initiation of PBS-subsidised treatment with this drug for this condition; or</w:t>
            </w:r>
          </w:p>
        </w:tc>
      </w:tr>
      <w:tr w:rsidR="00686FE7" w:rsidRPr="00446E53" w14:paraId="124A79CB"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hideMark/>
          </w:tcPr>
          <w:p w14:paraId="77946097" w14:textId="77777777" w:rsidR="00686FE7" w:rsidRPr="008864EE" w:rsidRDefault="00686FE7">
            <w:pPr>
              <w:rPr>
                <w:rFonts w:ascii="Arial Narrow" w:hAnsi="Arial Narrow"/>
                <w:sz w:val="20"/>
                <w:szCs w:val="20"/>
              </w:rPr>
            </w:pPr>
            <w:r w:rsidRPr="00F407A6">
              <w:rPr>
                <w:rFonts w:ascii="Arial Narrow" w:hAnsi="Arial Narrow" w:cs="Times New Roman"/>
                <w:sz w:val="20"/>
                <w:szCs w:val="20"/>
              </w:rPr>
              <w:t>Patient must be contraindicated to treatment with an antibiotic due to an allergic reaction of a severity necessitating permanent treatment withdrawal resulting in the patient being unable to complete treatment with 2 different courses of antibiotics each for 3 months prior to initiation of PBS-subsidised treatment with this drug for this condition</w:t>
            </w:r>
          </w:p>
        </w:tc>
      </w:tr>
      <w:tr w:rsidR="00686FE7" w:rsidRPr="00446E53" w14:paraId="1674E902"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00249501" w14:textId="77777777" w:rsidR="00686FE7" w:rsidRPr="0093559B" w:rsidRDefault="00686FE7">
            <w:pPr>
              <w:rPr>
                <w:rFonts w:ascii="Arial Narrow" w:hAnsi="Arial Narrow"/>
                <w:sz w:val="20"/>
                <w:szCs w:val="20"/>
              </w:rPr>
            </w:pPr>
            <w:r>
              <w:rPr>
                <w:rFonts w:ascii="Arial Narrow" w:hAnsi="Arial Narrow" w:cs="Segoe UI"/>
                <w:b/>
                <w:bCs/>
                <w:color w:val="333333"/>
                <w:sz w:val="20"/>
                <w:szCs w:val="20"/>
                <w:lang w:eastAsia="en-US"/>
              </w:rPr>
              <w:t>AND</w:t>
            </w:r>
            <w:r>
              <w:rPr>
                <w:rFonts w:ascii="Arial Narrow" w:hAnsi="Arial Narrow" w:cs="Segoe UI"/>
                <w:color w:val="333333"/>
                <w:sz w:val="20"/>
                <w:szCs w:val="20"/>
                <w:lang w:eastAsia="en-US"/>
              </w:rPr>
              <w:t> </w:t>
            </w:r>
          </w:p>
        </w:tc>
      </w:tr>
      <w:tr w:rsidR="00686FE7" w:rsidRPr="00446E53" w14:paraId="6ED7B8C2"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28D0D713" w14:textId="77777777" w:rsidR="00686FE7" w:rsidRPr="00E50FD3" w:rsidRDefault="00686FE7">
            <w:pPr>
              <w:rPr>
                <w:rFonts w:ascii="Arial Narrow" w:hAnsi="Arial Narrow"/>
                <w:sz w:val="20"/>
                <w:szCs w:val="20"/>
              </w:rPr>
            </w:pPr>
            <w:r>
              <w:rPr>
                <w:rFonts w:ascii="Arial Narrow" w:hAnsi="Arial Narrow" w:cs="Segoe UI"/>
                <w:b/>
                <w:bCs/>
                <w:color w:val="333333"/>
                <w:sz w:val="20"/>
                <w:szCs w:val="20"/>
                <w:lang w:eastAsia="en-US"/>
              </w:rPr>
              <w:t>Clinical criteria:</w:t>
            </w:r>
            <w:r>
              <w:rPr>
                <w:rFonts w:ascii="Arial Narrow" w:hAnsi="Arial Narrow" w:cs="Segoe UI"/>
                <w:color w:val="333333"/>
                <w:sz w:val="20"/>
                <w:szCs w:val="20"/>
                <w:lang w:eastAsia="en-US"/>
              </w:rPr>
              <w:t> </w:t>
            </w:r>
          </w:p>
        </w:tc>
      </w:tr>
      <w:tr w:rsidR="00686FE7" w:rsidRPr="00446E53" w14:paraId="7948B746"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hideMark/>
          </w:tcPr>
          <w:p w14:paraId="49E88BD1" w14:textId="77777777" w:rsidR="00686FE7" w:rsidRPr="008864EE" w:rsidRDefault="00686FE7">
            <w:pPr>
              <w:rPr>
                <w:rFonts w:ascii="Arial Narrow" w:hAnsi="Arial Narrow"/>
                <w:sz w:val="20"/>
                <w:szCs w:val="20"/>
              </w:rPr>
            </w:pPr>
            <w:r w:rsidRPr="00F407A6">
              <w:rPr>
                <w:rFonts w:ascii="Arial Narrow" w:hAnsi="Arial Narrow" w:cs="Times New Roman"/>
                <w:sz w:val="20"/>
                <w:szCs w:val="20"/>
              </w:rPr>
              <w:t>Patient must not have received PBS-subsidised treatment with a biological medicine for this condition</w:t>
            </w:r>
          </w:p>
        </w:tc>
      </w:tr>
      <w:tr w:rsidR="00686FE7" w:rsidRPr="00446E53" w14:paraId="1058E33D"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62206894" w14:textId="77777777" w:rsidR="00686FE7" w:rsidRPr="008864EE" w:rsidRDefault="00686FE7">
            <w:pPr>
              <w:rPr>
                <w:rFonts w:ascii="Arial Narrow" w:hAnsi="Arial Narrow"/>
                <w:sz w:val="20"/>
                <w:szCs w:val="20"/>
              </w:rPr>
            </w:pPr>
            <w:r>
              <w:rPr>
                <w:rFonts w:ascii="Arial Narrow" w:hAnsi="Arial Narrow" w:cs="Segoe UI"/>
                <w:b/>
                <w:bCs/>
                <w:color w:val="333333"/>
                <w:sz w:val="20"/>
                <w:szCs w:val="20"/>
                <w:lang w:eastAsia="en-US"/>
              </w:rPr>
              <w:t>AND</w:t>
            </w:r>
            <w:r>
              <w:rPr>
                <w:rFonts w:ascii="Arial Narrow" w:hAnsi="Arial Narrow" w:cs="Segoe UI"/>
                <w:color w:val="333333"/>
                <w:sz w:val="20"/>
                <w:szCs w:val="20"/>
                <w:lang w:eastAsia="en-US"/>
              </w:rPr>
              <w:t> </w:t>
            </w:r>
          </w:p>
        </w:tc>
      </w:tr>
      <w:tr w:rsidR="00686FE7" w:rsidRPr="00446E53" w14:paraId="4AF576C0"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048A5BEE" w14:textId="77777777" w:rsidR="00686FE7" w:rsidRPr="003B242F" w:rsidRDefault="00686FE7">
            <w:pPr>
              <w:rPr>
                <w:rFonts w:ascii="Arial Narrow" w:hAnsi="Arial Narrow"/>
                <w:sz w:val="20"/>
                <w:szCs w:val="20"/>
              </w:rPr>
            </w:pPr>
            <w:r>
              <w:rPr>
                <w:rFonts w:ascii="Arial Narrow" w:hAnsi="Arial Narrow" w:cs="Segoe UI"/>
                <w:b/>
                <w:bCs/>
                <w:color w:val="333333"/>
                <w:sz w:val="20"/>
                <w:szCs w:val="20"/>
                <w:lang w:eastAsia="en-US"/>
              </w:rPr>
              <w:t>Clinical criteria:</w:t>
            </w:r>
            <w:r>
              <w:rPr>
                <w:rFonts w:ascii="Arial Narrow" w:hAnsi="Arial Narrow" w:cs="Segoe UI"/>
                <w:color w:val="333333"/>
                <w:sz w:val="20"/>
                <w:szCs w:val="20"/>
                <w:lang w:eastAsia="en-US"/>
              </w:rPr>
              <w:t> </w:t>
            </w:r>
          </w:p>
        </w:tc>
      </w:tr>
      <w:tr w:rsidR="00686FE7" w:rsidRPr="00446E53" w14:paraId="43F0E6DA"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hideMark/>
          </w:tcPr>
          <w:p w14:paraId="470C74FD" w14:textId="77777777" w:rsidR="00686FE7" w:rsidRPr="003B242F" w:rsidRDefault="00686FE7">
            <w:pPr>
              <w:autoSpaceDE w:val="0"/>
              <w:autoSpaceDN w:val="0"/>
              <w:adjustRightInd w:val="0"/>
              <w:rPr>
                <w:rFonts w:ascii="Arial Narrow" w:hAnsi="Arial Narrow" w:cs="Arial Narrow"/>
                <w:sz w:val="20"/>
                <w:szCs w:val="20"/>
              </w:rPr>
            </w:pPr>
            <w:r w:rsidRPr="00F407A6">
              <w:rPr>
                <w:rFonts w:ascii="Arial Narrow" w:hAnsi="Arial Narrow" w:cs="Times New Roman"/>
                <w:sz w:val="20"/>
                <w:szCs w:val="20"/>
              </w:rPr>
              <w:t>Patient must not receive more than 16 weeks of treatment under this restriction</w:t>
            </w:r>
          </w:p>
        </w:tc>
      </w:tr>
      <w:tr w:rsidR="00686FE7" w:rsidRPr="00446E53" w14:paraId="3A9BFFEB"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06064BF1" w14:textId="77777777" w:rsidR="00686FE7" w:rsidRPr="00974F3F" w:rsidRDefault="00686FE7">
            <w:pPr>
              <w:autoSpaceDE w:val="0"/>
              <w:autoSpaceDN w:val="0"/>
              <w:adjustRightInd w:val="0"/>
              <w:rPr>
                <w:rFonts w:ascii="Arial Narrow" w:hAnsi="Arial Narrow" w:cs="Arial Narrow"/>
                <w:sz w:val="20"/>
                <w:szCs w:val="20"/>
              </w:rPr>
            </w:pPr>
            <w:r w:rsidRPr="00755005">
              <w:rPr>
                <w:rFonts w:ascii="Arial Narrow" w:hAnsi="Arial Narrow" w:cs="Segoe UI"/>
                <w:b/>
                <w:bCs/>
                <w:sz w:val="20"/>
                <w:szCs w:val="20"/>
              </w:rPr>
              <w:t>Treatment criteria:</w:t>
            </w:r>
          </w:p>
        </w:tc>
      </w:tr>
      <w:tr w:rsidR="00686FE7" w:rsidRPr="00446E53" w14:paraId="2C6CA825"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0D485EE1" w14:textId="77777777" w:rsidR="00686FE7" w:rsidRPr="00974F3F" w:rsidRDefault="00686FE7">
            <w:pPr>
              <w:autoSpaceDE w:val="0"/>
              <w:autoSpaceDN w:val="0"/>
              <w:adjustRightInd w:val="0"/>
              <w:rPr>
                <w:rFonts w:ascii="Arial Narrow" w:hAnsi="Arial Narrow" w:cs="Arial Narrow"/>
                <w:sz w:val="20"/>
                <w:szCs w:val="20"/>
              </w:rPr>
            </w:pPr>
            <w:r w:rsidRPr="00F407A6">
              <w:rPr>
                <w:rFonts w:ascii="Arial Narrow" w:hAnsi="Arial Narrow" w:cs="Arial Narrow"/>
                <w:sz w:val="20"/>
                <w:szCs w:val="20"/>
              </w:rPr>
              <w:t>Must be treated by a dermatologist</w:t>
            </w:r>
          </w:p>
        </w:tc>
      </w:tr>
      <w:tr w:rsidR="00686FE7" w:rsidRPr="00446E53" w14:paraId="6A056C83"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197BBE9A" w14:textId="77777777" w:rsidR="00686FE7" w:rsidRPr="00F407A6" w:rsidRDefault="00686FE7">
            <w:pPr>
              <w:rPr>
                <w:rFonts w:ascii="Arial Narrow" w:hAnsi="Arial Narrow" w:cs="Times New Roman"/>
                <w:sz w:val="20"/>
                <w:szCs w:val="20"/>
              </w:rPr>
            </w:pPr>
            <w:r w:rsidRPr="00F407A6">
              <w:rPr>
                <w:rFonts w:ascii="Arial Narrow" w:hAnsi="Arial Narrow" w:cs="Times New Roman"/>
                <w:b/>
                <w:bCs/>
                <w:sz w:val="20"/>
                <w:szCs w:val="20"/>
              </w:rPr>
              <w:t xml:space="preserve">Prescribing Instructions: </w:t>
            </w:r>
          </w:p>
          <w:p w14:paraId="3B4BE7B9" w14:textId="77777777" w:rsidR="00686FE7" w:rsidRPr="00974F3F" w:rsidRDefault="00686FE7">
            <w:pPr>
              <w:rPr>
                <w:rFonts w:ascii="Arial Narrow" w:hAnsi="Arial Narrow"/>
                <w:sz w:val="20"/>
                <w:szCs w:val="20"/>
              </w:rPr>
            </w:pPr>
            <w:r w:rsidRPr="00F407A6">
              <w:rPr>
                <w:rFonts w:ascii="Arial Narrow" w:hAnsi="Arial Narrow" w:cs="Times New Roman"/>
                <w:sz w:val="20"/>
                <w:szCs w:val="20"/>
              </w:rPr>
              <w:t>Assessment of disease severity must be no more than 4 weeks old at the time of application.</w:t>
            </w:r>
          </w:p>
        </w:tc>
      </w:tr>
      <w:tr w:rsidR="00686FE7" w:rsidRPr="00446E53" w14:paraId="3D050E05"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hideMark/>
          </w:tcPr>
          <w:p w14:paraId="1CCA95E2" w14:textId="77777777" w:rsidR="00686FE7" w:rsidRPr="00F407A6" w:rsidRDefault="00686FE7">
            <w:pPr>
              <w:rPr>
                <w:rFonts w:ascii="Arial Narrow" w:hAnsi="Arial Narrow" w:cs="Times New Roman"/>
                <w:sz w:val="20"/>
                <w:szCs w:val="20"/>
              </w:rPr>
            </w:pPr>
            <w:r w:rsidRPr="00F407A6">
              <w:rPr>
                <w:rFonts w:ascii="Arial Narrow" w:hAnsi="Arial Narrow" w:cs="Times New Roman"/>
                <w:b/>
                <w:bCs/>
                <w:sz w:val="20"/>
                <w:szCs w:val="20"/>
              </w:rPr>
              <w:t xml:space="preserve">Prescribing Instructions: </w:t>
            </w:r>
          </w:p>
          <w:p w14:paraId="22E4C277" w14:textId="17CDCED5" w:rsidR="00686FE7" w:rsidRPr="00974F3F" w:rsidRDefault="00686FE7">
            <w:pPr>
              <w:rPr>
                <w:rFonts w:ascii="Arial Narrow" w:hAnsi="Arial Narrow"/>
                <w:sz w:val="20"/>
                <w:szCs w:val="20"/>
              </w:rPr>
            </w:pPr>
            <w:r w:rsidRPr="00F407A6">
              <w:rPr>
                <w:rFonts w:ascii="Arial Narrow" w:hAnsi="Arial Narrow" w:cs="Times New Roman"/>
                <w:sz w:val="20"/>
                <w:szCs w:val="20"/>
              </w:rPr>
              <w:t>An assessment of a patient’s response to this initial course of treatment must be conducted following a minimum of</w:t>
            </w:r>
            <w:r w:rsidRPr="00A32B8D">
              <w:rPr>
                <w:rFonts w:ascii="Arial Narrow" w:hAnsi="Arial Narrow" w:cs="Times New Roman"/>
                <w:sz w:val="20"/>
                <w:szCs w:val="20"/>
              </w:rPr>
              <w:t xml:space="preserve"> 12</w:t>
            </w:r>
            <w:r w:rsidRPr="00F407A6">
              <w:rPr>
                <w:rFonts w:ascii="Arial Narrow" w:hAnsi="Arial Narrow" w:cs="Times New Roman"/>
                <w:sz w:val="20"/>
                <w:szCs w:val="20"/>
              </w:rPr>
              <w:t xml:space="preserve"> weeks of therapy</w:t>
            </w:r>
            <w:r>
              <w:rPr>
                <w:rFonts w:ascii="Arial Narrow" w:hAnsi="Arial Narrow" w:cs="Times New Roman"/>
                <w:sz w:val="20"/>
                <w:szCs w:val="20"/>
              </w:rPr>
              <w:t>.</w:t>
            </w:r>
            <w:r w:rsidRPr="00F407A6">
              <w:rPr>
                <w:rFonts w:ascii="Arial Narrow" w:hAnsi="Arial Narrow" w:cs="Times New Roman"/>
                <w:sz w:val="20"/>
                <w:szCs w:val="20"/>
              </w:rPr>
              <w:t xml:space="preserve"> </w:t>
            </w:r>
          </w:p>
        </w:tc>
      </w:tr>
      <w:tr w:rsidR="00686FE7" w:rsidRPr="00446E53" w14:paraId="07816031"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0B56C37B" w14:textId="77777777" w:rsidR="00686FE7" w:rsidRPr="00F407A6" w:rsidRDefault="00686FE7">
            <w:pPr>
              <w:rPr>
                <w:rFonts w:ascii="Arial Narrow" w:hAnsi="Arial Narrow" w:cs="Times New Roman"/>
                <w:sz w:val="20"/>
                <w:szCs w:val="20"/>
              </w:rPr>
            </w:pPr>
            <w:r w:rsidRPr="00F407A6">
              <w:rPr>
                <w:rFonts w:ascii="Arial Narrow" w:hAnsi="Arial Narrow" w:cs="Times New Roman"/>
                <w:b/>
                <w:bCs/>
                <w:sz w:val="20"/>
                <w:szCs w:val="20"/>
              </w:rPr>
              <w:t xml:space="preserve">Prescribing Instructions: </w:t>
            </w:r>
          </w:p>
          <w:p w14:paraId="1A95FFC1" w14:textId="77777777" w:rsidR="00686FE7" w:rsidRPr="00234EE3" w:rsidRDefault="00686FE7">
            <w:pPr>
              <w:rPr>
                <w:rFonts w:ascii="Arial Narrow" w:hAnsi="Arial Narrow"/>
                <w:b/>
                <w:bCs/>
                <w:sz w:val="20"/>
                <w:szCs w:val="20"/>
              </w:rPr>
            </w:pPr>
            <w:r w:rsidRPr="00F407A6">
              <w:rPr>
                <w:rFonts w:ascii="Arial Narrow" w:hAnsi="Arial Narrow" w:cs="Times New Roman"/>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686FE7" w:rsidRPr="00446E53" w14:paraId="5086E533"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4332BBCE" w14:textId="77777777" w:rsidR="00686FE7" w:rsidRPr="008A25AC" w:rsidRDefault="00686FE7">
            <w:pPr>
              <w:rPr>
                <w:rFonts w:ascii="Arial Narrow" w:hAnsi="Arial Narrow" w:cs="Times New Roman"/>
                <w:b/>
                <w:bCs/>
                <w:sz w:val="20"/>
                <w:szCs w:val="20"/>
              </w:rPr>
            </w:pPr>
            <w:r w:rsidRPr="008A25AC">
              <w:rPr>
                <w:rFonts w:ascii="Arial Narrow" w:hAnsi="Arial Narrow" w:cs="Times New Roman"/>
                <w:b/>
                <w:bCs/>
                <w:sz w:val="20"/>
                <w:szCs w:val="20"/>
              </w:rPr>
              <w:lastRenderedPageBreak/>
              <w:t xml:space="preserve">Prescribing Instructions: </w:t>
            </w:r>
          </w:p>
          <w:p w14:paraId="0C5B9AB7" w14:textId="5D1019B4" w:rsidR="00686FE7" w:rsidRPr="008A25AC" w:rsidRDefault="00686FE7">
            <w:pPr>
              <w:rPr>
                <w:rFonts w:ascii="Arial Narrow" w:hAnsi="Arial Narrow" w:cs="Times New Roman"/>
                <w:bCs/>
                <w:sz w:val="20"/>
                <w:szCs w:val="20"/>
              </w:rPr>
            </w:pPr>
            <w:r w:rsidRPr="008A25AC">
              <w:rPr>
                <w:rFonts w:ascii="Arial Narrow" w:hAnsi="Arial Narrow" w:cs="Times New Roman"/>
                <w:bCs/>
                <w:sz w:val="20"/>
                <w:szCs w:val="20"/>
              </w:rPr>
              <w:t>The authority application must be made via the Online PBS Authorities System, or in writing via HPOS form upload or mail and must include:</w:t>
            </w:r>
          </w:p>
          <w:p w14:paraId="43FB76E7" w14:textId="77777777" w:rsidR="00686FE7" w:rsidRPr="008A25AC" w:rsidRDefault="00686FE7">
            <w:pPr>
              <w:rPr>
                <w:rFonts w:ascii="Arial Narrow" w:hAnsi="Arial Narrow" w:cs="Times New Roman"/>
                <w:bCs/>
                <w:sz w:val="20"/>
                <w:szCs w:val="20"/>
              </w:rPr>
            </w:pPr>
            <w:r w:rsidRPr="008A25AC">
              <w:rPr>
                <w:rFonts w:ascii="Arial Narrow" w:hAnsi="Arial Narrow" w:cs="Times New Roman"/>
                <w:bCs/>
                <w:sz w:val="20"/>
                <w:szCs w:val="20"/>
              </w:rPr>
              <w:t>(</w:t>
            </w:r>
            <w:proofErr w:type="spellStart"/>
            <w:r w:rsidRPr="008A25AC">
              <w:rPr>
                <w:rFonts w:ascii="Arial Narrow" w:hAnsi="Arial Narrow" w:cs="Times New Roman"/>
                <w:bCs/>
                <w:sz w:val="20"/>
                <w:szCs w:val="20"/>
              </w:rPr>
              <w:t>i</w:t>
            </w:r>
            <w:proofErr w:type="spellEnd"/>
            <w:r w:rsidRPr="008A25AC">
              <w:rPr>
                <w:rFonts w:ascii="Arial Narrow" w:hAnsi="Arial Narrow" w:cs="Times New Roman"/>
                <w:bCs/>
                <w:sz w:val="20"/>
                <w:szCs w:val="20"/>
              </w:rPr>
              <w:t>) the Hurley stage grading; and</w:t>
            </w:r>
          </w:p>
          <w:p w14:paraId="210D431A" w14:textId="77777777" w:rsidR="00686FE7" w:rsidRPr="008A25AC" w:rsidRDefault="00686FE7">
            <w:pPr>
              <w:rPr>
                <w:rFonts w:ascii="Arial Narrow" w:hAnsi="Arial Narrow" w:cs="Times New Roman"/>
                <w:bCs/>
                <w:sz w:val="20"/>
                <w:szCs w:val="20"/>
              </w:rPr>
            </w:pPr>
            <w:r w:rsidRPr="008A25AC">
              <w:rPr>
                <w:rFonts w:ascii="Arial Narrow" w:hAnsi="Arial Narrow" w:cs="Times New Roman"/>
                <w:bCs/>
                <w:sz w:val="20"/>
                <w:szCs w:val="20"/>
              </w:rPr>
              <w:t>(ii) the AN count; and</w:t>
            </w:r>
          </w:p>
          <w:p w14:paraId="14D4055A" w14:textId="77777777" w:rsidR="00686FE7" w:rsidRPr="008A25AC" w:rsidRDefault="00686FE7">
            <w:pPr>
              <w:rPr>
                <w:rFonts w:ascii="Arial Narrow" w:hAnsi="Arial Narrow" w:cs="Times New Roman"/>
                <w:bCs/>
                <w:sz w:val="20"/>
                <w:szCs w:val="20"/>
              </w:rPr>
            </w:pPr>
            <w:r w:rsidRPr="008A25AC">
              <w:rPr>
                <w:rFonts w:ascii="Arial Narrow" w:hAnsi="Arial Narrow" w:cs="Times New Roman"/>
                <w:bCs/>
                <w:sz w:val="20"/>
                <w:szCs w:val="20"/>
              </w:rPr>
              <w:t>(iii) the name of the antibiotic/s received for two separate courses each of three months; or</w:t>
            </w:r>
          </w:p>
          <w:p w14:paraId="24DE1D6C" w14:textId="77777777" w:rsidR="00686FE7" w:rsidRPr="008A25AC" w:rsidRDefault="00686FE7">
            <w:pPr>
              <w:rPr>
                <w:rFonts w:ascii="Arial Narrow" w:hAnsi="Arial Narrow" w:cs="Times New Roman"/>
                <w:bCs/>
                <w:sz w:val="20"/>
                <w:szCs w:val="20"/>
              </w:rPr>
            </w:pPr>
            <w:r w:rsidRPr="008A25AC">
              <w:rPr>
                <w:rFonts w:ascii="Arial Narrow" w:hAnsi="Arial Narrow" w:cs="Times New Roman"/>
                <w:bCs/>
                <w:sz w:val="20"/>
                <w:szCs w:val="20"/>
              </w:rPr>
              <w:t xml:space="preserve">(iv) confirmation that the adverse reaction or allergy to an antibiotic necessitated permanent treatment withdrawal resulting in the patient being unable to complete a three month course of antibiotics. </w:t>
            </w:r>
          </w:p>
          <w:p w14:paraId="0FC7D222" w14:textId="77777777" w:rsidR="00686FE7" w:rsidRPr="008A25AC" w:rsidRDefault="00686FE7">
            <w:pPr>
              <w:rPr>
                <w:rFonts w:ascii="Arial Narrow" w:hAnsi="Arial Narrow" w:cs="Times New Roman"/>
                <w:bCs/>
                <w:sz w:val="20"/>
                <w:szCs w:val="20"/>
              </w:rPr>
            </w:pPr>
            <w:r w:rsidRPr="008A25AC">
              <w:rPr>
                <w:rFonts w:ascii="Arial Narrow" w:hAnsi="Arial Narrow" w:cs="Times New Roman"/>
                <w:bCs/>
                <w:sz w:val="20"/>
                <w:szCs w:val="20"/>
              </w:rPr>
              <w:t>The name of the one course of antibiotics of three months duration must be provided. Where the patient is unable to be treated with any courses of antibiotics the prescriber must confirm that the patient has a history of adverse reaction or allergy necessitating permanent treatment withdrawal to two different antibiotics.</w:t>
            </w:r>
          </w:p>
          <w:p w14:paraId="1253857E" w14:textId="77777777" w:rsidR="00686FE7" w:rsidRPr="008A25AC" w:rsidRDefault="00686FE7">
            <w:pPr>
              <w:rPr>
                <w:rFonts w:ascii="Arial Narrow" w:hAnsi="Arial Narrow" w:cs="Times New Roman"/>
                <w:bCs/>
                <w:sz w:val="20"/>
                <w:szCs w:val="20"/>
              </w:rPr>
            </w:pPr>
          </w:p>
          <w:p w14:paraId="121890DA" w14:textId="77777777" w:rsidR="00686FE7" w:rsidRPr="008A25AC" w:rsidRDefault="00686FE7" w:rsidP="00994389">
            <w:pPr>
              <w:rPr>
                <w:rFonts w:ascii="Arial Narrow" w:hAnsi="Arial Narrow" w:cs="Times New Roman"/>
                <w:bCs/>
                <w:sz w:val="20"/>
                <w:szCs w:val="20"/>
              </w:rPr>
            </w:pPr>
            <w:r w:rsidRPr="008A25AC">
              <w:rPr>
                <w:rFonts w:ascii="Arial Narrow" w:hAnsi="Arial Narrow" w:cs="Times New Roman"/>
                <w:bCs/>
                <w:sz w:val="20"/>
                <w:szCs w:val="20"/>
              </w:rPr>
              <w:t>If the application is submitted through HPOS form upload or mail, it must include:</w:t>
            </w:r>
          </w:p>
          <w:p w14:paraId="5379C42D" w14:textId="77777777" w:rsidR="00686FE7" w:rsidRPr="008A25AC" w:rsidRDefault="00686FE7" w:rsidP="00994389">
            <w:pPr>
              <w:rPr>
                <w:rFonts w:ascii="Arial Narrow" w:hAnsi="Arial Narrow"/>
                <w:bCs/>
                <w:sz w:val="18"/>
                <w:szCs w:val="18"/>
              </w:rPr>
            </w:pPr>
            <w:r w:rsidRPr="008A25AC">
              <w:rPr>
                <w:rFonts w:ascii="Arial Narrow" w:hAnsi="Arial Narrow" w:cs="Times New Roman"/>
                <w:bCs/>
                <w:sz w:val="20"/>
                <w:szCs w:val="20"/>
              </w:rPr>
              <w:t>(</w:t>
            </w:r>
            <w:proofErr w:type="spellStart"/>
            <w:r w:rsidRPr="008A25AC">
              <w:rPr>
                <w:rFonts w:ascii="Arial Narrow" w:hAnsi="Arial Narrow" w:cs="Times New Roman"/>
                <w:bCs/>
                <w:sz w:val="20"/>
                <w:szCs w:val="20"/>
              </w:rPr>
              <w:t>i</w:t>
            </w:r>
            <w:proofErr w:type="spellEnd"/>
            <w:r w:rsidRPr="008A25AC">
              <w:rPr>
                <w:rFonts w:ascii="Arial Narrow" w:hAnsi="Arial Narrow" w:cs="Times New Roman"/>
                <w:bCs/>
                <w:sz w:val="20"/>
                <w:szCs w:val="20"/>
              </w:rPr>
              <w:t>) details of the proposed prescription(s); and</w:t>
            </w:r>
          </w:p>
          <w:p w14:paraId="781B75E6" w14:textId="0167C90B" w:rsidR="00686FE7" w:rsidRPr="008A25AC" w:rsidRDefault="00686FE7" w:rsidP="00994389">
            <w:pPr>
              <w:rPr>
                <w:rFonts w:ascii="Arial Narrow" w:hAnsi="Arial Narrow" w:cs="Times New Roman"/>
                <w:bCs/>
                <w:sz w:val="20"/>
                <w:szCs w:val="20"/>
              </w:rPr>
            </w:pPr>
            <w:r w:rsidRPr="008A25AC">
              <w:rPr>
                <w:rFonts w:ascii="Arial Narrow" w:hAnsi="Arial Narrow" w:cs="Times New Roman"/>
                <w:bCs/>
                <w:sz w:val="20"/>
                <w:szCs w:val="20"/>
              </w:rPr>
              <w:t>(ii) a completed authority application form relevant to the indication and treatment phase (the latest version is located on the website specified in the Administrative Advice)</w:t>
            </w:r>
          </w:p>
        </w:tc>
      </w:tr>
      <w:tr w:rsidR="00686FE7" w:rsidRPr="00446E53" w14:paraId="1A78802E"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2A6EE179" w14:textId="77777777" w:rsidR="00686FE7" w:rsidRPr="00F407A6" w:rsidRDefault="00686FE7">
            <w:pPr>
              <w:rPr>
                <w:rFonts w:ascii="Arial Narrow" w:hAnsi="Arial Narrow" w:cs="Times New Roman"/>
                <w:bCs/>
                <w:sz w:val="20"/>
                <w:szCs w:val="20"/>
              </w:rPr>
            </w:pPr>
            <w:r w:rsidRPr="00F407A6">
              <w:rPr>
                <w:rFonts w:ascii="Arial Narrow" w:hAnsi="Arial Narrow" w:cs="Times New Roman"/>
                <w:b/>
                <w:bCs/>
                <w:sz w:val="20"/>
                <w:szCs w:val="20"/>
              </w:rPr>
              <w:t>Administrative Advice:</w:t>
            </w:r>
            <w:r w:rsidRPr="00F407A6">
              <w:rPr>
                <w:rFonts w:ascii="Arial Narrow" w:hAnsi="Arial Narrow" w:cs="Times New Roman"/>
                <w:bCs/>
                <w:sz w:val="20"/>
                <w:szCs w:val="20"/>
              </w:rPr>
              <w:t xml:space="preserve"> </w:t>
            </w:r>
          </w:p>
          <w:p w14:paraId="7ACCB63F" w14:textId="77777777" w:rsidR="00686FE7" w:rsidRPr="003B0D37" w:rsidRDefault="00686FE7">
            <w:pPr>
              <w:rPr>
                <w:rFonts w:ascii="Arial Narrow" w:hAnsi="Arial Narrow"/>
                <w:b/>
                <w:bCs/>
                <w:sz w:val="20"/>
                <w:szCs w:val="20"/>
              </w:rPr>
            </w:pPr>
            <w:r w:rsidRPr="1C480FD5">
              <w:rPr>
                <w:rFonts w:ascii="Arial Narrow" w:hAnsi="Arial Narrow" w:cs="Times New Roman"/>
                <w:sz w:val="20"/>
                <w:szCs w:val="20"/>
              </w:rPr>
              <w:t xml:space="preserve">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 </w:t>
            </w:r>
          </w:p>
        </w:tc>
      </w:tr>
      <w:tr w:rsidR="002D6186" w:rsidRPr="00446E53" w14:paraId="7DF4A6B2"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1BDA30C4" w14:textId="77777777" w:rsidR="002D6186" w:rsidRDefault="002D6186">
            <w:pPr>
              <w:rPr>
                <w:rFonts w:ascii="Arial Narrow" w:hAnsi="Arial Narrow"/>
                <w:bCs/>
                <w:color w:val="FF0000"/>
                <w:sz w:val="20"/>
                <w:szCs w:val="20"/>
              </w:rPr>
            </w:pPr>
          </w:p>
          <w:p w14:paraId="1C8D90B1" w14:textId="77777777" w:rsidR="002D6186" w:rsidRPr="00446E53" w:rsidRDefault="002D6186">
            <w:pPr>
              <w:rPr>
                <w:rFonts w:ascii="Arial Narrow" w:hAnsi="Arial Narrow"/>
                <w:bCs/>
                <w:color w:val="FF0000"/>
                <w:sz w:val="20"/>
                <w:szCs w:val="20"/>
              </w:rPr>
            </w:pPr>
          </w:p>
        </w:tc>
      </w:tr>
      <w:tr w:rsidR="002D6186" w:rsidRPr="00446E53" w14:paraId="33AD52C1" w14:textId="77777777" w:rsidTr="00686FE7">
        <w:tblPrEx>
          <w:tblCellMar>
            <w:top w:w="15" w:type="dxa"/>
            <w:bottom w:w="15" w:type="dxa"/>
          </w:tblCellMar>
          <w:tblLook w:val="04A0" w:firstRow="1" w:lastRow="0" w:firstColumn="1" w:lastColumn="0" w:noHBand="0" w:noVBand="1"/>
        </w:tblPrEx>
        <w:trPr>
          <w:cantSplit/>
          <w:trHeight w:val="20"/>
        </w:trPr>
        <w:tc>
          <w:tcPr>
            <w:tcW w:w="1268" w:type="dxa"/>
            <w:shd w:val="clear" w:color="auto" w:fill="BFBFBF" w:themeFill="background1" w:themeFillShade="BF"/>
          </w:tcPr>
          <w:p w14:paraId="2DABF70C" w14:textId="77777777" w:rsidR="002D6186" w:rsidRPr="00446E53" w:rsidRDefault="002D6186">
            <w:pPr>
              <w:keepNext/>
              <w:keepLines/>
              <w:jc w:val="center"/>
              <w:rPr>
                <w:rFonts w:ascii="Arial Narrow" w:hAnsi="Arial Narrow"/>
                <w:b/>
                <w:bCs/>
                <w:color w:val="333333"/>
                <w:sz w:val="20"/>
                <w:szCs w:val="20"/>
              </w:rPr>
            </w:pPr>
          </w:p>
        </w:tc>
        <w:tc>
          <w:tcPr>
            <w:tcW w:w="7691" w:type="dxa"/>
            <w:gridSpan w:val="6"/>
            <w:shd w:val="clear" w:color="auto" w:fill="BFBFBF" w:themeFill="background1" w:themeFillShade="BF"/>
            <w:vAlign w:val="center"/>
          </w:tcPr>
          <w:p w14:paraId="39314EEB" w14:textId="77777777" w:rsidR="002D6186" w:rsidRPr="008864EE" w:rsidRDefault="002D6186">
            <w:pPr>
              <w:keepNext/>
              <w:keepLines/>
              <w:rPr>
                <w:rFonts w:ascii="Arial Narrow" w:hAnsi="Arial Narrow"/>
                <w:b/>
                <w:bCs/>
                <w:color w:val="FF0000"/>
                <w:sz w:val="20"/>
                <w:szCs w:val="20"/>
              </w:rPr>
            </w:pPr>
            <w:r w:rsidRPr="00446E53">
              <w:rPr>
                <w:rFonts w:ascii="Arial Narrow" w:hAnsi="Arial Narrow"/>
                <w:b/>
                <w:bCs/>
                <w:color w:val="333333"/>
                <w:sz w:val="20"/>
                <w:szCs w:val="20"/>
              </w:rPr>
              <w:t>Restriction Summary [new</w:t>
            </w:r>
            <w:r>
              <w:rPr>
                <w:rFonts w:ascii="Arial Narrow" w:hAnsi="Arial Narrow"/>
                <w:b/>
                <w:bCs/>
                <w:color w:val="333333"/>
                <w:sz w:val="20"/>
                <w:szCs w:val="20"/>
              </w:rPr>
              <w:t>2</w:t>
            </w:r>
            <w:r w:rsidRPr="00446E53">
              <w:rPr>
                <w:rFonts w:ascii="Arial Narrow" w:hAnsi="Arial Narrow"/>
                <w:b/>
                <w:bCs/>
                <w:color w:val="333333"/>
                <w:sz w:val="20"/>
                <w:szCs w:val="20"/>
              </w:rPr>
              <w:t>] / Treatment of Concept: [new</w:t>
            </w:r>
            <w:r>
              <w:rPr>
                <w:rFonts w:ascii="Arial Narrow" w:hAnsi="Arial Narrow"/>
                <w:b/>
                <w:bCs/>
                <w:color w:val="333333"/>
                <w:sz w:val="20"/>
                <w:szCs w:val="20"/>
              </w:rPr>
              <w:t>2A</w:t>
            </w:r>
            <w:r w:rsidRPr="00446E53">
              <w:rPr>
                <w:rFonts w:ascii="Arial Narrow" w:hAnsi="Arial Narrow"/>
                <w:b/>
                <w:bCs/>
                <w:color w:val="333333"/>
                <w:sz w:val="20"/>
                <w:szCs w:val="20"/>
              </w:rPr>
              <w:t>]</w:t>
            </w:r>
          </w:p>
        </w:tc>
      </w:tr>
      <w:tr w:rsidR="00686FE7" w:rsidRPr="00446E53" w14:paraId="6652E84C"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hideMark/>
          </w:tcPr>
          <w:p w14:paraId="6460881F" w14:textId="77777777" w:rsidR="00686FE7" w:rsidRPr="005E63D4" w:rsidRDefault="00686FE7">
            <w:pPr>
              <w:rPr>
                <w:rFonts w:ascii="Arial Narrow" w:hAnsi="Arial Narrow"/>
                <w:sz w:val="20"/>
                <w:szCs w:val="20"/>
              </w:rPr>
            </w:pPr>
            <w:r>
              <w:rPr>
                <w:rFonts w:ascii="Arial Narrow" w:hAnsi="Arial Narrow" w:cs="Segoe UI"/>
                <w:b/>
                <w:bCs/>
                <w:color w:val="333333"/>
                <w:sz w:val="20"/>
                <w:szCs w:val="20"/>
                <w:lang w:eastAsia="en-US"/>
              </w:rPr>
              <w:t>Indication:</w:t>
            </w:r>
            <w:r>
              <w:rPr>
                <w:rFonts w:ascii="Arial Narrow" w:hAnsi="Arial Narrow" w:cs="Segoe UI"/>
                <w:color w:val="333333"/>
                <w:sz w:val="20"/>
                <w:szCs w:val="20"/>
                <w:lang w:eastAsia="en-US"/>
              </w:rPr>
              <w:t xml:space="preserve"> </w:t>
            </w:r>
            <w:r w:rsidRPr="00F407A6">
              <w:rPr>
                <w:rFonts w:ascii="Arial Narrow" w:hAnsi="Arial Narrow" w:cs="Times New Roman"/>
                <w:sz w:val="20"/>
                <w:szCs w:val="20"/>
              </w:rPr>
              <w:t>Moderate to severe hidradenitis suppurativa</w:t>
            </w:r>
          </w:p>
        </w:tc>
      </w:tr>
      <w:tr w:rsidR="00686FE7" w:rsidRPr="00446E53" w14:paraId="018B125B"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hideMark/>
          </w:tcPr>
          <w:p w14:paraId="3456D08A" w14:textId="77777777" w:rsidR="00686FE7" w:rsidRPr="005E63D4" w:rsidRDefault="00686FE7">
            <w:pPr>
              <w:rPr>
                <w:rFonts w:ascii="Arial Narrow" w:hAnsi="Arial Narrow"/>
                <w:sz w:val="20"/>
                <w:szCs w:val="20"/>
              </w:rPr>
            </w:pPr>
            <w:r w:rsidRPr="005E63D4">
              <w:rPr>
                <w:rFonts w:ascii="Arial Narrow" w:hAnsi="Arial Narrow"/>
                <w:b/>
                <w:bCs/>
                <w:sz w:val="20"/>
                <w:szCs w:val="20"/>
              </w:rPr>
              <w:t>Treatment Phase:</w:t>
            </w:r>
            <w:r w:rsidRPr="005E63D4">
              <w:rPr>
                <w:rFonts w:ascii="Arial Narrow" w:hAnsi="Arial Narrow"/>
                <w:sz w:val="20"/>
                <w:szCs w:val="20"/>
              </w:rPr>
              <w:t xml:space="preserve"> </w:t>
            </w:r>
            <w:r>
              <w:rPr>
                <w:rFonts w:ascii="Arial Narrow" w:hAnsi="Arial Narrow"/>
                <w:sz w:val="20"/>
                <w:szCs w:val="20"/>
              </w:rPr>
              <w:t xml:space="preserve">Initial treatment – Initial 2 (Change </w:t>
            </w:r>
            <w:r w:rsidRPr="004343CB">
              <w:rPr>
                <w:rFonts w:ascii="Arial Narrow" w:hAnsi="Arial Narrow" w:cs="Times New Roman"/>
                <w:sz w:val="20"/>
                <w:szCs w:val="20"/>
              </w:rPr>
              <w:t>or</w:t>
            </w:r>
            <w:r w:rsidRPr="004343CB">
              <w:rPr>
                <w:rFonts w:ascii="Arial Narrow" w:hAnsi="Arial Narrow" w:cs="Times New Roman"/>
                <w:i/>
                <w:iCs/>
                <w:sz w:val="20"/>
                <w:szCs w:val="20"/>
              </w:rPr>
              <w:t xml:space="preserve"> </w:t>
            </w:r>
            <w:r w:rsidRPr="004343CB">
              <w:rPr>
                <w:rFonts w:ascii="Arial Narrow" w:hAnsi="Arial Narrow" w:cs="Times New Roman"/>
                <w:sz w:val="20"/>
                <w:szCs w:val="20"/>
              </w:rPr>
              <w:t>re-commencement of treatment after a break in biological medicine of less than 5 years)</w:t>
            </w:r>
          </w:p>
        </w:tc>
      </w:tr>
      <w:tr w:rsidR="00686FE7" w:rsidRPr="00446E53" w14:paraId="7F7EC7B7"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2DE32E95" w14:textId="77777777" w:rsidR="00686FE7" w:rsidRPr="005E63D4" w:rsidRDefault="00686FE7">
            <w:pPr>
              <w:rPr>
                <w:rFonts w:ascii="Arial Narrow" w:hAnsi="Arial Narrow"/>
                <w:b/>
                <w:bCs/>
                <w:sz w:val="20"/>
                <w:szCs w:val="20"/>
              </w:rPr>
            </w:pPr>
            <w:r w:rsidRPr="00F407A6">
              <w:rPr>
                <w:rFonts w:ascii="Arial Narrow" w:hAnsi="Arial Narrow" w:cs="Times New Roman"/>
                <w:b/>
                <w:bCs/>
                <w:sz w:val="20"/>
                <w:szCs w:val="20"/>
              </w:rPr>
              <w:t>Clinical criteria:</w:t>
            </w:r>
          </w:p>
        </w:tc>
      </w:tr>
      <w:tr w:rsidR="00686FE7" w:rsidRPr="00446E53" w14:paraId="1FCA32E0"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2719B1E4" w14:textId="77777777" w:rsidR="00686FE7" w:rsidRPr="005E63D4" w:rsidRDefault="00686FE7">
            <w:pPr>
              <w:rPr>
                <w:rFonts w:ascii="Arial Narrow" w:hAnsi="Arial Narrow"/>
                <w:b/>
                <w:bCs/>
                <w:sz w:val="20"/>
                <w:szCs w:val="20"/>
              </w:rPr>
            </w:pPr>
            <w:r w:rsidRPr="00F407A6">
              <w:rPr>
                <w:rFonts w:ascii="Arial Narrow" w:hAnsi="Arial Narrow" w:cs="Times New Roman"/>
                <w:sz w:val="20"/>
                <w:szCs w:val="20"/>
              </w:rPr>
              <w:t>Patient must have received prior PBS-subsidised treatment with a biological medicine for this condition in this treatment cycle</w:t>
            </w:r>
          </w:p>
        </w:tc>
      </w:tr>
      <w:tr w:rsidR="00686FE7" w:rsidRPr="00446E53" w14:paraId="0D5AA89B"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6482EA12" w14:textId="77777777" w:rsidR="00686FE7" w:rsidRPr="005E63D4" w:rsidRDefault="00686FE7">
            <w:pPr>
              <w:rPr>
                <w:rFonts w:ascii="Arial Narrow" w:hAnsi="Arial Narrow"/>
                <w:sz w:val="20"/>
                <w:szCs w:val="20"/>
              </w:rPr>
            </w:pPr>
            <w:r w:rsidRPr="00F407A6">
              <w:rPr>
                <w:rFonts w:ascii="Arial Narrow" w:hAnsi="Arial Narrow" w:cs="Times New Roman"/>
                <w:b/>
                <w:bCs/>
                <w:sz w:val="20"/>
                <w:szCs w:val="20"/>
              </w:rPr>
              <w:t>AND</w:t>
            </w:r>
          </w:p>
        </w:tc>
      </w:tr>
      <w:tr w:rsidR="00686FE7" w:rsidRPr="00446E53" w14:paraId="40767277"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10AFB9C5" w14:textId="77777777" w:rsidR="00686FE7" w:rsidRPr="005E63D4" w:rsidRDefault="00686FE7">
            <w:pPr>
              <w:rPr>
                <w:rFonts w:ascii="Arial Narrow" w:hAnsi="Arial Narrow"/>
                <w:b/>
                <w:bCs/>
                <w:sz w:val="20"/>
                <w:szCs w:val="20"/>
              </w:rPr>
            </w:pPr>
            <w:r w:rsidRPr="00F407A6">
              <w:rPr>
                <w:rFonts w:ascii="Arial Narrow" w:hAnsi="Arial Narrow" w:cs="Times New Roman"/>
                <w:b/>
                <w:bCs/>
                <w:sz w:val="20"/>
                <w:szCs w:val="20"/>
              </w:rPr>
              <w:t>Clinical criteria:</w:t>
            </w:r>
          </w:p>
        </w:tc>
      </w:tr>
      <w:tr w:rsidR="00686FE7" w:rsidRPr="00446E53" w14:paraId="181D75C8"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1D7E7A10" w14:textId="77777777" w:rsidR="00686FE7" w:rsidRPr="000261AD" w:rsidRDefault="00686FE7">
            <w:pPr>
              <w:rPr>
                <w:rFonts w:ascii="Arial Narrow" w:hAnsi="Arial Narrow"/>
                <w:b/>
                <w:bCs/>
                <w:sz w:val="20"/>
                <w:szCs w:val="20"/>
              </w:rPr>
            </w:pPr>
            <w:r w:rsidRPr="00F407A6">
              <w:rPr>
                <w:rFonts w:ascii="Arial Narrow" w:hAnsi="Arial Narrow" w:cs="Times New Roman"/>
                <w:sz w:val="20"/>
                <w:szCs w:val="20"/>
              </w:rPr>
              <w:t>Patient must not have already failed, or ceased to respond to, PBS-subsidised treatment with</w:t>
            </w:r>
            <w:r>
              <w:rPr>
                <w:rFonts w:ascii="Arial Narrow" w:hAnsi="Arial Narrow" w:cs="Times New Roman"/>
                <w:sz w:val="20"/>
                <w:szCs w:val="20"/>
              </w:rPr>
              <w:t xml:space="preserve"> </w:t>
            </w:r>
            <w:r w:rsidRPr="00F74CD4">
              <w:rPr>
                <w:rFonts w:ascii="Arial Narrow" w:hAnsi="Arial Narrow" w:cs="Times New Roman"/>
                <w:sz w:val="20"/>
                <w:szCs w:val="20"/>
              </w:rPr>
              <w:t xml:space="preserve">3 </w:t>
            </w:r>
            <w:r w:rsidRPr="00F407A6">
              <w:rPr>
                <w:rFonts w:ascii="Arial Narrow" w:hAnsi="Arial Narrow" w:cs="Times New Roman"/>
                <w:sz w:val="20"/>
                <w:szCs w:val="20"/>
              </w:rPr>
              <w:t>biological medicines for this condition within this treatment cycle</w:t>
            </w:r>
          </w:p>
        </w:tc>
      </w:tr>
      <w:tr w:rsidR="00686FE7" w:rsidRPr="00446E53" w14:paraId="7E4C006E"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49DB54AB" w14:textId="77777777" w:rsidR="00686FE7" w:rsidRPr="00936E19" w:rsidRDefault="00686FE7">
            <w:pPr>
              <w:rPr>
                <w:rFonts w:ascii="Arial Narrow" w:hAnsi="Arial Narrow"/>
                <w:sz w:val="20"/>
                <w:szCs w:val="20"/>
              </w:rPr>
            </w:pPr>
            <w:r w:rsidRPr="00F407A6">
              <w:rPr>
                <w:rFonts w:ascii="Arial Narrow" w:hAnsi="Arial Narrow" w:cs="Times New Roman"/>
                <w:b/>
                <w:bCs/>
                <w:sz w:val="20"/>
                <w:szCs w:val="20"/>
              </w:rPr>
              <w:t>AND</w:t>
            </w:r>
          </w:p>
        </w:tc>
      </w:tr>
      <w:tr w:rsidR="00686FE7" w:rsidRPr="00446E53" w14:paraId="72AC97F7"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199B377E" w14:textId="77777777" w:rsidR="00686FE7" w:rsidRPr="00936E19" w:rsidRDefault="00686FE7">
            <w:pPr>
              <w:rPr>
                <w:rFonts w:ascii="Arial Narrow" w:hAnsi="Arial Narrow"/>
                <w:sz w:val="20"/>
                <w:szCs w:val="20"/>
              </w:rPr>
            </w:pPr>
            <w:r w:rsidRPr="00F407A6">
              <w:rPr>
                <w:rFonts w:ascii="Arial Narrow" w:hAnsi="Arial Narrow" w:cs="Times New Roman"/>
                <w:b/>
                <w:bCs/>
                <w:sz w:val="20"/>
                <w:szCs w:val="20"/>
              </w:rPr>
              <w:t>Clinical criteria:</w:t>
            </w:r>
          </w:p>
        </w:tc>
      </w:tr>
      <w:tr w:rsidR="00686FE7" w:rsidRPr="00446E53" w14:paraId="1CB5319C"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03E5A9F1" w14:textId="77777777" w:rsidR="00686FE7" w:rsidRPr="00936E19" w:rsidRDefault="00686FE7">
            <w:pPr>
              <w:rPr>
                <w:rFonts w:ascii="Arial Narrow" w:hAnsi="Arial Narrow"/>
                <w:sz w:val="20"/>
                <w:szCs w:val="20"/>
              </w:rPr>
            </w:pPr>
            <w:r w:rsidRPr="00F407A6">
              <w:rPr>
                <w:rFonts w:ascii="Arial Narrow" w:hAnsi="Arial Narrow" w:cs="Times New Roman"/>
                <w:sz w:val="20"/>
                <w:szCs w:val="20"/>
              </w:rPr>
              <w:t>Patient must not have already failed, or ceased to respond to, PBS-subsidised treatment with this drug for this condition during the current treatment cycle</w:t>
            </w:r>
            <w:r>
              <w:rPr>
                <w:rFonts w:ascii="Arial Narrow" w:hAnsi="Arial Narrow" w:cs="Times New Roman"/>
                <w:sz w:val="20"/>
                <w:szCs w:val="20"/>
              </w:rPr>
              <w:t>.</w:t>
            </w:r>
          </w:p>
        </w:tc>
      </w:tr>
      <w:tr w:rsidR="00686FE7" w:rsidRPr="00446E53" w14:paraId="111B45ED"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30FDBBD2" w14:textId="77777777" w:rsidR="00686FE7" w:rsidRPr="00F63C29" w:rsidRDefault="00686FE7">
            <w:pPr>
              <w:rPr>
                <w:rFonts w:ascii="Arial Narrow" w:hAnsi="Arial Narrow"/>
                <w:sz w:val="20"/>
                <w:szCs w:val="20"/>
              </w:rPr>
            </w:pPr>
            <w:r w:rsidRPr="00F407A6">
              <w:rPr>
                <w:rFonts w:ascii="Arial Narrow" w:hAnsi="Arial Narrow" w:cs="Times New Roman"/>
                <w:b/>
                <w:bCs/>
                <w:sz w:val="20"/>
                <w:szCs w:val="20"/>
              </w:rPr>
              <w:t>AND</w:t>
            </w:r>
          </w:p>
        </w:tc>
      </w:tr>
      <w:tr w:rsidR="00686FE7" w:rsidRPr="00446E53" w14:paraId="03DE563A"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318985CA" w14:textId="77777777" w:rsidR="00686FE7" w:rsidRPr="00857C11" w:rsidRDefault="00686FE7">
            <w:pPr>
              <w:rPr>
                <w:rFonts w:ascii="Arial Narrow" w:hAnsi="Arial Narrow"/>
                <w:b/>
                <w:bCs/>
                <w:sz w:val="20"/>
                <w:szCs w:val="20"/>
              </w:rPr>
            </w:pPr>
            <w:r w:rsidRPr="00F407A6">
              <w:rPr>
                <w:rFonts w:ascii="Arial Narrow" w:hAnsi="Arial Narrow" w:cs="Times New Roman"/>
                <w:b/>
                <w:bCs/>
                <w:sz w:val="20"/>
                <w:szCs w:val="20"/>
              </w:rPr>
              <w:t>Clinical criteria:</w:t>
            </w:r>
          </w:p>
        </w:tc>
      </w:tr>
      <w:tr w:rsidR="00686FE7" w:rsidRPr="00446E53" w14:paraId="63BC3E5A"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766A3691" w14:textId="77777777" w:rsidR="00686FE7" w:rsidRPr="00857C11" w:rsidRDefault="00686FE7">
            <w:pPr>
              <w:rPr>
                <w:rFonts w:ascii="Arial Narrow" w:hAnsi="Arial Narrow"/>
                <w:b/>
                <w:bCs/>
                <w:sz w:val="20"/>
                <w:szCs w:val="20"/>
              </w:rPr>
            </w:pPr>
            <w:r w:rsidRPr="00F407A6">
              <w:rPr>
                <w:rFonts w:ascii="Arial Narrow" w:hAnsi="Arial Narrow" w:cs="Times New Roman"/>
                <w:sz w:val="20"/>
                <w:szCs w:val="20"/>
              </w:rPr>
              <w:t>Patient must not receive more than 16 weeks of treatment under this restriction</w:t>
            </w:r>
          </w:p>
        </w:tc>
      </w:tr>
      <w:tr w:rsidR="00686FE7" w:rsidRPr="00446E53" w14:paraId="1A7D421C"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69D7E51C" w14:textId="77777777" w:rsidR="00686FE7" w:rsidRPr="00857C11" w:rsidRDefault="00686FE7">
            <w:pPr>
              <w:rPr>
                <w:rFonts w:ascii="Arial Narrow" w:hAnsi="Arial Narrow"/>
                <w:b/>
                <w:bCs/>
                <w:sz w:val="20"/>
                <w:szCs w:val="20"/>
              </w:rPr>
            </w:pPr>
            <w:r w:rsidRPr="00F407A6">
              <w:rPr>
                <w:rFonts w:ascii="Arial Narrow" w:hAnsi="Arial Narrow" w:cs="Times New Roman"/>
                <w:b/>
                <w:bCs/>
                <w:sz w:val="20"/>
                <w:szCs w:val="20"/>
              </w:rPr>
              <w:t>Treatment criteria:</w:t>
            </w:r>
          </w:p>
        </w:tc>
      </w:tr>
      <w:tr w:rsidR="00686FE7" w:rsidRPr="00446E53" w14:paraId="00081273"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7725CBCB" w14:textId="77777777" w:rsidR="00686FE7" w:rsidRPr="00857C11" w:rsidRDefault="00686FE7">
            <w:pPr>
              <w:rPr>
                <w:rFonts w:ascii="Arial Narrow" w:hAnsi="Arial Narrow"/>
                <w:b/>
                <w:bCs/>
                <w:sz w:val="20"/>
                <w:szCs w:val="20"/>
              </w:rPr>
            </w:pPr>
            <w:r w:rsidRPr="00F407A6">
              <w:rPr>
                <w:rFonts w:ascii="Arial Narrow" w:hAnsi="Arial Narrow" w:cs="Times New Roman"/>
                <w:sz w:val="20"/>
                <w:szCs w:val="20"/>
              </w:rPr>
              <w:t>Must be treated by a dermatologist</w:t>
            </w:r>
          </w:p>
        </w:tc>
      </w:tr>
      <w:tr w:rsidR="00686FE7" w:rsidRPr="00446E53" w14:paraId="1ABF32E3"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524F6A6C" w14:textId="77777777" w:rsidR="00686FE7" w:rsidRPr="00F407A6" w:rsidRDefault="00686FE7">
            <w:pPr>
              <w:rPr>
                <w:rFonts w:ascii="Arial Narrow" w:hAnsi="Arial Narrow" w:cs="Times New Roman"/>
                <w:b/>
                <w:bCs/>
                <w:sz w:val="20"/>
                <w:szCs w:val="20"/>
              </w:rPr>
            </w:pPr>
            <w:r w:rsidRPr="00F407A6">
              <w:rPr>
                <w:rFonts w:ascii="Arial Narrow" w:hAnsi="Arial Narrow" w:cs="Times New Roman"/>
                <w:b/>
                <w:bCs/>
                <w:sz w:val="20"/>
                <w:szCs w:val="20"/>
              </w:rPr>
              <w:t xml:space="preserve">Prescribing Instructions: </w:t>
            </w:r>
          </w:p>
          <w:p w14:paraId="4BB285AE" w14:textId="77777777" w:rsidR="00686FE7" w:rsidRPr="00857C11" w:rsidRDefault="00686FE7">
            <w:pPr>
              <w:rPr>
                <w:rFonts w:ascii="Arial Narrow" w:hAnsi="Arial Narrow"/>
                <w:b/>
                <w:bCs/>
                <w:sz w:val="20"/>
                <w:szCs w:val="20"/>
              </w:rPr>
            </w:pPr>
            <w:r w:rsidRPr="00F407A6">
              <w:rPr>
                <w:rFonts w:ascii="Arial Narrow" w:hAnsi="Arial Narrow" w:cs="Times New Roman"/>
                <w:sz w:val="20"/>
                <w:szCs w:val="20"/>
              </w:rPr>
              <w:t>Assessment of disease severity must be no more than 4 weeks old at the time of application.</w:t>
            </w:r>
          </w:p>
        </w:tc>
      </w:tr>
      <w:tr w:rsidR="00686FE7" w:rsidRPr="00446E53" w14:paraId="0CEFD856"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64833C5F" w14:textId="77777777" w:rsidR="00686FE7" w:rsidRPr="00F407A6" w:rsidRDefault="00686FE7">
            <w:pPr>
              <w:rPr>
                <w:rFonts w:ascii="Arial Narrow" w:hAnsi="Arial Narrow" w:cs="Times New Roman"/>
                <w:b/>
                <w:bCs/>
                <w:sz w:val="20"/>
                <w:szCs w:val="20"/>
              </w:rPr>
            </w:pPr>
            <w:r w:rsidRPr="00F407A6">
              <w:rPr>
                <w:rFonts w:ascii="Arial Narrow" w:hAnsi="Arial Narrow" w:cs="Times New Roman"/>
                <w:b/>
                <w:bCs/>
                <w:sz w:val="20"/>
                <w:szCs w:val="20"/>
              </w:rPr>
              <w:t xml:space="preserve">Prescribing Instructions: </w:t>
            </w:r>
          </w:p>
          <w:p w14:paraId="19AFEBA5" w14:textId="77777777" w:rsidR="00686FE7" w:rsidRPr="00857C11" w:rsidRDefault="00686FE7">
            <w:pPr>
              <w:rPr>
                <w:rFonts w:ascii="Arial Narrow" w:hAnsi="Arial Narrow"/>
                <w:b/>
                <w:bCs/>
                <w:sz w:val="20"/>
                <w:szCs w:val="20"/>
              </w:rPr>
            </w:pPr>
            <w:r w:rsidRPr="00F407A6">
              <w:rPr>
                <w:rFonts w:ascii="Arial Narrow" w:hAnsi="Arial Narrow" w:cs="Times New Roman"/>
                <w:sz w:val="20"/>
                <w:szCs w:val="20"/>
              </w:rPr>
              <w:t xml:space="preserve">A response to treatment is defined </w:t>
            </w:r>
            <w:r w:rsidRPr="00564411">
              <w:rPr>
                <w:rFonts w:ascii="Arial Narrow" w:hAnsi="Arial Narrow" w:cs="Times New Roman"/>
                <w:sz w:val="20"/>
                <w:szCs w:val="20"/>
              </w:rPr>
              <w:t>as,</w:t>
            </w:r>
            <w:r w:rsidRPr="00F407A6">
              <w:rPr>
                <w:rFonts w:ascii="Arial Narrow" w:hAnsi="Arial Narrow" w:cs="Times New Roman"/>
                <w:sz w:val="20"/>
                <w:szCs w:val="20"/>
              </w:rPr>
              <w:t xml:space="preserve"> Achieving Hidradenitis Suppurativa Clinical Response (</w:t>
            </w:r>
            <w:proofErr w:type="spellStart"/>
            <w:r w:rsidRPr="00F407A6">
              <w:rPr>
                <w:rFonts w:ascii="Arial Narrow" w:hAnsi="Arial Narrow" w:cs="Times New Roman"/>
                <w:sz w:val="20"/>
                <w:szCs w:val="20"/>
              </w:rPr>
              <w:t>HiSCR</w:t>
            </w:r>
            <w:proofErr w:type="spellEnd"/>
            <w:r w:rsidRPr="00F407A6">
              <w:rPr>
                <w:rFonts w:ascii="Arial Narrow" w:hAnsi="Arial Narrow" w:cs="Times New Roman"/>
                <w:sz w:val="20"/>
                <w:szCs w:val="20"/>
              </w:rPr>
              <w:t>) of a 50% reduction in AN count compared to baseline with no increase in abscesses or draining fistulae.</w:t>
            </w:r>
          </w:p>
        </w:tc>
      </w:tr>
      <w:tr w:rsidR="00686FE7" w:rsidRPr="00446E53" w14:paraId="04B85657"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7B26A1ED" w14:textId="77777777" w:rsidR="00686FE7" w:rsidRPr="00F407A6" w:rsidRDefault="00686FE7">
            <w:pPr>
              <w:rPr>
                <w:rFonts w:ascii="Arial Narrow" w:hAnsi="Arial Narrow" w:cs="Times New Roman"/>
                <w:b/>
                <w:bCs/>
                <w:sz w:val="20"/>
                <w:szCs w:val="20"/>
              </w:rPr>
            </w:pPr>
            <w:r w:rsidRPr="00F407A6">
              <w:rPr>
                <w:rFonts w:ascii="Arial Narrow" w:hAnsi="Arial Narrow" w:cs="Times New Roman"/>
                <w:b/>
                <w:bCs/>
                <w:sz w:val="20"/>
                <w:szCs w:val="20"/>
              </w:rPr>
              <w:t xml:space="preserve">Prescribing Instructions: </w:t>
            </w:r>
          </w:p>
          <w:p w14:paraId="141F02BA" w14:textId="77777777" w:rsidR="00686FE7" w:rsidRPr="00857C11" w:rsidRDefault="00686FE7">
            <w:pPr>
              <w:rPr>
                <w:rFonts w:ascii="Arial Narrow" w:hAnsi="Arial Narrow"/>
                <w:b/>
                <w:bCs/>
                <w:sz w:val="20"/>
                <w:szCs w:val="20"/>
              </w:rPr>
            </w:pPr>
            <w:r w:rsidRPr="00F407A6">
              <w:rPr>
                <w:rFonts w:ascii="Arial Narrow" w:hAnsi="Arial Narrow" w:cs="Times New Roman"/>
                <w:sz w:val="20"/>
                <w:szCs w:val="20"/>
              </w:rPr>
              <w:t xml:space="preserve">An application for a patient who has received </w:t>
            </w:r>
            <w:r w:rsidRPr="00A32B8D">
              <w:rPr>
                <w:rFonts w:ascii="Arial Narrow" w:hAnsi="Arial Narrow" w:cs="Times New Roman"/>
                <w:sz w:val="20"/>
                <w:szCs w:val="20"/>
              </w:rPr>
              <w:t>PBS-subsidised treatment with this drug, has not experienced treatment failure, and wishes to re-commence</w:t>
            </w:r>
            <w:r w:rsidRPr="00F407A6">
              <w:rPr>
                <w:rFonts w:ascii="Arial Narrow" w:hAnsi="Arial Narrow" w:cs="Times New Roman"/>
                <w:sz w:val="20"/>
                <w:szCs w:val="20"/>
              </w:rPr>
              <w:t xml:space="preserve"> therapy with this drug, must be accompanied by evidence of a response to the patient’s most recent course of PBS-subsidised treatment with this drug, within the timeframes specified below. </w:t>
            </w:r>
          </w:p>
        </w:tc>
      </w:tr>
      <w:tr w:rsidR="00686FE7" w:rsidRPr="00446E53" w14:paraId="1F335B41"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3D7A31BD" w14:textId="77777777" w:rsidR="00686FE7" w:rsidRPr="00F407A6" w:rsidRDefault="00686FE7">
            <w:pPr>
              <w:rPr>
                <w:rFonts w:ascii="Arial Narrow" w:hAnsi="Arial Narrow" w:cs="Times New Roman"/>
                <w:b/>
                <w:bCs/>
                <w:sz w:val="20"/>
                <w:szCs w:val="20"/>
              </w:rPr>
            </w:pPr>
            <w:r w:rsidRPr="00F407A6">
              <w:rPr>
                <w:rFonts w:ascii="Arial Narrow" w:hAnsi="Arial Narrow" w:cs="Times New Roman"/>
                <w:b/>
                <w:bCs/>
                <w:sz w:val="20"/>
                <w:szCs w:val="20"/>
              </w:rPr>
              <w:lastRenderedPageBreak/>
              <w:t xml:space="preserve">Prescribing Instructions: </w:t>
            </w:r>
          </w:p>
          <w:p w14:paraId="13D2F5FB" w14:textId="77777777" w:rsidR="00686FE7" w:rsidRPr="00857C11" w:rsidRDefault="00686FE7">
            <w:pPr>
              <w:rPr>
                <w:rFonts w:ascii="Arial Narrow" w:hAnsi="Arial Narrow"/>
                <w:b/>
                <w:bCs/>
                <w:sz w:val="20"/>
                <w:szCs w:val="20"/>
              </w:rPr>
            </w:pPr>
            <w:r w:rsidRPr="00F407A6">
              <w:rPr>
                <w:rFonts w:ascii="Arial Narrow" w:hAnsi="Arial Narrow" w:cs="Times New Roman"/>
                <w:sz w:val="20"/>
                <w:szCs w:val="20"/>
              </w:rPr>
              <w:t xml:space="preserve">To demonstrate a response to treatment the application must be accompanied with the assessment of response, conducted following a minimum of </w:t>
            </w:r>
            <w:r w:rsidRPr="00A32B8D">
              <w:rPr>
                <w:rFonts w:ascii="Arial Narrow" w:hAnsi="Arial Narrow" w:cs="Times New Roman"/>
                <w:sz w:val="20"/>
                <w:szCs w:val="20"/>
              </w:rPr>
              <w:t xml:space="preserve">12 </w:t>
            </w:r>
            <w:r w:rsidRPr="00F407A6">
              <w:rPr>
                <w:rFonts w:ascii="Arial Narrow" w:hAnsi="Arial Narrow" w:cs="Times New Roman"/>
                <w:sz w:val="20"/>
                <w:szCs w:val="20"/>
              </w:rPr>
              <w:t>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tc>
      </w:tr>
      <w:tr w:rsidR="00686FE7" w:rsidRPr="00446E53" w14:paraId="7120A7E6"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15B56193" w14:textId="77777777" w:rsidR="00686FE7" w:rsidRPr="00F407A6" w:rsidRDefault="00686FE7">
            <w:pPr>
              <w:rPr>
                <w:rFonts w:ascii="Arial Narrow" w:hAnsi="Arial Narrow" w:cs="Times New Roman"/>
                <w:b/>
                <w:bCs/>
                <w:sz w:val="20"/>
                <w:szCs w:val="20"/>
              </w:rPr>
            </w:pPr>
            <w:r w:rsidRPr="00F407A6">
              <w:rPr>
                <w:rFonts w:ascii="Arial Narrow" w:hAnsi="Arial Narrow" w:cs="Times New Roman"/>
                <w:b/>
                <w:bCs/>
                <w:sz w:val="20"/>
                <w:szCs w:val="20"/>
              </w:rPr>
              <w:t xml:space="preserve">Prescribing Instructions: </w:t>
            </w:r>
          </w:p>
          <w:p w14:paraId="6A6CF5DA" w14:textId="77777777" w:rsidR="00686FE7" w:rsidRPr="00857C11" w:rsidRDefault="00686FE7">
            <w:pPr>
              <w:rPr>
                <w:rFonts w:ascii="Arial Narrow" w:hAnsi="Arial Narrow"/>
                <w:b/>
                <w:bCs/>
                <w:sz w:val="20"/>
                <w:szCs w:val="20"/>
              </w:rPr>
            </w:pPr>
            <w:r w:rsidRPr="00F407A6">
              <w:rPr>
                <w:rFonts w:ascii="Arial Narrow" w:hAnsi="Arial Narrow" w:cs="Times New Roman"/>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686FE7" w:rsidRPr="00446E53" w14:paraId="6AEC7FCD"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2CB53D2B" w14:textId="77777777" w:rsidR="00686FE7" w:rsidRDefault="00686FE7">
            <w:pPr>
              <w:rPr>
                <w:rFonts w:ascii="Arial Narrow" w:hAnsi="Arial Narrow" w:cs="Times New Roman"/>
                <w:b/>
                <w:bCs/>
                <w:sz w:val="20"/>
                <w:szCs w:val="20"/>
              </w:rPr>
            </w:pPr>
            <w:r w:rsidRPr="00BA7173">
              <w:rPr>
                <w:rFonts w:ascii="Arial Narrow" w:hAnsi="Arial Narrow" w:cs="Times New Roman"/>
                <w:b/>
                <w:bCs/>
                <w:sz w:val="20"/>
                <w:szCs w:val="20"/>
              </w:rPr>
              <w:t xml:space="preserve">Prescribing Instructions: </w:t>
            </w:r>
          </w:p>
          <w:p w14:paraId="1AD8C74E" w14:textId="77777777" w:rsidR="00686FE7" w:rsidRPr="008A25AC" w:rsidRDefault="00686FE7" w:rsidP="008A25AC">
            <w:pPr>
              <w:rPr>
                <w:rFonts w:ascii="Arial Narrow" w:hAnsi="Arial Narrow" w:cs="Times New Roman"/>
                <w:bCs/>
                <w:sz w:val="20"/>
                <w:szCs w:val="20"/>
              </w:rPr>
            </w:pPr>
            <w:r w:rsidRPr="008A25AC">
              <w:rPr>
                <w:rFonts w:ascii="Arial Narrow" w:hAnsi="Arial Narrow" w:cs="Times New Roman"/>
                <w:bCs/>
                <w:sz w:val="20"/>
                <w:szCs w:val="20"/>
              </w:rPr>
              <w:t>The authority application must be made via the Online PBS Authorities System, or in writing via HPOS form upload or mail and must include:</w:t>
            </w:r>
          </w:p>
          <w:p w14:paraId="0962C7EB" w14:textId="77777777" w:rsidR="00686FE7" w:rsidRPr="008A25AC" w:rsidRDefault="00686FE7" w:rsidP="008A25AC">
            <w:pPr>
              <w:rPr>
                <w:rFonts w:ascii="Arial Narrow" w:hAnsi="Arial Narrow" w:cs="Times New Roman"/>
                <w:sz w:val="20"/>
                <w:szCs w:val="20"/>
              </w:rPr>
            </w:pPr>
            <w:r w:rsidRPr="008A25AC">
              <w:rPr>
                <w:rFonts w:ascii="Arial Narrow" w:hAnsi="Arial Narrow" w:cs="Times New Roman"/>
                <w:sz w:val="20"/>
                <w:szCs w:val="20"/>
              </w:rPr>
              <w:t>(</w:t>
            </w:r>
            <w:proofErr w:type="spellStart"/>
            <w:r w:rsidRPr="008A25AC">
              <w:rPr>
                <w:rFonts w:ascii="Arial Narrow" w:hAnsi="Arial Narrow" w:cs="Times New Roman"/>
                <w:sz w:val="20"/>
                <w:szCs w:val="20"/>
              </w:rPr>
              <w:t>i</w:t>
            </w:r>
            <w:proofErr w:type="spellEnd"/>
            <w:r w:rsidRPr="008A25AC">
              <w:rPr>
                <w:rFonts w:ascii="Arial Narrow" w:hAnsi="Arial Narrow" w:cs="Times New Roman"/>
                <w:sz w:val="20"/>
                <w:szCs w:val="20"/>
              </w:rPr>
              <w:t>) the Hurley stage grading; and</w:t>
            </w:r>
          </w:p>
          <w:p w14:paraId="2D9C27E9" w14:textId="77777777" w:rsidR="00686FE7" w:rsidRPr="008A25AC" w:rsidRDefault="00686FE7" w:rsidP="008A25AC">
            <w:pPr>
              <w:rPr>
                <w:rFonts w:ascii="Arial Narrow" w:hAnsi="Arial Narrow" w:cs="Times New Roman"/>
                <w:sz w:val="20"/>
                <w:szCs w:val="20"/>
              </w:rPr>
            </w:pPr>
            <w:r w:rsidRPr="008A25AC">
              <w:rPr>
                <w:rFonts w:ascii="Arial Narrow" w:hAnsi="Arial Narrow" w:cs="Times New Roman"/>
                <w:sz w:val="20"/>
                <w:szCs w:val="20"/>
              </w:rPr>
              <w:t>(ii) the AN count.</w:t>
            </w:r>
          </w:p>
          <w:p w14:paraId="5AB3EF8F" w14:textId="77777777" w:rsidR="00686FE7" w:rsidRPr="008A25AC" w:rsidRDefault="00686FE7" w:rsidP="008A25AC">
            <w:pPr>
              <w:rPr>
                <w:rFonts w:ascii="Arial Narrow" w:hAnsi="Arial Narrow" w:cs="Times New Roman"/>
                <w:sz w:val="20"/>
                <w:szCs w:val="20"/>
              </w:rPr>
            </w:pPr>
          </w:p>
          <w:p w14:paraId="43FA1997" w14:textId="77777777" w:rsidR="00686FE7" w:rsidRPr="008A25AC" w:rsidRDefault="00686FE7" w:rsidP="008A25AC">
            <w:pPr>
              <w:rPr>
                <w:rFonts w:ascii="Arial Narrow" w:hAnsi="Arial Narrow" w:cs="Times New Roman"/>
                <w:bCs/>
                <w:sz w:val="20"/>
                <w:szCs w:val="20"/>
              </w:rPr>
            </w:pPr>
            <w:r w:rsidRPr="008A25AC">
              <w:rPr>
                <w:rFonts w:ascii="Arial Narrow" w:hAnsi="Arial Narrow" w:cs="Times New Roman"/>
                <w:bCs/>
                <w:sz w:val="20"/>
                <w:szCs w:val="20"/>
              </w:rPr>
              <w:t>If the application is submitted through HPOS form upload or mail, it must include:</w:t>
            </w:r>
          </w:p>
          <w:p w14:paraId="6CB48B1F" w14:textId="77777777" w:rsidR="00686FE7" w:rsidRPr="008A25AC" w:rsidRDefault="00686FE7" w:rsidP="008A25AC">
            <w:pPr>
              <w:rPr>
                <w:rFonts w:ascii="Arial Narrow" w:hAnsi="Arial Narrow"/>
                <w:bCs/>
                <w:sz w:val="18"/>
                <w:szCs w:val="18"/>
              </w:rPr>
            </w:pPr>
            <w:r w:rsidRPr="008A25AC">
              <w:rPr>
                <w:rFonts w:ascii="Arial Narrow" w:hAnsi="Arial Narrow" w:cs="Times New Roman"/>
                <w:bCs/>
                <w:sz w:val="20"/>
                <w:szCs w:val="20"/>
              </w:rPr>
              <w:t>(</w:t>
            </w:r>
            <w:proofErr w:type="spellStart"/>
            <w:r w:rsidRPr="008A25AC">
              <w:rPr>
                <w:rFonts w:ascii="Arial Narrow" w:hAnsi="Arial Narrow" w:cs="Times New Roman"/>
                <w:bCs/>
                <w:sz w:val="20"/>
                <w:szCs w:val="20"/>
              </w:rPr>
              <w:t>i</w:t>
            </w:r>
            <w:proofErr w:type="spellEnd"/>
            <w:r w:rsidRPr="008A25AC">
              <w:rPr>
                <w:rFonts w:ascii="Arial Narrow" w:hAnsi="Arial Narrow" w:cs="Times New Roman"/>
                <w:bCs/>
                <w:sz w:val="20"/>
                <w:szCs w:val="20"/>
              </w:rPr>
              <w:t>) details of the proposed prescription(s); and</w:t>
            </w:r>
          </w:p>
          <w:p w14:paraId="2EE6E503" w14:textId="3680C138" w:rsidR="00686FE7" w:rsidRPr="00BA7173" w:rsidRDefault="00686FE7">
            <w:pPr>
              <w:rPr>
                <w:rFonts w:ascii="Arial Narrow" w:hAnsi="Arial Narrow"/>
                <w:b/>
                <w:bCs/>
                <w:sz w:val="20"/>
                <w:szCs w:val="20"/>
              </w:rPr>
            </w:pPr>
            <w:r w:rsidRPr="008A25AC">
              <w:rPr>
                <w:rFonts w:ascii="Arial Narrow" w:hAnsi="Arial Narrow" w:cs="Times New Roman"/>
                <w:bCs/>
                <w:sz w:val="20"/>
                <w:szCs w:val="20"/>
              </w:rPr>
              <w:t>(ii) a completed authority application form relevant to the indication and treatment phase (the latest version is located on the website specified in the Administrative Advice)</w:t>
            </w:r>
          </w:p>
        </w:tc>
      </w:tr>
      <w:tr w:rsidR="00686FE7" w:rsidRPr="00446E53" w14:paraId="2ACD521F"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41EE7A15" w14:textId="77777777" w:rsidR="00686FE7" w:rsidRPr="00F407A6" w:rsidRDefault="00686FE7">
            <w:pPr>
              <w:rPr>
                <w:rFonts w:ascii="Arial Narrow" w:hAnsi="Arial Narrow" w:cs="Times New Roman"/>
                <w:b/>
                <w:bCs/>
                <w:sz w:val="20"/>
                <w:szCs w:val="20"/>
              </w:rPr>
            </w:pPr>
            <w:r w:rsidRPr="00F407A6">
              <w:rPr>
                <w:rFonts w:ascii="Arial Narrow" w:hAnsi="Arial Narrow" w:cs="Times New Roman"/>
                <w:b/>
                <w:bCs/>
                <w:sz w:val="20"/>
                <w:szCs w:val="20"/>
              </w:rPr>
              <w:t xml:space="preserve">Prescribing Instructions: </w:t>
            </w:r>
          </w:p>
          <w:p w14:paraId="74CE562F" w14:textId="77777777" w:rsidR="00686FE7" w:rsidRPr="00857C11" w:rsidRDefault="00686FE7">
            <w:pPr>
              <w:rPr>
                <w:rFonts w:ascii="Arial Narrow" w:hAnsi="Arial Narrow"/>
                <w:b/>
                <w:bCs/>
                <w:sz w:val="20"/>
                <w:szCs w:val="20"/>
              </w:rPr>
            </w:pPr>
            <w:r w:rsidRPr="00F407A6">
              <w:rPr>
                <w:rFonts w:ascii="Arial Narrow" w:hAnsi="Arial Narrow" w:cs="Times New Roman"/>
                <w:sz w:val="20"/>
                <w:szCs w:val="20"/>
              </w:rPr>
              <w:t xml:space="preserve">If a patient fails to demonstrate a response to treatment with this drug under this restriction they will not be eligible to receive further PBS-subsidised treatment with this drug for this condition within this treatment cycle. </w:t>
            </w:r>
          </w:p>
        </w:tc>
      </w:tr>
      <w:tr w:rsidR="00686FE7" w:rsidRPr="00446E53" w14:paraId="30384869"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638D2F96" w14:textId="77777777" w:rsidR="00686FE7" w:rsidRPr="00F407A6" w:rsidRDefault="00686FE7">
            <w:pPr>
              <w:rPr>
                <w:rFonts w:ascii="Arial Narrow" w:hAnsi="Arial Narrow" w:cs="Times New Roman"/>
                <w:b/>
                <w:bCs/>
                <w:sz w:val="20"/>
                <w:szCs w:val="20"/>
              </w:rPr>
            </w:pPr>
            <w:r w:rsidRPr="00F407A6">
              <w:rPr>
                <w:rFonts w:ascii="Arial Narrow" w:hAnsi="Arial Narrow" w:cs="Times New Roman"/>
                <w:b/>
                <w:bCs/>
                <w:sz w:val="20"/>
                <w:szCs w:val="20"/>
              </w:rPr>
              <w:t xml:space="preserve">Prescribing Instructions: </w:t>
            </w:r>
          </w:p>
          <w:p w14:paraId="3A6783CE" w14:textId="77777777" w:rsidR="00686FE7" w:rsidRPr="00857C11" w:rsidRDefault="00686FE7">
            <w:pPr>
              <w:rPr>
                <w:rFonts w:ascii="Arial Narrow" w:hAnsi="Arial Narrow"/>
                <w:b/>
                <w:bCs/>
                <w:sz w:val="20"/>
                <w:szCs w:val="20"/>
              </w:rPr>
            </w:pPr>
            <w:r w:rsidRPr="00F407A6">
              <w:rPr>
                <w:rFonts w:ascii="Arial Narrow" w:hAnsi="Arial Narrow" w:cs="Times New Roman"/>
                <w:sz w:val="20"/>
                <w:szCs w:val="20"/>
              </w:rPr>
              <w:t xml:space="preserve">A patient may re-trial this drug after a minimum of 5 years have elapsed between the date the last prescription for a PBS-subsidised biological medicine was approved in this cycle and the date of the first application under a new cycle under the Initial 3 treatment restriction. </w:t>
            </w:r>
          </w:p>
        </w:tc>
      </w:tr>
      <w:tr w:rsidR="002D6186" w:rsidRPr="00446E53" w14:paraId="4D328E4F"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7A3E9E10" w14:textId="77777777" w:rsidR="002D6186" w:rsidRDefault="002D6186">
            <w:pPr>
              <w:jc w:val="center"/>
              <w:rPr>
                <w:rFonts w:ascii="Arial Narrow" w:hAnsi="Arial Narrow" w:cs="Open Sans"/>
                <w:color w:val="333333"/>
                <w:sz w:val="20"/>
                <w:szCs w:val="20"/>
              </w:rPr>
            </w:pPr>
          </w:p>
          <w:p w14:paraId="4F42B550" w14:textId="77777777" w:rsidR="002D6186" w:rsidRPr="00857C11" w:rsidRDefault="002D6186">
            <w:pPr>
              <w:rPr>
                <w:rFonts w:ascii="Arial Narrow" w:hAnsi="Arial Narrow"/>
                <w:b/>
                <w:bCs/>
                <w:sz w:val="20"/>
                <w:szCs w:val="20"/>
              </w:rPr>
            </w:pPr>
          </w:p>
        </w:tc>
      </w:tr>
      <w:tr w:rsidR="002D6186" w:rsidRPr="00446E53" w14:paraId="40139128" w14:textId="77777777" w:rsidTr="00686FE7">
        <w:tblPrEx>
          <w:tblCellMar>
            <w:top w:w="15" w:type="dxa"/>
            <w:bottom w:w="15" w:type="dxa"/>
          </w:tblCellMar>
          <w:tblLook w:val="04A0" w:firstRow="1" w:lastRow="0" w:firstColumn="1" w:lastColumn="0" w:noHBand="0" w:noVBand="1"/>
        </w:tblPrEx>
        <w:trPr>
          <w:cantSplit/>
          <w:trHeight w:val="20"/>
        </w:trPr>
        <w:tc>
          <w:tcPr>
            <w:tcW w:w="1268" w:type="dxa"/>
            <w:shd w:val="clear" w:color="auto" w:fill="BFBFBF" w:themeFill="background1" w:themeFillShade="BF"/>
          </w:tcPr>
          <w:p w14:paraId="278A5B25" w14:textId="77777777" w:rsidR="002D6186" w:rsidRPr="00D505C0" w:rsidRDefault="002D6186">
            <w:pPr>
              <w:jc w:val="center"/>
              <w:rPr>
                <w:rFonts w:ascii="Arial Narrow" w:hAnsi="Arial Narrow" w:cs="Open Sans"/>
                <w:color w:val="333333"/>
                <w:sz w:val="20"/>
                <w:szCs w:val="20"/>
              </w:rPr>
            </w:pPr>
          </w:p>
        </w:tc>
        <w:tc>
          <w:tcPr>
            <w:tcW w:w="7691" w:type="dxa"/>
            <w:gridSpan w:val="6"/>
            <w:shd w:val="clear" w:color="auto" w:fill="BFBFBF" w:themeFill="background1" w:themeFillShade="BF"/>
            <w:vAlign w:val="center"/>
          </w:tcPr>
          <w:p w14:paraId="01D76A3F" w14:textId="77777777" w:rsidR="002D6186" w:rsidRPr="00857C11" w:rsidRDefault="002D6186">
            <w:pPr>
              <w:rPr>
                <w:rFonts w:ascii="Arial Narrow" w:hAnsi="Arial Narrow"/>
                <w:b/>
                <w:bCs/>
                <w:sz w:val="20"/>
                <w:szCs w:val="20"/>
              </w:rPr>
            </w:pPr>
            <w:r w:rsidRPr="00446E53">
              <w:rPr>
                <w:rFonts w:ascii="Arial Narrow" w:hAnsi="Arial Narrow"/>
                <w:b/>
                <w:bCs/>
                <w:color w:val="333333"/>
                <w:sz w:val="20"/>
                <w:szCs w:val="20"/>
              </w:rPr>
              <w:t>Restriction Summary [new</w:t>
            </w:r>
            <w:r>
              <w:rPr>
                <w:rFonts w:ascii="Arial Narrow" w:hAnsi="Arial Narrow"/>
                <w:b/>
                <w:bCs/>
                <w:color w:val="333333"/>
                <w:sz w:val="20"/>
                <w:szCs w:val="20"/>
              </w:rPr>
              <w:t>3</w:t>
            </w:r>
            <w:r w:rsidRPr="00446E53">
              <w:rPr>
                <w:rFonts w:ascii="Arial Narrow" w:hAnsi="Arial Narrow"/>
                <w:b/>
                <w:bCs/>
                <w:color w:val="333333"/>
                <w:sz w:val="20"/>
                <w:szCs w:val="20"/>
              </w:rPr>
              <w:t>] / Treatment of Concept: [new</w:t>
            </w:r>
            <w:r>
              <w:rPr>
                <w:rFonts w:ascii="Arial Narrow" w:hAnsi="Arial Narrow"/>
                <w:b/>
                <w:bCs/>
                <w:color w:val="333333"/>
                <w:sz w:val="20"/>
                <w:szCs w:val="20"/>
              </w:rPr>
              <w:t>3A</w:t>
            </w:r>
            <w:r w:rsidRPr="00446E53">
              <w:rPr>
                <w:rFonts w:ascii="Arial Narrow" w:hAnsi="Arial Narrow"/>
                <w:b/>
                <w:bCs/>
                <w:color w:val="333333"/>
                <w:sz w:val="20"/>
                <w:szCs w:val="20"/>
              </w:rPr>
              <w:t>]</w:t>
            </w:r>
          </w:p>
        </w:tc>
      </w:tr>
      <w:tr w:rsidR="00686FE7" w:rsidRPr="00446E53" w14:paraId="4944F255"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2FA0DCD7" w14:textId="77777777" w:rsidR="00686FE7" w:rsidRPr="00F407A6" w:rsidRDefault="00686FE7">
            <w:pPr>
              <w:rPr>
                <w:rFonts w:ascii="Arial Narrow" w:hAnsi="Arial Narrow" w:cs="Times New Roman"/>
                <w:b/>
                <w:bCs/>
                <w:sz w:val="20"/>
                <w:szCs w:val="20"/>
              </w:rPr>
            </w:pPr>
            <w:r>
              <w:rPr>
                <w:rFonts w:ascii="Arial Narrow" w:hAnsi="Arial Narrow" w:cs="Segoe UI"/>
                <w:b/>
                <w:bCs/>
                <w:color w:val="333333"/>
                <w:sz w:val="20"/>
                <w:szCs w:val="20"/>
                <w:lang w:eastAsia="en-US"/>
              </w:rPr>
              <w:t>Indication:</w:t>
            </w:r>
            <w:r>
              <w:rPr>
                <w:rFonts w:ascii="Arial Narrow" w:hAnsi="Arial Narrow" w:cs="Segoe UI"/>
                <w:color w:val="333333"/>
                <w:sz w:val="20"/>
                <w:szCs w:val="20"/>
                <w:lang w:eastAsia="en-US"/>
              </w:rPr>
              <w:t xml:space="preserve"> </w:t>
            </w:r>
            <w:r w:rsidRPr="00F407A6">
              <w:rPr>
                <w:rFonts w:ascii="Arial Narrow" w:hAnsi="Arial Narrow" w:cs="Times New Roman"/>
                <w:sz w:val="20"/>
                <w:szCs w:val="20"/>
              </w:rPr>
              <w:t>Moderate to severe hidradenitis suppurativa</w:t>
            </w:r>
          </w:p>
        </w:tc>
      </w:tr>
      <w:tr w:rsidR="00686FE7" w:rsidRPr="00446E53" w14:paraId="522CB20C"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39677CD4" w14:textId="77777777" w:rsidR="00686FE7" w:rsidRPr="00857C11" w:rsidRDefault="00686FE7">
            <w:pPr>
              <w:rPr>
                <w:rFonts w:ascii="Arial Narrow" w:hAnsi="Arial Narrow"/>
                <w:b/>
                <w:bCs/>
                <w:sz w:val="20"/>
                <w:szCs w:val="20"/>
              </w:rPr>
            </w:pPr>
            <w:r w:rsidRPr="00F407A6">
              <w:rPr>
                <w:rFonts w:ascii="Arial Narrow" w:hAnsi="Arial Narrow" w:cs="Times New Roman"/>
                <w:b/>
                <w:bCs/>
                <w:sz w:val="20"/>
                <w:szCs w:val="20"/>
              </w:rPr>
              <w:t>Treatment Phase:</w:t>
            </w:r>
            <w:r w:rsidRPr="00F407A6">
              <w:rPr>
                <w:rFonts w:ascii="Arial Narrow" w:hAnsi="Arial Narrow" w:cs="Times New Roman"/>
                <w:sz w:val="20"/>
                <w:szCs w:val="20"/>
              </w:rPr>
              <w:t xml:space="preserve"> </w:t>
            </w:r>
            <w:r w:rsidRPr="004343CB">
              <w:rPr>
                <w:rFonts w:ascii="Arial Narrow" w:hAnsi="Arial Narrow" w:cs="Times New Roman"/>
                <w:sz w:val="20"/>
                <w:szCs w:val="20"/>
              </w:rPr>
              <w:t>Initial treatment - Initial 3 (re-commencement of treatment after a break in biological medicine of more than 5 years)</w:t>
            </w:r>
          </w:p>
        </w:tc>
      </w:tr>
      <w:tr w:rsidR="00686FE7" w:rsidRPr="00446E53" w14:paraId="29A6BD58"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6FD71753" w14:textId="77777777" w:rsidR="00686FE7" w:rsidRPr="00857C11" w:rsidRDefault="00686FE7">
            <w:pPr>
              <w:rPr>
                <w:rFonts w:ascii="Arial Narrow" w:hAnsi="Arial Narrow"/>
                <w:b/>
                <w:bCs/>
                <w:sz w:val="20"/>
                <w:szCs w:val="20"/>
              </w:rPr>
            </w:pPr>
            <w:r w:rsidRPr="00F407A6">
              <w:rPr>
                <w:rFonts w:ascii="Arial Narrow" w:hAnsi="Arial Narrow" w:cs="Times New Roman"/>
                <w:b/>
                <w:bCs/>
                <w:sz w:val="20"/>
                <w:szCs w:val="20"/>
              </w:rPr>
              <w:t>Clinical criteria:</w:t>
            </w:r>
          </w:p>
        </w:tc>
      </w:tr>
      <w:tr w:rsidR="00686FE7" w:rsidRPr="00446E53" w14:paraId="6C90B69C"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20620CC5" w14:textId="77777777" w:rsidR="00686FE7" w:rsidRPr="00857C11" w:rsidRDefault="00686FE7">
            <w:pPr>
              <w:rPr>
                <w:rFonts w:ascii="Arial Narrow" w:hAnsi="Arial Narrow"/>
                <w:b/>
                <w:bCs/>
                <w:sz w:val="20"/>
                <w:szCs w:val="20"/>
              </w:rPr>
            </w:pPr>
            <w:r w:rsidRPr="00F407A6">
              <w:rPr>
                <w:rFonts w:ascii="Arial Narrow" w:hAnsi="Arial Narrow" w:cs="Times New Roman"/>
                <w:sz w:val="20"/>
                <w:szCs w:val="20"/>
              </w:rPr>
              <w:t>Patient must have, at the time of application, a Hurley stage II or III grading with an abscess and inflammatory nodule (AN) count greater than or equal to 3</w:t>
            </w:r>
          </w:p>
        </w:tc>
      </w:tr>
      <w:tr w:rsidR="00686FE7" w:rsidRPr="00446E53" w14:paraId="0B13D766"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36D100AE" w14:textId="77777777" w:rsidR="00686FE7" w:rsidRPr="00857C11" w:rsidRDefault="00686FE7">
            <w:pPr>
              <w:rPr>
                <w:rFonts w:ascii="Arial Narrow" w:hAnsi="Arial Narrow"/>
                <w:b/>
                <w:bCs/>
                <w:sz w:val="20"/>
                <w:szCs w:val="20"/>
              </w:rPr>
            </w:pPr>
            <w:r w:rsidRPr="00F407A6">
              <w:rPr>
                <w:rFonts w:ascii="Arial Narrow" w:hAnsi="Arial Narrow" w:cs="Times New Roman"/>
                <w:b/>
                <w:bCs/>
                <w:sz w:val="20"/>
                <w:szCs w:val="20"/>
              </w:rPr>
              <w:t>AND</w:t>
            </w:r>
          </w:p>
        </w:tc>
      </w:tr>
      <w:tr w:rsidR="00686FE7" w:rsidRPr="00446E53" w14:paraId="63537A41"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5EB1BAAD" w14:textId="77777777" w:rsidR="00686FE7" w:rsidRPr="00857C11" w:rsidRDefault="00686FE7">
            <w:pPr>
              <w:rPr>
                <w:rFonts w:ascii="Arial Narrow" w:hAnsi="Arial Narrow"/>
                <w:b/>
                <w:bCs/>
                <w:sz w:val="20"/>
                <w:szCs w:val="20"/>
              </w:rPr>
            </w:pPr>
            <w:r w:rsidRPr="00F407A6">
              <w:rPr>
                <w:rFonts w:ascii="Arial Narrow" w:hAnsi="Arial Narrow" w:cs="Times New Roman"/>
                <w:b/>
                <w:bCs/>
                <w:sz w:val="20"/>
                <w:szCs w:val="20"/>
              </w:rPr>
              <w:t>Clinical criteria:</w:t>
            </w:r>
          </w:p>
        </w:tc>
      </w:tr>
      <w:tr w:rsidR="00686FE7" w:rsidRPr="00446E53" w14:paraId="02B3D1E2"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71486E13" w14:textId="77777777" w:rsidR="00686FE7" w:rsidRPr="00857C11" w:rsidRDefault="00686FE7">
            <w:pPr>
              <w:rPr>
                <w:rFonts w:ascii="Arial Narrow" w:hAnsi="Arial Narrow"/>
                <w:b/>
                <w:bCs/>
                <w:sz w:val="20"/>
                <w:szCs w:val="20"/>
              </w:rPr>
            </w:pPr>
            <w:r w:rsidRPr="00F407A6">
              <w:rPr>
                <w:rFonts w:ascii="Arial Narrow" w:hAnsi="Arial Narrow" w:cs="Times New Roman"/>
                <w:sz w:val="20"/>
                <w:szCs w:val="20"/>
              </w:rPr>
              <w:t xml:space="preserve">Patient must have previously received PBS-subsidised treatment with a biological medicine for this condition </w:t>
            </w:r>
          </w:p>
        </w:tc>
      </w:tr>
      <w:tr w:rsidR="00686FE7" w:rsidRPr="00446E53" w14:paraId="4EC60DA2"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313B6608" w14:textId="77777777" w:rsidR="00686FE7" w:rsidRPr="00857C11" w:rsidRDefault="00686FE7">
            <w:pPr>
              <w:rPr>
                <w:rFonts w:ascii="Arial Narrow" w:hAnsi="Arial Narrow"/>
                <w:b/>
                <w:bCs/>
                <w:sz w:val="20"/>
                <w:szCs w:val="20"/>
              </w:rPr>
            </w:pPr>
            <w:r w:rsidRPr="00F407A6">
              <w:rPr>
                <w:rFonts w:ascii="Arial Narrow" w:hAnsi="Arial Narrow" w:cs="Times New Roman"/>
                <w:b/>
                <w:bCs/>
                <w:sz w:val="20"/>
                <w:szCs w:val="20"/>
              </w:rPr>
              <w:t>AND</w:t>
            </w:r>
          </w:p>
        </w:tc>
      </w:tr>
      <w:tr w:rsidR="00686FE7" w:rsidRPr="00446E53" w14:paraId="633325D8"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3E7D2CF9" w14:textId="77777777" w:rsidR="00686FE7" w:rsidRPr="00857C11" w:rsidRDefault="00686FE7">
            <w:pPr>
              <w:rPr>
                <w:rFonts w:ascii="Arial Narrow" w:hAnsi="Arial Narrow"/>
                <w:b/>
                <w:bCs/>
                <w:sz w:val="20"/>
                <w:szCs w:val="20"/>
              </w:rPr>
            </w:pPr>
            <w:r w:rsidRPr="00F407A6">
              <w:rPr>
                <w:rFonts w:ascii="Arial Narrow" w:hAnsi="Arial Narrow" w:cs="Times New Roman"/>
                <w:b/>
                <w:bCs/>
                <w:sz w:val="20"/>
                <w:szCs w:val="20"/>
              </w:rPr>
              <w:t>Clinical criteria:</w:t>
            </w:r>
          </w:p>
        </w:tc>
      </w:tr>
      <w:tr w:rsidR="00686FE7" w:rsidRPr="00446E53" w14:paraId="48F279DE"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75513F33" w14:textId="77777777" w:rsidR="00686FE7" w:rsidRPr="00857C11" w:rsidRDefault="00686FE7">
            <w:pPr>
              <w:rPr>
                <w:rFonts w:ascii="Arial Narrow" w:hAnsi="Arial Narrow"/>
                <w:b/>
                <w:bCs/>
                <w:sz w:val="20"/>
                <w:szCs w:val="20"/>
              </w:rPr>
            </w:pPr>
            <w:r w:rsidRPr="00F407A6">
              <w:rPr>
                <w:rFonts w:ascii="Arial Narrow" w:hAnsi="Arial Narrow" w:cs="Times New Roman"/>
                <w:sz w:val="20"/>
                <w:szCs w:val="20"/>
              </w:rPr>
              <w:t>Patient must have a break in treatment of 5 years or more from the most recently approved PBS-subsidised biological medicine for this condition</w:t>
            </w:r>
          </w:p>
        </w:tc>
      </w:tr>
      <w:tr w:rsidR="00686FE7" w:rsidRPr="00446E53" w14:paraId="5A7BD885"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651E67AA" w14:textId="77777777" w:rsidR="00686FE7" w:rsidRPr="00857C11" w:rsidRDefault="00686FE7">
            <w:pPr>
              <w:rPr>
                <w:rFonts w:ascii="Arial Narrow" w:hAnsi="Arial Narrow"/>
                <w:b/>
                <w:bCs/>
                <w:sz w:val="20"/>
                <w:szCs w:val="20"/>
              </w:rPr>
            </w:pPr>
            <w:r w:rsidRPr="00F407A6">
              <w:rPr>
                <w:rFonts w:ascii="Arial Narrow" w:hAnsi="Arial Narrow" w:cs="Times New Roman"/>
                <w:b/>
                <w:bCs/>
                <w:sz w:val="20"/>
                <w:szCs w:val="20"/>
              </w:rPr>
              <w:t>AND</w:t>
            </w:r>
          </w:p>
        </w:tc>
      </w:tr>
      <w:tr w:rsidR="00686FE7" w:rsidRPr="00446E53" w14:paraId="00BEE2C0"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7906462B" w14:textId="77777777" w:rsidR="00686FE7" w:rsidRPr="00857C11" w:rsidRDefault="00686FE7">
            <w:pPr>
              <w:rPr>
                <w:rFonts w:ascii="Arial Narrow" w:hAnsi="Arial Narrow"/>
                <w:b/>
                <w:bCs/>
                <w:sz w:val="20"/>
                <w:szCs w:val="20"/>
              </w:rPr>
            </w:pPr>
            <w:r w:rsidRPr="00F407A6">
              <w:rPr>
                <w:rFonts w:ascii="Arial Narrow" w:hAnsi="Arial Narrow" w:cs="Times New Roman"/>
                <w:b/>
                <w:bCs/>
                <w:sz w:val="20"/>
                <w:szCs w:val="20"/>
              </w:rPr>
              <w:t>Clinical criteria:</w:t>
            </w:r>
          </w:p>
        </w:tc>
      </w:tr>
      <w:tr w:rsidR="00686FE7" w:rsidRPr="00446E53" w14:paraId="34DA89E0"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411DF205" w14:textId="77777777" w:rsidR="00686FE7" w:rsidRPr="00857C11" w:rsidRDefault="00686FE7">
            <w:pPr>
              <w:rPr>
                <w:rFonts w:ascii="Arial Narrow" w:hAnsi="Arial Narrow"/>
                <w:b/>
                <w:bCs/>
                <w:sz w:val="20"/>
                <w:szCs w:val="20"/>
              </w:rPr>
            </w:pPr>
            <w:r w:rsidRPr="00F407A6">
              <w:rPr>
                <w:rFonts w:ascii="Arial Narrow" w:hAnsi="Arial Narrow" w:cs="Times New Roman"/>
                <w:sz w:val="20"/>
                <w:szCs w:val="20"/>
              </w:rPr>
              <w:t>Patient must not receive more than 16 weeks of treatment under this restriction</w:t>
            </w:r>
          </w:p>
        </w:tc>
      </w:tr>
      <w:tr w:rsidR="00686FE7" w:rsidRPr="00446E53" w14:paraId="0A830EB7"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6BC548B4" w14:textId="77777777" w:rsidR="00686FE7" w:rsidRPr="00857C11" w:rsidRDefault="00686FE7">
            <w:pPr>
              <w:rPr>
                <w:rFonts w:ascii="Arial Narrow" w:hAnsi="Arial Narrow"/>
                <w:b/>
                <w:bCs/>
                <w:sz w:val="20"/>
                <w:szCs w:val="20"/>
              </w:rPr>
            </w:pPr>
            <w:r w:rsidRPr="00F407A6">
              <w:rPr>
                <w:rFonts w:ascii="Arial Narrow" w:hAnsi="Arial Narrow" w:cs="Times New Roman"/>
                <w:b/>
                <w:bCs/>
                <w:sz w:val="20"/>
                <w:szCs w:val="20"/>
              </w:rPr>
              <w:t>Treatment criteria:</w:t>
            </w:r>
          </w:p>
        </w:tc>
      </w:tr>
      <w:tr w:rsidR="00686FE7" w:rsidRPr="00446E53" w14:paraId="7C6B1A5C"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61B1C8A4" w14:textId="77777777" w:rsidR="00686FE7" w:rsidRPr="00857C11" w:rsidRDefault="00686FE7">
            <w:pPr>
              <w:rPr>
                <w:rFonts w:ascii="Arial Narrow" w:hAnsi="Arial Narrow"/>
                <w:b/>
                <w:bCs/>
                <w:sz w:val="20"/>
                <w:szCs w:val="20"/>
              </w:rPr>
            </w:pPr>
            <w:r w:rsidRPr="00F407A6">
              <w:rPr>
                <w:rFonts w:ascii="Arial Narrow" w:hAnsi="Arial Narrow" w:cs="Times New Roman"/>
                <w:sz w:val="20"/>
                <w:szCs w:val="20"/>
              </w:rPr>
              <w:t>Must be treated by a dermatologist</w:t>
            </w:r>
          </w:p>
        </w:tc>
      </w:tr>
      <w:tr w:rsidR="00686FE7" w:rsidRPr="00446E53" w14:paraId="69B65E68"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14B4A9AC" w14:textId="77777777" w:rsidR="00686FE7" w:rsidRPr="00F407A6" w:rsidRDefault="00686FE7">
            <w:pPr>
              <w:rPr>
                <w:rFonts w:ascii="Arial Narrow" w:hAnsi="Arial Narrow" w:cs="Times New Roman"/>
                <w:b/>
                <w:bCs/>
                <w:sz w:val="20"/>
                <w:szCs w:val="20"/>
              </w:rPr>
            </w:pPr>
            <w:r w:rsidRPr="00F407A6">
              <w:rPr>
                <w:rFonts w:ascii="Arial Narrow" w:hAnsi="Arial Narrow" w:cs="Times New Roman"/>
                <w:b/>
                <w:bCs/>
                <w:sz w:val="20"/>
                <w:szCs w:val="20"/>
              </w:rPr>
              <w:t xml:space="preserve">Prescribing Instructions: </w:t>
            </w:r>
          </w:p>
          <w:p w14:paraId="71DDEC12" w14:textId="77777777" w:rsidR="00686FE7" w:rsidRPr="00857C11" w:rsidRDefault="00686FE7">
            <w:pPr>
              <w:rPr>
                <w:rFonts w:ascii="Arial Narrow" w:hAnsi="Arial Narrow"/>
                <w:b/>
                <w:bCs/>
                <w:sz w:val="20"/>
                <w:szCs w:val="20"/>
              </w:rPr>
            </w:pPr>
            <w:r w:rsidRPr="00F407A6">
              <w:rPr>
                <w:rFonts w:ascii="Arial Narrow" w:hAnsi="Arial Narrow" w:cs="Times New Roman"/>
                <w:sz w:val="20"/>
                <w:szCs w:val="20"/>
              </w:rPr>
              <w:t>Assessment of disease severity must be no more than 4 weeks old at the time of application.</w:t>
            </w:r>
          </w:p>
        </w:tc>
      </w:tr>
      <w:tr w:rsidR="00686FE7" w:rsidRPr="00446E53" w14:paraId="39E813A7"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73A279C2" w14:textId="77777777" w:rsidR="00686FE7" w:rsidRPr="00F407A6" w:rsidRDefault="00686FE7">
            <w:pPr>
              <w:rPr>
                <w:rFonts w:ascii="Arial Narrow" w:hAnsi="Arial Narrow" w:cs="Times New Roman"/>
                <w:b/>
                <w:bCs/>
                <w:sz w:val="20"/>
                <w:szCs w:val="20"/>
              </w:rPr>
            </w:pPr>
            <w:r w:rsidRPr="00F407A6">
              <w:rPr>
                <w:rFonts w:ascii="Arial Narrow" w:hAnsi="Arial Narrow" w:cs="Times New Roman"/>
                <w:b/>
                <w:bCs/>
                <w:sz w:val="20"/>
                <w:szCs w:val="20"/>
              </w:rPr>
              <w:lastRenderedPageBreak/>
              <w:t xml:space="preserve">Prescribing Instructions: </w:t>
            </w:r>
          </w:p>
          <w:p w14:paraId="3B25F300" w14:textId="77777777" w:rsidR="00686FE7" w:rsidRPr="00857C11" w:rsidRDefault="00686FE7">
            <w:pPr>
              <w:rPr>
                <w:rFonts w:ascii="Arial Narrow" w:hAnsi="Arial Narrow"/>
                <w:b/>
                <w:bCs/>
                <w:sz w:val="20"/>
                <w:szCs w:val="20"/>
              </w:rPr>
            </w:pPr>
            <w:r w:rsidRPr="00F407A6">
              <w:rPr>
                <w:rFonts w:ascii="Arial Narrow" w:hAnsi="Arial Narrow" w:cs="Times New Roman"/>
                <w:sz w:val="20"/>
                <w:szCs w:val="20"/>
              </w:rPr>
              <w:t xml:space="preserve">A response to treatment is defined </w:t>
            </w:r>
            <w:r w:rsidRPr="00564411">
              <w:rPr>
                <w:rFonts w:ascii="Arial Narrow" w:hAnsi="Arial Narrow" w:cs="Times New Roman"/>
                <w:sz w:val="20"/>
                <w:szCs w:val="20"/>
              </w:rPr>
              <w:t>as,</w:t>
            </w:r>
            <w:r w:rsidRPr="00F407A6">
              <w:rPr>
                <w:rFonts w:ascii="Arial Narrow" w:hAnsi="Arial Narrow" w:cs="Times New Roman"/>
                <w:sz w:val="20"/>
                <w:szCs w:val="20"/>
              </w:rPr>
              <w:t xml:space="preserve"> Achieving Hidradenitis Suppurativa Clinical Response (</w:t>
            </w:r>
            <w:proofErr w:type="spellStart"/>
            <w:r w:rsidRPr="00F407A6">
              <w:rPr>
                <w:rFonts w:ascii="Arial Narrow" w:hAnsi="Arial Narrow" w:cs="Times New Roman"/>
                <w:sz w:val="20"/>
                <w:szCs w:val="20"/>
              </w:rPr>
              <w:t>HiSCR</w:t>
            </w:r>
            <w:proofErr w:type="spellEnd"/>
            <w:r w:rsidRPr="00F407A6">
              <w:rPr>
                <w:rFonts w:ascii="Arial Narrow" w:hAnsi="Arial Narrow" w:cs="Times New Roman"/>
                <w:sz w:val="20"/>
                <w:szCs w:val="20"/>
              </w:rPr>
              <w:t>) of a 50% reduction in AN count compared to baseline with no increase in abscesses or draining fistulae.</w:t>
            </w:r>
          </w:p>
        </w:tc>
      </w:tr>
      <w:tr w:rsidR="00686FE7" w:rsidRPr="00446E53" w14:paraId="6BD98E48"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105543EE" w14:textId="77777777" w:rsidR="00686FE7" w:rsidRPr="00F407A6" w:rsidRDefault="00686FE7">
            <w:pPr>
              <w:rPr>
                <w:rFonts w:ascii="Arial Narrow" w:hAnsi="Arial Narrow" w:cs="Times New Roman"/>
                <w:b/>
                <w:bCs/>
                <w:sz w:val="20"/>
                <w:szCs w:val="20"/>
              </w:rPr>
            </w:pPr>
            <w:r w:rsidRPr="00F407A6">
              <w:rPr>
                <w:rFonts w:ascii="Arial Narrow" w:hAnsi="Arial Narrow" w:cs="Times New Roman"/>
                <w:b/>
                <w:bCs/>
                <w:sz w:val="20"/>
                <w:szCs w:val="20"/>
              </w:rPr>
              <w:t xml:space="preserve">Prescribing Instructions: </w:t>
            </w:r>
          </w:p>
          <w:p w14:paraId="321BB41D" w14:textId="77777777" w:rsidR="00686FE7" w:rsidRPr="00857C11" w:rsidRDefault="00686FE7">
            <w:pPr>
              <w:rPr>
                <w:rFonts w:ascii="Arial Narrow" w:hAnsi="Arial Narrow"/>
                <w:b/>
                <w:bCs/>
                <w:sz w:val="20"/>
                <w:szCs w:val="20"/>
              </w:rPr>
            </w:pPr>
            <w:r w:rsidRPr="00F407A6">
              <w:rPr>
                <w:rFonts w:ascii="Arial Narrow" w:hAnsi="Arial Narrow" w:cs="Times New Roman"/>
                <w:sz w:val="20"/>
                <w:szCs w:val="20"/>
              </w:rPr>
              <w:t xml:space="preserve">To demonstrate a response to treatment the application must be accompanied with the assessment of response, conducted following a minimum of </w:t>
            </w:r>
            <w:r w:rsidRPr="006662FA">
              <w:rPr>
                <w:rFonts w:ascii="Arial Narrow" w:hAnsi="Arial Narrow" w:cs="Times New Roman"/>
                <w:sz w:val="20"/>
                <w:szCs w:val="20"/>
              </w:rPr>
              <w:t>12</w:t>
            </w:r>
            <w:r>
              <w:rPr>
                <w:rFonts w:ascii="Arial Narrow" w:hAnsi="Arial Narrow" w:cs="Times New Roman"/>
                <w:sz w:val="20"/>
                <w:szCs w:val="20"/>
              </w:rPr>
              <w:t xml:space="preserve"> </w:t>
            </w:r>
            <w:r w:rsidRPr="006662FA">
              <w:rPr>
                <w:rFonts w:ascii="Arial Narrow" w:hAnsi="Arial Narrow" w:cs="Times New Roman"/>
                <w:sz w:val="20"/>
                <w:szCs w:val="20"/>
              </w:rPr>
              <w:t>w</w:t>
            </w:r>
            <w:r w:rsidRPr="00F407A6">
              <w:rPr>
                <w:rFonts w:ascii="Arial Narrow" w:hAnsi="Arial Narrow" w:cs="Times New Roman"/>
                <w:sz w:val="20"/>
                <w:szCs w:val="20"/>
              </w:rPr>
              <w:t>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tc>
      </w:tr>
      <w:tr w:rsidR="00686FE7" w:rsidRPr="00446E53" w14:paraId="452AAB01"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339BD235" w14:textId="77777777" w:rsidR="00686FE7" w:rsidRPr="00F407A6" w:rsidRDefault="00686FE7">
            <w:pPr>
              <w:rPr>
                <w:rFonts w:ascii="Arial Narrow" w:hAnsi="Arial Narrow" w:cs="Times New Roman"/>
                <w:b/>
                <w:bCs/>
                <w:sz w:val="20"/>
                <w:szCs w:val="20"/>
              </w:rPr>
            </w:pPr>
            <w:r w:rsidRPr="00F407A6">
              <w:rPr>
                <w:rFonts w:ascii="Arial Narrow" w:hAnsi="Arial Narrow" w:cs="Times New Roman"/>
                <w:b/>
                <w:bCs/>
                <w:sz w:val="20"/>
                <w:szCs w:val="20"/>
              </w:rPr>
              <w:t xml:space="preserve">Prescribing Instructions: </w:t>
            </w:r>
          </w:p>
          <w:p w14:paraId="7BDC1550" w14:textId="77777777" w:rsidR="00686FE7" w:rsidRPr="00857C11" w:rsidRDefault="00686FE7">
            <w:pPr>
              <w:rPr>
                <w:rFonts w:ascii="Arial Narrow" w:hAnsi="Arial Narrow"/>
                <w:b/>
                <w:bCs/>
                <w:sz w:val="20"/>
                <w:szCs w:val="20"/>
              </w:rPr>
            </w:pPr>
            <w:r w:rsidRPr="00F407A6">
              <w:rPr>
                <w:rFonts w:ascii="Arial Narrow" w:hAnsi="Arial Narrow" w:cs="Times New Roman"/>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686FE7" w:rsidRPr="00446E53" w14:paraId="5170FAB3"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3CA71F4A" w14:textId="77777777" w:rsidR="00686FE7" w:rsidRDefault="00686FE7">
            <w:pPr>
              <w:rPr>
                <w:rFonts w:ascii="Arial Narrow" w:hAnsi="Arial Narrow" w:cs="Times New Roman"/>
                <w:b/>
                <w:bCs/>
                <w:sz w:val="20"/>
                <w:szCs w:val="20"/>
              </w:rPr>
            </w:pPr>
            <w:r w:rsidRPr="00F407A6">
              <w:rPr>
                <w:rFonts w:ascii="Arial Narrow" w:hAnsi="Arial Narrow" w:cs="Times New Roman"/>
                <w:b/>
                <w:bCs/>
                <w:sz w:val="20"/>
                <w:szCs w:val="20"/>
              </w:rPr>
              <w:t xml:space="preserve">Prescribing Instructions: </w:t>
            </w:r>
          </w:p>
          <w:p w14:paraId="12377305" w14:textId="77777777" w:rsidR="00686FE7" w:rsidRPr="008A25AC" w:rsidRDefault="00686FE7" w:rsidP="008A25AC">
            <w:pPr>
              <w:rPr>
                <w:rFonts w:ascii="Arial Narrow" w:hAnsi="Arial Narrow" w:cs="Times New Roman"/>
                <w:bCs/>
                <w:sz w:val="20"/>
                <w:szCs w:val="20"/>
              </w:rPr>
            </w:pPr>
            <w:r w:rsidRPr="008A25AC">
              <w:rPr>
                <w:rFonts w:ascii="Arial Narrow" w:hAnsi="Arial Narrow" w:cs="Times New Roman"/>
                <w:bCs/>
                <w:sz w:val="20"/>
                <w:szCs w:val="20"/>
              </w:rPr>
              <w:t>The authority application must be made via the Online PBS Authorities System, or in writing via HPOS form upload or mail and must include:</w:t>
            </w:r>
          </w:p>
          <w:p w14:paraId="744430EC" w14:textId="77777777" w:rsidR="00686FE7" w:rsidRPr="008A25AC" w:rsidRDefault="00686FE7" w:rsidP="008A25AC">
            <w:pPr>
              <w:rPr>
                <w:rFonts w:ascii="Arial Narrow" w:hAnsi="Arial Narrow" w:cs="Times New Roman"/>
                <w:sz w:val="20"/>
                <w:szCs w:val="20"/>
              </w:rPr>
            </w:pPr>
            <w:r w:rsidRPr="008A25AC">
              <w:rPr>
                <w:rFonts w:ascii="Arial Narrow" w:hAnsi="Arial Narrow" w:cs="Times New Roman"/>
                <w:sz w:val="20"/>
                <w:szCs w:val="20"/>
              </w:rPr>
              <w:t>(</w:t>
            </w:r>
            <w:proofErr w:type="spellStart"/>
            <w:r w:rsidRPr="008A25AC">
              <w:rPr>
                <w:rFonts w:ascii="Arial Narrow" w:hAnsi="Arial Narrow" w:cs="Times New Roman"/>
                <w:sz w:val="20"/>
                <w:szCs w:val="20"/>
              </w:rPr>
              <w:t>i</w:t>
            </w:r>
            <w:proofErr w:type="spellEnd"/>
            <w:r w:rsidRPr="008A25AC">
              <w:rPr>
                <w:rFonts w:ascii="Arial Narrow" w:hAnsi="Arial Narrow" w:cs="Times New Roman"/>
                <w:sz w:val="20"/>
                <w:szCs w:val="20"/>
              </w:rPr>
              <w:t>) the Hurley stage grading; and</w:t>
            </w:r>
          </w:p>
          <w:p w14:paraId="7715D115" w14:textId="77777777" w:rsidR="00686FE7" w:rsidRPr="008A25AC" w:rsidRDefault="00686FE7" w:rsidP="008A25AC">
            <w:pPr>
              <w:rPr>
                <w:rFonts w:ascii="Arial Narrow" w:hAnsi="Arial Narrow" w:cs="Times New Roman"/>
                <w:sz w:val="20"/>
                <w:szCs w:val="20"/>
              </w:rPr>
            </w:pPr>
            <w:r w:rsidRPr="008A25AC">
              <w:rPr>
                <w:rFonts w:ascii="Arial Narrow" w:hAnsi="Arial Narrow" w:cs="Times New Roman"/>
                <w:sz w:val="20"/>
                <w:szCs w:val="20"/>
              </w:rPr>
              <w:t>(ii) the AN count.</w:t>
            </w:r>
          </w:p>
          <w:p w14:paraId="1B02FC81" w14:textId="77777777" w:rsidR="00686FE7" w:rsidRPr="008A25AC" w:rsidRDefault="00686FE7" w:rsidP="008A25AC">
            <w:pPr>
              <w:rPr>
                <w:rFonts w:ascii="Arial Narrow" w:hAnsi="Arial Narrow" w:cs="Times New Roman"/>
                <w:sz w:val="20"/>
                <w:szCs w:val="20"/>
              </w:rPr>
            </w:pPr>
          </w:p>
          <w:p w14:paraId="5C9DADAA" w14:textId="77777777" w:rsidR="00686FE7" w:rsidRPr="008A25AC" w:rsidRDefault="00686FE7" w:rsidP="008A25AC">
            <w:pPr>
              <w:rPr>
                <w:rFonts w:ascii="Arial Narrow" w:hAnsi="Arial Narrow" w:cs="Times New Roman"/>
                <w:bCs/>
                <w:sz w:val="20"/>
                <w:szCs w:val="20"/>
              </w:rPr>
            </w:pPr>
            <w:r w:rsidRPr="008A25AC">
              <w:rPr>
                <w:rFonts w:ascii="Arial Narrow" w:hAnsi="Arial Narrow" w:cs="Times New Roman"/>
                <w:bCs/>
                <w:sz w:val="20"/>
                <w:szCs w:val="20"/>
              </w:rPr>
              <w:t>If the application is submitted through HPOS form upload or mail, it must include:</w:t>
            </w:r>
          </w:p>
          <w:p w14:paraId="281C3391" w14:textId="77777777" w:rsidR="00686FE7" w:rsidRPr="008A25AC" w:rsidRDefault="00686FE7" w:rsidP="008A25AC">
            <w:pPr>
              <w:rPr>
                <w:rFonts w:ascii="Arial Narrow" w:hAnsi="Arial Narrow"/>
                <w:bCs/>
                <w:sz w:val="18"/>
                <w:szCs w:val="18"/>
              </w:rPr>
            </w:pPr>
            <w:r w:rsidRPr="008A25AC">
              <w:rPr>
                <w:rFonts w:ascii="Arial Narrow" w:hAnsi="Arial Narrow" w:cs="Times New Roman"/>
                <w:bCs/>
                <w:sz w:val="20"/>
                <w:szCs w:val="20"/>
              </w:rPr>
              <w:t>(</w:t>
            </w:r>
            <w:proofErr w:type="spellStart"/>
            <w:r w:rsidRPr="008A25AC">
              <w:rPr>
                <w:rFonts w:ascii="Arial Narrow" w:hAnsi="Arial Narrow" w:cs="Times New Roman"/>
                <w:bCs/>
                <w:sz w:val="20"/>
                <w:szCs w:val="20"/>
              </w:rPr>
              <w:t>i</w:t>
            </w:r>
            <w:proofErr w:type="spellEnd"/>
            <w:r w:rsidRPr="008A25AC">
              <w:rPr>
                <w:rFonts w:ascii="Arial Narrow" w:hAnsi="Arial Narrow" w:cs="Times New Roman"/>
                <w:bCs/>
                <w:sz w:val="20"/>
                <w:szCs w:val="20"/>
              </w:rPr>
              <w:t>) details of the proposed prescription(s); and</w:t>
            </w:r>
          </w:p>
          <w:p w14:paraId="0C0C5DA3" w14:textId="5ADD8925" w:rsidR="00686FE7" w:rsidRPr="00857C11" w:rsidRDefault="00686FE7">
            <w:pPr>
              <w:rPr>
                <w:rFonts w:ascii="Arial Narrow" w:hAnsi="Arial Narrow"/>
                <w:b/>
                <w:bCs/>
                <w:sz w:val="20"/>
                <w:szCs w:val="20"/>
              </w:rPr>
            </w:pPr>
            <w:r w:rsidRPr="008A25AC">
              <w:rPr>
                <w:rFonts w:ascii="Arial Narrow" w:hAnsi="Arial Narrow" w:cs="Times New Roman"/>
                <w:bCs/>
                <w:sz w:val="20"/>
                <w:szCs w:val="20"/>
              </w:rPr>
              <w:t>(ii) a completed authority application form relevant to the indication and treatment phase (the latest version is located on the website specified in the Administrative Advice)</w:t>
            </w:r>
          </w:p>
        </w:tc>
      </w:tr>
      <w:tr w:rsidR="00686FE7" w:rsidRPr="00446E53" w14:paraId="12C847F8" w14:textId="77777777" w:rsidTr="00686FE7">
        <w:tblPrEx>
          <w:tblCellMar>
            <w:top w:w="15" w:type="dxa"/>
            <w:bottom w:w="15" w:type="dxa"/>
          </w:tblCellMar>
          <w:tblLook w:val="04A0" w:firstRow="1" w:lastRow="0" w:firstColumn="1" w:lastColumn="0" w:noHBand="0" w:noVBand="1"/>
        </w:tblPrEx>
        <w:trPr>
          <w:cantSplit/>
          <w:trHeight w:val="20"/>
        </w:trPr>
        <w:tc>
          <w:tcPr>
            <w:tcW w:w="8959" w:type="dxa"/>
            <w:gridSpan w:val="7"/>
            <w:vAlign w:val="center"/>
          </w:tcPr>
          <w:p w14:paraId="3C829B07" w14:textId="77777777" w:rsidR="00686FE7" w:rsidRPr="00F407A6" w:rsidRDefault="00686FE7">
            <w:pPr>
              <w:rPr>
                <w:rFonts w:ascii="Arial Narrow" w:hAnsi="Arial Narrow" w:cs="Times New Roman"/>
                <w:b/>
                <w:bCs/>
                <w:sz w:val="20"/>
                <w:szCs w:val="20"/>
              </w:rPr>
            </w:pPr>
            <w:r w:rsidRPr="00F407A6">
              <w:rPr>
                <w:rFonts w:ascii="Arial Narrow" w:hAnsi="Arial Narrow" w:cs="Times New Roman"/>
                <w:b/>
                <w:bCs/>
                <w:sz w:val="20"/>
                <w:szCs w:val="20"/>
              </w:rPr>
              <w:t xml:space="preserve">Prescribing Instructions: </w:t>
            </w:r>
          </w:p>
          <w:p w14:paraId="79823215" w14:textId="77777777" w:rsidR="00686FE7" w:rsidRPr="00857C11" w:rsidRDefault="00686FE7">
            <w:pPr>
              <w:rPr>
                <w:rFonts w:ascii="Arial Narrow" w:hAnsi="Arial Narrow"/>
                <w:b/>
                <w:bCs/>
                <w:sz w:val="20"/>
                <w:szCs w:val="20"/>
              </w:rPr>
            </w:pPr>
            <w:r w:rsidRPr="00F407A6">
              <w:rPr>
                <w:rFonts w:ascii="Arial Narrow" w:hAnsi="Arial Narrow" w:cs="Times New Roman"/>
                <w:sz w:val="20"/>
                <w:szCs w:val="20"/>
              </w:rPr>
              <w:t xml:space="preserve">If a patient fails to demonstrate a response to treatment with this drug under this restriction they will not be eligible to receive further PBS-subsidised treatment with this drug for this condition within this treatment cycle. </w:t>
            </w:r>
          </w:p>
        </w:tc>
      </w:tr>
    </w:tbl>
    <w:p w14:paraId="39BC7954" w14:textId="35FC8BEF" w:rsidR="002D6186" w:rsidRDefault="002D6186" w:rsidP="001B09FA">
      <w:pPr>
        <w:spacing w:before="120" w:after="120"/>
        <w:rPr>
          <w:u w:val="single"/>
        </w:rPr>
      </w:pPr>
      <w:r>
        <w:rPr>
          <w:u w:val="single"/>
        </w:rPr>
        <w:t xml:space="preserve">Balance of supply </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5"/>
        <w:gridCol w:w="811"/>
        <w:gridCol w:w="812"/>
        <w:gridCol w:w="811"/>
        <w:gridCol w:w="812"/>
        <w:gridCol w:w="1824"/>
        <w:gridCol w:w="7"/>
      </w:tblGrid>
      <w:tr w:rsidR="002D6186" w:rsidRPr="00446E53" w14:paraId="15E05668" w14:textId="77777777" w:rsidTr="00686FE7">
        <w:trPr>
          <w:cantSplit/>
          <w:trHeight w:val="20"/>
        </w:trPr>
        <w:tc>
          <w:tcPr>
            <w:tcW w:w="3945" w:type="dxa"/>
            <w:vAlign w:val="center"/>
          </w:tcPr>
          <w:p w14:paraId="0E8766B5" w14:textId="77777777" w:rsidR="002D6186" w:rsidRPr="00446E53" w:rsidRDefault="002D6186">
            <w:pPr>
              <w:keepLines/>
              <w:rPr>
                <w:rFonts w:ascii="Arial Narrow" w:hAnsi="Arial Narrow"/>
                <w:b/>
                <w:bCs/>
                <w:sz w:val="20"/>
                <w:szCs w:val="20"/>
              </w:rPr>
            </w:pPr>
            <w:r w:rsidRPr="00446E53">
              <w:rPr>
                <w:rFonts w:ascii="Arial Narrow" w:hAnsi="Arial Narrow"/>
                <w:b/>
                <w:bCs/>
                <w:sz w:val="20"/>
                <w:szCs w:val="20"/>
              </w:rPr>
              <w:t>MEDICINAL PRODUCT</w:t>
            </w:r>
          </w:p>
          <w:p w14:paraId="7B7BE366" w14:textId="77777777" w:rsidR="002D6186" w:rsidRPr="00446E53" w:rsidRDefault="002D6186">
            <w:pPr>
              <w:keepLines/>
              <w:rPr>
                <w:rFonts w:ascii="Arial Narrow" w:hAnsi="Arial Narrow"/>
                <w:b/>
                <w:sz w:val="20"/>
                <w:szCs w:val="20"/>
              </w:rPr>
            </w:pPr>
            <w:r w:rsidRPr="00446E53">
              <w:rPr>
                <w:rFonts w:ascii="Arial Narrow" w:hAnsi="Arial Narrow"/>
                <w:b/>
                <w:bCs/>
                <w:sz w:val="20"/>
                <w:szCs w:val="20"/>
              </w:rPr>
              <w:t>medicinal product pack</w:t>
            </w:r>
          </w:p>
        </w:tc>
        <w:tc>
          <w:tcPr>
            <w:tcW w:w="811" w:type="dxa"/>
            <w:vAlign w:val="center"/>
          </w:tcPr>
          <w:p w14:paraId="5ACFC25B" w14:textId="77777777" w:rsidR="002D6186" w:rsidRPr="00446E53" w:rsidRDefault="002D6186">
            <w:pPr>
              <w:keepLines/>
              <w:jc w:val="center"/>
              <w:rPr>
                <w:rFonts w:ascii="Arial Narrow" w:hAnsi="Arial Narrow"/>
                <w:b/>
                <w:sz w:val="20"/>
                <w:szCs w:val="20"/>
              </w:rPr>
            </w:pPr>
            <w:r w:rsidRPr="00446E53">
              <w:rPr>
                <w:rFonts w:ascii="Arial Narrow" w:hAnsi="Arial Narrow"/>
                <w:b/>
                <w:sz w:val="20"/>
                <w:szCs w:val="20"/>
              </w:rPr>
              <w:t>PBS item code</w:t>
            </w:r>
          </w:p>
        </w:tc>
        <w:tc>
          <w:tcPr>
            <w:tcW w:w="812" w:type="dxa"/>
            <w:vAlign w:val="center"/>
          </w:tcPr>
          <w:p w14:paraId="6F5FF21A" w14:textId="77777777" w:rsidR="002D6186" w:rsidRPr="00446E53" w:rsidRDefault="002D6186">
            <w:pPr>
              <w:keepLines/>
              <w:jc w:val="center"/>
              <w:rPr>
                <w:rFonts w:ascii="Arial Narrow" w:hAnsi="Arial Narrow"/>
                <w:b/>
                <w:sz w:val="20"/>
                <w:szCs w:val="20"/>
              </w:rPr>
            </w:pPr>
            <w:r w:rsidRPr="00446E53">
              <w:rPr>
                <w:rFonts w:ascii="Arial Narrow" w:hAnsi="Arial Narrow"/>
                <w:b/>
                <w:sz w:val="20"/>
                <w:szCs w:val="20"/>
              </w:rPr>
              <w:t>Max. qty packs</w:t>
            </w:r>
          </w:p>
        </w:tc>
        <w:tc>
          <w:tcPr>
            <w:tcW w:w="811" w:type="dxa"/>
            <w:vAlign w:val="center"/>
          </w:tcPr>
          <w:p w14:paraId="4ED7AF81" w14:textId="77777777" w:rsidR="002D6186" w:rsidRPr="00446E53" w:rsidRDefault="002D6186">
            <w:pPr>
              <w:keepLines/>
              <w:jc w:val="center"/>
              <w:rPr>
                <w:rFonts w:ascii="Arial Narrow" w:hAnsi="Arial Narrow"/>
                <w:b/>
                <w:sz w:val="20"/>
                <w:szCs w:val="20"/>
              </w:rPr>
            </w:pPr>
            <w:r w:rsidRPr="00446E53">
              <w:rPr>
                <w:rFonts w:ascii="Arial Narrow" w:hAnsi="Arial Narrow"/>
                <w:b/>
                <w:sz w:val="20"/>
                <w:szCs w:val="20"/>
              </w:rPr>
              <w:t>Max. qty units</w:t>
            </w:r>
          </w:p>
        </w:tc>
        <w:tc>
          <w:tcPr>
            <w:tcW w:w="812" w:type="dxa"/>
            <w:vAlign w:val="center"/>
          </w:tcPr>
          <w:p w14:paraId="4374BC9B" w14:textId="77777777" w:rsidR="002D6186" w:rsidRPr="00446E53" w:rsidRDefault="002D6186">
            <w:pPr>
              <w:keepLines/>
              <w:jc w:val="center"/>
              <w:rPr>
                <w:rFonts w:ascii="Arial Narrow" w:hAnsi="Arial Narrow"/>
                <w:b/>
                <w:sz w:val="20"/>
                <w:szCs w:val="20"/>
              </w:rPr>
            </w:pPr>
            <w:r w:rsidRPr="00446E53">
              <w:rPr>
                <w:rFonts w:ascii="Arial Narrow" w:hAnsi="Arial Narrow"/>
                <w:b/>
                <w:sz w:val="20"/>
                <w:szCs w:val="20"/>
              </w:rPr>
              <w:t>№.of</w:t>
            </w:r>
          </w:p>
          <w:p w14:paraId="707470DB" w14:textId="77777777" w:rsidR="002D6186" w:rsidRPr="00446E53" w:rsidRDefault="002D6186">
            <w:pPr>
              <w:keepLines/>
              <w:jc w:val="center"/>
              <w:rPr>
                <w:rFonts w:ascii="Arial Narrow" w:hAnsi="Arial Narrow"/>
                <w:b/>
                <w:sz w:val="20"/>
                <w:szCs w:val="20"/>
              </w:rPr>
            </w:pPr>
            <w:proofErr w:type="spellStart"/>
            <w:r w:rsidRPr="00446E53">
              <w:rPr>
                <w:rFonts w:ascii="Arial Narrow" w:hAnsi="Arial Narrow"/>
                <w:b/>
                <w:sz w:val="20"/>
                <w:szCs w:val="20"/>
              </w:rPr>
              <w:t>Rpts</w:t>
            </w:r>
            <w:proofErr w:type="spellEnd"/>
          </w:p>
        </w:tc>
        <w:tc>
          <w:tcPr>
            <w:tcW w:w="1831" w:type="dxa"/>
            <w:gridSpan w:val="2"/>
            <w:vAlign w:val="center"/>
          </w:tcPr>
          <w:p w14:paraId="3E1A66A3" w14:textId="77777777" w:rsidR="002D6186" w:rsidRPr="00446E53" w:rsidRDefault="002D6186">
            <w:pPr>
              <w:keepLines/>
              <w:rPr>
                <w:rFonts w:ascii="Arial Narrow" w:hAnsi="Arial Narrow"/>
                <w:b/>
                <w:sz w:val="20"/>
                <w:szCs w:val="20"/>
                <w:lang w:val="fr-FR"/>
              </w:rPr>
            </w:pPr>
            <w:r w:rsidRPr="00446E53">
              <w:rPr>
                <w:rFonts w:ascii="Arial Narrow" w:hAnsi="Arial Narrow"/>
                <w:b/>
                <w:sz w:val="20"/>
                <w:szCs w:val="20"/>
              </w:rPr>
              <w:t>Available brands</w:t>
            </w:r>
          </w:p>
        </w:tc>
      </w:tr>
      <w:tr w:rsidR="002D6186" w:rsidRPr="00446E53" w14:paraId="1E281CE6" w14:textId="77777777" w:rsidTr="00686FE7">
        <w:trPr>
          <w:cantSplit/>
          <w:trHeight w:val="20"/>
        </w:trPr>
        <w:tc>
          <w:tcPr>
            <w:tcW w:w="9022" w:type="dxa"/>
            <w:gridSpan w:val="7"/>
            <w:vAlign w:val="center"/>
          </w:tcPr>
          <w:p w14:paraId="5A5F896E" w14:textId="77777777" w:rsidR="002D6186" w:rsidRPr="00EA24BD" w:rsidRDefault="002D6186">
            <w:pPr>
              <w:keepLines/>
              <w:rPr>
                <w:rFonts w:ascii="Arial Narrow" w:hAnsi="Arial Narrow"/>
                <w:sz w:val="20"/>
                <w:szCs w:val="20"/>
              </w:rPr>
            </w:pPr>
            <w:r>
              <w:rPr>
                <w:rFonts w:ascii="Arial Narrow" w:hAnsi="Arial Narrow"/>
                <w:sz w:val="20"/>
                <w:szCs w:val="20"/>
              </w:rPr>
              <w:t>BIMEKIZUMAB</w:t>
            </w:r>
          </w:p>
        </w:tc>
      </w:tr>
      <w:tr w:rsidR="002D6186" w:rsidRPr="00446E53" w14:paraId="0A5199A3" w14:textId="77777777" w:rsidTr="00686FE7">
        <w:trPr>
          <w:cantSplit/>
          <w:trHeight w:val="20"/>
        </w:trPr>
        <w:tc>
          <w:tcPr>
            <w:tcW w:w="3945" w:type="dxa"/>
            <w:vAlign w:val="center"/>
          </w:tcPr>
          <w:p w14:paraId="03E97887" w14:textId="77777777" w:rsidR="002D6186" w:rsidRPr="00EA24BD" w:rsidRDefault="002D6186">
            <w:pPr>
              <w:keepLines/>
              <w:rPr>
                <w:rFonts w:ascii="Arial Narrow" w:hAnsi="Arial Narrow"/>
                <w:sz w:val="20"/>
                <w:szCs w:val="20"/>
              </w:rPr>
            </w:pPr>
            <w:r w:rsidRPr="6EFCEB1B">
              <w:rPr>
                <w:rFonts w:ascii="Arial Narrow" w:hAnsi="Arial Narrow"/>
                <w:sz w:val="20"/>
                <w:szCs w:val="20"/>
              </w:rPr>
              <w:t>bimekizumab 160 mg/mL injection, 2 x 1 mL pen devices</w:t>
            </w:r>
          </w:p>
        </w:tc>
        <w:tc>
          <w:tcPr>
            <w:tcW w:w="811" w:type="dxa"/>
            <w:vAlign w:val="center"/>
          </w:tcPr>
          <w:p w14:paraId="2EC185C5" w14:textId="77777777" w:rsidR="002D6186" w:rsidRPr="00EA24BD" w:rsidRDefault="002D6186">
            <w:pPr>
              <w:keepLines/>
              <w:jc w:val="center"/>
              <w:rPr>
                <w:rFonts w:ascii="Arial Narrow" w:hAnsi="Arial Narrow"/>
                <w:sz w:val="20"/>
                <w:szCs w:val="20"/>
              </w:rPr>
            </w:pPr>
            <w:r w:rsidRPr="00EA24BD">
              <w:rPr>
                <w:rFonts w:ascii="Arial Narrow" w:hAnsi="Arial Narrow"/>
                <w:sz w:val="20"/>
                <w:szCs w:val="20"/>
              </w:rPr>
              <w:t>NEW</w:t>
            </w:r>
          </w:p>
        </w:tc>
        <w:tc>
          <w:tcPr>
            <w:tcW w:w="812" w:type="dxa"/>
            <w:vAlign w:val="center"/>
          </w:tcPr>
          <w:p w14:paraId="5135AF48" w14:textId="77777777" w:rsidR="002D6186" w:rsidRPr="00EA24BD" w:rsidRDefault="002D6186">
            <w:pPr>
              <w:keepLines/>
              <w:jc w:val="center"/>
              <w:rPr>
                <w:rFonts w:ascii="Arial Narrow" w:hAnsi="Arial Narrow"/>
                <w:sz w:val="20"/>
                <w:szCs w:val="20"/>
              </w:rPr>
            </w:pPr>
            <w:r>
              <w:rPr>
                <w:rFonts w:ascii="Arial Narrow" w:hAnsi="Arial Narrow"/>
                <w:sz w:val="20"/>
                <w:szCs w:val="20"/>
              </w:rPr>
              <w:t>2</w:t>
            </w:r>
          </w:p>
        </w:tc>
        <w:tc>
          <w:tcPr>
            <w:tcW w:w="811" w:type="dxa"/>
            <w:vAlign w:val="center"/>
          </w:tcPr>
          <w:p w14:paraId="13923965" w14:textId="77777777" w:rsidR="002D6186" w:rsidRPr="00EA24BD" w:rsidRDefault="002D6186">
            <w:pPr>
              <w:keepLines/>
              <w:jc w:val="center"/>
              <w:rPr>
                <w:rFonts w:ascii="Arial Narrow" w:hAnsi="Arial Narrow"/>
                <w:sz w:val="20"/>
                <w:szCs w:val="20"/>
              </w:rPr>
            </w:pPr>
            <w:r>
              <w:rPr>
                <w:rFonts w:ascii="Arial Narrow" w:hAnsi="Arial Narrow"/>
                <w:sz w:val="20"/>
                <w:szCs w:val="20"/>
              </w:rPr>
              <w:t>4</w:t>
            </w:r>
          </w:p>
        </w:tc>
        <w:tc>
          <w:tcPr>
            <w:tcW w:w="812" w:type="dxa"/>
            <w:vAlign w:val="center"/>
          </w:tcPr>
          <w:p w14:paraId="6BB0A22B" w14:textId="77777777" w:rsidR="002D6186" w:rsidRPr="00EA24BD" w:rsidRDefault="002D6186">
            <w:pPr>
              <w:keepLines/>
              <w:jc w:val="center"/>
              <w:rPr>
                <w:rFonts w:ascii="Arial Narrow" w:hAnsi="Arial Narrow"/>
                <w:sz w:val="20"/>
                <w:szCs w:val="20"/>
              </w:rPr>
            </w:pPr>
            <w:r>
              <w:rPr>
                <w:rFonts w:ascii="Arial Narrow" w:hAnsi="Arial Narrow"/>
                <w:sz w:val="20"/>
                <w:szCs w:val="20"/>
              </w:rPr>
              <w:t>3</w:t>
            </w:r>
          </w:p>
        </w:tc>
        <w:tc>
          <w:tcPr>
            <w:tcW w:w="1831" w:type="dxa"/>
            <w:gridSpan w:val="2"/>
            <w:vMerge w:val="restart"/>
            <w:vAlign w:val="center"/>
          </w:tcPr>
          <w:p w14:paraId="724A3A96" w14:textId="191F3928" w:rsidR="002D6186" w:rsidRPr="00EA24BD" w:rsidRDefault="002D6186">
            <w:pPr>
              <w:keepLines/>
              <w:rPr>
                <w:rFonts w:ascii="Arial Narrow" w:hAnsi="Arial Narrow"/>
                <w:sz w:val="20"/>
                <w:szCs w:val="20"/>
              </w:rPr>
            </w:pPr>
            <w:proofErr w:type="spellStart"/>
            <w:r w:rsidRPr="6EFCEB1B">
              <w:rPr>
                <w:rFonts w:ascii="Arial Narrow" w:hAnsi="Arial Narrow"/>
                <w:sz w:val="20"/>
                <w:szCs w:val="20"/>
              </w:rPr>
              <w:t>Bimzelx</w:t>
            </w:r>
            <w:proofErr w:type="spellEnd"/>
          </w:p>
          <w:p w14:paraId="24B68D25" w14:textId="77777777" w:rsidR="002D6186" w:rsidRPr="00EA24BD" w:rsidRDefault="002D6186">
            <w:pPr>
              <w:keepLines/>
              <w:rPr>
                <w:rFonts w:ascii="Arial Narrow" w:hAnsi="Arial Narrow"/>
                <w:sz w:val="20"/>
                <w:szCs w:val="20"/>
              </w:rPr>
            </w:pPr>
          </w:p>
        </w:tc>
      </w:tr>
      <w:tr w:rsidR="002D6186" w:rsidRPr="00446E53" w14:paraId="6AA16764" w14:textId="77777777" w:rsidTr="00686FE7">
        <w:trPr>
          <w:cantSplit/>
          <w:trHeight w:val="20"/>
        </w:trPr>
        <w:tc>
          <w:tcPr>
            <w:tcW w:w="3945" w:type="dxa"/>
            <w:vAlign w:val="center"/>
          </w:tcPr>
          <w:p w14:paraId="777FC9D8" w14:textId="77777777" w:rsidR="002D6186" w:rsidRPr="00EA24BD" w:rsidRDefault="002D6186">
            <w:pPr>
              <w:keepLines/>
              <w:rPr>
                <w:rFonts w:ascii="Arial Narrow" w:hAnsi="Arial Narrow"/>
                <w:sz w:val="20"/>
                <w:szCs w:val="20"/>
              </w:rPr>
            </w:pPr>
            <w:r w:rsidRPr="6EFCEB1B">
              <w:rPr>
                <w:rFonts w:ascii="Arial Narrow" w:hAnsi="Arial Narrow"/>
                <w:sz w:val="20"/>
                <w:szCs w:val="20"/>
              </w:rPr>
              <w:t>bimekizumab 160 mg/mL injection, 2 x 1 mL syringe</w:t>
            </w:r>
          </w:p>
        </w:tc>
        <w:tc>
          <w:tcPr>
            <w:tcW w:w="811" w:type="dxa"/>
            <w:vAlign w:val="center"/>
          </w:tcPr>
          <w:p w14:paraId="7C6F562E" w14:textId="77777777" w:rsidR="002D6186" w:rsidRPr="00EA24BD" w:rsidRDefault="002D6186">
            <w:pPr>
              <w:keepLines/>
              <w:jc w:val="center"/>
              <w:rPr>
                <w:rFonts w:ascii="Arial Narrow" w:hAnsi="Arial Narrow"/>
                <w:sz w:val="20"/>
                <w:szCs w:val="20"/>
              </w:rPr>
            </w:pPr>
            <w:r w:rsidRPr="00EA24BD">
              <w:rPr>
                <w:rFonts w:ascii="Arial Narrow" w:hAnsi="Arial Narrow"/>
                <w:sz w:val="20"/>
                <w:szCs w:val="20"/>
              </w:rPr>
              <w:t>NEW</w:t>
            </w:r>
          </w:p>
        </w:tc>
        <w:tc>
          <w:tcPr>
            <w:tcW w:w="812" w:type="dxa"/>
            <w:vAlign w:val="center"/>
          </w:tcPr>
          <w:p w14:paraId="564A2682" w14:textId="77777777" w:rsidR="002D6186" w:rsidRPr="00EA24BD" w:rsidRDefault="002D6186">
            <w:pPr>
              <w:keepLines/>
              <w:jc w:val="center"/>
              <w:rPr>
                <w:rFonts w:ascii="Arial Narrow" w:hAnsi="Arial Narrow"/>
                <w:sz w:val="20"/>
                <w:szCs w:val="20"/>
              </w:rPr>
            </w:pPr>
            <w:r>
              <w:rPr>
                <w:rFonts w:ascii="Arial Narrow" w:hAnsi="Arial Narrow"/>
                <w:sz w:val="20"/>
                <w:szCs w:val="20"/>
              </w:rPr>
              <w:t>2</w:t>
            </w:r>
          </w:p>
        </w:tc>
        <w:tc>
          <w:tcPr>
            <w:tcW w:w="811" w:type="dxa"/>
            <w:vAlign w:val="center"/>
          </w:tcPr>
          <w:p w14:paraId="75B4368B" w14:textId="77777777" w:rsidR="002D6186" w:rsidRPr="00EA24BD" w:rsidRDefault="002D6186">
            <w:pPr>
              <w:keepLines/>
              <w:jc w:val="center"/>
              <w:rPr>
                <w:rFonts w:ascii="Arial Narrow" w:hAnsi="Arial Narrow"/>
                <w:sz w:val="20"/>
                <w:szCs w:val="20"/>
              </w:rPr>
            </w:pPr>
            <w:r>
              <w:rPr>
                <w:rFonts w:ascii="Arial Narrow" w:hAnsi="Arial Narrow"/>
                <w:sz w:val="20"/>
                <w:szCs w:val="20"/>
              </w:rPr>
              <w:t>4</w:t>
            </w:r>
          </w:p>
        </w:tc>
        <w:tc>
          <w:tcPr>
            <w:tcW w:w="812" w:type="dxa"/>
            <w:vAlign w:val="center"/>
          </w:tcPr>
          <w:p w14:paraId="1D9D733A" w14:textId="77777777" w:rsidR="002D6186" w:rsidRPr="00EA24BD" w:rsidRDefault="002D6186">
            <w:pPr>
              <w:keepLines/>
              <w:jc w:val="center"/>
              <w:rPr>
                <w:rFonts w:ascii="Arial Narrow" w:hAnsi="Arial Narrow"/>
                <w:sz w:val="20"/>
                <w:szCs w:val="20"/>
              </w:rPr>
            </w:pPr>
            <w:r>
              <w:rPr>
                <w:rFonts w:ascii="Arial Narrow" w:hAnsi="Arial Narrow"/>
                <w:sz w:val="20"/>
                <w:szCs w:val="20"/>
              </w:rPr>
              <w:t>3</w:t>
            </w:r>
          </w:p>
        </w:tc>
        <w:tc>
          <w:tcPr>
            <w:tcW w:w="1831" w:type="dxa"/>
            <w:gridSpan w:val="2"/>
            <w:vMerge/>
            <w:vAlign w:val="center"/>
          </w:tcPr>
          <w:p w14:paraId="3C5A2DF2" w14:textId="77777777" w:rsidR="002D6186" w:rsidRPr="00EA24BD" w:rsidRDefault="002D6186">
            <w:pPr>
              <w:keepLines/>
              <w:rPr>
                <w:rFonts w:ascii="Arial Narrow" w:hAnsi="Arial Narrow"/>
                <w:sz w:val="20"/>
                <w:szCs w:val="20"/>
              </w:rPr>
            </w:pPr>
          </w:p>
        </w:tc>
      </w:tr>
      <w:tr w:rsidR="002D6186" w:rsidRPr="00446E53" w14:paraId="1AC70101" w14:textId="77777777" w:rsidTr="00686FE7">
        <w:trPr>
          <w:cantSplit/>
          <w:trHeight w:val="20"/>
        </w:trPr>
        <w:tc>
          <w:tcPr>
            <w:tcW w:w="3945" w:type="dxa"/>
            <w:vAlign w:val="center"/>
          </w:tcPr>
          <w:p w14:paraId="4D08564C" w14:textId="77777777" w:rsidR="002D6186" w:rsidRPr="00EA24BD" w:rsidRDefault="002D6186">
            <w:pPr>
              <w:keepLines/>
              <w:rPr>
                <w:rFonts w:ascii="Arial Narrow" w:hAnsi="Arial Narrow"/>
                <w:sz w:val="20"/>
                <w:szCs w:val="20"/>
              </w:rPr>
            </w:pPr>
            <w:r w:rsidRPr="6EFCEB1B">
              <w:rPr>
                <w:rFonts w:ascii="Arial Narrow" w:hAnsi="Arial Narrow"/>
                <w:sz w:val="20"/>
                <w:szCs w:val="20"/>
              </w:rPr>
              <w:t>bimekizumab 320 mg/2mL injection, 1 x 2 mL pen devices</w:t>
            </w:r>
          </w:p>
        </w:tc>
        <w:tc>
          <w:tcPr>
            <w:tcW w:w="811" w:type="dxa"/>
            <w:vAlign w:val="center"/>
          </w:tcPr>
          <w:p w14:paraId="53E37BD2" w14:textId="77777777" w:rsidR="002D6186" w:rsidRPr="00EA24BD" w:rsidRDefault="002D6186">
            <w:pPr>
              <w:keepLines/>
              <w:jc w:val="center"/>
              <w:rPr>
                <w:rFonts w:ascii="Arial Narrow" w:hAnsi="Arial Narrow"/>
                <w:sz w:val="20"/>
                <w:szCs w:val="20"/>
              </w:rPr>
            </w:pPr>
            <w:r>
              <w:rPr>
                <w:rFonts w:ascii="Arial Narrow" w:hAnsi="Arial Narrow"/>
                <w:sz w:val="20"/>
                <w:szCs w:val="20"/>
              </w:rPr>
              <w:t>NEW</w:t>
            </w:r>
          </w:p>
        </w:tc>
        <w:tc>
          <w:tcPr>
            <w:tcW w:w="812" w:type="dxa"/>
            <w:vAlign w:val="center"/>
          </w:tcPr>
          <w:p w14:paraId="59121BCD" w14:textId="77777777" w:rsidR="002D6186" w:rsidRPr="00EA24BD" w:rsidRDefault="002D6186">
            <w:pPr>
              <w:keepLines/>
              <w:jc w:val="center"/>
              <w:rPr>
                <w:rFonts w:ascii="Arial Narrow" w:hAnsi="Arial Narrow"/>
                <w:sz w:val="20"/>
                <w:szCs w:val="20"/>
              </w:rPr>
            </w:pPr>
            <w:r>
              <w:rPr>
                <w:rFonts w:ascii="Arial Narrow" w:hAnsi="Arial Narrow"/>
                <w:sz w:val="20"/>
                <w:szCs w:val="20"/>
              </w:rPr>
              <w:t>2</w:t>
            </w:r>
          </w:p>
        </w:tc>
        <w:tc>
          <w:tcPr>
            <w:tcW w:w="811" w:type="dxa"/>
            <w:vAlign w:val="center"/>
          </w:tcPr>
          <w:p w14:paraId="26C1729F" w14:textId="77777777" w:rsidR="002D6186" w:rsidRPr="00EA24BD" w:rsidRDefault="002D6186">
            <w:pPr>
              <w:keepLines/>
              <w:jc w:val="center"/>
              <w:rPr>
                <w:rFonts w:ascii="Arial Narrow" w:hAnsi="Arial Narrow"/>
                <w:sz w:val="20"/>
                <w:szCs w:val="20"/>
              </w:rPr>
            </w:pPr>
            <w:r>
              <w:rPr>
                <w:rFonts w:ascii="Arial Narrow" w:hAnsi="Arial Narrow"/>
                <w:sz w:val="20"/>
                <w:szCs w:val="20"/>
              </w:rPr>
              <w:t>2</w:t>
            </w:r>
          </w:p>
        </w:tc>
        <w:tc>
          <w:tcPr>
            <w:tcW w:w="812" w:type="dxa"/>
            <w:vAlign w:val="center"/>
          </w:tcPr>
          <w:p w14:paraId="66570DDC" w14:textId="77777777" w:rsidR="002D6186" w:rsidRPr="00EA24BD" w:rsidRDefault="002D6186">
            <w:pPr>
              <w:keepLines/>
              <w:jc w:val="center"/>
              <w:rPr>
                <w:rFonts w:ascii="Arial Narrow" w:hAnsi="Arial Narrow"/>
                <w:sz w:val="20"/>
                <w:szCs w:val="20"/>
              </w:rPr>
            </w:pPr>
            <w:r>
              <w:rPr>
                <w:rFonts w:ascii="Arial Narrow" w:hAnsi="Arial Narrow"/>
                <w:sz w:val="20"/>
                <w:szCs w:val="20"/>
              </w:rPr>
              <w:t>3</w:t>
            </w:r>
          </w:p>
        </w:tc>
        <w:tc>
          <w:tcPr>
            <w:tcW w:w="1831" w:type="dxa"/>
            <w:gridSpan w:val="2"/>
            <w:vMerge/>
            <w:vAlign w:val="center"/>
          </w:tcPr>
          <w:p w14:paraId="34BB916E" w14:textId="77777777" w:rsidR="002D6186" w:rsidRPr="00EA24BD" w:rsidRDefault="002D6186">
            <w:pPr>
              <w:keepLines/>
              <w:rPr>
                <w:rFonts w:ascii="Arial Narrow" w:hAnsi="Arial Narrow"/>
                <w:sz w:val="20"/>
                <w:szCs w:val="20"/>
              </w:rPr>
            </w:pPr>
          </w:p>
        </w:tc>
      </w:tr>
      <w:tr w:rsidR="002D6186" w:rsidRPr="00446E53" w14:paraId="166EDF1C" w14:textId="77777777" w:rsidTr="00686FE7">
        <w:trPr>
          <w:cantSplit/>
          <w:trHeight w:val="20"/>
        </w:trPr>
        <w:tc>
          <w:tcPr>
            <w:tcW w:w="3945" w:type="dxa"/>
            <w:vAlign w:val="center"/>
          </w:tcPr>
          <w:p w14:paraId="5F7E473F" w14:textId="77777777" w:rsidR="002D6186" w:rsidRPr="00EA24BD" w:rsidRDefault="002D6186">
            <w:pPr>
              <w:keepLines/>
              <w:rPr>
                <w:rFonts w:ascii="Arial Narrow" w:hAnsi="Arial Narrow"/>
                <w:sz w:val="20"/>
                <w:szCs w:val="20"/>
              </w:rPr>
            </w:pPr>
            <w:r w:rsidRPr="6EFCEB1B">
              <w:rPr>
                <w:rFonts w:ascii="Arial Narrow" w:hAnsi="Arial Narrow"/>
                <w:sz w:val="20"/>
                <w:szCs w:val="20"/>
              </w:rPr>
              <w:t>bimekizumab 320 mg/2mL injection, 1 x 2 mL syringe</w:t>
            </w:r>
          </w:p>
        </w:tc>
        <w:tc>
          <w:tcPr>
            <w:tcW w:w="811" w:type="dxa"/>
            <w:vAlign w:val="center"/>
          </w:tcPr>
          <w:p w14:paraId="0A802B75" w14:textId="77777777" w:rsidR="002D6186" w:rsidRPr="00EA24BD" w:rsidRDefault="002D6186">
            <w:pPr>
              <w:keepLines/>
              <w:jc w:val="center"/>
              <w:rPr>
                <w:rFonts w:ascii="Arial Narrow" w:hAnsi="Arial Narrow"/>
                <w:sz w:val="20"/>
                <w:szCs w:val="20"/>
              </w:rPr>
            </w:pPr>
            <w:r>
              <w:rPr>
                <w:rFonts w:ascii="Arial Narrow" w:hAnsi="Arial Narrow"/>
                <w:sz w:val="20"/>
                <w:szCs w:val="20"/>
              </w:rPr>
              <w:t>NEW</w:t>
            </w:r>
          </w:p>
        </w:tc>
        <w:tc>
          <w:tcPr>
            <w:tcW w:w="812" w:type="dxa"/>
            <w:vAlign w:val="center"/>
          </w:tcPr>
          <w:p w14:paraId="720FECBC" w14:textId="77777777" w:rsidR="002D6186" w:rsidRPr="00EA24BD" w:rsidRDefault="002D6186">
            <w:pPr>
              <w:keepLines/>
              <w:jc w:val="center"/>
              <w:rPr>
                <w:rFonts w:ascii="Arial Narrow" w:hAnsi="Arial Narrow"/>
                <w:sz w:val="20"/>
                <w:szCs w:val="20"/>
              </w:rPr>
            </w:pPr>
            <w:r>
              <w:rPr>
                <w:rFonts w:ascii="Arial Narrow" w:hAnsi="Arial Narrow"/>
                <w:sz w:val="20"/>
                <w:szCs w:val="20"/>
              </w:rPr>
              <w:t>2</w:t>
            </w:r>
          </w:p>
        </w:tc>
        <w:tc>
          <w:tcPr>
            <w:tcW w:w="811" w:type="dxa"/>
            <w:vAlign w:val="center"/>
          </w:tcPr>
          <w:p w14:paraId="67F9E234" w14:textId="77777777" w:rsidR="002D6186" w:rsidRPr="00EA24BD" w:rsidRDefault="002D6186">
            <w:pPr>
              <w:keepLines/>
              <w:jc w:val="center"/>
              <w:rPr>
                <w:rFonts w:ascii="Arial Narrow" w:hAnsi="Arial Narrow"/>
                <w:sz w:val="20"/>
                <w:szCs w:val="20"/>
              </w:rPr>
            </w:pPr>
            <w:r>
              <w:rPr>
                <w:rFonts w:ascii="Arial Narrow" w:hAnsi="Arial Narrow"/>
                <w:sz w:val="20"/>
                <w:szCs w:val="20"/>
              </w:rPr>
              <w:t>2</w:t>
            </w:r>
          </w:p>
        </w:tc>
        <w:tc>
          <w:tcPr>
            <w:tcW w:w="812" w:type="dxa"/>
            <w:vAlign w:val="center"/>
          </w:tcPr>
          <w:p w14:paraId="7867D31B" w14:textId="77777777" w:rsidR="002D6186" w:rsidRPr="00EA24BD" w:rsidRDefault="002D6186">
            <w:pPr>
              <w:keepLines/>
              <w:jc w:val="center"/>
              <w:rPr>
                <w:rFonts w:ascii="Arial Narrow" w:hAnsi="Arial Narrow"/>
                <w:sz w:val="20"/>
                <w:szCs w:val="20"/>
              </w:rPr>
            </w:pPr>
            <w:r>
              <w:rPr>
                <w:rFonts w:ascii="Arial Narrow" w:hAnsi="Arial Narrow"/>
                <w:sz w:val="20"/>
                <w:szCs w:val="20"/>
              </w:rPr>
              <w:t>3</w:t>
            </w:r>
          </w:p>
        </w:tc>
        <w:tc>
          <w:tcPr>
            <w:tcW w:w="1831" w:type="dxa"/>
            <w:gridSpan w:val="2"/>
            <w:vMerge/>
            <w:vAlign w:val="center"/>
          </w:tcPr>
          <w:p w14:paraId="421ABA6E" w14:textId="77777777" w:rsidR="002D6186" w:rsidRPr="00EA24BD" w:rsidRDefault="002D6186">
            <w:pPr>
              <w:keepLines/>
              <w:rPr>
                <w:rFonts w:ascii="Arial Narrow" w:hAnsi="Arial Narrow"/>
                <w:sz w:val="20"/>
                <w:szCs w:val="20"/>
              </w:rPr>
            </w:pPr>
          </w:p>
        </w:tc>
      </w:tr>
      <w:tr w:rsidR="002D6186" w:rsidRPr="00446E53" w14:paraId="4F15EA83" w14:textId="77777777" w:rsidTr="00686FE7">
        <w:tblPrEx>
          <w:tblCellMar>
            <w:top w:w="15" w:type="dxa"/>
            <w:bottom w:w="15" w:type="dxa"/>
          </w:tblCellMar>
          <w:tblLook w:val="04A0" w:firstRow="1" w:lastRow="0" w:firstColumn="1" w:lastColumn="0" w:noHBand="0" w:noVBand="1"/>
        </w:tblPrEx>
        <w:trPr>
          <w:trHeight w:val="20"/>
        </w:trPr>
        <w:tc>
          <w:tcPr>
            <w:tcW w:w="9022" w:type="dxa"/>
            <w:gridSpan w:val="7"/>
            <w:tcBorders>
              <w:top w:val="single" w:sz="4" w:space="0" w:color="auto"/>
              <w:left w:val="single" w:sz="4" w:space="0" w:color="auto"/>
              <w:right w:val="single" w:sz="4" w:space="0" w:color="auto"/>
            </w:tcBorders>
            <w:vAlign w:val="center"/>
          </w:tcPr>
          <w:p w14:paraId="36720426" w14:textId="77777777" w:rsidR="002D6186" w:rsidRPr="00446E53" w:rsidRDefault="002D6186">
            <w:pPr>
              <w:rPr>
                <w:rFonts w:ascii="Arial Narrow" w:hAnsi="Arial Narrow"/>
                <w:sz w:val="20"/>
                <w:szCs w:val="20"/>
              </w:rPr>
            </w:pPr>
          </w:p>
        </w:tc>
      </w:tr>
      <w:tr w:rsidR="00686FE7" w:rsidRPr="00446E53" w14:paraId="7D182958" w14:textId="77777777" w:rsidTr="00686FE7">
        <w:tblPrEx>
          <w:tblCellMar>
            <w:top w:w="15" w:type="dxa"/>
            <w:bottom w:w="15" w:type="dxa"/>
          </w:tblCellMar>
          <w:tblLook w:val="04A0" w:firstRow="1" w:lastRow="0" w:firstColumn="1" w:lastColumn="0" w:noHBand="0" w:noVBand="1"/>
        </w:tblPrEx>
        <w:trPr>
          <w:gridAfter w:val="1"/>
          <w:wAfter w:w="7" w:type="dxa"/>
          <w:trHeight w:val="20"/>
        </w:trPr>
        <w:tc>
          <w:tcPr>
            <w:tcW w:w="9015" w:type="dxa"/>
            <w:gridSpan w:val="6"/>
            <w:tcBorders>
              <w:top w:val="single" w:sz="4" w:space="0" w:color="auto"/>
              <w:left w:val="single" w:sz="4" w:space="0" w:color="auto"/>
              <w:bottom w:val="single" w:sz="4" w:space="0" w:color="auto"/>
              <w:right w:val="single" w:sz="4" w:space="0" w:color="auto"/>
            </w:tcBorders>
            <w:vAlign w:val="center"/>
          </w:tcPr>
          <w:p w14:paraId="6042C8A4" w14:textId="77777777" w:rsidR="00686FE7" w:rsidRPr="00736BC8" w:rsidRDefault="00686FE7">
            <w:pPr>
              <w:keepLines/>
              <w:rPr>
                <w:rFonts w:ascii="Arial Narrow" w:hAnsi="Arial Narrow"/>
                <w:sz w:val="20"/>
                <w:szCs w:val="20"/>
              </w:rPr>
            </w:pPr>
            <w:r w:rsidRPr="00736BC8">
              <w:rPr>
                <w:rFonts w:ascii="Arial Narrow" w:hAnsi="Arial Narrow"/>
                <w:b/>
                <w:sz w:val="20"/>
                <w:szCs w:val="20"/>
              </w:rPr>
              <w:t>Category / Program:</w:t>
            </w:r>
            <w:r w:rsidRPr="00736BC8">
              <w:rPr>
                <w:rFonts w:ascii="Arial Narrow" w:hAnsi="Arial Narrow"/>
                <w:sz w:val="20"/>
                <w:szCs w:val="20"/>
              </w:rPr>
              <w:t xml:space="preserve"> </w:t>
            </w:r>
            <w:r w:rsidRPr="00736BC8">
              <w:rPr>
                <w:rFonts w:ascii="Arial Narrow" w:eastAsia="Calibri" w:hAnsi="Arial Narrow"/>
                <w:sz w:val="20"/>
                <w:szCs w:val="20"/>
              </w:rPr>
              <w:fldChar w:fldCharType="begin" w:fldLock="1">
                <w:ffData>
                  <w:name w:val=""/>
                  <w:enabled/>
                  <w:calcOnExit w:val="0"/>
                  <w:checkBox>
                    <w:sizeAuto/>
                    <w:default w:val="1"/>
                  </w:checkBox>
                </w:ffData>
              </w:fldChar>
            </w:r>
            <w:r w:rsidRPr="00736BC8">
              <w:rPr>
                <w:rFonts w:ascii="Arial Narrow" w:eastAsia="Calibri" w:hAnsi="Arial Narrow"/>
                <w:sz w:val="20"/>
                <w:szCs w:val="20"/>
              </w:rPr>
              <w:instrText xml:space="preserve"> FORMCHECKBOX </w:instrText>
            </w:r>
            <w:r w:rsidRPr="00736BC8">
              <w:rPr>
                <w:rFonts w:ascii="Arial Narrow" w:eastAsia="Calibri" w:hAnsi="Arial Narrow"/>
                <w:sz w:val="20"/>
                <w:szCs w:val="20"/>
              </w:rPr>
            </w:r>
            <w:r w:rsidRPr="00736BC8">
              <w:rPr>
                <w:rFonts w:ascii="Arial Narrow" w:eastAsia="Calibri" w:hAnsi="Arial Narrow"/>
                <w:sz w:val="20"/>
                <w:szCs w:val="20"/>
              </w:rPr>
              <w:fldChar w:fldCharType="separate"/>
            </w:r>
            <w:r w:rsidRPr="00736BC8">
              <w:rPr>
                <w:rFonts w:ascii="Arial Narrow" w:eastAsia="Calibri" w:hAnsi="Arial Narrow"/>
                <w:sz w:val="20"/>
                <w:szCs w:val="20"/>
              </w:rPr>
              <w:fldChar w:fldCharType="end"/>
            </w:r>
            <w:r w:rsidRPr="00736BC8">
              <w:rPr>
                <w:rFonts w:ascii="Arial Narrow" w:eastAsia="Calibri" w:hAnsi="Arial Narrow"/>
                <w:sz w:val="20"/>
                <w:szCs w:val="20"/>
              </w:rPr>
              <w:t xml:space="preserve"> GENERAL - General Schedule (Code GE) </w:t>
            </w:r>
          </w:p>
        </w:tc>
      </w:tr>
      <w:tr w:rsidR="00686FE7" w:rsidRPr="00446E53" w14:paraId="30DD94A1" w14:textId="77777777" w:rsidTr="00686FE7">
        <w:tblPrEx>
          <w:tblCellMar>
            <w:top w:w="15" w:type="dxa"/>
            <w:bottom w:w="15" w:type="dxa"/>
          </w:tblCellMar>
          <w:tblLook w:val="04A0" w:firstRow="1" w:lastRow="0" w:firstColumn="1" w:lastColumn="0" w:noHBand="0" w:noVBand="1"/>
        </w:tblPrEx>
        <w:trPr>
          <w:gridAfter w:val="1"/>
          <w:wAfter w:w="7" w:type="dxa"/>
          <w:trHeight w:val="20"/>
        </w:trPr>
        <w:tc>
          <w:tcPr>
            <w:tcW w:w="9015" w:type="dxa"/>
            <w:gridSpan w:val="6"/>
            <w:tcBorders>
              <w:top w:val="single" w:sz="4" w:space="0" w:color="auto"/>
              <w:left w:val="single" w:sz="4" w:space="0" w:color="auto"/>
              <w:bottom w:val="single" w:sz="4" w:space="0" w:color="auto"/>
              <w:right w:val="single" w:sz="4" w:space="0" w:color="auto"/>
            </w:tcBorders>
            <w:vAlign w:val="center"/>
          </w:tcPr>
          <w:p w14:paraId="7C8C63CC" w14:textId="77777777" w:rsidR="00686FE7" w:rsidRPr="00736BC8" w:rsidRDefault="00686FE7">
            <w:pPr>
              <w:keepLines/>
              <w:rPr>
                <w:rFonts w:ascii="Arial Narrow" w:hAnsi="Arial Narrow"/>
                <w:b/>
                <w:sz w:val="20"/>
                <w:szCs w:val="20"/>
              </w:rPr>
            </w:pPr>
            <w:r w:rsidRPr="00736BC8">
              <w:rPr>
                <w:rFonts w:ascii="Arial Narrow" w:hAnsi="Arial Narrow"/>
                <w:b/>
                <w:sz w:val="20"/>
                <w:szCs w:val="20"/>
              </w:rPr>
              <w:t xml:space="preserve">Prescriber type: </w:t>
            </w:r>
            <w:r w:rsidRPr="00736BC8">
              <w:rPr>
                <w:rFonts w:ascii="Arial Narrow" w:hAnsi="Arial Narrow"/>
                <w:sz w:val="20"/>
                <w:szCs w:val="20"/>
              </w:rPr>
              <w:fldChar w:fldCharType="begin" w:fldLock="1">
                <w:ffData>
                  <w:name w:val=""/>
                  <w:enabled/>
                  <w:calcOnExit w:val="0"/>
                  <w:checkBox>
                    <w:sizeAuto/>
                    <w:default w:val="1"/>
                  </w:checkBox>
                </w:ffData>
              </w:fldChar>
            </w:r>
            <w:r w:rsidRPr="00736BC8">
              <w:rPr>
                <w:rFonts w:ascii="Arial Narrow" w:hAnsi="Arial Narrow"/>
                <w:sz w:val="20"/>
                <w:szCs w:val="20"/>
              </w:rPr>
              <w:instrText xml:space="preserve"> FORMCHECKBOX </w:instrText>
            </w:r>
            <w:r w:rsidRPr="00736BC8">
              <w:rPr>
                <w:rFonts w:ascii="Arial Narrow" w:hAnsi="Arial Narrow"/>
                <w:sz w:val="20"/>
                <w:szCs w:val="20"/>
              </w:rPr>
            </w:r>
            <w:r w:rsidRPr="00736BC8">
              <w:rPr>
                <w:rFonts w:ascii="Arial Narrow" w:hAnsi="Arial Narrow"/>
                <w:sz w:val="20"/>
                <w:szCs w:val="20"/>
              </w:rPr>
              <w:fldChar w:fldCharType="separate"/>
            </w:r>
            <w:r w:rsidRPr="00736BC8">
              <w:rPr>
                <w:rFonts w:ascii="Arial Narrow" w:hAnsi="Arial Narrow"/>
                <w:sz w:val="20"/>
                <w:szCs w:val="20"/>
              </w:rPr>
              <w:fldChar w:fldCharType="end"/>
            </w:r>
            <w:r w:rsidRPr="00736BC8">
              <w:rPr>
                <w:rFonts w:ascii="Arial Narrow" w:hAnsi="Arial Narrow"/>
                <w:sz w:val="20"/>
                <w:szCs w:val="20"/>
              </w:rPr>
              <w:t xml:space="preserve">Medical Practitioners </w:t>
            </w:r>
          </w:p>
        </w:tc>
      </w:tr>
      <w:tr w:rsidR="00686FE7" w:rsidRPr="00446E53" w14:paraId="19478C90" w14:textId="77777777" w:rsidTr="00686FE7">
        <w:tblPrEx>
          <w:tblCellMar>
            <w:top w:w="15" w:type="dxa"/>
            <w:bottom w:w="15" w:type="dxa"/>
          </w:tblCellMar>
          <w:tblLook w:val="04A0" w:firstRow="1" w:lastRow="0" w:firstColumn="1" w:lastColumn="0" w:noHBand="0" w:noVBand="1"/>
        </w:tblPrEx>
        <w:trPr>
          <w:gridAfter w:val="1"/>
          <w:wAfter w:w="7" w:type="dxa"/>
          <w:trHeight w:val="20"/>
        </w:trPr>
        <w:tc>
          <w:tcPr>
            <w:tcW w:w="9015" w:type="dxa"/>
            <w:gridSpan w:val="6"/>
            <w:tcBorders>
              <w:top w:val="single" w:sz="4" w:space="0" w:color="auto"/>
              <w:left w:val="single" w:sz="4" w:space="0" w:color="auto"/>
              <w:bottom w:val="single" w:sz="4" w:space="0" w:color="auto"/>
              <w:right w:val="single" w:sz="4" w:space="0" w:color="auto"/>
            </w:tcBorders>
            <w:vAlign w:val="center"/>
          </w:tcPr>
          <w:p w14:paraId="5063A1EB" w14:textId="77777777" w:rsidR="00686FE7" w:rsidRPr="00736BC8" w:rsidRDefault="00686FE7">
            <w:pPr>
              <w:keepLines/>
              <w:rPr>
                <w:rFonts w:ascii="Arial Narrow" w:eastAsia="Calibri" w:hAnsi="Arial Narrow"/>
                <w:sz w:val="20"/>
                <w:szCs w:val="20"/>
              </w:rPr>
            </w:pPr>
            <w:r w:rsidRPr="00736BC8">
              <w:rPr>
                <w:rFonts w:ascii="Arial Narrow" w:hAnsi="Arial Narrow"/>
                <w:b/>
                <w:sz w:val="20"/>
                <w:szCs w:val="20"/>
              </w:rPr>
              <w:t xml:space="preserve">Restriction type: </w:t>
            </w:r>
            <w:r w:rsidRPr="00736BC8">
              <w:rPr>
                <w:rFonts w:ascii="Arial Narrow" w:eastAsia="Calibri" w:hAnsi="Arial Narrow"/>
                <w:sz w:val="20"/>
                <w:szCs w:val="20"/>
              </w:rPr>
              <w:fldChar w:fldCharType="begin" w:fldLock="1">
                <w:ffData>
                  <w:name w:val=""/>
                  <w:enabled/>
                  <w:calcOnExit w:val="0"/>
                  <w:checkBox>
                    <w:sizeAuto/>
                    <w:default w:val="1"/>
                  </w:checkBox>
                </w:ffData>
              </w:fldChar>
            </w:r>
            <w:r w:rsidRPr="00736BC8">
              <w:rPr>
                <w:rFonts w:ascii="Arial Narrow" w:eastAsia="Calibri" w:hAnsi="Arial Narrow"/>
                <w:sz w:val="20"/>
                <w:szCs w:val="20"/>
              </w:rPr>
              <w:instrText xml:space="preserve"> FORMCHECKBOX </w:instrText>
            </w:r>
            <w:r w:rsidRPr="00736BC8">
              <w:rPr>
                <w:rFonts w:ascii="Arial Narrow" w:eastAsia="Calibri" w:hAnsi="Arial Narrow"/>
                <w:sz w:val="20"/>
                <w:szCs w:val="20"/>
              </w:rPr>
            </w:r>
            <w:r w:rsidRPr="00736BC8">
              <w:rPr>
                <w:rFonts w:ascii="Arial Narrow" w:eastAsia="Calibri" w:hAnsi="Arial Narrow"/>
                <w:sz w:val="20"/>
                <w:szCs w:val="20"/>
              </w:rPr>
              <w:fldChar w:fldCharType="separate"/>
            </w:r>
            <w:r w:rsidRPr="00736BC8">
              <w:rPr>
                <w:rFonts w:ascii="Arial Narrow" w:eastAsia="Calibri" w:hAnsi="Arial Narrow"/>
                <w:sz w:val="20"/>
                <w:szCs w:val="20"/>
              </w:rPr>
              <w:fldChar w:fldCharType="end"/>
            </w:r>
            <w:r w:rsidRPr="00736BC8">
              <w:rPr>
                <w:rFonts w:ascii="Arial Narrow" w:eastAsia="Calibri" w:hAnsi="Arial Narrow"/>
                <w:sz w:val="20"/>
                <w:szCs w:val="20"/>
              </w:rPr>
              <w:t>Authority Required (</w:t>
            </w:r>
            <w:r>
              <w:rPr>
                <w:rFonts w:ascii="Arial Narrow" w:eastAsia="Calibri" w:hAnsi="Arial Narrow"/>
                <w:sz w:val="20"/>
                <w:szCs w:val="20"/>
              </w:rPr>
              <w:t>telephone/electronic)</w:t>
            </w:r>
            <w:r w:rsidRPr="00736BC8">
              <w:rPr>
                <w:rFonts w:ascii="Arial Narrow" w:eastAsia="Calibri" w:hAnsi="Arial Narrow"/>
                <w:sz w:val="20"/>
                <w:szCs w:val="20"/>
              </w:rPr>
              <w:t xml:space="preserve"> </w:t>
            </w:r>
          </w:p>
        </w:tc>
      </w:tr>
      <w:tr w:rsidR="00686FE7" w:rsidRPr="00446E53" w14:paraId="31A04E32" w14:textId="77777777" w:rsidTr="00686FE7">
        <w:tblPrEx>
          <w:tblCellMar>
            <w:top w:w="15" w:type="dxa"/>
            <w:bottom w:w="15" w:type="dxa"/>
          </w:tblCellMar>
          <w:tblLook w:val="04A0" w:firstRow="1" w:lastRow="0" w:firstColumn="1" w:lastColumn="0" w:noHBand="0" w:noVBand="1"/>
        </w:tblPrEx>
        <w:trPr>
          <w:gridAfter w:val="1"/>
          <w:wAfter w:w="7" w:type="dxa"/>
          <w:trHeight w:val="20"/>
        </w:trPr>
        <w:tc>
          <w:tcPr>
            <w:tcW w:w="9015" w:type="dxa"/>
            <w:gridSpan w:val="6"/>
            <w:tcBorders>
              <w:top w:val="single" w:sz="4" w:space="0" w:color="auto"/>
              <w:left w:val="single" w:sz="4" w:space="0" w:color="auto"/>
              <w:bottom w:val="single" w:sz="4" w:space="0" w:color="auto"/>
              <w:right w:val="single" w:sz="4" w:space="0" w:color="auto"/>
            </w:tcBorders>
            <w:vAlign w:val="center"/>
          </w:tcPr>
          <w:p w14:paraId="313DF9AE" w14:textId="77777777" w:rsidR="00686FE7" w:rsidRPr="00736BC8" w:rsidRDefault="00686FE7">
            <w:pPr>
              <w:keepLines/>
              <w:rPr>
                <w:rFonts w:ascii="Arial Narrow" w:hAnsi="Arial Narrow"/>
                <w:b/>
                <w:sz w:val="20"/>
                <w:szCs w:val="20"/>
              </w:rPr>
            </w:pPr>
            <w:r w:rsidRPr="00446E53">
              <w:rPr>
                <w:rFonts w:ascii="Arial Narrow" w:hAnsi="Arial Narrow"/>
                <w:b/>
                <w:sz w:val="20"/>
                <w:szCs w:val="20"/>
              </w:rPr>
              <w:t xml:space="preserve">Prescribing rule level:  </w:t>
            </w:r>
          </w:p>
        </w:tc>
      </w:tr>
      <w:tr w:rsidR="00686FE7" w:rsidRPr="00446E53" w14:paraId="4F58A59A" w14:textId="77777777" w:rsidTr="00686FE7">
        <w:tblPrEx>
          <w:tblCellMar>
            <w:top w:w="15" w:type="dxa"/>
            <w:bottom w:w="15" w:type="dxa"/>
          </w:tblCellMar>
          <w:tblLook w:val="04A0" w:firstRow="1" w:lastRow="0" w:firstColumn="1" w:lastColumn="0" w:noHBand="0" w:noVBand="1"/>
        </w:tblPrEx>
        <w:trPr>
          <w:gridAfter w:val="1"/>
          <w:wAfter w:w="7" w:type="dxa"/>
          <w:trHeight w:val="20"/>
        </w:trPr>
        <w:tc>
          <w:tcPr>
            <w:tcW w:w="9015" w:type="dxa"/>
            <w:gridSpan w:val="6"/>
            <w:tcBorders>
              <w:top w:val="single" w:sz="4" w:space="0" w:color="auto"/>
              <w:left w:val="single" w:sz="4" w:space="0" w:color="auto"/>
              <w:bottom w:val="single" w:sz="4" w:space="0" w:color="auto"/>
              <w:right w:val="single" w:sz="4" w:space="0" w:color="auto"/>
            </w:tcBorders>
            <w:vAlign w:val="center"/>
          </w:tcPr>
          <w:p w14:paraId="76F4850D" w14:textId="77777777" w:rsidR="00686FE7" w:rsidRDefault="00686FE7">
            <w:pPr>
              <w:spacing w:line="256" w:lineRule="auto"/>
              <w:jc w:val="left"/>
              <w:textAlignment w:val="baseline"/>
              <w:rPr>
                <w:rFonts w:ascii="Arial Narrow" w:hAnsi="Arial Narrow" w:cs="Segoe UI"/>
                <w:color w:val="333333"/>
                <w:sz w:val="20"/>
                <w:szCs w:val="20"/>
                <w:lang w:eastAsia="en-US"/>
              </w:rPr>
            </w:pPr>
            <w:r>
              <w:rPr>
                <w:rFonts w:ascii="Arial Narrow" w:hAnsi="Arial Narrow" w:cs="Segoe UI"/>
                <w:b/>
                <w:bCs/>
                <w:color w:val="333333"/>
                <w:sz w:val="20"/>
                <w:szCs w:val="20"/>
                <w:lang w:eastAsia="en-US"/>
              </w:rPr>
              <w:t>Administrative Advice:</w:t>
            </w:r>
            <w:r>
              <w:rPr>
                <w:rFonts w:ascii="Arial Narrow" w:hAnsi="Arial Narrow" w:cs="Segoe UI"/>
                <w:color w:val="333333"/>
                <w:sz w:val="20"/>
                <w:szCs w:val="20"/>
                <w:lang w:eastAsia="en-US"/>
              </w:rPr>
              <w:t> </w:t>
            </w:r>
          </w:p>
          <w:p w14:paraId="1DA14820" w14:textId="77777777" w:rsidR="00686FE7" w:rsidRDefault="00686FE7">
            <w:pPr>
              <w:spacing w:line="256" w:lineRule="auto"/>
              <w:jc w:val="left"/>
              <w:textAlignment w:val="baseline"/>
              <w:rPr>
                <w:rFonts w:ascii="Arial Narrow" w:hAnsi="Arial Narrow" w:cs="Segoe UI"/>
                <w:b/>
                <w:bCs/>
                <w:color w:val="333333"/>
                <w:sz w:val="20"/>
                <w:szCs w:val="20"/>
                <w:lang w:eastAsia="en-US"/>
              </w:rPr>
            </w:pPr>
            <w:r>
              <w:rPr>
                <w:rFonts w:ascii="Arial Narrow" w:hAnsi="Arial Narrow" w:cs="Segoe UI"/>
                <w:sz w:val="20"/>
                <w:szCs w:val="20"/>
                <w:lang w:eastAsia="en-US"/>
              </w:rPr>
              <w:t xml:space="preserve">Overarching administrative note. </w:t>
            </w:r>
          </w:p>
        </w:tc>
      </w:tr>
      <w:tr w:rsidR="00686FE7" w:rsidRPr="00446E53" w14:paraId="6E9F5D8B" w14:textId="77777777" w:rsidTr="00686FE7">
        <w:tblPrEx>
          <w:tblCellMar>
            <w:top w:w="15" w:type="dxa"/>
            <w:bottom w:w="15" w:type="dxa"/>
          </w:tblCellMar>
          <w:tblLook w:val="04A0" w:firstRow="1" w:lastRow="0" w:firstColumn="1" w:lastColumn="0" w:noHBand="0" w:noVBand="1"/>
        </w:tblPrEx>
        <w:trPr>
          <w:gridAfter w:val="1"/>
          <w:wAfter w:w="7" w:type="dxa"/>
          <w:trHeight w:val="20"/>
        </w:trPr>
        <w:tc>
          <w:tcPr>
            <w:tcW w:w="9015" w:type="dxa"/>
            <w:gridSpan w:val="6"/>
            <w:tcBorders>
              <w:top w:val="single" w:sz="4" w:space="0" w:color="auto"/>
              <w:left w:val="single" w:sz="4" w:space="0" w:color="auto"/>
              <w:bottom w:val="single" w:sz="4" w:space="0" w:color="auto"/>
              <w:right w:val="single" w:sz="4" w:space="0" w:color="auto"/>
            </w:tcBorders>
            <w:vAlign w:val="center"/>
          </w:tcPr>
          <w:p w14:paraId="26B3AC7A" w14:textId="77777777" w:rsidR="00686FE7" w:rsidRDefault="00686FE7">
            <w:pPr>
              <w:spacing w:line="256" w:lineRule="auto"/>
              <w:jc w:val="left"/>
              <w:textAlignment w:val="baseline"/>
              <w:rPr>
                <w:rFonts w:ascii="Arial Narrow" w:hAnsi="Arial Narrow" w:cs="Segoe UI"/>
                <w:color w:val="333333"/>
                <w:sz w:val="20"/>
                <w:szCs w:val="20"/>
                <w:lang w:eastAsia="en-US"/>
              </w:rPr>
            </w:pPr>
            <w:r>
              <w:rPr>
                <w:rFonts w:ascii="Arial Narrow" w:hAnsi="Arial Narrow" w:cs="Segoe UI"/>
                <w:b/>
                <w:bCs/>
                <w:color w:val="333333"/>
                <w:sz w:val="20"/>
                <w:szCs w:val="20"/>
                <w:lang w:eastAsia="en-US"/>
              </w:rPr>
              <w:t>Administrative Advice:</w:t>
            </w:r>
            <w:r>
              <w:rPr>
                <w:rFonts w:ascii="Arial Narrow" w:hAnsi="Arial Narrow" w:cs="Segoe UI"/>
                <w:color w:val="333333"/>
                <w:sz w:val="20"/>
                <w:szCs w:val="20"/>
                <w:lang w:eastAsia="en-US"/>
              </w:rPr>
              <w:t> </w:t>
            </w:r>
          </w:p>
          <w:p w14:paraId="55EC8B0D" w14:textId="77777777" w:rsidR="00686FE7" w:rsidRPr="0025488F" w:rsidRDefault="00686FE7">
            <w:pPr>
              <w:keepLines/>
              <w:rPr>
                <w:rFonts w:ascii="Arial Narrow" w:hAnsi="Arial Narrow"/>
                <w:b/>
                <w:bCs/>
                <w:sz w:val="20"/>
                <w:szCs w:val="20"/>
              </w:rPr>
            </w:pPr>
            <w:r>
              <w:rPr>
                <w:rFonts w:ascii="Arial Narrow" w:hAnsi="Arial Narrow" w:cs="Segoe UI"/>
                <w:sz w:val="20"/>
                <w:szCs w:val="20"/>
                <w:lang w:eastAsia="en-US"/>
              </w:rPr>
              <w:t>Special Pricing Arrangements apply</w:t>
            </w:r>
            <w:r>
              <w:rPr>
                <w:rFonts w:ascii="Arial Narrow" w:hAnsi="Arial Narrow" w:cs="Segoe UI"/>
                <w:i/>
                <w:iCs/>
                <w:sz w:val="20"/>
                <w:szCs w:val="20"/>
                <w:lang w:eastAsia="en-US"/>
              </w:rPr>
              <w:t>.</w:t>
            </w:r>
          </w:p>
        </w:tc>
      </w:tr>
      <w:tr w:rsidR="00686FE7" w:rsidRPr="00446E53" w14:paraId="55218B78" w14:textId="77777777" w:rsidTr="00686FE7">
        <w:tblPrEx>
          <w:tblCellMar>
            <w:top w:w="15" w:type="dxa"/>
            <w:bottom w:w="15" w:type="dxa"/>
          </w:tblCellMar>
          <w:tblLook w:val="04A0" w:firstRow="1" w:lastRow="0" w:firstColumn="1" w:lastColumn="0" w:noHBand="0" w:noVBand="1"/>
        </w:tblPrEx>
        <w:trPr>
          <w:gridAfter w:val="1"/>
          <w:wAfter w:w="7" w:type="dxa"/>
          <w:trHeight w:val="20"/>
        </w:trPr>
        <w:tc>
          <w:tcPr>
            <w:tcW w:w="9015" w:type="dxa"/>
            <w:gridSpan w:val="6"/>
            <w:tcBorders>
              <w:top w:val="single" w:sz="4" w:space="0" w:color="auto"/>
              <w:left w:val="single" w:sz="4" w:space="0" w:color="auto"/>
              <w:bottom w:val="single" w:sz="4" w:space="0" w:color="auto"/>
              <w:right w:val="single" w:sz="4" w:space="0" w:color="auto"/>
            </w:tcBorders>
            <w:vAlign w:val="center"/>
          </w:tcPr>
          <w:p w14:paraId="5E2376D8" w14:textId="77777777" w:rsidR="00686FE7" w:rsidRPr="006077B6" w:rsidRDefault="00686FE7">
            <w:pPr>
              <w:keepLines/>
              <w:rPr>
                <w:rFonts w:ascii="Arial Narrow" w:hAnsi="Arial Narrow"/>
                <w:sz w:val="20"/>
                <w:szCs w:val="20"/>
              </w:rPr>
            </w:pPr>
            <w:r w:rsidRPr="006077B6">
              <w:rPr>
                <w:rFonts w:ascii="Arial Narrow" w:hAnsi="Arial Narrow"/>
                <w:b/>
                <w:bCs/>
                <w:sz w:val="20"/>
                <w:szCs w:val="20"/>
              </w:rPr>
              <w:t>Administrative Advice:</w:t>
            </w:r>
            <w:r w:rsidRPr="006077B6">
              <w:rPr>
                <w:rFonts w:ascii="Arial Narrow" w:hAnsi="Arial Narrow"/>
                <w:sz w:val="20"/>
                <w:szCs w:val="20"/>
              </w:rPr>
              <w:t xml:space="preserve"> </w:t>
            </w:r>
          </w:p>
          <w:p w14:paraId="119325E5" w14:textId="77777777" w:rsidR="00686FE7" w:rsidRPr="006077B6" w:rsidRDefault="00686FE7">
            <w:pPr>
              <w:spacing w:line="256" w:lineRule="auto"/>
              <w:jc w:val="left"/>
              <w:textAlignment w:val="baseline"/>
              <w:rPr>
                <w:rFonts w:ascii="Arial Narrow" w:hAnsi="Arial Narrow" w:cs="Segoe UI"/>
                <w:b/>
                <w:bCs/>
                <w:color w:val="333333"/>
                <w:sz w:val="20"/>
                <w:szCs w:val="20"/>
                <w:lang w:eastAsia="en-US"/>
              </w:rPr>
            </w:pPr>
            <w:r w:rsidRPr="006077B6">
              <w:rPr>
                <w:rFonts w:ascii="Arial Narrow" w:hAnsi="Arial Narrow"/>
                <w:sz w:val="20"/>
                <w:szCs w:val="20"/>
              </w:rPr>
              <w:t>No increase in the maximum quantity or number of units may be authorised.</w:t>
            </w:r>
          </w:p>
        </w:tc>
      </w:tr>
      <w:tr w:rsidR="00686FE7" w:rsidRPr="00446E53" w14:paraId="32B213AF" w14:textId="77777777" w:rsidTr="00686FE7">
        <w:tblPrEx>
          <w:tblCellMar>
            <w:top w:w="15" w:type="dxa"/>
            <w:bottom w:w="15" w:type="dxa"/>
          </w:tblCellMar>
          <w:tblLook w:val="04A0" w:firstRow="1" w:lastRow="0" w:firstColumn="1" w:lastColumn="0" w:noHBand="0" w:noVBand="1"/>
        </w:tblPrEx>
        <w:trPr>
          <w:gridAfter w:val="1"/>
          <w:wAfter w:w="7" w:type="dxa"/>
          <w:trHeight w:val="20"/>
        </w:trPr>
        <w:tc>
          <w:tcPr>
            <w:tcW w:w="9015" w:type="dxa"/>
            <w:gridSpan w:val="6"/>
            <w:tcBorders>
              <w:top w:val="single" w:sz="4" w:space="0" w:color="auto"/>
              <w:left w:val="single" w:sz="4" w:space="0" w:color="auto"/>
              <w:bottom w:val="single" w:sz="4" w:space="0" w:color="auto"/>
              <w:right w:val="single" w:sz="4" w:space="0" w:color="auto"/>
            </w:tcBorders>
            <w:vAlign w:val="center"/>
          </w:tcPr>
          <w:p w14:paraId="5C988D51" w14:textId="77777777" w:rsidR="00686FE7" w:rsidRDefault="00686FE7">
            <w:pPr>
              <w:keepLines/>
              <w:rPr>
                <w:rFonts w:ascii="Arial Narrow" w:hAnsi="Arial Narrow"/>
                <w:sz w:val="20"/>
                <w:szCs w:val="20"/>
              </w:rPr>
            </w:pPr>
            <w:r w:rsidRPr="0025488F">
              <w:rPr>
                <w:rFonts w:ascii="Arial Narrow" w:hAnsi="Arial Narrow"/>
                <w:b/>
                <w:bCs/>
                <w:sz w:val="20"/>
                <w:szCs w:val="20"/>
              </w:rPr>
              <w:t>Administrative Advice:</w:t>
            </w:r>
            <w:r w:rsidRPr="0025488F">
              <w:rPr>
                <w:rFonts w:ascii="Arial Narrow" w:hAnsi="Arial Narrow"/>
                <w:sz w:val="20"/>
                <w:szCs w:val="20"/>
              </w:rPr>
              <w:t xml:space="preserve"> </w:t>
            </w:r>
          </w:p>
          <w:p w14:paraId="63724AF2" w14:textId="77777777" w:rsidR="00686FE7" w:rsidRPr="0025488F" w:rsidRDefault="00686FE7">
            <w:pPr>
              <w:keepLines/>
              <w:rPr>
                <w:rFonts w:ascii="Arial Narrow" w:hAnsi="Arial Narrow"/>
                <w:b/>
                <w:sz w:val="20"/>
                <w:szCs w:val="20"/>
              </w:rPr>
            </w:pPr>
            <w:r w:rsidRPr="0025488F">
              <w:rPr>
                <w:rFonts w:ascii="Arial Narrow" w:hAnsi="Arial Narrow"/>
                <w:sz w:val="20"/>
                <w:szCs w:val="20"/>
              </w:rPr>
              <w:t>No increase in the maximum number of repeats may be authorised.</w:t>
            </w:r>
          </w:p>
        </w:tc>
      </w:tr>
      <w:tr w:rsidR="00686FE7" w:rsidRPr="00446E53" w14:paraId="02AD65B0" w14:textId="77777777" w:rsidTr="00686FE7">
        <w:tblPrEx>
          <w:tblCellMar>
            <w:top w:w="15" w:type="dxa"/>
            <w:bottom w:w="15" w:type="dxa"/>
          </w:tblCellMar>
          <w:tblLook w:val="04A0" w:firstRow="1" w:lastRow="0" w:firstColumn="1" w:lastColumn="0" w:noHBand="0" w:noVBand="1"/>
        </w:tblPrEx>
        <w:trPr>
          <w:gridAfter w:val="1"/>
          <w:wAfter w:w="7" w:type="dxa"/>
          <w:trHeight w:val="20"/>
        </w:trPr>
        <w:tc>
          <w:tcPr>
            <w:tcW w:w="9015" w:type="dxa"/>
            <w:gridSpan w:val="6"/>
            <w:tcBorders>
              <w:top w:val="single" w:sz="4" w:space="0" w:color="auto"/>
              <w:left w:val="single" w:sz="4" w:space="0" w:color="auto"/>
              <w:bottom w:val="single" w:sz="4" w:space="0" w:color="auto"/>
              <w:right w:val="single" w:sz="4" w:space="0" w:color="auto"/>
            </w:tcBorders>
            <w:vAlign w:val="center"/>
          </w:tcPr>
          <w:p w14:paraId="28D45862" w14:textId="77777777" w:rsidR="00686FE7" w:rsidRPr="00857C11" w:rsidRDefault="00686FE7">
            <w:pPr>
              <w:rPr>
                <w:rFonts w:ascii="Arial Narrow" w:hAnsi="Arial Narrow"/>
                <w:sz w:val="20"/>
                <w:szCs w:val="20"/>
              </w:rPr>
            </w:pPr>
            <w:r w:rsidRPr="00857C11">
              <w:rPr>
                <w:rFonts w:ascii="Arial Narrow" w:hAnsi="Arial Narrow"/>
                <w:b/>
                <w:bCs/>
                <w:sz w:val="20"/>
                <w:szCs w:val="20"/>
              </w:rPr>
              <w:lastRenderedPageBreak/>
              <w:t>Administrative Advice</w:t>
            </w:r>
            <w:r w:rsidRPr="00857C11">
              <w:rPr>
                <w:rFonts w:ascii="Arial Narrow" w:hAnsi="Arial Narrow"/>
                <w:sz w:val="20"/>
                <w:szCs w:val="20"/>
              </w:rPr>
              <w:t>:</w:t>
            </w:r>
          </w:p>
          <w:p w14:paraId="754F6A49" w14:textId="77777777" w:rsidR="00686FE7" w:rsidRPr="00FA0BEB" w:rsidRDefault="00686FE7">
            <w:pPr>
              <w:keepLines/>
              <w:rPr>
                <w:rFonts w:ascii="Arial Narrow" w:hAnsi="Arial Narrow"/>
                <w:b/>
                <w:bCs/>
                <w:i/>
                <w:iCs/>
                <w:sz w:val="20"/>
                <w:szCs w:val="20"/>
              </w:rPr>
            </w:pPr>
            <w:r w:rsidRPr="00857C11">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r>
              <w:rPr>
                <w:rFonts w:ascii="Arial Narrow" w:hAnsi="Arial Narrow"/>
                <w:sz w:val="20"/>
                <w:szCs w:val="20"/>
              </w:rPr>
              <w:t>.</w:t>
            </w:r>
          </w:p>
        </w:tc>
      </w:tr>
      <w:tr w:rsidR="00686FE7" w:rsidRPr="00446E53" w14:paraId="5013FED3" w14:textId="77777777" w:rsidTr="00686FE7">
        <w:tblPrEx>
          <w:tblCellMar>
            <w:top w:w="15" w:type="dxa"/>
            <w:bottom w:w="15" w:type="dxa"/>
          </w:tblCellMar>
          <w:tblLook w:val="04A0" w:firstRow="1" w:lastRow="0" w:firstColumn="1" w:lastColumn="0" w:noHBand="0" w:noVBand="1"/>
        </w:tblPrEx>
        <w:trPr>
          <w:gridAfter w:val="1"/>
          <w:wAfter w:w="7" w:type="dxa"/>
          <w:trHeight w:val="20"/>
        </w:trPr>
        <w:tc>
          <w:tcPr>
            <w:tcW w:w="90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E41C07" w14:textId="77777777" w:rsidR="00686FE7" w:rsidRPr="002314B4" w:rsidRDefault="00686FE7">
            <w:pPr>
              <w:keepLines/>
              <w:rPr>
                <w:rFonts w:ascii="Arial Narrow" w:hAnsi="Arial Narrow"/>
                <w:b/>
                <w:bCs/>
                <w:sz w:val="20"/>
                <w:szCs w:val="20"/>
              </w:rPr>
            </w:pPr>
            <w:r w:rsidRPr="002314B4">
              <w:rPr>
                <w:rFonts w:ascii="Arial Narrow" w:hAnsi="Arial Narrow"/>
                <w:b/>
                <w:sz w:val="20"/>
                <w:szCs w:val="20"/>
              </w:rPr>
              <w:t>Restriction Summary [new</w:t>
            </w:r>
            <w:r>
              <w:rPr>
                <w:rFonts w:ascii="Arial Narrow" w:hAnsi="Arial Narrow"/>
                <w:b/>
                <w:sz w:val="20"/>
                <w:szCs w:val="20"/>
              </w:rPr>
              <w:t>4</w:t>
            </w:r>
            <w:r w:rsidRPr="002314B4">
              <w:rPr>
                <w:rFonts w:ascii="Arial Narrow" w:hAnsi="Arial Narrow"/>
                <w:b/>
                <w:sz w:val="20"/>
                <w:szCs w:val="20"/>
              </w:rPr>
              <w:t>] / Treatment of Concept: [new</w:t>
            </w:r>
            <w:r>
              <w:rPr>
                <w:rFonts w:ascii="Arial Narrow" w:hAnsi="Arial Narrow"/>
                <w:b/>
                <w:sz w:val="20"/>
                <w:szCs w:val="20"/>
              </w:rPr>
              <w:t>4</w:t>
            </w:r>
            <w:r w:rsidRPr="002314B4">
              <w:rPr>
                <w:rFonts w:ascii="Arial Narrow" w:hAnsi="Arial Narrow"/>
                <w:b/>
                <w:sz w:val="20"/>
                <w:szCs w:val="20"/>
              </w:rPr>
              <w:t xml:space="preserve">A] </w:t>
            </w:r>
          </w:p>
        </w:tc>
      </w:tr>
      <w:tr w:rsidR="00686FE7" w:rsidRPr="00446E53" w14:paraId="76E66297" w14:textId="77777777" w:rsidTr="00686FE7">
        <w:tblPrEx>
          <w:tblCellMar>
            <w:top w:w="15" w:type="dxa"/>
            <w:bottom w:w="15" w:type="dxa"/>
          </w:tblCellMar>
          <w:tblLook w:val="04A0" w:firstRow="1" w:lastRow="0" w:firstColumn="1" w:lastColumn="0" w:noHBand="0" w:noVBand="1"/>
        </w:tblPrEx>
        <w:trPr>
          <w:gridAfter w:val="1"/>
          <w:wAfter w:w="7" w:type="dxa"/>
          <w:cantSplit/>
          <w:trHeight w:val="20"/>
        </w:trPr>
        <w:tc>
          <w:tcPr>
            <w:tcW w:w="9015" w:type="dxa"/>
            <w:gridSpan w:val="6"/>
            <w:vAlign w:val="center"/>
            <w:hideMark/>
          </w:tcPr>
          <w:p w14:paraId="3A7D605B" w14:textId="77777777" w:rsidR="00686FE7" w:rsidRPr="000B5C03" w:rsidRDefault="00686FE7">
            <w:pPr>
              <w:keepLines/>
              <w:rPr>
                <w:rFonts w:ascii="Arial Narrow" w:hAnsi="Arial Narrow"/>
                <w:sz w:val="20"/>
                <w:szCs w:val="20"/>
              </w:rPr>
            </w:pPr>
            <w:r w:rsidRPr="000B5C03">
              <w:rPr>
                <w:rFonts w:ascii="Arial Narrow" w:hAnsi="Arial Narrow" w:cs="Segoe UI"/>
                <w:b/>
                <w:bCs/>
                <w:color w:val="333333"/>
                <w:sz w:val="20"/>
                <w:szCs w:val="20"/>
                <w:lang w:eastAsia="en-US"/>
              </w:rPr>
              <w:t>Indication:</w:t>
            </w:r>
            <w:r w:rsidRPr="000B5C03">
              <w:rPr>
                <w:rFonts w:ascii="Arial Narrow" w:hAnsi="Arial Narrow" w:cs="Segoe UI"/>
                <w:color w:val="333333"/>
                <w:sz w:val="20"/>
                <w:szCs w:val="20"/>
                <w:lang w:eastAsia="en-US"/>
              </w:rPr>
              <w:t xml:space="preserve"> </w:t>
            </w:r>
            <w:r w:rsidRPr="000B5C03">
              <w:rPr>
                <w:rFonts w:ascii="Arial Narrow" w:hAnsi="Arial Narrow" w:cs="Times New Roman"/>
                <w:sz w:val="20"/>
                <w:szCs w:val="20"/>
              </w:rPr>
              <w:t>Moderate to severe hidradenitis suppurativa</w:t>
            </w:r>
          </w:p>
        </w:tc>
      </w:tr>
      <w:tr w:rsidR="00686FE7" w:rsidRPr="00446E53" w14:paraId="75804B51" w14:textId="77777777" w:rsidTr="00686FE7">
        <w:tblPrEx>
          <w:tblCellMar>
            <w:top w:w="15" w:type="dxa"/>
            <w:bottom w:w="15" w:type="dxa"/>
          </w:tblCellMar>
          <w:tblLook w:val="04A0" w:firstRow="1" w:lastRow="0" w:firstColumn="1" w:lastColumn="0" w:noHBand="0" w:noVBand="1"/>
        </w:tblPrEx>
        <w:trPr>
          <w:gridAfter w:val="1"/>
          <w:wAfter w:w="7" w:type="dxa"/>
          <w:cantSplit/>
          <w:trHeight w:val="20"/>
        </w:trPr>
        <w:tc>
          <w:tcPr>
            <w:tcW w:w="9015" w:type="dxa"/>
            <w:gridSpan w:val="6"/>
            <w:vAlign w:val="center"/>
            <w:hideMark/>
          </w:tcPr>
          <w:p w14:paraId="4DCABB4D" w14:textId="77777777" w:rsidR="00686FE7" w:rsidRPr="008F703F" w:rsidRDefault="00686FE7">
            <w:pPr>
              <w:rPr>
                <w:rFonts w:ascii="Arial Narrow" w:hAnsi="Arial Narrow"/>
                <w:sz w:val="20"/>
                <w:szCs w:val="20"/>
              </w:rPr>
            </w:pPr>
            <w:r w:rsidRPr="005E63D4">
              <w:rPr>
                <w:rFonts w:ascii="Arial Narrow" w:hAnsi="Arial Narrow"/>
                <w:b/>
                <w:bCs/>
                <w:sz w:val="20"/>
                <w:szCs w:val="20"/>
              </w:rPr>
              <w:t>Treatment Phase:</w:t>
            </w:r>
            <w:r w:rsidRPr="005E63D4">
              <w:rPr>
                <w:rFonts w:ascii="Arial Narrow" w:hAnsi="Arial Narrow"/>
                <w:sz w:val="20"/>
                <w:szCs w:val="20"/>
              </w:rPr>
              <w:t xml:space="preserve"> </w:t>
            </w:r>
            <w:r w:rsidRPr="004343CB">
              <w:rPr>
                <w:rFonts w:ascii="Arial Narrow" w:hAnsi="Arial Narrow" w:cs="Times New Roman"/>
                <w:sz w:val="20"/>
                <w:szCs w:val="20"/>
              </w:rPr>
              <w:t>Initial 1 (new patient), Initial 2 (change or</w:t>
            </w:r>
            <w:r w:rsidRPr="004343CB">
              <w:rPr>
                <w:rFonts w:ascii="Arial Narrow" w:hAnsi="Arial Narrow" w:cs="Times New Roman"/>
                <w:i/>
                <w:iCs/>
                <w:sz w:val="20"/>
                <w:szCs w:val="20"/>
              </w:rPr>
              <w:t xml:space="preserve"> </w:t>
            </w:r>
            <w:r w:rsidRPr="004343CB">
              <w:rPr>
                <w:rFonts w:ascii="Arial Narrow" w:hAnsi="Arial Narrow" w:cs="Times New Roman"/>
                <w:sz w:val="20"/>
                <w:szCs w:val="20"/>
              </w:rPr>
              <w:t>recommencement of treatment after a break in biological medicine of less than 5 years), or Initial 3 (recommencement of treatment after a break in biological medicine of more than 5 years) - balance of supply</w:t>
            </w:r>
          </w:p>
        </w:tc>
      </w:tr>
      <w:tr w:rsidR="00686FE7" w:rsidRPr="00446E53" w14:paraId="1A07C521" w14:textId="77777777" w:rsidTr="00686FE7">
        <w:tblPrEx>
          <w:tblCellMar>
            <w:top w:w="15" w:type="dxa"/>
            <w:bottom w:w="15" w:type="dxa"/>
          </w:tblCellMar>
          <w:tblLook w:val="04A0" w:firstRow="1" w:lastRow="0" w:firstColumn="1" w:lastColumn="0" w:noHBand="0" w:noVBand="1"/>
        </w:tblPrEx>
        <w:trPr>
          <w:gridAfter w:val="1"/>
          <w:wAfter w:w="7" w:type="dxa"/>
          <w:cantSplit/>
          <w:trHeight w:val="20"/>
        </w:trPr>
        <w:tc>
          <w:tcPr>
            <w:tcW w:w="9015" w:type="dxa"/>
            <w:gridSpan w:val="6"/>
            <w:vAlign w:val="center"/>
            <w:hideMark/>
          </w:tcPr>
          <w:p w14:paraId="1A67C546" w14:textId="77777777" w:rsidR="00686FE7" w:rsidRPr="008F703F" w:rsidRDefault="00686FE7">
            <w:pPr>
              <w:rPr>
                <w:rFonts w:ascii="Arial Narrow" w:hAnsi="Arial Narrow"/>
                <w:sz w:val="20"/>
                <w:szCs w:val="20"/>
              </w:rPr>
            </w:pPr>
            <w:r w:rsidRPr="005F72A0">
              <w:rPr>
                <w:rFonts w:ascii="Arial Narrow" w:hAnsi="Arial Narrow" w:cs="Times New Roman"/>
                <w:b/>
                <w:bCs/>
                <w:sz w:val="20"/>
                <w:szCs w:val="20"/>
              </w:rPr>
              <w:t>Clinical criteria:</w:t>
            </w:r>
          </w:p>
        </w:tc>
      </w:tr>
      <w:tr w:rsidR="00686FE7" w:rsidRPr="00446E53" w14:paraId="27DABDDA" w14:textId="77777777" w:rsidTr="00686FE7">
        <w:tblPrEx>
          <w:tblCellMar>
            <w:top w:w="15" w:type="dxa"/>
            <w:bottom w:w="15" w:type="dxa"/>
          </w:tblCellMar>
          <w:tblLook w:val="04A0" w:firstRow="1" w:lastRow="0" w:firstColumn="1" w:lastColumn="0" w:noHBand="0" w:noVBand="1"/>
        </w:tblPrEx>
        <w:trPr>
          <w:gridAfter w:val="1"/>
          <w:wAfter w:w="7" w:type="dxa"/>
          <w:cantSplit/>
          <w:trHeight w:val="20"/>
        </w:trPr>
        <w:tc>
          <w:tcPr>
            <w:tcW w:w="9015" w:type="dxa"/>
            <w:gridSpan w:val="6"/>
            <w:vAlign w:val="center"/>
            <w:hideMark/>
          </w:tcPr>
          <w:p w14:paraId="39FFDD54" w14:textId="77777777" w:rsidR="00686FE7" w:rsidRPr="008F703F" w:rsidRDefault="00686FE7">
            <w:pPr>
              <w:rPr>
                <w:rFonts w:ascii="Arial Narrow" w:hAnsi="Arial Narrow"/>
                <w:sz w:val="20"/>
                <w:szCs w:val="20"/>
              </w:rPr>
            </w:pPr>
            <w:r w:rsidRPr="005F72A0">
              <w:rPr>
                <w:rFonts w:ascii="Arial Narrow" w:hAnsi="Arial Narrow" w:cs="Times New Roman"/>
                <w:sz w:val="20"/>
                <w:szCs w:val="20"/>
              </w:rPr>
              <w:t>Patient must have received insufficient therapy with this drug for this condition under the Initial 1 (new patient) restriction to complete 16 weeks treatment; or</w:t>
            </w:r>
          </w:p>
        </w:tc>
      </w:tr>
      <w:tr w:rsidR="00686FE7" w:rsidRPr="00446E53" w14:paraId="4E25BE8B" w14:textId="77777777" w:rsidTr="00686FE7">
        <w:tblPrEx>
          <w:tblCellMar>
            <w:top w:w="15" w:type="dxa"/>
            <w:bottom w:w="15" w:type="dxa"/>
          </w:tblCellMar>
          <w:tblLook w:val="04A0" w:firstRow="1" w:lastRow="0" w:firstColumn="1" w:lastColumn="0" w:noHBand="0" w:noVBand="1"/>
        </w:tblPrEx>
        <w:trPr>
          <w:gridAfter w:val="1"/>
          <w:wAfter w:w="7" w:type="dxa"/>
          <w:cantSplit/>
          <w:trHeight w:val="20"/>
        </w:trPr>
        <w:tc>
          <w:tcPr>
            <w:tcW w:w="9015" w:type="dxa"/>
            <w:gridSpan w:val="6"/>
            <w:vAlign w:val="center"/>
          </w:tcPr>
          <w:p w14:paraId="05CE15C4" w14:textId="77777777" w:rsidR="00686FE7" w:rsidRPr="008F703F" w:rsidRDefault="00686FE7">
            <w:pPr>
              <w:rPr>
                <w:rFonts w:ascii="Arial Narrow" w:hAnsi="Arial Narrow"/>
                <w:sz w:val="20"/>
                <w:szCs w:val="20"/>
              </w:rPr>
            </w:pPr>
            <w:r w:rsidRPr="005F72A0">
              <w:rPr>
                <w:rFonts w:ascii="Arial Narrow" w:hAnsi="Arial Narrow" w:cs="Times New Roman"/>
                <w:sz w:val="20"/>
                <w:szCs w:val="20"/>
              </w:rPr>
              <w:t>Patient must have received insufficient therapy with this drug for this condition under the Initial 2 (change or</w:t>
            </w:r>
            <w:r w:rsidRPr="005F72A0">
              <w:rPr>
                <w:rFonts w:ascii="Arial Narrow" w:hAnsi="Arial Narrow" w:cs="Times New Roman"/>
                <w:i/>
                <w:iCs/>
                <w:sz w:val="20"/>
                <w:szCs w:val="20"/>
              </w:rPr>
              <w:t xml:space="preserve"> </w:t>
            </w:r>
            <w:r w:rsidRPr="005F72A0">
              <w:rPr>
                <w:rFonts w:ascii="Arial Narrow" w:hAnsi="Arial Narrow" w:cs="Times New Roman"/>
                <w:sz w:val="20"/>
                <w:szCs w:val="20"/>
              </w:rPr>
              <w:t xml:space="preserve">recommencement of treatment after a break in biological medicine of less than 5 years) restriction to complete 16 weeks treatment; or </w:t>
            </w:r>
          </w:p>
        </w:tc>
      </w:tr>
      <w:tr w:rsidR="00686FE7" w:rsidRPr="00446E53" w14:paraId="6FED1B66" w14:textId="77777777" w:rsidTr="00686FE7">
        <w:tblPrEx>
          <w:tblCellMar>
            <w:top w:w="15" w:type="dxa"/>
            <w:bottom w:w="15" w:type="dxa"/>
          </w:tblCellMar>
          <w:tblLook w:val="04A0" w:firstRow="1" w:lastRow="0" w:firstColumn="1" w:lastColumn="0" w:noHBand="0" w:noVBand="1"/>
        </w:tblPrEx>
        <w:trPr>
          <w:gridAfter w:val="1"/>
          <w:wAfter w:w="7" w:type="dxa"/>
          <w:cantSplit/>
          <w:trHeight w:val="20"/>
        </w:trPr>
        <w:tc>
          <w:tcPr>
            <w:tcW w:w="9015" w:type="dxa"/>
            <w:gridSpan w:val="6"/>
            <w:vAlign w:val="center"/>
            <w:hideMark/>
          </w:tcPr>
          <w:p w14:paraId="71CA10A2" w14:textId="77777777" w:rsidR="00686FE7" w:rsidRPr="008F703F" w:rsidRDefault="00686FE7">
            <w:pPr>
              <w:rPr>
                <w:rFonts w:ascii="Arial Narrow" w:hAnsi="Arial Narrow"/>
                <w:sz w:val="20"/>
                <w:szCs w:val="20"/>
              </w:rPr>
            </w:pPr>
            <w:r w:rsidRPr="005F72A0">
              <w:rPr>
                <w:rFonts w:ascii="Arial Narrow" w:hAnsi="Arial Narrow" w:cs="Times New Roman"/>
                <w:sz w:val="20"/>
                <w:szCs w:val="20"/>
              </w:rPr>
              <w:t>Patient must have received insufficient therapy with this drug for this condition under the Initial 3 (recommencement of treatment after a break in biological medicine of more than 5 years) restriction to complete 16 weeks treatment</w:t>
            </w:r>
            <w:r>
              <w:rPr>
                <w:rFonts w:ascii="Arial Narrow" w:hAnsi="Arial Narrow" w:cs="Times New Roman"/>
                <w:sz w:val="20"/>
                <w:szCs w:val="20"/>
              </w:rPr>
              <w:t>.</w:t>
            </w:r>
          </w:p>
        </w:tc>
      </w:tr>
      <w:tr w:rsidR="00686FE7" w:rsidRPr="00446E53" w14:paraId="15EF1479" w14:textId="77777777" w:rsidTr="00686FE7">
        <w:tblPrEx>
          <w:tblCellMar>
            <w:top w:w="15" w:type="dxa"/>
            <w:bottom w:w="15" w:type="dxa"/>
          </w:tblCellMar>
          <w:tblLook w:val="04A0" w:firstRow="1" w:lastRow="0" w:firstColumn="1" w:lastColumn="0" w:noHBand="0" w:noVBand="1"/>
        </w:tblPrEx>
        <w:trPr>
          <w:gridAfter w:val="1"/>
          <w:wAfter w:w="7" w:type="dxa"/>
          <w:cantSplit/>
          <w:trHeight w:val="20"/>
        </w:trPr>
        <w:tc>
          <w:tcPr>
            <w:tcW w:w="9015" w:type="dxa"/>
            <w:gridSpan w:val="6"/>
          </w:tcPr>
          <w:p w14:paraId="3669DA79" w14:textId="77777777" w:rsidR="00686FE7" w:rsidRPr="008F703F" w:rsidRDefault="00686FE7">
            <w:pPr>
              <w:rPr>
                <w:rFonts w:ascii="Arial Narrow" w:hAnsi="Arial Narrow"/>
                <w:sz w:val="20"/>
                <w:szCs w:val="20"/>
              </w:rPr>
            </w:pPr>
            <w:r w:rsidRPr="005F72A0">
              <w:rPr>
                <w:rFonts w:ascii="Arial Narrow" w:hAnsi="Arial Narrow" w:cs="Open Sans"/>
                <w:b/>
                <w:bCs/>
                <w:sz w:val="20"/>
                <w:szCs w:val="20"/>
                <w:bdr w:val="none" w:sz="0" w:space="0" w:color="auto" w:frame="1"/>
              </w:rPr>
              <w:t>AND</w:t>
            </w:r>
          </w:p>
        </w:tc>
      </w:tr>
      <w:tr w:rsidR="00686FE7" w:rsidRPr="00446E53" w14:paraId="14029C0D" w14:textId="77777777" w:rsidTr="00686FE7">
        <w:tblPrEx>
          <w:tblCellMar>
            <w:top w:w="15" w:type="dxa"/>
            <w:bottom w:w="15" w:type="dxa"/>
          </w:tblCellMar>
          <w:tblLook w:val="04A0" w:firstRow="1" w:lastRow="0" w:firstColumn="1" w:lastColumn="0" w:noHBand="0" w:noVBand="1"/>
        </w:tblPrEx>
        <w:trPr>
          <w:gridAfter w:val="1"/>
          <w:wAfter w:w="7" w:type="dxa"/>
          <w:cantSplit/>
          <w:trHeight w:val="20"/>
        </w:trPr>
        <w:tc>
          <w:tcPr>
            <w:tcW w:w="9015" w:type="dxa"/>
            <w:gridSpan w:val="6"/>
            <w:hideMark/>
          </w:tcPr>
          <w:p w14:paraId="31AB4F01" w14:textId="77777777" w:rsidR="00686FE7" w:rsidRPr="008F703F" w:rsidRDefault="00686FE7">
            <w:pPr>
              <w:rPr>
                <w:rFonts w:ascii="Arial Narrow" w:hAnsi="Arial Narrow"/>
                <w:sz w:val="20"/>
                <w:szCs w:val="20"/>
              </w:rPr>
            </w:pPr>
            <w:r w:rsidRPr="005F72A0">
              <w:rPr>
                <w:rFonts w:ascii="Arial Narrow" w:hAnsi="Arial Narrow" w:cs="Open Sans"/>
                <w:b/>
                <w:bCs/>
                <w:sz w:val="20"/>
                <w:szCs w:val="20"/>
                <w:bdr w:val="none" w:sz="0" w:space="0" w:color="auto" w:frame="1"/>
              </w:rPr>
              <w:t>Clinical criteria:</w:t>
            </w:r>
          </w:p>
        </w:tc>
      </w:tr>
      <w:tr w:rsidR="00686FE7" w:rsidRPr="00446E53" w14:paraId="7EFA8CF5" w14:textId="77777777" w:rsidTr="00686FE7">
        <w:tblPrEx>
          <w:tblCellMar>
            <w:top w:w="15" w:type="dxa"/>
            <w:bottom w:w="15" w:type="dxa"/>
          </w:tblCellMar>
          <w:tblLook w:val="04A0" w:firstRow="1" w:lastRow="0" w:firstColumn="1" w:lastColumn="0" w:noHBand="0" w:noVBand="1"/>
        </w:tblPrEx>
        <w:trPr>
          <w:gridAfter w:val="1"/>
          <w:wAfter w:w="7" w:type="dxa"/>
          <w:cantSplit/>
          <w:trHeight w:val="20"/>
        </w:trPr>
        <w:tc>
          <w:tcPr>
            <w:tcW w:w="9015" w:type="dxa"/>
            <w:gridSpan w:val="6"/>
            <w:hideMark/>
          </w:tcPr>
          <w:p w14:paraId="270ED47D" w14:textId="77777777" w:rsidR="00686FE7" w:rsidRPr="008F703F" w:rsidRDefault="00686FE7">
            <w:pPr>
              <w:autoSpaceDE w:val="0"/>
              <w:autoSpaceDN w:val="0"/>
              <w:adjustRightInd w:val="0"/>
              <w:rPr>
                <w:rFonts w:ascii="Arial Narrow" w:hAnsi="Arial Narrow" w:cs="Arial Narrow"/>
                <w:sz w:val="20"/>
                <w:szCs w:val="20"/>
              </w:rPr>
            </w:pPr>
            <w:r w:rsidRPr="005F72A0">
              <w:rPr>
                <w:rFonts w:ascii="Arial Narrow" w:hAnsi="Arial Narrow" w:cs="Open Sans"/>
                <w:sz w:val="20"/>
                <w:szCs w:val="20"/>
              </w:rPr>
              <w:t>The treatment must provide no more than the balance of up to 16 weeks treatment.</w:t>
            </w:r>
          </w:p>
        </w:tc>
      </w:tr>
      <w:tr w:rsidR="00686FE7" w:rsidRPr="00446E53" w14:paraId="4BAE986A" w14:textId="77777777" w:rsidTr="00686FE7">
        <w:tblPrEx>
          <w:tblCellMar>
            <w:top w:w="15" w:type="dxa"/>
            <w:bottom w:w="15" w:type="dxa"/>
          </w:tblCellMar>
          <w:tblLook w:val="04A0" w:firstRow="1" w:lastRow="0" w:firstColumn="1" w:lastColumn="0" w:noHBand="0" w:noVBand="1"/>
        </w:tblPrEx>
        <w:trPr>
          <w:gridAfter w:val="1"/>
          <w:wAfter w:w="7" w:type="dxa"/>
          <w:cantSplit/>
          <w:trHeight w:val="20"/>
        </w:trPr>
        <w:tc>
          <w:tcPr>
            <w:tcW w:w="9015" w:type="dxa"/>
            <w:gridSpan w:val="6"/>
            <w:vAlign w:val="center"/>
          </w:tcPr>
          <w:p w14:paraId="7D5F4A34" w14:textId="77777777" w:rsidR="00686FE7" w:rsidRPr="008F703F" w:rsidRDefault="00686FE7">
            <w:pPr>
              <w:autoSpaceDE w:val="0"/>
              <w:autoSpaceDN w:val="0"/>
              <w:adjustRightInd w:val="0"/>
              <w:rPr>
                <w:rFonts w:ascii="Arial Narrow" w:hAnsi="Arial Narrow" w:cs="Arial Narrow"/>
                <w:b/>
                <w:bCs/>
                <w:sz w:val="20"/>
                <w:szCs w:val="20"/>
              </w:rPr>
            </w:pPr>
            <w:r w:rsidRPr="005F72A0">
              <w:rPr>
                <w:rFonts w:ascii="Arial Narrow" w:hAnsi="Arial Narrow" w:cs="Times New Roman"/>
                <w:b/>
                <w:bCs/>
                <w:sz w:val="20"/>
                <w:szCs w:val="20"/>
              </w:rPr>
              <w:t>AND</w:t>
            </w:r>
          </w:p>
        </w:tc>
      </w:tr>
      <w:tr w:rsidR="00686FE7" w:rsidRPr="00446E53" w14:paraId="72994EFE" w14:textId="77777777" w:rsidTr="00686FE7">
        <w:tblPrEx>
          <w:tblCellMar>
            <w:top w:w="15" w:type="dxa"/>
            <w:bottom w:w="15" w:type="dxa"/>
          </w:tblCellMar>
          <w:tblLook w:val="04A0" w:firstRow="1" w:lastRow="0" w:firstColumn="1" w:lastColumn="0" w:noHBand="0" w:noVBand="1"/>
        </w:tblPrEx>
        <w:trPr>
          <w:gridAfter w:val="1"/>
          <w:wAfter w:w="7" w:type="dxa"/>
          <w:cantSplit/>
          <w:trHeight w:val="20"/>
        </w:trPr>
        <w:tc>
          <w:tcPr>
            <w:tcW w:w="9015" w:type="dxa"/>
            <w:gridSpan w:val="6"/>
            <w:vAlign w:val="center"/>
            <w:hideMark/>
          </w:tcPr>
          <w:p w14:paraId="70C5E2C3" w14:textId="77777777" w:rsidR="00686FE7" w:rsidRPr="008F703F" w:rsidRDefault="00686FE7">
            <w:pPr>
              <w:rPr>
                <w:rFonts w:ascii="Arial Narrow" w:hAnsi="Arial Narrow"/>
                <w:sz w:val="20"/>
                <w:szCs w:val="20"/>
              </w:rPr>
            </w:pPr>
            <w:r w:rsidRPr="005F72A0">
              <w:rPr>
                <w:rFonts w:ascii="Arial Narrow" w:hAnsi="Arial Narrow" w:cs="Times New Roman"/>
                <w:b/>
                <w:bCs/>
                <w:sz w:val="20"/>
                <w:szCs w:val="20"/>
              </w:rPr>
              <w:t>Treatment criteria:</w:t>
            </w:r>
          </w:p>
        </w:tc>
      </w:tr>
      <w:tr w:rsidR="00686FE7" w:rsidRPr="00446E53" w14:paraId="0E4DD1B5" w14:textId="77777777" w:rsidTr="00686FE7">
        <w:tblPrEx>
          <w:tblCellMar>
            <w:top w:w="15" w:type="dxa"/>
            <w:bottom w:w="15" w:type="dxa"/>
          </w:tblCellMar>
          <w:tblLook w:val="04A0" w:firstRow="1" w:lastRow="0" w:firstColumn="1" w:lastColumn="0" w:noHBand="0" w:noVBand="1"/>
        </w:tblPrEx>
        <w:trPr>
          <w:gridAfter w:val="1"/>
          <w:wAfter w:w="7" w:type="dxa"/>
          <w:cantSplit/>
          <w:trHeight w:val="20"/>
        </w:trPr>
        <w:tc>
          <w:tcPr>
            <w:tcW w:w="9015" w:type="dxa"/>
            <w:gridSpan w:val="6"/>
            <w:vAlign w:val="center"/>
          </w:tcPr>
          <w:p w14:paraId="6BE3695C" w14:textId="77777777" w:rsidR="00686FE7" w:rsidRPr="008F703F" w:rsidRDefault="00686FE7">
            <w:pPr>
              <w:rPr>
                <w:rFonts w:ascii="Arial Narrow" w:hAnsi="Arial Narrow"/>
                <w:sz w:val="20"/>
                <w:szCs w:val="20"/>
              </w:rPr>
            </w:pPr>
            <w:r w:rsidRPr="005F72A0">
              <w:rPr>
                <w:rFonts w:ascii="Arial Narrow" w:hAnsi="Arial Narrow" w:cs="Times New Roman"/>
                <w:sz w:val="20"/>
                <w:szCs w:val="20"/>
              </w:rPr>
              <w:t>Must be treated by a dermatologist</w:t>
            </w:r>
          </w:p>
        </w:tc>
      </w:tr>
    </w:tbl>
    <w:p w14:paraId="2335605A" w14:textId="65A520B2" w:rsidR="002D6186" w:rsidRDefault="002D6186" w:rsidP="001B09FA">
      <w:pPr>
        <w:spacing w:before="120" w:after="120"/>
      </w:pPr>
      <w:r>
        <w:rPr>
          <w:u w:val="single"/>
        </w:rPr>
        <w:t>Continuing and Grandfather</w:t>
      </w:r>
    </w:p>
    <w:tbl>
      <w:tblPr>
        <w:tblW w:w="49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6"/>
        <w:gridCol w:w="811"/>
        <w:gridCol w:w="812"/>
        <w:gridCol w:w="811"/>
        <w:gridCol w:w="812"/>
        <w:gridCol w:w="1753"/>
      </w:tblGrid>
      <w:tr w:rsidR="002D6186" w:rsidRPr="00446E53" w14:paraId="7607F802" w14:textId="77777777" w:rsidTr="004C45EE">
        <w:trPr>
          <w:cantSplit/>
          <w:trHeight w:val="20"/>
        </w:trPr>
        <w:tc>
          <w:tcPr>
            <w:tcW w:w="3946" w:type="dxa"/>
            <w:vAlign w:val="center"/>
          </w:tcPr>
          <w:p w14:paraId="51BE132B" w14:textId="77777777" w:rsidR="002D6186" w:rsidRPr="00446E53" w:rsidRDefault="002D6186">
            <w:pPr>
              <w:keepLines/>
              <w:rPr>
                <w:rFonts w:ascii="Arial Narrow" w:hAnsi="Arial Narrow"/>
                <w:b/>
                <w:bCs/>
                <w:sz w:val="20"/>
                <w:szCs w:val="20"/>
              </w:rPr>
            </w:pPr>
            <w:r w:rsidRPr="00446E53">
              <w:rPr>
                <w:rFonts w:ascii="Arial Narrow" w:hAnsi="Arial Narrow"/>
                <w:b/>
                <w:bCs/>
                <w:sz w:val="20"/>
                <w:szCs w:val="20"/>
              </w:rPr>
              <w:t>MEDICINAL PRODUCT</w:t>
            </w:r>
          </w:p>
          <w:p w14:paraId="03F2347D" w14:textId="77777777" w:rsidR="002D6186" w:rsidRPr="00446E53" w:rsidRDefault="002D6186">
            <w:pPr>
              <w:keepLines/>
              <w:rPr>
                <w:rFonts w:ascii="Arial Narrow" w:hAnsi="Arial Narrow"/>
                <w:b/>
                <w:sz w:val="20"/>
                <w:szCs w:val="20"/>
              </w:rPr>
            </w:pPr>
            <w:r w:rsidRPr="00446E53">
              <w:rPr>
                <w:rFonts w:ascii="Arial Narrow" w:hAnsi="Arial Narrow"/>
                <w:b/>
                <w:bCs/>
                <w:sz w:val="20"/>
                <w:szCs w:val="20"/>
              </w:rPr>
              <w:t>medicinal product pack</w:t>
            </w:r>
          </w:p>
        </w:tc>
        <w:tc>
          <w:tcPr>
            <w:tcW w:w="811" w:type="dxa"/>
            <w:vAlign w:val="center"/>
          </w:tcPr>
          <w:p w14:paraId="7DD4470B" w14:textId="77777777" w:rsidR="002D6186" w:rsidRPr="00446E53" w:rsidRDefault="002D6186">
            <w:pPr>
              <w:keepLines/>
              <w:jc w:val="center"/>
              <w:rPr>
                <w:rFonts w:ascii="Arial Narrow" w:hAnsi="Arial Narrow"/>
                <w:b/>
                <w:sz w:val="20"/>
                <w:szCs w:val="20"/>
              </w:rPr>
            </w:pPr>
            <w:r w:rsidRPr="00446E53">
              <w:rPr>
                <w:rFonts w:ascii="Arial Narrow" w:hAnsi="Arial Narrow"/>
                <w:b/>
                <w:sz w:val="20"/>
                <w:szCs w:val="20"/>
              </w:rPr>
              <w:t>PBS item code</w:t>
            </w:r>
          </w:p>
        </w:tc>
        <w:tc>
          <w:tcPr>
            <w:tcW w:w="812" w:type="dxa"/>
            <w:vAlign w:val="center"/>
          </w:tcPr>
          <w:p w14:paraId="53B67492" w14:textId="77777777" w:rsidR="002D6186" w:rsidRPr="00446E53" w:rsidRDefault="002D6186">
            <w:pPr>
              <w:keepLines/>
              <w:jc w:val="center"/>
              <w:rPr>
                <w:rFonts w:ascii="Arial Narrow" w:hAnsi="Arial Narrow"/>
                <w:b/>
                <w:sz w:val="20"/>
                <w:szCs w:val="20"/>
              </w:rPr>
            </w:pPr>
            <w:r w:rsidRPr="00446E53">
              <w:rPr>
                <w:rFonts w:ascii="Arial Narrow" w:hAnsi="Arial Narrow"/>
                <w:b/>
                <w:sz w:val="20"/>
                <w:szCs w:val="20"/>
              </w:rPr>
              <w:t>Max. qty packs</w:t>
            </w:r>
          </w:p>
        </w:tc>
        <w:tc>
          <w:tcPr>
            <w:tcW w:w="811" w:type="dxa"/>
            <w:vAlign w:val="center"/>
          </w:tcPr>
          <w:p w14:paraId="19A2DD62" w14:textId="3E19E984" w:rsidR="002D6186" w:rsidRPr="00446E53" w:rsidRDefault="002D6186">
            <w:pPr>
              <w:keepLines/>
              <w:jc w:val="center"/>
              <w:rPr>
                <w:rFonts w:ascii="Arial Narrow" w:hAnsi="Arial Narrow"/>
                <w:b/>
                <w:sz w:val="20"/>
                <w:szCs w:val="20"/>
              </w:rPr>
            </w:pPr>
            <w:r w:rsidRPr="00446E53">
              <w:rPr>
                <w:rFonts w:ascii="Arial Narrow" w:hAnsi="Arial Narrow"/>
                <w:b/>
                <w:sz w:val="20"/>
                <w:szCs w:val="20"/>
              </w:rPr>
              <w:t>Max. qty unit</w:t>
            </w:r>
          </w:p>
        </w:tc>
        <w:tc>
          <w:tcPr>
            <w:tcW w:w="812" w:type="dxa"/>
            <w:vAlign w:val="center"/>
          </w:tcPr>
          <w:p w14:paraId="1813B200" w14:textId="77777777" w:rsidR="002D6186" w:rsidRPr="00446E53" w:rsidRDefault="002D6186">
            <w:pPr>
              <w:keepLines/>
              <w:jc w:val="center"/>
              <w:rPr>
                <w:rFonts w:ascii="Arial Narrow" w:hAnsi="Arial Narrow"/>
                <w:b/>
                <w:sz w:val="20"/>
                <w:szCs w:val="20"/>
              </w:rPr>
            </w:pPr>
            <w:r w:rsidRPr="00446E53">
              <w:rPr>
                <w:rFonts w:ascii="Arial Narrow" w:hAnsi="Arial Narrow"/>
                <w:b/>
                <w:sz w:val="20"/>
                <w:szCs w:val="20"/>
              </w:rPr>
              <w:t>№.of</w:t>
            </w:r>
          </w:p>
          <w:p w14:paraId="46A062B8" w14:textId="77777777" w:rsidR="002D6186" w:rsidRPr="00446E53" w:rsidRDefault="002D6186">
            <w:pPr>
              <w:keepLines/>
              <w:jc w:val="center"/>
              <w:rPr>
                <w:rFonts w:ascii="Arial Narrow" w:hAnsi="Arial Narrow"/>
                <w:b/>
                <w:sz w:val="20"/>
                <w:szCs w:val="20"/>
              </w:rPr>
            </w:pPr>
            <w:proofErr w:type="spellStart"/>
            <w:r w:rsidRPr="00446E53">
              <w:rPr>
                <w:rFonts w:ascii="Arial Narrow" w:hAnsi="Arial Narrow"/>
                <w:b/>
                <w:sz w:val="20"/>
                <w:szCs w:val="20"/>
              </w:rPr>
              <w:t>Rpts</w:t>
            </w:r>
            <w:proofErr w:type="spellEnd"/>
          </w:p>
        </w:tc>
        <w:tc>
          <w:tcPr>
            <w:tcW w:w="1753" w:type="dxa"/>
            <w:vAlign w:val="center"/>
          </w:tcPr>
          <w:p w14:paraId="11F819F1" w14:textId="77777777" w:rsidR="002D6186" w:rsidRPr="00446E53" w:rsidRDefault="002D6186">
            <w:pPr>
              <w:keepLines/>
              <w:rPr>
                <w:rFonts w:ascii="Arial Narrow" w:hAnsi="Arial Narrow"/>
                <w:b/>
                <w:sz w:val="20"/>
                <w:szCs w:val="20"/>
                <w:lang w:val="fr-FR"/>
              </w:rPr>
            </w:pPr>
            <w:r w:rsidRPr="00446E53">
              <w:rPr>
                <w:rFonts w:ascii="Arial Narrow" w:hAnsi="Arial Narrow"/>
                <w:b/>
                <w:sz w:val="20"/>
                <w:szCs w:val="20"/>
              </w:rPr>
              <w:t>Available brands</w:t>
            </w:r>
          </w:p>
        </w:tc>
      </w:tr>
      <w:tr w:rsidR="002D6186" w:rsidRPr="00446E53" w14:paraId="7B179947" w14:textId="77777777" w:rsidTr="004C45EE">
        <w:trPr>
          <w:cantSplit/>
          <w:trHeight w:val="20"/>
        </w:trPr>
        <w:tc>
          <w:tcPr>
            <w:tcW w:w="8945" w:type="dxa"/>
            <w:gridSpan w:val="6"/>
            <w:vAlign w:val="center"/>
          </w:tcPr>
          <w:p w14:paraId="2AC24D2E" w14:textId="77777777" w:rsidR="002D6186" w:rsidRPr="00EA24BD" w:rsidRDefault="002D6186">
            <w:pPr>
              <w:keepLines/>
              <w:rPr>
                <w:rFonts w:ascii="Arial Narrow" w:hAnsi="Arial Narrow"/>
                <w:sz w:val="20"/>
                <w:szCs w:val="20"/>
              </w:rPr>
            </w:pPr>
            <w:r>
              <w:rPr>
                <w:rFonts w:ascii="Arial Narrow" w:hAnsi="Arial Narrow"/>
                <w:sz w:val="20"/>
                <w:szCs w:val="20"/>
              </w:rPr>
              <w:t>BIMEKIZUMAB</w:t>
            </w:r>
          </w:p>
        </w:tc>
      </w:tr>
      <w:tr w:rsidR="002D6186" w:rsidRPr="00446E53" w14:paraId="46DB8582" w14:textId="77777777" w:rsidTr="004C45EE">
        <w:trPr>
          <w:cantSplit/>
          <w:trHeight w:val="20"/>
        </w:trPr>
        <w:tc>
          <w:tcPr>
            <w:tcW w:w="3946" w:type="dxa"/>
            <w:vAlign w:val="center"/>
          </w:tcPr>
          <w:p w14:paraId="53602224" w14:textId="77777777" w:rsidR="002D6186" w:rsidRPr="00EA24BD" w:rsidRDefault="002D6186">
            <w:pPr>
              <w:keepLines/>
              <w:rPr>
                <w:rFonts w:ascii="Arial Narrow" w:hAnsi="Arial Narrow"/>
                <w:sz w:val="20"/>
                <w:szCs w:val="20"/>
              </w:rPr>
            </w:pPr>
            <w:r w:rsidRPr="6EFCEB1B">
              <w:rPr>
                <w:rFonts w:ascii="Arial Narrow" w:hAnsi="Arial Narrow"/>
                <w:sz w:val="20"/>
                <w:szCs w:val="20"/>
              </w:rPr>
              <w:t>bimekizumab 160 mg/mL injection, 2 x 1 mL pen devices</w:t>
            </w:r>
          </w:p>
        </w:tc>
        <w:tc>
          <w:tcPr>
            <w:tcW w:w="811" w:type="dxa"/>
            <w:vAlign w:val="center"/>
          </w:tcPr>
          <w:p w14:paraId="2A0AA7E8" w14:textId="77777777" w:rsidR="002D6186" w:rsidRPr="00EA24BD" w:rsidRDefault="002D6186">
            <w:pPr>
              <w:keepLines/>
              <w:jc w:val="center"/>
              <w:rPr>
                <w:rFonts w:ascii="Arial Narrow" w:hAnsi="Arial Narrow"/>
                <w:sz w:val="20"/>
                <w:szCs w:val="20"/>
              </w:rPr>
            </w:pPr>
            <w:r w:rsidRPr="00EA24BD">
              <w:rPr>
                <w:rFonts w:ascii="Arial Narrow" w:hAnsi="Arial Narrow"/>
                <w:sz w:val="20"/>
                <w:szCs w:val="20"/>
              </w:rPr>
              <w:t>NEW</w:t>
            </w:r>
          </w:p>
        </w:tc>
        <w:tc>
          <w:tcPr>
            <w:tcW w:w="812" w:type="dxa"/>
            <w:vAlign w:val="center"/>
          </w:tcPr>
          <w:p w14:paraId="75D8272D" w14:textId="77777777" w:rsidR="002D6186" w:rsidRPr="00EA24BD" w:rsidRDefault="002D6186">
            <w:pPr>
              <w:keepLines/>
              <w:jc w:val="center"/>
              <w:rPr>
                <w:rFonts w:ascii="Arial Narrow" w:hAnsi="Arial Narrow"/>
                <w:sz w:val="20"/>
                <w:szCs w:val="20"/>
              </w:rPr>
            </w:pPr>
            <w:r>
              <w:rPr>
                <w:rFonts w:ascii="Arial Narrow" w:hAnsi="Arial Narrow"/>
                <w:sz w:val="20"/>
                <w:szCs w:val="20"/>
              </w:rPr>
              <w:t>1</w:t>
            </w:r>
          </w:p>
        </w:tc>
        <w:tc>
          <w:tcPr>
            <w:tcW w:w="811" w:type="dxa"/>
            <w:vAlign w:val="center"/>
          </w:tcPr>
          <w:p w14:paraId="0063D686" w14:textId="77777777" w:rsidR="002D6186" w:rsidRPr="00EA24BD" w:rsidRDefault="002D6186">
            <w:pPr>
              <w:keepLines/>
              <w:jc w:val="center"/>
              <w:rPr>
                <w:rFonts w:ascii="Arial Narrow" w:hAnsi="Arial Narrow"/>
                <w:sz w:val="20"/>
                <w:szCs w:val="20"/>
              </w:rPr>
            </w:pPr>
            <w:r>
              <w:rPr>
                <w:rFonts w:ascii="Arial Narrow" w:hAnsi="Arial Narrow"/>
                <w:sz w:val="20"/>
                <w:szCs w:val="20"/>
              </w:rPr>
              <w:t>2</w:t>
            </w:r>
          </w:p>
        </w:tc>
        <w:tc>
          <w:tcPr>
            <w:tcW w:w="812" w:type="dxa"/>
            <w:vAlign w:val="center"/>
          </w:tcPr>
          <w:p w14:paraId="112978D2" w14:textId="77777777" w:rsidR="002D6186" w:rsidRPr="00EA24BD" w:rsidRDefault="002D6186">
            <w:pPr>
              <w:keepLines/>
              <w:jc w:val="center"/>
              <w:rPr>
                <w:rFonts w:ascii="Arial Narrow" w:hAnsi="Arial Narrow"/>
                <w:sz w:val="20"/>
                <w:szCs w:val="20"/>
              </w:rPr>
            </w:pPr>
            <w:r>
              <w:rPr>
                <w:rFonts w:ascii="Arial Narrow" w:hAnsi="Arial Narrow"/>
                <w:sz w:val="20"/>
                <w:szCs w:val="20"/>
              </w:rPr>
              <w:t>5</w:t>
            </w:r>
          </w:p>
        </w:tc>
        <w:tc>
          <w:tcPr>
            <w:tcW w:w="1753" w:type="dxa"/>
            <w:vMerge w:val="restart"/>
            <w:vAlign w:val="center"/>
          </w:tcPr>
          <w:p w14:paraId="7F0CD539" w14:textId="776FA3A9" w:rsidR="002D6186" w:rsidRPr="00EA24BD" w:rsidRDefault="002D6186">
            <w:pPr>
              <w:keepLines/>
              <w:rPr>
                <w:rFonts w:ascii="Arial Narrow" w:hAnsi="Arial Narrow"/>
                <w:sz w:val="20"/>
                <w:szCs w:val="20"/>
              </w:rPr>
            </w:pPr>
            <w:proofErr w:type="spellStart"/>
            <w:r w:rsidRPr="6EFCEB1B">
              <w:rPr>
                <w:rFonts w:ascii="Arial Narrow" w:hAnsi="Arial Narrow"/>
                <w:sz w:val="20"/>
                <w:szCs w:val="20"/>
              </w:rPr>
              <w:t>Bimzelx</w:t>
            </w:r>
            <w:proofErr w:type="spellEnd"/>
          </w:p>
          <w:p w14:paraId="2A5CD81C" w14:textId="77777777" w:rsidR="002D6186" w:rsidRPr="00EA24BD" w:rsidRDefault="002D6186">
            <w:pPr>
              <w:keepLines/>
              <w:rPr>
                <w:rFonts w:ascii="Arial Narrow" w:hAnsi="Arial Narrow"/>
                <w:sz w:val="20"/>
                <w:szCs w:val="20"/>
              </w:rPr>
            </w:pPr>
          </w:p>
        </w:tc>
      </w:tr>
      <w:tr w:rsidR="002D6186" w:rsidRPr="00446E53" w14:paraId="4809487C" w14:textId="77777777" w:rsidTr="004C45EE">
        <w:trPr>
          <w:cantSplit/>
          <w:trHeight w:val="20"/>
        </w:trPr>
        <w:tc>
          <w:tcPr>
            <w:tcW w:w="3946" w:type="dxa"/>
            <w:vAlign w:val="center"/>
          </w:tcPr>
          <w:p w14:paraId="6E9DB62C" w14:textId="77777777" w:rsidR="002D6186" w:rsidRPr="00EA24BD" w:rsidRDefault="002D6186">
            <w:pPr>
              <w:keepLines/>
              <w:rPr>
                <w:rFonts w:ascii="Arial Narrow" w:hAnsi="Arial Narrow"/>
                <w:sz w:val="20"/>
                <w:szCs w:val="20"/>
              </w:rPr>
            </w:pPr>
            <w:r w:rsidRPr="6EFCEB1B">
              <w:rPr>
                <w:rFonts w:ascii="Arial Narrow" w:hAnsi="Arial Narrow"/>
                <w:sz w:val="20"/>
                <w:szCs w:val="20"/>
              </w:rPr>
              <w:t>bimekizumab 160 mg/mL injection, 2 x 1 mL syringe</w:t>
            </w:r>
          </w:p>
        </w:tc>
        <w:tc>
          <w:tcPr>
            <w:tcW w:w="811" w:type="dxa"/>
            <w:vAlign w:val="center"/>
          </w:tcPr>
          <w:p w14:paraId="3362B00B" w14:textId="77777777" w:rsidR="002D6186" w:rsidRPr="00EA24BD" w:rsidRDefault="002D6186">
            <w:pPr>
              <w:keepLines/>
              <w:jc w:val="center"/>
              <w:rPr>
                <w:rFonts w:ascii="Arial Narrow" w:hAnsi="Arial Narrow"/>
                <w:sz w:val="20"/>
                <w:szCs w:val="20"/>
              </w:rPr>
            </w:pPr>
            <w:r w:rsidRPr="00EA24BD">
              <w:rPr>
                <w:rFonts w:ascii="Arial Narrow" w:hAnsi="Arial Narrow"/>
                <w:sz w:val="20"/>
                <w:szCs w:val="20"/>
              </w:rPr>
              <w:t>NEW</w:t>
            </w:r>
          </w:p>
        </w:tc>
        <w:tc>
          <w:tcPr>
            <w:tcW w:w="812" w:type="dxa"/>
            <w:vAlign w:val="center"/>
          </w:tcPr>
          <w:p w14:paraId="6C086BC9" w14:textId="77777777" w:rsidR="002D6186" w:rsidRPr="00EA24BD" w:rsidRDefault="002D6186">
            <w:pPr>
              <w:keepLines/>
              <w:jc w:val="center"/>
              <w:rPr>
                <w:rFonts w:ascii="Arial Narrow" w:hAnsi="Arial Narrow"/>
                <w:sz w:val="20"/>
                <w:szCs w:val="20"/>
              </w:rPr>
            </w:pPr>
            <w:r>
              <w:rPr>
                <w:rFonts w:ascii="Arial Narrow" w:hAnsi="Arial Narrow"/>
                <w:sz w:val="20"/>
                <w:szCs w:val="20"/>
              </w:rPr>
              <w:t>1</w:t>
            </w:r>
          </w:p>
        </w:tc>
        <w:tc>
          <w:tcPr>
            <w:tcW w:w="811" w:type="dxa"/>
            <w:vAlign w:val="center"/>
          </w:tcPr>
          <w:p w14:paraId="1A1BFD66" w14:textId="77777777" w:rsidR="002D6186" w:rsidRPr="00EA24BD" w:rsidRDefault="002D6186">
            <w:pPr>
              <w:keepLines/>
              <w:jc w:val="center"/>
              <w:rPr>
                <w:rFonts w:ascii="Arial Narrow" w:hAnsi="Arial Narrow"/>
                <w:sz w:val="20"/>
                <w:szCs w:val="20"/>
              </w:rPr>
            </w:pPr>
            <w:r>
              <w:rPr>
                <w:rFonts w:ascii="Arial Narrow" w:hAnsi="Arial Narrow"/>
                <w:sz w:val="20"/>
                <w:szCs w:val="20"/>
              </w:rPr>
              <w:t xml:space="preserve">2 </w:t>
            </w:r>
          </w:p>
        </w:tc>
        <w:tc>
          <w:tcPr>
            <w:tcW w:w="812" w:type="dxa"/>
            <w:vAlign w:val="center"/>
          </w:tcPr>
          <w:p w14:paraId="3ED503CD" w14:textId="77777777" w:rsidR="002D6186" w:rsidRPr="00EA24BD" w:rsidRDefault="002D6186">
            <w:pPr>
              <w:keepLines/>
              <w:jc w:val="center"/>
              <w:rPr>
                <w:rFonts w:ascii="Arial Narrow" w:hAnsi="Arial Narrow"/>
                <w:sz w:val="20"/>
                <w:szCs w:val="20"/>
              </w:rPr>
            </w:pPr>
            <w:r>
              <w:rPr>
                <w:rFonts w:ascii="Arial Narrow" w:hAnsi="Arial Narrow"/>
                <w:sz w:val="20"/>
                <w:szCs w:val="20"/>
              </w:rPr>
              <w:t>5</w:t>
            </w:r>
          </w:p>
        </w:tc>
        <w:tc>
          <w:tcPr>
            <w:tcW w:w="1753" w:type="dxa"/>
            <w:vMerge/>
            <w:vAlign w:val="center"/>
          </w:tcPr>
          <w:p w14:paraId="0CFFAFD5" w14:textId="77777777" w:rsidR="002D6186" w:rsidRPr="00EA24BD" w:rsidRDefault="002D6186">
            <w:pPr>
              <w:keepLines/>
              <w:rPr>
                <w:rFonts w:ascii="Arial Narrow" w:hAnsi="Arial Narrow"/>
                <w:sz w:val="20"/>
                <w:szCs w:val="20"/>
              </w:rPr>
            </w:pPr>
          </w:p>
        </w:tc>
      </w:tr>
      <w:tr w:rsidR="002D6186" w:rsidRPr="00446E53" w14:paraId="2611D826" w14:textId="77777777" w:rsidTr="004C45EE">
        <w:trPr>
          <w:cantSplit/>
          <w:trHeight w:val="20"/>
        </w:trPr>
        <w:tc>
          <w:tcPr>
            <w:tcW w:w="3946" w:type="dxa"/>
            <w:vAlign w:val="center"/>
          </w:tcPr>
          <w:p w14:paraId="272E892D" w14:textId="77777777" w:rsidR="002D6186" w:rsidRPr="00EA24BD" w:rsidRDefault="002D6186">
            <w:pPr>
              <w:keepLines/>
              <w:rPr>
                <w:rFonts w:ascii="Arial Narrow" w:hAnsi="Arial Narrow"/>
                <w:sz w:val="20"/>
                <w:szCs w:val="20"/>
              </w:rPr>
            </w:pPr>
            <w:r w:rsidRPr="6EFCEB1B">
              <w:rPr>
                <w:rFonts w:ascii="Arial Narrow" w:hAnsi="Arial Narrow"/>
                <w:sz w:val="20"/>
                <w:szCs w:val="20"/>
              </w:rPr>
              <w:t>bimekizumab 320 mg/2mL injection, 1 x 2 mL pen devices</w:t>
            </w:r>
          </w:p>
        </w:tc>
        <w:tc>
          <w:tcPr>
            <w:tcW w:w="811" w:type="dxa"/>
            <w:vAlign w:val="center"/>
          </w:tcPr>
          <w:p w14:paraId="3F514BCE" w14:textId="77777777" w:rsidR="002D6186" w:rsidRPr="00EA24BD" w:rsidRDefault="002D6186">
            <w:pPr>
              <w:keepLines/>
              <w:jc w:val="center"/>
              <w:rPr>
                <w:rFonts w:ascii="Arial Narrow" w:hAnsi="Arial Narrow"/>
                <w:sz w:val="20"/>
                <w:szCs w:val="20"/>
              </w:rPr>
            </w:pPr>
            <w:r>
              <w:rPr>
                <w:rFonts w:ascii="Arial Narrow" w:hAnsi="Arial Narrow"/>
                <w:sz w:val="20"/>
                <w:szCs w:val="20"/>
              </w:rPr>
              <w:t>NEW</w:t>
            </w:r>
          </w:p>
        </w:tc>
        <w:tc>
          <w:tcPr>
            <w:tcW w:w="812" w:type="dxa"/>
            <w:vAlign w:val="center"/>
          </w:tcPr>
          <w:p w14:paraId="2CD5EA1D" w14:textId="77777777" w:rsidR="002D6186" w:rsidRPr="00EA24BD" w:rsidRDefault="002D6186">
            <w:pPr>
              <w:keepLines/>
              <w:jc w:val="center"/>
              <w:rPr>
                <w:rFonts w:ascii="Arial Narrow" w:hAnsi="Arial Narrow"/>
                <w:sz w:val="20"/>
                <w:szCs w:val="20"/>
              </w:rPr>
            </w:pPr>
            <w:r>
              <w:rPr>
                <w:rFonts w:ascii="Arial Narrow" w:hAnsi="Arial Narrow"/>
                <w:sz w:val="20"/>
                <w:szCs w:val="20"/>
              </w:rPr>
              <w:t>1</w:t>
            </w:r>
          </w:p>
        </w:tc>
        <w:tc>
          <w:tcPr>
            <w:tcW w:w="811" w:type="dxa"/>
            <w:vAlign w:val="center"/>
          </w:tcPr>
          <w:p w14:paraId="258330EE" w14:textId="77777777" w:rsidR="002D6186" w:rsidRPr="00691EF0" w:rsidRDefault="002D6186">
            <w:pPr>
              <w:keepLines/>
              <w:jc w:val="center"/>
              <w:rPr>
                <w:rFonts w:ascii="Arial Narrow" w:hAnsi="Arial Narrow"/>
                <w:sz w:val="20"/>
                <w:szCs w:val="20"/>
              </w:rPr>
            </w:pPr>
            <w:r>
              <w:rPr>
                <w:rFonts w:ascii="Arial Narrow" w:hAnsi="Arial Narrow"/>
                <w:sz w:val="20"/>
                <w:szCs w:val="20"/>
              </w:rPr>
              <w:t>1</w:t>
            </w:r>
          </w:p>
        </w:tc>
        <w:tc>
          <w:tcPr>
            <w:tcW w:w="812" w:type="dxa"/>
            <w:vAlign w:val="center"/>
          </w:tcPr>
          <w:p w14:paraId="34F8DE7F" w14:textId="77777777" w:rsidR="002D6186" w:rsidRPr="00EA24BD" w:rsidRDefault="002D6186">
            <w:pPr>
              <w:keepLines/>
              <w:jc w:val="center"/>
              <w:rPr>
                <w:rFonts w:ascii="Arial Narrow" w:hAnsi="Arial Narrow"/>
                <w:sz w:val="20"/>
                <w:szCs w:val="20"/>
              </w:rPr>
            </w:pPr>
            <w:r>
              <w:rPr>
                <w:rFonts w:ascii="Arial Narrow" w:hAnsi="Arial Narrow"/>
                <w:sz w:val="20"/>
                <w:szCs w:val="20"/>
              </w:rPr>
              <w:t>5</w:t>
            </w:r>
          </w:p>
        </w:tc>
        <w:tc>
          <w:tcPr>
            <w:tcW w:w="1753" w:type="dxa"/>
            <w:vMerge/>
            <w:vAlign w:val="center"/>
          </w:tcPr>
          <w:p w14:paraId="4A7C8547" w14:textId="77777777" w:rsidR="002D6186" w:rsidRPr="00EA24BD" w:rsidRDefault="002D6186">
            <w:pPr>
              <w:keepLines/>
              <w:rPr>
                <w:rFonts w:ascii="Arial Narrow" w:hAnsi="Arial Narrow"/>
                <w:sz w:val="20"/>
                <w:szCs w:val="20"/>
              </w:rPr>
            </w:pPr>
          </w:p>
        </w:tc>
      </w:tr>
      <w:tr w:rsidR="002D6186" w:rsidRPr="00446E53" w14:paraId="77F3C7CC" w14:textId="77777777" w:rsidTr="004C45EE">
        <w:trPr>
          <w:cantSplit/>
          <w:trHeight w:val="20"/>
        </w:trPr>
        <w:tc>
          <w:tcPr>
            <w:tcW w:w="3946" w:type="dxa"/>
            <w:vAlign w:val="center"/>
          </w:tcPr>
          <w:p w14:paraId="159DFE1A" w14:textId="77777777" w:rsidR="002D6186" w:rsidRPr="00EA24BD" w:rsidRDefault="002D6186">
            <w:pPr>
              <w:keepLines/>
              <w:rPr>
                <w:rFonts w:ascii="Arial Narrow" w:hAnsi="Arial Narrow"/>
                <w:sz w:val="20"/>
                <w:szCs w:val="20"/>
              </w:rPr>
            </w:pPr>
            <w:r w:rsidRPr="6EFCEB1B">
              <w:rPr>
                <w:rFonts w:ascii="Arial Narrow" w:hAnsi="Arial Narrow"/>
                <w:sz w:val="20"/>
                <w:szCs w:val="20"/>
              </w:rPr>
              <w:t>bimekizumab 320 mg/2mL injection, 1 x 2 mL syringe</w:t>
            </w:r>
          </w:p>
        </w:tc>
        <w:tc>
          <w:tcPr>
            <w:tcW w:w="811" w:type="dxa"/>
            <w:vAlign w:val="center"/>
          </w:tcPr>
          <w:p w14:paraId="6929EC2E" w14:textId="77777777" w:rsidR="002D6186" w:rsidRPr="00EA24BD" w:rsidRDefault="002D6186">
            <w:pPr>
              <w:keepLines/>
              <w:jc w:val="center"/>
              <w:rPr>
                <w:rFonts w:ascii="Arial Narrow" w:hAnsi="Arial Narrow"/>
                <w:sz w:val="20"/>
                <w:szCs w:val="20"/>
              </w:rPr>
            </w:pPr>
            <w:r>
              <w:rPr>
                <w:rFonts w:ascii="Arial Narrow" w:hAnsi="Arial Narrow"/>
                <w:sz w:val="20"/>
                <w:szCs w:val="20"/>
              </w:rPr>
              <w:t>NEW</w:t>
            </w:r>
          </w:p>
        </w:tc>
        <w:tc>
          <w:tcPr>
            <w:tcW w:w="812" w:type="dxa"/>
            <w:vAlign w:val="center"/>
          </w:tcPr>
          <w:p w14:paraId="08569E85" w14:textId="77777777" w:rsidR="002D6186" w:rsidRPr="00EA24BD" w:rsidRDefault="002D6186">
            <w:pPr>
              <w:keepLines/>
              <w:jc w:val="center"/>
              <w:rPr>
                <w:rFonts w:ascii="Arial Narrow" w:hAnsi="Arial Narrow"/>
                <w:sz w:val="20"/>
                <w:szCs w:val="20"/>
              </w:rPr>
            </w:pPr>
            <w:r>
              <w:rPr>
                <w:rFonts w:ascii="Arial Narrow" w:hAnsi="Arial Narrow"/>
                <w:sz w:val="20"/>
                <w:szCs w:val="20"/>
              </w:rPr>
              <w:t>1</w:t>
            </w:r>
          </w:p>
        </w:tc>
        <w:tc>
          <w:tcPr>
            <w:tcW w:w="811" w:type="dxa"/>
            <w:vAlign w:val="center"/>
          </w:tcPr>
          <w:p w14:paraId="7E0C06D1" w14:textId="77777777" w:rsidR="002D6186" w:rsidRPr="00EA24BD" w:rsidRDefault="002D6186">
            <w:pPr>
              <w:keepLines/>
              <w:jc w:val="center"/>
              <w:rPr>
                <w:rFonts w:ascii="Arial Narrow" w:hAnsi="Arial Narrow"/>
                <w:sz w:val="20"/>
                <w:szCs w:val="20"/>
              </w:rPr>
            </w:pPr>
            <w:r>
              <w:rPr>
                <w:rFonts w:ascii="Arial Narrow" w:hAnsi="Arial Narrow"/>
                <w:sz w:val="20"/>
                <w:szCs w:val="20"/>
              </w:rPr>
              <w:t>1</w:t>
            </w:r>
          </w:p>
        </w:tc>
        <w:tc>
          <w:tcPr>
            <w:tcW w:w="812" w:type="dxa"/>
            <w:vAlign w:val="center"/>
          </w:tcPr>
          <w:p w14:paraId="2E6E6A1A" w14:textId="77777777" w:rsidR="002D6186" w:rsidRPr="00EA24BD" w:rsidRDefault="002D6186">
            <w:pPr>
              <w:keepLines/>
              <w:jc w:val="center"/>
              <w:rPr>
                <w:rFonts w:ascii="Arial Narrow" w:hAnsi="Arial Narrow"/>
                <w:sz w:val="20"/>
                <w:szCs w:val="20"/>
              </w:rPr>
            </w:pPr>
            <w:r>
              <w:rPr>
                <w:rFonts w:ascii="Arial Narrow" w:hAnsi="Arial Narrow"/>
                <w:sz w:val="20"/>
                <w:szCs w:val="20"/>
              </w:rPr>
              <w:t>5</w:t>
            </w:r>
          </w:p>
        </w:tc>
        <w:tc>
          <w:tcPr>
            <w:tcW w:w="1753" w:type="dxa"/>
            <w:vMerge/>
            <w:vAlign w:val="center"/>
          </w:tcPr>
          <w:p w14:paraId="5CE929C1" w14:textId="77777777" w:rsidR="002D6186" w:rsidRPr="00EA24BD" w:rsidRDefault="002D6186">
            <w:pPr>
              <w:keepLines/>
              <w:rPr>
                <w:rFonts w:ascii="Arial Narrow" w:hAnsi="Arial Narrow"/>
                <w:sz w:val="20"/>
                <w:szCs w:val="20"/>
              </w:rPr>
            </w:pPr>
          </w:p>
        </w:tc>
      </w:tr>
      <w:tr w:rsidR="002D6186" w:rsidRPr="00446E53" w14:paraId="114D2A6F" w14:textId="77777777" w:rsidTr="004C45EE">
        <w:tblPrEx>
          <w:tblCellMar>
            <w:top w:w="15" w:type="dxa"/>
            <w:bottom w:w="15" w:type="dxa"/>
          </w:tblCellMar>
          <w:tblLook w:val="04A0" w:firstRow="1" w:lastRow="0" w:firstColumn="1" w:lastColumn="0" w:noHBand="0" w:noVBand="1"/>
        </w:tblPrEx>
        <w:trPr>
          <w:trHeight w:val="20"/>
        </w:trPr>
        <w:tc>
          <w:tcPr>
            <w:tcW w:w="8945" w:type="dxa"/>
            <w:gridSpan w:val="6"/>
            <w:tcBorders>
              <w:top w:val="single" w:sz="4" w:space="0" w:color="auto"/>
              <w:left w:val="single" w:sz="4" w:space="0" w:color="auto"/>
              <w:right w:val="single" w:sz="4" w:space="0" w:color="auto"/>
            </w:tcBorders>
            <w:vAlign w:val="center"/>
          </w:tcPr>
          <w:p w14:paraId="5E44D285" w14:textId="77777777" w:rsidR="002D6186" w:rsidRPr="00446E53" w:rsidRDefault="002D6186">
            <w:pPr>
              <w:rPr>
                <w:rFonts w:ascii="Arial Narrow" w:hAnsi="Arial Narrow"/>
                <w:sz w:val="20"/>
                <w:szCs w:val="20"/>
              </w:rPr>
            </w:pPr>
          </w:p>
        </w:tc>
      </w:tr>
      <w:tr w:rsidR="00686FE7" w:rsidRPr="00446E53" w14:paraId="3F1ECCE9" w14:textId="77777777" w:rsidTr="004C45EE">
        <w:tblPrEx>
          <w:tblCellMar>
            <w:top w:w="15" w:type="dxa"/>
            <w:bottom w:w="15" w:type="dxa"/>
          </w:tblCellMar>
          <w:tblLook w:val="04A0" w:firstRow="1" w:lastRow="0" w:firstColumn="1" w:lastColumn="0" w:noHBand="0" w:noVBand="1"/>
        </w:tblPrEx>
        <w:trPr>
          <w:trHeight w:val="20"/>
        </w:trPr>
        <w:tc>
          <w:tcPr>
            <w:tcW w:w="8945" w:type="dxa"/>
            <w:gridSpan w:val="6"/>
            <w:tcBorders>
              <w:top w:val="single" w:sz="4" w:space="0" w:color="auto"/>
              <w:left w:val="single" w:sz="4" w:space="0" w:color="auto"/>
              <w:bottom w:val="single" w:sz="4" w:space="0" w:color="auto"/>
              <w:right w:val="single" w:sz="4" w:space="0" w:color="auto"/>
            </w:tcBorders>
            <w:vAlign w:val="center"/>
          </w:tcPr>
          <w:p w14:paraId="666B5813" w14:textId="77777777" w:rsidR="00686FE7" w:rsidRPr="00736BC8" w:rsidRDefault="00686FE7">
            <w:pPr>
              <w:keepLines/>
              <w:rPr>
                <w:rFonts w:ascii="Arial Narrow" w:hAnsi="Arial Narrow"/>
                <w:sz w:val="20"/>
                <w:szCs w:val="20"/>
              </w:rPr>
            </w:pPr>
            <w:r w:rsidRPr="00736BC8">
              <w:rPr>
                <w:rFonts w:ascii="Arial Narrow" w:hAnsi="Arial Narrow"/>
                <w:b/>
                <w:sz w:val="20"/>
                <w:szCs w:val="20"/>
              </w:rPr>
              <w:t>Category / Program:</w:t>
            </w:r>
            <w:r w:rsidRPr="00736BC8">
              <w:rPr>
                <w:rFonts w:ascii="Arial Narrow" w:hAnsi="Arial Narrow"/>
                <w:sz w:val="20"/>
                <w:szCs w:val="20"/>
              </w:rPr>
              <w:t xml:space="preserve"> </w:t>
            </w:r>
            <w:r w:rsidRPr="00736BC8">
              <w:rPr>
                <w:rFonts w:ascii="Arial Narrow" w:eastAsia="Calibri" w:hAnsi="Arial Narrow"/>
                <w:sz w:val="20"/>
                <w:szCs w:val="20"/>
              </w:rPr>
              <w:fldChar w:fldCharType="begin" w:fldLock="1">
                <w:ffData>
                  <w:name w:val=""/>
                  <w:enabled/>
                  <w:calcOnExit w:val="0"/>
                  <w:checkBox>
                    <w:sizeAuto/>
                    <w:default w:val="1"/>
                  </w:checkBox>
                </w:ffData>
              </w:fldChar>
            </w:r>
            <w:r w:rsidRPr="00736BC8">
              <w:rPr>
                <w:rFonts w:ascii="Arial Narrow" w:eastAsia="Calibri" w:hAnsi="Arial Narrow"/>
                <w:sz w:val="20"/>
                <w:szCs w:val="20"/>
              </w:rPr>
              <w:instrText xml:space="preserve"> FORMCHECKBOX </w:instrText>
            </w:r>
            <w:r w:rsidRPr="00736BC8">
              <w:rPr>
                <w:rFonts w:ascii="Arial Narrow" w:eastAsia="Calibri" w:hAnsi="Arial Narrow"/>
                <w:sz w:val="20"/>
                <w:szCs w:val="20"/>
              </w:rPr>
            </w:r>
            <w:r w:rsidRPr="00736BC8">
              <w:rPr>
                <w:rFonts w:ascii="Arial Narrow" w:eastAsia="Calibri" w:hAnsi="Arial Narrow"/>
                <w:sz w:val="20"/>
                <w:szCs w:val="20"/>
              </w:rPr>
              <w:fldChar w:fldCharType="separate"/>
            </w:r>
            <w:r w:rsidRPr="00736BC8">
              <w:rPr>
                <w:rFonts w:ascii="Arial Narrow" w:eastAsia="Calibri" w:hAnsi="Arial Narrow"/>
                <w:sz w:val="20"/>
                <w:szCs w:val="20"/>
              </w:rPr>
              <w:fldChar w:fldCharType="end"/>
            </w:r>
            <w:r w:rsidRPr="00736BC8">
              <w:rPr>
                <w:rFonts w:ascii="Arial Narrow" w:eastAsia="Calibri" w:hAnsi="Arial Narrow"/>
                <w:sz w:val="20"/>
                <w:szCs w:val="20"/>
              </w:rPr>
              <w:t xml:space="preserve"> GENERAL - General Schedule (Code GE) </w:t>
            </w:r>
          </w:p>
        </w:tc>
      </w:tr>
      <w:tr w:rsidR="00686FE7" w:rsidRPr="00446E53" w14:paraId="09B3DDC7" w14:textId="77777777" w:rsidTr="004C45EE">
        <w:tblPrEx>
          <w:tblCellMar>
            <w:top w:w="15" w:type="dxa"/>
            <w:bottom w:w="15" w:type="dxa"/>
          </w:tblCellMar>
          <w:tblLook w:val="04A0" w:firstRow="1" w:lastRow="0" w:firstColumn="1" w:lastColumn="0" w:noHBand="0" w:noVBand="1"/>
        </w:tblPrEx>
        <w:trPr>
          <w:trHeight w:val="20"/>
        </w:trPr>
        <w:tc>
          <w:tcPr>
            <w:tcW w:w="8945" w:type="dxa"/>
            <w:gridSpan w:val="6"/>
            <w:tcBorders>
              <w:top w:val="single" w:sz="4" w:space="0" w:color="auto"/>
              <w:left w:val="single" w:sz="4" w:space="0" w:color="auto"/>
              <w:bottom w:val="single" w:sz="4" w:space="0" w:color="auto"/>
              <w:right w:val="single" w:sz="4" w:space="0" w:color="auto"/>
            </w:tcBorders>
            <w:vAlign w:val="center"/>
          </w:tcPr>
          <w:p w14:paraId="10258033" w14:textId="77777777" w:rsidR="00686FE7" w:rsidRPr="00736BC8" w:rsidRDefault="00686FE7">
            <w:pPr>
              <w:keepLines/>
              <w:rPr>
                <w:rFonts w:ascii="Arial Narrow" w:hAnsi="Arial Narrow"/>
                <w:b/>
                <w:sz w:val="20"/>
                <w:szCs w:val="20"/>
              </w:rPr>
            </w:pPr>
            <w:r w:rsidRPr="00736BC8">
              <w:rPr>
                <w:rFonts w:ascii="Arial Narrow" w:hAnsi="Arial Narrow"/>
                <w:b/>
                <w:sz w:val="20"/>
                <w:szCs w:val="20"/>
              </w:rPr>
              <w:t xml:space="preserve">Prescriber type: </w:t>
            </w:r>
            <w:r w:rsidRPr="00736BC8">
              <w:rPr>
                <w:rFonts w:ascii="Arial Narrow" w:hAnsi="Arial Narrow"/>
                <w:sz w:val="20"/>
                <w:szCs w:val="20"/>
              </w:rPr>
              <w:fldChar w:fldCharType="begin" w:fldLock="1">
                <w:ffData>
                  <w:name w:val=""/>
                  <w:enabled/>
                  <w:calcOnExit w:val="0"/>
                  <w:checkBox>
                    <w:sizeAuto/>
                    <w:default w:val="1"/>
                  </w:checkBox>
                </w:ffData>
              </w:fldChar>
            </w:r>
            <w:r w:rsidRPr="00736BC8">
              <w:rPr>
                <w:rFonts w:ascii="Arial Narrow" w:hAnsi="Arial Narrow"/>
                <w:sz w:val="20"/>
                <w:szCs w:val="20"/>
              </w:rPr>
              <w:instrText xml:space="preserve"> FORMCHECKBOX </w:instrText>
            </w:r>
            <w:r w:rsidRPr="00736BC8">
              <w:rPr>
                <w:rFonts w:ascii="Arial Narrow" w:hAnsi="Arial Narrow"/>
                <w:sz w:val="20"/>
                <w:szCs w:val="20"/>
              </w:rPr>
            </w:r>
            <w:r w:rsidRPr="00736BC8">
              <w:rPr>
                <w:rFonts w:ascii="Arial Narrow" w:hAnsi="Arial Narrow"/>
                <w:sz w:val="20"/>
                <w:szCs w:val="20"/>
              </w:rPr>
              <w:fldChar w:fldCharType="separate"/>
            </w:r>
            <w:r w:rsidRPr="00736BC8">
              <w:rPr>
                <w:rFonts w:ascii="Arial Narrow" w:hAnsi="Arial Narrow"/>
                <w:sz w:val="20"/>
                <w:szCs w:val="20"/>
              </w:rPr>
              <w:fldChar w:fldCharType="end"/>
            </w:r>
            <w:r w:rsidRPr="00736BC8">
              <w:rPr>
                <w:rFonts w:ascii="Arial Narrow" w:hAnsi="Arial Narrow"/>
                <w:sz w:val="20"/>
                <w:szCs w:val="20"/>
              </w:rPr>
              <w:t xml:space="preserve">Medical Practitioners </w:t>
            </w:r>
          </w:p>
        </w:tc>
      </w:tr>
      <w:tr w:rsidR="00686FE7" w:rsidRPr="00446E53" w14:paraId="1A385B3C" w14:textId="77777777" w:rsidTr="004C45EE">
        <w:tblPrEx>
          <w:tblCellMar>
            <w:top w:w="15" w:type="dxa"/>
            <w:bottom w:w="15" w:type="dxa"/>
          </w:tblCellMar>
          <w:tblLook w:val="04A0" w:firstRow="1" w:lastRow="0" w:firstColumn="1" w:lastColumn="0" w:noHBand="0" w:noVBand="1"/>
        </w:tblPrEx>
        <w:trPr>
          <w:trHeight w:val="20"/>
        </w:trPr>
        <w:tc>
          <w:tcPr>
            <w:tcW w:w="8945" w:type="dxa"/>
            <w:gridSpan w:val="6"/>
            <w:tcBorders>
              <w:top w:val="single" w:sz="4" w:space="0" w:color="auto"/>
              <w:left w:val="single" w:sz="4" w:space="0" w:color="auto"/>
              <w:bottom w:val="single" w:sz="4" w:space="0" w:color="auto"/>
              <w:right w:val="single" w:sz="4" w:space="0" w:color="auto"/>
            </w:tcBorders>
            <w:vAlign w:val="center"/>
          </w:tcPr>
          <w:p w14:paraId="136EBC3E" w14:textId="22376E8D" w:rsidR="00686FE7" w:rsidRPr="00736BC8" w:rsidRDefault="00686FE7">
            <w:pPr>
              <w:keepLines/>
              <w:rPr>
                <w:rFonts w:ascii="Arial Narrow" w:eastAsia="Calibri" w:hAnsi="Arial Narrow"/>
                <w:sz w:val="20"/>
                <w:szCs w:val="20"/>
              </w:rPr>
            </w:pPr>
            <w:r w:rsidRPr="00736BC8">
              <w:rPr>
                <w:rFonts w:ascii="Arial Narrow" w:hAnsi="Arial Narrow"/>
                <w:b/>
                <w:sz w:val="20"/>
                <w:szCs w:val="20"/>
              </w:rPr>
              <w:t xml:space="preserve">Restriction type: </w:t>
            </w:r>
            <w:r w:rsidRPr="00736BC8">
              <w:rPr>
                <w:rFonts w:ascii="Arial Narrow" w:eastAsia="Calibri" w:hAnsi="Arial Narrow"/>
                <w:sz w:val="20"/>
                <w:szCs w:val="20"/>
              </w:rPr>
              <w:fldChar w:fldCharType="begin" w:fldLock="1">
                <w:ffData>
                  <w:name w:val=""/>
                  <w:enabled/>
                  <w:calcOnExit w:val="0"/>
                  <w:checkBox>
                    <w:sizeAuto/>
                    <w:default w:val="1"/>
                  </w:checkBox>
                </w:ffData>
              </w:fldChar>
            </w:r>
            <w:r w:rsidRPr="00736BC8">
              <w:rPr>
                <w:rFonts w:ascii="Arial Narrow" w:eastAsia="Calibri" w:hAnsi="Arial Narrow"/>
                <w:sz w:val="20"/>
                <w:szCs w:val="20"/>
              </w:rPr>
              <w:instrText xml:space="preserve"> FORMCHECKBOX </w:instrText>
            </w:r>
            <w:r w:rsidRPr="00736BC8">
              <w:rPr>
                <w:rFonts w:ascii="Arial Narrow" w:eastAsia="Calibri" w:hAnsi="Arial Narrow"/>
                <w:sz w:val="20"/>
                <w:szCs w:val="20"/>
              </w:rPr>
            </w:r>
            <w:r w:rsidRPr="00736BC8">
              <w:rPr>
                <w:rFonts w:ascii="Arial Narrow" w:eastAsia="Calibri" w:hAnsi="Arial Narrow"/>
                <w:sz w:val="20"/>
                <w:szCs w:val="20"/>
              </w:rPr>
              <w:fldChar w:fldCharType="separate"/>
            </w:r>
            <w:r w:rsidRPr="00736BC8">
              <w:rPr>
                <w:rFonts w:ascii="Arial Narrow" w:eastAsia="Calibri" w:hAnsi="Arial Narrow"/>
                <w:sz w:val="20"/>
                <w:szCs w:val="20"/>
              </w:rPr>
              <w:fldChar w:fldCharType="end"/>
            </w:r>
            <w:r w:rsidRPr="00736BC8">
              <w:rPr>
                <w:rFonts w:ascii="Arial Narrow" w:eastAsia="Calibri" w:hAnsi="Arial Narrow"/>
                <w:sz w:val="20"/>
                <w:szCs w:val="20"/>
              </w:rPr>
              <w:t xml:space="preserve">Authority Required (in writing only via </w:t>
            </w:r>
            <w:r>
              <w:rPr>
                <w:rFonts w:ascii="Arial Narrow" w:eastAsia="Calibri" w:hAnsi="Arial Narrow"/>
                <w:sz w:val="20"/>
                <w:szCs w:val="20"/>
              </w:rPr>
              <w:t>OPA/</w:t>
            </w:r>
            <w:r w:rsidRPr="00736BC8">
              <w:rPr>
                <w:rFonts w:ascii="Arial Narrow" w:eastAsia="Calibri" w:hAnsi="Arial Narrow"/>
                <w:sz w:val="20"/>
                <w:szCs w:val="20"/>
              </w:rPr>
              <w:t>post/HPOS upload</w:t>
            </w:r>
            <w:r>
              <w:rPr>
                <w:rFonts w:ascii="Arial Narrow" w:eastAsia="Calibri" w:hAnsi="Arial Narrow"/>
                <w:sz w:val="20"/>
                <w:szCs w:val="20"/>
              </w:rPr>
              <w:t>)</w:t>
            </w:r>
          </w:p>
        </w:tc>
      </w:tr>
      <w:tr w:rsidR="00686FE7" w:rsidRPr="00446E53" w14:paraId="47A6BC50" w14:textId="77777777" w:rsidTr="004C45EE">
        <w:tblPrEx>
          <w:tblCellMar>
            <w:top w:w="15" w:type="dxa"/>
            <w:bottom w:w="15" w:type="dxa"/>
          </w:tblCellMar>
          <w:tblLook w:val="04A0" w:firstRow="1" w:lastRow="0" w:firstColumn="1" w:lastColumn="0" w:noHBand="0" w:noVBand="1"/>
        </w:tblPrEx>
        <w:trPr>
          <w:trHeight w:val="20"/>
        </w:trPr>
        <w:tc>
          <w:tcPr>
            <w:tcW w:w="8945" w:type="dxa"/>
            <w:gridSpan w:val="6"/>
            <w:tcBorders>
              <w:top w:val="single" w:sz="4" w:space="0" w:color="auto"/>
              <w:left w:val="single" w:sz="4" w:space="0" w:color="auto"/>
              <w:bottom w:val="single" w:sz="4" w:space="0" w:color="auto"/>
              <w:right w:val="single" w:sz="4" w:space="0" w:color="auto"/>
            </w:tcBorders>
            <w:vAlign w:val="center"/>
          </w:tcPr>
          <w:p w14:paraId="43EBC9BA" w14:textId="77777777" w:rsidR="00686FE7" w:rsidRPr="00736BC8" w:rsidRDefault="00686FE7">
            <w:pPr>
              <w:keepLines/>
              <w:rPr>
                <w:rFonts w:ascii="Arial Narrow" w:hAnsi="Arial Narrow"/>
                <w:b/>
                <w:sz w:val="20"/>
                <w:szCs w:val="20"/>
              </w:rPr>
            </w:pPr>
            <w:r w:rsidRPr="00446E53">
              <w:rPr>
                <w:rFonts w:ascii="Arial Narrow" w:hAnsi="Arial Narrow"/>
                <w:b/>
                <w:sz w:val="20"/>
                <w:szCs w:val="20"/>
              </w:rPr>
              <w:t xml:space="preserve">Prescribing rule level:  </w:t>
            </w:r>
          </w:p>
        </w:tc>
      </w:tr>
      <w:tr w:rsidR="00686FE7" w:rsidRPr="00446E53" w14:paraId="561A7316" w14:textId="77777777" w:rsidTr="004C45EE">
        <w:tblPrEx>
          <w:tblCellMar>
            <w:top w:w="15" w:type="dxa"/>
            <w:bottom w:w="15" w:type="dxa"/>
          </w:tblCellMar>
          <w:tblLook w:val="04A0" w:firstRow="1" w:lastRow="0" w:firstColumn="1" w:lastColumn="0" w:noHBand="0" w:noVBand="1"/>
        </w:tblPrEx>
        <w:trPr>
          <w:trHeight w:val="20"/>
        </w:trPr>
        <w:tc>
          <w:tcPr>
            <w:tcW w:w="8945" w:type="dxa"/>
            <w:gridSpan w:val="6"/>
            <w:tcBorders>
              <w:top w:val="single" w:sz="4" w:space="0" w:color="auto"/>
              <w:left w:val="single" w:sz="4" w:space="0" w:color="auto"/>
              <w:bottom w:val="single" w:sz="4" w:space="0" w:color="auto"/>
              <w:right w:val="single" w:sz="4" w:space="0" w:color="auto"/>
            </w:tcBorders>
            <w:vAlign w:val="center"/>
          </w:tcPr>
          <w:p w14:paraId="3FF6FD61" w14:textId="77777777" w:rsidR="00686FE7" w:rsidRDefault="00686FE7">
            <w:pPr>
              <w:spacing w:line="256" w:lineRule="auto"/>
              <w:jc w:val="left"/>
              <w:textAlignment w:val="baseline"/>
              <w:rPr>
                <w:rFonts w:ascii="Arial Narrow" w:hAnsi="Arial Narrow" w:cs="Segoe UI"/>
                <w:color w:val="333333"/>
                <w:sz w:val="20"/>
                <w:szCs w:val="20"/>
                <w:lang w:eastAsia="en-US"/>
              </w:rPr>
            </w:pPr>
            <w:r>
              <w:rPr>
                <w:rFonts w:ascii="Arial Narrow" w:hAnsi="Arial Narrow" w:cs="Segoe UI"/>
                <w:b/>
                <w:bCs/>
                <w:color w:val="333333"/>
                <w:sz w:val="20"/>
                <w:szCs w:val="20"/>
                <w:lang w:eastAsia="en-US"/>
              </w:rPr>
              <w:t>Administrative Advice:</w:t>
            </w:r>
            <w:r>
              <w:rPr>
                <w:rFonts w:ascii="Arial Narrow" w:hAnsi="Arial Narrow" w:cs="Segoe UI"/>
                <w:color w:val="333333"/>
                <w:sz w:val="20"/>
                <w:szCs w:val="20"/>
                <w:lang w:eastAsia="en-US"/>
              </w:rPr>
              <w:t> </w:t>
            </w:r>
          </w:p>
          <w:p w14:paraId="016335FA" w14:textId="77777777" w:rsidR="00686FE7" w:rsidRDefault="00686FE7">
            <w:pPr>
              <w:spacing w:line="256" w:lineRule="auto"/>
              <w:jc w:val="left"/>
              <w:textAlignment w:val="baseline"/>
              <w:rPr>
                <w:rFonts w:ascii="Arial Narrow" w:hAnsi="Arial Narrow" w:cs="Segoe UI"/>
                <w:b/>
                <w:bCs/>
                <w:color w:val="333333"/>
                <w:sz w:val="20"/>
                <w:szCs w:val="20"/>
                <w:lang w:eastAsia="en-US"/>
              </w:rPr>
            </w:pPr>
            <w:r>
              <w:rPr>
                <w:rFonts w:ascii="Arial Narrow" w:hAnsi="Arial Narrow" w:cs="Segoe UI"/>
                <w:sz w:val="20"/>
                <w:szCs w:val="20"/>
                <w:lang w:eastAsia="en-US"/>
              </w:rPr>
              <w:t xml:space="preserve">Overarching administrative note. </w:t>
            </w:r>
          </w:p>
        </w:tc>
      </w:tr>
      <w:tr w:rsidR="00686FE7" w:rsidRPr="00446E53" w14:paraId="55FE4364" w14:textId="77777777" w:rsidTr="004C45EE">
        <w:tblPrEx>
          <w:tblCellMar>
            <w:top w:w="15" w:type="dxa"/>
            <w:bottom w:w="15" w:type="dxa"/>
          </w:tblCellMar>
          <w:tblLook w:val="04A0" w:firstRow="1" w:lastRow="0" w:firstColumn="1" w:lastColumn="0" w:noHBand="0" w:noVBand="1"/>
        </w:tblPrEx>
        <w:trPr>
          <w:trHeight w:val="20"/>
        </w:trPr>
        <w:tc>
          <w:tcPr>
            <w:tcW w:w="8945" w:type="dxa"/>
            <w:gridSpan w:val="6"/>
            <w:tcBorders>
              <w:top w:val="single" w:sz="4" w:space="0" w:color="auto"/>
              <w:left w:val="single" w:sz="4" w:space="0" w:color="auto"/>
              <w:bottom w:val="single" w:sz="4" w:space="0" w:color="auto"/>
              <w:right w:val="single" w:sz="4" w:space="0" w:color="auto"/>
            </w:tcBorders>
            <w:vAlign w:val="center"/>
          </w:tcPr>
          <w:p w14:paraId="4818F7A3" w14:textId="77777777" w:rsidR="00686FE7" w:rsidRDefault="00686FE7">
            <w:pPr>
              <w:spacing w:line="256" w:lineRule="auto"/>
              <w:jc w:val="left"/>
              <w:textAlignment w:val="baseline"/>
              <w:rPr>
                <w:rFonts w:ascii="Arial Narrow" w:hAnsi="Arial Narrow" w:cs="Segoe UI"/>
                <w:color w:val="333333"/>
                <w:sz w:val="20"/>
                <w:szCs w:val="20"/>
                <w:lang w:eastAsia="en-US"/>
              </w:rPr>
            </w:pPr>
            <w:r>
              <w:rPr>
                <w:rFonts w:ascii="Arial Narrow" w:hAnsi="Arial Narrow" w:cs="Segoe UI"/>
                <w:b/>
                <w:bCs/>
                <w:color w:val="333333"/>
                <w:sz w:val="20"/>
                <w:szCs w:val="20"/>
                <w:lang w:eastAsia="en-US"/>
              </w:rPr>
              <w:t>Administrative Advice:</w:t>
            </w:r>
            <w:r>
              <w:rPr>
                <w:rFonts w:ascii="Arial Narrow" w:hAnsi="Arial Narrow" w:cs="Segoe UI"/>
                <w:color w:val="333333"/>
                <w:sz w:val="20"/>
                <w:szCs w:val="20"/>
                <w:lang w:eastAsia="en-US"/>
              </w:rPr>
              <w:t> </w:t>
            </w:r>
          </w:p>
          <w:p w14:paraId="00E11564" w14:textId="77777777" w:rsidR="00686FE7" w:rsidRPr="0025488F" w:rsidRDefault="00686FE7">
            <w:pPr>
              <w:keepLines/>
              <w:rPr>
                <w:rFonts w:ascii="Arial Narrow" w:hAnsi="Arial Narrow"/>
                <w:b/>
                <w:bCs/>
                <w:sz w:val="20"/>
                <w:szCs w:val="20"/>
              </w:rPr>
            </w:pPr>
            <w:r>
              <w:rPr>
                <w:rFonts w:ascii="Arial Narrow" w:hAnsi="Arial Narrow" w:cs="Segoe UI"/>
                <w:sz w:val="20"/>
                <w:szCs w:val="20"/>
                <w:lang w:eastAsia="en-US"/>
              </w:rPr>
              <w:t>Special Pricing Arrangements apply</w:t>
            </w:r>
            <w:r>
              <w:rPr>
                <w:rFonts w:ascii="Arial Narrow" w:hAnsi="Arial Narrow" w:cs="Segoe UI"/>
                <w:i/>
                <w:iCs/>
                <w:sz w:val="20"/>
                <w:szCs w:val="20"/>
                <w:lang w:eastAsia="en-US"/>
              </w:rPr>
              <w:t>.</w:t>
            </w:r>
          </w:p>
        </w:tc>
      </w:tr>
      <w:tr w:rsidR="00686FE7" w:rsidRPr="00446E53" w14:paraId="3DD5DB19" w14:textId="77777777" w:rsidTr="004C45EE">
        <w:tblPrEx>
          <w:tblCellMar>
            <w:top w:w="15" w:type="dxa"/>
            <w:bottom w:w="15" w:type="dxa"/>
          </w:tblCellMar>
          <w:tblLook w:val="04A0" w:firstRow="1" w:lastRow="0" w:firstColumn="1" w:lastColumn="0" w:noHBand="0" w:noVBand="1"/>
        </w:tblPrEx>
        <w:trPr>
          <w:trHeight w:val="20"/>
        </w:trPr>
        <w:tc>
          <w:tcPr>
            <w:tcW w:w="8945" w:type="dxa"/>
            <w:gridSpan w:val="6"/>
            <w:tcBorders>
              <w:top w:val="single" w:sz="4" w:space="0" w:color="auto"/>
              <w:left w:val="single" w:sz="4" w:space="0" w:color="auto"/>
              <w:bottom w:val="single" w:sz="4" w:space="0" w:color="auto"/>
              <w:right w:val="single" w:sz="4" w:space="0" w:color="auto"/>
            </w:tcBorders>
            <w:vAlign w:val="center"/>
          </w:tcPr>
          <w:p w14:paraId="50A015A7" w14:textId="77777777" w:rsidR="00686FE7" w:rsidRPr="006077B6" w:rsidRDefault="00686FE7">
            <w:pPr>
              <w:keepLines/>
              <w:rPr>
                <w:rFonts w:ascii="Arial Narrow" w:hAnsi="Arial Narrow"/>
                <w:sz w:val="20"/>
                <w:szCs w:val="20"/>
              </w:rPr>
            </w:pPr>
            <w:r w:rsidRPr="006077B6">
              <w:rPr>
                <w:rFonts w:ascii="Arial Narrow" w:hAnsi="Arial Narrow"/>
                <w:b/>
                <w:bCs/>
                <w:sz w:val="20"/>
                <w:szCs w:val="20"/>
              </w:rPr>
              <w:t>Administrative Advice:</w:t>
            </w:r>
            <w:r w:rsidRPr="006077B6">
              <w:rPr>
                <w:rFonts w:ascii="Arial Narrow" w:hAnsi="Arial Narrow"/>
                <w:sz w:val="20"/>
                <w:szCs w:val="20"/>
              </w:rPr>
              <w:t xml:space="preserve"> </w:t>
            </w:r>
          </w:p>
          <w:p w14:paraId="286B778B" w14:textId="77777777" w:rsidR="00686FE7" w:rsidRPr="006077B6" w:rsidRDefault="00686FE7">
            <w:pPr>
              <w:spacing w:line="256" w:lineRule="auto"/>
              <w:jc w:val="left"/>
              <w:textAlignment w:val="baseline"/>
              <w:rPr>
                <w:rFonts w:ascii="Arial Narrow" w:hAnsi="Arial Narrow" w:cs="Segoe UI"/>
                <w:b/>
                <w:bCs/>
                <w:color w:val="333333"/>
                <w:sz w:val="20"/>
                <w:szCs w:val="20"/>
                <w:lang w:eastAsia="en-US"/>
              </w:rPr>
            </w:pPr>
            <w:r w:rsidRPr="006077B6">
              <w:rPr>
                <w:rFonts w:ascii="Arial Narrow" w:hAnsi="Arial Narrow"/>
                <w:sz w:val="20"/>
                <w:szCs w:val="20"/>
              </w:rPr>
              <w:t>No increase in the maximum quantity or number of units may be authorised.</w:t>
            </w:r>
          </w:p>
        </w:tc>
      </w:tr>
      <w:tr w:rsidR="00686FE7" w:rsidRPr="00446E53" w14:paraId="27398FCD" w14:textId="77777777" w:rsidTr="004C45EE">
        <w:tblPrEx>
          <w:tblCellMar>
            <w:top w:w="15" w:type="dxa"/>
            <w:bottom w:w="15" w:type="dxa"/>
          </w:tblCellMar>
          <w:tblLook w:val="04A0" w:firstRow="1" w:lastRow="0" w:firstColumn="1" w:lastColumn="0" w:noHBand="0" w:noVBand="1"/>
        </w:tblPrEx>
        <w:trPr>
          <w:trHeight w:val="20"/>
        </w:trPr>
        <w:tc>
          <w:tcPr>
            <w:tcW w:w="8945" w:type="dxa"/>
            <w:gridSpan w:val="6"/>
            <w:tcBorders>
              <w:top w:val="single" w:sz="4" w:space="0" w:color="auto"/>
              <w:left w:val="single" w:sz="4" w:space="0" w:color="auto"/>
              <w:bottom w:val="single" w:sz="4" w:space="0" w:color="auto"/>
              <w:right w:val="single" w:sz="4" w:space="0" w:color="auto"/>
            </w:tcBorders>
            <w:vAlign w:val="center"/>
          </w:tcPr>
          <w:p w14:paraId="3CF4A82C" w14:textId="77777777" w:rsidR="00686FE7" w:rsidRDefault="00686FE7">
            <w:pPr>
              <w:keepLines/>
              <w:rPr>
                <w:rFonts w:ascii="Arial Narrow" w:hAnsi="Arial Narrow"/>
                <w:sz w:val="20"/>
                <w:szCs w:val="20"/>
              </w:rPr>
            </w:pPr>
            <w:r w:rsidRPr="0025488F">
              <w:rPr>
                <w:rFonts w:ascii="Arial Narrow" w:hAnsi="Arial Narrow"/>
                <w:b/>
                <w:bCs/>
                <w:sz w:val="20"/>
                <w:szCs w:val="20"/>
              </w:rPr>
              <w:t>Administrative Advice:</w:t>
            </w:r>
            <w:r w:rsidRPr="0025488F">
              <w:rPr>
                <w:rFonts w:ascii="Arial Narrow" w:hAnsi="Arial Narrow"/>
                <w:sz w:val="20"/>
                <w:szCs w:val="20"/>
              </w:rPr>
              <w:t xml:space="preserve"> </w:t>
            </w:r>
          </w:p>
          <w:p w14:paraId="10E473C2" w14:textId="77777777" w:rsidR="00686FE7" w:rsidRPr="0025488F" w:rsidRDefault="00686FE7">
            <w:pPr>
              <w:keepLines/>
              <w:rPr>
                <w:rFonts w:ascii="Arial Narrow" w:hAnsi="Arial Narrow"/>
                <w:b/>
                <w:sz w:val="20"/>
                <w:szCs w:val="20"/>
              </w:rPr>
            </w:pPr>
            <w:r w:rsidRPr="0025488F">
              <w:rPr>
                <w:rFonts w:ascii="Arial Narrow" w:hAnsi="Arial Narrow"/>
                <w:sz w:val="20"/>
                <w:szCs w:val="20"/>
              </w:rPr>
              <w:t>No increase in the maximum number of repeats may be authorised.</w:t>
            </w:r>
          </w:p>
        </w:tc>
      </w:tr>
      <w:tr w:rsidR="00686FE7" w:rsidRPr="00446E53" w14:paraId="118C94CA" w14:textId="77777777" w:rsidTr="004C45EE">
        <w:tblPrEx>
          <w:tblCellMar>
            <w:top w:w="15" w:type="dxa"/>
            <w:bottom w:w="15" w:type="dxa"/>
          </w:tblCellMar>
          <w:tblLook w:val="04A0" w:firstRow="1" w:lastRow="0" w:firstColumn="1" w:lastColumn="0" w:noHBand="0" w:noVBand="1"/>
        </w:tblPrEx>
        <w:trPr>
          <w:trHeight w:val="20"/>
        </w:trPr>
        <w:tc>
          <w:tcPr>
            <w:tcW w:w="8945" w:type="dxa"/>
            <w:gridSpan w:val="6"/>
            <w:tcBorders>
              <w:top w:val="single" w:sz="4" w:space="0" w:color="auto"/>
              <w:left w:val="single" w:sz="4" w:space="0" w:color="auto"/>
              <w:bottom w:val="single" w:sz="4" w:space="0" w:color="auto"/>
              <w:right w:val="single" w:sz="4" w:space="0" w:color="auto"/>
            </w:tcBorders>
            <w:vAlign w:val="center"/>
          </w:tcPr>
          <w:p w14:paraId="2ADB8413" w14:textId="77777777" w:rsidR="00686FE7" w:rsidRPr="00CE1D7B" w:rsidRDefault="00686FE7">
            <w:pPr>
              <w:rPr>
                <w:rFonts w:ascii="Arial Narrow" w:hAnsi="Arial Narrow"/>
                <w:b/>
                <w:bCs/>
                <w:sz w:val="20"/>
                <w:szCs w:val="20"/>
              </w:rPr>
            </w:pPr>
            <w:r w:rsidRPr="00CE1D7B">
              <w:rPr>
                <w:rFonts w:ascii="Arial Narrow" w:hAnsi="Arial Narrow"/>
                <w:b/>
                <w:bCs/>
                <w:sz w:val="20"/>
                <w:szCs w:val="20"/>
              </w:rPr>
              <w:t>Administrative Advice:</w:t>
            </w:r>
          </w:p>
          <w:p w14:paraId="42668613" w14:textId="77777777" w:rsidR="00686FE7" w:rsidRDefault="00686FE7">
            <w:pPr>
              <w:rPr>
                <w:rFonts w:ascii="Arial Narrow" w:hAnsi="Arial Narrow"/>
                <w:sz w:val="20"/>
                <w:szCs w:val="20"/>
              </w:rPr>
            </w:pPr>
            <w:r w:rsidRPr="00CE1D7B">
              <w:rPr>
                <w:rFonts w:ascii="Arial Narrow" w:hAnsi="Arial Narrow"/>
                <w:sz w:val="20"/>
                <w:szCs w:val="20"/>
              </w:rPr>
              <w:lastRenderedPageBreak/>
              <w:t>Any queries concerning the arrangements to prescribe may be directed to Services Australia on 1800 700 270 (hours of operation 8 a.m. to 5 p.m. Monday to Friday).</w:t>
            </w:r>
          </w:p>
          <w:p w14:paraId="2DE73972" w14:textId="77777777" w:rsidR="00686FE7" w:rsidRPr="000266C5" w:rsidRDefault="00686FE7">
            <w:pPr>
              <w:rPr>
                <w:rFonts w:ascii="Arial Narrow" w:hAnsi="Arial Narrow"/>
                <w:sz w:val="20"/>
                <w:szCs w:val="20"/>
              </w:rPr>
            </w:pPr>
          </w:p>
          <w:p w14:paraId="72325114" w14:textId="141AFF8C" w:rsidR="00686FE7" w:rsidRPr="000266C5" w:rsidRDefault="00686FE7">
            <w:pPr>
              <w:rPr>
                <w:rFonts w:ascii="Arial Narrow" w:hAnsi="Arial Narrow"/>
                <w:sz w:val="20"/>
                <w:szCs w:val="20"/>
              </w:rPr>
            </w:pPr>
            <w:r w:rsidRPr="000266C5">
              <w:rPr>
                <w:rFonts w:ascii="Arial Narrow" w:hAnsi="Arial Narrow"/>
                <w:sz w:val="20"/>
                <w:szCs w:val="20"/>
              </w:rPr>
              <w:t xml:space="preserve">Prescribing information (including Authority Application forms and other relevant documentation as applicable) is available on the Services Australia website at </w:t>
            </w:r>
            <w:hyperlink r:id="rId17" w:history="1">
              <w:r w:rsidRPr="000266C5">
                <w:rPr>
                  <w:rStyle w:val="Hyperlink"/>
                  <w:rFonts w:ascii="Arial Narrow" w:hAnsi="Arial Narrow"/>
                  <w:color w:val="auto"/>
                  <w:sz w:val="20"/>
                  <w:szCs w:val="20"/>
                </w:rPr>
                <w:t>www.servicesaustralia.gov.au</w:t>
              </w:r>
            </w:hyperlink>
          </w:p>
          <w:p w14:paraId="0CDF6915" w14:textId="77777777" w:rsidR="00686FE7" w:rsidRPr="000266C5" w:rsidRDefault="00686FE7">
            <w:pPr>
              <w:rPr>
                <w:rFonts w:ascii="Arial Narrow" w:hAnsi="Arial Narrow"/>
                <w:sz w:val="20"/>
                <w:szCs w:val="20"/>
              </w:rPr>
            </w:pPr>
          </w:p>
          <w:p w14:paraId="78A1B8AA" w14:textId="7DBBC241" w:rsidR="00686FE7" w:rsidRPr="000266C5" w:rsidRDefault="00686FE7">
            <w:pPr>
              <w:rPr>
                <w:rFonts w:ascii="Arial Narrow" w:hAnsi="Arial Narrow"/>
                <w:sz w:val="20"/>
                <w:szCs w:val="20"/>
              </w:rPr>
            </w:pPr>
            <w:r w:rsidRPr="00582FE0">
              <w:rPr>
                <w:rFonts w:ascii="Arial Narrow" w:hAnsi="Arial Narrow"/>
                <w:sz w:val="20"/>
                <w:szCs w:val="20"/>
              </w:rPr>
              <w:t xml:space="preserve">Applications for authorisation under this restriction should be made using the Online PBS Authorities system (see </w:t>
            </w:r>
            <w:hyperlink r:id="rId18" w:history="1">
              <w:r w:rsidRPr="00582FE0">
                <w:rPr>
                  <w:rStyle w:val="Hyperlink"/>
                  <w:rFonts w:ascii="Arial Narrow" w:hAnsi="Arial Narrow"/>
                  <w:color w:val="auto"/>
                  <w:sz w:val="20"/>
                  <w:szCs w:val="20"/>
                </w:rPr>
                <w:t>www.servicesaustralia.gov.au/hpos</w:t>
              </w:r>
            </w:hyperlink>
            <w:r w:rsidRPr="00582FE0">
              <w:rPr>
                <w:rFonts w:ascii="Arial Narrow" w:hAnsi="Arial Narrow"/>
                <w:sz w:val="20"/>
                <w:szCs w:val="20"/>
              </w:rPr>
              <w:t>)</w:t>
            </w:r>
          </w:p>
          <w:p w14:paraId="13070FB4" w14:textId="77777777" w:rsidR="00686FE7" w:rsidRPr="000266C5" w:rsidRDefault="00686FE7">
            <w:pPr>
              <w:rPr>
                <w:rFonts w:ascii="Arial Narrow" w:hAnsi="Arial Narrow"/>
                <w:sz w:val="20"/>
                <w:szCs w:val="20"/>
              </w:rPr>
            </w:pPr>
          </w:p>
          <w:p w14:paraId="0F5D65BA" w14:textId="01A5F22C" w:rsidR="00686FE7" w:rsidRPr="000266C5" w:rsidRDefault="00686FE7">
            <w:pPr>
              <w:rPr>
                <w:rFonts w:ascii="Arial Narrow" w:hAnsi="Arial Narrow"/>
                <w:sz w:val="20"/>
                <w:szCs w:val="20"/>
              </w:rPr>
            </w:pPr>
            <w:r>
              <w:rPr>
                <w:rFonts w:ascii="Arial Narrow" w:hAnsi="Arial Narrow"/>
                <w:sz w:val="20"/>
                <w:szCs w:val="20"/>
              </w:rPr>
              <w:t>Alternatively, a</w:t>
            </w:r>
            <w:r w:rsidRPr="000266C5">
              <w:rPr>
                <w:rFonts w:ascii="Arial Narrow" w:hAnsi="Arial Narrow"/>
                <w:sz w:val="20"/>
                <w:szCs w:val="20"/>
              </w:rPr>
              <w:t xml:space="preserve">pplications for authority to prescribe </w:t>
            </w:r>
            <w:r>
              <w:rPr>
                <w:rFonts w:ascii="Arial Narrow" w:hAnsi="Arial Narrow"/>
                <w:sz w:val="20"/>
                <w:szCs w:val="20"/>
              </w:rPr>
              <w:t xml:space="preserve">can </w:t>
            </w:r>
            <w:r w:rsidRPr="000266C5">
              <w:rPr>
                <w:rFonts w:ascii="Arial Narrow" w:hAnsi="Arial Narrow"/>
                <w:sz w:val="20"/>
                <w:szCs w:val="20"/>
              </w:rPr>
              <w:t xml:space="preserve">be submitted online using the form upload facility in Health Professional Online Services (HPOS) at </w:t>
            </w:r>
            <w:hyperlink r:id="rId19" w:history="1">
              <w:r w:rsidRPr="000266C5">
                <w:rPr>
                  <w:rStyle w:val="Hyperlink"/>
                  <w:rFonts w:ascii="Arial Narrow" w:hAnsi="Arial Narrow"/>
                  <w:color w:val="auto"/>
                  <w:sz w:val="20"/>
                  <w:szCs w:val="20"/>
                </w:rPr>
                <w:t>www.servicesaustralia.gov.au/hpos</w:t>
              </w:r>
            </w:hyperlink>
          </w:p>
          <w:p w14:paraId="5202E605" w14:textId="77777777" w:rsidR="00686FE7" w:rsidRPr="00CE1D7B" w:rsidRDefault="00686FE7">
            <w:pPr>
              <w:rPr>
                <w:rFonts w:ascii="Arial Narrow" w:hAnsi="Arial Narrow"/>
                <w:sz w:val="20"/>
                <w:szCs w:val="20"/>
              </w:rPr>
            </w:pPr>
          </w:p>
          <w:p w14:paraId="0D1454FC" w14:textId="77777777" w:rsidR="00686FE7" w:rsidRPr="00CE1D7B" w:rsidRDefault="00686FE7">
            <w:pPr>
              <w:rPr>
                <w:rFonts w:ascii="Arial Narrow" w:hAnsi="Arial Narrow"/>
                <w:sz w:val="20"/>
                <w:szCs w:val="20"/>
              </w:rPr>
            </w:pPr>
            <w:r w:rsidRPr="00CE1D7B">
              <w:rPr>
                <w:rFonts w:ascii="Arial Narrow" w:hAnsi="Arial Narrow"/>
                <w:sz w:val="20"/>
                <w:szCs w:val="20"/>
              </w:rPr>
              <w:t>Or mailed to:</w:t>
            </w:r>
          </w:p>
          <w:p w14:paraId="600CF4CD" w14:textId="77777777" w:rsidR="00686FE7" w:rsidRPr="00CE1D7B" w:rsidRDefault="00686FE7">
            <w:pPr>
              <w:rPr>
                <w:rFonts w:ascii="Arial Narrow" w:hAnsi="Arial Narrow"/>
                <w:sz w:val="20"/>
                <w:szCs w:val="20"/>
              </w:rPr>
            </w:pPr>
            <w:r w:rsidRPr="00CE1D7B">
              <w:rPr>
                <w:rFonts w:ascii="Arial Narrow" w:hAnsi="Arial Narrow"/>
                <w:sz w:val="20"/>
                <w:szCs w:val="20"/>
              </w:rPr>
              <w:t>Services Australia</w:t>
            </w:r>
          </w:p>
          <w:p w14:paraId="6C185195" w14:textId="77777777" w:rsidR="00686FE7" w:rsidRPr="00CE1D7B" w:rsidRDefault="00686FE7">
            <w:pPr>
              <w:rPr>
                <w:rFonts w:ascii="Arial Narrow" w:hAnsi="Arial Narrow"/>
                <w:sz w:val="20"/>
                <w:szCs w:val="20"/>
              </w:rPr>
            </w:pPr>
            <w:r w:rsidRPr="00CE1D7B">
              <w:rPr>
                <w:rFonts w:ascii="Arial Narrow" w:hAnsi="Arial Narrow"/>
                <w:sz w:val="20"/>
                <w:szCs w:val="20"/>
              </w:rPr>
              <w:t>Complex Drugs</w:t>
            </w:r>
          </w:p>
          <w:p w14:paraId="7BFEBDA8" w14:textId="77777777" w:rsidR="00686FE7" w:rsidRPr="00CE1D7B" w:rsidRDefault="00686FE7">
            <w:pPr>
              <w:rPr>
                <w:rFonts w:ascii="Arial Narrow" w:hAnsi="Arial Narrow"/>
                <w:sz w:val="20"/>
                <w:szCs w:val="20"/>
              </w:rPr>
            </w:pPr>
            <w:r w:rsidRPr="00CE1D7B">
              <w:rPr>
                <w:rFonts w:ascii="Arial Narrow" w:hAnsi="Arial Narrow"/>
                <w:sz w:val="20"/>
                <w:szCs w:val="20"/>
              </w:rPr>
              <w:t>Reply Paid 9826</w:t>
            </w:r>
          </w:p>
          <w:p w14:paraId="76BED209" w14:textId="77777777" w:rsidR="00686FE7" w:rsidRPr="00FA0BEB" w:rsidRDefault="00686FE7">
            <w:pPr>
              <w:keepLines/>
              <w:rPr>
                <w:rFonts w:ascii="Arial Narrow" w:hAnsi="Arial Narrow"/>
                <w:b/>
                <w:bCs/>
                <w:i/>
                <w:iCs/>
                <w:sz w:val="20"/>
                <w:szCs w:val="20"/>
              </w:rPr>
            </w:pPr>
            <w:r w:rsidRPr="2BF78AC1">
              <w:rPr>
                <w:rFonts w:ascii="Arial Narrow" w:hAnsi="Arial Narrow"/>
                <w:sz w:val="20"/>
                <w:szCs w:val="20"/>
              </w:rPr>
              <w:t>HOBART TAS 7001</w:t>
            </w:r>
          </w:p>
        </w:tc>
      </w:tr>
      <w:tr w:rsidR="00686FE7" w:rsidRPr="00446E53" w14:paraId="5E36F71C" w14:textId="77777777" w:rsidTr="004C45EE">
        <w:tblPrEx>
          <w:tblCellMar>
            <w:top w:w="15" w:type="dxa"/>
            <w:bottom w:w="15" w:type="dxa"/>
          </w:tblCellMar>
          <w:tblLook w:val="04A0" w:firstRow="1" w:lastRow="0" w:firstColumn="1" w:lastColumn="0" w:noHBand="0" w:noVBand="1"/>
        </w:tblPrEx>
        <w:trPr>
          <w:trHeight w:val="20"/>
        </w:trPr>
        <w:tc>
          <w:tcPr>
            <w:tcW w:w="894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52092D" w14:textId="77777777" w:rsidR="00686FE7" w:rsidRPr="002314B4" w:rsidRDefault="00686FE7">
            <w:pPr>
              <w:keepLines/>
              <w:rPr>
                <w:rFonts w:ascii="Arial Narrow" w:hAnsi="Arial Narrow"/>
                <w:b/>
                <w:bCs/>
                <w:sz w:val="20"/>
                <w:szCs w:val="20"/>
              </w:rPr>
            </w:pPr>
            <w:r w:rsidRPr="002314B4">
              <w:rPr>
                <w:rFonts w:ascii="Arial Narrow" w:hAnsi="Arial Narrow"/>
                <w:b/>
                <w:sz w:val="20"/>
                <w:szCs w:val="20"/>
              </w:rPr>
              <w:lastRenderedPageBreak/>
              <w:t>Restriction Summary [new</w:t>
            </w:r>
            <w:r>
              <w:rPr>
                <w:rFonts w:ascii="Arial Narrow" w:hAnsi="Arial Narrow"/>
                <w:b/>
                <w:sz w:val="20"/>
                <w:szCs w:val="20"/>
              </w:rPr>
              <w:t>5</w:t>
            </w:r>
            <w:r w:rsidRPr="002314B4">
              <w:rPr>
                <w:rFonts w:ascii="Arial Narrow" w:hAnsi="Arial Narrow"/>
                <w:b/>
                <w:sz w:val="20"/>
                <w:szCs w:val="20"/>
              </w:rPr>
              <w:t>] / Treatment of Concept: [new</w:t>
            </w:r>
            <w:r>
              <w:rPr>
                <w:rFonts w:ascii="Arial Narrow" w:hAnsi="Arial Narrow"/>
                <w:b/>
                <w:sz w:val="20"/>
                <w:szCs w:val="20"/>
              </w:rPr>
              <w:t>5</w:t>
            </w:r>
            <w:r w:rsidRPr="002314B4">
              <w:rPr>
                <w:rFonts w:ascii="Arial Narrow" w:hAnsi="Arial Narrow"/>
                <w:b/>
                <w:sz w:val="20"/>
                <w:szCs w:val="20"/>
              </w:rPr>
              <w:t xml:space="preserve">A] </w:t>
            </w:r>
          </w:p>
        </w:tc>
      </w:tr>
      <w:tr w:rsidR="00686FE7" w:rsidRPr="00446E53" w14:paraId="0DC173C6"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hideMark/>
          </w:tcPr>
          <w:p w14:paraId="522FC5BB" w14:textId="77777777" w:rsidR="00686FE7" w:rsidRPr="008F703F" w:rsidRDefault="00686FE7">
            <w:pPr>
              <w:keepLines/>
              <w:rPr>
                <w:rFonts w:ascii="Arial Narrow" w:hAnsi="Arial Narrow"/>
                <w:sz w:val="20"/>
                <w:szCs w:val="20"/>
              </w:rPr>
            </w:pPr>
            <w:r>
              <w:rPr>
                <w:rFonts w:ascii="Arial Narrow" w:hAnsi="Arial Narrow" w:cs="Segoe UI"/>
                <w:b/>
                <w:bCs/>
                <w:color w:val="333333"/>
                <w:sz w:val="20"/>
                <w:szCs w:val="20"/>
                <w:lang w:eastAsia="en-US"/>
              </w:rPr>
              <w:t>Indication:</w:t>
            </w:r>
            <w:r>
              <w:rPr>
                <w:rFonts w:ascii="Arial Narrow" w:hAnsi="Arial Narrow" w:cs="Segoe UI"/>
                <w:color w:val="333333"/>
                <w:sz w:val="20"/>
                <w:szCs w:val="20"/>
                <w:lang w:eastAsia="en-US"/>
              </w:rPr>
              <w:t xml:space="preserve"> </w:t>
            </w:r>
            <w:r w:rsidRPr="00F407A6">
              <w:rPr>
                <w:rFonts w:ascii="Arial Narrow" w:hAnsi="Arial Narrow" w:cs="Times New Roman"/>
                <w:sz w:val="20"/>
                <w:szCs w:val="20"/>
              </w:rPr>
              <w:t>Moderate to severe hidradenitis suppurativa</w:t>
            </w:r>
          </w:p>
        </w:tc>
      </w:tr>
      <w:tr w:rsidR="00686FE7" w:rsidRPr="00446E53" w14:paraId="7A2DA793"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hideMark/>
          </w:tcPr>
          <w:p w14:paraId="2FB2D1F6" w14:textId="77777777" w:rsidR="00686FE7" w:rsidRPr="008F703F" w:rsidRDefault="00686FE7">
            <w:pPr>
              <w:rPr>
                <w:rFonts w:ascii="Arial Narrow" w:hAnsi="Arial Narrow"/>
                <w:sz w:val="20"/>
                <w:szCs w:val="20"/>
              </w:rPr>
            </w:pPr>
            <w:r w:rsidRPr="005E63D4">
              <w:rPr>
                <w:rFonts w:ascii="Arial Narrow" w:hAnsi="Arial Narrow"/>
                <w:b/>
                <w:bCs/>
                <w:sz w:val="20"/>
                <w:szCs w:val="20"/>
              </w:rPr>
              <w:t>Treatment Phase:</w:t>
            </w:r>
            <w:r w:rsidRPr="005E63D4">
              <w:rPr>
                <w:rFonts w:ascii="Arial Narrow" w:hAnsi="Arial Narrow"/>
                <w:sz w:val="20"/>
                <w:szCs w:val="20"/>
              </w:rPr>
              <w:t xml:space="preserve"> </w:t>
            </w:r>
            <w:r>
              <w:rPr>
                <w:rFonts w:ascii="Arial Narrow" w:hAnsi="Arial Narrow"/>
                <w:sz w:val="20"/>
                <w:szCs w:val="20"/>
              </w:rPr>
              <w:t xml:space="preserve">Continuing treatment  </w:t>
            </w:r>
          </w:p>
        </w:tc>
      </w:tr>
      <w:tr w:rsidR="00686FE7" w:rsidRPr="00446E53" w14:paraId="4976D1A1"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hideMark/>
          </w:tcPr>
          <w:p w14:paraId="64D138A4" w14:textId="77777777" w:rsidR="00686FE7" w:rsidRPr="008F703F" w:rsidRDefault="00686FE7">
            <w:pPr>
              <w:rPr>
                <w:rFonts w:ascii="Arial Narrow" w:hAnsi="Arial Narrow"/>
                <w:sz w:val="20"/>
                <w:szCs w:val="20"/>
              </w:rPr>
            </w:pPr>
            <w:r w:rsidRPr="00E70DB3">
              <w:rPr>
                <w:rFonts w:ascii="Arial Narrow" w:hAnsi="Arial Narrow" w:cs="Times New Roman"/>
                <w:b/>
                <w:bCs/>
                <w:sz w:val="20"/>
                <w:szCs w:val="20"/>
              </w:rPr>
              <w:t>Clinical criteria:</w:t>
            </w:r>
          </w:p>
        </w:tc>
      </w:tr>
      <w:tr w:rsidR="00686FE7" w:rsidRPr="00446E53" w14:paraId="6482BFBD"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hideMark/>
          </w:tcPr>
          <w:p w14:paraId="4C7FF910" w14:textId="77777777" w:rsidR="00686FE7" w:rsidRPr="008F703F" w:rsidRDefault="00686FE7">
            <w:pPr>
              <w:rPr>
                <w:rFonts w:ascii="Arial Narrow" w:hAnsi="Arial Narrow"/>
                <w:sz w:val="20"/>
                <w:szCs w:val="20"/>
              </w:rPr>
            </w:pPr>
            <w:r w:rsidRPr="00E70DB3">
              <w:rPr>
                <w:rFonts w:ascii="Arial Narrow" w:hAnsi="Arial Narrow" w:cs="Times New Roman"/>
                <w:sz w:val="20"/>
                <w:szCs w:val="20"/>
              </w:rPr>
              <w:t>Patient must have previously received PBS-subsidised treatment with this drug for this condition</w:t>
            </w:r>
          </w:p>
        </w:tc>
      </w:tr>
      <w:tr w:rsidR="00686FE7" w:rsidRPr="00446E53" w14:paraId="0BA098E0"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tcPr>
          <w:p w14:paraId="0C21E6D1" w14:textId="77777777" w:rsidR="00686FE7" w:rsidRPr="008F703F" w:rsidRDefault="00686FE7">
            <w:pPr>
              <w:rPr>
                <w:rFonts w:ascii="Arial Narrow" w:hAnsi="Arial Narrow"/>
                <w:sz w:val="20"/>
                <w:szCs w:val="20"/>
              </w:rPr>
            </w:pPr>
            <w:r w:rsidRPr="00E70DB3">
              <w:rPr>
                <w:rFonts w:ascii="Arial Narrow" w:hAnsi="Arial Narrow" w:cs="Times New Roman"/>
                <w:b/>
                <w:bCs/>
                <w:sz w:val="20"/>
                <w:szCs w:val="20"/>
              </w:rPr>
              <w:t>AND</w:t>
            </w:r>
          </w:p>
        </w:tc>
      </w:tr>
      <w:tr w:rsidR="00686FE7" w:rsidRPr="00446E53" w14:paraId="4620736A"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hideMark/>
          </w:tcPr>
          <w:p w14:paraId="72A885C3" w14:textId="77777777" w:rsidR="00686FE7" w:rsidRPr="008F703F" w:rsidRDefault="00686FE7">
            <w:pPr>
              <w:rPr>
                <w:rFonts w:ascii="Arial Narrow" w:hAnsi="Arial Narrow"/>
                <w:sz w:val="20"/>
                <w:szCs w:val="20"/>
              </w:rPr>
            </w:pPr>
            <w:r w:rsidRPr="00E70DB3">
              <w:rPr>
                <w:rFonts w:ascii="Arial Narrow" w:hAnsi="Arial Narrow" w:cs="Times New Roman"/>
                <w:b/>
                <w:bCs/>
                <w:sz w:val="20"/>
                <w:szCs w:val="20"/>
              </w:rPr>
              <w:t>Clinical criteria:</w:t>
            </w:r>
          </w:p>
        </w:tc>
      </w:tr>
      <w:tr w:rsidR="00686FE7" w:rsidRPr="00446E53" w14:paraId="75F95278"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tcPr>
          <w:p w14:paraId="09720368" w14:textId="77777777" w:rsidR="00686FE7" w:rsidRPr="008F703F" w:rsidRDefault="00686FE7">
            <w:pPr>
              <w:rPr>
                <w:rFonts w:ascii="Arial Narrow" w:hAnsi="Arial Narrow"/>
                <w:sz w:val="20"/>
                <w:szCs w:val="20"/>
              </w:rPr>
            </w:pPr>
            <w:r w:rsidRPr="00E70DB3">
              <w:rPr>
                <w:rFonts w:ascii="Arial Narrow" w:hAnsi="Arial Narrow" w:cs="Times New Roman"/>
                <w:sz w:val="20"/>
                <w:szCs w:val="20"/>
              </w:rPr>
              <w:t>Patient must have demonstrated a response to treatment with this drug for this condition</w:t>
            </w:r>
          </w:p>
        </w:tc>
      </w:tr>
      <w:tr w:rsidR="00686FE7" w:rsidRPr="00446E53" w14:paraId="06D1C766"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hideMark/>
          </w:tcPr>
          <w:p w14:paraId="6B53BEF6" w14:textId="77777777" w:rsidR="00686FE7" w:rsidRPr="008F703F" w:rsidRDefault="00686FE7">
            <w:pPr>
              <w:rPr>
                <w:rFonts w:ascii="Arial Narrow" w:hAnsi="Arial Narrow"/>
                <w:sz w:val="20"/>
                <w:szCs w:val="20"/>
              </w:rPr>
            </w:pPr>
            <w:r w:rsidRPr="00E70DB3">
              <w:rPr>
                <w:rFonts w:ascii="Arial Narrow" w:hAnsi="Arial Narrow" w:cs="Times New Roman"/>
                <w:b/>
                <w:bCs/>
                <w:sz w:val="20"/>
                <w:szCs w:val="20"/>
              </w:rPr>
              <w:t>AND</w:t>
            </w:r>
          </w:p>
        </w:tc>
      </w:tr>
      <w:tr w:rsidR="00686FE7" w:rsidRPr="00446E53" w14:paraId="71975B19"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hideMark/>
          </w:tcPr>
          <w:p w14:paraId="52285D7D" w14:textId="77777777" w:rsidR="00686FE7" w:rsidRPr="008F703F" w:rsidRDefault="00686FE7">
            <w:pPr>
              <w:autoSpaceDE w:val="0"/>
              <w:autoSpaceDN w:val="0"/>
              <w:adjustRightInd w:val="0"/>
              <w:rPr>
                <w:rFonts w:ascii="Arial Narrow" w:hAnsi="Arial Narrow" w:cs="Arial Narrow"/>
                <w:sz w:val="20"/>
                <w:szCs w:val="20"/>
              </w:rPr>
            </w:pPr>
            <w:r w:rsidRPr="00E70DB3">
              <w:rPr>
                <w:rFonts w:ascii="Arial Narrow" w:hAnsi="Arial Narrow" w:cs="Times New Roman"/>
                <w:b/>
                <w:bCs/>
                <w:sz w:val="20"/>
                <w:szCs w:val="20"/>
              </w:rPr>
              <w:t>Treatment criteria:</w:t>
            </w:r>
          </w:p>
        </w:tc>
      </w:tr>
      <w:tr w:rsidR="00686FE7" w:rsidRPr="00446E53" w14:paraId="73FEEA55"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tcPr>
          <w:p w14:paraId="40756DB7" w14:textId="77777777" w:rsidR="00686FE7" w:rsidRPr="008F703F" w:rsidRDefault="00686FE7">
            <w:pPr>
              <w:autoSpaceDE w:val="0"/>
              <w:autoSpaceDN w:val="0"/>
              <w:adjustRightInd w:val="0"/>
              <w:rPr>
                <w:rFonts w:ascii="Arial Narrow" w:hAnsi="Arial Narrow" w:cs="Arial Narrow"/>
                <w:b/>
                <w:bCs/>
                <w:sz w:val="20"/>
                <w:szCs w:val="20"/>
              </w:rPr>
            </w:pPr>
            <w:r w:rsidRPr="00E70DB3">
              <w:rPr>
                <w:rFonts w:ascii="Arial Narrow" w:hAnsi="Arial Narrow" w:cs="Times New Roman"/>
                <w:sz w:val="20"/>
                <w:szCs w:val="20"/>
              </w:rPr>
              <w:t>Must be treated by a dermatologist</w:t>
            </w:r>
          </w:p>
        </w:tc>
      </w:tr>
      <w:tr w:rsidR="00686FE7" w:rsidRPr="00446E53" w14:paraId="5F24B3C6"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hideMark/>
          </w:tcPr>
          <w:p w14:paraId="1E6E3C43" w14:textId="77777777" w:rsidR="00686FE7" w:rsidRPr="00E70DB3" w:rsidRDefault="00686FE7">
            <w:pPr>
              <w:rPr>
                <w:rFonts w:ascii="Arial Narrow" w:hAnsi="Arial Narrow" w:cs="Times New Roman"/>
                <w:b/>
                <w:bCs/>
                <w:sz w:val="20"/>
                <w:szCs w:val="20"/>
              </w:rPr>
            </w:pPr>
            <w:r w:rsidRPr="00E70DB3">
              <w:rPr>
                <w:rFonts w:ascii="Arial Narrow" w:hAnsi="Arial Narrow" w:cs="Times New Roman"/>
                <w:b/>
                <w:bCs/>
                <w:sz w:val="20"/>
                <w:szCs w:val="20"/>
              </w:rPr>
              <w:t xml:space="preserve">Prescribing Instructions: </w:t>
            </w:r>
          </w:p>
          <w:p w14:paraId="060A95E2" w14:textId="77777777" w:rsidR="00686FE7" w:rsidRPr="008F703F" w:rsidRDefault="00686FE7">
            <w:pPr>
              <w:rPr>
                <w:rFonts w:ascii="Arial Narrow" w:hAnsi="Arial Narrow"/>
                <w:sz w:val="20"/>
                <w:szCs w:val="20"/>
              </w:rPr>
            </w:pPr>
            <w:r w:rsidRPr="00E70DB3">
              <w:rPr>
                <w:rFonts w:ascii="Arial Narrow" w:hAnsi="Arial Narrow" w:cs="Times New Roman"/>
                <w:bCs/>
                <w:sz w:val="20"/>
                <w:szCs w:val="20"/>
              </w:rPr>
              <w:t xml:space="preserve">A response to treatment is defined </w:t>
            </w:r>
            <w:r w:rsidRPr="00564411">
              <w:rPr>
                <w:rFonts w:ascii="Arial Narrow" w:hAnsi="Arial Narrow" w:cs="Times New Roman"/>
                <w:bCs/>
                <w:sz w:val="20"/>
                <w:szCs w:val="20"/>
              </w:rPr>
              <w:t>as,</w:t>
            </w:r>
            <w:r w:rsidRPr="00E70DB3">
              <w:rPr>
                <w:rFonts w:ascii="Arial Narrow" w:hAnsi="Arial Narrow" w:cs="Times New Roman"/>
                <w:bCs/>
                <w:sz w:val="20"/>
                <w:szCs w:val="20"/>
              </w:rPr>
              <w:t xml:space="preserve"> Achieving Hidradenitis Suppurativa Clinical Response (</w:t>
            </w:r>
            <w:proofErr w:type="spellStart"/>
            <w:r w:rsidRPr="00E70DB3">
              <w:rPr>
                <w:rFonts w:ascii="Arial Narrow" w:hAnsi="Arial Narrow" w:cs="Times New Roman"/>
                <w:bCs/>
                <w:sz w:val="20"/>
                <w:szCs w:val="20"/>
              </w:rPr>
              <w:t>HiSCR</w:t>
            </w:r>
            <w:proofErr w:type="spellEnd"/>
            <w:r w:rsidRPr="00E70DB3">
              <w:rPr>
                <w:rFonts w:ascii="Arial Narrow" w:hAnsi="Arial Narrow" w:cs="Times New Roman"/>
                <w:bCs/>
                <w:sz w:val="20"/>
                <w:szCs w:val="20"/>
              </w:rPr>
              <w:t>) of a 50% reduction in AN count compared to baseline with no increase in abscesses or draining fistulae.</w:t>
            </w:r>
          </w:p>
        </w:tc>
      </w:tr>
      <w:tr w:rsidR="00686FE7" w:rsidRPr="00446E53" w14:paraId="77B11B6D"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tcPr>
          <w:p w14:paraId="264EA554" w14:textId="77777777" w:rsidR="00686FE7" w:rsidRPr="00E70DB3" w:rsidRDefault="00686FE7">
            <w:pPr>
              <w:rPr>
                <w:rFonts w:ascii="Arial Narrow" w:hAnsi="Arial Narrow" w:cs="Times New Roman"/>
                <w:b/>
                <w:bCs/>
                <w:sz w:val="20"/>
                <w:szCs w:val="20"/>
              </w:rPr>
            </w:pPr>
            <w:r w:rsidRPr="00E70DB3">
              <w:rPr>
                <w:rFonts w:ascii="Arial Narrow" w:hAnsi="Arial Narrow" w:cs="Times New Roman"/>
                <w:b/>
                <w:bCs/>
                <w:sz w:val="20"/>
                <w:szCs w:val="20"/>
              </w:rPr>
              <w:t xml:space="preserve">Prescribing Instructions: </w:t>
            </w:r>
          </w:p>
          <w:p w14:paraId="32295BBC" w14:textId="77777777" w:rsidR="00686FE7" w:rsidRPr="008F703F" w:rsidRDefault="00686FE7">
            <w:pPr>
              <w:rPr>
                <w:rFonts w:ascii="Arial Narrow" w:hAnsi="Arial Narrow"/>
                <w:sz w:val="20"/>
                <w:szCs w:val="20"/>
              </w:rPr>
            </w:pPr>
            <w:r w:rsidRPr="00E70DB3">
              <w:rPr>
                <w:rFonts w:ascii="Arial Narrow" w:hAnsi="Arial Narrow" w:cs="Times New Roman"/>
                <w:sz w:val="20"/>
                <w:szCs w:val="20"/>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tc>
      </w:tr>
      <w:tr w:rsidR="00686FE7" w:rsidRPr="00446E53" w14:paraId="1E9B240D"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hideMark/>
          </w:tcPr>
          <w:p w14:paraId="2FB0BB52" w14:textId="77777777" w:rsidR="00686FE7" w:rsidRPr="00E70DB3" w:rsidRDefault="00686FE7">
            <w:pPr>
              <w:rPr>
                <w:rFonts w:ascii="Arial Narrow" w:hAnsi="Arial Narrow" w:cs="Times New Roman"/>
                <w:b/>
                <w:bCs/>
                <w:sz w:val="20"/>
                <w:szCs w:val="20"/>
              </w:rPr>
            </w:pPr>
            <w:r w:rsidRPr="00E70DB3">
              <w:rPr>
                <w:rFonts w:ascii="Arial Narrow" w:hAnsi="Arial Narrow" w:cs="Times New Roman"/>
                <w:b/>
                <w:bCs/>
                <w:sz w:val="20"/>
                <w:szCs w:val="20"/>
              </w:rPr>
              <w:t xml:space="preserve">Prescribing Instructions: </w:t>
            </w:r>
          </w:p>
          <w:p w14:paraId="2A0F0E0F" w14:textId="77777777" w:rsidR="00686FE7" w:rsidRPr="00160D15" w:rsidRDefault="00686FE7">
            <w:pPr>
              <w:rPr>
                <w:rFonts w:ascii="Arial Narrow" w:hAnsi="Arial Narrow"/>
                <w:sz w:val="20"/>
                <w:szCs w:val="20"/>
              </w:rPr>
            </w:pPr>
            <w:r w:rsidRPr="00E70DB3">
              <w:rPr>
                <w:rFonts w:ascii="Arial Narrow" w:hAnsi="Arial Narrow" w:cs="Times New Roman"/>
                <w:bCs/>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686FE7" w:rsidRPr="00446E53" w14:paraId="290E7EC4"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tcPr>
          <w:p w14:paraId="0C8A4461" w14:textId="77777777" w:rsidR="00686FE7" w:rsidRPr="00E70DB3" w:rsidRDefault="00686FE7">
            <w:pPr>
              <w:rPr>
                <w:rFonts w:ascii="Arial Narrow" w:hAnsi="Arial Narrow" w:cs="Times New Roman"/>
                <w:b/>
                <w:bCs/>
                <w:sz w:val="20"/>
                <w:szCs w:val="20"/>
              </w:rPr>
            </w:pPr>
            <w:r w:rsidRPr="00E70DB3">
              <w:rPr>
                <w:rFonts w:ascii="Arial Narrow" w:hAnsi="Arial Narrow" w:cs="Times New Roman"/>
                <w:b/>
                <w:bCs/>
                <w:sz w:val="20"/>
                <w:szCs w:val="20"/>
              </w:rPr>
              <w:t xml:space="preserve">Prescribing Instructions: </w:t>
            </w:r>
          </w:p>
          <w:p w14:paraId="2F6DF9A2" w14:textId="77777777" w:rsidR="00686FE7" w:rsidRPr="00DD7591" w:rsidRDefault="00686FE7">
            <w:pPr>
              <w:rPr>
                <w:rFonts w:ascii="Arial Narrow" w:hAnsi="Arial Narrow"/>
                <w:sz w:val="20"/>
                <w:szCs w:val="20"/>
              </w:rPr>
            </w:pPr>
            <w:r w:rsidRPr="00E70DB3">
              <w:rPr>
                <w:rFonts w:ascii="Arial Narrow" w:hAnsi="Arial Narrow" w:cs="Times New Roman"/>
                <w:bCs/>
                <w:sz w:val="20"/>
                <w:szCs w:val="20"/>
              </w:rPr>
              <w:t>A maximum of 24 weeks treatment will be authorised under this restriction per continuing treatment.</w:t>
            </w:r>
          </w:p>
        </w:tc>
      </w:tr>
      <w:tr w:rsidR="00686FE7" w:rsidRPr="00446E53" w14:paraId="6902929A"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tcPr>
          <w:p w14:paraId="3DD54C4A" w14:textId="77777777" w:rsidR="00686FE7" w:rsidRPr="00E70DB3" w:rsidRDefault="00686FE7">
            <w:pPr>
              <w:rPr>
                <w:rFonts w:ascii="Arial Narrow" w:hAnsi="Arial Narrow" w:cs="Times New Roman"/>
                <w:b/>
                <w:bCs/>
                <w:sz w:val="20"/>
                <w:szCs w:val="20"/>
              </w:rPr>
            </w:pPr>
            <w:r w:rsidRPr="00E70DB3">
              <w:rPr>
                <w:rFonts w:ascii="Arial Narrow" w:hAnsi="Arial Narrow" w:cs="Times New Roman"/>
                <w:b/>
                <w:bCs/>
                <w:sz w:val="20"/>
                <w:szCs w:val="20"/>
              </w:rPr>
              <w:t xml:space="preserve">Prescribing Instructions: </w:t>
            </w:r>
          </w:p>
          <w:p w14:paraId="7458AAC8" w14:textId="1BB84FB1" w:rsidR="00686FE7" w:rsidRDefault="00686FE7">
            <w:pPr>
              <w:rPr>
                <w:rFonts w:ascii="Arial Narrow" w:hAnsi="Arial Narrow" w:cs="Times New Roman"/>
                <w:sz w:val="20"/>
                <w:szCs w:val="20"/>
              </w:rPr>
            </w:pPr>
          </w:p>
          <w:p w14:paraId="3A06C744" w14:textId="1CAF3B32" w:rsidR="00686FE7" w:rsidRPr="008D2464" w:rsidRDefault="00686FE7">
            <w:pPr>
              <w:rPr>
                <w:rFonts w:ascii="Arial Narrow" w:hAnsi="Arial Narrow"/>
                <w:bCs/>
                <w:sz w:val="18"/>
                <w:szCs w:val="18"/>
              </w:rPr>
            </w:pPr>
            <w:r>
              <w:rPr>
                <w:rFonts w:ascii="Arial Narrow" w:hAnsi="Arial Narrow" w:cs="Times New Roman"/>
                <w:sz w:val="20"/>
                <w:szCs w:val="20"/>
              </w:rPr>
              <w:t>If the application is submitted through HPOS form upload or mail, it must include:</w:t>
            </w:r>
            <w:r w:rsidRPr="00F407A6">
              <w:rPr>
                <w:rFonts w:ascii="Arial Narrow" w:hAnsi="Arial Narrow" w:cs="Times New Roman"/>
                <w:sz w:val="20"/>
                <w:szCs w:val="20"/>
              </w:rPr>
              <w:t xml:space="preserve"> </w:t>
            </w:r>
            <w:r>
              <w:rPr>
                <w:rFonts w:ascii="Arial Narrow" w:hAnsi="Arial Narrow" w:cs="Times New Roman"/>
                <w:sz w:val="20"/>
                <w:szCs w:val="20"/>
              </w:rPr>
              <w:t>(</w:t>
            </w:r>
            <w:proofErr w:type="spellStart"/>
            <w:r>
              <w:rPr>
                <w:rFonts w:ascii="Arial Narrow" w:hAnsi="Arial Narrow" w:cs="Times New Roman"/>
                <w:sz w:val="20"/>
                <w:szCs w:val="20"/>
              </w:rPr>
              <w:t>i</w:t>
            </w:r>
            <w:proofErr w:type="spellEnd"/>
            <w:r>
              <w:rPr>
                <w:rFonts w:ascii="Arial Narrow" w:hAnsi="Arial Narrow" w:cs="Times New Roman"/>
                <w:sz w:val="20"/>
                <w:szCs w:val="20"/>
              </w:rPr>
              <w:t xml:space="preserve">) </w:t>
            </w:r>
            <w:r w:rsidRPr="006077B6">
              <w:rPr>
                <w:rFonts w:ascii="Arial Narrow" w:hAnsi="Arial Narrow" w:cs="Times New Roman"/>
                <w:bCs/>
                <w:sz w:val="20"/>
                <w:szCs w:val="20"/>
              </w:rPr>
              <w:t>details of the proposed prescription;</w:t>
            </w:r>
            <w:r w:rsidRPr="00ED22CB">
              <w:rPr>
                <w:rFonts w:ascii="Arial Narrow" w:hAnsi="Arial Narrow" w:cs="Times New Roman"/>
                <w:bCs/>
                <w:sz w:val="20"/>
                <w:szCs w:val="20"/>
              </w:rPr>
              <w:t xml:space="preserve"> and,</w:t>
            </w:r>
            <w:r w:rsidRPr="00247D49">
              <w:rPr>
                <w:rFonts w:ascii="Arial Narrow" w:hAnsi="Arial Narrow"/>
                <w:bCs/>
                <w:sz w:val="18"/>
                <w:szCs w:val="18"/>
              </w:rPr>
              <w:t xml:space="preserve"> </w:t>
            </w:r>
          </w:p>
          <w:p w14:paraId="31176175" w14:textId="097EA630" w:rsidR="00686FE7" w:rsidRPr="003C67E6" w:rsidRDefault="00686FE7">
            <w:pPr>
              <w:rPr>
                <w:rFonts w:ascii="Arial Narrow" w:hAnsi="Arial Narrow"/>
                <w:b/>
                <w:bCs/>
                <w:sz w:val="20"/>
                <w:szCs w:val="20"/>
              </w:rPr>
            </w:pPr>
            <w:r w:rsidRPr="00E70DB3">
              <w:rPr>
                <w:rFonts w:ascii="Arial Narrow" w:hAnsi="Arial Narrow" w:cs="Times New Roman"/>
                <w:sz w:val="20"/>
                <w:szCs w:val="20"/>
              </w:rPr>
              <w:t xml:space="preserve"> </w:t>
            </w:r>
            <w:r>
              <w:rPr>
                <w:rFonts w:ascii="Arial Narrow" w:hAnsi="Arial Narrow" w:cs="Times New Roman"/>
                <w:sz w:val="20"/>
                <w:szCs w:val="20"/>
              </w:rPr>
              <w:t>(ii)</w:t>
            </w:r>
            <w:r w:rsidRPr="00E70DB3">
              <w:rPr>
                <w:rFonts w:ascii="Arial Narrow" w:hAnsi="Arial Narrow" w:cs="Times New Roman"/>
                <w:sz w:val="20"/>
                <w:szCs w:val="20"/>
              </w:rPr>
              <w:t>a completed authority application form relevant to the indication and treatment phase (the latest version is located on the website specified in the Administrative Advice) which includes the Hidradenitis Suppurativa Clinical Response (</w:t>
            </w:r>
            <w:proofErr w:type="spellStart"/>
            <w:r w:rsidRPr="00E70DB3">
              <w:rPr>
                <w:rFonts w:ascii="Arial Narrow" w:hAnsi="Arial Narrow" w:cs="Times New Roman"/>
                <w:sz w:val="20"/>
                <w:szCs w:val="20"/>
              </w:rPr>
              <w:t>HiSCR</w:t>
            </w:r>
            <w:proofErr w:type="spellEnd"/>
            <w:r w:rsidRPr="00E70DB3">
              <w:rPr>
                <w:rFonts w:ascii="Arial Narrow" w:hAnsi="Arial Narrow" w:cs="Times New Roman"/>
                <w:sz w:val="20"/>
                <w:szCs w:val="20"/>
              </w:rPr>
              <w:t>) result.</w:t>
            </w:r>
          </w:p>
        </w:tc>
      </w:tr>
      <w:tr w:rsidR="002D6186" w:rsidRPr="00446E53" w14:paraId="3491D5DA"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tcPr>
          <w:p w14:paraId="186D4F8F" w14:textId="77777777" w:rsidR="002D6186" w:rsidRPr="00E70DB3" w:rsidRDefault="002D6186">
            <w:pPr>
              <w:rPr>
                <w:rFonts w:ascii="Arial Narrow" w:hAnsi="Arial Narrow" w:cs="Times New Roman"/>
                <w:b/>
                <w:bCs/>
                <w:sz w:val="20"/>
                <w:szCs w:val="20"/>
              </w:rPr>
            </w:pPr>
          </w:p>
        </w:tc>
      </w:tr>
      <w:tr w:rsidR="00686FE7" w:rsidRPr="00446E53" w14:paraId="3B7C7D95"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shd w:val="clear" w:color="auto" w:fill="BFBFBF" w:themeFill="background1" w:themeFillShade="BF"/>
            <w:vAlign w:val="center"/>
          </w:tcPr>
          <w:p w14:paraId="13B5AB62" w14:textId="77777777" w:rsidR="00686FE7" w:rsidRPr="00E70DB3" w:rsidRDefault="00686FE7">
            <w:pPr>
              <w:rPr>
                <w:rFonts w:ascii="Arial Narrow" w:hAnsi="Arial Narrow" w:cs="Times New Roman"/>
                <w:b/>
                <w:bCs/>
                <w:sz w:val="20"/>
                <w:szCs w:val="20"/>
              </w:rPr>
            </w:pPr>
            <w:r w:rsidRPr="002314B4">
              <w:rPr>
                <w:rFonts w:ascii="Arial Narrow" w:hAnsi="Arial Narrow"/>
                <w:b/>
                <w:sz w:val="20"/>
                <w:szCs w:val="20"/>
              </w:rPr>
              <w:t>Restriction Summary [new</w:t>
            </w:r>
            <w:r>
              <w:rPr>
                <w:rFonts w:ascii="Arial Narrow" w:hAnsi="Arial Narrow"/>
                <w:b/>
                <w:sz w:val="20"/>
                <w:szCs w:val="20"/>
              </w:rPr>
              <w:t>6</w:t>
            </w:r>
            <w:r w:rsidRPr="002314B4">
              <w:rPr>
                <w:rFonts w:ascii="Arial Narrow" w:hAnsi="Arial Narrow"/>
                <w:b/>
                <w:sz w:val="20"/>
                <w:szCs w:val="20"/>
              </w:rPr>
              <w:t>] / Treatment of Concept: [new</w:t>
            </w:r>
            <w:r>
              <w:rPr>
                <w:rFonts w:ascii="Arial Narrow" w:hAnsi="Arial Narrow"/>
                <w:b/>
                <w:sz w:val="20"/>
                <w:szCs w:val="20"/>
              </w:rPr>
              <w:t>6</w:t>
            </w:r>
            <w:r w:rsidRPr="002314B4">
              <w:rPr>
                <w:rFonts w:ascii="Arial Narrow" w:hAnsi="Arial Narrow"/>
                <w:b/>
                <w:sz w:val="20"/>
                <w:szCs w:val="20"/>
              </w:rPr>
              <w:t xml:space="preserve">A] </w:t>
            </w:r>
          </w:p>
        </w:tc>
      </w:tr>
      <w:tr w:rsidR="00686FE7" w:rsidRPr="00446E53" w14:paraId="25D499D4"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tcPr>
          <w:p w14:paraId="0F0AA124" w14:textId="77777777" w:rsidR="00686FE7" w:rsidRPr="000B5C03" w:rsidRDefault="00686FE7">
            <w:pPr>
              <w:rPr>
                <w:rFonts w:ascii="Arial Narrow" w:hAnsi="Arial Narrow" w:cs="Times New Roman"/>
                <w:b/>
                <w:bCs/>
                <w:sz w:val="20"/>
                <w:szCs w:val="20"/>
              </w:rPr>
            </w:pPr>
            <w:r w:rsidRPr="000B5C03">
              <w:rPr>
                <w:rFonts w:ascii="Arial Narrow" w:hAnsi="Arial Narrow" w:cs="Segoe UI"/>
                <w:b/>
                <w:bCs/>
                <w:color w:val="333333"/>
                <w:sz w:val="20"/>
                <w:szCs w:val="20"/>
                <w:lang w:eastAsia="en-US"/>
              </w:rPr>
              <w:t>Indication:</w:t>
            </w:r>
            <w:r w:rsidRPr="000B5C03">
              <w:rPr>
                <w:rFonts w:ascii="Arial Narrow" w:hAnsi="Arial Narrow" w:cs="Segoe UI"/>
                <w:color w:val="333333"/>
                <w:sz w:val="20"/>
                <w:szCs w:val="20"/>
                <w:lang w:eastAsia="en-US"/>
              </w:rPr>
              <w:t xml:space="preserve"> </w:t>
            </w:r>
            <w:r w:rsidRPr="000B5C03">
              <w:rPr>
                <w:rFonts w:ascii="Arial Narrow" w:hAnsi="Arial Narrow" w:cs="Times New Roman"/>
                <w:sz w:val="20"/>
                <w:szCs w:val="20"/>
              </w:rPr>
              <w:t>Moderate to severe hidradenitis suppurativa</w:t>
            </w:r>
          </w:p>
        </w:tc>
      </w:tr>
      <w:tr w:rsidR="00686FE7" w:rsidRPr="00446E53" w14:paraId="5032F2EE"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tcPr>
          <w:p w14:paraId="64C76322" w14:textId="787E108B" w:rsidR="00686FE7" w:rsidRPr="00E70DB3" w:rsidRDefault="00686FE7">
            <w:pPr>
              <w:rPr>
                <w:rFonts w:ascii="Arial Narrow" w:hAnsi="Arial Narrow" w:cs="Times New Roman"/>
                <w:b/>
                <w:bCs/>
                <w:sz w:val="20"/>
                <w:szCs w:val="20"/>
              </w:rPr>
            </w:pPr>
            <w:r w:rsidRPr="005E63D4">
              <w:rPr>
                <w:rFonts w:ascii="Arial Narrow" w:hAnsi="Arial Narrow"/>
                <w:b/>
                <w:bCs/>
                <w:sz w:val="20"/>
                <w:szCs w:val="20"/>
              </w:rPr>
              <w:t>Treatment Phase:</w:t>
            </w:r>
            <w:r w:rsidRPr="005E63D4">
              <w:rPr>
                <w:rFonts w:ascii="Arial Narrow" w:hAnsi="Arial Narrow"/>
                <w:sz w:val="20"/>
                <w:szCs w:val="20"/>
              </w:rPr>
              <w:t xml:space="preserve"> </w:t>
            </w:r>
            <w:r w:rsidRPr="00A72F0E">
              <w:rPr>
                <w:rFonts w:ascii="Arial Narrow" w:hAnsi="Arial Narrow" w:cs="Times New Roman"/>
                <w:sz w:val="20"/>
                <w:szCs w:val="20"/>
              </w:rPr>
              <w:t xml:space="preserve">Transitioning from non-PBS to PBS-subsidised supply </w:t>
            </w:r>
            <w:r>
              <w:rPr>
                <w:rFonts w:ascii="Arial Narrow" w:hAnsi="Arial Narrow" w:cs="Times New Roman"/>
                <w:sz w:val="20"/>
                <w:szCs w:val="20"/>
              </w:rPr>
              <w:t>–</w:t>
            </w:r>
            <w:r w:rsidRPr="00A72F0E">
              <w:rPr>
                <w:rFonts w:ascii="Arial Narrow" w:hAnsi="Arial Narrow" w:cs="Times New Roman"/>
                <w:sz w:val="20"/>
                <w:szCs w:val="20"/>
              </w:rPr>
              <w:t xml:space="preserve"> </w:t>
            </w:r>
            <w:r>
              <w:rPr>
                <w:rFonts w:ascii="Arial Narrow" w:hAnsi="Arial Narrow" w:cs="Times New Roman"/>
                <w:sz w:val="20"/>
                <w:szCs w:val="20"/>
              </w:rPr>
              <w:t>‘</w:t>
            </w:r>
            <w:r w:rsidRPr="00A72F0E">
              <w:rPr>
                <w:rFonts w:ascii="Arial Narrow" w:hAnsi="Arial Narrow" w:cs="Times New Roman"/>
                <w:sz w:val="20"/>
                <w:szCs w:val="20"/>
              </w:rPr>
              <w:t>Grandfather arrangements</w:t>
            </w:r>
            <w:r>
              <w:rPr>
                <w:rFonts w:ascii="Arial Narrow" w:hAnsi="Arial Narrow" w:cs="Times New Roman"/>
                <w:sz w:val="20"/>
                <w:szCs w:val="20"/>
              </w:rPr>
              <w:t>’</w:t>
            </w:r>
          </w:p>
        </w:tc>
      </w:tr>
      <w:tr w:rsidR="00686FE7" w:rsidRPr="00446E53" w14:paraId="597DCBEA"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tcPr>
          <w:p w14:paraId="54479722" w14:textId="77777777" w:rsidR="00686FE7" w:rsidRPr="00E70DB3" w:rsidRDefault="00686FE7">
            <w:pPr>
              <w:rPr>
                <w:rFonts w:ascii="Arial Narrow" w:hAnsi="Arial Narrow" w:cs="Times New Roman"/>
                <w:b/>
                <w:bCs/>
                <w:sz w:val="20"/>
                <w:szCs w:val="20"/>
              </w:rPr>
            </w:pPr>
            <w:r w:rsidRPr="00AC7036">
              <w:rPr>
                <w:rFonts w:ascii="Arial Narrow" w:hAnsi="Arial Narrow" w:cs="Times New Roman"/>
                <w:b/>
                <w:bCs/>
                <w:sz w:val="20"/>
                <w:szCs w:val="20"/>
              </w:rPr>
              <w:lastRenderedPageBreak/>
              <w:t>Clinical criteria:</w:t>
            </w:r>
          </w:p>
        </w:tc>
      </w:tr>
      <w:tr w:rsidR="00686FE7" w:rsidRPr="00446E53" w14:paraId="1142321D"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tcPr>
          <w:p w14:paraId="33F9CD35" w14:textId="77777777" w:rsidR="00686FE7" w:rsidRPr="00E70DB3" w:rsidRDefault="00686FE7">
            <w:pPr>
              <w:rPr>
                <w:rFonts w:ascii="Arial Narrow" w:hAnsi="Arial Narrow" w:cs="Times New Roman"/>
                <w:b/>
                <w:bCs/>
                <w:sz w:val="20"/>
                <w:szCs w:val="20"/>
              </w:rPr>
            </w:pPr>
            <w:r w:rsidRPr="00AC7036">
              <w:rPr>
                <w:rFonts w:ascii="Arial Narrow" w:hAnsi="Arial Narrow" w:cs="Times New Roman"/>
                <w:sz w:val="20"/>
                <w:szCs w:val="20"/>
              </w:rPr>
              <w:t>Patient must have received non-PBS-subsidised treatment with this drug for this PBS indication prior to [listing date],</w:t>
            </w:r>
          </w:p>
        </w:tc>
      </w:tr>
      <w:tr w:rsidR="00686FE7" w:rsidRPr="00446E53" w14:paraId="19E81F68"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tcPr>
          <w:p w14:paraId="330675F6" w14:textId="77777777" w:rsidR="00686FE7" w:rsidRPr="00E70DB3" w:rsidRDefault="00686FE7">
            <w:pPr>
              <w:rPr>
                <w:rFonts w:ascii="Arial Narrow" w:hAnsi="Arial Narrow" w:cs="Times New Roman"/>
                <w:b/>
                <w:bCs/>
                <w:sz w:val="20"/>
                <w:szCs w:val="20"/>
              </w:rPr>
            </w:pPr>
            <w:r w:rsidRPr="00AC7036">
              <w:rPr>
                <w:rFonts w:ascii="Arial Narrow" w:hAnsi="Arial Narrow" w:cs="Times New Roman"/>
                <w:b/>
                <w:bCs/>
                <w:sz w:val="20"/>
                <w:szCs w:val="20"/>
              </w:rPr>
              <w:t>AND</w:t>
            </w:r>
          </w:p>
        </w:tc>
      </w:tr>
      <w:tr w:rsidR="00686FE7" w:rsidRPr="00446E53" w14:paraId="4FA309AB"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tcPr>
          <w:p w14:paraId="0227E5AF" w14:textId="77777777" w:rsidR="00686FE7" w:rsidRPr="00E70DB3" w:rsidRDefault="00686FE7">
            <w:pPr>
              <w:rPr>
                <w:rFonts w:ascii="Arial Narrow" w:hAnsi="Arial Narrow" w:cs="Times New Roman"/>
                <w:b/>
                <w:bCs/>
                <w:sz w:val="20"/>
                <w:szCs w:val="20"/>
              </w:rPr>
            </w:pPr>
            <w:r w:rsidRPr="00AC7036">
              <w:rPr>
                <w:rFonts w:ascii="Arial Narrow" w:hAnsi="Arial Narrow" w:cs="Times New Roman"/>
                <w:b/>
                <w:bCs/>
                <w:sz w:val="20"/>
                <w:szCs w:val="20"/>
              </w:rPr>
              <w:t>Clinical criteria:</w:t>
            </w:r>
          </w:p>
        </w:tc>
      </w:tr>
      <w:tr w:rsidR="00686FE7" w:rsidRPr="00446E53" w14:paraId="36EB3B00"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tcPr>
          <w:p w14:paraId="4BF952D3" w14:textId="77777777" w:rsidR="00686FE7" w:rsidRPr="00E70DB3" w:rsidRDefault="00686FE7">
            <w:pPr>
              <w:rPr>
                <w:rFonts w:ascii="Arial Narrow" w:hAnsi="Arial Narrow" w:cs="Times New Roman"/>
                <w:b/>
                <w:bCs/>
                <w:sz w:val="20"/>
                <w:szCs w:val="20"/>
              </w:rPr>
            </w:pPr>
            <w:r w:rsidRPr="00AC7036">
              <w:rPr>
                <w:rFonts w:ascii="Arial Narrow" w:hAnsi="Arial Narrow" w:cs="Times New Roman"/>
                <w:sz w:val="20"/>
                <w:szCs w:val="20"/>
              </w:rPr>
              <w:t>Patient must have had a Hurley stage II or III with an abscess and inflammatory nodule (AN) count greater than or equal to 3 prior to starting treatment with this drug for this condition</w:t>
            </w:r>
          </w:p>
        </w:tc>
      </w:tr>
      <w:tr w:rsidR="00686FE7" w:rsidRPr="00446E53" w14:paraId="20C2A3DD"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tcPr>
          <w:p w14:paraId="23236ABD" w14:textId="77777777" w:rsidR="00686FE7" w:rsidRPr="00E70DB3" w:rsidRDefault="00686FE7">
            <w:pPr>
              <w:rPr>
                <w:rFonts w:ascii="Arial Narrow" w:hAnsi="Arial Narrow" w:cs="Times New Roman"/>
                <w:b/>
                <w:bCs/>
                <w:sz w:val="20"/>
                <w:szCs w:val="20"/>
              </w:rPr>
            </w:pPr>
            <w:r w:rsidRPr="00AC7036">
              <w:rPr>
                <w:rFonts w:ascii="Arial Narrow" w:hAnsi="Arial Narrow" w:cs="Times New Roman"/>
                <w:b/>
                <w:bCs/>
                <w:sz w:val="20"/>
                <w:szCs w:val="20"/>
              </w:rPr>
              <w:t>AND</w:t>
            </w:r>
          </w:p>
        </w:tc>
      </w:tr>
      <w:tr w:rsidR="00686FE7" w:rsidRPr="00446E53" w14:paraId="117A274F"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tcPr>
          <w:p w14:paraId="4FF552E6" w14:textId="77777777" w:rsidR="00686FE7" w:rsidRPr="00C020A6" w:rsidRDefault="00686FE7">
            <w:pPr>
              <w:rPr>
                <w:rFonts w:ascii="Arial Narrow" w:hAnsi="Arial Narrow" w:cs="Times New Roman"/>
                <w:b/>
                <w:bCs/>
                <w:sz w:val="20"/>
                <w:szCs w:val="20"/>
              </w:rPr>
            </w:pPr>
            <w:r w:rsidRPr="00C020A6">
              <w:rPr>
                <w:rFonts w:ascii="Arial Narrow" w:hAnsi="Arial Narrow" w:cs="Times New Roman"/>
                <w:b/>
                <w:bCs/>
                <w:sz w:val="20"/>
                <w:szCs w:val="20"/>
              </w:rPr>
              <w:t>Clinical criteria:</w:t>
            </w:r>
          </w:p>
        </w:tc>
      </w:tr>
      <w:tr w:rsidR="00686FE7" w:rsidRPr="00446E53" w14:paraId="6F9B7CCF"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tcPr>
          <w:p w14:paraId="1C0464CB" w14:textId="77777777" w:rsidR="00686FE7" w:rsidRPr="00C020A6" w:rsidRDefault="00686FE7">
            <w:pPr>
              <w:rPr>
                <w:rFonts w:ascii="Arial Narrow" w:hAnsi="Arial Narrow" w:cs="Times New Roman"/>
                <w:b/>
                <w:bCs/>
                <w:sz w:val="20"/>
                <w:szCs w:val="20"/>
              </w:rPr>
            </w:pPr>
            <w:r w:rsidRPr="00C020A6">
              <w:rPr>
                <w:rFonts w:ascii="Arial Narrow" w:hAnsi="Arial Narrow" w:cs="Times New Roman"/>
                <w:sz w:val="20"/>
                <w:szCs w:val="20"/>
              </w:rPr>
              <w:t>Patient must have demonstrated a response to treatment by achieving Hidradenitis Suppurativa Clinical Response (</w:t>
            </w:r>
            <w:proofErr w:type="spellStart"/>
            <w:r w:rsidRPr="00C020A6">
              <w:rPr>
                <w:rFonts w:ascii="Arial Narrow" w:hAnsi="Arial Narrow" w:cs="Times New Roman"/>
                <w:sz w:val="20"/>
                <w:szCs w:val="20"/>
              </w:rPr>
              <w:t>HiSCR</w:t>
            </w:r>
            <w:proofErr w:type="spellEnd"/>
            <w:r w:rsidRPr="00C020A6">
              <w:rPr>
                <w:rFonts w:ascii="Arial Narrow" w:hAnsi="Arial Narrow" w:cs="Times New Roman"/>
                <w:sz w:val="20"/>
                <w:szCs w:val="20"/>
              </w:rPr>
              <w:t>) after 12 weeks of treatment if the patient has been treated with this drug for this condition for 12 weeks or longer,</w:t>
            </w:r>
          </w:p>
        </w:tc>
      </w:tr>
      <w:tr w:rsidR="00686FE7" w:rsidRPr="00446E53" w14:paraId="4063DD69"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tcPr>
          <w:p w14:paraId="72AF0BC8" w14:textId="77777777" w:rsidR="00686FE7" w:rsidRPr="00C020A6" w:rsidRDefault="00686FE7">
            <w:pPr>
              <w:rPr>
                <w:rFonts w:ascii="Arial Narrow" w:hAnsi="Arial Narrow" w:cs="Times New Roman"/>
                <w:b/>
                <w:bCs/>
                <w:sz w:val="20"/>
                <w:szCs w:val="20"/>
              </w:rPr>
            </w:pPr>
            <w:r w:rsidRPr="00C020A6">
              <w:rPr>
                <w:rFonts w:ascii="Arial Narrow" w:hAnsi="Arial Narrow" w:cs="Times New Roman"/>
                <w:b/>
                <w:bCs/>
                <w:sz w:val="20"/>
                <w:szCs w:val="20"/>
              </w:rPr>
              <w:t>AND</w:t>
            </w:r>
          </w:p>
        </w:tc>
      </w:tr>
      <w:tr w:rsidR="00686FE7" w:rsidRPr="00446E53" w14:paraId="1C6B2F1B"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tcPr>
          <w:p w14:paraId="5C6150F2" w14:textId="77777777" w:rsidR="00686FE7" w:rsidRPr="00C020A6" w:rsidRDefault="00686FE7">
            <w:pPr>
              <w:rPr>
                <w:rFonts w:ascii="Arial Narrow" w:hAnsi="Arial Narrow" w:cs="Times New Roman"/>
                <w:b/>
                <w:bCs/>
                <w:sz w:val="20"/>
                <w:szCs w:val="20"/>
              </w:rPr>
            </w:pPr>
            <w:r w:rsidRPr="00C020A6">
              <w:rPr>
                <w:rFonts w:ascii="Arial Narrow" w:hAnsi="Arial Narrow" w:cs="Times New Roman"/>
                <w:b/>
                <w:bCs/>
                <w:sz w:val="20"/>
                <w:szCs w:val="20"/>
              </w:rPr>
              <w:t>Clinical criteria:</w:t>
            </w:r>
          </w:p>
        </w:tc>
      </w:tr>
      <w:tr w:rsidR="00686FE7" w:rsidRPr="00446E53" w14:paraId="1D748C06"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tcPr>
          <w:p w14:paraId="6FB56870" w14:textId="77777777" w:rsidR="00686FE7" w:rsidRPr="004549C2" w:rsidRDefault="00686FE7">
            <w:pPr>
              <w:rPr>
                <w:rFonts w:ascii="Arial Narrow" w:hAnsi="Arial Narrow" w:cs="Times New Roman"/>
                <w:sz w:val="20"/>
                <w:szCs w:val="20"/>
              </w:rPr>
            </w:pPr>
            <w:r w:rsidRPr="004549C2">
              <w:rPr>
                <w:rFonts w:ascii="Arial Narrow" w:hAnsi="Arial Narrow" w:cs="Times New Roman"/>
                <w:sz w:val="20"/>
                <w:szCs w:val="20"/>
              </w:rPr>
              <w:t>Patient must have failed to achieve an adequate response to 2 courses of different antibiotics each for 3 months prior to initiation of non-PBS-subsidised treatment with this drug for this condition; or</w:t>
            </w:r>
          </w:p>
        </w:tc>
      </w:tr>
      <w:tr w:rsidR="00686FE7" w:rsidRPr="00446E53" w14:paraId="1CBEA6A8"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tcPr>
          <w:p w14:paraId="139380BE" w14:textId="77777777" w:rsidR="00686FE7" w:rsidRPr="004549C2" w:rsidRDefault="00686FE7">
            <w:pPr>
              <w:rPr>
                <w:rFonts w:ascii="Arial Narrow" w:hAnsi="Arial Narrow" w:cs="Times New Roman"/>
                <w:sz w:val="20"/>
                <w:szCs w:val="20"/>
              </w:rPr>
            </w:pPr>
            <w:r w:rsidRPr="004549C2">
              <w:rPr>
                <w:rFonts w:ascii="Arial Narrow" w:hAnsi="Arial Narrow" w:cs="Times New Roman"/>
                <w:sz w:val="20"/>
                <w:szCs w:val="20"/>
              </w:rPr>
              <w:t>Patient must have had an adverse reaction to an antibiotic of a severity necessitating permanent treatment withdrawal resulting in the patient being unable to complete treatment with 2 different courses of antibiotics each for 3 months prior to initiation of non-PBS-subsidised treatment with this drug for this condition; or</w:t>
            </w:r>
          </w:p>
        </w:tc>
      </w:tr>
      <w:tr w:rsidR="00686FE7" w:rsidRPr="00446E53" w14:paraId="08EA2A4A"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tcPr>
          <w:p w14:paraId="46F039E7" w14:textId="77777777" w:rsidR="00686FE7" w:rsidRPr="004549C2" w:rsidRDefault="00686FE7">
            <w:pPr>
              <w:rPr>
                <w:rFonts w:ascii="Arial Narrow" w:hAnsi="Arial Narrow" w:cs="Times New Roman"/>
                <w:sz w:val="20"/>
                <w:szCs w:val="20"/>
              </w:rPr>
            </w:pPr>
            <w:r w:rsidRPr="004549C2">
              <w:rPr>
                <w:rFonts w:ascii="Arial Narrow" w:hAnsi="Arial Narrow" w:cs="Times New Roman"/>
                <w:sz w:val="20"/>
                <w:szCs w:val="20"/>
              </w:rPr>
              <w:t>Patient must be contraindicated to treatment with an antibiotic due to an allergic reaction of a severity necessitating permanent treatment withdrawal resulting in the patient being unable to complete treatment with 2 different courses of antibiotics each for 3 months prior to initiation of non-PBS-subsidised treatment with this drug for this condition</w:t>
            </w:r>
          </w:p>
        </w:tc>
      </w:tr>
      <w:tr w:rsidR="00686FE7" w:rsidRPr="00446E53" w14:paraId="04C754B4"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tcPr>
          <w:p w14:paraId="306744CE" w14:textId="77777777" w:rsidR="00686FE7" w:rsidRPr="00E70DB3" w:rsidRDefault="00686FE7">
            <w:pPr>
              <w:rPr>
                <w:rFonts w:ascii="Arial Narrow" w:hAnsi="Arial Narrow" w:cs="Times New Roman"/>
                <w:b/>
                <w:bCs/>
                <w:sz w:val="20"/>
                <w:szCs w:val="20"/>
              </w:rPr>
            </w:pPr>
            <w:r w:rsidRPr="00AC7036">
              <w:rPr>
                <w:rFonts w:ascii="Arial Narrow" w:hAnsi="Arial Narrow" w:cs="Times New Roman"/>
                <w:b/>
                <w:bCs/>
                <w:sz w:val="20"/>
                <w:szCs w:val="20"/>
              </w:rPr>
              <w:t>AND</w:t>
            </w:r>
          </w:p>
        </w:tc>
      </w:tr>
      <w:tr w:rsidR="00686FE7" w:rsidRPr="00446E53" w14:paraId="4A2C422B"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tcPr>
          <w:p w14:paraId="6FB33CB1" w14:textId="77777777" w:rsidR="00686FE7" w:rsidRPr="00E70DB3" w:rsidRDefault="00686FE7">
            <w:pPr>
              <w:rPr>
                <w:rFonts w:ascii="Arial Narrow" w:hAnsi="Arial Narrow" w:cs="Times New Roman"/>
                <w:b/>
                <w:bCs/>
                <w:sz w:val="20"/>
                <w:szCs w:val="20"/>
              </w:rPr>
            </w:pPr>
            <w:r w:rsidRPr="00AC7036">
              <w:rPr>
                <w:rFonts w:ascii="Arial Narrow" w:hAnsi="Arial Narrow" w:cs="Open Sans"/>
                <w:b/>
                <w:bCs/>
                <w:sz w:val="20"/>
                <w:szCs w:val="20"/>
                <w:bdr w:val="none" w:sz="0" w:space="0" w:color="auto" w:frame="1"/>
              </w:rPr>
              <w:t>Clinical criteria:</w:t>
            </w:r>
          </w:p>
        </w:tc>
      </w:tr>
      <w:tr w:rsidR="00686FE7" w:rsidRPr="00446E53" w14:paraId="151CBDCF"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tcPr>
          <w:p w14:paraId="76D644DD" w14:textId="77777777" w:rsidR="00686FE7" w:rsidRPr="00E70DB3" w:rsidRDefault="00686FE7">
            <w:pPr>
              <w:rPr>
                <w:rFonts w:ascii="Arial Narrow" w:hAnsi="Arial Narrow" w:cs="Times New Roman"/>
                <w:b/>
                <w:bCs/>
                <w:sz w:val="20"/>
                <w:szCs w:val="20"/>
              </w:rPr>
            </w:pPr>
            <w:r w:rsidRPr="00AC7036">
              <w:rPr>
                <w:rFonts w:ascii="Arial Narrow" w:hAnsi="Arial Narrow" w:cs="Open Sans"/>
                <w:sz w:val="20"/>
                <w:szCs w:val="20"/>
                <w:bdr w:val="none" w:sz="0" w:space="0" w:color="auto" w:frame="1"/>
              </w:rPr>
              <w:t>Patient must not receive more than 24 weeks of treatment under this restriction</w:t>
            </w:r>
          </w:p>
        </w:tc>
      </w:tr>
      <w:tr w:rsidR="00686FE7" w:rsidRPr="00446E53" w14:paraId="7D35F1F7"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tcPr>
          <w:p w14:paraId="4937D011" w14:textId="77777777" w:rsidR="00686FE7" w:rsidRPr="00E70DB3" w:rsidRDefault="00686FE7">
            <w:pPr>
              <w:rPr>
                <w:rFonts w:ascii="Arial Narrow" w:hAnsi="Arial Narrow" w:cs="Times New Roman"/>
                <w:b/>
                <w:bCs/>
                <w:sz w:val="20"/>
                <w:szCs w:val="20"/>
              </w:rPr>
            </w:pPr>
            <w:r w:rsidRPr="00AC7036">
              <w:rPr>
                <w:rFonts w:ascii="Arial Narrow" w:hAnsi="Arial Narrow" w:cs="Times New Roman"/>
                <w:b/>
                <w:bCs/>
                <w:sz w:val="20"/>
                <w:szCs w:val="20"/>
              </w:rPr>
              <w:t>Treatment criteria:</w:t>
            </w:r>
          </w:p>
        </w:tc>
      </w:tr>
      <w:tr w:rsidR="00686FE7" w:rsidRPr="00446E53" w14:paraId="33A13EBB"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tcPr>
          <w:p w14:paraId="59F553EB" w14:textId="77777777" w:rsidR="00686FE7" w:rsidRPr="00E70DB3" w:rsidRDefault="00686FE7">
            <w:pPr>
              <w:rPr>
                <w:rFonts w:ascii="Arial Narrow" w:hAnsi="Arial Narrow" w:cs="Times New Roman"/>
                <w:b/>
                <w:bCs/>
                <w:sz w:val="20"/>
                <w:szCs w:val="20"/>
              </w:rPr>
            </w:pPr>
            <w:r w:rsidRPr="00AC7036">
              <w:rPr>
                <w:rFonts w:ascii="Arial Narrow" w:hAnsi="Arial Narrow" w:cs="Times New Roman"/>
                <w:sz w:val="20"/>
                <w:szCs w:val="20"/>
              </w:rPr>
              <w:t>Must be treated by a dermatologist</w:t>
            </w:r>
          </w:p>
        </w:tc>
      </w:tr>
      <w:tr w:rsidR="00686FE7" w:rsidRPr="00446E53" w14:paraId="145963DC"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tcPr>
          <w:p w14:paraId="5E2189C2" w14:textId="77777777" w:rsidR="00686FE7" w:rsidRPr="00AC7036" w:rsidRDefault="00686FE7">
            <w:pPr>
              <w:rPr>
                <w:rFonts w:ascii="Arial Narrow" w:hAnsi="Arial Narrow" w:cs="Times New Roman"/>
                <w:b/>
                <w:bCs/>
                <w:sz w:val="20"/>
                <w:szCs w:val="20"/>
              </w:rPr>
            </w:pPr>
            <w:r w:rsidRPr="00AC7036">
              <w:rPr>
                <w:rFonts w:ascii="Arial Narrow" w:hAnsi="Arial Narrow" w:cs="Times New Roman"/>
                <w:b/>
                <w:bCs/>
                <w:sz w:val="20"/>
                <w:szCs w:val="20"/>
              </w:rPr>
              <w:t>Prescribing Instructions:</w:t>
            </w:r>
          </w:p>
          <w:p w14:paraId="47AEC64C" w14:textId="77777777" w:rsidR="00686FE7" w:rsidRPr="00AC7036" w:rsidRDefault="00686FE7">
            <w:pPr>
              <w:rPr>
                <w:rFonts w:ascii="Arial Narrow" w:hAnsi="Arial Narrow" w:cs="Times New Roman"/>
                <w:bCs/>
                <w:sz w:val="20"/>
                <w:szCs w:val="20"/>
              </w:rPr>
            </w:pPr>
            <w:r w:rsidRPr="00AC7036">
              <w:rPr>
                <w:rFonts w:ascii="Arial Narrow" w:hAnsi="Arial Narrow" w:cs="Times New Roman"/>
                <w:bCs/>
                <w:sz w:val="20"/>
                <w:szCs w:val="20"/>
              </w:rPr>
              <w:t>A response to treatment is defined as:</w:t>
            </w:r>
          </w:p>
          <w:p w14:paraId="16FA1DE4" w14:textId="77777777" w:rsidR="00686FE7" w:rsidRPr="00E70DB3" w:rsidRDefault="00686FE7">
            <w:pPr>
              <w:rPr>
                <w:rFonts w:ascii="Arial Narrow" w:hAnsi="Arial Narrow" w:cs="Times New Roman"/>
                <w:b/>
                <w:bCs/>
                <w:sz w:val="20"/>
                <w:szCs w:val="20"/>
              </w:rPr>
            </w:pPr>
            <w:r w:rsidRPr="00AC7036">
              <w:rPr>
                <w:rFonts w:ascii="Arial Narrow" w:hAnsi="Arial Narrow" w:cs="Times New Roman"/>
                <w:bCs/>
                <w:sz w:val="20"/>
                <w:szCs w:val="20"/>
              </w:rPr>
              <w:t>Achieving Hidradenitis Suppurativa Clinical Response (</w:t>
            </w:r>
            <w:proofErr w:type="spellStart"/>
            <w:r w:rsidRPr="00AC7036">
              <w:rPr>
                <w:rFonts w:ascii="Arial Narrow" w:hAnsi="Arial Narrow" w:cs="Times New Roman"/>
                <w:bCs/>
                <w:sz w:val="20"/>
                <w:szCs w:val="20"/>
              </w:rPr>
              <w:t>HiSCR</w:t>
            </w:r>
            <w:proofErr w:type="spellEnd"/>
            <w:r w:rsidRPr="00AC7036">
              <w:rPr>
                <w:rFonts w:ascii="Arial Narrow" w:hAnsi="Arial Narrow" w:cs="Times New Roman"/>
                <w:bCs/>
                <w:sz w:val="20"/>
                <w:szCs w:val="20"/>
              </w:rPr>
              <w:t>) of a 50% reduction in AN count compared to baseline with no increase in abscesses or draining fistulae.</w:t>
            </w:r>
          </w:p>
        </w:tc>
      </w:tr>
      <w:tr w:rsidR="00686FE7" w:rsidRPr="00446E53" w14:paraId="65BB5467"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tcPr>
          <w:p w14:paraId="19D63826" w14:textId="77777777" w:rsidR="00686FE7" w:rsidRPr="00AC7036" w:rsidRDefault="00686FE7">
            <w:pPr>
              <w:rPr>
                <w:rFonts w:ascii="Arial Narrow" w:hAnsi="Arial Narrow" w:cs="Times New Roman"/>
                <w:b/>
                <w:bCs/>
                <w:sz w:val="20"/>
                <w:szCs w:val="20"/>
              </w:rPr>
            </w:pPr>
            <w:r w:rsidRPr="00AC7036">
              <w:rPr>
                <w:rFonts w:ascii="Arial Narrow" w:hAnsi="Arial Narrow" w:cs="Times New Roman"/>
                <w:b/>
                <w:bCs/>
                <w:sz w:val="20"/>
                <w:szCs w:val="20"/>
              </w:rPr>
              <w:t xml:space="preserve">Prescribing Instructions: </w:t>
            </w:r>
          </w:p>
          <w:p w14:paraId="4A34C6CC" w14:textId="77777777" w:rsidR="00686FE7" w:rsidRPr="00E70DB3" w:rsidRDefault="00686FE7">
            <w:pPr>
              <w:rPr>
                <w:rFonts w:ascii="Arial Narrow" w:hAnsi="Arial Narrow" w:cs="Times New Roman"/>
                <w:b/>
                <w:bCs/>
                <w:sz w:val="20"/>
                <w:szCs w:val="20"/>
              </w:rPr>
            </w:pPr>
            <w:r w:rsidRPr="00AC7036">
              <w:rPr>
                <w:rFonts w:ascii="Arial Narrow" w:hAnsi="Arial Narrow" w:cs="Times New Roman"/>
                <w:sz w:val="20"/>
                <w:szCs w:val="20"/>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tc>
      </w:tr>
      <w:tr w:rsidR="00686FE7" w:rsidRPr="00446E53" w14:paraId="24DB41C8"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tcPr>
          <w:p w14:paraId="0248F7C3" w14:textId="77777777" w:rsidR="00686FE7" w:rsidRPr="00AC7036" w:rsidRDefault="00686FE7">
            <w:pPr>
              <w:rPr>
                <w:rFonts w:ascii="Arial Narrow" w:hAnsi="Arial Narrow" w:cs="Times New Roman"/>
                <w:b/>
                <w:bCs/>
                <w:sz w:val="20"/>
                <w:szCs w:val="20"/>
              </w:rPr>
            </w:pPr>
            <w:r w:rsidRPr="00AC7036">
              <w:rPr>
                <w:rFonts w:ascii="Arial Narrow" w:hAnsi="Arial Narrow" w:cs="Times New Roman"/>
                <w:b/>
                <w:bCs/>
                <w:sz w:val="20"/>
                <w:szCs w:val="20"/>
              </w:rPr>
              <w:t xml:space="preserve">Prescribing Instructions: </w:t>
            </w:r>
          </w:p>
          <w:p w14:paraId="4455A657" w14:textId="77777777" w:rsidR="00686FE7" w:rsidRPr="00E70DB3" w:rsidRDefault="00686FE7">
            <w:pPr>
              <w:rPr>
                <w:rFonts w:ascii="Arial Narrow" w:hAnsi="Arial Narrow" w:cs="Times New Roman"/>
                <w:b/>
                <w:bCs/>
                <w:sz w:val="20"/>
                <w:szCs w:val="20"/>
              </w:rPr>
            </w:pPr>
            <w:r w:rsidRPr="00AC7036">
              <w:rPr>
                <w:rFonts w:ascii="Arial Narrow" w:hAnsi="Arial Narrow" w:cs="Times New Roman"/>
                <w:bCs/>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686FE7" w:rsidRPr="00446E53" w14:paraId="18E81F76"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tcPr>
          <w:p w14:paraId="22E62DD8" w14:textId="77777777" w:rsidR="00686FE7" w:rsidRPr="00AC7036" w:rsidRDefault="00686FE7">
            <w:pPr>
              <w:rPr>
                <w:rFonts w:ascii="Arial Narrow" w:hAnsi="Arial Narrow" w:cs="Times New Roman"/>
                <w:sz w:val="20"/>
                <w:szCs w:val="20"/>
              </w:rPr>
            </w:pPr>
            <w:r w:rsidRPr="00AC7036">
              <w:rPr>
                <w:rFonts w:ascii="Arial Narrow" w:hAnsi="Arial Narrow" w:cs="Times New Roman"/>
                <w:b/>
                <w:bCs/>
                <w:sz w:val="20"/>
                <w:szCs w:val="20"/>
              </w:rPr>
              <w:t xml:space="preserve">Prescribing Instructions: </w:t>
            </w:r>
          </w:p>
          <w:p w14:paraId="73798B76" w14:textId="77777777" w:rsidR="00686FE7" w:rsidRPr="00E70DB3" w:rsidRDefault="00686FE7">
            <w:pPr>
              <w:rPr>
                <w:rFonts w:ascii="Arial Narrow" w:hAnsi="Arial Narrow" w:cs="Times New Roman"/>
                <w:b/>
                <w:bCs/>
                <w:sz w:val="20"/>
                <w:szCs w:val="20"/>
              </w:rPr>
            </w:pPr>
            <w:r w:rsidRPr="00AC7036">
              <w:rPr>
                <w:rFonts w:ascii="Arial Narrow" w:hAnsi="Arial Narrow" w:cs="Times New Roman"/>
                <w:sz w:val="20"/>
                <w:szCs w:val="20"/>
              </w:rPr>
              <w:t>Assessment of disease severity must not have been more than 4 weeks old at the time treatment with this drug was initiated</w:t>
            </w:r>
          </w:p>
        </w:tc>
      </w:tr>
      <w:tr w:rsidR="00686FE7" w:rsidRPr="00446E53" w14:paraId="6A063874"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vAlign w:val="center"/>
          </w:tcPr>
          <w:p w14:paraId="04691A6B" w14:textId="77777777" w:rsidR="00686FE7" w:rsidRPr="00AC7036" w:rsidRDefault="00686FE7">
            <w:pPr>
              <w:rPr>
                <w:rFonts w:ascii="Arial Narrow" w:hAnsi="Arial Narrow" w:cs="Times New Roman"/>
                <w:b/>
                <w:bCs/>
                <w:sz w:val="20"/>
                <w:szCs w:val="20"/>
              </w:rPr>
            </w:pPr>
            <w:r w:rsidRPr="00AC7036">
              <w:rPr>
                <w:rFonts w:ascii="Arial Narrow" w:hAnsi="Arial Narrow" w:cs="Times New Roman"/>
                <w:b/>
                <w:bCs/>
                <w:sz w:val="20"/>
                <w:szCs w:val="20"/>
              </w:rPr>
              <w:lastRenderedPageBreak/>
              <w:t>Prescribing Instructions:</w:t>
            </w:r>
          </w:p>
          <w:p w14:paraId="4F271C70" w14:textId="679B00D1" w:rsidR="00686FE7" w:rsidRPr="00AC7036" w:rsidRDefault="00686FE7">
            <w:pPr>
              <w:rPr>
                <w:rFonts w:ascii="Arial Narrow" w:hAnsi="Arial Narrow" w:cs="Times New Roman"/>
                <w:sz w:val="20"/>
                <w:szCs w:val="20"/>
              </w:rPr>
            </w:pPr>
            <w:r w:rsidRPr="00AC7036">
              <w:rPr>
                <w:rFonts w:ascii="Arial Narrow" w:hAnsi="Arial Narrow" w:cs="Times New Roman"/>
                <w:sz w:val="20"/>
                <w:szCs w:val="20"/>
              </w:rPr>
              <w:t xml:space="preserve">The authority application must be made </w:t>
            </w:r>
            <w:r>
              <w:rPr>
                <w:rFonts w:ascii="Arial Narrow" w:hAnsi="Arial Narrow" w:cs="Times New Roman"/>
                <w:sz w:val="20"/>
                <w:szCs w:val="20"/>
              </w:rPr>
              <w:t xml:space="preserve">via the Online PBS Authorities System, or </w:t>
            </w:r>
            <w:r w:rsidRPr="00AC7036">
              <w:rPr>
                <w:rFonts w:ascii="Arial Narrow" w:hAnsi="Arial Narrow" w:cs="Times New Roman"/>
                <w:sz w:val="20"/>
                <w:szCs w:val="20"/>
              </w:rPr>
              <w:t xml:space="preserve">in writing </w:t>
            </w:r>
            <w:r>
              <w:rPr>
                <w:rFonts w:ascii="Arial Narrow" w:hAnsi="Arial Narrow" w:cs="Times New Roman"/>
                <w:sz w:val="20"/>
                <w:szCs w:val="20"/>
              </w:rPr>
              <w:t xml:space="preserve">via HPOS form upload or mail </w:t>
            </w:r>
            <w:r w:rsidRPr="00AC7036">
              <w:rPr>
                <w:rFonts w:ascii="Arial Narrow" w:hAnsi="Arial Narrow" w:cs="Times New Roman"/>
                <w:sz w:val="20"/>
                <w:szCs w:val="20"/>
              </w:rPr>
              <w:t>and must include:</w:t>
            </w:r>
          </w:p>
          <w:p w14:paraId="4942CAE1" w14:textId="77777777" w:rsidR="00686FE7" w:rsidRPr="00AC7036" w:rsidRDefault="00686FE7">
            <w:pPr>
              <w:rPr>
                <w:rFonts w:ascii="Arial Narrow" w:hAnsi="Arial Narrow" w:cs="Times New Roman"/>
                <w:sz w:val="20"/>
                <w:szCs w:val="20"/>
              </w:rPr>
            </w:pPr>
            <w:r w:rsidRPr="00AC7036">
              <w:rPr>
                <w:rFonts w:ascii="Arial Narrow" w:hAnsi="Arial Narrow" w:cs="Times New Roman"/>
                <w:sz w:val="20"/>
                <w:szCs w:val="20"/>
              </w:rPr>
              <w:t>(</w:t>
            </w:r>
            <w:proofErr w:type="spellStart"/>
            <w:r w:rsidRPr="00AC7036">
              <w:rPr>
                <w:rFonts w:ascii="Arial Narrow" w:hAnsi="Arial Narrow" w:cs="Times New Roman"/>
                <w:sz w:val="20"/>
                <w:szCs w:val="20"/>
              </w:rPr>
              <w:t>i</w:t>
            </w:r>
            <w:proofErr w:type="spellEnd"/>
            <w:r w:rsidRPr="00AC7036">
              <w:rPr>
                <w:rFonts w:ascii="Arial Narrow" w:hAnsi="Arial Narrow" w:cs="Times New Roman"/>
                <w:sz w:val="20"/>
                <w:szCs w:val="20"/>
              </w:rPr>
              <w:t>) the Hurley stage grading; and</w:t>
            </w:r>
          </w:p>
          <w:p w14:paraId="226DE32C" w14:textId="77777777" w:rsidR="00686FE7" w:rsidRPr="00AC7036" w:rsidRDefault="00686FE7">
            <w:pPr>
              <w:rPr>
                <w:rFonts w:ascii="Arial Narrow" w:hAnsi="Arial Narrow" w:cs="Times New Roman"/>
                <w:sz w:val="20"/>
                <w:szCs w:val="20"/>
              </w:rPr>
            </w:pPr>
            <w:r w:rsidRPr="00AC7036">
              <w:rPr>
                <w:rFonts w:ascii="Arial Narrow" w:hAnsi="Arial Narrow" w:cs="Times New Roman"/>
                <w:sz w:val="20"/>
                <w:szCs w:val="20"/>
              </w:rPr>
              <w:t>(ii) the AN count; and</w:t>
            </w:r>
          </w:p>
          <w:p w14:paraId="6CB0C2C2" w14:textId="77777777" w:rsidR="00686FE7" w:rsidRPr="00AC7036" w:rsidRDefault="00686FE7">
            <w:pPr>
              <w:rPr>
                <w:rFonts w:ascii="Arial Narrow" w:hAnsi="Arial Narrow" w:cs="Times New Roman"/>
                <w:sz w:val="20"/>
                <w:szCs w:val="20"/>
              </w:rPr>
            </w:pPr>
            <w:r w:rsidRPr="00AC7036">
              <w:rPr>
                <w:rFonts w:ascii="Arial Narrow" w:hAnsi="Arial Narrow" w:cs="Times New Roman"/>
                <w:sz w:val="20"/>
                <w:szCs w:val="20"/>
              </w:rPr>
              <w:t xml:space="preserve">(iii) the name of the antibiotic/s received; or </w:t>
            </w:r>
          </w:p>
          <w:p w14:paraId="542C7A05" w14:textId="77777777" w:rsidR="00686FE7" w:rsidRPr="00AC7036" w:rsidRDefault="00686FE7">
            <w:pPr>
              <w:rPr>
                <w:rFonts w:ascii="Arial Narrow" w:hAnsi="Arial Narrow" w:cs="Times New Roman"/>
                <w:sz w:val="20"/>
                <w:szCs w:val="20"/>
              </w:rPr>
            </w:pPr>
            <w:r w:rsidRPr="00AC7036">
              <w:rPr>
                <w:rFonts w:ascii="Arial Narrow" w:hAnsi="Arial Narrow" w:cs="Times New Roman"/>
                <w:sz w:val="20"/>
                <w:szCs w:val="20"/>
              </w:rPr>
              <w:t>(iv) confirmation that the adverse reaction or allergy to an antibiotic necessitated permanent treatment withdrawal. The name of the one course of antibiotics</w:t>
            </w:r>
            <w:r>
              <w:rPr>
                <w:rFonts w:ascii="Arial Narrow" w:hAnsi="Arial Narrow" w:cs="Times New Roman"/>
                <w:sz w:val="20"/>
                <w:szCs w:val="20"/>
              </w:rPr>
              <w:t xml:space="preserve"> </w:t>
            </w:r>
            <w:r w:rsidRPr="00AC7036">
              <w:rPr>
                <w:rFonts w:ascii="Arial Narrow" w:hAnsi="Arial Narrow" w:cs="Times New Roman"/>
                <w:sz w:val="20"/>
                <w:szCs w:val="20"/>
              </w:rPr>
              <w:t>must be provided. Where the patient is unable to be treated with any courses of antibiotics the prescriber must confirm that the patient has a history of adverse reaction or allergy necessitating permanent treatment withdrawal</w:t>
            </w:r>
            <w:r>
              <w:rPr>
                <w:rFonts w:ascii="Arial Narrow" w:hAnsi="Arial Narrow" w:cs="Times New Roman"/>
                <w:sz w:val="20"/>
                <w:szCs w:val="20"/>
              </w:rPr>
              <w:t>.</w:t>
            </w:r>
          </w:p>
          <w:p w14:paraId="13485F56" w14:textId="77777777" w:rsidR="00686FE7" w:rsidRDefault="00686FE7">
            <w:pPr>
              <w:rPr>
                <w:rFonts w:ascii="Arial Narrow" w:hAnsi="Arial Narrow" w:cs="Times New Roman"/>
                <w:sz w:val="20"/>
                <w:szCs w:val="20"/>
              </w:rPr>
            </w:pPr>
            <w:r w:rsidRPr="00AC7036">
              <w:rPr>
                <w:rFonts w:ascii="Arial Narrow" w:hAnsi="Arial Narrow" w:cs="Times New Roman"/>
                <w:sz w:val="20"/>
                <w:szCs w:val="20"/>
              </w:rPr>
              <w:t>(v) the Hidradenitis Suppurativa Clinical Response (</w:t>
            </w:r>
            <w:proofErr w:type="spellStart"/>
            <w:r w:rsidRPr="00AC7036">
              <w:rPr>
                <w:rFonts w:ascii="Arial Narrow" w:hAnsi="Arial Narrow" w:cs="Times New Roman"/>
                <w:sz w:val="20"/>
                <w:szCs w:val="20"/>
              </w:rPr>
              <w:t>HiSCR</w:t>
            </w:r>
            <w:proofErr w:type="spellEnd"/>
            <w:r w:rsidRPr="00AC7036">
              <w:rPr>
                <w:rFonts w:ascii="Arial Narrow" w:hAnsi="Arial Narrow" w:cs="Times New Roman"/>
                <w:sz w:val="20"/>
                <w:szCs w:val="20"/>
              </w:rPr>
              <w:t xml:space="preserve">) result if the patient has received 12 weeks or more of treatment </w:t>
            </w:r>
          </w:p>
          <w:p w14:paraId="46EDBC8A" w14:textId="77777777" w:rsidR="00686FE7" w:rsidRDefault="00686FE7">
            <w:pPr>
              <w:rPr>
                <w:rFonts w:ascii="Arial Narrow" w:hAnsi="Arial Narrow" w:cs="Times New Roman"/>
                <w:sz w:val="20"/>
                <w:szCs w:val="20"/>
              </w:rPr>
            </w:pPr>
          </w:p>
          <w:p w14:paraId="5951354C" w14:textId="77777777" w:rsidR="00686FE7" w:rsidRPr="008A25AC" w:rsidRDefault="00686FE7" w:rsidP="0055780F">
            <w:pPr>
              <w:rPr>
                <w:rFonts w:ascii="Arial Narrow" w:hAnsi="Arial Narrow" w:cs="Times New Roman"/>
                <w:bCs/>
                <w:sz w:val="20"/>
                <w:szCs w:val="20"/>
              </w:rPr>
            </w:pPr>
            <w:r w:rsidRPr="008A25AC">
              <w:rPr>
                <w:rFonts w:ascii="Arial Narrow" w:hAnsi="Arial Narrow" w:cs="Times New Roman"/>
                <w:bCs/>
                <w:sz w:val="20"/>
                <w:szCs w:val="20"/>
              </w:rPr>
              <w:t>If the application is submitted through HPOS form upload or mail, it must include:</w:t>
            </w:r>
          </w:p>
          <w:p w14:paraId="1B76892A" w14:textId="77777777" w:rsidR="00686FE7" w:rsidRPr="008A25AC" w:rsidRDefault="00686FE7" w:rsidP="0055780F">
            <w:pPr>
              <w:rPr>
                <w:rFonts w:ascii="Arial Narrow" w:hAnsi="Arial Narrow"/>
                <w:bCs/>
                <w:sz w:val="18"/>
                <w:szCs w:val="18"/>
              </w:rPr>
            </w:pPr>
            <w:r w:rsidRPr="008A25AC">
              <w:rPr>
                <w:rFonts w:ascii="Arial Narrow" w:hAnsi="Arial Narrow" w:cs="Times New Roman"/>
                <w:bCs/>
                <w:sz w:val="20"/>
                <w:szCs w:val="20"/>
              </w:rPr>
              <w:t>(i) details of the proposed prescription(s); and</w:t>
            </w:r>
          </w:p>
          <w:p w14:paraId="4952013C" w14:textId="2D78E0F5" w:rsidR="00686FE7" w:rsidRPr="00AC7036" w:rsidRDefault="00686FE7" w:rsidP="0055780F">
            <w:pPr>
              <w:rPr>
                <w:rFonts w:ascii="Arial Narrow" w:hAnsi="Arial Narrow" w:cs="Times New Roman"/>
                <w:b/>
                <w:bCs/>
                <w:sz w:val="20"/>
                <w:szCs w:val="20"/>
              </w:rPr>
            </w:pPr>
            <w:r w:rsidRPr="008A25AC">
              <w:rPr>
                <w:rFonts w:ascii="Arial Narrow" w:hAnsi="Arial Narrow" w:cs="Times New Roman"/>
                <w:bCs/>
                <w:sz w:val="20"/>
                <w:szCs w:val="20"/>
              </w:rPr>
              <w:t>(ii) a completed authority application form relevant to the indication and treatment phase (the latest version is located on the website specified in the Administrative Advice)</w:t>
            </w:r>
          </w:p>
        </w:tc>
      </w:tr>
      <w:tr w:rsidR="00686FE7" w:rsidRPr="00446E53" w14:paraId="2E7DC498"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tcPr>
          <w:p w14:paraId="16345048" w14:textId="77777777" w:rsidR="00686FE7" w:rsidRPr="00AC7036" w:rsidRDefault="00686FE7">
            <w:pPr>
              <w:rPr>
                <w:rFonts w:ascii="Arial Narrow" w:hAnsi="Arial Narrow" w:cs="Times New Roman"/>
                <w:b/>
                <w:bCs/>
                <w:sz w:val="20"/>
                <w:szCs w:val="20"/>
              </w:rPr>
            </w:pPr>
            <w:r w:rsidRPr="00AC7036">
              <w:rPr>
                <w:rFonts w:ascii="Arial Narrow" w:hAnsi="Arial Narrow" w:cs="Times New Roman"/>
                <w:b/>
                <w:bCs/>
                <w:sz w:val="20"/>
                <w:szCs w:val="20"/>
              </w:rPr>
              <w:t>Prescribing Instructions:</w:t>
            </w:r>
          </w:p>
          <w:p w14:paraId="6FF8951F" w14:textId="77777777" w:rsidR="00686FE7" w:rsidRPr="00AC7036" w:rsidRDefault="00686FE7">
            <w:pPr>
              <w:rPr>
                <w:rFonts w:ascii="Arial Narrow" w:hAnsi="Arial Narrow" w:cs="Times New Roman"/>
                <w:b/>
                <w:bCs/>
                <w:sz w:val="20"/>
                <w:szCs w:val="20"/>
              </w:rPr>
            </w:pPr>
            <w:r w:rsidRPr="00AC7036">
              <w:rPr>
                <w:rFonts w:ascii="Arial Narrow" w:hAnsi="Arial Narrow" w:cs="Open Sans"/>
                <w:sz w:val="20"/>
                <w:szCs w:val="20"/>
                <w:bdr w:val="none" w:sz="0" w:space="0" w:color="auto" w:frame="1"/>
              </w:rPr>
              <w:t>A patient may only qualify for PBS-subsidised treatment under this restriction once only.</w:t>
            </w:r>
          </w:p>
        </w:tc>
      </w:tr>
      <w:tr w:rsidR="00686FE7" w:rsidRPr="00446E53" w14:paraId="4320CF08"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tcPr>
          <w:p w14:paraId="5309A3C8" w14:textId="77777777" w:rsidR="00686FE7" w:rsidRPr="00AC7036" w:rsidRDefault="00686FE7">
            <w:pPr>
              <w:rPr>
                <w:rFonts w:ascii="Arial Narrow" w:hAnsi="Arial Narrow" w:cs="Times New Roman"/>
                <w:b/>
                <w:bCs/>
                <w:sz w:val="20"/>
                <w:szCs w:val="20"/>
              </w:rPr>
            </w:pPr>
            <w:r w:rsidRPr="00AC7036">
              <w:rPr>
                <w:rFonts w:ascii="Arial Narrow" w:hAnsi="Arial Narrow" w:cs="Times New Roman"/>
                <w:b/>
                <w:bCs/>
                <w:sz w:val="20"/>
                <w:szCs w:val="20"/>
              </w:rPr>
              <w:t>Prescribing Instructions:</w:t>
            </w:r>
          </w:p>
          <w:p w14:paraId="33DD12A3" w14:textId="77777777" w:rsidR="00686FE7" w:rsidRPr="00AC7036" w:rsidRDefault="00686FE7">
            <w:pPr>
              <w:rPr>
                <w:rFonts w:ascii="Arial Narrow" w:hAnsi="Arial Narrow" w:cs="Times New Roman"/>
                <w:b/>
                <w:bCs/>
                <w:sz w:val="20"/>
                <w:szCs w:val="20"/>
              </w:rPr>
            </w:pPr>
            <w:r w:rsidRPr="00AC7036">
              <w:rPr>
                <w:rFonts w:ascii="Arial Narrow" w:hAnsi="Arial Narrow" w:cs="Times New Roman"/>
                <w:sz w:val="20"/>
                <w:szCs w:val="20"/>
              </w:rPr>
              <w:t>For continuing PBS-subsidised treatment, a Grandfathered patient must qualify under the Continuing treatment criteria.</w:t>
            </w:r>
          </w:p>
        </w:tc>
      </w:tr>
      <w:tr w:rsidR="00686FE7" w:rsidRPr="00446E53" w14:paraId="6804E62A" w14:textId="77777777" w:rsidTr="004C45EE">
        <w:tblPrEx>
          <w:tblCellMar>
            <w:top w:w="15" w:type="dxa"/>
            <w:bottom w:w="15" w:type="dxa"/>
          </w:tblCellMar>
          <w:tblLook w:val="04A0" w:firstRow="1" w:lastRow="0" w:firstColumn="1" w:lastColumn="0" w:noHBand="0" w:noVBand="1"/>
        </w:tblPrEx>
        <w:trPr>
          <w:cantSplit/>
          <w:trHeight w:val="20"/>
        </w:trPr>
        <w:tc>
          <w:tcPr>
            <w:tcW w:w="8945" w:type="dxa"/>
            <w:gridSpan w:val="6"/>
          </w:tcPr>
          <w:p w14:paraId="62F4DBD1" w14:textId="77777777" w:rsidR="00686FE7" w:rsidRPr="004549C2" w:rsidRDefault="00686FE7">
            <w:pPr>
              <w:rPr>
                <w:rFonts w:ascii="Arial Narrow" w:hAnsi="Arial Narrow" w:cs="Times New Roman"/>
                <w:b/>
                <w:bCs/>
                <w:sz w:val="20"/>
                <w:szCs w:val="20"/>
              </w:rPr>
            </w:pPr>
            <w:r w:rsidRPr="004549C2">
              <w:rPr>
                <w:rFonts w:ascii="Arial Narrow" w:hAnsi="Arial Narrow" w:cs="Times New Roman"/>
                <w:b/>
                <w:bCs/>
                <w:sz w:val="20"/>
                <w:szCs w:val="20"/>
              </w:rPr>
              <w:t>Administrative Advice:</w:t>
            </w:r>
          </w:p>
          <w:p w14:paraId="66A1CB66" w14:textId="77777777" w:rsidR="00686FE7" w:rsidRPr="004549C2" w:rsidRDefault="00686FE7">
            <w:pPr>
              <w:rPr>
                <w:rFonts w:ascii="Arial Narrow" w:hAnsi="Arial Narrow" w:cs="Times New Roman"/>
                <w:sz w:val="20"/>
                <w:szCs w:val="20"/>
              </w:rPr>
            </w:pPr>
            <w:r w:rsidRPr="004549C2">
              <w:rPr>
                <w:rFonts w:ascii="Arial Narrow" w:hAnsi="Arial Narrow" w:cs="Times New Roman"/>
                <w:sz w:val="20"/>
                <w:szCs w:val="20"/>
              </w:rPr>
              <w:t>This grandfather restriction will cease to operate from 12 months after the date specified in the clinical criteria.</w:t>
            </w:r>
          </w:p>
        </w:tc>
      </w:tr>
    </w:tbl>
    <w:p w14:paraId="2CF88E72" w14:textId="77777777" w:rsidR="002D6186" w:rsidRPr="006077B6" w:rsidRDefault="002D6186" w:rsidP="001B09FA">
      <w:pPr>
        <w:keepNext/>
        <w:keepLines/>
        <w:spacing w:before="120" w:after="120"/>
        <w:rPr>
          <w:rFonts w:cs="Calibri"/>
          <w:szCs w:val="32"/>
          <w:u w:val="single"/>
        </w:rPr>
      </w:pPr>
      <w:r w:rsidRPr="006077B6">
        <w:rPr>
          <w:rFonts w:cs="Calibri"/>
          <w:szCs w:val="32"/>
          <w:u w:val="single"/>
        </w:rPr>
        <w:t>Overarching administrative advice note:</w:t>
      </w:r>
    </w:p>
    <w:tbl>
      <w:tblPr>
        <w:tblStyle w:val="TableGrid"/>
        <w:tblW w:w="0" w:type="auto"/>
        <w:tblLook w:val="04A0" w:firstRow="1" w:lastRow="0" w:firstColumn="1" w:lastColumn="0" w:noHBand="0" w:noVBand="1"/>
      </w:tblPr>
      <w:tblGrid>
        <w:gridCol w:w="9016"/>
      </w:tblGrid>
      <w:tr w:rsidR="002D6186" w14:paraId="2423D1B1" w14:textId="77777777">
        <w:tc>
          <w:tcPr>
            <w:tcW w:w="9016" w:type="dxa"/>
            <w:vAlign w:val="center"/>
          </w:tcPr>
          <w:p w14:paraId="567D68A1" w14:textId="77777777" w:rsidR="002D6186" w:rsidRPr="009C373A" w:rsidRDefault="002D6186">
            <w:pPr>
              <w:keepLines/>
              <w:rPr>
                <w:rFonts w:ascii="Arial Narrow" w:hAnsi="Arial Narrow"/>
                <w:i/>
                <w:iCs/>
                <w:color w:val="000000" w:themeColor="text1"/>
                <w:sz w:val="20"/>
                <w:szCs w:val="20"/>
              </w:rPr>
            </w:pPr>
            <w:r w:rsidRPr="009C373A">
              <w:rPr>
                <w:rFonts w:ascii="Arial Narrow" w:hAnsi="Arial Narrow"/>
                <w:color w:val="000000" w:themeColor="text1"/>
                <w:sz w:val="20"/>
                <w:szCs w:val="20"/>
              </w:rPr>
              <w:t xml:space="preserve">Amend 32635 </w:t>
            </w:r>
            <w:r>
              <w:rPr>
                <w:rFonts w:ascii="Arial Narrow" w:hAnsi="Arial Narrow"/>
                <w:color w:val="000000" w:themeColor="text1"/>
                <w:sz w:val="20"/>
                <w:szCs w:val="20"/>
              </w:rPr>
              <w:t>A</w:t>
            </w:r>
            <w:r w:rsidRPr="009C373A">
              <w:rPr>
                <w:rFonts w:ascii="Arial Narrow" w:hAnsi="Arial Narrow"/>
                <w:color w:val="000000" w:themeColor="text1"/>
                <w:sz w:val="20"/>
                <w:szCs w:val="20"/>
              </w:rPr>
              <w:t xml:space="preserve">dd </w:t>
            </w:r>
            <w:r w:rsidRPr="009C373A">
              <w:rPr>
                <w:rFonts w:ascii="Arial Narrow" w:hAnsi="Arial Narrow"/>
                <w:i/>
                <w:iCs/>
                <w:color w:val="000000" w:themeColor="text1"/>
                <w:sz w:val="20"/>
                <w:szCs w:val="20"/>
              </w:rPr>
              <w:t>New AA</w:t>
            </w:r>
          </w:p>
        </w:tc>
      </w:tr>
      <w:tr w:rsidR="002D6186" w14:paraId="42A6E4C0" w14:textId="77777777">
        <w:tc>
          <w:tcPr>
            <w:tcW w:w="9016" w:type="dxa"/>
            <w:vAlign w:val="center"/>
          </w:tcPr>
          <w:p w14:paraId="0D3027AE" w14:textId="77777777" w:rsidR="002D6186" w:rsidRPr="00E319AB" w:rsidRDefault="002D6186">
            <w:pPr>
              <w:keepLines/>
              <w:rPr>
                <w:rFonts w:ascii="Arial Narrow" w:hAnsi="Arial Narrow"/>
                <w:sz w:val="20"/>
                <w:szCs w:val="20"/>
              </w:rPr>
            </w:pPr>
            <w:r w:rsidRPr="0025488F">
              <w:rPr>
                <w:rFonts w:ascii="Arial Narrow" w:hAnsi="Arial Narrow"/>
                <w:b/>
                <w:bCs/>
                <w:sz w:val="20"/>
                <w:szCs w:val="20"/>
              </w:rPr>
              <w:t>Administrative Advice:</w:t>
            </w:r>
            <w:r w:rsidRPr="0025488F">
              <w:rPr>
                <w:rFonts w:ascii="Arial Narrow" w:hAnsi="Arial Narrow"/>
                <w:sz w:val="20"/>
                <w:szCs w:val="20"/>
              </w:rPr>
              <w:t xml:space="preserve"> </w:t>
            </w:r>
          </w:p>
          <w:p w14:paraId="0B6EF06B" w14:textId="77777777" w:rsidR="002D6186" w:rsidRPr="00564411" w:rsidRDefault="002D6186">
            <w:pPr>
              <w:pStyle w:val="3-BodyText"/>
              <w:numPr>
                <w:ilvl w:val="0"/>
                <w:numId w:val="0"/>
              </w:numPr>
              <w:rPr>
                <w:rFonts w:ascii="Arial Narrow" w:hAnsi="Arial Narrow"/>
                <w:b/>
                <w:bCs/>
                <w:sz w:val="20"/>
                <w:szCs w:val="20"/>
              </w:rPr>
            </w:pPr>
            <w:r w:rsidRPr="00564411">
              <w:rPr>
                <w:rFonts w:ascii="Arial Narrow" w:hAnsi="Arial Narrow"/>
                <w:b/>
                <w:bCs/>
                <w:sz w:val="20"/>
                <w:szCs w:val="20"/>
              </w:rPr>
              <w:t>TREATMENT OF PATIENTS WITH MODERATE TO SEVERE HIDRADENITIS SUPPURATIVA</w:t>
            </w:r>
          </w:p>
          <w:p w14:paraId="3A09E0CF" w14:textId="77777777" w:rsidR="002D6186" w:rsidRPr="00564411" w:rsidRDefault="002D6186">
            <w:pPr>
              <w:pStyle w:val="3-BodyText"/>
              <w:numPr>
                <w:ilvl w:val="0"/>
                <w:numId w:val="0"/>
              </w:numPr>
              <w:rPr>
                <w:rFonts w:ascii="Arial Narrow" w:hAnsi="Arial Narrow"/>
                <w:sz w:val="20"/>
                <w:szCs w:val="20"/>
              </w:rPr>
            </w:pPr>
            <w:r w:rsidRPr="00564411">
              <w:rPr>
                <w:rFonts w:ascii="Arial Narrow" w:hAnsi="Arial Narrow"/>
                <w:sz w:val="20"/>
                <w:szCs w:val="20"/>
              </w:rPr>
              <w:t xml:space="preserve">The following information applies to Pharmaceutical Benefits Scheme (PBS) benefits listed for patient with the indication of moderate to severe hidradenitis suppurativa. </w:t>
            </w:r>
          </w:p>
          <w:p w14:paraId="280237EC" w14:textId="77777777" w:rsidR="002D6186" w:rsidRPr="00564411" w:rsidRDefault="002D6186">
            <w:pPr>
              <w:pStyle w:val="3-BodyText"/>
              <w:numPr>
                <w:ilvl w:val="0"/>
                <w:numId w:val="0"/>
              </w:numPr>
              <w:rPr>
                <w:rFonts w:ascii="Arial Narrow" w:hAnsi="Arial Narrow"/>
                <w:sz w:val="20"/>
                <w:szCs w:val="20"/>
              </w:rPr>
            </w:pPr>
            <w:r w:rsidRPr="00564411">
              <w:rPr>
                <w:rFonts w:ascii="Arial Narrow" w:hAnsi="Arial Narrow"/>
                <w:sz w:val="20"/>
                <w:szCs w:val="20"/>
              </w:rPr>
              <w:t xml:space="preserve">Where the term ‘biological medicine’ appears in notes and restrictions, it refers to any PBS benefit where the PBS indication specifies: Moderate to Severe Hidradenitis Suppurativa. </w:t>
            </w:r>
          </w:p>
          <w:p w14:paraId="78282096" w14:textId="77777777" w:rsidR="002D6186" w:rsidRPr="00564411" w:rsidRDefault="002D6186">
            <w:pPr>
              <w:pStyle w:val="3-BodyText"/>
              <w:numPr>
                <w:ilvl w:val="0"/>
                <w:numId w:val="0"/>
              </w:numPr>
              <w:rPr>
                <w:rFonts w:ascii="Arial Narrow" w:hAnsi="Arial Narrow"/>
                <w:sz w:val="20"/>
                <w:szCs w:val="20"/>
              </w:rPr>
            </w:pPr>
            <w:r w:rsidRPr="00564411">
              <w:rPr>
                <w:rFonts w:ascii="Arial Narrow" w:hAnsi="Arial Narrow"/>
                <w:sz w:val="20"/>
                <w:szCs w:val="20"/>
              </w:rPr>
              <w:t xml:space="preserve">Treatment cycles: </w:t>
            </w:r>
          </w:p>
          <w:p w14:paraId="3677221D" w14:textId="504D5DC4" w:rsidR="002D6186" w:rsidRPr="00564411" w:rsidRDefault="002D6186">
            <w:pPr>
              <w:pStyle w:val="3-BodyText"/>
              <w:numPr>
                <w:ilvl w:val="0"/>
                <w:numId w:val="0"/>
              </w:numPr>
              <w:rPr>
                <w:rFonts w:ascii="Arial Narrow" w:hAnsi="Arial Narrow"/>
                <w:sz w:val="20"/>
                <w:szCs w:val="20"/>
              </w:rPr>
            </w:pPr>
            <w:r w:rsidRPr="00564411">
              <w:rPr>
                <w:rFonts w:ascii="Arial Narrow" w:hAnsi="Arial Narrow"/>
                <w:sz w:val="20"/>
                <w:szCs w:val="20"/>
              </w:rPr>
              <w:t xml:space="preserve">Under these arrangements, within a single treatment cycle, a patient may continue to receive long-term treatment with a biological medicine while they continue to show a response to therapy. A patient who has been receiving PBS-subsidised adalimumab or </w:t>
            </w:r>
            <w:r w:rsidR="00807C70" w:rsidRPr="00564411">
              <w:rPr>
                <w:rFonts w:ascii="Arial Narrow" w:hAnsi="Arial Narrow"/>
                <w:sz w:val="20"/>
                <w:szCs w:val="20"/>
              </w:rPr>
              <w:t>secukinumab</w:t>
            </w:r>
            <w:r w:rsidRPr="00564411">
              <w:rPr>
                <w:rFonts w:ascii="Arial Narrow" w:hAnsi="Arial Narrow"/>
                <w:sz w:val="20"/>
                <w:szCs w:val="20"/>
              </w:rPr>
              <w:t xml:space="preserve"> prior to </w:t>
            </w:r>
            <w:r w:rsidRPr="006665F5">
              <w:rPr>
                <w:rFonts w:ascii="Arial Narrow" w:hAnsi="Arial Narrow"/>
                <w:color w:val="00B0F0"/>
                <w:sz w:val="20"/>
                <w:szCs w:val="20"/>
              </w:rPr>
              <w:t xml:space="preserve">[LISTING DATE] </w:t>
            </w:r>
            <w:r w:rsidRPr="00564411">
              <w:rPr>
                <w:rFonts w:ascii="Arial Narrow" w:hAnsi="Arial Narrow"/>
                <w:sz w:val="20"/>
                <w:szCs w:val="20"/>
              </w:rPr>
              <w:t xml:space="preserve">is considered to start their first cycle as of </w:t>
            </w:r>
            <w:r w:rsidRPr="006665F5">
              <w:rPr>
                <w:rFonts w:ascii="Arial Narrow" w:hAnsi="Arial Narrow"/>
                <w:color w:val="00B0F0"/>
                <w:sz w:val="20"/>
                <w:szCs w:val="20"/>
              </w:rPr>
              <w:t>[LISTING DATE].</w:t>
            </w:r>
          </w:p>
          <w:p w14:paraId="136483AF" w14:textId="0762B5C5" w:rsidR="002D6186" w:rsidRPr="004C292D" w:rsidRDefault="002D6186">
            <w:pPr>
              <w:pStyle w:val="3-BodyText"/>
              <w:numPr>
                <w:ilvl w:val="0"/>
                <w:numId w:val="0"/>
              </w:numPr>
              <w:rPr>
                <w:rFonts w:ascii="Arial Narrow" w:hAnsi="Arial Narrow"/>
                <w:i/>
                <w:color w:val="00B0F0"/>
                <w:sz w:val="20"/>
                <w:szCs w:val="20"/>
              </w:rPr>
            </w:pPr>
            <w:r w:rsidRPr="004C292D">
              <w:rPr>
                <w:rFonts w:ascii="Arial Narrow" w:hAnsi="Arial Narrow"/>
                <w:i/>
                <w:color w:val="00B0F0"/>
                <w:sz w:val="20"/>
                <w:szCs w:val="20"/>
              </w:rPr>
              <w:t xml:space="preserve">Within the same treatment cycle, a patient cannot trial and fail, or cease to respond to, the same PBS-subsidised biological medicine more than once. </w:t>
            </w:r>
          </w:p>
          <w:p w14:paraId="121C9F8D" w14:textId="77777777" w:rsidR="002D6186" w:rsidRPr="00564411" w:rsidRDefault="002D6186">
            <w:pPr>
              <w:pStyle w:val="3-BodyText"/>
              <w:numPr>
                <w:ilvl w:val="0"/>
                <w:numId w:val="0"/>
              </w:numPr>
              <w:rPr>
                <w:rFonts w:ascii="Arial Narrow" w:hAnsi="Arial Narrow"/>
                <w:sz w:val="20"/>
                <w:szCs w:val="20"/>
              </w:rPr>
            </w:pPr>
            <w:r w:rsidRPr="00564411">
              <w:rPr>
                <w:rFonts w:ascii="Arial Narrow" w:hAnsi="Arial Narrow"/>
                <w:sz w:val="20"/>
                <w:szCs w:val="20"/>
              </w:rPr>
              <w:t>Where treatment has resulted in an inadequate response on 3 occasions a treatment cycle is considered to have been completed and there must be a 5-year break in PBS subsidy from all medicines with the PBS indication ‘moderate to severe hidradenitis suppurativa’ before starting a new treatment cycle.</w:t>
            </w:r>
          </w:p>
          <w:p w14:paraId="6F21A8EE" w14:textId="77777777" w:rsidR="002D6186" w:rsidRPr="00564411" w:rsidRDefault="002D6186">
            <w:pPr>
              <w:pStyle w:val="3-BodyText"/>
              <w:numPr>
                <w:ilvl w:val="0"/>
                <w:numId w:val="0"/>
              </w:numPr>
              <w:rPr>
                <w:rFonts w:ascii="Arial Narrow" w:hAnsi="Arial Narrow"/>
                <w:sz w:val="20"/>
                <w:szCs w:val="20"/>
              </w:rPr>
            </w:pPr>
            <w:r w:rsidRPr="00564411">
              <w:rPr>
                <w:rFonts w:ascii="Arial Narrow" w:hAnsi="Arial Narrow"/>
                <w:sz w:val="20"/>
                <w:szCs w:val="20"/>
              </w:rPr>
              <w:t xml:space="preserve">Where treatment has resulted in an inadequate response on fewer than 3 occasions in a treatment cycle and where a break in therapy of less than 5 years has occurred, a further course of treatment </w:t>
            </w:r>
            <w:r w:rsidRPr="00965C5A">
              <w:rPr>
                <w:rFonts w:ascii="Arial Narrow" w:hAnsi="Arial Narrow"/>
                <w:i/>
                <w:iCs/>
                <w:color w:val="00B0F0"/>
                <w:sz w:val="20"/>
                <w:szCs w:val="20"/>
              </w:rPr>
              <w:t>with another biological medicine</w:t>
            </w:r>
            <w:r w:rsidRPr="00965C5A">
              <w:rPr>
                <w:rFonts w:ascii="Arial Narrow" w:hAnsi="Arial Narrow"/>
                <w:color w:val="00B0F0"/>
                <w:sz w:val="20"/>
                <w:szCs w:val="20"/>
              </w:rPr>
              <w:t xml:space="preserve"> </w:t>
            </w:r>
            <w:r w:rsidRPr="00564411">
              <w:rPr>
                <w:rFonts w:ascii="Arial Narrow" w:hAnsi="Arial Narrow"/>
                <w:sz w:val="20"/>
                <w:szCs w:val="20"/>
              </w:rPr>
              <w:t xml:space="preserve">may be commenced within the same treatment cycle. </w:t>
            </w:r>
          </w:p>
          <w:p w14:paraId="795AA1F3" w14:textId="77777777" w:rsidR="002D6186" w:rsidRPr="00564411" w:rsidRDefault="002D6186">
            <w:pPr>
              <w:pStyle w:val="3-BodyText"/>
              <w:numPr>
                <w:ilvl w:val="0"/>
                <w:numId w:val="0"/>
              </w:numPr>
              <w:rPr>
                <w:rFonts w:ascii="Arial Narrow" w:hAnsi="Arial Narrow"/>
                <w:sz w:val="20"/>
                <w:szCs w:val="20"/>
              </w:rPr>
            </w:pPr>
            <w:r w:rsidRPr="00564411">
              <w:rPr>
                <w:rFonts w:ascii="Arial Narrow" w:hAnsi="Arial Narrow"/>
                <w:sz w:val="20"/>
                <w:szCs w:val="20"/>
              </w:rPr>
              <w:t xml:space="preserve">There is no limit to the number of treatment cycles a patient may undertake in their lifetime. </w:t>
            </w:r>
          </w:p>
          <w:p w14:paraId="2503F245" w14:textId="77777777" w:rsidR="002D6186" w:rsidRPr="00564411" w:rsidRDefault="002D6186">
            <w:pPr>
              <w:pStyle w:val="3-BodyText"/>
              <w:numPr>
                <w:ilvl w:val="0"/>
                <w:numId w:val="0"/>
              </w:numPr>
              <w:rPr>
                <w:rFonts w:ascii="Arial Narrow" w:hAnsi="Arial Narrow"/>
                <w:sz w:val="20"/>
                <w:szCs w:val="20"/>
              </w:rPr>
            </w:pPr>
            <w:r w:rsidRPr="00564411">
              <w:rPr>
                <w:rFonts w:ascii="Arial Narrow" w:hAnsi="Arial Narrow"/>
                <w:sz w:val="20"/>
                <w:szCs w:val="20"/>
              </w:rPr>
              <w:t>Prescribing under the correct ‘Treatment phase’ listing for the authority application:</w:t>
            </w:r>
          </w:p>
          <w:p w14:paraId="237218CF" w14:textId="77777777" w:rsidR="002D6186" w:rsidRPr="00564411" w:rsidRDefault="002D6186">
            <w:pPr>
              <w:pStyle w:val="3-BodyText"/>
              <w:numPr>
                <w:ilvl w:val="0"/>
                <w:numId w:val="0"/>
              </w:numPr>
              <w:rPr>
                <w:rFonts w:ascii="Arial Narrow" w:hAnsi="Arial Narrow"/>
                <w:sz w:val="20"/>
                <w:szCs w:val="20"/>
              </w:rPr>
            </w:pPr>
            <w:r w:rsidRPr="00564411">
              <w:rPr>
                <w:rFonts w:ascii="Arial Narrow" w:hAnsi="Arial Narrow"/>
                <w:sz w:val="20"/>
                <w:szCs w:val="20"/>
              </w:rPr>
              <w:t xml:space="preserve">(1) Initial treatment. </w:t>
            </w:r>
          </w:p>
          <w:p w14:paraId="6B2E8B92" w14:textId="77777777" w:rsidR="002D6186" w:rsidRPr="00CB10D7" w:rsidRDefault="002D6186">
            <w:pPr>
              <w:pStyle w:val="3-BodyText"/>
              <w:numPr>
                <w:ilvl w:val="0"/>
                <w:numId w:val="0"/>
              </w:numPr>
              <w:rPr>
                <w:rFonts w:ascii="Arial Narrow" w:hAnsi="Arial Narrow"/>
                <w:sz w:val="20"/>
                <w:szCs w:val="20"/>
              </w:rPr>
            </w:pPr>
            <w:r w:rsidRPr="00564411">
              <w:rPr>
                <w:rFonts w:ascii="Arial Narrow" w:hAnsi="Arial Narrow"/>
                <w:sz w:val="20"/>
                <w:szCs w:val="20"/>
              </w:rPr>
              <w:lastRenderedPageBreak/>
              <w:t xml:space="preserve">Apply under the ‘Initial 1’ treatment listing where the patient has never received a biological medicine for moderate to severe hidradenitis </w:t>
            </w:r>
            <w:r w:rsidRPr="00CB10D7">
              <w:rPr>
                <w:rFonts w:ascii="Arial Narrow" w:hAnsi="Arial Narrow"/>
                <w:sz w:val="20"/>
                <w:szCs w:val="20"/>
              </w:rPr>
              <w:t xml:space="preserve">suppurativa. </w:t>
            </w:r>
          </w:p>
          <w:p w14:paraId="73AD6017" w14:textId="77777777" w:rsidR="002D6186" w:rsidRPr="0014316A" w:rsidRDefault="002D6186">
            <w:pPr>
              <w:pStyle w:val="3-BodyText"/>
              <w:numPr>
                <w:ilvl w:val="0"/>
                <w:numId w:val="0"/>
              </w:numPr>
              <w:rPr>
                <w:rFonts w:ascii="Arial Narrow" w:hAnsi="Arial Narrow"/>
                <w:sz w:val="20"/>
                <w:szCs w:val="20"/>
              </w:rPr>
            </w:pPr>
            <w:r w:rsidRPr="00CB10D7">
              <w:rPr>
                <w:rFonts w:ascii="Arial Narrow" w:hAnsi="Arial Narrow"/>
                <w:sz w:val="20"/>
                <w:szCs w:val="20"/>
              </w:rPr>
              <w:t>(2) Grandfather patients (</w:t>
            </w:r>
            <w:r w:rsidRPr="002723A1">
              <w:rPr>
                <w:rFonts w:ascii="Arial Narrow" w:hAnsi="Arial Narrow"/>
                <w:color w:val="000000" w:themeColor="text1"/>
                <w:sz w:val="20"/>
                <w:szCs w:val="20"/>
              </w:rPr>
              <w:t>secukinumab and</w:t>
            </w:r>
            <w:r w:rsidRPr="002723A1">
              <w:rPr>
                <w:rFonts w:ascii="Arial Narrow" w:hAnsi="Arial Narrow"/>
                <w:i/>
                <w:iCs/>
                <w:color w:val="000000" w:themeColor="text1"/>
                <w:sz w:val="20"/>
                <w:szCs w:val="20"/>
              </w:rPr>
              <w:t xml:space="preserve"> </w:t>
            </w:r>
            <w:r w:rsidRPr="002723A1">
              <w:rPr>
                <w:rFonts w:ascii="Arial Narrow" w:hAnsi="Arial Narrow"/>
                <w:i/>
                <w:iCs/>
                <w:color w:val="00B0F0"/>
                <w:sz w:val="20"/>
                <w:szCs w:val="20"/>
              </w:rPr>
              <w:t xml:space="preserve">bimekizumab </w:t>
            </w:r>
            <w:r w:rsidRPr="0014316A">
              <w:rPr>
                <w:rFonts w:ascii="Arial Narrow" w:hAnsi="Arial Narrow"/>
                <w:sz w:val="20"/>
                <w:szCs w:val="20"/>
              </w:rPr>
              <w:t xml:space="preserve">only). </w:t>
            </w:r>
          </w:p>
          <w:p w14:paraId="5D4C3C87" w14:textId="77777777" w:rsidR="002D6186" w:rsidRPr="0014316A" w:rsidRDefault="002D6186">
            <w:pPr>
              <w:pStyle w:val="3-BodyText"/>
              <w:numPr>
                <w:ilvl w:val="0"/>
                <w:numId w:val="0"/>
              </w:numPr>
              <w:rPr>
                <w:rFonts w:ascii="Arial Narrow" w:hAnsi="Arial Narrow"/>
                <w:sz w:val="20"/>
                <w:szCs w:val="20"/>
              </w:rPr>
            </w:pPr>
            <w:r w:rsidRPr="0014316A">
              <w:rPr>
                <w:rFonts w:ascii="Arial Narrow" w:hAnsi="Arial Narrow"/>
                <w:sz w:val="20"/>
                <w:szCs w:val="20"/>
              </w:rPr>
              <w:t xml:space="preserve">A patient who commenced treatment with </w:t>
            </w:r>
            <w:r w:rsidRPr="002723A1">
              <w:rPr>
                <w:rFonts w:ascii="Arial Narrow" w:hAnsi="Arial Narrow"/>
                <w:sz w:val="20"/>
                <w:szCs w:val="20"/>
              </w:rPr>
              <w:t>secukinumab</w:t>
            </w:r>
            <w:r>
              <w:rPr>
                <w:rFonts w:ascii="Arial Narrow" w:hAnsi="Arial Narrow"/>
                <w:i/>
                <w:iCs/>
                <w:sz w:val="20"/>
                <w:szCs w:val="20"/>
              </w:rPr>
              <w:t xml:space="preserve"> </w:t>
            </w:r>
            <w:r w:rsidRPr="002723A1">
              <w:rPr>
                <w:rFonts w:ascii="Arial Narrow" w:hAnsi="Arial Narrow"/>
                <w:i/>
                <w:iCs/>
                <w:color w:val="00B0F0"/>
                <w:sz w:val="20"/>
                <w:szCs w:val="20"/>
              </w:rPr>
              <w:t>or bimekizumab</w:t>
            </w:r>
            <w:r w:rsidRPr="002723A1">
              <w:rPr>
                <w:rFonts w:ascii="Arial Narrow" w:hAnsi="Arial Narrow"/>
                <w:color w:val="00B0F0"/>
                <w:sz w:val="20"/>
                <w:szCs w:val="20"/>
              </w:rPr>
              <w:t xml:space="preserve"> </w:t>
            </w:r>
            <w:r w:rsidRPr="0014316A">
              <w:rPr>
                <w:rFonts w:ascii="Arial Narrow" w:hAnsi="Arial Narrow"/>
                <w:sz w:val="20"/>
                <w:szCs w:val="20"/>
              </w:rPr>
              <w:t xml:space="preserve">for moderate to severe hidradenitis suppurativa prior to </w:t>
            </w:r>
            <w:r>
              <w:rPr>
                <w:rFonts w:ascii="Arial Narrow" w:hAnsi="Arial Narrow"/>
                <w:sz w:val="20"/>
                <w:szCs w:val="20"/>
              </w:rPr>
              <w:t xml:space="preserve">1 June 2024 and </w:t>
            </w:r>
            <w:r w:rsidRPr="007B0FEA">
              <w:rPr>
                <w:rFonts w:ascii="Arial Narrow" w:hAnsi="Arial Narrow"/>
                <w:color w:val="00B0F0"/>
                <w:sz w:val="20"/>
                <w:szCs w:val="20"/>
              </w:rPr>
              <w:t>[</w:t>
            </w:r>
            <w:r>
              <w:rPr>
                <w:rFonts w:ascii="Arial Narrow" w:hAnsi="Arial Narrow"/>
                <w:color w:val="00B0F0"/>
                <w:sz w:val="20"/>
                <w:szCs w:val="20"/>
              </w:rPr>
              <w:t xml:space="preserve">bimekizumab </w:t>
            </w:r>
            <w:r w:rsidRPr="007B0FEA">
              <w:rPr>
                <w:rFonts w:ascii="Arial Narrow" w:hAnsi="Arial Narrow"/>
                <w:color w:val="00B0F0"/>
                <w:sz w:val="20"/>
                <w:szCs w:val="20"/>
              </w:rPr>
              <w:t xml:space="preserve">LISTING DATE] </w:t>
            </w:r>
            <w:r>
              <w:rPr>
                <w:rFonts w:ascii="Arial Narrow" w:hAnsi="Arial Narrow"/>
                <w:color w:val="00B0F0"/>
                <w:sz w:val="20"/>
                <w:szCs w:val="20"/>
              </w:rPr>
              <w:t>respectively</w:t>
            </w:r>
            <w:r w:rsidRPr="007B0FEA">
              <w:rPr>
                <w:rFonts w:ascii="Arial Narrow" w:hAnsi="Arial Narrow"/>
                <w:color w:val="00B0F0"/>
                <w:sz w:val="20"/>
                <w:szCs w:val="20"/>
              </w:rPr>
              <w:t xml:space="preserve"> </w:t>
            </w:r>
            <w:r w:rsidRPr="0014316A">
              <w:rPr>
                <w:rFonts w:ascii="Arial Narrow" w:hAnsi="Arial Narrow"/>
                <w:sz w:val="20"/>
                <w:szCs w:val="20"/>
              </w:rPr>
              <w:t xml:space="preserve">and who continues to receive treatment at the time of application, may qualify for treatment under the ‘Grandfather’ treatment restriction. </w:t>
            </w:r>
          </w:p>
          <w:p w14:paraId="50BAEFB8" w14:textId="77777777" w:rsidR="002D6186" w:rsidRPr="0014316A" w:rsidRDefault="002D6186">
            <w:pPr>
              <w:pStyle w:val="3-BodyText"/>
              <w:numPr>
                <w:ilvl w:val="0"/>
                <w:numId w:val="0"/>
              </w:numPr>
              <w:rPr>
                <w:rFonts w:ascii="Arial Narrow" w:hAnsi="Arial Narrow"/>
                <w:sz w:val="20"/>
                <w:szCs w:val="20"/>
              </w:rPr>
            </w:pPr>
            <w:r w:rsidRPr="0014316A">
              <w:rPr>
                <w:rFonts w:ascii="Arial Narrow" w:hAnsi="Arial Narrow"/>
                <w:sz w:val="20"/>
                <w:szCs w:val="20"/>
              </w:rPr>
              <w:t xml:space="preserve">A patient may only qualify for PBS-subsidised treatment under this restriction once. A maximum of 24 weeks of treatment will be authorised under this restriction. Following completion of the initial PBS-subsidised course, further subsidised treatment must be prescribed under the continuing treatment restriction of the relevant drug. ‘Grandfather’ arrangements will only apply for the first treatment cycle. </w:t>
            </w:r>
          </w:p>
          <w:p w14:paraId="2E8B362B" w14:textId="77777777" w:rsidR="002D6186" w:rsidRPr="00564411" w:rsidRDefault="002D6186">
            <w:pPr>
              <w:pStyle w:val="3-BodyText"/>
              <w:numPr>
                <w:ilvl w:val="0"/>
                <w:numId w:val="0"/>
              </w:numPr>
              <w:rPr>
                <w:rFonts w:ascii="Arial Narrow" w:hAnsi="Arial Narrow"/>
                <w:sz w:val="20"/>
                <w:szCs w:val="20"/>
              </w:rPr>
            </w:pPr>
            <w:r w:rsidRPr="0014316A">
              <w:rPr>
                <w:rFonts w:ascii="Arial Narrow" w:hAnsi="Arial Narrow"/>
                <w:sz w:val="20"/>
                <w:szCs w:val="20"/>
              </w:rPr>
              <w:t>For the second and subsequent cycles, a ‘grandfather’ patient must qualify for continuing treatment under the criteria that apply to a continuing patient.</w:t>
            </w:r>
            <w:r w:rsidRPr="00564411">
              <w:rPr>
                <w:rFonts w:ascii="Arial Narrow" w:hAnsi="Arial Narrow"/>
                <w:sz w:val="20"/>
                <w:szCs w:val="20"/>
              </w:rPr>
              <w:t xml:space="preserve"> </w:t>
            </w:r>
          </w:p>
          <w:p w14:paraId="2DA9DEAC" w14:textId="77777777" w:rsidR="002D6186" w:rsidRPr="00564411" w:rsidRDefault="002D6186">
            <w:pPr>
              <w:pStyle w:val="3-BodyText"/>
              <w:numPr>
                <w:ilvl w:val="0"/>
                <w:numId w:val="0"/>
              </w:numPr>
              <w:rPr>
                <w:rFonts w:ascii="Arial Narrow" w:hAnsi="Arial Narrow"/>
                <w:sz w:val="20"/>
                <w:szCs w:val="20"/>
              </w:rPr>
            </w:pPr>
            <w:r w:rsidRPr="00564411">
              <w:rPr>
                <w:rFonts w:ascii="Arial Narrow" w:hAnsi="Arial Narrow"/>
                <w:sz w:val="20"/>
                <w:szCs w:val="20"/>
              </w:rPr>
              <w:t xml:space="preserve">(3) Continuing treatment. </w:t>
            </w:r>
          </w:p>
          <w:p w14:paraId="68D03829" w14:textId="77777777" w:rsidR="002D6186" w:rsidRPr="00564411" w:rsidRDefault="002D6186">
            <w:pPr>
              <w:pStyle w:val="3-BodyText"/>
              <w:numPr>
                <w:ilvl w:val="0"/>
                <w:numId w:val="0"/>
              </w:numPr>
              <w:rPr>
                <w:rFonts w:ascii="Arial Narrow" w:hAnsi="Arial Narrow"/>
                <w:sz w:val="20"/>
                <w:szCs w:val="20"/>
              </w:rPr>
            </w:pPr>
            <w:r w:rsidRPr="00564411">
              <w:rPr>
                <w:rFonts w:ascii="Arial Narrow" w:hAnsi="Arial Narrow"/>
                <w:sz w:val="20"/>
                <w:szCs w:val="20"/>
              </w:rPr>
              <w:t xml:space="preserve">Apply under the ‘Continuing treatment’ listing where the patient is experiencing an adequate response as defined in the restriction where there has been no change in prescribed biological medicine. Under no circumstance is continuing treatment to proceed initial treatment. An authority application for continuing treatment is not to be made on the same day as initial treatment. </w:t>
            </w:r>
          </w:p>
          <w:p w14:paraId="17076845" w14:textId="77777777" w:rsidR="002D6186" w:rsidRPr="00564411" w:rsidRDefault="002D6186">
            <w:pPr>
              <w:pStyle w:val="3-BodyText"/>
              <w:numPr>
                <w:ilvl w:val="0"/>
                <w:numId w:val="0"/>
              </w:numPr>
              <w:rPr>
                <w:rFonts w:ascii="Arial Narrow" w:hAnsi="Arial Narrow"/>
                <w:sz w:val="20"/>
                <w:szCs w:val="20"/>
              </w:rPr>
            </w:pPr>
            <w:r w:rsidRPr="00564411">
              <w:rPr>
                <w:rFonts w:ascii="Arial Narrow" w:hAnsi="Arial Narrow"/>
                <w:sz w:val="20"/>
                <w:szCs w:val="20"/>
              </w:rPr>
              <w:t>(4) Changing/swapping therapy.</w:t>
            </w:r>
          </w:p>
          <w:p w14:paraId="1237DDB6" w14:textId="77777777" w:rsidR="002D6186" w:rsidRPr="00564411" w:rsidRDefault="002D6186">
            <w:pPr>
              <w:pStyle w:val="3-BodyText"/>
              <w:numPr>
                <w:ilvl w:val="0"/>
                <w:numId w:val="0"/>
              </w:numPr>
              <w:rPr>
                <w:rFonts w:ascii="Arial Narrow" w:hAnsi="Arial Narrow"/>
                <w:sz w:val="20"/>
                <w:szCs w:val="20"/>
              </w:rPr>
            </w:pPr>
            <w:r w:rsidRPr="00564411">
              <w:rPr>
                <w:rFonts w:ascii="Arial Narrow" w:hAnsi="Arial Narrow"/>
                <w:sz w:val="20"/>
                <w:szCs w:val="20"/>
              </w:rPr>
              <w:t xml:space="preserve">Apply under the ‘Initial 2’ treatment listing. Once initial treatment with the first PBS-subsidised biological medicine is prescribed, a patient may swap to an alternate biological medicine without having to requalify with respect to prior antibiotic use. A patient may trial an alternate biological medicine at any time, regardless of whether they are receiving therapy (initial or continuing) with a biological medicine at the time of the application. However, they cannot change to a particular biological medicine if it has failed to provide the patient with an adequate response as defined in the restriction within the same treatment cycle. A response assessment to the preceding supply of biological medicine must accompany this initial 2 treatment authority application. </w:t>
            </w:r>
          </w:p>
          <w:p w14:paraId="04413CE7" w14:textId="77777777" w:rsidR="002D6186" w:rsidRPr="00564411" w:rsidRDefault="002D6186">
            <w:pPr>
              <w:pStyle w:val="3-BodyText"/>
              <w:numPr>
                <w:ilvl w:val="0"/>
                <w:numId w:val="0"/>
              </w:numPr>
              <w:rPr>
                <w:rFonts w:ascii="Arial Narrow" w:hAnsi="Arial Narrow"/>
                <w:sz w:val="20"/>
                <w:szCs w:val="20"/>
              </w:rPr>
            </w:pPr>
            <w:r w:rsidRPr="00564411">
              <w:rPr>
                <w:rFonts w:ascii="Arial Narrow" w:hAnsi="Arial Narrow"/>
                <w:sz w:val="20"/>
                <w:szCs w:val="20"/>
              </w:rPr>
              <w:t xml:space="preserve">(5) Baseline measurements to determine response. </w:t>
            </w:r>
          </w:p>
          <w:p w14:paraId="55CA1CB8" w14:textId="77777777" w:rsidR="002D6186" w:rsidRPr="00564411" w:rsidRDefault="002D6186">
            <w:pPr>
              <w:pStyle w:val="3-BodyText"/>
              <w:numPr>
                <w:ilvl w:val="0"/>
                <w:numId w:val="0"/>
              </w:numPr>
              <w:rPr>
                <w:rFonts w:ascii="Arial Narrow" w:hAnsi="Arial Narrow"/>
                <w:sz w:val="20"/>
                <w:szCs w:val="20"/>
              </w:rPr>
            </w:pPr>
            <w:r w:rsidRPr="00564411">
              <w:rPr>
                <w:rFonts w:ascii="Arial Narrow" w:hAnsi="Arial Narrow"/>
                <w:sz w:val="20"/>
                <w:szCs w:val="20"/>
              </w:rPr>
              <w:t xml:space="preserve">A response to treatment is to be determined by comparison of current disease activity measurements relative to the baseline measurement of abscess and inflammatory nodule (AN) count submitted with the first authority application for a biological medicine. To ensure consistency in determining response, the same indices of disease severity used to establish baseline must be used for all subsequent continuing treatment applications. Prescribers may provide new baselines measurements any time an ‘Initial treatment’ authority application is submitted within a treatment cycle and the eligibility for continuing treatment must be assessed according to these revised baseline measurements. </w:t>
            </w:r>
          </w:p>
          <w:p w14:paraId="45BC9E87" w14:textId="77777777" w:rsidR="002D6186" w:rsidRPr="00564411" w:rsidRDefault="002D6186">
            <w:pPr>
              <w:pStyle w:val="3-BodyText"/>
              <w:numPr>
                <w:ilvl w:val="0"/>
                <w:numId w:val="0"/>
              </w:numPr>
              <w:rPr>
                <w:rFonts w:ascii="Arial Narrow" w:hAnsi="Arial Narrow"/>
                <w:sz w:val="20"/>
                <w:szCs w:val="20"/>
              </w:rPr>
            </w:pPr>
            <w:r w:rsidRPr="00564411">
              <w:rPr>
                <w:rFonts w:ascii="Arial Narrow" w:hAnsi="Arial Narrow"/>
                <w:sz w:val="20"/>
                <w:szCs w:val="20"/>
              </w:rPr>
              <w:t xml:space="preserve">(6) Recommencement of treatment after a 5-year break in PBS-subsidised therapy. </w:t>
            </w:r>
          </w:p>
          <w:p w14:paraId="701A7928" w14:textId="77777777" w:rsidR="002D6186" w:rsidRDefault="002D6186">
            <w:pPr>
              <w:keepNext/>
              <w:keepLines/>
              <w:spacing w:after="120"/>
              <w:rPr>
                <w:rFonts w:asciiTheme="minorHAnsi" w:hAnsiTheme="minorHAnsi" w:cstheme="minorBidi"/>
                <w:u w:val="single"/>
              </w:rPr>
            </w:pPr>
            <w:r w:rsidRPr="00564411">
              <w:rPr>
                <w:rFonts w:ascii="Arial Narrow" w:hAnsi="Arial Narrow"/>
                <w:sz w:val="20"/>
                <w:szCs w:val="20"/>
              </w:rPr>
              <w:t>Apply under the ‘Initial 3’ treatment listing. Prior antibiotic courses need not be re-trialled.</w:t>
            </w:r>
          </w:p>
        </w:tc>
      </w:tr>
    </w:tbl>
    <w:p w14:paraId="4B1FDD39" w14:textId="77777777" w:rsidR="002D6186" w:rsidRDefault="002D6186" w:rsidP="00291266">
      <w:pPr>
        <w:spacing w:before="120" w:after="120"/>
        <w:rPr>
          <w:u w:val="single"/>
        </w:rPr>
      </w:pPr>
      <w:r>
        <w:rPr>
          <w:u w:val="single"/>
        </w:rPr>
        <w:lastRenderedPageBreak/>
        <w:t>Flow-on changes</w:t>
      </w:r>
    </w:p>
    <w:p w14:paraId="01D5FD97" w14:textId="47475A98" w:rsidR="002D6186" w:rsidRPr="004549C2" w:rsidRDefault="002D6186" w:rsidP="00291266">
      <w:pPr>
        <w:spacing w:after="120"/>
        <w:rPr>
          <w:rFonts w:cs="Calibri"/>
        </w:rPr>
      </w:pPr>
      <w:r w:rsidRPr="004549C2">
        <w:rPr>
          <w:rFonts w:cs="Calibri"/>
        </w:rPr>
        <w:t>Amend the overarching administrative advice note</w:t>
      </w:r>
      <w:r>
        <w:rPr>
          <w:rFonts w:cs="Calibri"/>
        </w:rPr>
        <w:t xml:space="preserve"> </w:t>
      </w:r>
      <w:r w:rsidRPr="004549C2">
        <w:rPr>
          <w:rFonts w:cs="Calibri"/>
        </w:rPr>
        <w:t xml:space="preserve">(as above) that currently exists for the following biologic PBS listings for </w:t>
      </w:r>
      <w:r w:rsidR="00760618">
        <w:rPr>
          <w:rFonts w:cs="Calibri"/>
        </w:rPr>
        <w:t>m</w:t>
      </w:r>
      <w:r w:rsidRPr="004549C2">
        <w:rPr>
          <w:rFonts w:cs="Calibri"/>
        </w:rPr>
        <w:t xml:space="preserve">oderate to severe hidradenitis suppurativa (HS): </w:t>
      </w:r>
    </w:p>
    <w:p w14:paraId="096E3C23" w14:textId="77777777" w:rsidR="002D6186" w:rsidRPr="004549C2" w:rsidRDefault="002D6186" w:rsidP="00291266">
      <w:pPr>
        <w:pStyle w:val="ListParagraph"/>
        <w:numPr>
          <w:ilvl w:val="0"/>
          <w:numId w:val="50"/>
        </w:numPr>
        <w:spacing w:line="278" w:lineRule="auto"/>
        <w:contextualSpacing/>
        <w:jc w:val="both"/>
        <w:rPr>
          <w:rFonts w:ascii="Calibri" w:hAnsi="Calibri" w:cs="Calibri"/>
        </w:rPr>
      </w:pPr>
      <w:r w:rsidRPr="004549C2">
        <w:rPr>
          <w:rFonts w:ascii="Calibri" w:hAnsi="Calibri" w:cs="Calibri"/>
        </w:rPr>
        <w:t xml:space="preserve">Adalimumab (14587R, 14622N, 12450G, 12449F, </w:t>
      </w:r>
      <w:r>
        <w:rPr>
          <w:rFonts w:ascii="Calibri" w:hAnsi="Calibri" w:cs="Calibri"/>
        </w:rPr>
        <w:t>12395J, 12448E, 12408C, 12356H, 12385W, 12369B, 12330Y, 12383R, 12414J, 12454L, 12524E, 13221W</w:t>
      </w:r>
      <w:r w:rsidRPr="004549C2">
        <w:rPr>
          <w:rFonts w:ascii="Calibri" w:hAnsi="Calibri" w:cs="Calibri"/>
        </w:rPr>
        <w:t xml:space="preserve">) </w:t>
      </w:r>
    </w:p>
    <w:p w14:paraId="6505B99F" w14:textId="77777777" w:rsidR="002D6186" w:rsidRPr="004549C2" w:rsidRDefault="002D6186" w:rsidP="00291266">
      <w:pPr>
        <w:pStyle w:val="ListParagraph"/>
        <w:numPr>
          <w:ilvl w:val="0"/>
          <w:numId w:val="50"/>
        </w:numPr>
        <w:spacing w:line="278" w:lineRule="auto"/>
        <w:contextualSpacing/>
        <w:jc w:val="both"/>
        <w:rPr>
          <w:rFonts w:ascii="Calibri" w:hAnsi="Calibri" w:cs="Calibri"/>
        </w:rPr>
      </w:pPr>
      <w:r w:rsidRPr="004549C2">
        <w:rPr>
          <w:rFonts w:ascii="Calibri" w:hAnsi="Calibri" w:cs="Calibri"/>
        </w:rPr>
        <w:t xml:space="preserve">Secukinumab (14154Y, 14161H, 14146M) </w:t>
      </w:r>
    </w:p>
    <w:p w14:paraId="1D12C3D1" w14:textId="77777777" w:rsidR="0005261F" w:rsidRPr="00907671" w:rsidRDefault="0005261F" w:rsidP="00291266">
      <w:pPr>
        <w:spacing w:before="120" w:after="120"/>
        <w:rPr>
          <w:rFonts w:asciiTheme="minorHAnsi" w:hAnsiTheme="minorHAnsi"/>
          <w:b/>
          <w:i/>
          <w:iCs/>
          <w:snapToGrid w:val="0"/>
          <w:lang w:val="en-GB"/>
        </w:rPr>
      </w:pPr>
      <w:r w:rsidRPr="5561B9F3">
        <w:rPr>
          <w:rFonts w:asciiTheme="minorHAnsi" w:hAnsiTheme="minorHAnsi"/>
          <w:b/>
          <w:bCs/>
          <w:i/>
          <w:iCs/>
          <w:snapToGrid w:val="0"/>
          <w:lang w:val="en-GB"/>
        </w:rPr>
        <w:t>These restrictions may be subject to further review. Should there be any changes made to the restriction the sponsor will be informed.</w:t>
      </w:r>
    </w:p>
    <w:p w14:paraId="21B0B6EF" w14:textId="77777777" w:rsidR="4F13BA70" w:rsidRDefault="4F13BA70" w:rsidP="5561B9F3">
      <w:pPr>
        <w:pStyle w:val="2-SectionHeading"/>
        <w:numPr>
          <w:ilvl w:val="0"/>
          <w:numId w:val="0"/>
        </w:numPr>
        <w:ind w:left="720" w:hanging="720"/>
        <w:rPr>
          <w:lang w:val="en-GB"/>
        </w:rPr>
      </w:pPr>
      <w:r>
        <w:lastRenderedPageBreak/>
        <w:t>9</w:t>
      </w:r>
      <w:r>
        <w:tab/>
        <w:t>Context for Decision</w:t>
      </w:r>
    </w:p>
    <w:p w14:paraId="6244C03C" w14:textId="77777777" w:rsidR="4F13BA70" w:rsidRDefault="4F13BA70" w:rsidP="00291266">
      <w:pPr>
        <w:spacing w:before="120" w:after="120"/>
        <w:ind w:left="720"/>
        <w:rPr>
          <w:lang w:val="en-GB"/>
        </w:rPr>
      </w:pPr>
      <w:r w:rsidRPr="5561B9F3">
        <w:rPr>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43CA470" w14:textId="77777777" w:rsidR="4F13BA70" w:rsidRDefault="4F13BA70" w:rsidP="5561B9F3">
      <w:pPr>
        <w:pStyle w:val="2-SectionHeading"/>
        <w:numPr>
          <w:ilvl w:val="0"/>
          <w:numId w:val="0"/>
        </w:numPr>
        <w:ind w:left="720" w:hanging="720"/>
      </w:pPr>
      <w:r>
        <w:t>10</w:t>
      </w:r>
      <w:r>
        <w:tab/>
        <w:t>Sponsor’s Comment</w:t>
      </w:r>
    </w:p>
    <w:p w14:paraId="4ADD8FB7" w14:textId="6849D3FE" w:rsidR="4F13BA70" w:rsidRDefault="4F13BA70" w:rsidP="00291266">
      <w:pPr>
        <w:spacing w:before="120" w:after="120"/>
        <w:ind w:left="720"/>
      </w:pPr>
      <w:r>
        <w:t>The sponsor had no comment.</w:t>
      </w:r>
    </w:p>
    <w:sectPr w:rsidR="4F13BA70" w:rsidSect="00251006">
      <w:headerReference w:type="even" r:id="rId20"/>
      <w:headerReference w:type="default" r:id="rId21"/>
      <w:footerReference w:type="even" r:id="rId22"/>
      <w:footerReference w:type="default" r:id="rId23"/>
      <w:headerReference w:type="first" r:id="rId24"/>
      <w:footerReference w:type="first" r:id="rId25"/>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BB741" w14:textId="77777777" w:rsidR="00A64BA6" w:rsidRDefault="00A64BA6" w:rsidP="00124A51">
      <w:r>
        <w:separator/>
      </w:r>
    </w:p>
    <w:p w14:paraId="62B212C0" w14:textId="77777777" w:rsidR="00A64BA6" w:rsidRDefault="00A64BA6"/>
  </w:endnote>
  <w:endnote w:type="continuationSeparator" w:id="0">
    <w:p w14:paraId="0CEA5585" w14:textId="77777777" w:rsidR="00A64BA6" w:rsidRDefault="00A64BA6" w:rsidP="00124A51">
      <w:r>
        <w:continuationSeparator/>
      </w:r>
    </w:p>
    <w:p w14:paraId="14DF78AE" w14:textId="77777777" w:rsidR="00A64BA6" w:rsidRDefault="00A64BA6"/>
  </w:endnote>
  <w:endnote w:type="continuationNotice" w:id="1">
    <w:p w14:paraId="22354606" w14:textId="77777777" w:rsidR="00A64BA6" w:rsidRDefault="00A64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bon">
    <w:altName w:val="Constantia"/>
    <w:charset w:val="00"/>
    <w:family w:val="roman"/>
    <w:pitch w:val="variable"/>
    <w:sig w:usb0="00000001"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407D8" w14:textId="0BD749C5" w:rsidR="004C1F08" w:rsidRDefault="009E0ED9">
    <w:pPr>
      <w:pStyle w:val="Footer"/>
    </w:pPr>
    <w:r>
      <w:rPr>
        <w:noProof/>
      </w:rPr>
      <mc:AlternateContent>
        <mc:Choice Requires="wps">
          <w:drawing>
            <wp:anchor distT="0" distB="0" distL="0" distR="0" simplePos="0" relativeHeight="251662336" behindDoc="0" locked="0" layoutInCell="1" allowOverlap="1" wp14:anchorId="5D35CCF4" wp14:editId="42999EBA">
              <wp:simplePos x="635" y="635"/>
              <wp:positionH relativeFrom="page">
                <wp:align>center</wp:align>
              </wp:positionH>
              <wp:positionV relativeFrom="page">
                <wp:align>bottom</wp:align>
              </wp:positionV>
              <wp:extent cx="551815" cy="376555"/>
              <wp:effectExtent l="0" t="0" r="635" b="0"/>
              <wp:wrapNone/>
              <wp:docPr id="11974275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C15E22A" w14:textId="4E924D2F" w:rsidR="009E0ED9" w:rsidRPr="009E0ED9" w:rsidRDefault="009E0ED9" w:rsidP="009E0ED9">
                          <w:pPr>
                            <w:rPr>
                              <w:rFonts w:eastAsia="Calibri" w:cs="Calibri"/>
                              <w:noProof/>
                              <w:color w:val="FF0000"/>
                            </w:rPr>
                          </w:pPr>
                          <w:r w:rsidRPr="009E0ED9">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35CCF4"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5C15E22A" w14:textId="4E924D2F" w:rsidR="009E0ED9" w:rsidRPr="009E0ED9" w:rsidRDefault="009E0ED9" w:rsidP="009E0ED9">
                    <w:pPr>
                      <w:rPr>
                        <w:rFonts w:eastAsia="Calibri" w:cs="Calibri"/>
                        <w:noProof/>
                        <w:color w:val="FF0000"/>
                      </w:rPr>
                    </w:pPr>
                    <w:r w:rsidRPr="009E0ED9">
                      <w:rPr>
                        <w:rFonts w:eastAsia="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182B4D24" w:rsidR="00D843F2" w:rsidRDefault="009E0ED9" w:rsidP="00753B29">
    <w:pPr>
      <w:pStyle w:val="Footer"/>
      <w:jc w:val="center"/>
    </w:pPr>
    <w:r>
      <w:rPr>
        <w:noProof/>
      </w:rPr>
      <mc:AlternateContent>
        <mc:Choice Requires="wps">
          <w:drawing>
            <wp:anchor distT="0" distB="0" distL="0" distR="0" simplePos="0" relativeHeight="251663360" behindDoc="0" locked="0" layoutInCell="1" allowOverlap="1" wp14:anchorId="503B2542" wp14:editId="11389037">
              <wp:simplePos x="914400" y="9406467"/>
              <wp:positionH relativeFrom="page">
                <wp:align>center</wp:align>
              </wp:positionH>
              <wp:positionV relativeFrom="page">
                <wp:align>bottom</wp:align>
              </wp:positionV>
              <wp:extent cx="551815" cy="376555"/>
              <wp:effectExtent l="0" t="0" r="635" b="0"/>
              <wp:wrapNone/>
              <wp:docPr id="93965009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07BE8B4" w14:textId="7C9B07AC" w:rsidR="009E0ED9" w:rsidRPr="009E0ED9" w:rsidRDefault="009E0ED9" w:rsidP="009E0ED9">
                          <w:pPr>
                            <w:rPr>
                              <w:rFonts w:eastAsia="Calibri" w:cs="Calibri"/>
                              <w:noProof/>
                              <w:color w:val="FF0000"/>
                            </w:rPr>
                          </w:pPr>
                          <w:r w:rsidRPr="009E0ED9">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3B2542"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107BE8B4" w14:textId="7C9B07AC" w:rsidR="009E0ED9" w:rsidRPr="009E0ED9" w:rsidRDefault="009E0ED9" w:rsidP="009E0ED9">
                    <w:pPr>
                      <w:rPr>
                        <w:rFonts w:eastAsia="Calibri" w:cs="Calibri"/>
                        <w:noProof/>
                        <w:color w:val="FF0000"/>
                      </w:rPr>
                    </w:pPr>
                    <w:r w:rsidRPr="009E0ED9">
                      <w:rPr>
                        <w:rFonts w:eastAsia="Calibri" w:cs="Calibri"/>
                        <w:noProof/>
                        <w:color w:val="FF0000"/>
                      </w:rPr>
                      <w:t>OFFICIAL</w:t>
                    </w:r>
                  </w:p>
                </w:txbxContent>
              </v:textbox>
              <w10:wrap anchorx="page" anchory="page"/>
            </v:shape>
          </w:pict>
        </mc:Fallback>
      </mc:AlternateContent>
    </w:r>
  </w:p>
  <w:p w14:paraId="37484CD3" w14:textId="167E2E19" w:rsidR="00D843F2" w:rsidRPr="007C1CD9" w:rsidRDefault="00000000" w:rsidP="006028D3">
    <w:pPr>
      <w:pStyle w:val="PageFooter"/>
    </w:pPr>
    <w:sdt>
      <w:sdtPr>
        <w:id w:val="1036156457"/>
        <w:docPartObj>
          <w:docPartGallery w:val="Page Numbers (Bottom of Page)"/>
          <w:docPartUnique/>
        </w:docPartObj>
      </w:sdtPr>
      <w:sdtEndPr>
        <w:rPr>
          <w:noProof/>
        </w:rPr>
      </w:sdtEndPr>
      <w:sdtContent>
        <w:r w:rsidR="00D843F2">
          <w:fldChar w:fldCharType="begin"/>
        </w:r>
        <w:r w:rsidR="00D843F2">
          <w:instrText xml:space="preserve"> PAGE   \* MERGEFORMAT </w:instrText>
        </w:r>
        <w:r w:rsidR="00D843F2">
          <w:fldChar w:fldCharType="separate"/>
        </w:r>
        <w:r w:rsidR="00D843F2">
          <w:rPr>
            <w:noProof/>
          </w:rPr>
          <w:t>2</w:t>
        </w:r>
        <w:r w:rsidR="00D843F2">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AD96" w14:textId="0238984A" w:rsidR="004C1F08" w:rsidRDefault="009E0ED9">
    <w:pPr>
      <w:pStyle w:val="Footer"/>
    </w:pPr>
    <w:r>
      <w:rPr>
        <w:noProof/>
      </w:rPr>
      <mc:AlternateContent>
        <mc:Choice Requires="wps">
          <w:drawing>
            <wp:anchor distT="0" distB="0" distL="0" distR="0" simplePos="0" relativeHeight="251661312" behindDoc="0" locked="0" layoutInCell="1" allowOverlap="1" wp14:anchorId="5036F5B2" wp14:editId="323F1544">
              <wp:simplePos x="635" y="635"/>
              <wp:positionH relativeFrom="page">
                <wp:align>center</wp:align>
              </wp:positionH>
              <wp:positionV relativeFrom="page">
                <wp:align>bottom</wp:align>
              </wp:positionV>
              <wp:extent cx="551815" cy="376555"/>
              <wp:effectExtent l="0" t="0" r="635" b="0"/>
              <wp:wrapNone/>
              <wp:docPr id="87248194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8FDAD6C" w14:textId="36F30EE2" w:rsidR="009E0ED9" w:rsidRPr="009E0ED9" w:rsidRDefault="009E0ED9" w:rsidP="009E0ED9">
                          <w:pPr>
                            <w:rPr>
                              <w:rFonts w:eastAsia="Calibri" w:cs="Calibri"/>
                              <w:noProof/>
                              <w:color w:val="FF0000"/>
                            </w:rPr>
                          </w:pPr>
                          <w:r w:rsidRPr="009E0ED9">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36F5B2"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78FDAD6C" w14:textId="36F30EE2" w:rsidR="009E0ED9" w:rsidRPr="009E0ED9" w:rsidRDefault="009E0ED9" w:rsidP="009E0ED9">
                    <w:pPr>
                      <w:rPr>
                        <w:rFonts w:eastAsia="Calibri" w:cs="Calibri"/>
                        <w:noProof/>
                        <w:color w:val="FF0000"/>
                      </w:rPr>
                    </w:pPr>
                    <w:r w:rsidRPr="009E0ED9">
                      <w:rPr>
                        <w:rFonts w:eastAsia="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6BB85" w14:textId="77777777" w:rsidR="00A64BA6" w:rsidRDefault="00A64BA6" w:rsidP="00124A51">
      <w:r>
        <w:separator/>
      </w:r>
    </w:p>
    <w:p w14:paraId="62A4C22B" w14:textId="77777777" w:rsidR="00A64BA6" w:rsidRDefault="00A64BA6"/>
  </w:footnote>
  <w:footnote w:type="continuationSeparator" w:id="0">
    <w:p w14:paraId="25A7B136" w14:textId="77777777" w:rsidR="00A64BA6" w:rsidRDefault="00A64BA6" w:rsidP="00124A51">
      <w:r>
        <w:continuationSeparator/>
      </w:r>
    </w:p>
    <w:p w14:paraId="2D461D31" w14:textId="77777777" w:rsidR="00A64BA6" w:rsidRDefault="00A64BA6"/>
  </w:footnote>
  <w:footnote w:type="continuationNotice" w:id="1">
    <w:p w14:paraId="5E435048" w14:textId="77777777" w:rsidR="00A64BA6" w:rsidRDefault="00A64BA6"/>
  </w:footnote>
  <w:footnote w:id="2">
    <w:p w14:paraId="07104242" w14:textId="3F912C2E" w:rsidR="00F83C3F" w:rsidRPr="0036240E" w:rsidRDefault="00F83C3F" w:rsidP="00F83C3F">
      <w:pPr>
        <w:pStyle w:val="FootnoteText"/>
        <w:rPr>
          <w:lang w:val="en-GB"/>
        </w:rPr>
      </w:pPr>
      <w:r>
        <w:rPr>
          <w:rStyle w:val="FootnoteReference"/>
        </w:rPr>
        <w:footnoteRef/>
      </w:r>
      <w:r>
        <w:t xml:space="preserve"> Frew J, Fernandez Penas P, Foley P, et al. Australasian hidradenitis suppurativ</w:t>
      </w:r>
      <w:r w:rsidR="0032250C">
        <w:t>a</w:t>
      </w:r>
      <w:r>
        <w:t xml:space="preserve"> management guidelines. </w:t>
      </w:r>
      <w:r w:rsidRPr="0036240E">
        <w:rPr>
          <w:i/>
          <w:iCs/>
        </w:rPr>
        <w:t>Australas J Dermatol</w:t>
      </w:r>
      <w:r>
        <w:t xml:space="preserve"> 2024; </w:t>
      </w:r>
      <w:r w:rsidRPr="0036240E">
        <w:rPr>
          <w:lang w:val="en-GB"/>
        </w:rPr>
        <w:t>https://doi.org/10.1111/ajd.14388</w:t>
      </w:r>
    </w:p>
  </w:footnote>
  <w:footnote w:id="3">
    <w:p w14:paraId="07299AD1" w14:textId="506BB6AB" w:rsidR="00E053DD" w:rsidRDefault="00E053DD" w:rsidP="00E053DD">
      <w:pPr>
        <w:pStyle w:val="FootnoteText"/>
      </w:pPr>
      <w:r>
        <w:rPr>
          <w:rStyle w:val="FootnoteReference"/>
        </w:rPr>
        <w:footnoteRef/>
      </w:r>
      <w:r>
        <w:t xml:space="preserve"> Tsai YC, Hung CY, Tsai TF. Efficacy and Safety of Biologics and Small Molecules for Moderate-to-Severe Hidradenitis Suppurativa: A Systematic Review and Network Meta-Analysis. Pharmaceutics. 2023 Apr 28;15(5):1351. doi: 10.3390/pharmaceutics15051351. PMID: 37242593; PMCID: PMC10224469</w:t>
      </w:r>
    </w:p>
  </w:footnote>
  <w:footnote w:id="4">
    <w:p w14:paraId="097B3EAF" w14:textId="73C38643" w:rsidR="00CD17C6" w:rsidRDefault="00CD17C6" w:rsidP="00CD17C6">
      <w:pPr>
        <w:pStyle w:val="FootnoteText"/>
        <w:jc w:val="left"/>
      </w:pPr>
      <w:r>
        <w:rPr>
          <w:rStyle w:val="FootnoteReference"/>
        </w:rPr>
        <w:footnoteRef/>
      </w:r>
      <w:r>
        <w:t xml:space="preserve"> NICE, Adalimumab for treating moderate to severe hidradenitis suppurativa, 2016; www.nice.org.uk/guidance/ta392</w:t>
      </w:r>
      <w:r w:rsidR="00421903">
        <w:t xml:space="preserve"> pp44-45. </w:t>
      </w:r>
    </w:p>
  </w:footnote>
  <w:footnote w:id="5">
    <w:p w14:paraId="56495834" w14:textId="77777777" w:rsidR="00F43A94" w:rsidRDefault="00F43A94" w:rsidP="00F43A94">
      <w:pPr>
        <w:pStyle w:val="FootnoteText"/>
      </w:pPr>
      <w:r>
        <w:rPr>
          <w:rStyle w:val="FootnoteReference"/>
        </w:rPr>
        <w:footnoteRef/>
      </w:r>
      <w:r>
        <w:t xml:space="preserve"> </w:t>
      </w:r>
      <w:r w:rsidRPr="00D81765">
        <w:t>https://clinicaltrials.gov/study/NCT01468207?term=NCT01468207&amp;rank=1&amp;tab=history&amp;a=17#version-content-panel</w:t>
      </w:r>
      <w:r>
        <w:t xml:space="preserve"> accessed 18 January 2025. </w:t>
      </w:r>
    </w:p>
  </w:footnote>
  <w:footnote w:id="6">
    <w:p w14:paraId="3CEB44FA" w14:textId="1D2DDCB8" w:rsidR="00602D7E" w:rsidRDefault="00602D7E">
      <w:pPr>
        <w:pStyle w:val="FootnoteText"/>
      </w:pPr>
      <w:r>
        <w:rPr>
          <w:rStyle w:val="FootnoteReference"/>
        </w:rPr>
        <w:footnoteRef/>
      </w:r>
      <w:r>
        <w:t xml:space="preserve"> IHS4 = International Hidradenitis Suppurativa Severity Score System; the score is the nodule count plus the abscess count x 2 plus the draining tunnel count x 4</w:t>
      </w:r>
      <w:r w:rsidR="008602AF">
        <w:t xml:space="preserve"> (</w:t>
      </w:r>
      <w:r w:rsidR="00F61F2E">
        <w:t>i.e.</w:t>
      </w:r>
      <w:r w:rsidR="008602AF">
        <w:t>, it emphasises manifestations of chronic disease compared to HiSCR).</w:t>
      </w:r>
      <w:r>
        <w:t xml:space="preserve"> The IHS4 can be recorded as a continuous variable, or as a categorical variable </w:t>
      </w:r>
      <w:r w:rsidR="008602AF">
        <w:t>(3 or less = mild, 4-10 = moderate, 11</w:t>
      </w:r>
      <w:r w:rsidR="00AD3357">
        <w:t xml:space="preserve"> or above</w:t>
      </w:r>
      <w:r w:rsidR="008602AF">
        <w:t xml:space="preserve"> = severe), or as a binary, called IHS4-55, a 55% reduction of the score from baseline. The submission reports continuous values but uses IHS4-55 in the indirect treatment comparisons. </w:t>
      </w:r>
    </w:p>
  </w:footnote>
  <w:footnote w:id="7">
    <w:p w14:paraId="3E5F34F0" w14:textId="6C7F5737" w:rsidR="00CD593A" w:rsidRDefault="00CD593A" w:rsidP="00CD593A">
      <w:pPr>
        <w:pStyle w:val="FootnoteText"/>
        <w:jc w:val="left"/>
        <w:rPr>
          <w:lang w:val="en-GB"/>
        </w:rPr>
      </w:pPr>
      <w:r>
        <w:rPr>
          <w:rStyle w:val="FootnoteReference"/>
        </w:rPr>
        <w:footnoteRef/>
      </w:r>
      <w:r>
        <w:t xml:space="preserve"> NICE, </w:t>
      </w:r>
      <w:r w:rsidRPr="00CD593A">
        <w:rPr>
          <w:lang w:val="en-GB"/>
        </w:rPr>
        <w:t>Adalimumab for treating</w:t>
      </w:r>
      <w:r>
        <w:rPr>
          <w:lang w:val="en-GB"/>
        </w:rPr>
        <w:t xml:space="preserve"> </w:t>
      </w:r>
      <w:r w:rsidRPr="00CD593A">
        <w:rPr>
          <w:lang w:val="en-GB"/>
        </w:rPr>
        <w:t>moderate to severe</w:t>
      </w:r>
      <w:r>
        <w:rPr>
          <w:lang w:val="en-GB"/>
        </w:rPr>
        <w:t xml:space="preserve"> </w:t>
      </w:r>
      <w:r w:rsidRPr="00CD593A">
        <w:rPr>
          <w:lang w:val="en-GB"/>
        </w:rPr>
        <w:t>hidradenitis suppurativa</w:t>
      </w:r>
      <w:r>
        <w:rPr>
          <w:lang w:val="en-GB"/>
        </w:rPr>
        <w:t xml:space="preserve">, 2016, </w:t>
      </w:r>
      <w:r w:rsidRPr="00CD593A">
        <w:rPr>
          <w:lang w:val="en-GB"/>
        </w:rPr>
        <w:t>www.nice.org.uk/guidance/ta392</w:t>
      </w:r>
      <w:r>
        <w:rPr>
          <w:lang w:val="en-GB"/>
        </w:rPr>
        <w:t xml:space="preserve"> p44. </w:t>
      </w:r>
    </w:p>
    <w:p w14:paraId="3F5A2701" w14:textId="79B41A35" w:rsidR="007C3C65" w:rsidRPr="00CD593A" w:rsidRDefault="007C3C65" w:rsidP="00CD593A">
      <w:pPr>
        <w:pStyle w:val="FootnoteText"/>
        <w:jc w:val="left"/>
        <w:rPr>
          <w:lang w:val="en-GB"/>
        </w:rPr>
      </w:pPr>
      <w:r w:rsidRPr="007C3C65">
        <w:t xml:space="preserve">Basra MK, Salek MS, Camilleri L, Sturkey R, Finlay AY. Determining the minimal clinically important difference and responsiveness of the Dermatology Life Quality Index (DLQI): further data. </w:t>
      </w:r>
      <w:r w:rsidRPr="007C3C65">
        <w:rPr>
          <w:i/>
          <w:iCs/>
        </w:rPr>
        <w:t>Dermatology</w:t>
      </w:r>
      <w:r w:rsidRPr="007C3C65">
        <w:t xml:space="preserve"> 2015;</w:t>
      </w:r>
      <w:r>
        <w:t xml:space="preserve"> </w:t>
      </w:r>
      <w:r w:rsidRPr="007C3C65">
        <w:t>230:27-33.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03B8E" w14:textId="7117B408" w:rsidR="004C1F08" w:rsidRDefault="009E0ED9">
    <w:pPr>
      <w:pStyle w:val="Header"/>
    </w:pPr>
    <w:r>
      <w:rPr>
        <w:noProof/>
      </w:rPr>
      <mc:AlternateContent>
        <mc:Choice Requires="wps">
          <w:drawing>
            <wp:anchor distT="0" distB="0" distL="0" distR="0" simplePos="0" relativeHeight="251659264" behindDoc="0" locked="0" layoutInCell="1" allowOverlap="1" wp14:anchorId="35627BC3" wp14:editId="77A48B1A">
              <wp:simplePos x="635" y="635"/>
              <wp:positionH relativeFrom="page">
                <wp:align>center</wp:align>
              </wp:positionH>
              <wp:positionV relativeFrom="page">
                <wp:align>top</wp:align>
              </wp:positionV>
              <wp:extent cx="551815" cy="376555"/>
              <wp:effectExtent l="0" t="0" r="635" b="4445"/>
              <wp:wrapNone/>
              <wp:docPr id="46029016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BFA88EB" w14:textId="05637F49" w:rsidR="009E0ED9" w:rsidRPr="009E0ED9" w:rsidRDefault="009E0ED9" w:rsidP="009E0ED9">
                          <w:pPr>
                            <w:rPr>
                              <w:rFonts w:eastAsia="Calibri" w:cs="Calibri"/>
                              <w:noProof/>
                              <w:color w:val="FF0000"/>
                            </w:rPr>
                          </w:pPr>
                          <w:r w:rsidRPr="009E0ED9">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627BC3"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6BFA88EB" w14:textId="05637F49" w:rsidR="009E0ED9" w:rsidRPr="009E0ED9" w:rsidRDefault="009E0ED9" w:rsidP="009E0ED9">
                    <w:pPr>
                      <w:rPr>
                        <w:rFonts w:eastAsia="Calibri" w:cs="Calibri"/>
                        <w:noProof/>
                        <w:color w:val="FF0000"/>
                      </w:rPr>
                    </w:pPr>
                    <w:r w:rsidRPr="009E0ED9">
                      <w:rPr>
                        <w:rFonts w:eastAsia="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C9828" w14:textId="1150AF0E" w:rsidR="00147373" w:rsidRPr="00061CBE" w:rsidRDefault="009E0ED9" w:rsidP="00147373">
    <w:pPr>
      <w:pStyle w:val="Header"/>
      <w:keepNext w:val="0"/>
      <w:rPr>
        <w:rFonts w:asciiTheme="minorHAnsi" w:eastAsiaTheme="minorHAnsi" w:hAnsiTheme="minorHAnsi" w:cstheme="minorHAnsi"/>
        <w:bCs/>
        <w:i w:val="0"/>
        <w:color w:val="808080"/>
      </w:rPr>
    </w:pPr>
    <w:r>
      <w:rPr>
        <w:rFonts w:asciiTheme="minorHAnsi" w:eastAsiaTheme="minorHAnsi" w:hAnsiTheme="minorHAnsi" w:cstheme="minorHAnsi"/>
        <w:bCs/>
        <w:noProof/>
        <w:color w:val="808080"/>
      </w:rPr>
      <mc:AlternateContent>
        <mc:Choice Requires="wps">
          <w:drawing>
            <wp:anchor distT="0" distB="0" distL="0" distR="0" simplePos="0" relativeHeight="251660288" behindDoc="0" locked="0" layoutInCell="1" allowOverlap="1" wp14:anchorId="5F585692" wp14:editId="2806742A">
              <wp:simplePos x="914400" y="914400"/>
              <wp:positionH relativeFrom="page">
                <wp:align>center</wp:align>
              </wp:positionH>
              <wp:positionV relativeFrom="page">
                <wp:align>top</wp:align>
              </wp:positionV>
              <wp:extent cx="551815" cy="376555"/>
              <wp:effectExtent l="0" t="0" r="635" b="4445"/>
              <wp:wrapNone/>
              <wp:docPr id="93704529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57A0115" w14:textId="24884EFC" w:rsidR="009E0ED9" w:rsidRPr="009E0ED9" w:rsidRDefault="009E0ED9" w:rsidP="009E0ED9">
                          <w:pPr>
                            <w:rPr>
                              <w:rFonts w:eastAsia="Calibri" w:cs="Calibri"/>
                              <w:noProof/>
                              <w:color w:val="FF0000"/>
                            </w:rPr>
                          </w:pPr>
                          <w:r w:rsidRPr="009E0ED9">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585692"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357A0115" w14:textId="24884EFC" w:rsidR="009E0ED9" w:rsidRPr="009E0ED9" w:rsidRDefault="009E0ED9" w:rsidP="009E0ED9">
                    <w:pPr>
                      <w:rPr>
                        <w:rFonts w:eastAsia="Calibri" w:cs="Calibri"/>
                        <w:noProof/>
                        <w:color w:val="FF0000"/>
                      </w:rPr>
                    </w:pPr>
                    <w:r w:rsidRPr="009E0ED9">
                      <w:rPr>
                        <w:rFonts w:eastAsia="Calibri" w:cs="Calibri"/>
                        <w:noProof/>
                        <w:color w:val="FF0000"/>
                      </w:rPr>
                      <w:t>OFFICIAL</w:t>
                    </w:r>
                  </w:p>
                </w:txbxContent>
              </v:textbox>
              <w10:wrap anchorx="page" anchory="page"/>
            </v:shape>
          </w:pict>
        </mc:Fallback>
      </mc:AlternateContent>
    </w:r>
    <w:r w:rsidR="00147373" w:rsidRPr="00061CBE">
      <w:rPr>
        <w:rFonts w:asciiTheme="minorHAnsi" w:eastAsiaTheme="minorHAnsi" w:hAnsiTheme="minorHAnsi" w:cstheme="minorHAnsi"/>
        <w:bCs/>
        <w:color w:val="808080"/>
      </w:rPr>
      <w:t xml:space="preserve">Public Summary Document </w:t>
    </w:r>
    <w:r w:rsidR="00147373">
      <w:rPr>
        <w:rFonts w:asciiTheme="minorHAnsi" w:eastAsiaTheme="minorHAnsi" w:hAnsiTheme="minorHAnsi" w:cstheme="minorHAnsi"/>
        <w:bCs/>
        <w:color w:val="808080"/>
      </w:rPr>
      <w:t>– May 2025</w:t>
    </w:r>
    <w:r w:rsidR="00147373" w:rsidRPr="00061CBE">
      <w:rPr>
        <w:rFonts w:asciiTheme="minorHAnsi" w:eastAsiaTheme="minorHAnsi" w:hAnsiTheme="minorHAnsi" w:cstheme="minorHAnsi"/>
        <w:bCs/>
        <w:color w:val="808080"/>
      </w:rPr>
      <w:t xml:space="preserve"> PBAC Meeting</w:t>
    </w:r>
  </w:p>
  <w:p w14:paraId="03AF943B" w14:textId="77777777" w:rsidR="00D843F2" w:rsidRPr="008C7ECB" w:rsidRDefault="00D84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13C20" w14:textId="07EEBFA8" w:rsidR="004C1F08" w:rsidRDefault="009E0ED9">
    <w:pPr>
      <w:pStyle w:val="Header"/>
    </w:pPr>
    <w:r>
      <w:rPr>
        <w:noProof/>
      </w:rPr>
      <mc:AlternateContent>
        <mc:Choice Requires="wps">
          <w:drawing>
            <wp:anchor distT="0" distB="0" distL="0" distR="0" simplePos="0" relativeHeight="251658240" behindDoc="0" locked="0" layoutInCell="1" allowOverlap="1" wp14:anchorId="6D3B55C9" wp14:editId="7F2D5273">
              <wp:simplePos x="635" y="635"/>
              <wp:positionH relativeFrom="page">
                <wp:align>center</wp:align>
              </wp:positionH>
              <wp:positionV relativeFrom="page">
                <wp:align>top</wp:align>
              </wp:positionV>
              <wp:extent cx="551815" cy="376555"/>
              <wp:effectExtent l="0" t="0" r="635" b="4445"/>
              <wp:wrapNone/>
              <wp:docPr id="85773234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5FB4E5C" w14:textId="34F9D3A6" w:rsidR="009E0ED9" w:rsidRPr="009E0ED9" w:rsidRDefault="009E0ED9" w:rsidP="009E0ED9">
                          <w:pPr>
                            <w:rPr>
                              <w:rFonts w:eastAsia="Calibri" w:cs="Calibri"/>
                              <w:noProof/>
                              <w:color w:val="FF0000"/>
                            </w:rPr>
                          </w:pPr>
                          <w:r w:rsidRPr="009E0ED9">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3B55C9"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25FB4E5C" w14:textId="34F9D3A6" w:rsidR="009E0ED9" w:rsidRPr="009E0ED9" w:rsidRDefault="009E0ED9" w:rsidP="009E0ED9">
                    <w:pPr>
                      <w:rPr>
                        <w:rFonts w:eastAsia="Calibri" w:cs="Calibri"/>
                        <w:noProof/>
                        <w:color w:val="FF0000"/>
                      </w:rPr>
                    </w:pPr>
                    <w:r w:rsidRPr="009E0ED9">
                      <w:rPr>
                        <w:rFonts w:eastAsia="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450D1E"/>
    <w:multiLevelType w:val="hybridMultilevel"/>
    <w:tmpl w:val="EBFEFA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8641F82"/>
    <w:multiLevelType w:val="hybridMultilevel"/>
    <w:tmpl w:val="B11CF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4F51A1"/>
    <w:multiLevelType w:val="hybridMultilevel"/>
    <w:tmpl w:val="DD2679D2"/>
    <w:lvl w:ilvl="0" w:tplc="E51ACD2E">
      <w:start w:val="1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DF4206"/>
    <w:multiLevelType w:val="hybridMultilevel"/>
    <w:tmpl w:val="AAE6D9B6"/>
    <w:lvl w:ilvl="0" w:tplc="399A3B2E">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07F1D58"/>
    <w:multiLevelType w:val="hybridMultilevel"/>
    <w:tmpl w:val="50BCA2BA"/>
    <w:lvl w:ilvl="0" w:tplc="2C08819E">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6D2667"/>
    <w:multiLevelType w:val="hybridMultilevel"/>
    <w:tmpl w:val="017C6EF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2D160FE"/>
    <w:multiLevelType w:val="hybridMultilevel"/>
    <w:tmpl w:val="66C64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B6274A"/>
    <w:multiLevelType w:val="hybridMultilevel"/>
    <w:tmpl w:val="E07A47CC"/>
    <w:lvl w:ilvl="0" w:tplc="E1B6BF4A">
      <w:start w:val="1"/>
      <w:numFmt w:val="decimal"/>
      <w:lvlText w:val="%1."/>
      <w:lvlJc w:val="left"/>
      <w:pPr>
        <w:ind w:left="1778"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2C52CD"/>
    <w:multiLevelType w:val="hybridMultilevel"/>
    <w:tmpl w:val="F3D6FCDA"/>
    <w:lvl w:ilvl="0" w:tplc="D2AA4414">
      <w:start w:val="1"/>
      <w:numFmt w:val="decimal"/>
      <w:lvlText w:val="%1."/>
      <w:lvlJc w:val="left"/>
      <w:pPr>
        <w:ind w:left="786" w:hanging="360"/>
      </w:pPr>
    </w:lvl>
    <w:lvl w:ilvl="1" w:tplc="1B90C1EE">
      <w:start w:val="1"/>
      <w:numFmt w:val="lowerLetter"/>
      <w:lvlText w:val="%2."/>
      <w:lvlJc w:val="left"/>
      <w:pPr>
        <w:ind w:left="1506" w:hanging="360"/>
      </w:pPr>
    </w:lvl>
    <w:lvl w:ilvl="2" w:tplc="3B6E6AA8">
      <w:start w:val="1"/>
      <w:numFmt w:val="lowerRoman"/>
      <w:lvlText w:val="%3."/>
      <w:lvlJc w:val="right"/>
      <w:pPr>
        <w:ind w:left="2226" w:hanging="180"/>
      </w:pPr>
    </w:lvl>
    <w:lvl w:ilvl="3" w:tplc="3F4CD96E">
      <w:start w:val="1"/>
      <w:numFmt w:val="decimal"/>
      <w:lvlText w:val="%4."/>
      <w:lvlJc w:val="left"/>
      <w:pPr>
        <w:ind w:left="2946" w:hanging="360"/>
      </w:pPr>
    </w:lvl>
    <w:lvl w:ilvl="4" w:tplc="CF2EA45A">
      <w:start w:val="1"/>
      <w:numFmt w:val="lowerLetter"/>
      <w:lvlText w:val="%5."/>
      <w:lvlJc w:val="left"/>
      <w:pPr>
        <w:ind w:left="3666" w:hanging="360"/>
      </w:pPr>
    </w:lvl>
    <w:lvl w:ilvl="5" w:tplc="8A2C4FC0">
      <w:start w:val="1"/>
      <w:numFmt w:val="lowerRoman"/>
      <w:lvlText w:val="%6."/>
      <w:lvlJc w:val="right"/>
      <w:pPr>
        <w:ind w:left="4386" w:hanging="180"/>
      </w:pPr>
    </w:lvl>
    <w:lvl w:ilvl="6" w:tplc="0368149A">
      <w:start w:val="1"/>
      <w:numFmt w:val="decimal"/>
      <w:lvlText w:val="%7."/>
      <w:lvlJc w:val="left"/>
      <w:pPr>
        <w:ind w:left="5106" w:hanging="360"/>
      </w:pPr>
    </w:lvl>
    <w:lvl w:ilvl="7" w:tplc="AE6CF394">
      <w:start w:val="1"/>
      <w:numFmt w:val="lowerLetter"/>
      <w:lvlText w:val="%8."/>
      <w:lvlJc w:val="left"/>
      <w:pPr>
        <w:ind w:left="5826" w:hanging="360"/>
      </w:pPr>
    </w:lvl>
    <w:lvl w:ilvl="8" w:tplc="0FFA5870">
      <w:start w:val="1"/>
      <w:numFmt w:val="lowerRoman"/>
      <w:lvlText w:val="%9."/>
      <w:lvlJc w:val="right"/>
      <w:pPr>
        <w:ind w:left="6546" w:hanging="180"/>
      </w:pPr>
    </w:lvl>
  </w:abstractNum>
  <w:abstractNum w:abstractNumId="16" w15:restartNumberingAfterBreak="0">
    <w:nsid w:val="30346AD7"/>
    <w:multiLevelType w:val="hybridMultilevel"/>
    <w:tmpl w:val="4DF8733A"/>
    <w:lvl w:ilvl="0" w:tplc="F328DEF0">
      <w:start w:val="1"/>
      <w:numFmt w:val="bullet"/>
      <w:pStyle w:val="ListParagraph"/>
      <w:lvlText w:val=""/>
      <w:lvlJc w:val="left"/>
      <w:pPr>
        <w:ind w:left="1080" w:hanging="360"/>
      </w:pPr>
      <w:rPr>
        <w:rFonts w:ascii="Symbol" w:hAnsi="Symbol" w:hint="default"/>
        <w:color w:val="000000" w:themeColor="text1"/>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B11FC1"/>
    <w:multiLevelType w:val="multilevel"/>
    <w:tmpl w:val="831659B0"/>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12625C"/>
    <w:multiLevelType w:val="hybridMultilevel"/>
    <w:tmpl w:val="5222733E"/>
    <w:lvl w:ilvl="0" w:tplc="9E98AF40">
      <w:start w:val="1"/>
      <w:numFmt w:val="bullet"/>
      <w:lvlText w:val=""/>
      <w:lvlJc w:val="left"/>
      <w:pPr>
        <w:ind w:left="720" w:hanging="360"/>
      </w:pPr>
      <w:rPr>
        <w:rFonts w:ascii="Symbol" w:hAnsi="Symbol" w:hint="default"/>
        <w:color w:val="8DB3E2" w:themeColor="text2" w:themeTint="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A94EF0"/>
    <w:multiLevelType w:val="hybridMultilevel"/>
    <w:tmpl w:val="1E4E1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4C1710"/>
    <w:multiLevelType w:val="hybridMultilevel"/>
    <w:tmpl w:val="D2049540"/>
    <w:lvl w:ilvl="0" w:tplc="04090003">
      <w:start w:val="1"/>
      <w:numFmt w:val="bullet"/>
      <w:lvlText w:val="o"/>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8634C6"/>
    <w:multiLevelType w:val="hybridMultilevel"/>
    <w:tmpl w:val="12DAB5AE"/>
    <w:lvl w:ilvl="0" w:tplc="4C84F86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351655"/>
    <w:multiLevelType w:val="hybridMultilevel"/>
    <w:tmpl w:val="FAF2CFC4"/>
    <w:lvl w:ilvl="0" w:tplc="04090003">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290883"/>
    <w:multiLevelType w:val="hybridMultilevel"/>
    <w:tmpl w:val="5B66B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12977F3"/>
    <w:multiLevelType w:val="hybridMultilevel"/>
    <w:tmpl w:val="F5740C90"/>
    <w:lvl w:ilvl="0" w:tplc="04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DF3D08"/>
    <w:multiLevelType w:val="multilevel"/>
    <w:tmpl w:val="3DD6C466"/>
    <w:lvl w:ilvl="0">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84D033C"/>
    <w:multiLevelType w:val="multilevel"/>
    <w:tmpl w:val="320409C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5C5568"/>
    <w:multiLevelType w:val="hybridMultilevel"/>
    <w:tmpl w:val="7B5623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16186631">
    <w:abstractNumId w:val="38"/>
  </w:num>
  <w:num w:numId="2" w16cid:durableId="917793048">
    <w:abstractNumId w:val="21"/>
  </w:num>
  <w:num w:numId="3" w16cid:durableId="324548822">
    <w:abstractNumId w:val="22"/>
  </w:num>
  <w:num w:numId="4" w16cid:durableId="320543630">
    <w:abstractNumId w:val="17"/>
  </w:num>
  <w:num w:numId="5" w16cid:durableId="263461728">
    <w:abstractNumId w:val="0"/>
  </w:num>
  <w:num w:numId="6" w16cid:durableId="193736528">
    <w:abstractNumId w:val="38"/>
  </w:num>
  <w:num w:numId="7" w16cid:durableId="318273948">
    <w:abstractNumId w:val="34"/>
  </w:num>
  <w:num w:numId="8" w16cid:durableId="9892165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7577810">
    <w:abstractNumId w:val="10"/>
  </w:num>
  <w:num w:numId="10" w16cid:durableId="1156729720">
    <w:abstractNumId w:val="18"/>
  </w:num>
  <w:num w:numId="11" w16cid:durableId="704645582">
    <w:abstractNumId w:val="24"/>
  </w:num>
  <w:num w:numId="12" w16cid:durableId="1863592879">
    <w:abstractNumId w:val="8"/>
  </w:num>
  <w:num w:numId="13" w16cid:durableId="139346788">
    <w:abstractNumId w:val="39"/>
  </w:num>
  <w:num w:numId="14" w16cid:durableId="813834356">
    <w:abstractNumId w:val="30"/>
  </w:num>
  <w:num w:numId="15" w16cid:durableId="1718821935">
    <w:abstractNumId w:val="23"/>
  </w:num>
  <w:num w:numId="16" w16cid:durableId="1533883230">
    <w:abstractNumId w:val="20"/>
  </w:num>
  <w:num w:numId="17" w16cid:durableId="220360847">
    <w:abstractNumId w:val="32"/>
  </w:num>
  <w:num w:numId="18" w16cid:durableId="1195146128">
    <w:abstractNumId w:val="6"/>
  </w:num>
  <w:num w:numId="19" w16cid:durableId="22941560">
    <w:abstractNumId w:val="2"/>
  </w:num>
  <w:num w:numId="20" w16cid:durableId="1499031120">
    <w:abstractNumId w:val="6"/>
  </w:num>
  <w:num w:numId="21" w16cid:durableId="268196418">
    <w:abstractNumId w:val="16"/>
  </w:num>
  <w:num w:numId="22" w16cid:durableId="1438059578">
    <w:abstractNumId w:val="38"/>
  </w:num>
  <w:num w:numId="23" w16cid:durableId="1048839230">
    <w:abstractNumId w:val="38"/>
  </w:num>
  <w:num w:numId="24" w16cid:durableId="2077362522">
    <w:abstractNumId w:val="31"/>
  </w:num>
  <w:num w:numId="25" w16cid:durableId="142360765">
    <w:abstractNumId w:val="25"/>
  </w:num>
  <w:num w:numId="26" w16cid:durableId="706414841">
    <w:abstractNumId w:val="36"/>
  </w:num>
  <w:num w:numId="27" w16cid:durableId="1694109783">
    <w:abstractNumId w:val="9"/>
  </w:num>
  <w:num w:numId="28" w16cid:durableId="543492276">
    <w:abstractNumId w:val="37"/>
  </w:num>
  <w:num w:numId="29" w16cid:durableId="1216509916">
    <w:abstractNumId w:val="3"/>
  </w:num>
  <w:num w:numId="30" w16cid:durableId="2010405621">
    <w:abstractNumId w:val="19"/>
  </w:num>
  <w:num w:numId="31" w16cid:durableId="1788426043">
    <w:abstractNumId w:val="7"/>
  </w:num>
  <w:num w:numId="32" w16cid:durableId="1277056889">
    <w:abstractNumId w:val="4"/>
  </w:num>
  <w:num w:numId="33" w16cid:durableId="6438995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91349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34779017">
    <w:abstractNumId w:val="12"/>
  </w:num>
  <w:num w:numId="36" w16cid:durableId="1778715561">
    <w:abstractNumId w:val="38"/>
  </w:num>
  <w:num w:numId="37" w16cid:durableId="967396866">
    <w:abstractNumId w:val="38"/>
  </w:num>
  <w:num w:numId="38" w16cid:durableId="126240624">
    <w:abstractNumId w:val="33"/>
  </w:num>
  <w:num w:numId="39" w16cid:durableId="133067926">
    <w:abstractNumId w:val="38"/>
  </w:num>
  <w:num w:numId="40" w16cid:durableId="1573005167">
    <w:abstractNumId w:val="26"/>
  </w:num>
  <w:num w:numId="41" w16cid:durableId="408699874">
    <w:abstractNumId w:val="27"/>
  </w:num>
  <w:num w:numId="42" w16cid:durableId="1569418770">
    <w:abstractNumId w:val="5"/>
  </w:num>
  <w:num w:numId="43" w16cid:durableId="705176722">
    <w:abstractNumId w:val="1"/>
  </w:num>
  <w:num w:numId="44" w16cid:durableId="1926569401">
    <w:abstractNumId w:val="13"/>
  </w:num>
  <w:num w:numId="45" w16cid:durableId="1979457665">
    <w:abstractNumId w:val="14"/>
  </w:num>
  <w:num w:numId="46" w16cid:durableId="2038313566">
    <w:abstractNumId w:val="11"/>
  </w:num>
  <w:num w:numId="47" w16cid:durableId="129744317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9997201">
    <w:abstractNumId w:val="35"/>
  </w:num>
  <w:num w:numId="49" w16cid:durableId="310136549">
    <w:abstractNumId w:val="40"/>
  </w:num>
  <w:num w:numId="50" w16cid:durableId="1569222927">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0FD2"/>
    <w:rsid w:val="0000110B"/>
    <w:rsid w:val="0000184D"/>
    <w:rsid w:val="00003499"/>
    <w:rsid w:val="000039B7"/>
    <w:rsid w:val="00004036"/>
    <w:rsid w:val="000056B9"/>
    <w:rsid w:val="00005A5E"/>
    <w:rsid w:val="0000639A"/>
    <w:rsid w:val="00006F2C"/>
    <w:rsid w:val="00007039"/>
    <w:rsid w:val="0000717D"/>
    <w:rsid w:val="00007E1E"/>
    <w:rsid w:val="00013247"/>
    <w:rsid w:val="0001418D"/>
    <w:rsid w:val="00015886"/>
    <w:rsid w:val="000162EF"/>
    <w:rsid w:val="00016E41"/>
    <w:rsid w:val="000207C9"/>
    <w:rsid w:val="0002225F"/>
    <w:rsid w:val="00023697"/>
    <w:rsid w:val="00023763"/>
    <w:rsid w:val="00023C77"/>
    <w:rsid w:val="00023F53"/>
    <w:rsid w:val="000242DE"/>
    <w:rsid w:val="000243F8"/>
    <w:rsid w:val="00024EB5"/>
    <w:rsid w:val="000250EF"/>
    <w:rsid w:val="000266C5"/>
    <w:rsid w:val="000274B8"/>
    <w:rsid w:val="00027633"/>
    <w:rsid w:val="0002768B"/>
    <w:rsid w:val="000279F0"/>
    <w:rsid w:val="00030175"/>
    <w:rsid w:val="00030A59"/>
    <w:rsid w:val="00030E73"/>
    <w:rsid w:val="000323E6"/>
    <w:rsid w:val="00032482"/>
    <w:rsid w:val="0003249F"/>
    <w:rsid w:val="0003265D"/>
    <w:rsid w:val="00033863"/>
    <w:rsid w:val="000339F6"/>
    <w:rsid w:val="0003479D"/>
    <w:rsid w:val="00034ED5"/>
    <w:rsid w:val="00035B64"/>
    <w:rsid w:val="00035DC0"/>
    <w:rsid w:val="00036829"/>
    <w:rsid w:val="00036D4F"/>
    <w:rsid w:val="00037659"/>
    <w:rsid w:val="00037FBD"/>
    <w:rsid w:val="00040895"/>
    <w:rsid w:val="000410A0"/>
    <w:rsid w:val="00041178"/>
    <w:rsid w:val="00041194"/>
    <w:rsid w:val="000435EE"/>
    <w:rsid w:val="00043C37"/>
    <w:rsid w:val="0004418B"/>
    <w:rsid w:val="00045017"/>
    <w:rsid w:val="00045A2B"/>
    <w:rsid w:val="000462D3"/>
    <w:rsid w:val="0004698F"/>
    <w:rsid w:val="00046D64"/>
    <w:rsid w:val="00047250"/>
    <w:rsid w:val="000477F3"/>
    <w:rsid w:val="000508C2"/>
    <w:rsid w:val="0005261F"/>
    <w:rsid w:val="00053165"/>
    <w:rsid w:val="00053877"/>
    <w:rsid w:val="000539D0"/>
    <w:rsid w:val="00053A77"/>
    <w:rsid w:val="00054621"/>
    <w:rsid w:val="000546D7"/>
    <w:rsid w:val="000548E9"/>
    <w:rsid w:val="00054A8D"/>
    <w:rsid w:val="0005519C"/>
    <w:rsid w:val="00055328"/>
    <w:rsid w:val="00056ECF"/>
    <w:rsid w:val="0005760D"/>
    <w:rsid w:val="000604DF"/>
    <w:rsid w:val="000609DB"/>
    <w:rsid w:val="00060CA1"/>
    <w:rsid w:val="0006106A"/>
    <w:rsid w:val="00061845"/>
    <w:rsid w:val="00061B0A"/>
    <w:rsid w:val="00062324"/>
    <w:rsid w:val="000625B6"/>
    <w:rsid w:val="00063927"/>
    <w:rsid w:val="00064D8F"/>
    <w:rsid w:val="000653B5"/>
    <w:rsid w:val="0006551A"/>
    <w:rsid w:val="0006577A"/>
    <w:rsid w:val="00066360"/>
    <w:rsid w:val="00066652"/>
    <w:rsid w:val="00066AF8"/>
    <w:rsid w:val="0006750E"/>
    <w:rsid w:val="00067869"/>
    <w:rsid w:val="000709A5"/>
    <w:rsid w:val="00070FA6"/>
    <w:rsid w:val="00071248"/>
    <w:rsid w:val="000720B9"/>
    <w:rsid w:val="00072E45"/>
    <w:rsid w:val="000737A4"/>
    <w:rsid w:val="000737F7"/>
    <w:rsid w:val="00073FBA"/>
    <w:rsid w:val="00074ABD"/>
    <w:rsid w:val="00074C43"/>
    <w:rsid w:val="00075048"/>
    <w:rsid w:val="00075E64"/>
    <w:rsid w:val="0007672F"/>
    <w:rsid w:val="00076B54"/>
    <w:rsid w:val="000774F0"/>
    <w:rsid w:val="00077662"/>
    <w:rsid w:val="000777BD"/>
    <w:rsid w:val="00077A4B"/>
    <w:rsid w:val="00080416"/>
    <w:rsid w:val="0008042B"/>
    <w:rsid w:val="000806A3"/>
    <w:rsid w:val="00080909"/>
    <w:rsid w:val="000812CA"/>
    <w:rsid w:val="00081387"/>
    <w:rsid w:val="00081E63"/>
    <w:rsid w:val="00081FF7"/>
    <w:rsid w:val="0008258D"/>
    <w:rsid w:val="00082935"/>
    <w:rsid w:val="00082F61"/>
    <w:rsid w:val="000830AD"/>
    <w:rsid w:val="00083E99"/>
    <w:rsid w:val="00084B18"/>
    <w:rsid w:val="00084FA8"/>
    <w:rsid w:val="000855AE"/>
    <w:rsid w:val="000856C5"/>
    <w:rsid w:val="00085C31"/>
    <w:rsid w:val="000862AC"/>
    <w:rsid w:val="000876C4"/>
    <w:rsid w:val="000902D9"/>
    <w:rsid w:val="00090580"/>
    <w:rsid w:val="00090C7E"/>
    <w:rsid w:val="000911AC"/>
    <w:rsid w:val="00091870"/>
    <w:rsid w:val="0009191F"/>
    <w:rsid w:val="00092600"/>
    <w:rsid w:val="0009262B"/>
    <w:rsid w:val="000928FD"/>
    <w:rsid w:val="00092982"/>
    <w:rsid w:val="000930F3"/>
    <w:rsid w:val="00093310"/>
    <w:rsid w:val="00093696"/>
    <w:rsid w:val="000936D0"/>
    <w:rsid w:val="0009445C"/>
    <w:rsid w:val="00095200"/>
    <w:rsid w:val="00095B6A"/>
    <w:rsid w:val="00095FE5"/>
    <w:rsid w:val="00096284"/>
    <w:rsid w:val="00096320"/>
    <w:rsid w:val="00096D6B"/>
    <w:rsid w:val="00097404"/>
    <w:rsid w:val="00097711"/>
    <w:rsid w:val="00097BD3"/>
    <w:rsid w:val="000A01A8"/>
    <w:rsid w:val="000A0AC0"/>
    <w:rsid w:val="000A1016"/>
    <w:rsid w:val="000A1BC0"/>
    <w:rsid w:val="000A2F9E"/>
    <w:rsid w:val="000A3E47"/>
    <w:rsid w:val="000A482E"/>
    <w:rsid w:val="000A522B"/>
    <w:rsid w:val="000A5D91"/>
    <w:rsid w:val="000A6039"/>
    <w:rsid w:val="000A642A"/>
    <w:rsid w:val="000A7453"/>
    <w:rsid w:val="000A7CD3"/>
    <w:rsid w:val="000A7D08"/>
    <w:rsid w:val="000B0121"/>
    <w:rsid w:val="000B0670"/>
    <w:rsid w:val="000B0703"/>
    <w:rsid w:val="000B078E"/>
    <w:rsid w:val="000B0E75"/>
    <w:rsid w:val="000B209B"/>
    <w:rsid w:val="000B2DCB"/>
    <w:rsid w:val="000B3A07"/>
    <w:rsid w:val="000B40E7"/>
    <w:rsid w:val="000B4F34"/>
    <w:rsid w:val="000B4FA0"/>
    <w:rsid w:val="000B548C"/>
    <w:rsid w:val="000B5CE0"/>
    <w:rsid w:val="000B6017"/>
    <w:rsid w:val="000B6775"/>
    <w:rsid w:val="000B6973"/>
    <w:rsid w:val="000B6CAC"/>
    <w:rsid w:val="000B74CC"/>
    <w:rsid w:val="000B7612"/>
    <w:rsid w:val="000B789D"/>
    <w:rsid w:val="000B78AE"/>
    <w:rsid w:val="000B7956"/>
    <w:rsid w:val="000B7A90"/>
    <w:rsid w:val="000C20D9"/>
    <w:rsid w:val="000C3DF9"/>
    <w:rsid w:val="000C4A3B"/>
    <w:rsid w:val="000C4AA7"/>
    <w:rsid w:val="000C4CF2"/>
    <w:rsid w:val="000C502C"/>
    <w:rsid w:val="000C5719"/>
    <w:rsid w:val="000C5C59"/>
    <w:rsid w:val="000C6713"/>
    <w:rsid w:val="000C6C82"/>
    <w:rsid w:val="000C75DA"/>
    <w:rsid w:val="000C7C1B"/>
    <w:rsid w:val="000D0264"/>
    <w:rsid w:val="000D1207"/>
    <w:rsid w:val="000D1418"/>
    <w:rsid w:val="000D1BFC"/>
    <w:rsid w:val="000D1D5D"/>
    <w:rsid w:val="000D281A"/>
    <w:rsid w:val="000D2848"/>
    <w:rsid w:val="000D3212"/>
    <w:rsid w:val="000D326A"/>
    <w:rsid w:val="000D440A"/>
    <w:rsid w:val="000D5178"/>
    <w:rsid w:val="000D51FB"/>
    <w:rsid w:val="000D5218"/>
    <w:rsid w:val="000D55BE"/>
    <w:rsid w:val="000D64DA"/>
    <w:rsid w:val="000D6F42"/>
    <w:rsid w:val="000D7784"/>
    <w:rsid w:val="000E02E5"/>
    <w:rsid w:val="000E0640"/>
    <w:rsid w:val="000E0BEF"/>
    <w:rsid w:val="000E135D"/>
    <w:rsid w:val="000E1CD3"/>
    <w:rsid w:val="000E1DF0"/>
    <w:rsid w:val="000E2E05"/>
    <w:rsid w:val="000E395B"/>
    <w:rsid w:val="000E3F71"/>
    <w:rsid w:val="000E4DD1"/>
    <w:rsid w:val="000E547B"/>
    <w:rsid w:val="000E6073"/>
    <w:rsid w:val="000E63C9"/>
    <w:rsid w:val="000E6B9C"/>
    <w:rsid w:val="000F00BA"/>
    <w:rsid w:val="000F0CA5"/>
    <w:rsid w:val="000F1B03"/>
    <w:rsid w:val="000F316A"/>
    <w:rsid w:val="000F36C5"/>
    <w:rsid w:val="000F3998"/>
    <w:rsid w:val="000F3C74"/>
    <w:rsid w:val="000F43ED"/>
    <w:rsid w:val="000F4453"/>
    <w:rsid w:val="000F4840"/>
    <w:rsid w:val="000F4BB8"/>
    <w:rsid w:val="000F4D10"/>
    <w:rsid w:val="000F4E81"/>
    <w:rsid w:val="000F4FA9"/>
    <w:rsid w:val="000F53FB"/>
    <w:rsid w:val="000F699D"/>
    <w:rsid w:val="000F7009"/>
    <w:rsid w:val="000F7127"/>
    <w:rsid w:val="000F7B54"/>
    <w:rsid w:val="001000B3"/>
    <w:rsid w:val="0010091B"/>
    <w:rsid w:val="00100F8A"/>
    <w:rsid w:val="00101C78"/>
    <w:rsid w:val="00102A53"/>
    <w:rsid w:val="00102BFB"/>
    <w:rsid w:val="001038B5"/>
    <w:rsid w:val="0010452E"/>
    <w:rsid w:val="00104888"/>
    <w:rsid w:val="00105AE2"/>
    <w:rsid w:val="0010604B"/>
    <w:rsid w:val="001060C6"/>
    <w:rsid w:val="00106B80"/>
    <w:rsid w:val="0011032E"/>
    <w:rsid w:val="001105E6"/>
    <w:rsid w:val="00110B33"/>
    <w:rsid w:val="00111006"/>
    <w:rsid w:val="00112679"/>
    <w:rsid w:val="00112C83"/>
    <w:rsid w:val="00112DA0"/>
    <w:rsid w:val="0011348B"/>
    <w:rsid w:val="00113856"/>
    <w:rsid w:val="00114308"/>
    <w:rsid w:val="00115982"/>
    <w:rsid w:val="001164AA"/>
    <w:rsid w:val="00116B28"/>
    <w:rsid w:val="00116C53"/>
    <w:rsid w:val="00121353"/>
    <w:rsid w:val="00121799"/>
    <w:rsid w:val="001222FC"/>
    <w:rsid w:val="00122EFE"/>
    <w:rsid w:val="00123902"/>
    <w:rsid w:val="00123E55"/>
    <w:rsid w:val="0012412B"/>
    <w:rsid w:val="001248B9"/>
    <w:rsid w:val="00124A51"/>
    <w:rsid w:val="00126621"/>
    <w:rsid w:val="00126983"/>
    <w:rsid w:val="00126B1D"/>
    <w:rsid w:val="001301E9"/>
    <w:rsid w:val="00130902"/>
    <w:rsid w:val="0013100A"/>
    <w:rsid w:val="00131152"/>
    <w:rsid w:val="001313D9"/>
    <w:rsid w:val="00131835"/>
    <w:rsid w:val="00131A22"/>
    <w:rsid w:val="00131D82"/>
    <w:rsid w:val="00131E39"/>
    <w:rsid w:val="00132B22"/>
    <w:rsid w:val="001331C7"/>
    <w:rsid w:val="00133CBD"/>
    <w:rsid w:val="00133D36"/>
    <w:rsid w:val="0013503C"/>
    <w:rsid w:val="001354A5"/>
    <w:rsid w:val="00137645"/>
    <w:rsid w:val="0014015A"/>
    <w:rsid w:val="00140E99"/>
    <w:rsid w:val="00141050"/>
    <w:rsid w:val="00143070"/>
    <w:rsid w:val="00143225"/>
    <w:rsid w:val="00143F67"/>
    <w:rsid w:val="00144FA4"/>
    <w:rsid w:val="00144FC7"/>
    <w:rsid w:val="0014516B"/>
    <w:rsid w:val="00145234"/>
    <w:rsid w:val="0014537F"/>
    <w:rsid w:val="00145540"/>
    <w:rsid w:val="001456B0"/>
    <w:rsid w:val="0014579D"/>
    <w:rsid w:val="00145B17"/>
    <w:rsid w:val="001463AE"/>
    <w:rsid w:val="00147373"/>
    <w:rsid w:val="00147CE8"/>
    <w:rsid w:val="00150A61"/>
    <w:rsid w:val="00150BDC"/>
    <w:rsid w:val="0015108D"/>
    <w:rsid w:val="00151381"/>
    <w:rsid w:val="001518DB"/>
    <w:rsid w:val="00151F32"/>
    <w:rsid w:val="001522D9"/>
    <w:rsid w:val="00152468"/>
    <w:rsid w:val="00152967"/>
    <w:rsid w:val="001547AB"/>
    <w:rsid w:val="00154F46"/>
    <w:rsid w:val="001562DB"/>
    <w:rsid w:val="00156479"/>
    <w:rsid w:val="001566A2"/>
    <w:rsid w:val="00156F8F"/>
    <w:rsid w:val="00157130"/>
    <w:rsid w:val="001576B1"/>
    <w:rsid w:val="00157C70"/>
    <w:rsid w:val="00160044"/>
    <w:rsid w:val="0016047B"/>
    <w:rsid w:val="00160A4C"/>
    <w:rsid w:val="001615DB"/>
    <w:rsid w:val="00162913"/>
    <w:rsid w:val="00163EFF"/>
    <w:rsid w:val="00163F66"/>
    <w:rsid w:val="00164345"/>
    <w:rsid w:val="00164516"/>
    <w:rsid w:val="0016478E"/>
    <w:rsid w:val="00165EC4"/>
    <w:rsid w:val="00165F8F"/>
    <w:rsid w:val="001661FB"/>
    <w:rsid w:val="0016628F"/>
    <w:rsid w:val="00166E84"/>
    <w:rsid w:val="001671A0"/>
    <w:rsid w:val="00167416"/>
    <w:rsid w:val="0016767F"/>
    <w:rsid w:val="00167D75"/>
    <w:rsid w:val="00171912"/>
    <w:rsid w:val="00172426"/>
    <w:rsid w:val="00172C25"/>
    <w:rsid w:val="00173565"/>
    <w:rsid w:val="00173B07"/>
    <w:rsid w:val="00173B6C"/>
    <w:rsid w:val="00173CFF"/>
    <w:rsid w:val="001747FE"/>
    <w:rsid w:val="001751FA"/>
    <w:rsid w:val="00175230"/>
    <w:rsid w:val="00180CB4"/>
    <w:rsid w:val="00181C10"/>
    <w:rsid w:val="00181D9C"/>
    <w:rsid w:val="001829B1"/>
    <w:rsid w:val="001837FF"/>
    <w:rsid w:val="001840EB"/>
    <w:rsid w:val="001843D8"/>
    <w:rsid w:val="00184B0E"/>
    <w:rsid w:val="00184DE0"/>
    <w:rsid w:val="001864AB"/>
    <w:rsid w:val="0018722C"/>
    <w:rsid w:val="0018752F"/>
    <w:rsid w:val="00187913"/>
    <w:rsid w:val="00190E20"/>
    <w:rsid w:val="00192578"/>
    <w:rsid w:val="00193838"/>
    <w:rsid w:val="00194327"/>
    <w:rsid w:val="00194349"/>
    <w:rsid w:val="00194AD8"/>
    <w:rsid w:val="00195222"/>
    <w:rsid w:val="00195452"/>
    <w:rsid w:val="001961E8"/>
    <w:rsid w:val="00196830"/>
    <w:rsid w:val="001975D8"/>
    <w:rsid w:val="001976C2"/>
    <w:rsid w:val="001A15F4"/>
    <w:rsid w:val="001A178E"/>
    <w:rsid w:val="001A34BD"/>
    <w:rsid w:val="001A43FA"/>
    <w:rsid w:val="001A47C5"/>
    <w:rsid w:val="001A59FB"/>
    <w:rsid w:val="001A5E9E"/>
    <w:rsid w:val="001A5EC4"/>
    <w:rsid w:val="001A6354"/>
    <w:rsid w:val="001A6366"/>
    <w:rsid w:val="001A6A83"/>
    <w:rsid w:val="001A7AE8"/>
    <w:rsid w:val="001A7F6C"/>
    <w:rsid w:val="001B074C"/>
    <w:rsid w:val="001B09FA"/>
    <w:rsid w:val="001B204E"/>
    <w:rsid w:val="001B2372"/>
    <w:rsid w:val="001B2B82"/>
    <w:rsid w:val="001B3443"/>
    <w:rsid w:val="001B4A00"/>
    <w:rsid w:val="001B4D20"/>
    <w:rsid w:val="001B50C1"/>
    <w:rsid w:val="001B5CFE"/>
    <w:rsid w:val="001B5F48"/>
    <w:rsid w:val="001B7F84"/>
    <w:rsid w:val="001C0546"/>
    <w:rsid w:val="001C05BA"/>
    <w:rsid w:val="001C0BD7"/>
    <w:rsid w:val="001C0ECD"/>
    <w:rsid w:val="001C244D"/>
    <w:rsid w:val="001C2A9B"/>
    <w:rsid w:val="001C2DCF"/>
    <w:rsid w:val="001C3DD6"/>
    <w:rsid w:val="001C4299"/>
    <w:rsid w:val="001C4874"/>
    <w:rsid w:val="001C4B3D"/>
    <w:rsid w:val="001C5F94"/>
    <w:rsid w:val="001C6E66"/>
    <w:rsid w:val="001C7A7F"/>
    <w:rsid w:val="001C7C12"/>
    <w:rsid w:val="001D053F"/>
    <w:rsid w:val="001D1100"/>
    <w:rsid w:val="001D1310"/>
    <w:rsid w:val="001D1391"/>
    <w:rsid w:val="001D1B70"/>
    <w:rsid w:val="001D25D7"/>
    <w:rsid w:val="001D4ADB"/>
    <w:rsid w:val="001D4B25"/>
    <w:rsid w:val="001D4CAC"/>
    <w:rsid w:val="001D4E69"/>
    <w:rsid w:val="001D4F5B"/>
    <w:rsid w:val="001D50B2"/>
    <w:rsid w:val="001D53F5"/>
    <w:rsid w:val="001D53FE"/>
    <w:rsid w:val="001D5EE4"/>
    <w:rsid w:val="001D613F"/>
    <w:rsid w:val="001D641E"/>
    <w:rsid w:val="001D6C53"/>
    <w:rsid w:val="001D71F4"/>
    <w:rsid w:val="001D7645"/>
    <w:rsid w:val="001E011D"/>
    <w:rsid w:val="001E1E86"/>
    <w:rsid w:val="001E238E"/>
    <w:rsid w:val="001E2483"/>
    <w:rsid w:val="001E2B1E"/>
    <w:rsid w:val="001E2CFF"/>
    <w:rsid w:val="001E2F24"/>
    <w:rsid w:val="001E30D4"/>
    <w:rsid w:val="001E34DF"/>
    <w:rsid w:val="001E52EB"/>
    <w:rsid w:val="001E61D2"/>
    <w:rsid w:val="001E63C2"/>
    <w:rsid w:val="001E740C"/>
    <w:rsid w:val="001F0139"/>
    <w:rsid w:val="001F1235"/>
    <w:rsid w:val="001F1CB3"/>
    <w:rsid w:val="001F2163"/>
    <w:rsid w:val="001F2532"/>
    <w:rsid w:val="001F2AE2"/>
    <w:rsid w:val="001F38B5"/>
    <w:rsid w:val="001F4081"/>
    <w:rsid w:val="001F4C0F"/>
    <w:rsid w:val="001F5597"/>
    <w:rsid w:val="001F566F"/>
    <w:rsid w:val="001F58E7"/>
    <w:rsid w:val="001F6187"/>
    <w:rsid w:val="001F6615"/>
    <w:rsid w:val="001F6A4C"/>
    <w:rsid w:val="001F6B7D"/>
    <w:rsid w:val="001F7361"/>
    <w:rsid w:val="0020072D"/>
    <w:rsid w:val="002011B0"/>
    <w:rsid w:val="002013FC"/>
    <w:rsid w:val="00202096"/>
    <w:rsid w:val="00202E3A"/>
    <w:rsid w:val="00203181"/>
    <w:rsid w:val="00203783"/>
    <w:rsid w:val="002037F4"/>
    <w:rsid w:val="0020385F"/>
    <w:rsid w:val="00203F58"/>
    <w:rsid w:val="00205509"/>
    <w:rsid w:val="002059BA"/>
    <w:rsid w:val="002068A0"/>
    <w:rsid w:val="00207021"/>
    <w:rsid w:val="0020732F"/>
    <w:rsid w:val="00207612"/>
    <w:rsid w:val="00207D00"/>
    <w:rsid w:val="002105C1"/>
    <w:rsid w:val="00210990"/>
    <w:rsid w:val="002116FD"/>
    <w:rsid w:val="0021388C"/>
    <w:rsid w:val="00213EF5"/>
    <w:rsid w:val="00216047"/>
    <w:rsid w:val="00216BF5"/>
    <w:rsid w:val="00217897"/>
    <w:rsid w:val="00222C15"/>
    <w:rsid w:val="00223B49"/>
    <w:rsid w:val="00223D5A"/>
    <w:rsid w:val="00224051"/>
    <w:rsid w:val="002249D0"/>
    <w:rsid w:val="00224D1D"/>
    <w:rsid w:val="00224DD4"/>
    <w:rsid w:val="00225CCD"/>
    <w:rsid w:val="002278A0"/>
    <w:rsid w:val="00227EB4"/>
    <w:rsid w:val="00230733"/>
    <w:rsid w:val="002309CC"/>
    <w:rsid w:val="00231BA9"/>
    <w:rsid w:val="0023209F"/>
    <w:rsid w:val="00233AF4"/>
    <w:rsid w:val="00233C01"/>
    <w:rsid w:val="00234031"/>
    <w:rsid w:val="0023413C"/>
    <w:rsid w:val="00234295"/>
    <w:rsid w:val="002346F0"/>
    <w:rsid w:val="00234B3F"/>
    <w:rsid w:val="0023629D"/>
    <w:rsid w:val="00236A18"/>
    <w:rsid w:val="00237255"/>
    <w:rsid w:val="00237816"/>
    <w:rsid w:val="00240900"/>
    <w:rsid w:val="002413BB"/>
    <w:rsid w:val="00241858"/>
    <w:rsid w:val="002424AF"/>
    <w:rsid w:val="00242B0D"/>
    <w:rsid w:val="00243042"/>
    <w:rsid w:val="00243816"/>
    <w:rsid w:val="002439DC"/>
    <w:rsid w:val="002441D2"/>
    <w:rsid w:val="00244378"/>
    <w:rsid w:val="00244DC8"/>
    <w:rsid w:val="00245459"/>
    <w:rsid w:val="002458BA"/>
    <w:rsid w:val="00245CE9"/>
    <w:rsid w:val="00245FBE"/>
    <w:rsid w:val="0024636C"/>
    <w:rsid w:val="00246B4D"/>
    <w:rsid w:val="00247925"/>
    <w:rsid w:val="00247FB0"/>
    <w:rsid w:val="00251006"/>
    <w:rsid w:val="002524D5"/>
    <w:rsid w:val="00252AFB"/>
    <w:rsid w:val="002531E4"/>
    <w:rsid w:val="00253B1D"/>
    <w:rsid w:val="00253FC0"/>
    <w:rsid w:val="00254DCF"/>
    <w:rsid w:val="0025534B"/>
    <w:rsid w:val="00255BB7"/>
    <w:rsid w:val="0025641C"/>
    <w:rsid w:val="00256B26"/>
    <w:rsid w:val="00256B4C"/>
    <w:rsid w:val="00256D1E"/>
    <w:rsid w:val="00257541"/>
    <w:rsid w:val="0025776B"/>
    <w:rsid w:val="00257A39"/>
    <w:rsid w:val="00257AC4"/>
    <w:rsid w:val="00257BBE"/>
    <w:rsid w:val="00257E1D"/>
    <w:rsid w:val="00260482"/>
    <w:rsid w:val="0026166C"/>
    <w:rsid w:val="00261C43"/>
    <w:rsid w:val="00261EEF"/>
    <w:rsid w:val="002620E5"/>
    <w:rsid w:val="002621C5"/>
    <w:rsid w:val="00262A1A"/>
    <w:rsid w:val="00262A87"/>
    <w:rsid w:val="00262F7F"/>
    <w:rsid w:val="00263F09"/>
    <w:rsid w:val="00264D26"/>
    <w:rsid w:val="00264EF6"/>
    <w:rsid w:val="00265344"/>
    <w:rsid w:val="00266286"/>
    <w:rsid w:val="00266E57"/>
    <w:rsid w:val="00267642"/>
    <w:rsid w:val="00267AEA"/>
    <w:rsid w:val="002700E6"/>
    <w:rsid w:val="0027294B"/>
    <w:rsid w:val="00272ED4"/>
    <w:rsid w:val="00273EB4"/>
    <w:rsid w:val="00274682"/>
    <w:rsid w:val="00275158"/>
    <w:rsid w:val="00275C5A"/>
    <w:rsid w:val="0027709A"/>
    <w:rsid w:val="00280467"/>
    <w:rsid w:val="00281014"/>
    <w:rsid w:val="002811BA"/>
    <w:rsid w:val="00281348"/>
    <w:rsid w:val="00281FE6"/>
    <w:rsid w:val="00282E32"/>
    <w:rsid w:val="0028301A"/>
    <w:rsid w:val="00284DF9"/>
    <w:rsid w:val="00285BCE"/>
    <w:rsid w:val="00285D04"/>
    <w:rsid w:val="0028665D"/>
    <w:rsid w:val="00287DAB"/>
    <w:rsid w:val="00290F8A"/>
    <w:rsid w:val="00291266"/>
    <w:rsid w:val="0029384F"/>
    <w:rsid w:val="00294023"/>
    <w:rsid w:val="00295301"/>
    <w:rsid w:val="002953C6"/>
    <w:rsid w:val="00295D3F"/>
    <w:rsid w:val="00297E22"/>
    <w:rsid w:val="002A14AB"/>
    <w:rsid w:val="002A1FA5"/>
    <w:rsid w:val="002A200B"/>
    <w:rsid w:val="002A2ADE"/>
    <w:rsid w:val="002A2F50"/>
    <w:rsid w:val="002A4BFC"/>
    <w:rsid w:val="002A550F"/>
    <w:rsid w:val="002A6047"/>
    <w:rsid w:val="002A69BC"/>
    <w:rsid w:val="002A75FB"/>
    <w:rsid w:val="002A7943"/>
    <w:rsid w:val="002B0335"/>
    <w:rsid w:val="002B05A1"/>
    <w:rsid w:val="002B0994"/>
    <w:rsid w:val="002B09A4"/>
    <w:rsid w:val="002B166A"/>
    <w:rsid w:val="002B1C1F"/>
    <w:rsid w:val="002B25CB"/>
    <w:rsid w:val="002B432F"/>
    <w:rsid w:val="002B46EA"/>
    <w:rsid w:val="002B4E57"/>
    <w:rsid w:val="002B507A"/>
    <w:rsid w:val="002B562F"/>
    <w:rsid w:val="002B597A"/>
    <w:rsid w:val="002B62B3"/>
    <w:rsid w:val="002B6754"/>
    <w:rsid w:val="002B6CCE"/>
    <w:rsid w:val="002B7285"/>
    <w:rsid w:val="002C0253"/>
    <w:rsid w:val="002C09D6"/>
    <w:rsid w:val="002C0FC2"/>
    <w:rsid w:val="002C19D7"/>
    <w:rsid w:val="002C1A88"/>
    <w:rsid w:val="002C2510"/>
    <w:rsid w:val="002C2775"/>
    <w:rsid w:val="002C27C1"/>
    <w:rsid w:val="002C29A3"/>
    <w:rsid w:val="002C36E3"/>
    <w:rsid w:val="002C3CB1"/>
    <w:rsid w:val="002C4028"/>
    <w:rsid w:val="002C5099"/>
    <w:rsid w:val="002C511A"/>
    <w:rsid w:val="002C5889"/>
    <w:rsid w:val="002C5E44"/>
    <w:rsid w:val="002C71CE"/>
    <w:rsid w:val="002D08F8"/>
    <w:rsid w:val="002D0C31"/>
    <w:rsid w:val="002D0F3B"/>
    <w:rsid w:val="002D1837"/>
    <w:rsid w:val="002D360E"/>
    <w:rsid w:val="002D40F8"/>
    <w:rsid w:val="002D4432"/>
    <w:rsid w:val="002D501C"/>
    <w:rsid w:val="002D5230"/>
    <w:rsid w:val="002D577C"/>
    <w:rsid w:val="002D6186"/>
    <w:rsid w:val="002D61F0"/>
    <w:rsid w:val="002D752F"/>
    <w:rsid w:val="002D7832"/>
    <w:rsid w:val="002D793A"/>
    <w:rsid w:val="002D7AFA"/>
    <w:rsid w:val="002E03ED"/>
    <w:rsid w:val="002E05E6"/>
    <w:rsid w:val="002E1071"/>
    <w:rsid w:val="002E15B9"/>
    <w:rsid w:val="002E17EF"/>
    <w:rsid w:val="002E2158"/>
    <w:rsid w:val="002E32BC"/>
    <w:rsid w:val="002E4180"/>
    <w:rsid w:val="002E4325"/>
    <w:rsid w:val="002E4F02"/>
    <w:rsid w:val="002E50C0"/>
    <w:rsid w:val="002E716D"/>
    <w:rsid w:val="002E7430"/>
    <w:rsid w:val="002E7722"/>
    <w:rsid w:val="002F07BA"/>
    <w:rsid w:val="002F0DA9"/>
    <w:rsid w:val="002F1014"/>
    <w:rsid w:val="002F121B"/>
    <w:rsid w:val="002F1C02"/>
    <w:rsid w:val="002F1E3B"/>
    <w:rsid w:val="002F312E"/>
    <w:rsid w:val="002F3A98"/>
    <w:rsid w:val="002F50DC"/>
    <w:rsid w:val="002F6139"/>
    <w:rsid w:val="002F643C"/>
    <w:rsid w:val="002F71C0"/>
    <w:rsid w:val="002F74F1"/>
    <w:rsid w:val="002F765E"/>
    <w:rsid w:val="002F76FF"/>
    <w:rsid w:val="003004F9"/>
    <w:rsid w:val="00301017"/>
    <w:rsid w:val="0030155F"/>
    <w:rsid w:val="00302ECC"/>
    <w:rsid w:val="00303B05"/>
    <w:rsid w:val="00303BE7"/>
    <w:rsid w:val="00304303"/>
    <w:rsid w:val="0030434A"/>
    <w:rsid w:val="00304C5E"/>
    <w:rsid w:val="00305704"/>
    <w:rsid w:val="0030587B"/>
    <w:rsid w:val="00306D98"/>
    <w:rsid w:val="003077C9"/>
    <w:rsid w:val="0030786C"/>
    <w:rsid w:val="0031031A"/>
    <w:rsid w:val="003108C0"/>
    <w:rsid w:val="003108E4"/>
    <w:rsid w:val="00310981"/>
    <w:rsid w:val="00311D9B"/>
    <w:rsid w:val="003124D9"/>
    <w:rsid w:val="00312594"/>
    <w:rsid w:val="00312A9D"/>
    <w:rsid w:val="00312DE6"/>
    <w:rsid w:val="00313DC3"/>
    <w:rsid w:val="003152A4"/>
    <w:rsid w:val="00315498"/>
    <w:rsid w:val="00316474"/>
    <w:rsid w:val="00316EE2"/>
    <w:rsid w:val="00317C21"/>
    <w:rsid w:val="003202DE"/>
    <w:rsid w:val="00320816"/>
    <w:rsid w:val="003211A3"/>
    <w:rsid w:val="0032172D"/>
    <w:rsid w:val="00322107"/>
    <w:rsid w:val="00322355"/>
    <w:rsid w:val="0032250C"/>
    <w:rsid w:val="00322846"/>
    <w:rsid w:val="00322961"/>
    <w:rsid w:val="003229D4"/>
    <w:rsid w:val="00322D79"/>
    <w:rsid w:val="00324D3E"/>
    <w:rsid w:val="00325792"/>
    <w:rsid w:val="003259D0"/>
    <w:rsid w:val="00326DA7"/>
    <w:rsid w:val="003270E4"/>
    <w:rsid w:val="0033023E"/>
    <w:rsid w:val="00330DAA"/>
    <w:rsid w:val="00330F5C"/>
    <w:rsid w:val="0033156F"/>
    <w:rsid w:val="00331CE6"/>
    <w:rsid w:val="00334A4B"/>
    <w:rsid w:val="003366C9"/>
    <w:rsid w:val="003368C4"/>
    <w:rsid w:val="003371B0"/>
    <w:rsid w:val="003377F6"/>
    <w:rsid w:val="00337AB5"/>
    <w:rsid w:val="003405EE"/>
    <w:rsid w:val="00340DF1"/>
    <w:rsid w:val="003412F7"/>
    <w:rsid w:val="00341EF0"/>
    <w:rsid w:val="003434E6"/>
    <w:rsid w:val="00343A35"/>
    <w:rsid w:val="003440AE"/>
    <w:rsid w:val="00344F0B"/>
    <w:rsid w:val="00345464"/>
    <w:rsid w:val="00345F16"/>
    <w:rsid w:val="003465D9"/>
    <w:rsid w:val="003469CB"/>
    <w:rsid w:val="003517F9"/>
    <w:rsid w:val="00351BA9"/>
    <w:rsid w:val="00352E0F"/>
    <w:rsid w:val="00353427"/>
    <w:rsid w:val="00354295"/>
    <w:rsid w:val="0035462D"/>
    <w:rsid w:val="00354B71"/>
    <w:rsid w:val="00354F64"/>
    <w:rsid w:val="00355067"/>
    <w:rsid w:val="0035620E"/>
    <w:rsid w:val="0035645B"/>
    <w:rsid w:val="00356C11"/>
    <w:rsid w:val="003575BE"/>
    <w:rsid w:val="00360345"/>
    <w:rsid w:val="00361A05"/>
    <w:rsid w:val="0036240E"/>
    <w:rsid w:val="003624C4"/>
    <w:rsid w:val="00363572"/>
    <w:rsid w:val="00363B00"/>
    <w:rsid w:val="003654AC"/>
    <w:rsid w:val="00366471"/>
    <w:rsid w:val="00367D23"/>
    <w:rsid w:val="00370A9B"/>
    <w:rsid w:val="00370E6D"/>
    <w:rsid w:val="003710CF"/>
    <w:rsid w:val="00372C66"/>
    <w:rsid w:val="003731AB"/>
    <w:rsid w:val="0037357C"/>
    <w:rsid w:val="0037358A"/>
    <w:rsid w:val="003737DC"/>
    <w:rsid w:val="00373C64"/>
    <w:rsid w:val="003750F6"/>
    <w:rsid w:val="00376038"/>
    <w:rsid w:val="003760FC"/>
    <w:rsid w:val="003770C6"/>
    <w:rsid w:val="003777B1"/>
    <w:rsid w:val="003800C1"/>
    <w:rsid w:val="00380381"/>
    <w:rsid w:val="00380D1D"/>
    <w:rsid w:val="00380E00"/>
    <w:rsid w:val="0038158C"/>
    <w:rsid w:val="003819F8"/>
    <w:rsid w:val="0038365C"/>
    <w:rsid w:val="0038369B"/>
    <w:rsid w:val="00383B78"/>
    <w:rsid w:val="00383D52"/>
    <w:rsid w:val="00383E30"/>
    <w:rsid w:val="00385A9D"/>
    <w:rsid w:val="00385AC5"/>
    <w:rsid w:val="00385F5A"/>
    <w:rsid w:val="00387121"/>
    <w:rsid w:val="003873C0"/>
    <w:rsid w:val="003875F6"/>
    <w:rsid w:val="00387AB5"/>
    <w:rsid w:val="003902B1"/>
    <w:rsid w:val="0039179C"/>
    <w:rsid w:val="0039214E"/>
    <w:rsid w:val="003926C7"/>
    <w:rsid w:val="003933B4"/>
    <w:rsid w:val="003950E6"/>
    <w:rsid w:val="003964A7"/>
    <w:rsid w:val="00396896"/>
    <w:rsid w:val="0039690F"/>
    <w:rsid w:val="00396FD0"/>
    <w:rsid w:val="00397946"/>
    <w:rsid w:val="003A1237"/>
    <w:rsid w:val="003A1A7A"/>
    <w:rsid w:val="003A1C08"/>
    <w:rsid w:val="003A2392"/>
    <w:rsid w:val="003A2831"/>
    <w:rsid w:val="003A3CB6"/>
    <w:rsid w:val="003A3ED1"/>
    <w:rsid w:val="003A444C"/>
    <w:rsid w:val="003A44DB"/>
    <w:rsid w:val="003A4BE1"/>
    <w:rsid w:val="003A4C14"/>
    <w:rsid w:val="003A4CF0"/>
    <w:rsid w:val="003A53EF"/>
    <w:rsid w:val="003A6F84"/>
    <w:rsid w:val="003A753A"/>
    <w:rsid w:val="003B01B6"/>
    <w:rsid w:val="003B33B5"/>
    <w:rsid w:val="003B3971"/>
    <w:rsid w:val="003B55D1"/>
    <w:rsid w:val="003B587F"/>
    <w:rsid w:val="003B5B61"/>
    <w:rsid w:val="003B6835"/>
    <w:rsid w:val="003B6E41"/>
    <w:rsid w:val="003B7D1F"/>
    <w:rsid w:val="003C0257"/>
    <w:rsid w:val="003C042D"/>
    <w:rsid w:val="003C0E8A"/>
    <w:rsid w:val="003C1654"/>
    <w:rsid w:val="003C1FA2"/>
    <w:rsid w:val="003C51ED"/>
    <w:rsid w:val="003C5542"/>
    <w:rsid w:val="003C600A"/>
    <w:rsid w:val="003C7C15"/>
    <w:rsid w:val="003C7D19"/>
    <w:rsid w:val="003C7D2F"/>
    <w:rsid w:val="003C7E2E"/>
    <w:rsid w:val="003D00A8"/>
    <w:rsid w:val="003D081B"/>
    <w:rsid w:val="003D0C5A"/>
    <w:rsid w:val="003D1828"/>
    <w:rsid w:val="003D1D83"/>
    <w:rsid w:val="003D1DE4"/>
    <w:rsid w:val="003D1E9A"/>
    <w:rsid w:val="003D2422"/>
    <w:rsid w:val="003D25D5"/>
    <w:rsid w:val="003D26B8"/>
    <w:rsid w:val="003D26FB"/>
    <w:rsid w:val="003D2848"/>
    <w:rsid w:val="003D3363"/>
    <w:rsid w:val="003D39A1"/>
    <w:rsid w:val="003D3FBF"/>
    <w:rsid w:val="003D43D6"/>
    <w:rsid w:val="003D4A30"/>
    <w:rsid w:val="003D5795"/>
    <w:rsid w:val="003D64E1"/>
    <w:rsid w:val="003D7383"/>
    <w:rsid w:val="003D7452"/>
    <w:rsid w:val="003D7930"/>
    <w:rsid w:val="003D79BB"/>
    <w:rsid w:val="003D7C98"/>
    <w:rsid w:val="003D7D9D"/>
    <w:rsid w:val="003E0543"/>
    <w:rsid w:val="003E30A1"/>
    <w:rsid w:val="003E4FA3"/>
    <w:rsid w:val="003E5603"/>
    <w:rsid w:val="003E749E"/>
    <w:rsid w:val="003E7F6E"/>
    <w:rsid w:val="003F051D"/>
    <w:rsid w:val="003F2A0A"/>
    <w:rsid w:val="003F3C83"/>
    <w:rsid w:val="003F4156"/>
    <w:rsid w:val="003F48C7"/>
    <w:rsid w:val="003F4BF6"/>
    <w:rsid w:val="003F5ADF"/>
    <w:rsid w:val="003F6445"/>
    <w:rsid w:val="003F6BCE"/>
    <w:rsid w:val="003F7586"/>
    <w:rsid w:val="003F76FE"/>
    <w:rsid w:val="003F7C37"/>
    <w:rsid w:val="004000F2"/>
    <w:rsid w:val="00400B29"/>
    <w:rsid w:val="00401182"/>
    <w:rsid w:val="00402812"/>
    <w:rsid w:val="00403413"/>
    <w:rsid w:val="0040504B"/>
    <w:rsid w:val="004059F4"/>
    <w:rsid w:val="004078B6"/>
    <w:rsid w:val="00407FE5"/>
    <w:rsid w:val="004101B0"/>
    <w:rsid w:val="00410326"/>
    <w:rsid w:val="00410708"/>
    <w:rsid w:val="00410EC7"/>
    <w:rsid w:val="00411B39"/>
    <w:rsid w:val="004127A7"/>
    <w:rsid w:val="00412DAA"/>
    <w:rsid w:val="00413A1E"/>
    <w:rsid w:val="00413B5F"/>
    <w:rsid w:val="00414476"/>
    <w:rsid w:val="00414C2E"/>
    <w:rsid w:val="00414E78"/>
    <w:rsid w:val="004151CF"/>
    <w:rsid w:val="00415217"/>
    <w:rsid w:val="00416364"/>
    <w:rsid w:val="0041697D"/>
    <w:rsid w:val="00417676"/>
    <w:rsid w:val="0042047F"/>
    <w:rsid w:val="00420811"/>
    <w:rsid w:val="00420AA6"/>
    <w:rsid w:val="00420B9F"/>
    <w:rsid w:val="00421025"/>
    <w:rsid w:val="00421338"/>
    <w:rsid w:val="0042164C"/>
    <w:rsid w:val="00421847"/>
    <w:rsid w:val="00421903"/>
    <w:rsid w:val="0042192C"/>
    <w:rsid w:val="00422260"/>
    <w:rsid w:val="004236D1"/>
    <w:rsid w:val="0042413F"/>
    <w:rsid w:val="004256B0"/>
    <w:rsid w:val="00425F76"/>
    <w:rsid w:val="0042615D"/>
    <w:rsid w:val="0042637A"/>
    <w:rsid w:val="0042707F"/>
    <w:rsid w:val="00430509"/>
    <w:rsid w:val="004306BC"/>
    <w:rsid w:val="004319F8"/>
    <w:rsid w:val="00431E55"/>
    <w:rsid w:val="004321F6"/>
    <w:rsid w:val="004328E0"/>
    <w:rsid w:val="00433044"/>
    <w:rsid w:val="00433446"/>
    <w:rsid w:val="00433764"/>
    <w:rsid w:val="00433E50"/>
    <w:rsid w:val="00434088"/>
    <w:rsid w:val="004374AA"/>
    <w:rsid w:val="004375B9"/>
    <w:rsid w:val="00441EE3"/>
    <w:rsid w:val="00442675"/>
    <w:rsid w:val="004428D0"/>
    <w:rsid w:val="00444185"/>
    <w:rsid w:val="004443A7"/>
    <w:rsid w:val="0044442C"/>
    <w:rsid w:val="0044445C"/>
    <w:rsid w:val="004445E7"/>
    <w:rsid w:val="00445941"/>
    <w:rsid w:val="004464EB"/>
    <w:rsid w:val="004466AF"/>
    <w:rsid w:val="00447A47"/>
    <w:rsid w:val="00447D26"/>
    <w:rsid w:val="00447DFC"/>
    <w:rsid w:val="0045091A"/>
    <w:rsid w:val="00450B8C"/>
    <w:rsid w:val="00453EC9"/>
    <w:rsid w:val="004540D4"/>
    <w:rsid w:val="00454372"/>
    <w:rsid w:val="00455827"/>
    <w:rsid w:val="00455863"/>
    <w:rsid w:val="00455D45"/>
    <w:rsid w:val="0045623C"/>
    <w:rsid w:val="00456695"/>
    <w:rsid w:val="004568ED"/>
    <w:rsid w:val="00456DAB"/>
    <w:rsid w:val="00457325"/>
    <w:rsid w:val="00461DDE"/>
    <w:rsid w:val="00463545"/>
    <w:rsid w:val="004636CA"/>
    <w:rsid w:val="00464595"/>
    <w:rsid w:val="00464B7D"/>
    <w:rsid w:val="00464B89"/>
    <w:rsid w:val="0046553F"/>
    <w:rsid w:val="004658B5"/>
    <w:rsid w:val="004669A7"/>
    <w:rsid w:val="00467A5F"/>
    <w:rsid w:val="00471EA5"/>
    <w:rsid w:val="00472A79"/>
    <w:rsid w:val="00473F19"/>
    <w:rsid w:val="00475C67"/>
    <w:rsid w:val="00475E22"/>
    <w:rsid w:val="00476527"/>
    <w:rsid w:val="00476B19"/>
    <w:rsid w:val="00477479"/>
    <w:rsid w:val="0047754E"/>
    <w:rsid w:val="00477659"/>
    <w:rsid w:val="00477840"/>
    <w:rsid w:val="00480877"/>
    <w:rsid w:val="0048088E"/>
    <w:rsid w:val="00480D10"/>
    <w:rsid w:val="00480E0D"/>
    <w:rsid w:val="00480F2B"/>
    <w:rsid w:val="00482470"/>
    <w:rsid w:val="00482720"/>
    <w:rsid w:val="0048337F"/>
    <w:rsid w:val="004835E7"/>
    <w:rsid w:val="004836F4"/>
    <w:rsid w:val="00483802"/>
    <w:rsid w:val="00483BFB"/>
    <w:rsid w:val="0048566A"/>
    <w:rsid w:val="004859E1"/>
    <w:rsid w:val="00485A5E"/>
    <w:rsid w:val="00486071"/>
    <w:rsid w:val="004867E2"/>
    <w:rsid w:val="00490B17"/>
    <w:rsid w:val="00490F8B"/>
    <w:rsid w:val="00491B3A"/>
    <w:rsid w:val="004920FF"/>
    <w:rsid w:val="00492CFD"/>
    <w:rsid w:val="004937EF"/>
    <w:rsid w:val="00494207"/>
    <w:rsid w:val="00494CEB"/>
    <w:rsid w:val="00494DD5"/>
    <w:rsid w:val="004960A2"/>
    <w:rsid w:val="004962D2"/>
    <w:rsid w:val="00497076"/>
    <w:rsid w:val="004A0709"/>
    <w:rsid w:val="004A0905"/>
    <w:rsid w:val="004A0DA1"/>
    <w:rsid w:val="004A0F4F"/>
    <w:rsid w:val="004A13D6"/>
    <w:rsid w:val="004A1CB2"/>
    <w:rsid w:val="004A25F0"/>
    <w:rsid w:val="004A298E"/>
    <w:rsid w:val="004A2AA9"/>
    <w:rsid w:val="004A3664"/>
    <w:rsid w:val="004A3DBE"/>
    <w:rsid w:val="004A4689"/>
    <w:rsid w:val="004A4F07"/>
    <w:rsid w:val="004A52E9"/>
    <w:rsid w:val="004A55D0"/>
    <w:rsid w:val="004A5D1C"/>
    <w:rsid w:val="004A6040"/>
    <w:rsid w:val="004A6152"/>
    <w:rsid w:val="004A6597"/>
    <w:rsid w:val="004A7848"/>
    <w:rsid w:val="004A793B"/>
    <w:rsid w:val="004A7A0C"/>
    <w:rsid w:val="004B1969"/>
    <w:rsid w:val="004B1CB4"/>
    <w:rsid w:val="004B2D6D"/>
    <w:rsid w:val="004B2F18"/>
    <w:rsid w:val="004B320F"/>
    <w:rsid w:val="004B3A3E"/>
    <w:rsid w:val="004B3DDB"/>
    <w:rsid w:val="004B44FD"/>
    <w:rsid w:val="004B4CAA"/>
    <w:rsid w:val="004B4F22"/>
    <w:rsid w:val="004B5A0A"/>
    <w:rsid w:val="004B5AFE"/>
    <w:rsid w:val="004B5CFC"/>
    <w:rsid w:val="004B6D35"/>
    <w:rsid w:val="004B6DDA"/>
    <w:rsid w:val="004B6F79"/>
    <w:rsid w:val="004B774D"/>
    <w:rsid w:val="004C0392"/>
    <w:rsid w:val="004C1F08"/>
    <w:rsid w:val="004C2AC2"/>
    <w:rsid w:val="004C3697"/>
    <w:rsid w:val="004C3B02"/>
    <w:rsid w:val="004C45EE"/>
    <w:rsid w:val="004C47D0"/>
    <w:rsid w:val="004C4AED"/>
    <w:rsid w:val="004C4F1F"/>
    <w:rsid w:val="004C7BA1"/>
    <w:rsid w:val="004D0BB2"/>
    <w:rsid w:val="004D23E2"/>
    <w:rsid w:val="004D27B8"/>
    <w:rsid w:val="004D2C2D"/>
    <w:rsid w:val="004D3079"/>
    <w:rsid w:val="004D4932"/>
    <w:rsid w:val="004D4AD0"/>
    <w:rsid w:val="004D4E8D"/>
    <w:rsid w:val="004D5ED0"/>
    <w:rsid w:val="004D69B5"/>
    <w:rsid w:val="004D7073"/>
    <w:rsid w:val="004D7227"/>
    <w:rsid w:val="004D7B5E"/>
    <w:rsid w:val="004E0E7F"/>
    <w:rsid w:val="004E0EB8"/>
    <w:rsid w:val="004E117A"/>
    <w:rsid w:val="004E18E9"/>
    <w:rsid w:val="004E1CCA"/>
    <w:rsid w:val="004E2092"/>
    <w:rsid w:val="004E2423"/>
    <w:rsid w:val="004E285D"/>
    <w:rsid w:val="004E2ADC"/>
    <w:rsid w:val="004E422B"/>
    <w:rsid w:val="004E43B2"/>
    <w:rsid w:val="004F0544"/>
    <w:rsid w:val="004F0D2A"/>
    <w:rsid w:val="004F1738"/>
    <w:rsid w:val="004F1D02"/>
    <w:rsid w:val="004F2679"/>
    <w:rsid w:val="004F28F8"/>
    <w:rsid w:val="004F2F21"/>
    <w:rsid w:val="004F3DE5"/>
    <w:rsid w:val="004F4AA8"/>
    <w:rsid w:val="004F58E1"/>
    <w:rsid w:val="004F5C73"/>
    <w:rsid w:val="004F61CA"/>
    <w:rsid w:val="004F6913"/>
    <w:rsid w:val="004F7865"/>
    <w:rsid w:val="005011B9"/>
    <w:rsid w:val="0050174E"/>
    <w:rsid w:val="00501854"/>
    <w:rsid w:val="0050219B"/>
    <w:rsid w:val="00503F17"/>
    <w:rsid w:val="00503F3A"/>
    <w:rsid w:val="0050674F"/>
    <w:rsid w:val="00506928"/>
    <w:rsid w:val="00506E10"/>
    <w:rsid w:val="005077EF"/>
    <w:rsid w:val="005078D4"/>
    <w:rsid w:val="00507D64"/>
    <w:rsid w:val="00510936"/>
    <w:rsid w:val="005110A7"/>
    <w:rsid w:val="00511AD5"/>
    <w:rsid w:val="00511DC7"/>
    <w:rsid w:val="00513C80"/>
    <w:rsid w:val="00513F48"/>
    <w:rsid w:val="005142C5"/>
    <w:rsid w:val="0051501B"/>
    <w:rsid w:val="005152B5"/>
    <w:rsid w:val="005155DA"/>
    <w:rsid w:val="00515724"/>
    <w:rsid w:val="00515886"/>
    <w:rsid w:val="005163D5"/>
    <w:rsid w:val="0051781B"/>
    <w:rsid w:val="00520F91"/>
    <w:rsid w:val="0052123C"/>
    <w:rsid w:val="00521319"/>
    <w:rsid w:val="00521D30"/>
    <w:rsid w:val="00521D3B"/>
    <w:rsid w:val="0052204C"/>
    <w:rsid w:val="00522BC8"/>
    <w:rsid w:val="00523C28"/>
    <w:rsid w:val="005265AF"/>
    <w:rsid w:val="00526905"/>
    <w:rsid w:val="0052769C"/>
    <w:rsid w:val="00530AD5"/>
    <w:rsid w:val="0053176B"/>
    <w:rsid w:val="00532C6A"/>
    <w:rsid w:val="005341B3"/>
    <w:rsid w:val="005344AD"/>
    <w:rsid w:val="0053508A"/>
    <w:rsid w:val="0053537E"/>
    <w:rsid w:val="005361BF"/>
    <w:rsid w:val="005363D2"/>
    <w:rsid w:val="00536F42"/>
    <w:rsid w:val="00537182"/>
    <w:rsid w:val="00537F32"/>
    <w:rsid w:val="00540AA5"/>
    <w:rsid w:val="00541325"/>
    <w:rsid w:val="00541EB5"/>
    <w:rsid w:val="00541EDD"/>
    <w:rsid w:val="00542743"/>
    <w:rsid w:val="00542C2D"/>
    <w:rsid w:val="00542CC3"/>
    <w:rsid w:val="00542E62"/>
    <w:rsid w:val="00544CFD"/>
    <w:rsid w:val="00544E15"/>
    <w:rsid w:val="00546307"/>
    <w:rsid w:val="00546C1F"/>
    <w:rsid w:val="00547168"/>
    <w:rsid w:val="005478BD"/>
    <w:rsid w:val="005479E3"/>
    <w:rsid w:val="0055101F"/>
    <w:rsid w:val="00551739"/>
    <w:rsid w:val="00551985"/>
    <w:rsid w:val="005519B9"/>
    <w:rsid w:val="00551AF7"/>
    <w:rsid w:val="00552BD3"/>
    <w:rsid w:val="005532A0"/>
    <w:rsid w:val="00553608"/>
    <w:rsid w:val="00553AFF"/>
    <w:rsid w:val="00554AFE"/>
    <w:rsid w:val="00554F6C"/>
    <w:rsid w:val="00555109"/>
    <w:rsid w:val="00555689"/>
    <w:rsid w:val="00555B58"/>
    <w:rsid w:val="00555C72"/>
    <w:rsid w:val="00556B35"/>
    <w:rsid w:val="0055741A"/>
    <w:rsid w:val="0055780F"/>
    <w:rsid w:val="00557C30"/>
    <w:rsid w:val="00557C44"/>
    <w:rsid w:val="00560643"/>
    <w:rsid w:val="005607E2"/>
    <w:rsid w:val="005611B7"/>
    <w:rsid w:val="005618D4"/>
    <w:rsid w:val="00563828"/>
    <w:rsid w:val="005640C6"/>
    <w:rsid w:val="00564867"/>
    <w:rsid w:val="00565C79"/>
    <w:rsid w:val="00565CE9"/>
    <w:rsid w:val="00565DF0"/>
    <w:rsid w:val="0056696F"/>
    <w:rsid w:val="0056759E"/>
    <w:rsid w:val="00567B09"/>
    <w:rsid w:val="00572269"/>
    <w:rsid w:val="0057244A"/>
    <w:rsid w:val="005725B7"/>
    <w:rsid w:val="00572A70"/>
    <w:rsid w:val="00572BA4"/>
    <w:rsid w:val="00572BB7"/>
    <w:rsid w:val="00572F26"/>
    <w:rsid w:val="005750C5"/>
    <w:rsid w:val="005752DE"/>
    <w:rsid w:val="0057549B"/>
    <w:rsid w:val="005756D0"/>
    <w:rsid w:val="00575D60"/>
    <w:rsid w:val="00575D8D"/>
    <w:rsid w:val="00575E02"/>
    <w:rsid w:val="00575E5F"/>
    <w:rsid w:val="00576972"/>
    <w:rsid w:val="00576EF2"/>
    <w:rsid w:val="00577248"/>
    <w:rsid w:val="00577651"/>
    <w:rsid w:val="00580689"/>
    <w:rsid w:val="005810A5"/>
    <w:rsid w:val="00581AD8"/>
    <w:rsid w:val="00582337"/>
    <w:rsid w:val="0058291B"/>
    <w:rsid w:val="00582FE0"/>
    <w:rsid w:val="00583034"/>
    <w:rsid w:val="00583699"/>
    <w:rsid w:val="0058545E"/>
    <w:rsid w:val="00585CDD"/>
    <w:rsid w:val="00586755"/>
    <w:rsid w:val="00587058"/>
    <w:rsid w:val="00587640"/>
    <w:rsid w:val="00590E96"/>
    <w:rsid w:val="005912E2"/>
    <w:rsid w:val="00591957"/>
    <w:rsid w:val="00592318"/>
    <w:rsid w:val="00593E81"/>
    <w:rsid w:val="0059620F"/>
    <w:rsid w:val="005971F8"/>
    <w:rsid w:val="00597BF9"/>
    <w:rsid w:val="005A0C11"/>
    <w:rsid w:val="005A23FA"/>
    <w:rsid w:val="005A309A"/>
    <w:rsid w:val="005A373D"/>
    <w:rsid w:val="005A37BC"/>
    <w:rsid w:val="005A5CBF"/>
    <w:rsid w:val="005B0639"/>
    <w:rsid w:val="005B0A1A"/>
    <w:rsid w:val="005B0B58"/>
    <w:rsid w:val="005B333E"/>
    <w:rsid w:val="005B4E53"/>
    <w:rsid w:val="005B5031"/>
    <w:rsid w:val="005B5857"/>
    <w:rsid w:val="005B6BEA"/>
    <w:rsid w:val="005C19C4"/>
    <w:rsid w:val="005C1B83"/>
    <w:rsid w:val="005C1F0F"/>
    <w:rsid w:val="005C25FF"/>
    <w:rsid w:val="005C28A7"/>
    <w:rsid w:val="005C2D55"/>
    <w:rsid w:val="005C346B"/>
    <w:rsid w:val="005C4B78"/>
    <w:rsid w:val="005C5ABC"/>
    <w:rsid w:val="005C724D"/>
    <w:rsid w:val="005D044D"/>
    <w:rsid w:val="005D0ABD"/>
    <w:rsid w:val="005D17FF"/>
    <w:rsid w:val="005D18AD"/>
    <w:rsid w:val="005D1AB1"/>
    <w:rsid w:val="005D243D"/>
    <w:rsid w:val="005D2452"/>
    <w:rsid w:val="005D26B4"/>
    <w:rsid w:val="005D3262"/>
    <w:rsid w:val="005D4A7A"/>
    <w:rsid w:val="005D56A9"/>
    <w:rsid w:val="005D5978"/>
    <w:rsid w:val="005D6C9B"/>
    <w:rsid w:val="005D6E16"/>
    <w:rsid w:val="005E03FF"/>
    <w:rsid w:val="005E097A"/>
    <w:rsid w:val="005E0EA0"/>
    <w:rsid w:val="005E15F3"/>
    <w:rsid w:val="005E1995"/>
    <w:rsid w:val="005E25CD"/>
    <w:rsid w:val="005E2C6F"/>
    <w:rsid w:val="005E2DC5"/>
    <w:rsid w:val="005E312D"/>
    <w:rsid w:val="005E39FB"/>
    <w:rsid w:val="005E6CBC"/>
    <w:rsid w:val="005E72FF"/>
    <w:rsid w:val="005E73C0"/>
    <w:rsid w:val="005E76A4"/>
    <w:rsid w:val="005F07ED"/>
    <w:rsid w:val="005F080A"/>
    <w:rsid w:val="005F21BA"/>
    <w:rsid w:val="005F2699"/>
    <w:rsid w:val="005F2706"/>
    <w:rsid w:val="005F2813"/>
    <w:rsid w:val="005F3916"/>
    <w:rsid w:val="005F3969"/>
    <w:rsid w:val="005F3CAC"/>
    <w:rsid w:val="005F4D79"/>
    <w:rsid w:val="005F62BC"/>
    <w:rsid w:val="005F6588"/>
    <w:rsid w:val="005F6A8F"/>
    <w:rsid w:val="005F6BB7"/>
    <w:rsid w:val="005F72E7"/>
    <w:rsid w:val="005F7588"/>
    <w:rsid w:val="005F7C21"/>
    <w:rsid w:val="006001CB"/>
    <w:rsid w:val="0060084B"/>
    <w:rsid w:val="006022EC"/>
    <w:rsid w:val="006025F5"/>
    <w:rsid w:val="006028D3"/>
    <w:rsid w:val="00602D7E"/>
    <w:rsid w:val="00602E22"/>
    <w:rsid w:val="00603DB9"/>
    <w:rsid w:val="00603F1D"/>
    <w:rsid w:val="00605316"/>
    <w:rsid w:val="00605D20"/>
    <w:rsid w:val="00606183"/>
    <w:rsid w:val="006067A9"/>
    <w:rsid w:val="00606C27"/>
    <w:rsid w:val="00606FBA"/>
    <w:rsid w:val="00607319"/>
    <w:rsid w:val="00607669"/>
    <w:rsid w:val="006076F4"/>
    <w:rsid w:val="00607AFD"/>
    <w:rsid w:val="00607C5B"/>
    <w:rsid w:val="00610603"/>
    <w:rsid w:val="00611051"/>
    <w:rsid w:val="00611B12"/>
    <w:rsid w:val="00612781"/>
    <w:rsid w:val="00612F97"/>
    <w:rsid w:val="0061345D"/>
    <w:rsid w:val="00614206"/>
    <w:rsid w:val="006152DF"/>
    <w:rsid w:val="0061549B"/>
    <w:rsid w:val="00616802"/>
    <w:rsid w:val="00617516"/>
    <w:rsid w:val="00617752"/>
    <w:rsid w:val="00617E12"/>
    <w:rsid w:val="00620C25"/>
    <w:rsid w:val="00621477"/>
    <w:rsid w:val="00621ADA"/>
    <w:rsid w:val="00623189"/>
    <w:rsid w:val="006236DC"/>
    <w:rsid w:val="00623F7B"/>
    <w:rsid w:val="00624366"/>
    <w:rsid w:val="00624BD4"/>
    <w:rsid w:val="00625082"/>
    <w:rsid w:val="00625805"/>
    <w:rsid w:val="0063158F"/>
    <w:rsid w:val="006316DE"/>
    <w:rsid w:val="00631C6E"/>
    <w:rsid w:val="00631D6B"/>
    <w:rsid w:val="00632183"/>
    <w:rsid w:val="0063239D"/>
    <w:rsid w:val="006330A1"/>
    <w:rsid w:val="00633FB0"/>
    <w:rsid w:val="0063479F"/>
    <w:rsid w:val="006349F7"/>
    <w:rsid w:val="006353F0"/>
    <w:rsid w:val="006357B5"/>
    <w:rsid w:val="00635861"/>
    <w:rsid w:val="006364A1"/>
    <w:rsid w:val="0063678E"/>
    <w:rsid w:val="00636A36"/>
    <w:rsid w:val="006373A1"/>
    <w:rsid w:val="006378FA"/>
    <w:rsid w:val="00637BFD"/>
    <w:rsid w:val="00637C5C"/>
    <w:rsid w:val="00640081"/>
    <w:rsid w:val="0064107B"/>
    <w:rsid w:val="00641AF0"/>
    <w:rsid w:val="00641C4E"/>
    <w:rsid w:val="00641FB3"/>
    <w:rsid w:val="006420AD"/>
    <w:rsid w:val="00642350"/>
    <w:rsid w:val="006427CC"/>
    <w:rsid w:val="0064295B"/>
    <w:rsid w:val="0064404F"/>
    <w:rsid w:val="00644278"/>
    <w:rsid w:val="0064434C"/>
    <w:rsid w:val="00644399"/>
    <w:rsid w:val="00645793"/>
    <w:rsid w:val="00645F4F"/>
    <w:rsid w:val="006471CC"/>
    <w:rsid w:val="006472FE"/>
    <w:rsid w:val="00647A29"/>
    <w:rsid w:val="0065079F"/>
    <w:rsid w:val="0065160C"/>
    <w:rsid w:val="006528ED"/>
    <w:rsid w:val="00652A28"/>
    <w:rsid w:val="00652D28"/>
    <w:rsid w:val="0065379F"/>
    <w:rsid w:val="00653B06"/>
    <w:rsid w:val="00655387"/>
    <w:rsid w:val="00656188"/>
    <w:rsid w:val="0065715A"/>
    <w:rsid w:val="006608F1"/>
    <w:rsid w:val="00660B6C"/>
    <w:rsid w:val="00660EBE"/>
    <w:rsid w:val="006610F1"/>
    <w:rsid w:val="006613E4"/>
    <w:rsid w:val="00661C6B"/>
    <w:rsid w:val="00662561"/>
    <w:rsid w:val="00662C4A"/>
    <w:rsid w:val="00662D3E"/>
    <w:rsid w:val="00664348"/>
    <w:rsid w:val="00664782"/>
    <w:rsid w:val="00665CE6"/>
    <w:rsid w:val="006667A5"/>
    <w:rsid w:val="00667438"/>
    <w:rsid w:val="0066762B"/>
    <w:rsid w:val="00667BE3"/>
    <w:rsid w:val="00670D26"/>
    <w:rsid w:val="00671004"/>
    <w:rsid w:val="006714B4"/>
    <w:rsid w:val="006719CB"/>
    <w:rsid w:val="00672646"/>
    <w:rsid w:val="006726C8"/>
    <w:rsid w:val="00673596"/>
    <w:rsid w:val="0067440B"/>
    <w:rsid w:val="00674E42"/>
    <w:rsid w:val="00676563"/>
    <w:rsid w:val="006766AD"/>
    <w:rsid w:val="006813F8"/>
    <w:rsid w:val="00682112"/>
    <w:rsid w:val="006828A9"/>
    <w:rsid w:val="00682BA6"/>
    <w:rsid w:val="00682E8F"/>
    <w:rsid w:val="00684026"/>
    <w:rsid w:val="00684467"/>
    <w:rsid w:val="006844F5"/>
    <w:rsid w:val="00686204"/>
    <w:rsid w:val="00686957"/>
    <w:rsid w:val="00686FE7"/>
    <w:rsid w:val="006872BA"/>
    <w:rsid w:val="006872C4"/>
    <w:rsid w:val="00690795"/>
    <w:rsid w:val="00691648"/>
    <w:rsid w:val="006917D7"/>
    <w:rsid w:val="00691DD2"/>
    <w:rsid w:val="0069434C"/>
    <w:rsid w:val="00694F0D"/>
    <w:rsid w:val="00694F44"/>
    <w:rsid w:val="00695805"/>
    <w:rsid w:val="00695C4A"/>
    <w:rsid w:val="0069688A"/>
    <w:rsid w:val="00696EF9"/>
    <w:rsid w:val="00696F51"/>
    <w:rsid w:val="00697988"/>
    <w:rsid w:val="006979A5"/>
    <w:rsid w:val="00697E7E"/>
    <w:rsid w:val="006A016F"/>
    <w:rsid w:val="006A0887"/>
    <w:rsid w:val="006A0966"/>
    <w:rsid w:val="006A0DF7"/>
    <w:rsid w:val="006A1888"/>
    <w:rsid w:val="006A2333"/>
    <w:rsid w:val="006A246C"/>
    <w:rsid w:val="006A2B70"/>
    <w:rsid w:val="006A3CC5"/>
    <w:rsid w:val="006A3FCA"/>
    <w:rsid w:val="006A4321"/>
    <w:rsid w:val="006A43D9"/>
    <w:rsid w:val="006A6B99"/>
    <w:rsid w:val="006A71EC"/>
    <w:rsid w:val="006A7A60"/>
    <w:rsid w:val="006A7E5F"/>
    <w:rsid w:val="006B01BC"/>
    <w:rsid w:val="006B0D46"/>
    <w:rsid w:val="006B14BE"/>
    <w:rsid w:val="006B1867"/>
    <w:rsid w:val="006B261B"/>
    <w:rsid w:val="006B2826"/>
    <w:rsid w:val="006B2C90"/>
    <w:rsid w:val="006B35E6"/>
    <w:rsid w:val="006B465A"/>
    <w:rsid w:val="006B4A0A"/>
    <w:rsid w:val="006B4AD9"/>
    <w:rsid w:val="006B58A9"/>
    <w:rsid w:val="006B6DD0"/>
    <w:rsid w:val="006B7CCE"/>
    <w:rsid w:val="006C0399"/>
    <w:rsid w:val="006C2012"/>
    <w:rsid w:val="006C254E"/>
    <w:rsid w:val="006C2A83"/>
    <w:rsid w:val="006C2A8E"/>
    <w:rsid w:val="006C3255"/>
    <w:rsid w:val="006C3A7D"/>
    <w:rsid w:val="006C3F26"/>
    <w:rsid w:val="006C4399"/>
    <w:rsid w:val="006C53E7"/>
    <w:rsid w:val="006C568B"/>
    <w:rsid w:val="006C59AD"/>
    <w:rsid w:val="006C6582"/>
    <w:rsid w:val="006C67EE"/>
    <w:rsid w:val="006C74EB"/>
    <w:rsid w:val="006D060C"/>
    <w:rsid w:val="006D0C1D"/>
    <w:rsid w:val="006D0D17"/>
    <w:rsid w:val="006D1A9E"/>
    <w:rsid w:val="006D1BDB"/>
    <w:rsid w:val="006D2651"/>
    <w:rsid w:val="006D28AB"/>
    <w:rsid w:val="006D3716"/>
    <w:rsid w:val="006D3C7D"/>
    <w:rsid w:val="006D4659"/>
    <w:rsid w:val="006D56A4"/>
    <w:rsid w:val="006D5AC1"/>
    <w:rsid w:val="006D5D5F"/>
    <w:rsid w:val="006D5D71"/>
    <w:rsid w:val="006D68FB"/>
    <w:rsid w:val="006E0C9D"/>
    <w:rsid w:val="006E2868"/>
    <w:rsid w:val="006E2D15"/>
    <w:rsid w:val="006E33FC"/>
    <w:rsid w:val="006E3A72"/>
    <w:rsid w:val="006E449C"/>
    <w:rsid w:val="006E4BB6"/>
    <w:rsid w:val="006E5396"/>
    <w:rsid w:val="006E7B7D"/>
    <w:rsid w:val="006F0BC9"/>
    <w:rsid w:val="006F16CB"/>
    <w:rsid w:val="006F1E8D"/>
    <w:rsid w:val="006F218B"/>
    <w:rsid w:val="006F21C4"/>
    <w:rsid w:val="006F306C"/>
    <w:rsid w:val="006F42D2"/>
    <w:rsid w:val="006F63A5"/>
    <w:rsid w:val="006F652C"/>
    <w:rsid w:val="006F7AE2"/>
    <w:rsid w:val="007008CF"/>
    <w:rsid w:val="00700F25"/>
    <w:rsid w:val="0070142B"/>
    <w:rsid w:val="0070191D"/>
    <w:rsid w:val="00701EF7"/>
    <w:rsid w:val="0070276E"/>
    <w:rsid w:val="00702F8F"/>
    <w:rsid w:val="00703598"/>
    <w:rsid w:val="007052FF"/>
    <w:rsid w:val="0070641F"/>
    <w:rsid w:val="00706F57"/>
    <w:rsid w:val="007073ED"/>
    <w:rsid w:val="007079FC"/>
    <w:rsid w:val="00710360"/>
    <w:rsid w:val="00710C1C"/>
    <w:rsid w:val="00710CC1"/>
    <w:rsid w:val="00711953"/>
    <w:rsid w:val="00711A36"/>
    <w:rsid w:val="00711B25"/>
    <w:rsid w:val="007125D3"/>
    <w:rsid w:val="00712BD3"/>
    <w:rsid w:val="00712BE4"/>
    <w:rsid w:val="00713C87"/>
    <w:rsid w:val="00714C26"/>
    <w:rsid w:val="00715047"/>
    <w:rsid w:val="0071529C"/>
    <w:rsid w:val="0071538A"/>
    <w:rsid w:val="00716E6E"/>
    <w:rsid w:val="007170DA"/>
    <w:rsid w:val="007172AD"/>
    <w:rsid w:val="00717546"/>
    <w:rsid w:val="007177C2"/>
    <w:rsid w:val="00717C0C"/>
    <w:rsid w:val="00720268"/>
    <w:rsid w:val="007206F9"/>
    <w:rsid w:val="00720801"/>
    <w:rsid w:val="0072138A"/>
    <w:rsid w:val="00721767"/>
    <w:rsid w:val="00722B1B"/>
    <w:rsid w:val="00722B72"/>
    <w:rsid w:val="00723130"/>
    <w:rsid w:val="0072359E"/>
    <w:rsid w:val="00723739"/>
    <w:rsid w:val="0072416F"/>
    <w:rsid w:val="007249CC"/>
    <w:rsid w:val="00724F24"/>
    <w:rsid w:val="00727186"/>
    <w:rsid w:val="007271F5"/>
    <w:rsid w:val="007276F8"/>
    <w:rsid w:val="00727C94"/>
    <w:rsid w:val="00727F1A"/>
    <w:rsid w:val="00731B0A"/>
    <w:rsid w:val="00731EAE"/>
    <w:rsid w:val="00732DF9"/>
    <w:rsid w:val="00733073"/>
    <w:rsid w:val="00733AFE"/>
    <w:rsid w:val="00734355"/>
    <w:rsid w:val="00734C98"/>
    <w:rsid w:val="00735033"/>
    <w:rsid w:val="00735328"/>
    <w:rsid w:val="00735E05"/>
    <w:rsid w:val="0073634A"/>
    <w:rsid w:val="0073685B"/>
    <w:rsid w:val="00740327"/>
    <w:rsid w:val="00740DDE"/>
    <w:rsid w:val="00741865"/>
    <w:rsid w:val="00741FEC"/>
    <w:rsid w:val="00742C13"/>
    <w:rsid w:val="00743389"/>
    <w:rsid w:val="00743D3E"/>
    <w:rsid w:val="007449BF"/>
    <w:rsid w:val="007463FE"/>
    <w:rsid w:val="00746BC0"/>
    <w:rsid w:val="00746E18"/>
    <w:rsid w:val="00746FA7"/>
    <w:rsid w:val="007476E1"/>
    <w:rsid w:val="007507A0"/>
    <w:rsid w:val="007510B4"/>
    <w:rsid w:val="00752142"/>
    <w:rsid w:val="007523F9"/>
    <w:rsid w:val="00752B3A"/>
    <w:rsid w:val="00752B74"/>
    <w:rsid w:val="0075357E"/>
    <w:rsid w:val="00753B29"/>
    <w:rsid w:val="00754DEE"/>
    <w:rsid w:val="007553E1"/>
    <w:rsid w:val="0075561A"/>
    <w:rsid w:val="00755E38"/>
    <w:rsid w:val="00756ADB"/>
    <w:rsid w:val="007573E8"/>
    <w:rsid w:val="00760357"/>
    <w:rsid w:val="00760618"/>
    <w:rsid w:val="00760C4E"/>
    <w:rsid w:val="00760C93"/>
    <w:rsid w:val="00760F9E"/>
    <w:rsid w:val="007616E6"/>
    <w:rsid w:val="0076178D"/>
    <w:rsid w:val="007627BE"/>
    <w:rsid w:val="00762D62"/>
    <w:rsid w:val="00763910"/>
    <w:rsid w:val="00764F03"/>
    <w:rsid w:val="00765987"/>
    <w:rsid w:val="00765B1A"/>
    <w:rsid w:val="00765DC1"/>
    <w:rsid w:val="007676D8"/>
    <w:rsid w:val="00767730"/>
    <w:rsid w:val="007712F7"/>
    <w:rsid w:val="00771818"/>
    <w:rsid w:val="00771C6E"/>
    <w:rsid w:val="00772764"/>
    <w:rsid w:val="00772F86"/>
    <w:rsid w:val="00773E4D"/>
    <w:rsid w:val="00774115"/>
    <w:rsid w:val="007759F4"/>
    <w:rsid w:val="00775CD0"/>
    <w:rsid w:val="00776505"/>
    <w:rsid w:val="00776A29"/>
    <w:rsid w:val="00777335"/>
    <w:rsid w:val="00777CB2"/>
    <w:rsid w:val="00780000"/>
    <w:rsid w:val="00780140"/>
    <w:rsid w:val="007821EB"/>
    <w:rsid w:val="007843F2"/>
    <w:rsid w:val="007846FA"/>
    <w:rsid w:val="00785A9F"/>
    <w:rsid w:val="00786AA8"/>
    <w:rsid w:val="00786CFD"/>
    <w:rsid w:val="0078709A"/>
    <w:rsid w:val="0078718C"/>
    <w:rsid w:val="00787EB7"/>
    <w:rsid w:val="00787F57"/>
    <w:rsid w:val="007910C4"/>
    <w:rsid w:val="007917F1"/>
    <w:rsid w:val="007925DF"/>
    <w:rsid w:val="00793218"/>
    <w:rsid w:val="007948EF"/>
    <w:rsid w:val="007962DD"/>
    <w:rsid w:val="0079647F"/>
    <w:rsid w:val="00796B7C"/>
    <w:rsid w:val="00797AFA"/>
    <w:rsid w:val="007A00B3"/>
    <w:rsid w:val="007A06F9"/>
    <w:rsid w:val="007A08AA"/>
    <w:rsid w:val="007A0A12"/>
    <w:rsid w:val="007A132D"/>
    <w:rsid w:val="007A1345"/>
    <w:rsid w:val="007A2AC5"/>
    <w:rsid w:val="007A2DDB"/>
    <w:rsid w:val="007A4BE1"/>
    <w:rsid w:val="007A5914"/>
    <w:rsid w:val="007A70BA"/>
    <w:rsid w:val="007A7301"/>
    <w:rsid w:val="007A7A2E"/>
    <w:rsid w:val="007B0D68"/>
    <w:rsid w:val="007B1097"/>
    <w:rsid w:val="007B251D"/>
    <w:rsid w:val="007B3533"/>
    <w:rsid w:val="007B37F9"/>
    <w:rsid w:val="007B4F58"/>
    <w:rsid w:val="007B528D"/>
    <w:rsid w:val="007B5398"/>
    <w:rsid w:val="007B63CA"/>
    <w:rsid w:val="007B66B3"/>
    <w:rsid w:val="007B77D1"/>
    <w:rsid w:val="007C02AC"/>
    <w:rsid w:val="007C07C7"/>
    <w:rsid w:val="007C1CD9"/>
    <w:rsid w:val="007C24EC"/>
    <w:rsid w:val="007C32EF"/>
    <w:rsid w:val="007C361D"/>
    <w:rsid w:val="007C3C65"/>
    <w:rsid w:val="007C47B9"/>
    <w:rsid w:val="007C4B84"/>
    <w:rsid w:val="007C58AD"/>
    <w:rsid w:val="007C592A"/>
    <w:rsid w:val="007C70FF"/>
    <w:rsid w:val="007C71D0"/>
    <w:rsid w:val="007C7AC8"/>
    <w:rsid w:val="007C7C25"/>
    <w:rsid w:val="007D004F"/>
    <w:rsid w:val="007D035F"/>
    <w:rsid w:val="007D05EB"/>
    <w:rsid w:val="007D06B2"/>
    <w:rsid w:val="007D0B38"/>
    <w:rsid w:val="007D1DEC"/>
    <w:rsid w:val="007D2941"/>
    <w:rsid w:val="007D3747"/>
    <w:rsid w:val="007D4019"/>
    <w:rsid w:val="007D5440"/>
    <w:rsid w:val="007D55EE"/>
    <w:rsid w:val="007D649B"/>
    <w:rsid w:val="007D6552"/>
    <w:rsid w:val="007D69EB"/>
    <w:rsid w:val="007D7E4A"/>
    <w:rsid w:val="007E0212"/>
    <w:rsid w:val="007E05E5"/>
    <w:rsid w:val="007E128F"/>
    <w:rsid w:val="007E1657"/>
    <w:rsid w:val="007E4349"/>
    <w:rsid w:val="007E4F13"/>
    <w:rsid w:val="007E5756"/>
    <w:rsid w:val="007F0D93"/>
    <w:rsid w:val="007F1017"/>
    <w:rsid w:val="007F1D0C"/>
    <w:rsid w:val="007F232E"/>
    <w:rsid w:val="007F277D"/>
    <w:rsid w:val="007F2813"/>
    <w:rsid w:val="007F2BA0"/>
    <w:rsid w:val="007F302C"/>
    <w:rsid w:val="007F351A"/>
    <w:rsid w:val="007F3A78"/>
    <w:rsid w:val="007F3DB8"/>
    <w:rsid w:val="007F4A3F"/>
    <w:rsid w:val="007F4A61"/>
    <w:rsid w:val="007F5255"/>
    <w:rsid w:val="007F54DB"/>
    <w:rsid w:val="007F56CC"/>
    <w:rsid w:val="007F5ADF"/>
    <w:rsid w:val="007F5C54"/>
    <w:rsid w:val="007F5F50"/>
    <w:rsid w:val="007F61C2"/>
    <w:rsid w:val="007F7083"/>
    <w:rsid w:val="00800AC8"/>
    <w:rsid w:val="00800C68"/>
    <w:rsid w:val="00801B83"/>
    <w:rsid w:val="00802ADC"/>
    <w:rsid w:val="0080390D"/>
    <w:rsid w:val="00803ECD"/>
    <w:rsid w:val="00804103"/>
    <w:rsid w:val="00804351"/>
    <w:rsid w:val="00804A9C"/>
    <w:rsid w:val="00805130"/>
    <w:rsid w:val="00805142"/>
    <w:rsid w:val="008054A5"/>
    <w:rsid w:val="0080566B"/>
    <w:rsid w:val="00805FCE"/>
    <w:rsid w:val="008070DC"/>
    <w:rsid w:val="00807A8B"/>
    <w:rsid w:val="00807C52"/>
    <w:rsid w:val="00807C70"/>
    <w:rsid w:val="00810775"/>
    <w:rsid w:val="008108A2"/>
    <w:rsid w:val="0081129B"/>
    <w:rsid w:val="00811383"/>
    <w:rsid w:val="00811395"/>
    <w:rsid w:val="008115D6"/>
    <w:rsid w:val="00811C62"/>
    <w:rsid w:val="00811D82"/>
    <w:rsid w:val="00812149"/>
    <w:rsid w:val="00812407"/>
    <w:rsid w:val="00812CAC"/>
    <w:rsid w:val="00813BDC"/>
    <w:rsid w:val="00814B75"/>
    <w:rsid w:val="00816182"/>
    <w:rsid w:val="00816361"/>
    <w:rsid w:val="008166EF"/>
    <w:rsid w:val="00816C13"/>
    <w:rsid w:val="00816C72"/>
    <w:rsid w:val="00816FEF"/>
    <w:rsid w:val="00817F52"/>
    <w:rsid w:val="00820164"/>
    <w:rsid w:val="008209DD"/>
    <w:rsid w:val="00820A8C"/>
    <w:rsid w:val="008215FB"/>
    <w:rsid w:val="008220CC"/>
    <w:rsid w:val="0082296B"/>
    <w:rsid w:val="00823174"/>
    <w:rsid w:val="008231BF"/>
    <w:rsid w:val="008238FE"/>
    <w:rsid w:val="0082574E"/>
    <w:rsid w:val="00825751"/>
    <w:rsid w:val="00825D0E"/>
    <w:rsid w:val="008264EB"/>
    <w:rsid w:val="008268CE"/>
    <w:rsid w:val="0082748E"/>
    <w:rsid w:val="00827C23"/>
    <w:rsid w:val="00830AEF"/>
    <w:rsid w:val="008325E7"/>
    <w:rsid w:val="00832A22"/>
    <w:rsid w:val="00832B03"/>
    <w:rsid w:val="00833A14"/>
    <w:rsid w:val="00833B05"/>
    <w:rsid w:val="00834079"/>
    <w:rsid w:val="00835A05"/>
    <w:rsid w:val="008362B4"/>
    <w:rsid w:val="00836E36"/>
    <w:rsid w:val="008375E1"/>
    <w:rsid w:val="00837707"/>
    <w:rsid w:val="00840CA2"/>
    <w:rsid w:val="00841D1C"/>
    <w:rsid w:val="0084374F"/>
    <w:rsid w:val="0084471F"/>
    <w:rsid w:val="00844A22"/>
    <w:rsid w:val="00844B71"/>
    <w:rsid w:val="008456C0"/>
    <w:rsid w:val="008465A3"/>
    <w:rsid w:val="00847703"/>
    <w:rsid w:val="0084782E"/>
    <w:rsid w:val="00847ABC"/>
    <w:rsid w:val="00847DF5"/>
    <w:rsid w:val="008528B0"/>
    <w:rsid w:val="0085309D"/>
    <w:rsid w:val="00853F16"/>
    <w:rsid w:val="0085541D"/>
    <w:rsid w:val="008555A1"/>
    <w:rsid w:val="008558F6"/>
    <w:rsid w:val="00856897"/>
    <w:rsid w:val="00856AE9"/>
    <w:rsid w:val="00856CEC"/>
    <w:rsid w:val="00856E9A"/>
    <w:rsid w:val="00857E3F"/>
    <w:rsid w:val="008602AF"/>
    <w:rsid w:val="0086075D"/>
    <w:rsid w:val="0086159D"/>
    <w:rsid w:val="00862250"/>
    <w:rsid w:val="00862502"/>
    <w:rsid w:val="00862538"/>
    <w:rsid w:val="00862CC1"/>
    <w:rsid w:val="00863031"/>
    <w:rsid w:val="0086343E"/>
    <w:rsid w:val="00863DE9"/>
    <w:rsid w:val="00864224"/>
    <w:rsid w:val="008642A7"/>
    <w:rsid w:val="008654DD"/>
    <w:rsid w:val="00865C61"/>
    <w:rsid w:val="008660D4"/>
    <w:rsid w:val="00871161"/>
    <w:rsid w:val="00871C89"/>
    <w:rsid w:val="00871FA9"/>
    <w:rsid w:val="008728E9"/>
    <w:rsid w:val="00872DE7"/>
    <w:rsid w:val="0087531D"/>
    <w:rsid w:val="00875E48"/>
    <w:rsid w:val="00876029"/>
    <w:rsid w:val="00876413"/>
    <w:rsid w:val="0087789C"/>
    <w:rsid w:val="00880153"/>
    <w:rsid w:val="00882874"/>
    <w:rsid w:val="00882E3C"/>
    <w:rsid w:val="0088308A"/>
    <w:rsid w:val="00883787"/>
    <w:rsid w:val="00883836"/>
    <w:rsid w:val="00884457"/>
    <w:rsid w:val="008853C6"/>
    <w:rsid w:val="008855E4"/>
    <w:rsid w:val="00886CD2"/>
    <w:rsid w:val="0088761B"/>
    <w:rsid w:val="00887E07"/>
    <w:rsid w:val="0089050B"/>
    <w:rsid w:val="008906B3"/>
    <w:rsid w:val="008913CF"/>
    <w:rsid w:val="00891980"/>
    <w:rsid w:val="00891E6F"/>
    <w:rsid w:val="0089275D"/>
    <w:rsid w:val="00892A36"/>
    <w:rsid w:val="00893239"/>
    <w:rsid w:val="00893DA6"/>
    <w:rsid w:val="008940FE"/>
    <w:rsid w:val="0089420E"/>
    <w:rsid w:val="00894489"/>
    <w:rsid w:val="00894CD6"/>
    <w:rsid w:val="00895181"/>
    <w:rsid w:val="00895E7E"/>
    <w:rsid w:val="008963A5"/>
    <w:rsid w:val="00896D5D"/>
    <w:rsid w:val="00897548"/>
    <w:rsid w:val="008A0093"/>
    <w:rsid w:val="008A0404"/>
    <w:rsid w:val="008A08B0"/>
    <w:rsid w:val="008A25AC"/>
    <w:rsid w:val="008A3158"/>
    <w:rsid w:val="008A3363"/>
    <w:rsid w:val="008A3371"/>
    <w:rsid w:val="008A3C3E"/>
    <w:rsid w:val="008A702E"/>
    <w:rsid w:val="008A79AF"/>
    <w:rsid w:val="008A79DE"/>
    <w:rsid w:val="008B07AF"/>
    <w:rsid w:val="008B1757"/>
    <w:rsid w:val="008B1C33"/>
    <w:rsid w:val="008B24CE"/>
    <w:rsid w:val="008B2656"/>
    <w:rsid w:val="008B2ED7"/>
    <w:rsid w:val="008B42D1"/>
    <w:rsid w:val="008B4B6F"/>
    <w:rsid w:val="008B6221"/>
    <w:rsid w:val="008B7992"/>
    <w:rsid w:val="008B7D7E"/>
    <w:rsid w:val="008C17A9"/>
    <w:rsid w:val="008C3BBA"/>
    <w:rsid w:val="008C497D"/>
    <w:rsid w:val="008C4CA1"/>
    <w:rsid w:val="008C50D9"/>
    <w:rsid w:val="008C52F4"/>
    <w:rsid w:val="008C5610"/>
    <w:rsid w:val="008C5739"/>
    <w:rsid w:val="008C7282"/>
    <w:rsid w:val="008C7C90"/>
    <w:rsid w:val="008C7ECB"/>
    <w:rsid w:val="008D1634"/>
    <w:rsid w:val="008D1912"/>
    <w:rsid w:val="008D2B11"/>
    <w:rsid w:val="008D3B86"/>
    <w:rsid w:val="008D43FD"/>
    <w:rsid w:val="008D4633"/>
    <w:rsid w:val="008D4755"/>
    <w:rsid w:val="008D47E5"/>
    <w:rsid w:val="008D4C3D"/>
    <w:rsid w:val="008D5053"/>
    <w:rsid w:val="008D6B15"/>
    <w:rsid w:val="008D7193"/>
    <w:rsid w:val="008D743C"/>
    <w:rsid w:val="008E0D3C"/>
    <w:rsid w:val="008E0F4D"/>
    <w:rsid w:val="008E10A3"/>
    <w:rsid w:val="008E1B9E"/>
    <w:rsid w:val="008E39B9"/>
    <w:rsid w:val="008E4AB9"/>
    <w:rsid w:val="008E55AB"/>
    <w:rsid w:val="008E667D"/>
    <w:rsid w:val="008F07EC"/>
    <w:rsid w:val="008F120A"/>
    <w:rsid w:val="008F27E0"/>
    <w:rsid w:val="008F32E9"/>
    <w:rsid w:val="008F390D"/>
    <w:rsid w:val="008F48EB"/>
    <w:rsid w:val="008F4F0B"/>
    <w:rsid w:val="008F732A"/>
    <w:rsid w:val="00900715"/>
    <w:rsid w:val="00901C06"/>
    <w:rsid w:val="00903C56"/>
    <w:rsid w:val="00903D9D"/>
    <w:rsid w:val="00904413"/>
    <w:rsid w:val="009046C4"/>
    <w:rsid w:val="00904BD0"/>
    <w:rsid w:val="009062A5"/>
    <w:rsid w:val="00907699"/>
    <w:rsid w:val="00910FA7"/>
    <w:rsid w:val="00911272"/>
    <w:rsid w:val="00911339"/>
    <w:rsid w:val="00911628"/>
    <w:rsid w:val="0091229D"/>
    <w:rsid w:val="0091341C"/>
    <w:rsid w:val="009135D6"/>
    <w:rsid w:val="009138A7"/>
    <w:rsid w:val="00914C77"/>
    <w:rsid w:val="0092154F"/>
    <w:rsid w:val="00921569"/>
    <w:rsid w:val="00921713"/>
    <w:rsid w:val="00921ACB"/>
    <w:rsid w:val="00921BF6"/>
    <w:rsid w:val="0092369B"/>
    <w:rsid w:val="00923F8C"/>
    <w:rsid w:val="009247BF"/>
    <w:rsid w:val="0092770F"/>
    <w:rsid w:val="00927BDB"/>
    <w:rsid w:val="0093026C"/>
    <w:rsid w:val="009306ED"/>
    <w:rsid w:val="0093093F"/>
    <w:rsid w:val="0093126F"/>
    <w:rsid w:val="00931499"/>
    <w:rsid w:val="0093187D"/>
    <w:rsid w:val="00931DE3"/>
    <w:rsid w:val="009324F8"/>
    <w:rsid w:val="00932B7C"/>
    <w:rsid w:val="009331A6"/>
    <w:rsid w:val="00934988"/>
    <w:rsid w:val="0093593E"/>
    <w:rsid w:val="00937089"/>
    <w:rsid w:val="0093747B"/>
    <w:rsid w:val="00937998"/>
    <w:rsid w:val="00937DBA"/>
    <w:rsid w:val="00941CA9"/>
    <w:rsid w:val="00941CDE"/>
    <w:rsid w:val="00942652"/>
    <w:rsid w:val="00943765"/>
    <w:rsid w:val="00943DC7"/>
    <w:rsid w:val="00943E95"/>
    <w:rsid w:val="0094450F"/>
    <w:rsid w:val="00944F8A"/>
    <w:rsid w:val="0094517F"/>
    <w:rsid w:val="009468DB"/>
    <w:rsid w:val="009502B7"/>
    <w:rsid w:val="00950D4F"/>
    <w:rsid w:val="00950E5D"/>
    <w:rsid w:val="009510A2"/>
    <w:rsid w:val="009523EB"/>
    <w:rsid w:val="009524A8"/>
    <w:rsid w:val="0095289D"/>
    <w:rsid w:val="00952A4A"/>
    <w:rsid w:val="00953257"/>
    <w:rsid w:val="0095474C"/>
    <w:rsid w:val="00954E19"/>
    <w:rsid w:val="0095576E"/>
    <w:rsid w:val="00955FE0"/>
    <w:rsid w:val="00957D92"/>
    <w:rsid w:val="009604BA"/>
    <w:rsid w:val="009612BB"/>
    <w:rsid w:val="00961976"/>
    <w:rsid w:val="0096259A"/>
    <w:rsid w:val="00962CB9"/>
    <w:rsid w:val="00962F5F"/>
    <w:rsid w:val="0096411F"/>
    <w:rsid w:val="00964312"/>
    <w:rsid w:val="0096452B"/>
    <w:rsid w:val="009655D5"/>
    <w:rsid w:val="0096562F"/>
    <w:rsid w:val="00965B8A"/>
    <w:rsid w:val="00965C5A"/>
    <w:rsid w:val="0096602A"/>
    <w:rsid w:val="009705A9"/>
    <w:rsid w:val="0097071F"/>
    <w:rsid w:val="00971365"/>
    <w:rsid w:val="00971615"/>
    <w:rsid w:val="009717AC"/>
    <w:rsid w:val="009747D7"/>
    <w:rsid w:val="009751C1"/>
    <w:rsid w:val="009757C9"/>
    <w:rsid w:val="00975FE8"/>
    <w:rsid w:val="00976527"/>
    <w:rsid w:val="00976D19"/>
    <w:rsid w:val="0097706F"/>
    <w:rsid w:val="009808A1"/>
    <w:rsid w:val="009811F1"/>
    <w:rsid w:val="00981B3D"/>
    <w:rsid w:val="009821E9"/>
    <w:rsid w:val="0098262F"/>
    <w:rsid w:val="00982D64"/>
    <w:rsid w:val="009831FA"/>
    <w:rsid w:val="00983E57"/>
    <w:rsid w:val="00984E46"/>
    <w:rsid w:val="00985DE2"/>
    <w:rsid w:val="009861C8"/>
    <w:rsid w:val="009863C3"/>
    <w:rsid w:val="0098675D"/>
    <w:rsid w:val="00987B3A"/>
    <w:rsid w:val="00987BA4"/>
    <w:rsid w:val="0099097D"/>
    <w:rsid w:val="00991940"/>
    <w:rsid w:val="0099205D"/>
    <w:rsid w:val="0099268D"/>
    <w:rsid w:val="009926E0"/>
    <w:rsid w:val="00993A7F"/>
    <w:rsid w:val="00993B61"/>
    <w:rsid w:val="00994389"/>
    <w:rsid w:val="0099451E"/>
    <w:rsid w:val="00994A64"/>
    <w:rsid w:val="009956C3"/>
    <w:rsid w:val="00995978"/>
    <w:rsid w:val="00996B1A"/>
    <w:rsid w:val="009A1062"/>
    <w:rsid w:val="009A18F6"/>
    <w:rsid w:val="009A1B61"/>
    <w:rsid w:val="009A2010"/>
    <w:rsid w:val="009A2675"/>
    <w:rsid w:val="009A275F"/>
    <w:rsid w:val="009A2AC5"/>
    <w:rsid w:val="009A2DCC"/>
    <w:rsid w:val="009A2E2F"/>
    <w:rsid w:val="009A3145"/>
    <w:rsid w:val="009A360C"/>
    <w:rsid w:val="009A577F"/>
    <w:rsid w:val="009A5ABC"/>
    <w:rsid w:val="009A5E88"/>
    <w:rsid w:val="009A7F10"/>
    <w:rsid w:val="009B04C1"/>
    <w:rsid w:val="009B069E"/>
    <w:rsid w:val="009B0D35"/>
    <w:rsid w:val="009B3704"/>
    <w:rsid w:val="009B3E26"/>
    <w:rsid w:val="009B42DF"/>
    <w:rsid w:val="009B4615"/>
    <w:rsid w:val="009B61AB"/>
    <w:rsid w:val="009B6806"/>
    <w:rsid w:val="009C052A"/>
    <w:rsid w:val="009C1271"/>
    <w:rsid w:val="009C13A3"/>
    <w:rsid w:val="009C1702"/>
    <w:rsid w:val="009C1A3E"/>
    <w:rsid w:val="009C2E4E"/>
    <w:rsid w:val="009C30EC"/>
    <w:rsid w:val="009C36A4"/>
    <w:rsid w:val="009C3706"/>
    <w:rsid w:val="009C3A3A"/>
    <w:rsid w:val="009C3B1B"/>
    <w:rsid w:val="009C426B"/>
    <w:rsid w:val="009C426D"/>
    <w:rsid w:val="009C6CEA"/>
    <w:rsid w:val="009C6F4E"/>
    <w:rsid w:val="009C7B85"/>
    <w:rsid w:val="009D0254"/>
    <w:rsid w:val="009D030E"/>
    <w:rsid w:val="009D1251"/>
    <w:rsid w:val="009D19E4"/>
    <w:rsid w:val="009D1A64"/>
    <w:rsid w:val="009D2550"/>
    <w:rsid w:val="009D2887"/>
    <w:rsid w:val="009D3AE4"/>
    <w:rsid w:val="009D3EDA"/>
    <w:rsid w:val="009D413B"/>
    <w:rsid w:val="009D4AC2"/>
    <w:rsid w:val="009D5B91"/>
    <w:rsid w:val="009D76D7"/>
    <w:rsid w:val="009D792E"/>
    <w:rsid w:val="009E0DFE"/>
    <w:rsid w:val="009E0ED9"/>
    <w:rsid w:val="009E1613"/>
    <w:rsid w:val="009E1701"/>
    <w:rsid w:val="009E31F6"/>
    <w:rsid w:val="009E3BE9"/>
    <w:rsid w:val="009E4B9F"/>
    <w:rsid w:val="009E4C07"/>
    <w:rsid w:val="009E5084"/>
    <w:rsid w:val="009E777F"/>
    <w:rsid w:val="009E7A90"/>
    <w:rsid w:val="009F04C3"/>
    <w:rsid w:val="009F16BA"/>
    <w:rsid w:val="009F3FA3"/>
    <w:rsid w:val="009F4111"/>
    <w:rsid w:val="009F5362"/>
    <w:rsid w:val="009F6120"/>
    <w:rsid w:val="009F63FB"/>
    <w:rsid w:val="009F67B6"/>
    <w:rsid w:val="009F726B"/>
    <w:rsid w:val="009F7623"/>
    <w:rsid w:val="00A008C4"/>
    <w:rsid w:val="00A00D76"/>
    <w:rsid w:val="00A01184"/>
    <w:rsid w:val="00A01449"/>
    <w:rsid w:val="00A01604"/>
    <w:rsid w:val="00A037C2"/>
    <w:rsid w:val="00A03D43"/>
    <w:rsid w:val="00A04380"/>
    <w:rsid w:val="00A04786"/>
    <w:rsid w:val="00A04B02"/>
    <w:rsid w:val="00A04B2B"/>
    <w:rsid w:val="00A0519A"/>
    <w:rsid w:val="00A0539E"/>
    <w:rsid w:val="00A05472"/>
    <w:rsid w:val="00A05C32"/>
    <w:rsid w:val="00A0653F"/>
    <w:rsid w:val="00A06AD2"/>
    <w:rsid w:val="00A0716B"/>
    <w:rsid w:val="00A07A32"/>
    <w:rsid w:val="00A11CD0"/>
    <w:rsid w:val="00A12449"/>
    <w:rsid w:val="00A13948"/>
    <w:rsid w:val="00A140E1"/>
    <w:rsid w:val="00A140EE"/>
    <w:rsid w:val="00A1555B"/>
    <w:rsid w:val="00A155C5"/>
    <w:rsid w:val="00A16AD8"/>
    <w:rsid w:val="00A200E8"/>
    <w:rsid w:val="00A2021E"/>
    <w:rsid w:val="00A2063D"/>
    <w:rsid w:val="00A2066E"/>
    <w:rsid w:val="00A21205"/>
    <w:rsid w:val="00A216CD"/>
    <w:rsid w:val="00A21C95"/>
    <w:rsid w:val="00A21CF3"/>
    <w:rsid w:val="00A23EC3"/>
    <w:rsid w:val="00A24813"/>
    <w:rsid w:val="00A24F99"/>
    <w:rsid w:val="00A2536B"/>
    <w:rsid w:val="00A26CA1"/>
    <w:rsid w:val="00A27AEC"/>
    <w:rsid w:val="00A302CB"/>
    <w:rsid w:val="00A30893"/>
    <w:rsid w:val="00A31727"/>
    <w:rsid w:val="00A31C6F"/>
    <w:rsid w:val="00A31E1A"/>
    <w:rsid w:val="00A320DB"/>
    <w:rsid w:val="00A32806"/>
    <w:rsid w:val="00A33788"/>
    <w:rsid w:val="00A340A5"/>
    <w:rsid w:val="00A354ED"/>
    <w:rsid w:val="00A35D16"/>
    <w:rsid w:val="00A35D4C"/>
    <w:rsid w:val="00A36C85"/>
    <w:rsid w:val="00A36F3C"/>
    <w:rsid w:val="00A37BCD"/>
    <w:rsid w:val="00A4013D"/>
    <w:rsid w:val="00A4066D"/>
    <w:rsid w:val="00A40F63"/>
    <w:rsid w:val="00A41689"/>
    <w:rsid w:val="00A41DCB"/>
    <w:rsid w:val="00A41FFC"/>
    <w:rsid w:val="00A42592"/>
    <w:rsid w:val="00A430CC"/>
    <w:rsid w:val="00A43B46"/>
    <w:rsid w:val="00A43C59"/>
    <w:rsid w:val="00A43DCF"/>
    <w:rsid w:val="00A44177"/>
    <w:rsid w:val="00A47114"/>
    <w:rsid w:val="00A50ECD"/>
    <w:rsid w:val="00A518F3"/>
    <w:rsid w:val="00A52729"/>
    <w:rsid w:val="00A5301B"/>
    <w:rsid w:val="00A53675"/>
    <w:rsid w:val="00A536A7"/>
    <w:rsid w:val="00A5399C"/>
    <w:rsid w:val="00A551A5"/>
    <w:rsid w:val="00A55680"/>
    <w:rsid w:val="00A55AE3"/>
    <w:rsid w:val="00A560E3"/>
    <w:rsid w:val="00A564D7"/>
    <w:rsid w:val="00A56B6A"/>
    <w:rsid w:val="00A578DC"/>
    <w:rsid w:val="00A57EAB"/>
    <w:rsid w:val="00A6073F"/>
    <w:rsid w:val="00A60E39"/>
    <w:rsid w:val="00A63240"/>
    <w:rsid w:val="00A63A34"/>
    <w:rsid w:val="00A640E2"/>
    <w:rsid w:val="00A6444D"/>
    <w:rsid w:val="00A64BA6"/>
    <w:rsid w:val="00A64D65"/>
    <w:rsid w:val="00A6583D"/>
    <w:rsid w:val="00A65B03"/>
    <w:rsid w:val="00A66048"/>
    <w:rsid w:val="00A66315"/>
    <w:rsid w:val="00A6725B"/>
    <w:rsid w:val="00A675F6"/>
    <w:rsid w:val="00A67931"/>
    <w:rsid w:val="00A70605"/>
    <w:rsid w:val="00A708A7"/>
    <w:rsid w:val="00A70CFC"/>
    <w:rsid w:val="00A72885"/>
    <w:rsid w:val="00A728FA"/>
    <w:rsid w:val="00A73134"/>
    <w:rsid w:val="00A7365A"/>
    <w:rsid w:val="00A73B5F"/>
    <w:rsid w:val="00A740B9"/>
    <w:rsid w:val="00A75407"/>
    <w:rsid w:val="00A76001"/>
    <w:rsid w:val="00A7644E"/>
    <w:rsid w:val="00A777B2"/>
    <w:rsid w:val="00A77F45"/>
    <w:rsid w:val="00A80154"/>
    <w:rsid w:val="00A8165F"/>
    <w:rsid w:val="00A817AA"/>
    <w:rsid w:val="00A825D4"/>
    <w:rsid w:val="00A828F6"/>
    <w:rsid w:val="00A82B73"/>
    <w:rsid w:val="00A83636"/>
    <w:rsid w:val="00A83CBD"/>
    <w:rsid w:val="00A859E2"/>
    <w:rsid w:val="00A86E8B"/>
    <w:rsid w:val="00A87164"/>
    <w:rsid w:val="00A871A9"/>
    <w:rsid w:val="00A871C2"/>
    <w:rsid w:val="00A87359"/>
    <w:rsid w:val="00A87BA5"/>
    <w:rsid w:val="00A906A5"/>
    <w:rsid w:val="00A90C6B"/>
    <w:rsid w:val="00A93072"/>
    <w:rsid w:val="00A935A4"/>
    <w:rsid w:val="00A938BD"/>
    <w:rsid w:val="00A93953"/>
    <w:rsid w:val="00A93E26"/>
    <w:rsid w:val="00A95491"/>
    <w:rsid w:val="00A959D8"/>
    <w:rsid w:val="00A9656B"/>
    <w:rsid w:val="00A968B2"/>
    <w:rsid w:val="00A9756F"/>
    <w:rsid w:val="00AA113D"/>
    <w:rsid w:val="00AA27C3"/>
    <w:rsid w:val="00AA33FC"/>
    <w:rsid w:val="00AA35EB"/>
    <w:rsid w:val="00AA55DC"/>
    <w:rsid w:val="00AA5A56"/>
    <w:rsid w:val="00AA5BB3"/>
    <w:rsid w:val="00AA5E98"/>
    <w:rsid w:val="00AA5FEB"/>
    <w:rsid w:val="00AA6199"/>
    <w:rsid w:val="00AA64C1"/>
    <w:rsid w:val="00AA6BD5"/>
    <w:rsid w:val="00AA6BD8"/>
    <w:rsid w:val="00AA6C7D"/>
    <w:rsid w:val="00AA7FD6"/>
    <w:rsid w:val="00AB042A"/>
    <w:rsid w:val="00AB0831"/>
    <w:rsid w:val="00AB11AD"/>
    <w:rsid w:val="00AB139E"/>
    <w:rsid w:val="00AB17BD"/>
    <w:rsid w:val="00AB1856"/>
    <w:rsid w:val="00AB19EF"/>
    <w:rsid w:val="00AB1C77"/>
    <w:rsid w:val="00AB2495"/>
    <w:rsid w:val="00AB2D34"/>
    <w:rsid w:val="00AB3430"/>
    <w:rsid w:val="00AB37B9"/>
    <w:rsid w:val="00AB3CC0"/>
    <w:rsid w:val="00AB4AD1"/>
    <w:rsid w:val="00AB5628"/>
    <w:rsid w:val="00AB584F"/>
    <w:rsid w:val="00AB5E07"/>
    <w:rsid w:val="00AB6839"/>
    <w:rsid w:val="00AB79F4"/>
    <w:rsid w:val="00AB7CFA"/>
    <w:rsid w:val="00AC0A35"/>
    <w:rsid w:val="00AC1D50"/>
    <w:rsid w:val="00AC24D1"/>
    <w:rsid w:val="00AC47A1"/>
    <w:rsid w:val="00AC4EE0"/>
    <w:rsid w:val="00AC52D4"/>
    <w:rsid w:val="00AC5B34"/>
    <w:rsid w:val="00AC5B42"/>
    <w:rsid w:val="00AC5B48"/>
    <w:rsid w:val="00AC6A12"/>
    <w:rsid w:val="00AD076B"/>
    <w:rsid w:val="00AD1450"/>
    <w:rsid w:val="00AD15E8"/>
    <w:rsid w:val="00AD1959"/>
    <w:rsid w:val="00AD1CBE"/>
    <w:rsid w:val="00AD2779"/>
    <w:rsid w:val="00AD3357"/>
    <w:rsid w:val="00AD34AC"/>
    <w:rsid w:val="00AD356D"/>
    <w:rsid w:val="00AD4A4C"/>
    <w:rsid w:val="00AD4D89"/>
    <w:rsid w:val="00AD56DB"/>
    <w:rsid w:val="00AD6502"/>
    <w:rsid w:val="00AD6A02"/>
    <w:rsid w:val="00AE0695"/>
    <w:rsid w:val="00AE0CDD"/>
    <w:rsid w:val="00AE195A"/>
    <w:rsid w:val="00AE2908"/>
    <w:rsid w:val="00AE32A7"/>
    <w:rsid w:val="00AE34ED"/>
    <w:rsid w:val="00AE3E7E"/>
    <w:rsid w:val="00AE3F7B"/>
    <w:rsid w:val="00AE4BE8"/>
    <w:rsid w:val="00AE57E7"/>
    <w:rsid w:val="00AE6294"/>
    <w:rsid w:val="00AE7E53"/>
    <w:rsid w:val="00AE7F30"/>
    <w:rsid w:val="00AF01CE"/>
    <w:rsid w:val="00AF1315"/>
    <w:rsid w:val="00AF19BF"/>
    <w:rsid w:val="00AF1AFB"/>
    <w:rsid w:val="00AF2D59"/>
    <w:rsid w:val="00AF2DC3"/>
    <w:rsid w:val="00AF633A"/>
    <w:rsid w:val="00AF7FFA"/>
    <w:rsid w:val="00B00626"/>
    <w:rsid w:val="00B00842"/>
    <w:rsid w:val="00B00EE8"/>
    <w:rsid w:val="00B033E5"/>
    <w:rsid w:val="00B03A63"/>
    <w:rsid w:val="00B054B0"/>
    <w:rsid w:val="00B06AA4"/>
    <w:rsid w:val="00B07679"/>
    <w:rsid w:val="00B10E15"/>
    <w:rsid w:val="00B11488"/>
    <w:rsid w:val="00B11C94"/>
    <w:rsid w:val="00B12013"/>
    <w:rsid w:val="00B129A4"/>
    <w:rsid w:val="00B12C5C"/>
    <w:rsid w:val="00B138C9"/>
    <w:rsid w:val="00B14B8A"/>
    <w:rsid w:val="00B14DA8"/>
    <w:rsid w:val="00B15007"/>
    <w:rsid w:val="00B15279"/>
    <w:rsid w:val="00B15A30"/>
    <w:rsid w:val="00B15CC5"/>
    <w:rsid w:val="00B16616"/>
    <w:rsid w:val="00B17462"/>
    <w:rsid w:val="00B17960"/>
    <w:rsid w:val="00B201A4"/>
    <w:rsid w:val="00B201D1"/>
    <w:rsid w:val="00B20738"/>
    <w:rsid w:val="00B21331"/>
    <w:rsid w:val="00B213A6"/>
    <w:rsid w:val="00B22970"/>
    <w:rsid w:val="00B234F0"/>
    <w:rsid w:val="00B235B0"/>
    <w:rsid w:val="00B240C0"/>
    <w:rsid w:val="00B245E2"/>
    <w:rsid w:val="00B24DF6"/>
    <w:rsid w:val="00B269E7"/>
    <w:rsid w:val="00B27153"/>
    <w:rsid w:val="00B2773C"/>
    <w:rsid w:val="00B27A61"/>
    <w:rsid w:val="00B301F1"/>
    <w:rsid w:val="00B3074D"/>
    <w:rsid w:val="00B32EF8"/>
    <w:rsid w:val="00B34FE2"/>
    <w:rsid w:val="00B35166"/>
    <w:rsid w:val="00B355D0"/>
    <w:rsid w:val="00B357D8"/>
    <w:rsid w:val="00B359AD"/>
    <w:rsid w:val="00B35EDB"/>
    <w:rsid w:val="00B360F4"/>
    <w:rsid w:val="00B3644D"/>
    <w:rsid w:val="00B36A00"/>
    <w:rsid w:val="00B3792B"/>
    <w:rsid w:val="00B37BFC"/>
    <w:rsid w:val="00B40358"/>
    <w:rsid w:val="00B41614"/>
    <w:rsid w:val="00B42851"/>
    <w:rsid w:val="00B42BB9"/>
    <w:rsid w:val="00B42F80"/>
    <w:rsid w:val="00B43240"/>
    <w:rsid w:val="00B435CB"/>
    <w:rsid w:val="00B44144"/>
    <w:rsid w:val="00B45836"/>
    <w:rsid w:val="00B465EC"/>
    <w:rsid w:val="00B505C8"/>
    <w:rsid w:val="00B50DB8"/>
    <w:rsid w:val="00B53026"/>
    <w:rsid w:val="00B53654"/>
    <w:rsid w:val="00B53905"/>
    <w:rsid w:val="00B53CF2"/>
    <w:rsid w:val="00B53FC9"/>
    <w:rsid w:val="00B546DB"/>
    <w:rsid w:val="00B54B5B"/>
    <w:rsid w:val="00B5562E"/>
    <w:rsid w:val="00B55862"/>
    <w:rsid w:val="00B55D1B"/>
    <w:rsid w:val="00B55D65"/>
    <w:rsid w:val="00B55E12"/>
    <w:rsid w:val="00B56305"/>
    <w:rsid w:val="00B56EBA"/>
    <w:rsid w:val="00B57000"/>
    <w:rsid w:val="00B57402"/>
    <w:rsid w:val="00B57428"/>
    <w:rsid w:val="00B5750B"/>
    <w:rsid w:val="00B57F26"/>
    <w:rsid w:val="00B60897"/>
    <w:rsid w:val="00B60939"/>
    <w:rsid w:val="00B60AFD"/>
    <w:rsid w:val="00B61896"/>
    <w:rsid w:val="00B6270A"/>
    <w:rsid w:val="00B62715"/>
    <w:rsid w:val="00B65294"/>
    <w:rsid w:val="00B65404"/>
    <w:rsid w:val="00B6558B"/>
    <w:rsid w:val="00B65611"/>
    <w:rsid w:val="00B66758"/>
    <w:rsid w:val="00B66814"/>
    <w:rsid w:val="00B66F7A"/>
    <w:rsid w:val="00B66FA4"/>
    <w:rsid w:val="00B677A6"/>
    <w:rsid w:val="00B70E8E"/>
    <w:rsid w:val="00B713E9"/>
    <w:rsid w:val="00B71400"/>
    <w:rsid w:val="00B71B71"/>
    <w:rsid w:val="00B7336C"/>
    <w:rsid w:val="00B735B8"/>
    <w:rsid w:val="00B737B4"/>
    <w:rsid w:val="00B737EA"/>
    <w:rsid w:val="00B742D4"/>
    <w:rsid w:val="00B76C92"/>
    <w:rsid w:val="00B80458"/>
    <w:rsid w:val="00B8092E"/>
    <w:rsid w:val="00B80EFD"/>
    <w:rsid w:val="00B818A4"/>
    <w:rsid w:val="00B830B8"/>
    <w:rsid w:val="00B83739"/>
    <w:rsid w:val="00B83AE3"/>
    <w:rsid w:val="00B84117"/>
    <w:rsid w:val="00B843B4"/>
    <w:rsid w:val="00B84899"/>
    <w:rsid w:val="00B8504D"/>
    <w:rsid w:val="00B858F0"/>
    <w:rsid w:val="00B85AA2"/>
    <w:rsid w:val="00B8649C"/>
    <w:rsid w:val="00B8695D"/>
    <w:rsid w:val="00B86C9A"/>
    <w:rsid w:val="00B87A9A"/>
    <w:rsid w:val="00B87F0A"/>
    <w:rsid w:val="00B904D9"/>
    <w:rsid w:val="00B90C91"/>
    <w:rsid w:val="00B91993"/>
    <w:rsid w:val="00B92127"/>
    <w:rsid w:val="00B92905"/>
    <w:rsid w:val="00B92D0B"/>
    <w:rsid w:val="00B945F0"/>
    <w:rsid w:val="00B94945"/>
    <w:rsid w:val="00B94B68"/>
    <w:rsid w:val="00B94DD6"/>
    <w:rsid w:val="00B96176"/>
    <w:rsid w:val="00B975A1"/>
    <w:rsid w:val="00BA099D"/>
    <w:rsid w:val="00BA0CCF"/>
    <w:rsid w:val="00BA12B3"/>
    <w:rsid w:val="00BA14F4"/>
    <w:rsid w:val="00BA322D"/>
    <w:rsid w:val="00BA3A77"/>
    <w:rsid w:val="00BA3DC0"/>
    <w:rsid w:val="00BA4F2E"/>
    <w:rsid w:val="00BA5166"/>
    <w:rsid w:val="00BA5CB1"/>
    <w:rsid w:val="00BA60E9"/>
    <w:rsid w:val="00BA63FA"/>
    <w:rsid w:val="00BA6A85"/>
    <w:rsid w:val="00BA6D06"/>
    <w:rsid w:val="00BA6DBE"/>
    <w:rsid w:val="00BA7704"/>
    <w:rsid w:val="00BB00B3"/>
    <w:rsid w:val="00BB06A6"/>
    <w:rsid w:val="00BB0BDD"/>
    <w:rsid w:val="00BB176C"/>
    <w:rsid w:val="00BB2A73"/>
    <w:rsid w:val="00BB350F"/>
    <w:rsid w:val="00BB3A45"/>
    <w:rsid w:val="00BB4582"/>
    <w:rsid w:val="00BB49DB"/>
    <w:rsid w:val="00BB4ACC"/>
    <w:rsid w:val="00BB4F47"/>
    <w:rsid w:val="00BB50A9"/>
    <w:rsid w:val="00BB703E"/>
    <w:rsid w:val="00BB732D"/>
    <w:rsid w:val="00BB73D1"/>
    <w:rsid w:val="00BB7405"/>
    <w:rsid w:val="00BB7A62"/>
    <w:rsid w:val="00BC1AFE"/>
    <w:rsid w:val="00BC1D66"/>
    <w:rsid w:val="00BC2C42"/>
    <w:rsid w:val="00BC337F"/>
    <w:rsid w:val="00BC3631"/>
    <w:rsid w:val="00BC3CB6"/>
    <w:rsid w:val="00BC3F29"/>
    <w:rsid w:val="00BC48A1"/>
    <w:rsid w:val="00BC4E46"/>
    <w:rsid w:val="00BC591F"/>
    <w:rsid w:val="00BC5C64"/>
    <w:rsid w:val="00BC6814"/>
    <w:rsid w:val="00BC696C"/>
    <w:rsid w:val="00BC6BF8"/>
    <w:rsid w:val="00BC6C60"/>
    <w:rsid w:val="00BC72EC"/>
    <w:rsid w:val="00BC7D6D"/>
    <w:rsid w:val="00BD02D1"/>
    <w:rsid w:val="00BD1FA7"/>
    <w:rsid w:val="00BD2108"/>
    <w:rsid w:val="00BD5FF3"/>
    <w:rsid w:val="00BD68A3"/>
    <w:rsid w:val="00BD6938"/>
    <w:rsid w:val="00BD6A2B"/>
    <w:rsid w:val="00BD6CF3"/>
    <w:rsid w:val="00BD7F72"/>
    <w:rsid w:val="00BE06A3"/>
    <w:rsid w:val="00BE071C"/>
    <w:rsid w:val="00BE0ECA"/>
    <w:rsid w:val="00BE2180"/>
    <w:rsid w:val="00BE21F2"/>
    <w:rsid w:val="00BE3EB6"/>
    <w:rsid w:val="00BE3FD6"/>
    <w:rsid w:val="00BE4275"/>
    <w:rsid w:val="00BE4E12"/>
    <w:rsid w:val="00BE4ED8"/>
    <w:rsid w:val="00BE5B51"/>
    <w:rsid w:val="00BE7346"/>
    <w:rsid w:val="00BE750C"/>
    <w:rsid w:val="00BE7BC2"/>
    <w:rsid w:val="00BF06AE"/>
    <w:rsid w:val="00BF0F95"/>
    <w:rsid w:val="00BF1EEB"/>
    <w:rsid w:val="00BF2433"/>
    <w:rsid w:val="00BF2A5A"/>
    <w:rsid w:val="00BF2E6E"/>
    <w:rsid w:val="00BF3929"/>
    <w:rsid w:val="00BF4220"/>
    <w:rsid w:val="00BF4A37"/>
    <w:rsid w:val="00BF5511"/>
    <w:rsid w:val="00BF61C9"/>
    <w:rsid w:val="00BF6C94"/>
    <w:rsid w:val="00C00424"/>
    <w:rsid w:val="00C00B94"/>
    <w:rsid w:val="00C00BB0"/>
    <w:rsid w:val="00C01A22"/>
    <w:rsid w:val="00C0354A"/>
    <w:rsid w:val="00C04D60"/>
    <w:rsid w:val="00C056BE"/>
    <w:rsid w:val="00C0591A"/>
    <w:rsid w:val="00C10E7C"/>
    <w:rsid w:val="00C10FCF"/>
    <w:rsid w:val="00C1179F"/>
    <w:rsid w:val="00C127B9"/>
    <w:rsid w:val="00C128FA"/>
    <w:rsid w:val="00C12C14"/>
    <w:rsid w:val="00C12E00"/>
    <w:rsid w:val="00C13343"/>
    <w:rsid w:val="00C13C4B"/>
    <w:rsid w:val="00C15F04"/>
    <w:rsid w:val="00C15FE5"/>
    <w:rsid w:val="00C16A82"/>
    <w:rsid w:val="00C16C3E"/>
    <w:rsid w:val="00C16F86"/>
    <w:rsid w:val="00C179B3"/>
    <w:rsid w:val="00C17E3F"/>
    <w:rsid w:val="00C200AA"/>
    <w:rsid w:val="00C21C7A"/>
    <w:rsid w:val="00C2323D"/>
    <w:rsid w:val="00C237ED"/>
    <w:rsid w:val="00C24632"/>
    <w:rsid w:val="00C24A50"/>
    <w:rsid w:val="00C24FBE"/>
    <w:rsid w:val="00C25418"/>
    <w:rsid w:val="00C255F7"/>
    <w:rsid w:val="00C25664"/>
    <w:rsid w:val="00C25871"/>
    <w:rsid w:val="00C25D9C"/>
    <w:rsid w:val="00C25FD5"/>
    <w:rsid w:val="00C260B7"/>
    <w:rsid w:val="00C2778B"/>
    <w:rsid w:val="00C30C68"/>
    <w:rsid w:val="00C31169"/>
    <w:rsid w:val="00C31649"/>
    <w:rsid w:val="00C336B4"/>
    <w:rsid w:val="00C33ACE"/>
    <w:rsid w:val="00C33E5C"/>
    <w:rsid w:val="00C3434C"/>
    <w:rsid w:val="00C35120"/>
    <w:rsid w:val="00C36C47"/>
    <w:rsid w:val="00C400A9"/>
    <w:rsid w:val="00C40385"/>
    <w:rsid w:val="00C413F3"/>
    <w:rsid w:val="00C41768"/>
    <w:rsid w:val="00C42359"/>
    <w:rsid w:val="00C423F3"/>
    <w:rsid w:val="00C434DC"/>
    <w:rsid w:val="00C45318"/>
    <w:rsid w:val="00C45F18"/>
    <w:rsid w:val="00C463E3"/>
    <w:rsid w:val="00C46C22"/>
    <w:rsid w:val="00C475AA"/>
    <w:rsid w:val="00C478C3"/>
    <w:rsid w:val="00C47D02"/>
    <w:rsid w:val="00C50BF3"/>
    <w:rsid w:val="00C5184C"/>
    <w:rsid w:val="00C527C7"/>
    <w:rsid w:val="00C52AC4"/>
    <w:rsid w:val="00C5343A"/>
    <w:rsid w:val="00C539AD"/>
    <w:rsid w:val="00C53C98"/>
    <w:rsid w:val="00C54106"/>
    <w:rsid w:val="00C5623B"/>
    <w:rsid w:val="00C566C1"/>
    <w:rsid w:val="00C56B7D"/>
    <w:rsid w:val="00C56FCF"/>
    <w:rsid w:val="00C572F6"/>
    <w:rsid w:val="00C573D6"/>
    <w:rsid w:val="00C57433"/>
    <w:rsid w:val="00C57B6C"/>
    <w:rsid w:val="00C605B4"/>
    <w:rsid w:val="00C61A59"/>
    <w:rsid w:val="00C6271E"/>
    <w:rsid w:val="00C628A6"/>
    <w:rsid w:val="00C64153"/>
    <w:rsid w:val="00C64344"/>
    <w:rsid w:val="00C645E9"/>
    <w:rsid w:val="00C6492E"/>
    <w:rsid w:val="00C64C65"/>
    <w:rsid w:val="00C650C2"/>
    <w:rsid w:val="00C65108"/>
    <w:rsid w:val="00C65576"/>
    <w:rsid w:val="00C66165"/>
    <w:rsid w:val="00C672DA"/>
    <w:rsid w:val="00C672EB"/>
    <w:rsid w:val="00C6769A"/>
    <w:rsid w:val="00C7060A"/>
    <w:rsid w:val="00C7151A"/>
    <w:rsid w:val="00C717E3"/>
    <w:rsid w:val="00C71C94"/>
    <w:rsid w:val="00C71F60"/>
    <w:rsid w:val="00C7209D"/>
    <w:rsid w:val="00C72241"/>
    <w:rsid w:val="00C732DF"/>
    <w:rsid w:val="00C73FF1"/>
    <w:rsid w:val="00C74F66"/>
    <w:rsid w:val="00C750C8"/>
    <w:rsid w:val="00C7526A"/>
    <w:rsid w:val="00C7560F"/>
    <w:rsid w:val="00C7583B"/>
    <w:rsid w:val="00C7617C"/>
    <w:rsid w:val="00C767A2"/>
    <w:rsid w:val="00C76B80"/>
    <w:rsid w:val="00C8058F"/>
    <w:rsid w:val="00C8079B"/>
    <w:rsid w:val="00C80A0E"/>
    <w:rsid w:val="00C81EC1"/>
    <w:rsid w:val="00C8213F"/>
    <w:rsid w:val="00C8303F"/>
    <w:rsid w:val="00C84E4F"/>
    <w:rsid w:val="00C85154"/>
    <w:rsid w:val="00C853C9"/>
    <w:rsid w:val="00C85A70"/>
    <w:rsid w:val="00C86F44"/>
    <w:rsid w:val="00C8797A"/>
    <w:rsid w:val="00C87A19"/>
    <w:rsid w:val="00C900B8"/>
    <w:rsid w:val="00C90197"/>
    <w:rsid w:val="00C90C71"/>
    <w:rsid w:val="00C918A9"/>
    <w:rsid w:val="00C918B3"/>
    <w:rsid w:val="00C91E79"/>
    <w:rsid w:val="00C91FD1"/>
    <w:rsid w:val="00C931CF"/>
    <w:rsid w:val="00C938CF"/>
    <w:rsid w:val="00C93B4D"/>
    <w:rsid w:val="00C94053"/>
    <w:rsid w:val="00C9523D"/>
    <w:rsid w:val="00C9570A"/>
    <w:rsid w:val="00C9624D"/>
    <w:rsid w:val="00C969DA"/>
    <w:rsid w:val="00C9786A"/>
    <w:rsid w:val="00CA017F"/>
    <w:rsid w:val="00CA1314"/>
    <w:rsid w:val="00CA2300"/>
    <w:rsid w:val="00CA2C77"/>
    <w:rsid w:val="00CA2F7F"/>
    <w:rsid w:val="00CA43BF"/>
    <w:rsid w:val="00CA444F"/>
    <w:rsid w:val="00CA5245"/>
    <w:rsid w:val="00CA5306"/>
    <w:rsid w:val="00CA5571"/>
    <w:rsid w:val="00CA58BC"/>
    <w:rsid w:val="00CA666E"/>
    <w:rsid w:val="00CA71F4"/>
    <w:rsid w:val="00CA7533"/>
    <w:rsid w:val="00CA7B09"/>
    <w:rsid w:val="00CB12A5"/>
    <w:rsid w:val="00CB1CAC"/>
    <w:rsid w:val="00CB264F"/>
    <w:rsid w:val="00CB2F2A"/>
    <w:rsid w:val="00CB2F9E"/>
    <w:rsid w:val="00CB3A99"/>
    <w:rsid w:val="00CB474C"/>
    <w:rsid w:val="00CB4DFD"/>
    <w:rsid w:val="00CB52F5"/>
    <w:rsid w:val="00CB5B1A"/>
    <w:rsid w:val="00CB6240"/>
    <w:rsid w:val="00CB6938"/>
    <w:rsid w:val="00CB6B22"/>
    <w:rsid w:val="00CB74EF"/>
    <w:rsid w:val="00CB7E28"/>
    <w:rsid w:val="00CB7F5F"/>
    <w:rsid w:val="00CBA83C"/>
    <w:rsid w:val="00CC1A7C"/>
    <w:rsid w:val="00CC1B39"/>
    <w:rsid w:val="00CC1BFA"/>
    <w:rsid w:val="00CC2332"/>
    <w:rsid w:val="00CC2940"/>
    <w:rsid w:val="00CC2E9F"/>
    <w:rsid w:val="00CC35A3"/>
    <w:rsid w:val="00CC35EA"/>
    <w:rsid w:val="00CC3848"/>
    <w:rsid w:val="00CC4304"/>
    <w:rsid w:val="00CC4AB0"/>
    <w:rsid w:val="00CC562D"/>
    <w:rsid w:val="00CC5635"/>
    <w:rsid w:val="00CC5708"/>
    <w:rsid w:val="00CC64ED"/>
    <w:rsid w:val="00CC6D5E"/>
    <w:rsid w:val="00CD0200"/>
    <w:rsid w:val="00CD0427"/>
    <w:rsid w:val="00CD17C6"/>
    <w:rsid w:val="00CD1813"/>
    <w:rsid w:val="00CD23BB"/>
    <w:rsid w:val="00CD382E"/>
    <w:rsid w:val="00CD3F77"/>
    <w:rsid w:val="00CD45FC"/>
    <w:rsid w:val="00CD537D"/>
    <w:rsid w:val="00CD593A"/>
    <w:rsid w:val="00CD5ECF"/>
    <w:rsid w:val="00CD648F"/>
    <w:rsid w:val="00CD6ADC"/>
    <w:rsid w:val="00CD6DB0"/>
    <w:rsid w:val="00CD7193"/>
    <w:rsid w:val="00CD7DE1"/>
    <w:rsid w:val="00CE00EC"/>
    <w:rsid w:val="00CE34A4"/>
    <w:rsid w:val="00CE38C8"/>
    <w:rsid w:val="00CE41B0"/>
    <w:rsid w:val="00CE4A01"/>
    <w:rsid w:val="00CE524F"/>
    <w:rsid w:val="00CE58CC"/>
    <w:rsid w:val="00CE5E3B"/>
    <w:rsid w:val="00CE5FCD"/>
    <w:rsid w:val="00CE6274"/>
    <w:rsid w:val="00CE6377"/>
    <w:rsid w:val="00CE6821"/>
    <w:rsid w:val="00CE77B6"/>
    <w:rsid w:val="00CF0B66"/>
    <w:rsid w:val="00CF1916"/>
    <w:rsid w:val="00CF2B8D"/>
    <w:rsid w:val="00CF2DAD"/>
    <w:rsid w:val="00CF3821"/>
    <w:rsid w:val="00CF3A1B"/>
    <w:rsid w:val="00CF4122"/>
    <w:rsid w:val="00CF456B"/>
    <w:rsid w:val="00CF4704"/>
    <w:rsid w:val="00CF4EF9"/>
    <w:rsid w:val="00CF598B"/>
    <w:rsid w:val="00CF5A22"/>
    <w:rsid w:val="00CF5EAF"/>
    <w:rsid w:val="00CF6812"/>
    <w:rsid w:val="00CF6A84"/>
    <w:rsid w:val="00CF6F31"/>
    <w:rsid w:val="00D0262E"/>
    <w:rsid w:val="00D02EB5"/>
    <w:rsid w:val="00D03679"/>
    <w:rsid w:val="00D03AB7"/>
    <w:rsid w:val="00D0443D"/>
    <w:rsid w:val="00D05C59"/>
    <w:rsid w:val="00D05E05"/>
    <w:rsid w:val="00D05E3D"/>
    <w:rsid w:val="00D06139"/>
    <w:rsid w:val="00D072D9"/>
    <w:rsid w:val="00D07B6E"/>
    <w:rsid w:val="00D108B7"/>
    <w:rsid w:val="00D10A3A"/>
    <w:rsid w:val="00D10D08"/>
    <w:rsid w:val="00D110BD"/>
    <w:rsid w:val="00D13096"/>
    <w:rsid w:val="00D13099"/>
    <w:rsid w:val="00D131E2"/>
    <w:rsid w:val="00D13675"/>
    <w:rsid w:val="00D141E1"/>
    <w:rsid w:val="00D15314"/>
    <w:rsid w:val="00D15953"/>
    <w:rsid w:val="00D15B48"/>
    <w:rsid w:val="00D16316"/>
    <w:rsid w:val="00D17D6C"/>
    <w:rsid w:val="00D2155B"/>
    <w:rsid w:val="00D21861"/>
    <w:rsid w:val="00D2228F"/>
    <w:rsid w:val="00D224EA"/>
    <w:rsid w:val="00D23D11"/>
    <w:rsid w:val="00D244B6"/>
    <w:rsid w:val="00D2754D"/>
    <w:rsid w:val="00D27B27"/>
    <w:rsid w:val="00D30765"/>
    <w:rsid w:val="00D30D5B"/>
    <w:rsid w:val="00D31389"/>
    <w:rsid w:val="00D33BE9"/>
    <w:rsid w:val="00D33F93"/>
    <w:rsid w:val="00D34B5F"/>
    <w:rsid w:val="00D357FF"/>
    <w:rsid w:val="00D36A08"/>
    <w:rsid w:val="00D41277"/>
    <w:rsid w:val="00D41CC0"/>
    <w:rsid w:val="00D41EC3"/>
    <w:rsid w:val="00D424C7"/>
    <w:rsid w:val="00D43B2A"/>
    <w:rsid w:val="00D43CF1"/>
    <w:rsid w:val="00D43D83"/>
    <w:rsid w:val="00D447E9"/>
    <w:rsid w:val="00D454AE"/>
    <w:rsid w:val="00D473C0"/>
    <w:rsid w:val="00D47575"/>
    <w:rsid w:val="00D504F2"/>
    <w:rsid w:val="00D508B0"/>
    <w:rsid w:val="00D51387"/>
    <w:rsid w:val="00D51DA8"/>
    <w:rsid w:val="00D5243B"/>
    <w:rsid w:val="00D533EC"/>
    <w:rsid w:val="00D53DE0"/>
    <w:rsid w:val="00D54066"/>
    <w:rsid w:val="00D54265"/>
    <w:rsid w:val="00D55E29"/>
    <w:rsid w:val="00D55F22"/>
    <w:rsid w:val="00D56A95"/>
    <w:rsid w:val="00D57BF2"/>
    <w:rsid w:val="00D5A476"/>
    <w:rsid w:val="00D6076E"/>
    <w:rsid w:val="00D6207C"/>
    <w:rsid w:val="00D642E4"/>
    <w:rsid w:val="00D64F44"/>
    <w:rsid w:val="00D652A8"/>
    <w:rsid w:val="00D65662"/>
    <w:rsid w:val="00D679B8"/>
    <w:rsid w:val="00D70F16"/>
    <w:rsid w:val="00D720A2"/>
    <w:rsid w:val="00D72617"/>
    <w:rsid w:val="00D72770"/>
    <w:rsid w:val="00D72F57"/>
    <w:rsid w:val="00D748CA"/>
    <w:rsid w:val="00D75214"/>
    <w:rsid w:val="00D76439"/>
    <w:rsid w:val="00D76649"/>
    <w:rsid w:val="00D76A44"/>
    <w:rsid w:val="00D77A7F"/>
    <w:rsid w:val="00D77DF3"/>
    <w:rsid w:val="00D80B2C"/>
    <w:rsid w:val="00D8136E"/>
    <w:rsid w:val="00D81440"/>
    <w:rsid w:val="00D8147A"/>
    <w:rsid w:val="00D815EF"/>
    <w:rsid w:val="00D81765"/>
    <w:rsid w:val="00D81949"/>
    <w:rsid w:val="00D81A9C"/>
    <w:rsid w:val="00D81F26"/>
    <w:rsid w:val="00D822E2"/>
    <w:rsid w:val="00D82D92"/>
    <w:rsid w:val="00D83401"/>
    <w:rsid w:val="00D835FE"/>
    <w:rsid w:val="00D840F8"/>
    <w:rsid w:val="00D8432C"/>
    <w:rsid w:val="00D843F2"/>
    <w:rsid w:val="00D8462B"/>
    <w:rsid w:val="00D84A1D"/>
    <w:rsid w:val="00D84FF3"/>
    <w:rsid w:val="00D8503F"/>
    <w:rsid w:val="00D8564C"/>
    <w:rsid w:val="00D86231"/>
    <w:rsid w:val="00D901DC"/>
    <w:rsid w:val="00D912AB"/>
    <w:rsid w:val="00D9187B"/>
    <w:rsid w:val="00D91923"/>
    <w:rsid w:val="00D923F9"/>
    <w:rsid w:val="00D92BDE"/>
    <w:rsid w:val="00D92D9D"/>
    <w:rsid w:val="00D92E57"/>
    <w:rsid w:val="00D92F90"/>
    <w:rsid w:val="00D930BA"/>
    <w:rsid w:val="00D93753"/>
    <w:rsid w:val="00D93883"/>
    <w:rsid w:val="00D95A23"/>
    <w:rsid w:val="00D95D8D"/>
    <w:rsid w:val="00D96063"/>
    <w:rsid w:val="00D961EB"/>
    <w:rsid w:val="00D96590"/>
    <w:rsid w:val="00D971C2"/>
    <w:rsid w:val="00DA0A86"/>
    <w:rsid w:val="00DA12FA"/>
    <w:rsid w:val="00DA158A"/>
    <w:rsid w:val="00DA3098"/>
    <w:rsid w:val="00DA3167"/>
    <w:rsid w:val="00DA3C85"/>
    <w:rsid w:val="00DA4DC3"/>
    <w:rsid w:val="00DA58FF"/>
    <w:rsid w:val="00DA6801"/>
    <w:rsid w:val="00DA73A2"/>
    <w:rsid w:val="00DA77A5"/>
    <w:rsid w:val="00DA7AAB"/>
    <w:rsid w:val="00DB0E36"/>
    <w:rsid w:val="00DB16D8"/>
    <w:rsid w:val="00DB2723"/>
    <w:rsid w:val="00DB3DBF"/>
    <w:rsid w:val="00DB3E70"/>
    <w:rsid w:val="00DB484F"/>
    <w:rsid w:val="00DB54EC"/>
    <w:rsid w:val="00DB661E"/>
    <w:rsid w:val="00DB758F"/>
    <w:rsid w:val="00DB8ED4"/>
    <w:rsid w:val="00DC03C0"/>
    <w:rsid w:val="00DC04F6"/>
    <w:rsid w:val="00DC0690"/>
    <w:rsid w:val="00DC0C87"/>
    <w:rsid w:val="00DC191D"/>
    <w:rsid w:val="00DC1D65"/>
    <w:rsid w:val="00DC2C5D"/>
    <w:rsid w:val="00DC3C57"/>
    <w:rsid w:val="00DC5299"/>
    <w:rsid w:val="00DC5501"/>
    <w:rsid w:val="00DC5DE4"/>
    <w:rsid w:val="00DC7154"/>
    <w:rsid w:val="00DC7814"/>
    <w:rsid w:val="00DC7E8A"/>
    <w:rsid w:val="00DD0994"/>
    <w:rsid w:val="00DD0F78"/>
    <w:rsid w:val="00DD11C8"/>
    <w:rsid w:val="00DD251E"/>
    <w:rsid w:val="00DD273C"/>
    <w:rsid w:val="00DD300E"/>
    <w:rsid w:val="00DD3ADF"/>
    <w:rsid w:val="00DD3AEF"/>
    <w:rsid w:val="00DD3F28"/>
    <w:rsid w:val="00DD4059"/>
    <w:rsid w:val="00DD4446"/>
    <w:rsid w:val="00DD4537"/>
    <w:rsid w:val="00DD4E15"/>
    <w:rsid w:val="00DD5D32"/>
    <w:rsid w:val="00DD6163"/>
    <w:rsid w:val="00DD7F84"/>
    <w:rsid w:val="00DE0C76"/>
    <w:rsid w:val="00DE10E8"/>
    <w:rsid w:val="00DE2304"/>
    <w:rsid w:val="00DE23C1"/>
    <w:rsid w:val="00DE3138"/>
    <w:rsid w:val="00DE32F6"/>
    <w:rsid w:val="00DE3307"/>
    <w:rsid w:val="00DE37F8"/>
    <w:rsid w:val="00DE3B47"/>
    <w:rsid w:val="00DE4273"/>
    <w:rsid w:val="00DE441B"/>
    <w:rsid w:val="00DE49FC"/>
    <w:rsid w:val="00DE4FCB"/>
    <w:rsid w:val="00DE578B"/>
    <w:rsid w:val="00DE59AF"/>
    <w:rsid w:val="00DE5D07"/>
    <w:rsid w:val="00DE6CCD"/>
    <w:rsid w:val="00DE6E5F"/>
    <w:rsid w:val="00DE6F25"/>
    <w:rsid w:val="00DE725F"/>
    <w:rsid w:val="00DE72A7"/>
    <w:rsid w:val="00DE76A8"/>
    <w:rsid w:val="00DE7832"/>
    <w:rsid w:val="00DE7A3F"/>
    <w:rsid w:val="00DF18FC"/>
    <w:rsid w:val="00DF27F8"/>
    <w:rsid w:val="00DF5C63"/>
    <w:rsid w:val="00DF5D2B"/>
    <w:rsid w:val="00DF6341"/>
    <w:rsid w:val="00DF683C"/>
    <w:rsid w:val="00DF6A34"/>
    <w:rsid w:val="00DF7876"/>
    <w:rsid w:val="00E005BE"/>
    <w:rsid w:val="00E00E8E"/>
    <w:rsid w:val="00E02FFE"/>
    <w:rsid w:val="00E03060"/>
    <w:rsid w:val="00E0353F"/>
    <w:rsid w:val="00E0365F"/>
    <w:rsid w:val="00E0470E"/>
    <w:rsid w:val="00E04DD7"/>
    <w:rsid w:val="00E04E66"/>
    <w:rsid w:val="00E04FD7"/>
    <w:rsid w:val="00E0507B"/>
    <w:rsid w:val="00E053DD"/>
    <w:rsid w:val="00E05630"/>
    <w:rsid w:val="00E05669"/>
    <w:rsid w:val="00E06570"/>
    <w:rsid w:val="00E06DBB"/>
    <w:rsid w:val="00E10149"/>
    <w:rsid w:val="00E11247"/>
    <w:rsid w:val="00E11340"/>
    <w:rsid w:val="00E122A1"/>
    <w:rsid w:val="00E1309A"/>
    <w:rsid w:val="00E1467A"/>
    <w:rsid w:val="00E148CE"/>
    <w:rsid w:val="00E1524A"/>
    <w:rsid w:val="00E15CD4"/>
    <w:rsid w:val="00E161A1"/>
    <w:rsid w:val="00E162E6"/>
    <w:rsid w:val="00E16372"/>
    <w:rsid w:val="00E16AD8"/>
    <w:rsid w:val="00E172E0"/>
    <w:rsid w:val="00E17B66"/>
    <w:rsid w:val="00E17FFA"/>
    <w:rsid w:val="00E2004C"/>
    <w:rsid w:val="00E20973"/>
    <w:rsid w:val="00E20E4D"/>
    <w:rsid w:val="00E20ED6"/>
    <w:rsid w:val="00E21059"/>
    <w:rsid w:val="00E21358"/>
    <w:rsid w:val="00E2249B"/>
    <w:rsid w:val="00E22A0D"/>
    <w:rsid w:val="00E23D8A"/>
    <w:rsid w:val="00E244F6"/>
    <w:rsid w:val="00E2518B"/>
    <w:rsid w:val="00E258DB"/>
    <w:rsid w:val="00E26671"/>
    <w:rsid w:val="00E2771E"/>
    <w:rsid w:val="00E30B5E"/>
    <w:rsid w:val="00E311EF"/>
    <w:rsid w:val="00E316CD"/>
    <w:rsid w:val="00E32180"/>
    <w:rsid w:val="00E32BF0"/>
    <w:rsid w:val="00E32D47"/>
    <w:rsid w:val="00E33046"/>
    <w:rsid w:val="00E34948"/>
    <w:rsid w:val="00E349B6"/>
    <w:rsid w:val="00E36F97"/>
    <w:rsid w:val="00E37569"/>
    <w:rsid w:val="00E37EE9"/>
    <w:rsid w:val="00E37F19"/>
    <w:rsid w:val="00E401B2"/>
    <w:rsid w:val="00E401D7"/>
    <w:rsid w:val="00E40EAD"/>
    <w:rsid w:val="00E41E30"/>
    <w:rsid w:val="00E426DE"/>
    <w:rsid w:val="00E42F73"/>
    <w:rsid w:val="00E42FD6"/>
    <w:rsid w:val="00E43D70"/>
    <w:rsid w:val="00E43F64"/>
    <w:rsid w:val="00E466F3"/>
    <w:rsid w:val="00E47B2C"/>
    <w:rsid w:val="00E47FC9"/>
    <w:rsid w:val="00E511FA"/>
    <w:rsid w:val="00E51560"/>
    <w:rsid w:val="00E51821"/>
    <w:rsid w:val="00E51A92"/>
    <w:rsid w:val="00E530DB"/>
    <w:rsid w:val="00E53BD4"/>
    <w:rsid w:val="00E53F68"/>
    <w:rsid w:val="00E53FC8"/>
    <w:rsid w:val="00E541AB"/>
    <w:rsid w:val="00E54347"/>
    <w:rsid w:val="00E55424"/>
    <w:rsid w:val="00E55915"/>
    <w:rsid w:val="00E55BB5"/>
    <w:rsid w:val="00E56194"/>
    <w:rsid w:val="00E563DE"/>
    <w:rsid w:val="00E57498"/>
    <w:rsid w:val="00E57ADC"/>
    <w:rsid w:val="00E6048E"/>
    <w:rsid w:val="00E610EB"/>
    <w:rsid w:val="00E611DF"/>
    <w:rsid w:val="00E61841"/>
    <w:rsid w:val="00E62558"/>
    <w:rsid w:val="00E62B54"/>
    <w:rsid w:val="00E62D0A"/>
    <w:rsid w:val="00E63E08"/>
    <w:rsid w:val="00E64EAF"/>
    <w:rsid w:val="00E65362"/>
    <w:rsid w:val="00E653AE"/>
    <w:rsid w:val="00E65942"/>
    <w:rsid w:val="00E65E79"/>
    <w:rsid w:val="00E66BA2"/>
    <w:rsid w:val="00E67416"/>
    <w:rsid w:val="00E70C74"/>
    <w:rsid w:val="00E718B6"/>
    <w:rsid w:val="00E719FE"/>
    <w:rsid w:val="00E71B75"/>
    <w:rsid w:val="00E71CDC"/>
    <w:rsid w:val="00E723BA"/>
    <w:rsid w:val="00E73581"/>
    <w:rsid w:val="00E73B7B"/>
    <w:rsid w:val="00E7403F"/>
    <w:rsid w:val="00E74555"/>
    <w:rsid w:val="00E76369"/>
    <w:rsid w:val="00E77347"/>
    <w:rsid w:val="00E807C7"/>
    <w:rsid w:val="00E80875"/>
    <w:rsid w:val="00E8088E"/>
    <w:rsid w:val="00E819D0"/>
    <w:rsid w:val="00E81DBB"/>
    <w:rsid w:val="00E833F7"/>
    <w:rsid w:val="00E83BDF"/>
    <w:rsid w:val="00E8503E"/>
    <w:rsid w:val="00E85E5C"/>
    <w:rsid w:val="00E86417"/>
    <w:rsid w:val="00E86FCC"/>
    <w:rsid w:val="00E87302"/>
    <w:rsid w:val="00E875A3"/>
    <w:rsid w:val="00E87A1D"/>
    <w:rsid w:val="00E87ACE"/>
    <w:rsid w:val="00E9094A"/>
    <w:rsid w:val="00E91BAE"/>
    <w:rsid w:val="00E91D35"/>
    <w:rsid w:val="00E926A5"/>
    <w:rsid w:val="00E930A4"/>
    <w:rsid w:val="00E943DB"/>
    <w:rsid w:val="00E952B6"/>
    <w:rsid w:val="00E962CC"/>
    <w:rsid w:val="00E966AC"/>
    <w:rsid w:val="00E96CAB"/>
    <w:rsid w:val="00E96E4B"/>
    <w:rsid w:val="00EA0C37"/>
    <w:rsid w:val="00EA17C3"/>
    <w:rsid w:val="00EA2CAA"/>
    <w:rsid w:val="00EA3066"/>
    <w:rsid w:val="00EA361E"/>
    <w:rsid w:val="00EA3864"/>
    <w:rsid w:val="00EA5A1F"/>
    <w:rsid w:val="00EA6DA6"/>
    <w:rsid w:val="00EA7507"/>
    <w:rsid w:val="00EA7F1C"/>
    <w:rsid w:val="00EB0C78"/>
    <w:rsid w:val="00EB15B6"/>
    <w:rsid w:val="00EB2A09"/>
    <w:rsid w:val="00EB2C36"/>
    <w:rsid w:val="00EB3D06"/>
    <w:rsid w:val="00EB44D0"/>
    <w:rsid w:val="00EB4916"/>
    <w:rsid w:val="00EB79F9"/>
    <w:rsid w:val="00EB7DF6"/>
    <w:rsid w:val="00EB7E25"/>
    <w:rsid w:val="00EC00C9"/>
    <w:rsid w:val="00EC05FB"/>
    <w:rsid w:val="00EC0742"/>
    <w:rsid w:val="00EC0942"/>
    <w:rsid w:val="00EC0DD9"/>
    <w:rsid w:val="00EC20F9"/>
    <w:rsid w:val="00EC2649"/>
    <w:rsid w:val="00EC31ED"/>
    <w:rsid w:val="00EC3BDC"/>
    <w:rsid w:val="00EC5836"/>
    <w:rsid w:val="00EC688C"/>
    <w:rsid w:val="00EC6CF5"/>
    <w:rsid w:val="00EC7E13"/>
    <w:rsid w:val="00ED0121"/>
    <w:rsid w:val="00ED0C5F"/>
    <w:rsid w:val="00ED0CBB"/>
    <w:rsid w:val="00ED12E3"/>
    <w:rsid w:val="00ED2C36"/>
    <w:rsid w:val="00ED2CAD"/>
    <w:rsid w:val="00ED4580"/>
    <w:rsid w:val="00ED4880"/>
    <w:rsid w:val="00ED4B04"/>
    <w:rsid w:val="00ED57EA"/>
    <w:rsid w:val="00ED5BD4"/>
    <w:rsid w:val="00ED6819"/>
    <w:rsid w:val="00ED7AFB"/>
    <w:rsid w:val="00EE07D3"/>
    <w:rsid w:val="00EE1491"/>
    <w:rsid w:val="00EE1996"/>
    <w:rsid w:val="00EE1AE5"/>
    <w:rsid w:val="00EE1C01"/>
    <w:rsid w:val="00EE22AF"/>
    <w:rsid w:val="00EE34BF"/>
    <w:rsid w:val="00EE36D3"/>
    <w:rsid w:val="00EE3706"/>
    <w:rsid w:val="00EE4A71"/>
    <w:rsid w:val="00EE50ED"/>
    <w:rsid w:val="00EE55BB"/>
    <w:rsid w:val="00EE5BD0"/>
    <w:rsid w:val="00EF0171"/>
    <w:rsid w:val="00EF15C7"/>
    <w:rsid w:val="00EF1B25"/>
    <w:rsid w:val="00EF1DA0"/>
    <w:rsid w:val="00EF465E"/>
    <w:rsid w:val="00EF4747"/>
    <w:rsid w:val="00EF4BF8"/>
    <w:rsid w:val="00EF575D"/>
    <w:rsid w:val="00F02253"/>
    <w:rsid w:val="00F02BF2"/>
    <w:rsid w:val="00F02FAC"/>
    <w:rsid w:val="00F03C23"/>
    <w:rsid w:val="00F03C2E"/>
    <w:rsid w:val="00F04181"/>
    <w:rsid w:val="00F04A66"/>
    <w:rsid w:val="00F04B4B"/>
    <w:rsid w:val="00F04F71"/>
    <w:rsid w:val="00F05132"/>
    <w:rsid w:val="00F0516C"/>
    <w:rsid w:val="00F05E8D"/>
    <w:rsid w:val="00F067A2"/>
    <w:rsid w:val="00F067D3"/>
    <w:rsid w:val="00F07A5F"/>
    <w:rsid w:val="00F07B9E"/>
    <w:rsid w:val="00F07BBF"/>
    <w:rsid w:val="00F10AE7"/>
    <w:rsid w:val="00F10DF8"/>
    <w:rsid w:val="00F1116F"/>
    <w:rsid w:val="00F11CD5"/>
    <w:rsid w:val="00F1263A"/>
    <w:rsid w:val="00F129F0"/>
    <w:rsid w:val="00F12ED6"/>
    <w:rsid w:val="00F139C5"/>
    <w:rsid w:val="00F13B3A"/>
    <w:rsid w:val="00F13BFB"/>
    <w:rsid w:val="00F14274"/>
    <w:rsid w:val="00F1461D"/>
    <w:rsid w:val="00F14929"/>
    <w:rsid w:val="00F15B77"/>
    <w:rsid w:val="00F2022F"/>
    <w:rsid w:val="00F205E8"/>
    <w:rsid w:val="00F20A84"/>
    <w:rsid w:val="00F20A9E"/>
    <w:rsid w:val="00F21236"/>
    <w:rsid w:val="00F21268"/>
    <w:rsid w:val="00F239DF"/>
    <w:rsid w:val="00F24837"/>
    <w:rsid w:val="00F24EE3"/>
    <w:rsid w:val="00F2575F"/>
    <w:rsid w:val="00F26074"/>
    <w:rsid w:val="00F27565"/>
    <w:rsid w:val="00F278E4"/>
    <w:rsid w:val="00F310D4"/>
    <w:rsid w:val="00F31D5A"/>
    <w:rsid w:val="00F31FFE"/>
    <w:rsid w:val="00F33975"/>
    <w:rsid w:val="00F33DE9"/>
    <w:rsid w:val="00F33EA5"/>
    <w:rsid w:val="00F344B8"/>
    <w:rsid w:val="00F35E6D"/>
    <w:rsid w:val="00F3619A"/>
    <w:rsid w:val="00F40AAA"/>
    <w:rsid w:val="00F40BA7"/>
    <w:rsid w:val="00F40F9D"/>
    <w:rsid w:val="00F41ACD"/>
    <w:rsid w:val="00F4281E"/>
    <w:rsid w:val="00F429CD"/>
    <w:rsid w:val="00F42AAC"/>
    <w:rsid w:val="00F43A94"/>
    <w:rsid w:val="00F44239"/>
    <w:rsid w:val="00F4480E"/>
    <w:rsid w:val="00F45A82"/>
    <w:rsid w:val="00F46CB6"/>
    <w:rsid w:val="00F4756D"/>
    <w:rsid w:val="00F47DE8"/>
    <w:rsid w:val="00F516FA"/>
    <w:rsid w:val="00F52148"/>
    <w:rsid w:val="00F542C1"/>
    <w:rsid w:val="00F545AD"/>
    <w:rsid w:val="00F54C42"/>
    <w:rsid w:val="00F550E3"/>
    <w:rsid w:val="00F55E73"/>
    <w:rsid w:val="00F55EDA"/>
    <w:rsid w:val="00F566B6"/>
    <w:rsid w:val="00F5676A"/>
    <w:rsid w:val="00F56C80"/>
    <w:rsid w:val="00F57A54"/>
    <w:rsid w:val="00F60092"/>
    <w:rsid w:val="00F61861"/>
    <w:rsid w:val="00F61B0C"/>
    <w:rsid w:val="00F61C18"/>
    <w:rsid w:val="00F61F2E"/>
    <w:rsid w:val="00F64300"/>
    <w:rsid w:val="00F65F4B"/>
    <w:rsid w:val="00F668CF"/>
    <w:rsid w:val="00F67A69"/>
    <w:rsid w:val="00F67EE6"/>
    <w:rsid w:val="00F7040A"/>
    <w:rsid w:val="00F70BFF"/>
    <w:rsid w:val="00F70C9D"/>
    <w:rsid w:val="00F70FE3"/>
    <w:rsid w:val="00F7150E"/>
    <w:rsid w:val="00F72792"/>
    <w:rsid w:val="00F73E08"/>
    <w:rsid w:val="00F74029"/>
    <w:rsid w:val="00F74738"/>
    <w:rsid w:val="00F74832"/>
    <w:rsid w:val="00F74CD9"/>
    <w:rsid w:val="00F76657"/>
    <w:rsid w:val="00F80A7B"/>
    <w:rsid w:val="00F80B90"/>
    <w:rsid w:val="00F80E5D"/>
    <w:rsid w:val="00F81E78"/>
    <w:rsid w:val="00F81ECF"/>
    <w:rsid w:val="00F81FC3"/>
    <w:rsid w:val="00F82AAB"/>
    <w:rsid w:val="00F82C65"/>
    <w:rsid w:val="00F83916"/>
    <w:rsid w:val="00F83C3F"/>
    <w:rsid w:val="00F851CE"/>
    <w:rsid w:val="00F865DA"/>
    <w:rsid w:val="00F902B0"/>
    <w:rsid w:val="00F90FCE"/>
    <w:rsid w:val="00F91219"/>
    <w:rsid w:val="00F9147A"/>
    <w:rsid w:val="00F92444"/>
    <w:rsid w:val="00F93194"/>
    <w:rsid w:val="00F9393E"/>
    <w:rsid w:val="00F94BA9"/>
    <w:rsid w:val="00F961C5"/>
    <w:rsid w:val="00F96FD0"/>
    <w:rsid w:val="00F97506"/>
    <w:rsid w:val="00F978FA"/>
    <w:rsid w:val="00F97A78"/>
    <w:rsid w:val="00F97DE3"/>
    <w:rsid w:val="00FA0B20"/>
    <w:rsid w:val="00FA0D15"/>
    <w:rsid w:val="00FA1C7D"/>
    <w:rsid w:val="00FA1ECA"/>
    <w:rsid w:val="00FA24E7"/>
    <w:rsid w:val="00FA406B"/>
    <w:rsid w:val="00FA5335"/>
    <w:rsid w:val="00FA57B2"/>
    <w:rsid w:val="00FA5EE6"/>
    <w:rsid w:val="00FA5FBB"/>
    <w:rsid w:val="00FA6D3C"/>
    <w:rsid w:val="00FA70B9"/>
    <w:rsid w:val="00FA78FC"/>
    <w:rsid w:val="00FA7956"/>
    <w:rsid w:val="00FA7DD3"/>
    <w:rsid w:val="00FA7E1F"/>
    <w:rsid w:val="00FA7E64"/>
    <w:rsid w:val="00FB0824"/>
    <w:rsid w:val="00FB1336"/>
    <w:rsid w:val="00FB1C52"/>
    <w:rsid w:val="00FB1CC7"/>
    <w:rsid w:val="00FB2A67"/>
    <w:rsid w:val="00FB2FCB"/>
    <w:rsid w:val="00FB3DA0"/>
    <w:rsid w:val="00FB4A67"/>
    <w:rsid w:val="00FB4C9C"/>
    <w:rsid w:val="00FB5692"/>
    <w:rsid w:val="00FB60D2"/>
    <w:rsid w:val="00FB7C55"/>
    <w:rsid w:val="00FB7FC1"/>
    <w:rsid w:val="00FC056D"/>
    <w:rsid w:val="00FC1074"/>
    <w:rsid w:val="00FC1884"/>
    <w:rsid w:val="00FC1924"/>
    <w:rsid w:val="00FC23DD"/>
    <w:rsid w:val="00FC29A6"/>
    <w:rsid w:val="00FC29F8"/>
    <w:rsid w:val="00FC371D"/>
    <w:rsid w:val="00FC3883"/>
    <w:rsid w:val="00FC4A23"/>
    <w:rsid w:val="00FC4DE8"/>
    <w:rsid w:val="00FC4F4B"/>
    <w:rsid w:val="00FC4FDF"/>
    <w:rsid w:val="00FC5A3E"/>
    <w:rsid w:val="00FC5F0B"/>
    <w:rsid w:val="00FC7413"/>
    <w:rsid w:val="00FC7707"/>
    <w:rsid w:val="00FD1790"/>
    <w:rsid w:val="00FD2100"/>
    <w:rsid w:val="00FD260F"/>
    <w:rsid w:val="00FD2E5E"/>
    <w:rsid w:val="00FD3065"/>
    <w:rsid w:val="00FD377D"/>
    <w:rsid w:val="00FD385B"/>
    <w:rsid w:val="00FD436C"/>
    <w:rsid w:val="00FD446D"/>
    <w:rsid w:val="00FD4F2C"/>
    <w:rsid w:val="00FD6394"/>
    <w:rsid w:val="00FD6C45"/>
    <w:rsid w:val="00FD7777"/>
    <w:rsid w:val="00FD7E4C"/>
    <w:rsid w:val="00FE023F"/>
    <w:rsid w:val="00FE0695"/>
    <w:rsid w:val="00FE0E6C"/>
    <w:rsid w:val="00FE10E7"/>
    <w:rsid w:val="00FE196A"/>
    <w:rsid w:val="00FE1CDC"/>
    <w:rsid w:val="00FE47A9"/>
    <w:rsid w:val="00FE563F"/>
    <w:rsid w:val="00FE567F"/>
    <w:rsid w:val="00FE58DF"/>
    <w:rsid w:val="00FE6139"/>
    <w:rsid w:val="00FE6728"/>
    <w:rsid w:val="00FE6A06"/>
    <w:rsid w:val="00FE70C3"/>
    <w:rsid w:val="00FF035B"/>
    <w:rsid w:val="00FF0BB1"/>
    <w:rsid w:val="00FF1A8B"/>
    <w:rsid w:val="00FF2A5D"/>
    <w:rsid w:val="00FF2AD9"/>
    <w:rsid w:val="00FF359F"/>
    <w:rsid w:val="00FF3DCF"/>
    <w:rsid w:val="00FF492C"/>
    <w:rsid w:val="00FF4A21"/>
    <w:rsid w:val="00FF51D4"/>
    <w:rsid w:val="00FF52A8"/>
    <w:rsid w:val="00FF5AA3"/>
    <w:rsid w:val="00FF5AD8"/>
    <w:rsid w:val="00FF5B07"/>
    <w:rsid w:val="00FF5E65"/>
    <w:rsid w:val="00FF6AA3"/>
    <w:rsid w:val="00FF6CF4"/>
    <w:rsid w:val="00FF770F"/>
    <w:rsid w:val="010F10A3"/>
    <w:rsid w:val="01685F3A"/>
    <w:rsid w:val="01B0E5BD"/>
    <w:rsid w:val="01BE3579"/>
    <w:rsid w:val="01D2779E"/>
    <w:rsid w:val="0231DD02"/>
    <w:rsid w:val="02E1348E"/>
    <w:rsid w:val="0312E8E0"/>
    <w:rsid w:val="031AB2AD"/>
    <w:rsid w:val="03763043"/>
    <w:rsid w:val="03942112"/>
    <w:rsid w:val="03C6D332"/>
    <w:rsid w:val="045434FD"/>
    <w:rsid w:val="0457A2F4"/>
    <w:rsid w:val="049E0DFC"/>
    <w:rsid w:val="05017B12"/>
    <w:rsid w:val="05F08A36"/>
    <w:rsid w:val="0609E67E"/>
    <w:rsid w:val="074B2EC0"/>
    <w:rsid w:val="074CB259"/>
    <w:rsid w:val="084DB5C0"/>
    <w:rsid w:val="08AB1297"/>
    <w:rsid w:val="08B68CCB"/>
    <w:rsid w:val="08E404A2"/>
    <w:rsid w:val="093A51B6"/>
    <w:rsid w:val="094AE2C1"/>
    <w:rsid w:val="09AF15AF"/>
    <w:rsid w:val="0A3AB349"/>
    <w:rsid w:val="0AC08AFB"/>
    <w:rsid w:val="0AFC3707"/>
    <w:rsid w:val="0B510970"/>
    <w:rsid w:val="0B627C9C"/>
    <w:rsid w:val="0BBC29E1"/>
    <w:rsid w:val="0C1BDC25"/>
    <w:rsid w:val="0C1C092B"/>
    <w:rsid w:val="0D4205DE"/>
    <w:rsid w:val="0D8E2BA4"/>
    <w:rsid w:val="0F0E6C7E"/>
    <w:rsid w:val="0F140D3D"/>
    <w:rsid w:val="0F7A9708"/>
    <w:rsid w:val="0FB6C477"/>
    <w:rsid w:val="107899D2"/>
    <w:rsid w:val="10A9B8F7"/>
    <w:rsid w:val="10D66641"/>
    <w:rsid w:val="12B9830B"/>
    <w:rsid w:val="15AB1537"/>
    <w:rsid w:val="15E3544B"/>
    <w:rsid w:val="17C2C804"/>
    <w:rsid w:val="18984608"/>
    <w:rsid w:val="18EBD38B"/>
    <w:rsid w:val="193F45C9"/>
    <w:rsid w:val="19BA17C5"/>
    <w:rsid w:val="1A3047D5"/>
    <w:rsid w:val="1A369BF8"/>
    <w:rsid w:val="1A45218D"/>
    <w:rsid w:val="1B353475"/>
    <w:rsid w:val="1B41FC28"/>
    <w:rsid w:val="1B82B1FE"/>
    <w:rsid w:val="1B8DDC79"/>
    <w:rsid w:val="1CD55110"/>
    <w:rsid w:val="1D3669B0"/>
    <w:rsid w:val="1E00F21C"/>
    <w:rsid w:val="1E2BFB2C"/>
    <w:rsid w:val="1E70C973"/>
    <w:rsid w:val="1ED794C8"/>
    <w:rsid w:val="1ED94AC5"/>
    <w:rsid w:val="20A0575D"/>
    <w:rsid w:val="21450A34"/>
    <w:rsid w:val="22D5A232"/>
    <w:rsid w:val="238B6A48"/>
    <w:rsid w:val="24B06AF8"/>
    <w:rsid w:val="2593CC31"/>
    <w:rsid w:val="2677C24C"/>
    <w:rsid w:val="26E5AFD1"/>
    <w:rsid w:val="271B21F2"/>
    <w:rsid w:val="281E63FB"/>
    <w:rsid w:val="2867D941"/>
    <w:rsid w:val="2911184C"/>
    <w:rsid w:val="293BC799"/>
    <w:rsid w:val="29694163"/>
    <w:rsid w:val="299DF50D"/>
    <w:rsid w:val="2AB78F4F"/>
    <w:rsid w:val="2ABECFB8"/>
    <w:rsid w:val="2B09EB0D"/>
    <w:rsid w:val="2B1C0C20"/>
    <w:rsid w:val="2B21198B"/>
    <w:rsid w:val="2BF0ED08"/>
    <w:rsid w:val="2C694B2A"/>
    <w:rsid w:val="2C74EEED"/>
    <w:rsid w:val="2CF12868"/>
    <w:rsid w:val="2CFE92B9"/>
    <w:rsid w:val="2D466BA4"/>
    <w:rsid w:val="2DC85856"/>
    <w:rsid w:val="2ED67BF9"/>
    <w:rsid w:val="2F1EAC5F"/>
    <w:rsid w:val="2FD65C02"/>
    <w:rsid w:val="2FE07FC8"/>
    <w:rsid w:val="301613E8"/>
    <w:rsid w:val="30FE4CA8"/>
    <w:rsid w:val="31FCDDDF"/>
    <w:rsid w:val="33B7466E"/>
    <w:rsid w:val="33EEC69E"/>
    <w:rsid w:val="33F2380C"/>
    <w:rsid w:val="3522C01C"/>
    <w:rsid w:val="355BBBFF"/>
    <w:rsid w:val="35BF5180"/>
    <w:rsid w:val="3644A589"/>
    <w:rsid w:val="366F0B94"/>
    <w:rsid w:val="3708F63E"/>
    <w:rsid w:val="3709D016"/>
    <w:rsid w:val="37F21812"/>
    <w:rsid w:val="385A57E4"/>
    <w:rsid w:val="38616EB4"/>
    <w:rsid w:val="38A8C7F4"/>
    <w:rsid w:val="39679CC1"/>
    <w:rsid w:val="3A63E241"/>
    <w:rsid w:val="3ADA8A17"/>
    <w:rsid w:val="3AF30B74"/>
    <w:rsid w:val="3BE5EB47"/>
    <w:rsid w:val="3C537CF1"/>
    <w:rsid w:val="3C8D8CBE"/>
    <w:rsid w:val="3CC4A6CA"/>
    <w:rsid w:val="3D582AFB"/>
    <w:rsid w:val="3E466A78"/>
    <w:rsid w:val="3ECB4BBA"/>
    <w:rsid w:val="3F316232"/>
    <w:rsid w:val="40856C96"/>
    <w:rsid w:val="4188DBC1"/>
    <w:rsid w:val="41C3B3F0"/>
    <w:rsid w:val="4206C78B"/>
    <w:rsid w:val="424B3125"/>
    <w:rsid w:val="4250F4CF"/>
    <w:rsid w:val="4296EAB7"/>
    <w:rsid w:val="42F239FC"/>
    <w:rsid w:val="4303784F"/>
    <w:rsid w:val="43972056"/>
    <w:rsid w:val="447181E8"/>
    <w:rsid w:val="44CB8455"/>
    <w:rsid w:val="45D29219"/>
    <w:rsid w:val="46651DDB"/>
    <w:rsid w:val="46E4BF41"/>
    <w:rsid w:val="47BD2C13"/>
    <w:rsid w:val="4833CCFE"/>
    <w:rsid w:val="488F266A"/>
    <w:rsid w:val="4924DE54"/>
    <w:rsid w:val="49736503"/>
    <w:rsid w:val="4AC769A1"/>
    <w:rsid w:val="4B351117"/>
    <w:rsid w:val="4B5BF8D3"/>
    <w:rsid w:val="4B628653"/>
    <w:rsid w:val="4B87677A"/>
    <w:rsid w:val="4B9BD57A"/>
    <w:rsid w:val="4BF0BF7B"/>
    <w:rsid w:val="4C0E6ABF"/>
    <w:rsid w:val="4C2B381B"/>
    <w:rsid w:val="4C5E583A"/>
    <w:rsid w:val="4C7C177C"/>
    <w:rsid w:val="4CEBC67C"/>
    <w:rsid w:val="4F0AF414"/>
    <w:rsid w:val="4F13BA70"/>
    <w:rsid w:val="4F836B4A"/>
    <w:rsid w:val="504C9B87"/>
    <w:rsid w:val="516212FC"/>
    <w:rsid w:val="5175A805"/>
    <w:rsid w:val="517CB1FF"/>
    <w:rsid w:val="51FCD9D6"/>
    <w:rsid w:val="52A886DE"/>
    <w:rsid w:val="530F7EDF"/>
    <w:rsid w:val="532ACAB5"/>
    <w:rsid w:val="534CBCD0"/>
    <w:rsid w:val="53635038"/>
    <w:rsid w:val="539CC620"/>
    <w:rsid w:val="544360CB"/>
    <w:rsid w:val="547A4272"/>
    <w:rsid w:val="54D6DE84"/>
    <w:rsid w:val="54E8C84B"/>
    <w:rsid w:val="54EE8B7C"/>
    <w:rsid w:val="552FEAD8"/>
    <w:rsid w:val="5561B9F3"/>
    <w:rsid w:val="56BE63E4"/>
    <w:rsid w:val="56C50607"/>
    <w:rsid w:val="5837D0E5"/>
    <w:rsid w:val="583D640E"/>
    <w:rsid w:val="587508EF"/>
    <w:rsid w:val="59B1F7B2"/>
    <w:rsid w:val="5A898852"/>
    <w:rsid w:val="5B39D0A3"/>
    <w:rsid w:val="5B48719F"/>
    <w:rsid w:val="5B61B55B"/>
    <w:rsid w:val="5C20EB75"/>
    <w:rsid w:val="5C628DCA"/>
    <w:rsid w:val="5CDE8775"/>
    <w:rsid w:val="5CF3F49B"/>
    <w:rsid w:val="5D7A0982"/>
    <w:rsid w:val="5DBC79F2"/>
    <w:rsid w:val="5DC1D6B7"/>
    <w:rsid w:val="5E17CE2E"/>
    <w:rsid w:val="5E201C6C"/>
    <w:rsid w:val="5E58FE33"/>
    <w:rsid w:val="5EDA780D"/>
    <w:rsid w:val="5EE93436"/>
    <w:rsid w:val="5F33E91C"/>
    <w:rsid w:val="5F3585E8"/>
    <w:rsid w:val="60047941"/>
    <w:rsid w:val="61542BFF"/>
    <w:rsid w:val="6168F42D"/>
    <w:rsid w:val="6186AEF9"/>
    <w:rsid w:val="61BEFD31"/>
    <w:rsid w:val="63679887"/>
    <w:rsid w:val="6558F12E"/>
    <w:rsid w:val="65A9CC5E"/>
    <w:rsid w:val="661AE3E5"/>
    <w:rsid w:val="67639076"/>
    <w:rsid w:val="679A0F7D"/>
    <w:rsid w:val="67BFFEDB"/>
    <w:rsid w:val="69254C3A"/>
    <w:rsid w:val="692DD61C"/>
    <w:rsid w:val="699E2FFB"/>
    <w:rsid w:val="69E932C6"/>
    <w:rsid w:val="6A08B092"/>
    <w:rsid w:val="6A11B749"/>
    <w:rsid w:val="6A37888C"/>
    <w:rsid w:val="6C1ABFB3"/>
    <w:rsid w:val="6C49576F"/>
    <w:rsid w:val="6C778E50"/>
    <w:rsid w:val="6CA7002E"/>
    <w:rsid w:val="6CFADB84"/>
    <w:rsid w:val="6DB1ECD9"/>
    <w:rsid w:val="6DF52E27"/>
    <w:rsid w:val="6E75A8AE"/>
    <w:rsid w:val="6EF3D008"/>
    <w:rsid w:val="6F2703F0"/>
    <w:rsid w:val="6F49C515"/>
    <w:rsid w:val="6FF1BABF"/>
    <w:rsid w:val="711AE1DD"/>
    <w:rsid w:val="7161F14A"/>
    <w:rsid w:val="71B9A551"/>
    <w:rsid w:val="72384119"/>
    <w:rsid w:val="73EFDC6C"/>
    <w:rsid w:val="74605099"/>
    <w:rsid w:val="74A453BB"/>
    <w:rsid w:val="74DBC326"/>
    <w:rsid w:val="7502B50B"/>
    <w:rsid w:val="754F747B"/>
    <w:rsid w:val="7572E56B"/>
    <w:rsid w:val="757CC143"/>
    <w:rsid w:val="75C46EEF"/>
    <w:rsid w:val="75D3BFEB"/>
    <w:rsid w:val="76AC763A"/>
    <w:rsid w:val="771C4918"/>
    <w:rsid w:val="77FB265F"/>
    <w:rsid w:val="78B09E66"/>
    <w:rsid w:val="78DDFF49"/>
    <w:rsid w:val="79DE5469"/>
    <w:rsid w:val="79E8A298"/>
    <w:rsid w:val="79F4D510"/>
    <w:rsid w:val="7A6C4FC6"/>
    <w:rsid w:val="7AEE9F25"/>
    <w:rsid w:val="7B140FC6"/>
    <w:rsid w:val="7B91747B"/>
    <w:rsid w:val="7BD26DEB"/>
    <w:rsid w:val="7CDF810E"/>
    <w:rsid w:val="7CF9F5A0"/>
    <w:rsid w:val="7D74F3A1"/>
    <w:rsid w:val="7DC59892"/>
    <w:rsid w:val="7DC976D2"/>
    <w:rsid w:val="7E2D532A"/>
    <w:rsid w:val="7F10788B"/>
    <w:rsid w:val="7FED8BE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564C"/>
    <w:pPr>
      <w:jc w:val="both"/>
    </w:pPr>
    <w:rPr>
      <w:rFonts w:ascii="Calibri" w:hAnsi="Calibri" w:cs="Arial"/>
      <w:sz w:val="24"/>
      <w:szCs w:val="24"/>
    </w:rPr>
  </w:style>
  <w:style w:type="paragraph" w:styleId="Heading1">
    <w:name w:val="heading 1"/>
    <w:basedOn w:val="Normal"/>
    <w:next w:val="Normal"/>
    <w:link w:val="Heading1Char"/>
    <w:uiPriority w:val="9"/>
    <w:qFormat/>
    <w:rsid w:val="001B204E"/>
    <w:pPr>
      <w:ind w:left="720" w:hanging="720"/>
      <w:outlineLvl w:val="0"/>
    </w:pPr>
    <w:rPr>
      <w:b/>
      <w:caps/>
      <w:sz w:val="32"/>
    </w:rPr>
  </w:style>
  <w:style w:type="paragraph" w:styleId="Heading2">
    <w:name w:val="heading 2"/>
    <w:basedOn w:val="Normal"/>
    <w:next w:val="Normal"/>
    <w:link w:val="Heading2Char"/>
    <w:uiPriority w:val="9"/>
    <w:qFormat/>
    <w:rsid w:val="001B204E"/>
    <w:pPr>
      <w:outlineLvl w:val="1"/>
    </w:pPr>
    <w:rPr>
      <w:b/>
      <w:i/>
      <w:sz w:val="28"/>
    </w:rPr>
  </w:style>
  <w:style w:type="paragraph" w:styleId="Heading3">
    <w:name w:val="heading 3"/>
    <w:basedOn w:val="Normal"/>
    <w:next w:val="Normal"/>
    <w:link w:val="Heading3Char"/>
    <w:uiPriority w:val="9"/>
    <w:qFormat/>
    <w:rsid w:val="001F7361"/>
    <w:pPr>
      <w:outlineLvl w:val="2"/>
    </w:pPr>
    <w:rPr>
      <w:u w:val="single"/>
    </w:rPr>
  </w:style>
  <w:style w:type="paragraph" w:styleId="Heading4">
    <w:name w:val="heading 4"/>
    <w:basedOn w:val="Normal"/>
    <w:next w:val="Normal"/>
    <w:link w:val="Heading4Char"/>
    <w:uiPriority w:val="9"/>
    <w:qFormat/>
    <w:rsid w:val="00124A51"/>
    <w:pPr>
      <w:keepNext/>
      <w:spacing w:before="240" w:after="60"/>
      <w:outlineLvl w:val="3"/>
    </w:pPr>
    <w:rPr>
      <w:b/>
      <w:bCs/>
      <w:i/>
      <w:sz w:val="26"/>
      <w:szCs w:val="28"/>
    </w:rPr>
  </w:style>
  <w:style w:type="paragraph" w:styleId="Heading5">
    <w:name w:val="heading 5"/>
    <w:basedOn w:val="Normal"/>
    <w:next w:val="Normal"/>
    <w:link w:val="Heading5Char"/>
    <w:uiPriority w:val="9"/>
    <w:qFormat/>
    <w:rsid w:val="00124A51"/>
    <w:pPr>
      <w:spacing w:before="240" w:after="60"/>
      <w:outlineLvl w:val="4"/>
    </w:pPr>
    <w:rPr>
      <w:b/>
      <w:bCs/>
      <w:iCs/>
      <w:sz w:val="26"/>
      <w:szCs w:val="26"/>
    </w:rPr>
  </w:style>
  <w:style w:type="paragraph" w:styleId="Heading6">
    <w:name w:val="heading 6"/>
    <w:basedOn w:val="Normal"/>
    <w:next w:val="Normal"/>
    <w:link w:val="Heading6Char"/>
    <w:uiPriority w:val="9"/>
    <w:qFormat/>
    <w:rsid w:val="00124A51"/>
    <w:pPr>
      <w:spacing w:before="240" w:after="60"/>
      <w:outlineLvl w:val="5"/>
    </w:pPr>
    <w:rPr>
      <w:b/>
      <w:bCs/>
      <w:i/>
    </w:rPr>
  </w:style>
  <w:style w:type="paragraph" w:styleId="Heading7">
    <w:name w:val="heading 7"/>
    <w:basedOn w:val="Normal"/>
    <w:next w:val="Normal"/>
    <w:link w:val="Heading7Char"/>
    <w:uiPriority w:val="9"/>
    <w:qFormat/>
    <w:rsid w:val="00124A51"/>
    <w:pPr>
      <w:keepNext/>
      <w:jc w:val="center"/>
      <w:outlineLvl w:val="6"/>
    </w:pPr>
    <w:rPr>
      <w:b/>
      <w:sz w:val="20"/>
    </w:rPr>
  </w:style>
  <w:style w:type="paragraph" w:styleId="Heading8">
    <w:name w:val="heading 8"/>
    <w:basedOn w:val="Normal"/>
    <w:next w:val="Normal"/>
    <w:link w:val="Heading8Char"/>
    <w:uiPriority w:val="9"/>
    <w:qFormat/>
    <w:rsid w:val="00124A51"/>
    <w:pPr>
      <w:keepNext/>
      <w:jc w:val="right"/>
      <w:outlineLvl w:val="7"/>
    </w:pPr>
    <w:rPr>
      <w:b/>
    </w:rPr>
  </w:style>
  <w:style w:type="paragraph" w:styleId="Heading9">
    <w:name w:val="heading 9"/>
    <w:basedOn w:val="Normal"/>
    <w:next w:val="Normal"/>
    <w:link w:val="Heading9Char"/>
    <w:uiPriority w:val="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
    <w:rsid w:val="00124A51"/>
    <w:rPr>
      <w:rFonts w:ascii="Arial" w:hAnsi="Arial"/>
      <w:b/>
      <w:snapToGrid w:val="0"/>
      <w:lang w:eastAsia="en-US"/>
    </w:rPr>
  </w:style>
  <w:style w:type="character" w:customStyle="1" w:styleId="Heading8Char">
    <w:name w:val="Heading 8 Char"/>
    <w:basedOn w:val="DefaultParagraphFont"/>
    <w:link w:val="Heading8"/>
    <w:uiPriority w:val="9"/>
    <w:rsid w:val="00124A51"/>
    <w:rPr>
      <w:b/>
      <w:snapToGrid w:val="0"/>
      <w:sz w:val="24"/>
      <w:lang w:eastAsia="en-US"/>
    </w:rPr>
  </w:style>
  <w:style w:type="character" w:customStyle="1" w:styleId="Heading9Char">
    <w:name w:val="Heading 9 Char"/>
    <w:basedOn w:val="DefaultParagraphFont"/>
    <w:link w:val="Heading9"/>
    <w:uiPriority w:val="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link w:val="Caption"/>
    <w:rsid w:val="00E16AD8"/>
    <w:rPr>
      <w:rFonts w:ascii="Arial Narrow" w:hAnsi="Arial Narrow" w:cs="Arial"/>
      <w:b/>
      <w:bCs/>
      <w:szCs w:val="18"/>
    </w:rPr>
  </w:style>
  <w:style w:type="paragraph" w:styleId="Title">
    <w:name w:val="Title"/>
    <w:basedOn w:val="Normal"/>
    <w:next w:val="Normal"/>
    <w:link w:val="TitleChar"/>
    <w:uiPriority w:val="10"/>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Figure_name,Numbered Indented Text"/>
    <w:link w:val="ListParagraphChar"/>
    <w:uiPriority w:val="34"/>
    <w:qFormat/>
    <w:rsid w:val="004C3B02"/>
    <w:pPr>
      <w:numPr>
        <w:numId w:val="21"/>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uiPriority w:val="99"/>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MSD Table Grid,HTAtableplain"/>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uiPriority w:val="11"/>
    <w:rsid w:val="00B50DB8"/>
    <w:rPr>
      <w:lang w:eastAsia="en-US"/>
    </w:rPr>
  </w:style>
  <w:style w:type="paragraph" w:styleId="Subtitle">
    <w:name w:val="Subtitle"/>
    <w:basedOn w:val="Normal"/>
    <w:link w:val="SubtitleChar"/>
    <w:uiPriority w:val="11"/>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D92D9D"/>
    <w:pPr>
      <w:keepNext/>
      <w:keepLines/>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D92D9D"/>
    <w:pPr>
      <w:keepNext/>
      <w:keepLines/>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23"/>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D92F90"/>
    <w:pPr>
      <w:numPr>
        <w:ilvl w:val="1"/>
        <w:numId w:val="23"/>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D92F90"/>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5"/>
      </w:numPr>
      <w:contextualSpacing/>
    </w:pPr>
  </w:style>
  <w:style w:type="character" w:customStyle="1" w:styleId="TableTextChar0">
    <w:name w:val="Table Text Char"/>
    <w:basedOn w:val="DefaultParagraphFont"/>
    <w:link w:val="TableText0"/>
    <w:rsid w:val="00D92D9D"/>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17"/>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qFormat/>
    <w:rsid w:val="00572BA4"/>
    <w:pPr>
      <w:keepLines/>
      <w:spacing w:after="120"/>
      <w:contextualSpacing/>
      <w:jc w:val="left"/>
    </w:pPr>
    <w:rPr>
      <w:rFonts w:ascii="Arial Narrow" w:hAnsi="Arial Narrow"/>
      <w:snapToGrid w:val="0"/>
      <w:sz w:val="18"/>
      <w:szCs w:val="20"/>
    </w:rPr>
  </w:style>
  <w:style w:type="character" w:customStyle="1" w:styleId="TableFigureFooterChar">
    <w:name w:val="Table/Figure Footer Char"/>
    <w:link w:val="TableFigureFooter"/>
    <w:rsid w:val="00572BA4"/>
    <w:rPr>
      <w:rFonts w:ascii="Arial Narrow" w:hAnsi="Arial Narrow" w:cs="Arial"/>
      <w:snapToGrid w:val="0"/>
      <w:sz w:val="18"/>
    </w:rPr>
  </w:style>
  <w:style w:type="character" w:customStyle="1" w:styleId="CaptionFootnoteChar">
    <w:name w:val="Caption Footnote Char"/>
    <w:basedOn w:val="DefaultParagraphFont"/>
    <w:link w:val="CaptionFootnote"/>
    <w:rsid w:val="00F57A54"/>
    <w:rPr>
      <w:rFonts w:asciiTheme="minorHAnsi" w:hAnsiTheme="minorHAnsi"/>
      <w:kern w:val="28"/>
      <w:sz w:val="16"/>
      <w:szCs w:val="24"/>
      <w:lang w:eastAsia="en-GB"/>
    </w:rPr>
  </w:style>
  <w:style w:type="paragraph" w:customStyle="1" w:styleId="CaptionFootnote">
    <w:name w:val="Caption Footnote"/>
    <w:basedOn w:val="Normal"/>
    <w:link w:val="CaptionFootnoteChar"/>
    <w:qFormat/>
    <w:rsid w:val="00F57A54"/>
    <w:rPr>
      <w:rFonts w:asciiTheme="minorHAnsi" w:hAnsiTheme="minorHAnsi" w:cs="Times New Roman"/>
      <w:kern w:val="28"/>
      <w:sz w:val="16"/>
      <w:lang w:eastAsia="en-GB"/>
    </w:rPr>
  </w:style>
  <w:style w:type="paragraph" w:styleId="FootnoteText">
    <w:name w:val="footnote text"/>
    <w:basedOn w:val="Normal"/>
    <w:link w:val="FootnoteTextChar"/>
    <w:semiHidden/>
    <w:unhideWhenUsed/>
    <w:rsid w:val="008C52F4"/>
    <w:rPr>
      <w:sz w:val="20"/>
      <w:szCs w:val="20"/>
    </w:rPr>
  </w:style>
  <w:style w:type="character" w:customStyle="1" w:styleId="FootnoteTextChar">
    <w:name w:val="Footnote Text Char"/>
    <w:basedOn w:val="DefaultParagraphFont"/>
    <w:link w:val="FootnoteText"/>
    <w:semiHidden/>
    <w:rsid w:val="008C52F4"/>
    <w:rPr>
      <w:rFonts w:ascii="Calibri" w:hAnsi="Calibri" w:cs="Arial"/>
    </w:rPr>
  </w:style>
  <w:style w:type="character" w:styleId="FootnoteReference">
    <w:name w:val="footnote reference"/>
    <w:basedOn w:val="DefaultParagraphFont"/>
    <w:semiHidden/>
    <w:unhideWhenUsed/>
    <w:rsid w:val="008C52F4"/>
    <w:rPr>
      <w:vertAlign w:val="superscript"/>
    </w:rPr>
  </w:style>
  <w:style w:type="character" w:customStyle="1" w:styleId="Small">
    <w:name w:val="Small"/>
    <w:basedOn w:val="DefaultParagraphFont"/>
    <w:uiPriority w:val="4"/>
    <w:rsid w:val="00D504F2"/>
    <w:rPr>
      <w:rFonts w:ascii="Calibri" w:hAnsi="Calibri"/>
      <w:sz w:val="20"/>
    </w:rPr>
  </w:style>
  <w:style w:type="paragraph" w:customStyle="1" w:styleId="TableLeft">
    <w:name w:val="Table Left"/>
    <w:basedOn w:val="Normal"/>
    <w:link w:val="TableLeftChar"/>
    <w:uiPriority w:val="99"/>
    <w:qFormat/>
    <w:rsid w:val="00D504F2"/>
    <w:pPr>
      <w:jc w:val="left"/>
    </w:pPr>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D504F2"/>
    <w:rPr>
      <w:rFonts w:ascii="Calibri" w:eastAsiaTheme="majorEastAsia" w:hAnsi="Calibri" w:cstheme="majorBidi"/>
      <w:sz w:val="18"/>
      <w:szCs w:val="22"/>
      <w:lang w:eastAsia="en-US" w:bidi="en-US"/>
    </w:rPr>
  </w:style>
  <w:style w:type="character" w:styleId="UnresolvedMention">
    <w:name w:val="Unresolved Mention"/>
    <w:basedOn w:val="DefaultParagraphFont"/>
    <w:uiPriority w:val="99"/>
    <w:semiHidden/>
    <w:unhideWhenUsed/>
    <w:rsid w:val="00F43A94"/>
    <w:rPr>
      <w:color w:val="605E5C"/>
      <w:shd w:val="clear" w:color="auto" w:fill="E1DFDD"/>
    </w:rPr>
  </w:style>
  <w:style w:type="character" w:customStyle="1" w:styleId="Heading1Char">
    <w:name w:val="Heading 1 Char"/>
    <w:basedOn w:val="DefaultParagraphFont"/>
    <w:link w:val="Heading1"/>
    <w:uiPriority w:val="9"/>
    <w:rsid w:val="007C592A"/>
    <w:rPr>
      <w:rFonts w:ascii="Calibri" w:hAnsi="Calibri" w:cs="Arial"/>
      <w:b/>
      <w:caps/>
      <w:sz w:val="32"/>
      <w:szCs w:val="24"/>
    </w:rPr>
  </w:style>
  <w:style w:type="character" w:customStyle="1" w:styleId="Heading3Char">
    <w:name w:val="Heading 3 Char"/>
    <w:basedOn w:val="DefaultParagraphFont"/>
    <w:link w:val="Heading3"/>
    <w:uiPriority w:val="9"/>
    <w:rsid w:val="007C592A"/>
    <w:rPr>
      <w:rFonts w:ascii="Calibri" w:hAnsi="Calibri" w:cs="Arial"/>
      <w:sz w:val="24"/>
      <w:szCs w:val="24"/>
      <w:u w:val="single"/>
    </w:rPr>
  </w:style>
  <w:style w:type="character" w:customStyle="1" w:styleId="Heading4Char">
    <w:name w:val="Heading 4 Char"/>
    <w:basedOn w:val="DefaultParagraphFont"/>
    <w:link w:val="Heading4"/>
    <w:uiPriority w:val="9"/>
    <w:rsid w:val="007C592A"/>
    <w:rPr>
      <w:rFonts w:ascii="Calibri" w:hAnsi="Calibri" w:cs="Arial"/>
      <w:b/>
      <w:bCs/>
      <w:i/>
      <w:sz w:val="26"/>
      <w:szCs w:val="28"/>
    </w:rPr>
  </w:style>
  <w:style w:type="character" w:customStyle="1" w:styleId="Heading5Char">
    <w:name w:val="Heading 5 Char"/>
    <w:basedOn w:val="DefaultParagraphFont"/>
    <w:link w:val="Heading5"/>
    <w:uiPriority w:val="9"/>
    <w:rsid w:val="007C592A"/>
    <w:rPr>
      <w:rFonts w:ascii="Calibri" w:hAnsi="Calibri" w:cs="Arial"/>
      <w:b/>
      <w:bCs/>
      <w:iCs/>
      <w:sz w:val="26"/>
      <w:szCs w:val="26"/>
    </w:rPr>
  </w:style>
  <w:style w:type="character" w:customStyle="1" w:styleId="Heading6Char">
    <w:name w:val="Heading 6 Char"/>
    <w:basedOn w:val="DefaultParagraphFont"/>
    <w:link w:val="Heading6"/>
    <w:uiPriority w:val="9"/>
    <w:rsid w:val="007C592A"/>
    <w:rPr>
      <w:rFonts w:ascii="Calibri" w:hAnsi="Calibri" w:cs="Arial"/>
      <w:b/>
      <w:bCs/>
      <w:i/>
      <w:sz w:val="24"/>
      <w:szCs w:val="24"/>
    </w:rPr>
  </w:style>
  <w:style w:type="paragraph" w:styleId="Quote">
    <w:name w:val="Quote"/>
    <w:basedOn w:val="Normal"/>
    <w:next w:val="Normal"/>
    <w:link w:val="QuoteChar"/>
    <w:uiPriority w:val="29"/>
    <w:qFormat/>
    <w:rsid w:val="007C592A"/>
    <w:pPr>
      <w:spacing w:before="160"/>
      <w:jc w:val="center"/>
    </w:pPr>
    <w:rPr>
      <w:i/>
      <w:iCs/>
      <w:color w:val="404040" w:themeColor="text1" w:themeTint="BF"/>
      <w14:ligatures w14:val="standardContextual"/>
    </w:rPr>
  </w:style>
  <w:style w:type="character" w:customStyle="1" w:styleId="QuoteChar">
    <w:name w:val="Quote Char"/>
    <w:basedOn w:val="DefaultParagraphFont"/>
    <w:link w:val="Quote"/>
    <w:uiPriority w:val="29"/>
    <w:rsid w:val="007C592A"/>
    <w:rPr>
      <w:rFonts w:ascii="Calibri" w:hAnsi="Calibri" w:cs="Arial"/>
      <w:i/>
      <w:iCs/>
      <w:color w:val="404040" w:themeColor="text1" w:themeTint="BF"/>
      <w:sz w:val="24"/>
      <w:szCs w:val="24"/>
      <w14:ligatures w14:val="standardContextual"/>
    </w:rPr>
  </w:style>
  <w:style w:type="character" w:styleId="IntenseEmphasis">
    <w:name w:val="Intense Emphasis"/>
    <w:basedOn w:val="DefaultParagraphFont"/>
    <w:uiPriority w:val="21"/>
    <w:qFormat/>
    <w:rsid w:val="007C592A"/>
    <w:rPr>
      <w:i/>
      <w:iCs/>
      <w:color w:val="365F91" w:themeColor="accent1" w:themeShade="BF"/>
    </w:rPr>
  </w:style>
  <w:style w:type="paragraph" w:styleId="IntenseQuote">
    <w:name w:val="Intense Quote"/>
    <w:basedOn w:val="Normal"/>
    <w:next w:val="Normal"/>
    <w:link w:val="IntenseQuoteChar"/>
    <w:uiPriority w:val="30"/>
    <w:qFormat/>
    <w:rsid w:val="007C592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14:ligatures w14:val="standardContextual"/>
    </w:rPr>
  </w:style>
  <w:style w:type="character" w:customStyle="1" w:styleId="IntenseQuoteChar">
    <w:name w:val="Intense Quote Char"/>
    <w:basedOn w:val="DefaultParagraphFont"/>
    <w:link w:val="IntenseQuote"/>
    <w:uiPriority w:val="30"/>
    <w:rsid w:val="007C592A"/>
    <w:rPr>
      <w:rFonts w:ascii="Calibri" w:hAnsi="Calibri" w:cs="Arial"/>
      <w:i/>
      <w:iCs/>
      <w:color w:val="365F91" w:themeColor="accent1" w:themeShade="BF"/>
      <w:sz w:val="24"/>
      <w:szCs w:val="24"/>
      <w14:ligatures w14:val="standardContextual"/>
    </w:rPr>
  </w:style>
  <w:style w:type="character" w:styleId="IntenseReference">
    <w:name w:val="Intense Reference"/>
    <w:basedOn w:val="DefaultParagraphFont"/>
    <w:uiPriority w:val="32"/>
    <w:qFormat/>
    <w:rsid w:val="007C592A"/>
    <w:rPr>
      <w:b/>
      <w:bCs/>
      <w:smallCaps/>
      <w:color w:val="365F91" w:themeColor="accent1" w:themeShade="BF"/>
      <w:spacing w:val="5"/>
    </w:rPr>
  </w:style>
  <w:style w:type="character" w:customStyle="1" w:styleId="FontSubscript">
    <w:name w:val="Font Subscript"/>
    <w:basedOn w:val="DefaultParagraphFont"/>
    <w:uiPriority w:val="1"/>
    <w:rsid w:val="007C592A"/>
    <w:rPr>
      <w:rFonts w:ascii="Sabon" w:hAnsi="Sabon"/>
      <w:sz w:val="22"/>
      <w:vertAlign w:val="subscript"/>
    </w:rPr>
  </w:style>
  <w:style w:type="character" w:customStyle="1" w:styleId="normaltextrun">
    <w:name w:val="normaltextrun"/>
    <w:basedOn w:val="DefaultParagraphFont"/>
    <w:rsid w:val="007C592A"/>
  </w:style>
  <w:style w:type="character" w:customStyle="1" w:styleId="eop">
    <w:name w:val="eop"/>
    <w:basedOn w:val="DefaultParagraphFont"/>
    <w:rsid w:val="007C592A"/>
  </w:style>
  <w:style w:type="paragraph" w:customStyle="1" w:styleId="paragraph">
    <w:name w:val="paragraph"/>
    <w:basedOn w:val="Normal"/>
    <w:rsid w:val="007C592A"/>
    <w:pPr>
      <w:spacing w:before="100" w:beforeAutospacing="1" w:after="100" w:afterAutospacing="1"/>
      <w:jc w:val="left"/>
    </w:pPr>
    <w:rPr>
      <w:rFonts w:ascii="Times New Roman" w:hAnsi="Times New Roman" w:cs="Times New Roman"/>
    </w:rPr>
  </w:style>
  <w:style w:type="paragraph" w:customStyle="1" w:styleId="3-SubsectionHeading">
    <w:name w:val="3-Subsection Heading"/>
    <w:basedOn w:val="Heading2"/>
    <w:next w:val="Normal"/>
    <w:link w:val="3-SubsectionHeadingChar"/>
    <w:qFormat/>
    <w:rsid w:val="00544CFD"/>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544CFD"/>
    <w:rPr>
      <w:rFonts w:asciiTheme="minorHAnsi" w:eastAsiaTheme="majorEastAsia" w:hAnsiTheme="minorHAnsi" w:cstheme="majorBidi"/>
      <w:b/>
      <w:i/>
      <w:snapToGrid/>
      <w:spacing w:val="5"/>
      <w:kern w:val="28"/>
      <w:sz w:val="28"/>
      <w:szCs w:val="36"/>
      <w:lang w:eastAsia="en-US"/>
    </w:rPr>
  </w:style>
  <w:style w:type="character" w:styleId="Mention">
    <w:name w:val="Mention"/>
    <w:basedOn w:val="DefaultParagraphFont"/>
    <w:uiPriority w:val="99"/>
    <w:unhideWhenUsed/>
    <w:rsid w:val="009E4B9F"/>
    <w:rPr>
      <w:color w:val="2B579A"/>
      <w:shd w:val="clear" w:color="auto" w:fill="E1DFDD"/>
    </w:rPr>
  </w:style>
  <w:style w:type="paragraph" w:customStyle="1" w:styleId="3Bodytext">
    <w:name w:val="3. Body text"/>
    <w:basedOn w:val="Normal"/>
    <w:link w:val="3BodytextChar"/>
    <w:qFormat/>
    <w:rsid w:val="004000F2"/>
    <w:pPr>
      <w:spacing w:after="120"/>
    </w:pPr>
    <w:rPr>
      <w:rFonts w:cs="Calibri"/>
      <w:szCs w:val="22"/>
    </w:rPr>
  </w:style>
  <w:style w:type="character" w:customStyle="1" w:styleId="3BodytextChar">
    <w:name w:val="3. Body text Char"/>
    <w:basedOn w:val="DefaultParagraphFont"/>
    <w:link w:val="3Bodytext"/>
    <w:rsid w:val="004000F2"/>
    <w:rPr>
      <w:rFonts w:ascii="Calibri" w:hAnsi="Calibri" w:cs="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8876">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59336186">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48289503">
      <w:bodyDiv w:val="1"/>
      <w:marLeft w:val="0"/>
      <w:marRight w:val="0"/>
      <w:marTop w:val="0"/>
      <w:marBottom w:val="0"/>
      <w:divBdr>
        <w:top w:val="none" w:sz="0" w:space="0" w:color="auto"/>
        <w:left w:val="none" w:sz="0" w:space="0" w:color="auto"/>
        <w:bottom w:val="none" w:sz="0" w:space="0" w:color="auto"/>
        <w:right w:val="none" w:sz="0" w:space="0" w:color="auto"/>
      </w:divBdr>
    </w:div>
    <w:div w:id="754980710">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46598059">
      <w:bodyDiv w:val="1"/>
      <w:marLeft w:val="0"/>
      <w:marRight w:val="0"/>
      <w:marTop w:val="0"/>
      <w:marBottom w:val="0"/>
      <w:divBdr>
        <w:top w:val="none" w:sz="0" w:space="0" w:color="auto"/>
        <w:left w:val="none" w:sz="0" w:space="0" w:color="auto"/>
        <w:bottom w:val="none" w:sz="0" w:space="0" w:color="auto"/>
        <w:right w:val="none" w:sz="0" w:space="0" w:color="auto"/>
      </w:divBdr>
    </w:div>
    <w:div w:id="869875789">
      <w:bodyDiv w:val="1"/>
      <w:marLeft w:val="0"/>
      <w:marRight w:val="0"/>
      <w:marTop w:val="0"/>
      <w:marBottom w:val="0"/>
      <w:divBdr>
        <w:top w:val="none" w:sz="0" w:space="0" w:color="auto"/>
        <w:left w:val="none" w:sz="0" w:space="0" w:color="auto"/>
        <w:bottom w:val="none" w:sz="0" w:space="0" w:color="auto"/>
        <w:right w:val="none" w:sz="0" w:space="0" w:color="auto"/>
      </w:divBdr>
      <w:divsChild>
        <w:div w:id="1029378601">
          <w:marLeft w:val="0"/>
          <w:marRight w:val="0"/>
          <w:marTop w:val="0"/>
          <w:marBottom w:val="0"/>
          <w:divBdr>
            <w:top w:val="none" w:sz="0" w:space="0" w:color="auto"/>
            <w:left w:val="none" w:sz="0" w:space="0" w:color="auto"/>
            <w:bottom w:val="none" w:sz="0" w:space="0" w:color="auto"/>
            <w:right w:val="none" w:sz="0" w:space="0" w:color="auto"/>
          </w:divBdr>
        </w:div>
      </w:divsChild>
    </w:div>
    <w:div w:id="907610361">
      <w:bodyDiv w:val="1"/>
      <w:marLeft w:val="0"/>
      <w:marRight w:val="0"/>
      <w:marTop w:val="0"/>
      <w:marBottom w:val="0"/>
      <w:divBdr>
        <w:top w:val="none" w:sz="0" w:space="0" w:color="auto"/>
        <w:left w:val="none" w:sz="0" w:space="0" w:color="auto"/>
        <w:bottom w:val="none" w:sz="0" w:space="0" w:color="auto"/>
        <w:right w:val="none" w:sz="0" w:space="0" w:color="auto"/>
      </w:divBdr>
      <w:divsChild>
        <w:div w:id="733621095">
          <w:marLeft w:val="0"/>
          <w:marRight w:val="0"/>
          <w:marTop w:val="0"/>
          <w:marBottom w:val="0"/>
          <w:divBdr>
            <w:top w:val="none" w:sz="0" w:space="0" w:color="auto"/>
            <w:left w:val="none" w:sz="0" w:space="0" w:color="auto"/>
            <w:bottom w:val="none" w:sz="0" w:space="0" w:color="auto"/>
            <w:right w:val="none" w:sz="0" w:space="0" w:color="auto"/>
          </w:divBdr>
        </w:div>
        <w:div w:id="839394995">
          <w:marLeft w:val="0"/>
          <w:marRight w:val="0"/>
          <w:marTop w:val="0"/>
          <w:marBottom w:val="0"/>
          <w:divBdr>
            <w:top w:val="none" w:sz="0" w:space="0" w:color="auto"/>
            <w:left w:val="none" w:sz="0" w:space="0" w:color="auto"/>
            <w:bottom w:val="none" w:sz="0" w:space="0" w:color="auto"/>
            <w:right w:val="none" w:sz="0" w:space="0" w:color="auto"/>
          </w:divBdr>
        </w:div>
      </w:divsChild>
    </w:div>
    <w:div w:id="105180515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01883000">
      <w:bodyDiv w:val="1"/>
      <w:marLeft w:val="0"/>
      <w:marRight w:val="0"/>
      <w:marTop w:val="0"/>
      <w:marBottom w:val="0"/>
      <w:divBdr>
        <w:top w:val="none" w:sz="0" w:space="0" w:color="auto"/>
        <w:left w:val="none" w:sz="0" w:space="0" w:color="auto"/>
        <w:bottom w:val="none" w:sz="0" w:space="0" w:color="auto"/>
        <w:right w:val="none" w:sz="0" w:space="0" w:color="auto"/>
      </w:divBdr>
    </w:div>
    <w:div w:id="1565405986">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www.servicesaustralia.gov.au/hpo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www.servicesaustralia.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servicesaustralia.gov.au/hpo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servicesaustralia.gov.au/hpo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ervicesaustralia.gov.au/hp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vicesaustralia.gov.a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2f95629-adac-4ec1-8738-e1cec852b92b" xsi:nil="true"/>
    <lcf76f155ced4ddcb4097134ff3c332f xmlns="7f856f8d-13b3-495a-9a4b-41f8182eda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C5DEC3-14EB-409F-8C9F-C096D3B9C174}">
  <ds:schemaRefs>
    <ds:schemaRef ds:uri="http://schemas.openxmlformats.org/officeDocument/2006/bibliography"/>
  </ds:schemaRefs>
</ds:datastoreItem>
</file>

<file path=customXml/itemProps2.xml><?xml version="1.0" encoding="utf-8"?>
<ds:datastoreItem xmlns:ds="http://schemas.openxmlformats.org/officeDocument/2006/customXml" ds:itemID="{B07BCA37-2FAC-401C-80A0-A24EA6D69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CDA09D-4C80-4860-BE0C-419E984393CE}">
  <ds:schemaRefs>
    <ds:schemaRef ds:uri="http://schemas.microsoft.com/sharepoint/v3/contenttype/forms"/>
  </ds:schemaRefs>
</ds:datastoreItem>
</file>

<file path=customXml/itemProps4.xml><?xml version="1.0" encoding="utf-8"?>
<ds:datastoreItem xmlns:ds="http://schemas.openxmlformats.org/officeDocument/2006/customXml" ds:itemID="{2541D82E-3952-46E5-9B24-6F424D2279EB}">
  <ds:schemaRefs>
    <ds:schemaRef ds:uri="http://schemas.microsoft.com/office/2006/metadata/properties"/>
    <ds:schemaRef ds:uri="http://schemas.microsoft.com/office/infopath/2007/PartnerControls"/>
    <ds:schemaRef ds:uri="72f95629-adac-4ec1-8738-e1cec852b92b"/>
    <ds:schemaRef ds:uri="7f856f8d-13b3-495a-9a4b-41f8182eda4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16972</Words>
  <Characters>96745</Characters>
  <Application>Microsoft Office Word</Application>
  <DocSecurity>0</DocSecurity>
  <Lines>806</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113491</CharactersWithSpaces>
  <SharedDoc>false</SharedDoc>
  <HLinks>
    <vt:vector size="42" baseType="variant">
      <vt:variant>
        <vt:i4>1507399</vt:i4>
      </vt:variant>
      <vt:variant>
        <vt:i4>186</vt:i4>
      </vt:variant>
      <vt:variant>
        <vt:i4>0</vt:i4>
      </vt:variant>
      <vt:variant>
        <vt:i4>5</vt:i4>
      </vt:variant>
      <vt:variant>
        <vt:lpwstr>http://www.servicesaustralia.gov.au/hpos</vt:lpwstr>
      </vt:variant>
      <vt:variant>
        <vt:lpwstr/>
      </vt:variant>
      <vt:variant>
        <vt:i4>1507399</vt:i4>
      </vt:variant>
      <vt:variant>
        <vt:i4>183</vt:i4>
      </vt:variant>
      <vt:variant>
        <vt:i4>0</vt:i4>
      </vt:variant>
      <vt:variant>
        <vt:i4>5</vt:i4>
      </vt:variant>
      <vt:variant>
        <vt:lpwstr>http://www.servicesaustralia.gov.au/hpos</vt:lpwstr>
      </vt:variant>
      <vt:variant>
        <vt:lpwstr/>
      </vt:variant>
      <vt:variant>
        <vt:i4>1310784</vt:i4>
      </vt:variant>
      <vt:variant>
        <vt:i4>180</vt:i4>
      </vt:variant>
      <vt:variant>
        <vt:i4>0</vt:i4>
      </vt:variant>
      <vt:variant>
        <vt:i4>5</vt:i4>
      </vt:variant>
      <vt:variant>
        <vt:lpwstr>http://www.servicesaustralia.gov.au/</vt:lpwstr>
      </vt:variant>
      <vt:variant>
        <vt:lpwstr/>
      </vt:variant>
      <vt:variant>
        <vt:i4>1507399</vt:i4>
      </vt:variant>
      <vt:variant>
        <vt:i4>159</vt:i4>
      </vt:variant>
      <vt:variant>
        <vt:i4>0</vt:i4>
      </vt:variant>
      <vt:variant>
        <vt:i4>5</vt:i4>
      </vt:variant>
      <vt:variant>
        <vt:lpwstr>http://www.servicesaustralia.gov.au/hpos</vt:lpwstr>
      </vt:variant>
      <vt:variant>
        <vt:lpwstr/>
      </vt:variant>
      <vt:variant>
        <vt:i4>1507399</vt:i4>
      </vt:variant>
      <vt:variant>
        <vt:i4>156</vt:i4>
      </vt:variant>
      <vt:variant>
        <vt:i4>0</vt:i4>
      </vt:variant>
      <vt:variant>
        <vt:i4>5</vt:i4>
      </vt:variant>
      <vt:variant>
        <vt:lpwstr>http://www.servicesaustralia.gov.au/hpos</vt:lpwstr>
      </vt:variant>
      <vt:variant>
        <vt:lpwstr/>
      </vt:variant>
      <vt:variant>
        <vt:i4>1310784</vt:i4>
      </vt:variant>
      <vt:variant>
        <vt:i4>153</vt:i4>
      </vt:variant>
      <vt:variant>
        <vt:i4>0</vt:i4>
      </vt:variant>
      <vt:variant>
        <vt:i4>5</vt:i4>
      </vt:variant>
      <vt:variant>
        <vt:lpwstr>http://www.servicesaustralia.gov.au/</vt:lpwstr>
      </vt:variant>
      <vt:variant>
        <vt:lpwstr/>
      </vt:variant>
      <vt:variant>
        <vt:i4>7602294</vt:i4>
      </vt:variant>
      <vt:variant>
        <vt:i4>0</vt:i4>
      </vt:variant>
      <vt:variant>
        <vt:i4>0</vt:i4>
      </vt:variant>
      <vt:variant>
        <vt:i4>5</vt:i4>
      </vt:variant>
      <vt:variant>
        <vt:lpwstr>https://www.pbs.gov.au/industry/listing/elements/pbac-meetings/psd/2022-09/files/tixagevimab-and-cilgavimab-psd-09-2022-12-2022.pdf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2025-07-29T05:46:00Z</dcterms:created>
  <dcterms:modified xsi:type="dcterms:W3CDTF">2025-08-27T11:30:00Z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y fmtid="{D5CDD505-2E9C-101B-9397-08002B2CF9AE}" pid="3" name="MediaServiceImageTags">
    <vt:lpwstr/>
  </property>
  <property fmtid="{D5CDD505-2E9C-101B-9397-08002B2CF9AE}" pid="4" name="ClassificationContentMarkingHeaderShapeIds">
    <vt:lpwstr>331ff4fc,1b6f7876,37da2d2d</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3401049d,7232124,3801ec32</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7cd3e8b9-ffed-43a8-b7f4-cc2fa0382d36_Enabled">
    <vt:lpwstr>true</vt:lpwstr>
  </property>
  <property fmtid="{D5CDD505-2E9C-101B-9397-08002B2CF9AE}" pid="11" name="MSIP_Label_7cd3e8b9-ffed-43a8-b7f4-cc2fa0382d36_SetDate">
    <vt:lpwstr>2025-08-26T07:59:13Z</vt:lpwstr>
  </property>
  <property fmtid="{D5CDD505-2E9C-101B-9397-08002B2CF9AE}" pid="12" name="MSIP_Label_7cd3e8b9-ffed-43a8-b7f4-cc2fa0382d36_Method">
    <vt:lpwstr>Privileged</vt:lpwstr>
  </property>
  <property fmtid="{D5CDD505-2E9C-101B-9397-08002B2CF9AE}" pid="13" name="MSIP_Label_7cd3e8b9-ffed-43a8-b7f4-cc2fa0382d36_Name">
    <vt:lpwstr>O</vt:lpwstr>
  </property>
  <property fmtid="{D5CDD505-2E9C-101B-9397-08002B2CF9AE}" pid="14" name="MSIP_Label_7cd3e8b9-ffed-43a8-b7f4-cc2fa0382d36_SiteId">
    <vt:lpwstr>34a3929c-73cf-4954-abfe-147dc3517892</vt:lpwstr>
  </property>
  <property fmtid="{D5CDD505-2E9C-101B-9397-08002B2CF9AE}" pid="15" name="MSIP_Label_7cd3e8b9-ffed-43a8-b7f4-cc2fa0382d36_ActionId">
    <vt:lpwstr>7f235939-172f-48f5-8d63-3cc1cd08b7d5</vt:lpwstr>
  </property>
  <property fmtid="{D5CDD505-2E9C-101B-9397-08002B2CF9AE}" pid="16" name="MSIP_Label_7cd3e8b9-ffed-43a8-b7f4-cc2fa0382d36_ContentBits">
    <vt:lpwstr>3</vt:lpwstr>
  </property>
  <property fmtid="{D5CDD505-2E9C-101B-9397-08002B2CF9AE}" pid="17" name="MSIP_Label_7cd3e8b9-ffed-43a8-b7f4-cc2fa0382d36_Tag">
    <vt:lpwstr>10, 0, 1, 1</vt:lpwstr>
  </property>
</Properties>
</file>