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701A" w14:textId="138AD6F8" w:rsidR="00B60939" w:rsidRPr="004F789C" w:rsidRDefault="003B507C" w:rsidP="004A6040">
      <w:pPr>
        <w:pStyle w:val="COMexecsummheadings"/>
      </w:pPr>
      <w:r>
        <w:t>5</w:t>
      </w:r>
      <w:r w:rsidR="00433044" w:rsidRPr="004F789C">
        <w:t>.</w:t>
      </w:r>
      <w:r>
        <w:t>04</w:t>
      </w:r>
      <w:r w:rsidR="00163F66" w:rsidRPr="004F789C">
        <w:tab/>
      </w:r>
      <w:r w:rsidR="00DA044D" w:rsidRPr="004F789C">
        <w:t>FEDRATINIB</w:t>
      </w:r>
      <w:r w:rsidR="00163F66" w:rsidRPr="004F789C">
        <w:t>,</w:t>
      </w:r>
      <w:r w:rsidR="00163F66" w:rsidRPr="004F789C">
        <w:br/>
      </w:r>
      <w:r w:rsidR="00DA044D" w:rsidRPr="004F789C">
        <w:t>Capsule 100 mg</w:t>
      </w:r>
      <w:r w:rsidR="00163F66" w:rsidRPr="004F789C">
        <w:t>,</w:t>
      </w:r>
      <w:r w:rsidR="00163F66" w:rsidRPr="004F789C">
        <w:br/>
      </w:r>
      <w:proofErr w:type="spellStart"/>
      <w:r w:rsidR="00EB56F9" w:rsidRPr="004F789C">
        <w:t>Inrebic</w:t>
      </w:r>
      <w:proofErr w:type="spellEnd"/>
      <w:r w:rsidR="00B60939" w:rsidRPr="004F789C">
        <w:rPr>
          <w:vertAlign w:val="superscript"/>
        </w:rPr>
        <w:t>®</w:t>
      </w:r>
      <w:r w:rsidR="004A6040" w:rsidRPr="004F789C">
        <w:t>,</w:t>
      </w:r>
      <w:r w:rsidR="004A6040" w:rsidRPr="004F789C">
        <w:br/>
      </w:r>
      <w:r w:rsidR="00EB56F9" w:rsidRPr="004F789C">
        <w:t>Bristol-Myers Squib</w:t>
      </w:r>
      <w:r w:rsidR="005F7C0B" w:rsidRPr="004F789C">
        <w:t>b</w:t>
      </w:r>
      <w:r w:rsidR="00EB56F9" w:rsidRPr="004F789C">
        <w:t xml:space="preserve"> Australia Pty Ltd</w:t>
      </w:r>
      <w:r w:rsidR="00B60939" w:rsidRPr="004F789C">
        <w:t>.</w:t>
      </w:r>
    </w:p>
    <w:p w14:paraId="11C00795" w14:textId="3DFB6D23" w:rsidR="00B50DB8" w:rsidRPr="003B6D82" w:rsidRDefault="00B50DB8" w:rsidP="004A6040">
      <w:pPr>
        <w:pStyle w:val="COMH1-numbered"/>
        <w:rPr>
          <w:iCs/>
        </w:rPr>
      </w:pPr>
      <w:bookmarkStart w:id="0" w:name="_Toc192437866"/>
      <w:r w:rsidRPr="003B6D82">
        <w:rPr>
          <w:iCs/>
        </w:rPr>
        <w:t xml:space="preserve">Purpose of </w:t>
      </w:r>
      <w:r w:rsidR="00CD7193" w:rsidRPr="003B6D82">
        <w:rPr>
          <w:iCs/>
        </w:rPr>
        <w:t>s</w:t>
      </w:r>
      <w:r w:rsidR="00BB3A45" w:rsidRPr="003B6D82">
        <w:rPr>
          <w:iCs/>
        </w:rPr>
        <w:t>ubmission</w:t>
      </w:r>
      <w:bookmarkEnd w:id="0"/>
    </w:p>
    <w:p w14:paraId="1BD783F0" w14:textId="4F9A6BD5" w:rsidR="00C96441" w:rsidRPr="00C96441" w:rsidRDefault="000D6A19" w:rsidP="00C96441">
      <w:pPr>
        <w:pStyle w:val="COMexecsummnumbered"/>
        <w:numPr>
          <w:ilvl w:val="1"/>
          <w:numId w:val="3"/>
        </w:numPr>
        <w:rPr>
          <w:iCs/>
        </w:rPr>
      </w:pPr>
      <w:r w:rsidRPr="003B6D82">
        <w:rPr>
          <w:iCs/>
        </w:rPr>
        <w:t xml:space="preserve">The Category 2 submission requested a </w:t>
      </w:r>
      <w:r w:rsidR="0088570C" w:rsidRPr="003B6D82">
        <w:rPr>
          <w:iCs/>
        </w:rPr>
        <w:t>Section 85 (</w:t>
      </w:r>
      <w:r w:rsidRPr="003B6D82">
        <w:rPr>
          <w:iCs/>
        </w:rPr>
        <w:t>General Schedule</w:t>
      </w:r>
      <w:r w:rsidR="0088570C" w:rsidRPr="003B6D82">
        <w:rPr>
          <w:iCs/>
        </w:rPr>
        <w:t>)</w:t>
      </w:r>
      <w:r w:rsidR="002F5C21" w:rsidRPr="003B6D82">
        <w:rPr>
          <w:iCs/>
        </w:rPr>
        <w:t>,</w:t>
      </w:r>
      <w:r w:rsidRPr="003B6D82">
        <w:rPr>
          <w:iCs/>
        </w:rPr>
        <w:t xml:space="preserve"> Authority Required (Telephone/Online)</w:t>
      </w:r>
      <w:r w:rsidR="001A1112" w:rsidRPr="003B6D82">
        <w:rPr>
          <w:iCs/>
        </w:rPr>
        <w:t xml:space="preserve"> PBS</w:t>
      </w:r>
      <w:r w:rsidRPr="003B6D82">
        <w:rPr>
          <w:iCs/>
        </w:rPr>
        <w:t xml:space="preserve"> listing of </w:t>
      </w:r>
      <w:proofErr w:type="spellStart"/>
      <w:r w:rsidRPr="003B6D82">
        <w:rPr>
          <w:iCs/>
        </w:rPr>
        <w:t>fedratinib</w:t>
      </w:r>
      <w:proofErr w:type="spellEnd"/>
      <w:r w:rsidRPr="003B6D82">
        <w:rPr>
          <w:iCs/>
        </w:rPr>
        <w:t>, for the treatment of patients with intermediate-2</w:t>
      </w:r>
      <w:r w:rsidR="00F33F63">
        <w:rPr>
          <w:iCs/>
        </w:rPr>
        <w:t xml:space="preserve"> </w:t>
      </w:r>
      <w:r w:rsidR="00BC4F9A">
        <w:rPr>
          <w:iCs/>
        </w:rPr>
        <w:t>and</w:t>
      </w:r>
      <w:r w:rsidR="00F33F63">
        <w:rPr>
          <w:iCs/>
        </w:rPr>
        <w:t xml:space="preserve"> </w:t>
      </w:r>
      <w:r w:rsidRPr="003B6D82">
        <w:rPr>
          <w:iCs/>
        </w:rPr>
        <w:t>high</w:t>
      </w:r>
      <w:r w:rsidR="00BD2255">
        <w:rPr>
          <w:iCs/>
        </w:rPr>
        <w:t>-</w:t>
      </w:r>
      <w:r w:rsidRPr="003B6D82">
        <w:rPr>
          <w:iCs/>
        </w:rPr>
        <w:t>risk myelofibrosis</w:t>
      </w:r>
      <w:r w:rsidR="00C96441">
        <w:rPr>
          <w:snapToGrid w:val="0"/>
          <w:lang w:val="en-GB"/>
        </w:rPr>
        <w:t xml:space="preserve">, </w:t>
      </w:r>
      <w:r w:rsidR="00C96441">
        <w:rPr>
          <w:iCs/>
        </w:rPr>
        <w:t>p</w:t>
      </w:r>
      <w:r w:rsidR="00C96441" w:rsidRPr="00C96441">
        <w:rPr>
          <w:iCs/>
        </w:rPr>
        <w:t xml:space="preserve">ost-polycythaemia vera myelofibrosis, or post-essential </w:t>
      </w:r>
      <w:proofErr w:type="spellStart"/>
      <w:r w:rsidR="00C96441" w:rsidRPr="00C96441">
        <w:rPr>
          <w:iCs/>
        </w:rPr>
        <w:t>thrombocythaemia</w:t>
      </w:r>
      <w:proofErr w:type="spellEnd"/>
      <w:r w:rsidR="00C96441" w:rsidRPr="00C96441">
        <w:rPr>
          <w:iCs/>
        </w:rPr>
        <w:t xml:space="preserve"> myelofibrosis who have had prior </w:t>
      </w:r>
      <w:proofErr w:type="spellStart"/>
      <w:r w:rsidR="00C96441" w:rsidRPr="00C96441">
        <w:rPr>
          <w:iCs/>
        </w:rPr>
        <w:t>ruxolitinib</w:t>
      </w:r>
      <w:proofErr w:type="spellEnd"/>
      <w:r w:rsidR="00C96441" w:rsidRPr="00C96441">
        <w:rPr>
          <w:iCs/>
        </w:rPr>
        <w:t xml:space="preserve"> treatment.</w:t>
      </w:r>
    </w:p>
    <w:p w14:paraId="70F6A9F7" w14:textId="0479A907" w:rsidR="000D6A19" w:rsidRPr="003B6D82" w:rsidRDefault="001A1112" w:rsidP="00514495">
      <w:pPr>
        <w:pStyle w:val="COMexecsummnumbered"/>
        <w:numPr>
          <w:ilvl w:val="1"/>
          <w:numId w:val="3"/>
        </w:numPr>
        <w:rPr>
          <w:iCs/>
        </w:rPr>
      </w:pPr>
      <w:r w:rsidRPr="003B6D82">
        <w:rPr>
          <w:iCs/>
        </w:rPr>
        <w:t>PBS l</w:t>
      </w:r>
      <w:r w:rsidR="000D6A19" w:rsidRPr="003B6D82">
        <w:rPr>
          <w:iCs/>
        </w:rPr>
        <w:t xml:space="preserve">isting was requested </w:t>
      </w:r>
      <w:proofErr w:type="gramStart"/>
      <w:r w:rsidR="000D6A19" w:rsidRPr="003B6D82">
        <w:rPr>
          <w:iCs/>
        </w:rPr>
        <w:t>on the basis of</w:t>
      </w:r>
      <w:proofErr w:type="gramEnd"/>
      <w:r w:rsidR="000D6A19" w:rsidRPr="003B6D82">
        <w:rPr>
          <w:iCs/>
        </w:rPr>
        <w:t xml:space="preserve"> a cost-effectiveness analysis versus best available therapy, comprised of suboptimal treatment with </w:t>
      </w:r>
      <w:proofErr w:type="spellStart"/>
      <w:r w:rsidR="000D6A19" w:rsidRPr="003B6D82">
        <w:rPr>
          <w:iCs/>
        </w:rPr>
        <w:t>ruxolitinib</w:t>
      </w:r>
      <w:proofErr w:type="spellEnd"/>
      <w:r w:rsidR="000D6A19" w:rsidRPr="003B6D82">
        <w:rPr>
          <w:iCs/>
        </w:rPr>
        <w:t xml:space="preserve"> for </w:t>
      </w:r>
      <w:proofErr w:type="gramStart"/>
      <w:r w:rsidR="000D6A19" w:rsidRPr="003B6D82">
        <w:rPr>
          <w:iCs/>
        </w:rPr>
        <w:t>the majority of</w:t>
      </w:r>
      <w:proofErr w:type="gramEnd"/>
      <w:r w:rsidR="000D6A19" w:rsidRPr="003B6D82">
        <w:rPr>
          <w:iCs/>
        </w:rPr>
        <w:t xml:space="preserve"> patients, along with other treatments such hydroxyurea, interferon alfa, prednisone, or busulfan for a small proportion of patients.</w:t>
      </w:r>
    </w:p>
    <w:p w14:paraId="41E36CAE" w14:textId="0A19D65A" w:rsidR="000D6A19" w:rsidRPr="003B6D82" w:rsidRDefault="000D6A19" w:rsidP="000E18F9">
      <w:pPr>
        <w:pStyle w:val="COMtablefigcaption"/>
        <w:spacing w:before="120"/>
        <w:rPr>
          <w:iCs/>
        </w:rPr>
      </w:pPr>
      <w:r w:rsidRPr="003B6D82">
        <w:rPr>
          <w:iCs/>
        </w:rPr>
        <w:t xml:space="preserve">Table </w:t>
      </w:r>
      <w:r w:rsidR="00B251ED" w:rsidRPr="003B6D82">
        <w:rPr>
          <w:iCs/>
        </w:rPr>
        <w:fldChar w:fldCharType="begin" w:fldLock="1"/>
      </w:r>
      <w:r w:rsidR="00B251ED" w:rsidRPr="003B6D82">
        <w:rPr>
          <w:iCs/>
        </w:rPr>
        <w:instrText xml:space="preserve"> SEQ Table \* ARABIC </w:instrText>
      </w:r>
      <w:r w:rsidR="00B251ED" w:rsidRPr="003B6D82">
        <w:rPr>
          <w:iCs/>
        </w:rPr>
        <w:fldChar w:fldCharType="separate"/>
      </w:r>
      <w:r w:rsidR="00A072A5">
        <w:rPr>
          <w:iCs/>
          <w:noProof/>
        </w:rPr>
        <w:t>1</w:t>
      </w:r>
      <w:r w:rsidR="00B251ED" w:rsidRPr="003B6D82">
        <w:rPr>
          <w:iCs/>
          <w:noProof/>
        </w:rPr>
        <w:fldChar w:fldCharType="end"/>
      </w:r>
      <w:r w:rsidRPr="003B6D82">
        <w:rPr>
          <w:iCs/>
        </w:rPr>
        <w:t>: Key components of the clinical issue addressed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23"/>
        <w:gridCol w:w="7794"/>
      </w:tblGrid>
      <w:tr w:rsidR="000D6A19" w:rsidRPr="003B6D82" w14:paraId="0DC4144D" w14:textId="77777777" w:rsidTr="000D6A19">
        <w:tc>
          <w:tcPr>
            <w:tcW w:w="1227" w:type="dxa"/>
            <w:tcBorders>
              <w:top w:val="single" w:sz="4" w:space="0" w:color="auto"/>
              <w:left w:val="single" w:sz="4" w:space="0" w:color="auto"/>
              <w:bottom w:val="single" w:sz="4" w:space="0" w:color="auto"/>
              <w:right w:val="single" w:sz="4" w:space="0" w:color="auto"/>
            </w:tcBorders>
            <w:vAlign w:val="center"/>
            <w:hideMark/>
          </w:tcPr>
          <w:p w14:paraId="4CCD241B" w14:textId="77777777" w:rsidR="000D6A19" w:rsidRPr="003B6D82" w:rsidRDefault="000D6A19">
            <w:pPr>
              <w:pStyle w:val="COMTableheadingrow"/>
              <w:rPr>
                <w:iCs/>
                <w:lang w:val="en-AU"/>
              </w:rPr>
            </w:pPr>
            <w:r w:rsidRPr="003B6D82">
              <w:rPr>
                <w:iCs/>
                <w:lang w:val="en-AU"/>
              </w:rPr>
              <w:t>Component</w:t>
            </w:r>
          </w:p>
        </w:tc>
        <w:tc>
          <w:tcPr>
            <w:tcW w:w="7929" w:type="dxa"/>
            <w:tcBorders>
              <w:top w:val="single" w:sz="4" w:space="0" w:color="auto"/>
              <w:left w:val="single" w:sz="4" w:space="0" w:color="auto"/>
              <w:bottom w:val="single" w:sz="4" w:space="0" w:color="auto"/>
              <w:right w:val="single" w:sz="4" w:space="0" w:color="auto"/>
            </w:tcBorders>
            <w:vAlign w:val="center"/>
            <w:hideMark/>
          </w:tcPr>
          <w:p w14:paraId="74EEF1ED" w14:textId="77777777" w:rsidR="000D6A19" w:rsidRPr="003B6D82" w:rsidRDefault="000D6A19">
            <w:pPr>
              <w:pStyle w:val="COMTableheadingrow"/>
              <w:jc w:val="center"/>
              <w:rPr>
                <w:iCs/>
                <w:lang w:val="en-AU"/>
              </w:rPr>
            </w:pPr>
            <w:r w:rsidRPr="003B6D82">
              <w:rPr>
                <w:iCs/>
                <w:lang w:val="en-AU"/>
              </w:rPr>
              <w:t>Description</w:t>
            </w:r>
          </w:p>
        </w:tc>
      </w:tr>
      <w:tr w:rsidR="000D6A19" w:rsidRPr="003B6D82" w14:paraId="192FAC1C" w14:textId="77777777" w:rsidTr="000D6A19">
        <w:tc>
          <w:tcPr>
            <w:tcW w:w="1227" w:type="dxa"/>
            <w:tcBorders>
              <w:top w:val="single" w:sz="4" w:space="0" w:color="auto"/>
              <w:left w:val="single" w:sz="4" w:space="0" w:color="auto"/>
              <w:bottom w:val="single" w:sz="4" w:space="0" w:color="auto"/>
              <w:right w:val="single" w:sz="4" w:space="0" w:color="auto"/>
            </w:tcBorders>
            <w:vAlign w:val="center"/>
            <w:hideMark/>
          </w:tcPr>
          <w:p w14:paraId="364B838C" w14:textId="77777777" w:rsidR="000D6A19" w:rsidRPr="003B6D82" w:rsidRDefault="000D6A19">
            <w:pPr>
              <w:pStyle w:val="COMTabletext"/>
              <w:rPr>
                <w:iCs/>
              </w:rPr>
            </w:pPr>
            <w:r w:rsidRPr="003B6D82">
              <w:rPr>
                <w:iCs/>
              </w:rPr>
              <w:t>Population</w:t>
            </w:r>
          </w:p>
        </w:tc>
        <w:tc>
          <w:tcPr>
            <w:tcW w:w="7929" w:type="dxa"/>
            <w:tcBorders>
              <w:top w:val="single" w:sz="4" w:space="0" w:color="auto"/>
              <w:left w:val="single" w:sz="4" w:space="0" w:color="auto"/>
              <w:bottom w:val="single" w:sz="4" w:space="0" w:color="auto"/>
              <w:right w:val="single" w:sz="4" w:space="0" w:color="auto"/>
            </w:tcBorders>
            <w:hideMark/>
          </w:tcPr>
          <w:p w14:paraId="0A0266D5" w14:textId="090CFC63" w:rsidR="000D6A19" w:rsidRPr="003B6D82" w:rsidRDefault="000D6A19">
            <w:pPr>
              <w:pStyle w:val="COMTabletext"/>
              <w:rPr>
                <w:iCs/>
              </w:rPr>
            </w:pPr>
            <w:r w:rsidRPr="003B6D82">
              <w:rPr>
                <w:iCs/>
              </w:rPr>
              <w:t xml:space="preserve">Adult patients with intermediate-2 </w:t>
            </w:r>
            <w:r w:rsidR="00BC4F9A">
              <w:rPr>
                <w:iCs/>
              </w:rPr>
              <w:t>and</w:t>
            </w:r>
            <w:r w:rsidRPr="003B6D82">
              <w:rPr>
                <w:iCs/>
              </w:rPr>
              <w:t xml:space="preserve"> </w:t>
            </w:r>
            <w:r w:rsidR="00BD2255" w:rsidRPr="003B6D82">
              <w:rPr>
                <w:iCs/>
              </w:rPr>
              <w:t>high-risk</w:t>
            </w:r>
            <w:r w:rsidRPr="003B6D82">
              <w:rPr>
                <w:iCs/>
              </w:rPr>
              <w:t xml:space="preserve"> primary myelofibrosis, post-polycythaemia vera myelofibrosis, or post-essential </w:t>
            </w:r>
            <w:proofErr w:type="spellStart"/>
            <w:r w:rsidRPr="003B6D82">
              <w:rPr>
                <w:iCs/>
              </w:rPr>
              <w:t>thrombocythaemia</w:t>
            </w:r>
            <w:proofErr w:type="spellEnd"/>
            <w:r w:rsidRPr="003B6D82">
              <w:rPr>
                <w:iCs/>
              </w:rPr>
              <w:t xml:space="preserve"> myelofibrosis who have had prior </w:t>
            </w:r>
            <w:proofErr w:type="spellStart"/>
            <w:r w:rsidRPr="003B6D82">
              <w:rPr>
                <w:iCs/>
              </w:rPr>
              <w:t>ruxolitinib</w:t>
            </w:r>
            <w:proofErr w:type="spellEnd"/>
            <w:r w:rsidRPr="003B6D82">
              <w:rPr>
                <w:iCs/>
              </w:rPr>
              <w:t xml:space="preserve"> treatment.</w:t>
            </w:r>
          </w:p>
        </w:tc>
      </w:tr>
      <w:tr w:rsidR="000D6A19" w:rsidRPr="003B6D82" w14:paraId="2EAC91DA" w14:textId="77777777" w:rsidTr="000D6A19">
        <w:tc>
          <w:tcPr>
            <w:tcW w:w="1227" w:type="dxa"/>
            <w:tcBorders>
              <w:top w:val="single" w:sz="4" w:space="0" w:color="auto"/>
              <w:left w:val="single" w:sz="4" w:space="0" w:color="auto"/>
              <w:bottom w:val="single" w:sz="4" w:space="0" w:color="auto"/>
              <w:right w:val="single" w:sz="4" w:space="0" w:color="auto"/>
            </w:tcBorders>
            <w:vAlign w:val="center"/>
            <w:hideMark/>
          </w:tcPr>
          <w:p w14:paraId="54EA6086" w14:textId="77777777" w:rsidR="000D6A19" w:rsidRPr="003B6D82" w:rsidRDefault="000D6A19">
            <w:pPr>
              <w:pStyle w:val="COMTabletext"/>
              <w:rPr>
                <w:iCs/>
              </w:rPr>
            </w:pPr>
            <w:r w:rsidRPr="003B6D82">
              <w:rPr>
                <w:iCs/>
              </w:rPr>
              <w:t>Intervention</w:t>
            </w:r>
          </w:p>
        </w:tc>
        <w:tc>
          <w:tcPr>
            <w:tcW w:w="7929" w:type="dxa"/>
            <w:tcBorders>
              <w:top w:val="single" w:sz="4" w:space="0" w:color="auto"/>
              <w:left w:val="single" w:sz="4" w:space="0" w:color="auto"/>
              <w:bottom w:val="single" w:sz="4" w:space="0" w:color="auto"/>
              <w:right w:val="single" w:sz="4" w:space="0" w:color="auto"/>
            </w:tcBorders>
            <w:hideMark/>
          </w:tcPr>
          <w:p w14:paraId="3E85D0EB" w14:textId="77777777" w:rsidR="000D6A19" w:rsidRPr="003B6D82" w:rsidRDefault="000D6A19">
            <w:pPr>
              <w:pStyle w:val="COMTabletext"/>
              <w:rPr>
                <w:iCs/>
              </w:rPr>
            </w:pPr>
            <w:proofErr w:type="spellStart"/>
            <w:r w:rsidRPr="003B6D82">
              <w:rPr>
                <w:iCs/>
              </w:rPr>
              <w:t>Fedratinib</w:t>
            </w:r>
            <w:proofErr w:type="spellEnd"/>
            <w:r w:rsidRPr="003B6D82">
              <w:rPr>
                <w:iCs/>
              </w:rPr>
              <w:t xml:space="preserve"> 400 mg (4 × 100 mg capsules) administered orally once a day.</w:t>
            </w:r>
          </w:p>
        </w:tc>
      </w:tr>
      <w:tr w:rsidR="000D6A19" w:rsidRPr="003B6D82" w14:paraId="60E45816" w14:textId="77777777" w:rsidTr="000D6A19">
        <w:tc>
          <w:tcPr>
            <w:tcW w:w="1227" w:type="dxa"/>
            <w:tcBorders>
              <w:top w:val="single" w:sz="4" w:space="0" w:color="auto"/>
              <w:left w:val="single" w:sz="4" w:space="0" w:color="auto"/>
              <w:bottom w:val="single" w:sz="4" w:space="0" w:color="auto"/>
              <w:right w:val="single" w:sz="4" w:space="0" w:color="auto"/>
            </w:tcBorders>
            <w:vAlign w:val="center"/>
            <w:hideMark/>
          </w:tcPr>
          <w:p w14:paraId="2D6420CD" w14:textId="77777777" w:rsidR="000D6A19" w:rsidRPr="003B6D82" w:rsidRDefault="000D6A19">
            <w:pPr>
              <w:pStyle w:val="COMTabletext"/>
              <w:rPr>
                <w:iCs/>
              </w:rPr>
            </w:pPr>
            <w:r w:rsidRPr="003B6D82">
              <w:rPr>
                <w:iCs/>
              </w:rPr>
              <w:t>Comparator</w:t>
            </w:r>
          </w:p>
        </w:tc>
        <w:tc>
          <w:tcPr>
            <w:tcW w:w="7929" w:type="dxa"/>
            <w:tcBorders>
              <w:top w:val="single" w:sz="4" w:space="0" w:color="auto"/>
              <w:left w:val="single" w:sz="4" w:space="0" w:color="auto"/>
              <w:bottom w:val="single" w:sz="4" w:space="0" w:color="auto"/>
              <w:right w:val="single" w:sz="4" w:space="0" w:color="auto"/>
            </w:tcBorders>
            <w:hideMark/>
          </w:tcPr>
          <w:p w14:paraId="754B32AF" w14:textId="77777777" w:rsidR="000D6A19" w:rsidRPr="003B6D82" w:rsidRDefault="000D6A19">
            <w:pPr>
              <w:pStyle w:val="COMTabletext"/>
              <w:rPr>
                <w:iCs/>
              </w:rPr>
            </w:pPr>
            <w:r w:rsidRPr="003B6D82">
              <w:rPr>
                <w:iCs/>
              </w:rPr>
              <w:t xml:space="preserve">Best available therapy, consisting of suboptimal </w:t>
            </w:r>
            <w:proofErr w:type="spellStart"/>
            <w:r w:rsidRPr="003B6D82">
              <w:rPr>
                <w:iCs/>
              </w:rPr>
              <w:t>ruxolitinib</w:t>
            </w:r>
            <w:proofErr w:type="spellEnd"/>
            <w:r w:rsidRPr="003B6D82">
              <w:rPr>
                <w:iCs/>
              </w:rPr>
              <w:t xml:space="preserve"> treatment (due to loss of response or intolerance), hydroxyurea, peginterferon alfa-2a, busulfan or prednisone.</w:t>
            </w:r>
          </w:p>
        </w:tc>
      </w:tr>
      <w:tr w:rsidR="000D6A19" w:rsidRPr="003B6D82" w14:paraId="256130BF" w14:textId="77777777" w:rsidTr="000D6A19">
        <w:tc>
          <w:tcPr>
            <w:tcW w:w="1227" w:type="dxa"/>
            <w:tcBorders>
              <w:top w:val="single" w:sz="4" w:space="0" w:color="auto"/>
              <w:left w:val="single" w:sz="4" w:space="0" w:color="auto"/>
              <w:bottom w:val="single" w:sz="4" w:space="0" w:color="auto"/>
              <w:right w:val="single" w:sz="4" w:space="0" w:color="auto"/>
            </w:tcBorders>
            <w:vAlign w:val="center"/>
            <w:hideMark/>
          </w:tcPr>
          <w:p w14:paraId="33142F37" w14:textId="77777777" w:rsidR="000D6A19" w:rsidRPr="003B6D82" w:rsidRDefault="000D6A19">
            <w:pPr>
              <w:pStyle w:val="COMTabletext"/>
              <w:rPr>
                <w:iCs/>
              </w:rPr>
            </w:pPr>
            <w:r w:rsidRPr="003B6D82">
              <w:rPr>
                <w:iCs/>
              </w:rPr>
              <w:t>Outcomes</w:t>
            </w:r>
          </w:p>
        </w:tc>
        <w:tc>
          <w:tcPr>
            <w:tcW w:w="7929" w:type="dxa"/>
            <w:tcBorders>
              <w:top w:val="single" w:sz="4" w:space="0" w:color="auto"/>
              <w:left w:val="single" w:sz="4" w:space="0" w:color="auto"/>
              <w:bottom w:val="single" w:sz="4" w:space="0" w:color="auto"/>
              <w:right w:val="single" w:sz="4" w:space="0" w:color="auto"/>
            </w:tcBorders>
            <w:hideMark/>
          </w:tcPr>
          <w:p w14:paraId="2864280D" w14:textId="77777777" w:rsidR="000D6A19" w:rsidRPr="003B6D82" w:rsidRDefault="000D6A19">
            <w:pPr>
              <w:pStyle w:val="COMTabletext"/>
              <w:rPr>
                <w:iCs/>
              </w:rPr>
            </w:pPr>
            <w:r w:rsidRPr="003B6D82">
              <w:rPr>
                <w:iCs/>
              </w:rPr>
              <w:t>Spleen volume; myelofibrosis-associated symptoms; quality of life.</w:t>
            </w:r>
          </w:p>
        </w:tc>
      </w:tr>
      <w:tr w:rsidR="000D6A19" w:rsidRPr="003B6D82" w14:paraId="6556A17D" w14:textId="77777777" w:rsidTr="000D6A19">
        <w:tc>
          <w:tcPr>
            <w:tcW w:w="1227" w:type="dxa"/>
            <w:tcBorders>
              <w:top w:val="single" w:sz="4" w:space="0" w:color="auto"/>
              <w:left w:val="single" w:sz="4" w:space="0" w:color="auto"/>
              <w:bottom w:val="single" w:sz="4" w:space="0" w:color="auto"/>
              <w:right w:val="single" w:sz="4" w:space="0" w:color="auto"/>
            </w:tcBorders>
            <w:vAlign w:val="center"/>
            <w:hideMark/>
          </w:tcPr>
          <w:p w14:paraId="1C97E7CE" w14:textId="77777777" w:rsidR="000D6A19" w:rsidRPr="003B6D82" w:rsidRDefault="000D6A19">
            <w:pPr>
              <w:pStyle w:val="COMTabletext"/>
              <w:rPr>
                <w:iCs/>
              </w:rPr>
            </w:pPr>
            <w:r w:rsidRPr="003B6D82">
              <w:rPr>
                <w:iCs/>
              </w:rPr>
              <w:t>Clinical claim</w:t>
            </w:r>
          </w:p>
        </w:tc>
        <w:tc>
          <w:tcPr>
            <w:tcW w:w="7929" w:type="dxa"/>
            <w:tcBorders>
              <w:top w:val="single" w:sz="4" w:space="0" w:color="auto"/>
              <w:left w:val="single" w:sz="4" w:space="0" w:color="auto"/>
              <w:bottom w:val="single" w:sz="4" w:space="0" w:color="auto"/>
              <w:right w:val="single" w:sz="4" w:space="0" w:color="auto"/>
            </w:tcBorders>
            <w:hideMark/>
          </w:tcPr>
          <w:p w14:paraId="0AA48A34" w14:textId="77777777" w:rsidR="000D6A19" w:rsidRPr="003B6D82" w:rsidRDefault="000D6A19">
            <w:pPr>
              <w:pStyle w:val="COMTabletext"/>
              <w:rPr>
                <w:iCs/>
              </w:rPr>
            </w:pPr>
            <w:proofErr w:type="spellStart"/>
            <w:r w:rsidRPr="003B6D82">
              <w:rPr>
                <w:iCs/>
              </w:rPr>
              <w:t>Fedratinib</w:t>
            </w:r>
            <w:proofErr w:type="spellEnd"/>
            <w:r w:rsidRPr="003B6D82">
              <w:rPr>
                <w:iCs/>
              </w:rPr>
              <w:t xml:space="preserve"> is superior in terms of efficacy and inferior in terms of safety compared to best available therapy.</w:t>
            </w:r>
          </w:p>
        </w:tc>
      </w:tr>
    </w:tbl>
    <w:p w14:paraId="477E25E1" w14:textId="77777777" w:rsidR="000D6A19" w:rsidRPr="003B6D82" w:rsidRDefault="000D6A19" w:rsidP="000D6A19">
      <w:pPr>
        <w:pStyle w:val="COMTablefooter"/>
        <w:rPr>
          <w:iCs/>
        </w:rPr>
      </w:pPr>
      <w:r w:rsidRPr="003B6D82">
        <w:rPr>
          <w:iCs/>
        </w:rPr>
        <w:t>Source: Table 1, p15 of the submission.</w:t>
      </w:r>
    </w:p>
    <w:p w14:paraId="4D80110A" w14:textId="77777777" w:rsidR="000D6A19" w:rsidRPr="003B6D82" w:rsidRDefault="000D6A19" w:rsidP="00F40844">
      <w:pPr>
        <w:pStyle w:val="COMH1-numbered"/>
        <w:numPr>
          <w:ilvl w:val="0"/>
          <w:numId w:val="3"/>
        </w:numPr>
        <w:snapToGrid w:val="0"/>
        <w:rPr>
          <w:iCs/>
        </w:rPr>
      </w:pPr>
      <w:bookmarkStart w:id="1" w:name="_Toc192437867"/>
      <w:r w:rsidRPr="003B6D82">
        <w:rPr>
          <w:iCs/>
        </w:rPr>
        <w:t>Background</w:t>
      </w:r>
      <w:bookmarkEnd w:id="1"/>
    </w:p>
    <w:p w14:paraId="451A807A" w14:textId="4AA786DB" w:rsidR="000D6A19" w:rsidRPr="003B6D82" w:rsidRDefault="000D6A19" w:rsidP="000D6A19">
      <w:pPr>
        <w:pStyle w:val="COMH2-non-numbered"/>
        <w:rPr>
          <w:i w:val="0"/>
          <w:iCs/>
        </w:rPr>
      </w:pPr>
      <w:bookmarkStart w:id="2" w:name="_Toc192437868"/>
      <w:r w:rsidRPr="003B6D82">
        <w:rPr>
          <w:i w:val="0"/>
          <w:iCs/>
        </w:rPr>
        <w:t>Registration status</w:t>
      </w:r>
      <w:bookmarkEnd w:id="2"/>
    </w:p>
    <w:p w14:paraId="24BFABFA" w14:textId="0F8CE327" w:rsidR="000D6A19" w:rsidRPr="00F131DE" w:rsidRDefault="000D6A19" w:rsidP="00F40844">
      <w:pPr>
        <w:pStyle w:val="COMexecsummnumbered"/>
        <w:numPr>
          <w:ilvl w:val="1"/>
          <w:numId w:val="3"/>
        </w:numPr>
        <w:rPr>
          <w:iCs/>
        </w:rPr>
      </w:pPr>
      <w:proofErr w:type="spellStart"/>
      <w:r w:rsidRPr="00F131DE">
        <w:rPr>
          <w:iCs/>
        </w:rPr>
        <w:t>Fedratinib</w:t>
      </w:r>
      <w:proofErr w:type="spellEnd"/>
      <w:r w:rsidRPr="00F131DE">
        <w:rPr>
          <w:iCs/>
        </w:rPr>
        <w:t xml:space="preserve"> </w:t>
      </w:r>
      <w:bookmarkStart w:id="3" w:name="_Hlk191983277"/>
      <w:r w:rsidRPr="00F131DE">
        <w:rPr>
          <w:iCs/>
        </w:rPr>
        <w:t>was registered on the Australian Register of Therapeutic Goods on 13</w:t>
      </w:r>
      <w:r w:rsidR="00CA5DAE">
        <w:rPr>
          <w:iCs/>
        </w:rPr>
        <w:t> </w:t>
      </w:r>
      <w:r w:rsidRPr="00F131DE">
        <w:rPr>
          <w:iCs/>
        </w:rPr>
        <w:t xml:space="preserve">February 2025 </w:t>
      </w:r>
      <w:bookmarkEnd w:id="3"/>
      <w:r w:rsidRPr="00F131DE">
        <w:rPr>
          <w:iCs/>
        </w:rPr>
        <w:t xml:space="preserve">for the treatment of disease-related splenomegaly or symptoms in adult patients with primary myelofibrosis, post-polycythaemia vera myelofibrosis or post-essential </w:t>
      </w:r>
      <w:proofErr w:type="spellStart"/>
      <w:r w:rsidRPr="00F131DE">
        <w:rPr>
          <w:iCs/>
        </w:rPr>
        <w:t>thrombocythaemia</w:t>
      </w:r>
      <w:proofErr w:type="spellEnd"/>
      <w:r w:rsidRPr="00F131DE">
        <w:rPr>
          <w:iCs/>
        </w:rPr>
        <w:t xml:space="preserve"> myelofibrosis who are JAK inhibitor naïve or have been treated with </w:t>
      </w:r>
      <w:proofErr w:type="spellStart"/>
      <w:r w:rsidRPr="00F131DE">
        <w:rPr>
          <w:iCs/>
        </w:rPr>
        <w:t>ruxolitinib</w:t>
      </w:r>
      <w:proofErr w:type="spellEnd"/>
      <w:r w:rsidRPr="00F131DE">
        <w:rPr>
          <w:iCs/>
        </w:rPr>
        <w:t xml:space="preserve">. </w:t>
      </w:r>
    </w:p>
    <w:p w14:paraId="68355F9F" w14:textId="77777777" w:rsidR="000D6A19" w:rsidRDefault="000D6A19" w:rsidP="00F40844">
      <w:pPr>
        <w:pStyle w:val="COMH1-numbered"/>
        <w:numPr>
          <w:ilvl w:val="0"/>
          <w:numId w:val="3"/>
        </w:numPr>
        <w:snapToGrid w:val="0"/>
        <w:rPr>
          <w:iCs/>
        </w:rPr>
      </w:pPr>
      <w:bookmarkStart w:id="4" w:name="_Toc192437869"/>
      <w:r w:rsidRPr="003B6D82">
        <w:rPr>
          <w:iCs/>
        </w:rPr>
        <w:t>Requested listing</w:t>
      </w:r>
      <w:bookmarkEnd w:id="4"/>
    </w:p>
    <w:p w14:paraId="501C2F5A" w14:textId="6B5367C3" w:rsidR="00D65ED1" w:rsidRPr="00D65ED1" w:rsidRDefault="00D65ED1" w:rsidP="00D65ED1">
      <w:pPr>
        <w:pStyle w:val="COMexecsummnumbered"/>
      </w:pPr>
      <w:r>
        <w:t xml:space="preserve">Secretariat suggestions and additions proposed are shown in </w:t>
      </w:r>
      <w:r w:rsidR="00F24334">
        <w:t>italics</w:t>
      </w:r>
      <w:r>
        <w:t xml:space="preserve"> and deletions are in strikethrough. </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785"/>
        <w:gridCol w:w="1306"/>
        <w:gridCol w:w="2240"/>
        <w:gridCol w:w="739"/>
        <w:gridCol w:w="814"/>
        <w:gridCol w:w="817"/>
        <w:gridCol w:w="1832"/>
      </w:tblGrid>
      <w:tr w:rsidR="000D6A19" w:rsidRPr="003B6D82" w14:paraId="7CC84474" w14:textId="77777777" w:rsidTr="00F24334">
        <w:trPr>
          <w:cantSplit/>
          <w:trHeight w:val="20"/>
        </w:trPr>
        <w:tc>
          <w:tcPr>
            <w:tcW w:w="2580" w:type="dxa"/>
            <w:gridSpan w:val="3"/>
            <w:tcBorders>
              <w:top w:val="single" w:sz="4" w:space="0" w:color="auto"/>
              <w:left w:val="single" w:sz="4" w:space="0" w:color="auto"/>
              <w:bottom w:val="single" w:sz="4" w:space="0" w:color="auto"/>
              <w:right w:val="single" w:sz="4" w:space="0" w:color="auto"/>
            </w:tcBorders>
            <w:vAlign w:val="center"/>
            <w:hideMark/>
          </w:tcPr>
          <w:p w14:paraId="62A253BE" w14:textId="77777777" w:rsidR="000D6A19" w:rsidRPr="003B6D82" w:rsidRDefault="000D6A19">
            <w:pPr>
              <w:pStyle w:val="COMTableheadingrow"/>
              <w:rPr>
                <w:iCs/>
                <w:lang w:val="en-AU"/>
              </w:rPr>
            </w:pPr>
            <w:r w:rsidRPr="003B6D82">
              <w:rPr>
                <w:iCs/>
                <w:lang w:val="en-AU"/>
              </w:rPr>
              <w:lastRenderedPageBreak/>
              <w:t>MEDICINAL PRODUCT</w:t>
            </w:r>
          </w:p>
          <w:p w14:paraId="087378F8" w14:textId="77777777" w:rsidR="000D6A19" w:rsidRPr="003B6D82" w:rsidRDefault="000D6A19">
            <w:pPr>
              <w:pStyle w:val="COMTableheadingrow"/>
              <w:rPr>
                <w:iCs/>
                <w:lang w:val="en-AU"/>
              </w:rPr>
            </w:pPr>
            <w:r w:rsidRPr="003B6D82">
              <w:rPr>
                <w:iCs/>
                <w:lang w:val="en-AU"/>
              </w:rPr>
              <w:t>medicinal product pack</w:t>
            </w:r>
          </w:p>
        </w:tc>
        <w:tc>
          <w:tcPr>
            <w:tcW w:w="2240" w:type="dxa"/>
            <w:tcBorders>
              <w:top w:val="single" w:sz="4" w:space="0" w:color="auto"/>
              <w:left w:val="single" w:sz="4" w:space="0" w:color="auto"/>
              <w:bottom w:val="single" w:sz="4" w:space="0" w:color="auto"/>
              <w:right w:val="single" w:sz="4" w:space="0" w:color="auto"/>
            </w:tcBorders>
            <w:vAlign w:val="center"/>
            <w:hideMark/>
          </w:tcPr>
          <w:p w14:paraId="50F46682" w14:textId="77777777" w:rsidR="000D6A19" w:rsidRPr="003B6D82" w:rsidRDefault="000D6A19">
            <w:pPr>
              <w:pStyle w:val="COMTableheadingrow"/>
              <w:jc w:val="center"/>
              <w:rPr>
                <w:iCs/>
                <w:lang w:val="en-AU"/>
              </w:rPr>
            </w:pPr>
            <w:r w:rsidRPr="003B6D82">
              <w:rPr>
                <w:iCs/>
                <w:lang w:val="en-AU"/>
              </w:rPr>
              <w:t>Dispensed Price for Max. Qty</w:t>
            </w:r>
          </w:p>
        </w:tc>
        <w:tc>
          <w:tcPr>
            <w:tcW w:w="739" w:type="dxa"/>
            <w:tcBorders>
              <w:top w:val="single" w:sz="4" w:space="0" w:color="auto"/>
              <w:left w:val="single" w:sz="4" w:space="0" w:color="auto"/>
              <w:bottom w:val="single" w:sz="4" w:space="0" w:color="auto"/>
              <w:right w:val="single" w:sz="4" w:space="0" w:color="auto"/>
            </w:tcBorders>
            <w:vAlign w:val="center"/>
            <w:hideMark/>
          </w:tcPr>
          <w:p w14:paraId="4B0D6DB4" w14:textId="77777777" w:rsidR="000D6A19" w:rsidRPr="003B6D82" w:rsidRDefault="000D6A19">
            <w:pPr>
              <w:pStyle w:val="COMTableheadingrow"/>
              <w:jc w:val="center"/>
              <w:rPr>
                <w:iCs/>
                <w:szCs w:val="20"/>
                <w:lang w:val="en-AU"/>
              </w:rPr>
            </w:pPr>
            <w:r w:rsidRPr="003B6D82">
              <w:rPr>
                <w:iCs/>
                <w:szCs w:val="20"/>
                <w:lang w:val="en-AU"/>
              </w:rPr>
              <w:t>Max. qty packs</w:t>
            </w:r>
          </w:p>
        </w:tc>
        <w:tc>
          <w:tcPr>
            <w:tcW w:w="814" w:type="dxa"/>
            <w:tcBorders>
              <w:top w:val="single" w:sz="4" w:space="0" w:color="auto"/>
              <w:left w:val="single" w:sz="4" w:space="0" w:color="auto"/>
              <w:bottom w:val="single" w:sz="4" w:space="0" w:color="auto"/>
              <w:right w:val="single" w:sz="4" w:space="0" w:color="auto"/>
            </w:tcBorders>
            <w:vAlign w:val="center"/>
            <w:hideMark/>
          </w:tcPr>
          <w:p w14:paraId="5D36827B" w14:textId="77777777" w:rsidR="000D6A19" w:rsidRPr="003B6D82" w:rsidRDefault="000D6A19">
            <w:pPr>
              <w:pStyle w:val="COMTableheadingrow"/>
              <w:jc w:val="center"/>
              <w:rPr>
                <w:iCs/>
                <w:szCs w:val="20"/>
                <w:lang w:val="en-AU"/>
              </w:rPr>
            </w:pPr>
            <w:r w:rsidRPr="003B6D82">
              <w:rPr>
                <w:iCs/>
                <w:szCs w:val="20"/>
                <w:lang w:val="en-AU"/>
              </w:rPr>
              <w:t>Max. qty units</w:t>
            </w:r>
          </w:p>
        </w:tc>
        <w:tc>
          <w:tcPr>
            <w:tcW w:w="817" w:type="dxa"/>
            <w:tcBorders>
              <w:top w:val="single" w:sz="4" w:space="0" w:color="auto"/>
              <w:left w:val="single" w:sz="4" w:space="0" w:color="auto"/>
              <w:bottom w:val="single" w:sz="4" w:space="0" w:color="auto"/>
              <w:right w:val="single" w:sz="4" w:space="0" w:color="auto"/>
            </w:tcBorders>
            <w:vAlign w:val="center"/>
            <w:hideMark/>
          </w:tcPr>
          <w:p w14:paraId="0F389EB3" w14:textId="77777777" w:rsidR="000D6A19" w:rsidRPr="003B6D82" w:rsidRDefault="000D6A19">
            <w:pPr>
              <w:pStyle w:val="COMTableheadingrow"/>
              <w:jc w:val="center"/>
              <w:rPr>
                <w:iCs/>
                <w:szCs w:val="20"/>
                <w:lang w:val="en-AU"/>
              </w:rPr>
            </w:pPr>
            <w:proofErr w:type="gramStart"/>
            <w:r w:rsidRPr="003B6D82">
              <w:rPr>
                <w:iCs/>
                <w:szCs w:val="20"/>
                <w:lang w:val="en-AU"/>
              </w:rPr>
              <w:t>№.of</w:t>
            </w:r>
            <w:proofErr w:type="gramEnd"/>
          </w:p>
          <w:p w14:paraId="0A2CEFBB" w14:textId="77777777" w:rsidR="000D6A19" w:rsidRPr="003B6D82" w:rsidRDefault="000D6A19">
            <w:pPr>
              <w:pStyle w:val="COMTableheadingrow"/>
              <w:jc w:val="center"/>
              <w:rPr>
                <w:iCs/>
                <w:szCs w:val="20"/>
                <w:lang w:val="en-AU"/>
              </w:rPr>
            </w:pPr>
            <w:proofErr w:type="spellStart"/>
            <w:r w:rsidRPr="003B6D82">
              <w:rPr>
                <w:iCs/>
                <w:szCs w:val="20"/>
                <w:lang w:val="en-AU"/>
              </w:rPr>
              <w:t>Rpts</w:t>
            </w:r>
            <w:proofErr w:type="spellEnd"/>
          </w:p>
        </w:tc>
        <w:tc>
          <w:tcPr>
            <w:tcW w:w="1832" w:type="dxa"/>
            <w:tcBorders>
              <w:top w:val="single" w:sz="4" w:space="0" w:color="auto"/>
              <w:left w:val="single" w:sz="4" w:space="0" w:color="auto"/>
              <w:bottom w:val="single" w:sz="4" w:space="0" w:color="auto"/>
              <w:right w:val="single" w:sz="4" w:space="0" w:color="auto"/>
            </w:tcBorders>
            <w:vAlign w:val="center"/>
            <w:hideMark/>
          </w:tcPr>
          <w:p w14:paraId="78F57CF9" w14:textId="77777777" w:rsidR="000D6A19" w:rsidRPr="003B6D82" w:rsidRDefault="000D6A19">
            <w:pPr>
              <w:pStyle w:val="COMTableheadingrow"/>
              <w:jc w:val="center"/>
              <w:rPr>
                <w:iCs/>
                <w:szCs w:val="20"/>
                <w:lang w:val="en-AU"/>
              </w:rPr>
            </w:pPr>
            <w:r w:rsidRPr="003B6D82">
              <w:rPr>
                <w:iCs/>
                <w:szCs w:val="20"/>
                <w:lang w:val="en-AU"/>
              </w:rPr>
              <w:t>Available brands</w:t>
            </w:r>
          </w:p>
        </w:tc>
      </w:tr>
      <w:tr w:rsidR="000D6A19" w:rsidRPr="003B6D82" w14:paraId="07CD77F6" w14:textId="77777777" w:rsidTr="00D7232E">
        <w:trPr>
          <w:cantSplit/>
          <w:trHeight w:val="20"/>
        </w:trPr>
        <w:tc>
          <w:tcPr>
            <w:tcW w:w="9022" w:type="dxa"/>
            <w:gridSpan w:val="8"/>
            <w:tcBorders>
              <w:top w:val="single" w:sz="4" w:space="0" w:color="auto"/>
              <w:left w:val="single" w:sz="4" w:space="0" w:color="auto"/>
              <w:bottom w:val="single" w:sz="4" w:space="0" w:color="auto"/>
              <w:right w:val="single" w:sz="4" w:space="0" w:color="auto"/>
            </w:tcBorders>
            <w:vAlign w:val="center"/>
            <w:hideMark/>
          </w:tcPr>
          <w:p w14:paraId="29F71AD7" w14:textId="77777777" w:rsidR="000D6A19" w:rsidRPr="003B6D82" w:rsidRDefault="000D6A19">
            <w:pPr>
              <w:pStyle w:val="COMTabletext"/>
              <w:rPr>
                <w:rFonts w:cs="Arial"/>
                <w:b/>
                <w:bCs w:val="0"/>
                <w:iCs/>
                <w:szCs w:val="20"/>
              </w:rPr>
            </w:pPr>
            <w:r w:rsidRPr="003B6D82">
              <w:rPr>
                <w:b/>
                <w:bCs w:val="0"/>
                <w:iCs/>
              </w:rPr>
              <w:t>FEDRATINIB</w:t>
            </w:r>
          </w:p>
        </w:tc>
      </w:tr>
      <w:tr w:rsidR="000D6A19" w:rsidRPr="003B6D82" w14:paraId="7FB86A3D" w14:textId="77777777" w:rsidTr="00F24334">
        <w:trPr>
          <w:cantSplit/>
          <w:trHeight w:val="20"/>
        </w:trPr>
        <w:tc>
          <w:tcPr>
            <w:tcW w:w="2580" w:type="dxa"/>
            <w:gridSpan w:val="3"/>
            <w:tcBorders>
              <w:top w:val="single" w:sz="4" w:space="0" w:color="auto"/>
              <w:left w:val="single" w:sz="4" w:space="0" w:color="auto"/>
              <w:bottom w:val="single" w:sz="4" w:space="0" w:color="auto"/>
              <w:right w:val="single" w:sz="4" w:space="0" w:color="auto"/>
            </w:tcBorders>
            <w:vAlign w:val="center"/>
            <w:hideMark/>
          </w:tcPr>
          <w:p w14:paraId="707FC147" w14:textId="77777777" w:rsidR="000D6A19" w:rsidRPr="003B6D82" w:rsidRDefault="000D6A19">
            <w:pPr>
              <w:pStyle w:val="COMTabletext"/>
              <w:rPr>
                <w:iCs/>
                <w:color w:val="0066FF"/>
                <w:szCs w:val="20"/>
              </w:rPr>
            </w:pPr>
            <w:proofErr w:type="spellStart"/>
            <w:r w:rsidRPr="003B6D82">
              <w:rPr>
                <w:iCs/>
              </w:rPr>
              <w:t>Fedratinib</w:t>
            </w:r>
            <w:proofErr w:type="spellEnd"/>
            <w:r w:rsidRPr="003B6D82">
              <w:rPr>
                <w:iCs/>
              </w:rPr>
              <w:t xml:space="preserve"> 100 mg capsule, 120</w:t>
            </w:r>
          </w:p>
        </w:tc>
        <w:tc>
          <w:tcPr>
            <w:tcW w:w="2240" w:type="dxa"/>
            <w:tcBorders>
              <w:top w:val="single" w:sz="4" w:space="0" w:color="auto"/>
              <w:left w:val="single" w:sz="4" w:space="0" w:color="auto"/>
              <w:bottom w:val="single" w:sz="4" w:space="0" w:color="auto"/>
              <w:right w:val="single" w:sz="4" w:space="0" w:color="auto"/>
            </w:tcBorders>
            <w:hideMark/>
          </w:tcPr>
          <w:p w14:paraId="7026A15F" w14:textId="0558F61E" w:rsidR="000D6A19" w:rsidRPr="003B6D82" w:rsidRDefault="000D6A19" w:rsidP="00F24334">
            <w:pPr>
              <w:pStyle w:val="COMTabletext"/>
              <w:rPr>
                <w:iCs/>
              </w:rPr>
            </w:pPr>
            <w:r w:rsidRPr="003B6D82">
              <w:rPr>
                <w:iCs/>
              </w:rPr>
              <w:t>$</w:t>
            </w:r>
            <w:r w:rsidR="00733FBC" w:rsidRPr="00E66BAF">
              <w:rPr>
                <w:iCs/>
                <w:color w:val="000000"/>
                <w:spacing w:val="45"/>
                <w:shd w:val="solid" w:color="000000" w:fill="000000"/>
                <w:fitText w:val="330" w:id="-663572480"/>
                <w14:textFill>
                  <w14:solidFill>
                    <w14:srgbClr w14:val="000000">
                      <w14:alpha w14:val="100000"/>
                    </w14:srgbClr>
                  </w14:solidFill>
                </w14:textFill>
              </w:rPr>
              <w:t>|||</w:t>
            </w:r>
            <w:r w:rsidR="00733FBC" w:rsidRPr="00E66BAF">
              <w:rPr>
                <w:iCs/>
                <w:color w:val="000000"/>
                <w:spacing w:val="15"/>
                <w:shd w:val="solid" w:color="000000" w:fill="000000"/>
                <w:fitText w:val="330" w:id="-663572480"/>
                <w14:textFill>
                  <w14:solidFill>
                    <w14:srgbClr w14:val="000000">
                      <w14:alpha w14:val="100000"/>
                    </w14:srgbClr>
                  </w14:solidFill>
                </w14:textFill>
              </w:rPr>
              <w:t>|</w:t>
            </w:r>
            <w:r w:rsidRPr="003B6D82">
              <w:rPr>
                <w:iCs/>
              </w:rPr>
              <w:t xml:space="preserve"> (published)</w:t>
            </w:r>
          </w:p>
          <w:p w14:paraId="1509BEF6" w14:textId="0F384360" w:rsidR="000D6A19" w:rsidRPr="003B6D82" w:rsidRDefault="000D6A19" w:rsidP="00F24334">
            <w:pPr>
              <w:pStyle w:val="COMTabletext"/>
              <w:rPr>
                <w:iCs/>
                <w:szCs w:val="20"/>
              </w:rPr>
            </w:pPr>
            <w:r w:rsidRPr="003B6D82">
              <w:rPr>
                <w:iCs/>
              </w:rPr>
              <w:t>$</w:t>
            </w:r>
            <w:r w:rsidR="00733FBC" w:rsidRPr="00E66BAF">
              <w:rPr>
                <w:iCs/>
                <w:color w:val="000000"/>
                <w:spacing w:val="45"/>
                <w:shd w:val="solid" w:color="000000" w:fill="000000"/>
                <w:fitText w:val="330" w:id="-663572479"/>
                <w14:textFill>
                  <w14:solidFill>
                    <w14:srgbClr w14:val="000000">
                      <w14:alpha w14:val="100000"/>
                    </w14:srgbClr>
                  </w14:solidFill>
                </w14:textFill>
              </w:rPr>
              <w:t>|||</w:t>
            </w:r>
            <w:r w:rsidR="00733FBC" w:rsidRPr="00E66BAF">
              <w:rPr>
                <w:iCs/>
                <w:color w:val="000000"/>
                <w:spacing w:val="15"/>
                <w:shd w:val="solid" w:color="000000" w:fill="000000"/>
                <w:fitText w:val="330" w:id="-663572479"/>
                <w14:textFill>
                  <w14:solidFill>
                    <w14:srgbClr w14:val="000000">
                      <w14:alpha w14:val="100000"/>
                    </w14:srgbClr>
                  </w14:solidFill>
                </w14:textFill>
              </w:rPr>
              <w:t>|</w:t>
            </w:r>
            <w:r w:rsidRPr="003B6D82">
              <w:rPr>
                <w:iCs/>
              </w:rPr>
              <w:t xml:space="preserve"> (effective)</w:t>
            </w:r>
          </w:p>
        </w:tc>
        <w:tc>
          <w:tcPr>
            <w:tcW w:w="739" w:type="dxa"/>
            <w:tcBorders>
              <w:top w:val="single" w:sz="4" w:space="0" w:color="auto"/>
              <w:left w:val="single" w:sz="4" w:space="0" w:color="auto"/>
              <w:bottom w:val="single" w:sz="4" w:space="0" w:color="auto"/>
              <w:right w:val="single" w:sz="4" w:space="0" w:color="auto"/>
            </w:tcBorders>
            <w:vAlign w:val="center"/>
            <w:hideMark/>
          </w:tcPr>
          <w:p w14:paraId="31EFAA2D" w14:textId="77777777" w:rsidR="000D6A19" w:rsidRPr="003B6D82" w:rsidRDefault="000D6A19">
            <w:pPr>
              <w:keepNext/>
              <w:keepLines/>
              <w:jc w:val="center"/>
              <w:rPr>
                <w:rFonts w:ascii="Arial Narrow" w:hAnsi="Arial Narrow"/>
                <w:iCs/>
                <w:sz w:val="20"/>
                <w:szCs w:val="20"/>
              </w:rPr>
            </w:pPr>
            <w:r w:rsidRPr="003B6D82">
              <w:rPr>
                <w:rFonts w:ascii="Arial Narrow" w:hAnsi="Arial Narrow"/>
                <w:iCs/>
                <w:sz w:val="20"/>
              </w:rPr>
              <w:t>1</w:t>
            </w:r>
          </w:p>
        </w:tc>
        <w:tc>
          <w:tcPr>
            <w:tcW w:w="814" w:type="dxa"/>
            <w:tcBorders>
              <w:top w:val="single" w:sz="4" w:space="0" w:color="auto"/>
              <w:left w:val="single" w:sz="4" w:space="0" w:color="auto"/>
              <w:bottom w:val="single" w:sz="4" w:space="0" w:color="auto"/>
              <w:right w:val="single" w:sz="4" w:space="0" w:color="auto"/>
            </w:tcBorders>
            <w:vAlign w:val="center"/>
            <w:hideMark/>
          </w:tcPr>
          <w:p w14:paraId="52604CC6" w14:textId="77777777" w:rsidR="000D6A19" w:rsidRPr="003B6D82" w:rsidRDefault="000D6A19">
            <w:pPr>
              <w:keepNext/>
              <w:keepLines/>
              <w:jc w:val="center"/>
              <w:rPr>
                <w:rFonts w:ascii="Arial Narrow" w:hAnsi="Arial Narrow"/>
                <w:iCs/>
                <w:sz w:val="20"/>
                <w:szCs w:val="20"/>
              </w:rPr>
            </w:pPr>
            <w:r w:rsidRPr="003B6D82">
              <w:rPr>
                <w:rFonts w:ascii="Arial Narrow" w:hAnsi="Arial Narrow"/>
                <w:iCs/>
                <w:sz w:val="20"/>
              </w:rPr>
              <w:t>120</w:t>
            </w:r>
          </w:p>
        </w:tc>
        <w:tc>
          <w:tcPr>
            <w:tcW w:w="817" w:type="dxa"/>
            <w:tcBorders>
              <w:top w:val="single" w:sz="4" w:space="0" w:color="auto"/>
              <w:left w:val="single" w:sz="4" w:space="0" w:color="auto"/>
              <w:bottom w:val="single" w:sz="4" w:space="0" w:color="auto"/>
              <w:right w:val="single" w:sz="4" w:space="0" w:color="auto"/>
            </w:tcBorders>
            <w:vAlign w:val="center"/>
            <w:hideMark/>
          </w:tcPr>
          <w:p w14:paraId="536E2C42" w14:textId="77777777" w:rsidR="000D6A19" w:rsidRPr="003B6D82" w:rsidRDefault="000D6A19">
            <w:pPr>
              <w:keepNext/>
              <w:keepLines/>
              <w:jc w:val="center"/>
              <w:rPr>
                <w:rFonts w:ascii="Arial Narrow" w:hAnsi="Arial Narrow"/>
                <w:iCs/>
                <w:sz w:val="20"/>
                <w:szCs w:val="20"/>
              </w:rPr>
            </w:pPr>
            <w:r w:rsidRPr="003B6D82">
              <w:rPr>
                <w:rFonts w:ascii="Arial Narrow" w:hAnsi="Arial Narrow"/>
                <w:iCs/>
                <w:sz w:val="20"/>
              </w:rPr>
              <w:t>5</w:t>
            </w:r>
          </w:p>
        </w:tc>
        <w:tc>
          <w:tcPr>
            <w:tcW w:w="1832" w:type="dxa"/>
            <w:tcBorders>
              <w:top w:val="single" w:sz="4" w:space="0" w:color="auto"/>
              <w:left w:val="single" w:sz="4" w:space="0" w:color="auto"/>
              <w:bottom w:val="single" w:sz="4" w:space="0" w:color="auto"/>
              <w:right w:val="single" w:sz="4" w:space="0" w:color="auto"/>
            </w:tcBorders>
            <w:vAlign w:val="center"/>
            <w:hideMark/>
          </w:tcPr>
          <w:p w14:paraId="44A4C222" w14:textId="77777777" w:rsidR="000D6A19" w:rsidRPr="003B6D82" w:rsidRDefault="000D6A19">
            <w:pPr>
              <w:keepNext/>
              <w:keepLines/>
              <w:jc w:val="center"/>
              <w:rPr>
                <w:rFonts w:ascii="Arial Narrow" w:hAnsi="Arial Narrow"/>
                <w:iCs/>
                <w:color w:val="0066FF"/>
                <w:sz w:val="20"/>
                <w:szCs w:val="20"/>
              </w:rPr>
            </w:pPr>
            <w:proofErr w:type="spellStart"/>
            <w:r w:rsidRPr="003B6D82">
              <w:rPr>
                <w:rFonts w:ascii="Arial Narrow" w:hAnsi="Arial Narrow"/>
                <w:iCs/>
                <w:sz w:val="20"/>
                <w:szCs w:val="20"/>
              </w:rPr>
              <w:t>Inrebic</w:t>
            </w:r>
            <w:proofErr w:type="spellEnd"/>
          </w:p>
        </w:tc>
      </w:tr>
      <w:tr w:rsidR="00D7232E" w:rsidRPr="00D365C3" w14:paraId="19BA449E" w14:textId="77777777" w:rsidTr="00D7232E">
        <w:tblPrEx>
          <w:tblCellMar>
            <w:top w:w="15" w:type="dxa"/>
            <w:bottom w:w="15" w:type="dxa"/>
          </w:tblCellMar>
        </w:tblPrEx>
        <w:trPr>
          <w:trHeight w:val="20"/>
        </w:trPr>
        <w:tc>
          <w:tcPr>
            <w:tcW w:w="9022" w:type="dxa"/>
            <w:gridSpan w:val="8"/>
            <w:tcBorders>
              <w:top w:val="single" w:sz="4" w:space="0" w:color="auto"/>
              <w:left w:val="single" w:sz="4" w:space="0" w:color="auto"/>
              <w:right w:val="single" w:sz="4" w:space="0" w:color="auto"/>
            </w:tcBorders>
            <w:vAlign w:val="center"/>
          </w:tcPr>
          <w:p w14:paraId="1B57FE0F" w14:textId="1952ED74" w:rsidR="00D7232E" w:rsidRPr="00D365C3" w:rsidRDefault="00D7232E" w:rsidP="001E35F5">
            <w:pPr>
              <w:keepLines/>
              <w:rPr>
                <w:rFonts w:ascii="Arial Narrow" w:hAnsi="Arial Narrow"/>
                <w:b/>
                <w:sz w:val="20"/>
                <w:szCs w:val="20"/>
              </w:rPr>
            </w:pPr>
            <w:r w:rsidRPr="00D365C3">
              <w:rPr>
                <w:rFonts w:ascii="Arial Narrow" w:hAnsi="Arial Narrow"/>
                <w:b/>
                <w:sz w:val="20"/>
                <w:szCs w:val="20"/>
              </w:rPr>
              <w:t xml:space="preserve">Restriction Summary / Treatment of Concept: </w:t>
            </w:r>
          </w:p>
        </w:tc>
      </w:tr>
      <w:tr w:rsidR="00D7232E" w:rsidRPr="00D365C3" w14:paraId="646760BF" w14:textId="77777777" w:rsidTr="00D7232E">
        <w:tblPrEx>
          <w:tblCellMar>
            <w:top w:w="15" w:type="dxa"/>
            <w:bottom w:w="15" w:type="dxa"/>
          </w:tblCellMar>
        </w:tblPrEx>
        <w:trPr>
          <w:trHeight w:val="20"/>
        </w:trPr>
        <w:tc>
          <w:tcPr>
            <w:tcW w:w="1274" w:type="dxa"/>
            <w:gridSpan w:val="2"/>
            <w:vMerge w:val="restart"/>
            <w:tcBorders>
              <w:top w:val="single" w:sz="4" w:space="0" w:color="auto"/>
              <w:left w:val="single" w:sz="4" w:space="0" w:color="auto"/>
              <w:right w:val="single" w:sz="4" w:space="0" w:color="auto"/>
            </w:tcBorders>
          </w:tcPr>
          <w:p w14:paraId="19E71999" w14:textId="5B8446B7" w:rsidR="00D7232E" w:rsidRPr="00D365C3" w:rsidRDefault="00D7232E" w:rsidP="001E35F5">
            <w:pPr>
              <w:jc w:val="center"/>
              <w:rPr>
                <w:rFonts w:ascii="Arial Narrow" w:hAnsi="Arial Narrow"/>
                <w:b/>
                <w:sz w:val="20"/>
                <w:szCs w:val="20"/>
              </w:rPr>
            </w:pPr>
          </w:p>
        </w:tc>
        <w:tc>
          <w:tcPr>
            <w:tcW w:w="7748" w:type="dxa"/>
            <w:gridSpan w:val="6"/>
            <w:tcBorders>
              <w:top w:val="single" w:sz="4" w:space="0" w:color="auto"/>
              <w:left w:val="single" w:sz="4" w:space="0" w:color="auto"/>
              <w:bottom w:val="single" w:sz="4" w:space="0" w:color="auto"/>
              <w:right w:val="single" w:sz="4" w:space="0" w:color="auto"/>
            </w:tcBorders>
            <w:vAlign w:val="center"/>
          </w:tcPr>
          <w:p w14:paraId="51CDBEE6" w14:textId="77777777" w:rsidR="00D7232E" w:rsidRPr="00D365C3" w:rsidRDefault="00D7232E" w:rsidP="001E35F5">
            <w:pPr>
              <w:keepLines/>
              <w:rPr>
                <w:rFonts w:ascii="Arial Narrow" w:hAnsi="Arial Narrow"/>
                <w:sz w:val="20"/>
                <w:szCs w:val="20"/>
              </w:rPr>
            </w:pPr>
            <w:r w:rsidRPr="00D365C3">
              <w:rPr>
                <w:rFonts w:ascii="Arial Narrow" w:hAnsi="Arial Narrow"/>
                <w:b/>
                <w:sz w:val="20"/>
                <w:szCs w:val="20"/>
              </w:rPr>
              <w:t>Category / Program:</w:t>
            </w:r>
            <w:r w:rsidRPr="00D365C3">
              <w:rPr>
                <w:rFonts w:ascii="Arial Narrow" w:hAnsi="Arial Narrow"/>
                <w:sz w:val="20"/>
                <w:szCs w:val="20"/>
              </w:rPr>
              <w:t xml:space="preserve"> </w:t>
            </w:r>
          </w:p>
          <w:p w14:paraId="5D215FDC" w14:textId="77777777" w:rsidR="00D7232E" w:rsidRPr="00D365C3" w:rsidRDefault="00D7232E" w:rsidP="001E35F5">
            <w:pPr>
              <w:keepLines/>
              <w:rPr>
                <w:rFonts w:ascii="Arial Narrow" w:hAnsi="Arial Narrow"/>
                <w:sz w:val="20"/>
                <w:szCs w:val="20"/>
              </w:rPr>
            </w:pPr>
            <w:r w:rsidRPr="00D365C3">
              <w:rPr>
                <w:rFonts w:ascii="Arial Narrow" w:eastAsia="Calibri" w:hAnsi="Arial Narrow"/>
                <w:sz w:val="20"/>
                <w:szCs w:val="20"/>
              </w:rPr>
              <w:fldChar w:fldCharType="begin" w:fldLock="1">
                <w:ffData>
                  <w:name w:val="Check1"/>
                  <w:enabled/>
                  <w:calcOnExit w:val="0"/>
                  <w:checkBox>
                    <w:sizeAuto/>
                    <w:default w:val="1"/>
                  </w:checkBox>
                </w:ffData>
              </w:fldChar>
            </w:r>
            <w:r w:rsidRPr="00D365C3">
              <w:rPr>
                <w:rFonts w:ascii="Arial Narrow" w:eastAsia="Calibri" w:hAnsi="Arial Narrow"/>
                <w:sz w:val="20"/>
                <w:szCs w:val="20"/>
              </w:rPr>
              <w:instrText xml:space="preserve"> FORMCHECKBOX </w:instrText>
            </w:r>
            <w:r w:rsidRPr="00D365C3">
              <w:rPr>
                <w:rFonts w:ascii="Arial Narrow" w:eastAsia="Calibri" w:hAnsi="Arial Narrow"/>
                <w:sz w:val="20"/>
                <w:szCs w:val="20"/>
              </w:rPr>
            </w:r>
            <w:r w:rsidRPr="00D365C3">
              <w:rPr>
                <w:rFonts w:ascii="Arial Narrow" w:eastAsia="Calibri" w:hAnsi="Arial Narrow"/>
                <w:sz w:val="20"/>
                <w:szCs w:val="20"/>
              </w:rPr>
              <w:fldChar w:fldCharType="separate"/>
            </w:r>
            <w:r w:rsidRPr="00D365C3">
              <w:rPr>
                <w:rFonts w:ascii="Arial Narrow" w:eastAsia="Calibri" w:hAnsi="Arial Narrow"/>
                <w:sz w:val="20"/>
                <w:szCs w:val="20"/>
              </w:rPr>
              <w:fldChar w:fldCharType="end"/>
            </w:r>
            <w:r w:rsidRPr="00D365C3">
              <w:rPr>
                <w:rFonts w:ascii="Arial Narrow" w:eastAsia="Calibri" w:hAnsi="Arial Narrow"/>
                <w:sz w:val="20"/>
                <w:szCs w:val="20"/>
              </w:rPr>
              <w:t xml:space="preserve"> GENERAL - General Schedule (Code GE) </w:t>
            </w:r>
          </w:p>
        </w:tc>
      </w:tr>
      <w:tr w:rsidR="00D7232E" w:rsidRPr="00D365C3" w14:paraId="123471E3" w14:textId="77777777" w:rsidTr="00D7232E">
        <w:tblPrEx>
          <w:tblCellMar>
            <w:top w:w="15" w:type="dxa"/>
            <w:bottom w:w="15" w:type="dxa"/>
          </w:tblCellMar>
        </w:tblPrEx>
        <w:trPr>
          <w:trHeight w:val="20"/>
        </w:trPr>
        <w:tc>
          <w:tcPr>
            <w:tcW w:w="1274" w:type="dxa"/>
            <w:gridSpan w:val="2"/>
            <w:vMerge/>
          </w:tcPr>
          <w:p w14:paraId="6CF779D1" w14:textId="77777777" w:rsidR="00D7232E" w:rsidRPr="00D365C3" w:rsidRDefault="00D7232E" w:rsidP="001E35F5">
            <w:pPr>
              <w:rPr>
                <w:rFonts w:ascii="Arial Narrow" w:hAnsi="Arial Narrow"/>
                <w:sz w:val="20"/>
                <w:szCs w:val="20"/>
              </w:rPr>
            </w:pPr>
          </w:p>
        </w:tc>
        <w:tc>
          <w:tcPr>
            <w:tcW w:w="7748" w:type="dxa"/>
            <w:gridSpan w:val="6"/>
            <w:tcBorders>
              <w:top w:val="single" w:sz="4" w:space="0" w:color="auto"/>
              <w:left w:val="single" w:sz="4" w:space="0" w:color="auto"/>
              <w:bottom w:val="single" w:sz="4" w:space="0" w:color="auto"/>
              <w:right w:val="single" w:sz="4" w:space="0" w:color="auto"/>
            </w:tcBorders>
            <w:vAlign w:val="center"/>
          </w:tcPr>
          <w:p w14:paraId="6D093F7C" w14:textId="77777777" w:rsidR="00D7232E" w:rsidRPr="00D365C3" w:rsidRDefault="00D7232E" w:rsidP="001E35F5">
            <w:pPr>
              <w:keepLines/>
              <w:rPr>
                <w:rFonts w:ascii="Arial Narrow" w:hAnsi="Arial Narrow"/>
                <w:b/>
                <w:sz w:val="20"/>
                <w:szCs w:val="20"/>
              </w:rPr>
            </w:pPr>
            <w:r w:rsidRPr="00D365C3">
              <w:rPr>
                <w:rFonts w:ascii="Arial Narrow" w:hAnsi="Arial Narrow"/>
                <w:b/>
                <w:sz w:val="20"/>
                <w:szCs w:val="20"/>
              </w:rPr>
              <w:t xml:space="preserve">Prescriber type: </w:t>
            </w:r>
          </w:p>
          <w:p w14:paraId="16D55BEE" w14:textId="77777777" w:rsidR="00D7232E" w:rsidRPr="00D365C3" w:rsidRDefault="00D7232E" w:rsidP="001E35F5">
            <w:pPr>
              <w:keepLines/>
              <w:rPr>
                <w:rFonts w:ascii="Arial Narrow" w:hAnsi="Arial Narrow"/>
                <w:b/>
                <w:sz w:val="20"/>
                <w:szCs w:val="20"/>
              </w:rPr>
            </w:pPr>
            <w:r w:rsidRPr="00D365C3">
              <w:rPr>
                <w:rFonts w:ascii="Arial Narrow" w:hAnsi="Arial Narrow"/>
                <w:sz w:val="20"/>
                <w:szCs w:val="20"/>
              </w:rPr>
              <w:fldChar w:fldCharType="begin" w:fldLock="1">
                <w:ffData>
                  <w:name w:val=""/>
                  <w:enabled/>
                  <w:calcOnExit w:val="0"/>
                  <w:checkBox>
                    <w:sizeAuto/>
                    <w:default w:val="1"/>
                  </w:checkBox>
                </w:ffData>
              </w:fldChar>
            </w:r>
            <w:r w:rsidRPr="00D365C3">
              <w:rPr>
                <w:rFonts w:ascii="Arial Narrow" w:hAnsi="Arial Narrow"/>
                <w:sz w:val="20"/>
                <w:szCs w:val="20"/>
              </w:rPr>
              <w:instrText xml:space="preserve"> FORMCHECKBOX </w:instrText>
            </w:r>
            <w:r w:rsidRPr="00D365C3">
              <w:rPr>
                <w:rFonts w:ascii="Arial Narrow" w:hAnsi="Arial Narrow"/>
                <w:sz w:val="20"/>
                <w:szCs w:val="20"/>
              </w:rPr>
            </w:r>
            <w:r w:rsidRPr="00D365C3">
              <w:rPr>
                <w:rFonts w:ascii="Arial Narrow" w:hAnsi="Arial Narrow"/>
                <w:sz w:val="20"/>
                <w:szCs w:val="20"/>
              </w:rPr>
              <w:fldChar w:fldCharType="separate"/>
            </w:r>
            <w:r w:rsidRPr="00D365C3">
              <w:rPr>
                <w:rFonts w:ascii="Arial Narrow" w:hAnsi="Arial Narrow"/>
                <w:sz w:val="20"/>
                <w:szCs w:val="20"/>
              </w:rPr>
              <w:fldChar w:fldCharType="end"/>
            </w:r>
            <w:r w:rsidRPr="00D365C3">
              <w:rPr>
                <w:rFonts w:ascii="Arial Narrow" w:hAnsi="Arial Narrow"/>
                <w:sz w:val="20"/>
                <w:szCs w:val="20"/>
              </w:rPr>
              <w:t xml:space="preserve">Medical Practitioners </w:t>
            </w:r>
          </w:p>
        </w:tc>
      </w:tr>
      <w:tr w:rsidR="00D7232E" w:rsidRPr="00D365C3" w14:paraId="606D6074" w14:textId="77777777" w:rsidTr="00D7232E">
        <w:tblPrEx>
          <w:tblCellMar>
            <w:top w:w="15" w:type="dxa"/>
            <w:bottom w:w="15" w:type="dxa"/>
          </w:tblCellMar>
        </w:tblPrEx>
        <w:trPr>
          <w:trHeight w:val="20"/>
        </w:trPr>
        <w:tc>
          <w:tcPr>
            <w:tcW w:w="1274" w:type="dxa"/>
            <w:gridSpan w:val="2"/>
            <w:vMerge/>
          </w:tcPr>
          <w:p w14:paraId="0101BC54" w14:textId="77777777" w:rsidR="00D7232E" w:rsidRPr="00D365C3" w:rsidRDefault="00D7232E" w:rsidP="001E35F5">
            <w:pPr>
              <w:rPr>
                <w:rFonts w:ascii="Arial Narrow" w:hAnsi="Arial Narrow"/>
                <w:sz w:val="20"/>
                <w:szCs w:val="20"/>
              </w:rPr>
            </w:pPr>
          </w:p>
        </w:tc>
        <w:tc>
          <w:tcPr>
            <w:tcW w:w="7748" w:type="dxa"/>
            <w:gridSpan w:val="6"/>
            <w:tcBorders>
              <w:top w:val="single" w:sz="4" w:space="0" w:color="auto"/>
              <w:left w:val="single" w:sz="4" w:space="0" w:color="auto"/>
              <w:bottom w:val="single" w:sz="4" w:space="0" w:color="auto"/>
              <w:right w:val="single" w:sz="4" w:space="0" w:color="auto"/>
            </w:tcBorders>
            <w:vAlign w:val="center"/>
          </w:tcPr>
          <w:p w14:paraId="3AA29219" w14:textId="77777777" w:rsidR="00D7232E" w:rsidRPr="00D365C3" w:rsidRDefault="00D7232E" w:rsidP="001E35F5">
            <w:pPr>
              <w:keepLines/>
              <w:rPr>
                <w:rFonts w:ascii="Arial Narrow" w:hAnsi="Arial Narrow"/>
                <w:b/>
                <w:sz w:val="20"/>
                <w:szCs w:val="20"/>
              </w:rPr>
            </w:pPr>
            <w:r w:rsidRPr="00D365C3">
              <w:rPr>
                <w:rFonts w:ascii="Arial Narrow" w:hAnsi="Arial Narrow"/>
                <w:b/>
                <w:sz w:val="20"/>
                <w:szCs w:val="20"/>
              </w:rPr>
              <w:t xml:space="preserve">Restriction type: </w:t>
            </w:r>
          </w:p>
          <w:p w14:paraId="09CB89AD" w14:textId="77777777" w:rsidR="00D7232E" w:rsidRPr="00D365C3" w:rsidRDefault="00D7232E" w:rsidP="001E35F5">
            <w:pPr>
              <w:keepLines/>
              <w:rPr>
                <w:rFonts w:ascii="Arial Narrow" w:eastAsia="Calibri" w:hAnsi="Arial Narrow"/>
                <w:sz w:val="20"/>
                <w:szCs w:val="20"/>
              </w:rPr>
            </w:pPr>
            <w:r w:rsidRPr="00D365C3">
              <w:rPr>
                <w:rFonts w:ascii="Arial Narrow" w:eastAsia="Calibri" w:hAnsi="Arial Narrow"/>
                <w:sz w:val="20"/>
                <w:szCs w:val="20"/>
              </w:rPr>
              <w:fldChar w:fldCharType="begin" w:fldLock="1">
                <w:ffData>
                  <w:name w:val="Check3"/>
                  <w:enabled/>
                  <w:calcOnExit w:val="0"/>
                  <w:checkBox>
                    <w:sizeAuto/>
                    <w:default w:val="1"/>
                  </w:checkBox>
                </w:ffData>
              </w:fldChar>
            </w:r>
            <w:r w:rsidRPr="00D365C3">
              <w:rPr>
                <w:rFonts w:ascii="Arial Narrow" w:eastAsia="Calibri" w:hAnsi="Arial Narrow"/>
                <w:sz w:val="20"/>
                <w:szCs w:val="20"/>
              </w:rPr>
              <w:instrText xml:space="preserve"> FORMCHECKBOX </w:instrText>
            </w:r>
            <w:r w:rsidRPr="00D365C3">
              <w:rPr>
                <w:rFonts w:ascii="Arial Narrow" w:eastAsia="Calibri" w:hAnsi="Arial Narrow"/>
                <w:sz w:val="20"/>
                <w:szCs w:val="20"/>
              </w:rPr>
            </w:r>
            <w:r w:rsidRPr="00D365C3">
              <w:rPr>
                <w:rFonts w:ascii="Arial Narrow" w:eastAsia="Calibri" w:hAnsi="Arial Narrow"/>
                <w:sz w:val="20"/>
                <w:szCs w:val="20"/>
              </w:rPr>
              <w:fldChar w:fldCharType="separate"/>
            </w:r>
            <w:r w:rsidRPr="00D365C3">
              <w:rPr>
                <w:rFonts w:ascii="Arial Narrow" w:eastAsia="Calibri" w:hAnsi="Arial Narrow"/>
                <w:sz w:val="20"/>
                <w:szCs w:val="20"/>
              </w:rPr>
              <w:fldChar w:fldCharType="end"/>
            </w:r>
            <w:r w:rsidRPr="00D365C3">
              <w:rPr>
                <w:rFonts w:ascii="Arial Narrow" w:eastAsia="Calibri" w:hAnsi="Arial Narrow"/>
                <w:sz w:val="20"/>
                <w:szCs w:val="20"/>
              </w:rPr>
              <w:t xml:space="preserve">Authority Required (immediate assessment) </w:t>
            </w:r>
          </w:p>
        </w:tc>
      </w:tr>
      <w:tr w:rsidR="00D7232E" w:rsidRPr="00D365C3" w14:paraId="087EB9EE" w14:textId="77777777" w:rsidTr="00D7232E">
        <w:tblPrEx>
          <w:tblCellMar>
            <w:top w:w="15" w:type="dxa"/>
            <w:bottom w:w="15" w:type="dxa"/>
          </w:tblCellMar>
        </w:tblPrEx>
        <w:trPr>
          <w:trHeight w:val="20"/>
        </w:trPr>
        <w:tc>
          <w:tcPr>
            <w:tcW w:w="489" w:type="dxa"/>
            <w:vMerge w:val="restart"/>
            <w:tcBorders>
              <w:left w:val="single" w:sz="4" w:space="0" w:color="auto"/>
              <w:right w:val="single" w:sz="4" w:space="0" w:color="auto"/>
            </w:tcBorders>
            <w:textDirection w:val="btLr"/>
            <w:vAlign w:val="center"/>
          </w:tcPr>
          <w:p w14:paraId="5F1A1B3B" w14:textId="7C99B6CA" w:rsidR="00D7232E" w:rsidRPr="00D365C3" w:rsidRDefault="00D7232E" w:rsidP="001E35F5">
            <w:pPr>
              <w:jc w:val="center"/>
              <w:rPr>
                <w:rFonts w:ascii="Arial Narrow" w:hAnsi="Arial Narrow"/>
                <w:sz w:val="20"/>
                <w:szCs w:val="20"/>
              </w:rPr>
            </w:pPr>
          </w:p>
        </w:tc>
        <w:tc>
          <w:tcPr>
            <w:tcW w:w="785" w:type="dxa"/>
            <w:vAlign w:val="center"/>
          </w:tcPr>
          <w:p w14:paraId="07937F27" w14:textId="30065B32" w:rsidR="00D7232E" w:rsidRPr="00D365C3" w:rsidRDefault="00D7232E" w:rsidP="001E35F5">
            <w:pPr>
              <w:jc w:val="center"/>
              <w:rPr>
                <w:rFonts w:ascii="Arial Narrow" w:hAnsi="Arial Narrow"/>
                <w:sz w:val="20"/>
                <w:szCs w:val="20"/>
              </w:rPr>
            </w:pPr>
          </w:p>
        </w:tc>
        <w:tc>
          <w:tcPr>
            <w:tcW w:w="7748" w:type="dxa"/>
            <w:gridSpan w:val="6"/>
            <w:vAlign w:val="center"/>
          </w:tcPr>
          <w:p w14:paraId="4081B10B" w14:textId="77777777" w:rsidR="00D7232E" w:rsidRPr="00D365C3" w:rsidRDefault="00D7232E" w:rsidP="001E35F5">
            <w:pPr>
              <w:rPr>
                <w:rFonts w:ascii="Arial Narrow" w:hAnsi="Arial Narrow"/>
                <w:sz w:val="20"/>
                <w:szCs w:val="20"/>
              </w:rPr>
            </w:pPr>
            <w:r w:rsidRPr="00D365C3">
              <w:rPr>
                <w:rFonts w:ascii="Arial Narrow" w:hAnsi="Arial Narrow"/>
                <w:b/>
                <w:bCs/>
                <w:sz w:val="20"/>
                <w:szCs w:val="20"/>
              </w:rPr>
              <w:t>Administrative Advice:</w:t>
            </w:r>
          </w:p>
          <w:p w14:paraId="4A71BD79" w14:textId="77777777" w:rsidR="00D7232E" w:rsidRPr="00D365C3" w:rsidRDefault="00D7232E" w:rsidP="001E35F5">
            <w:pPr>
              <w:rPr>
                <w:rFonts w:ascii="Arial Narrow" w:hAnsi="Arial Narrow"/>
                <w:sz w:val="20"/>
                <w:szCs w:val="20"/>
              </w:rPr>
            </w:pPr>
            <w:r w:rsidRPr="00D365C3">
              <w:rPr>
                <w:rFonts w:ascii="Arial Narrow" w:hAnsi="Arial Narrow"/>
                <w:i/>
                <w:iCs/>
                <w:sz w:val="20"/>
                <w:szCs w:val="20"/>
              </w:rPr>
              <w:t>No increase in the maximum quantity or number of units may be authorised.</w:t>
            </w:r>
          </w:p>
        </w:tc>
      </w:tr>
      <w:tr w:rsidR="00D7232E" w:rsidRPr="00D365C3" w14:paraId="4CA5D5D8" w14:textId="77777777" w:rsidTr="00D7232E">
        <w:tblPrEx>
          <w:tblCellMar>
            <w:top w:w="15" w:type="dxa"/>
            <w:bottom w:w="15" w:type="dxa"/>
          </w:tblCellMar>
        </w:tblPrEx>
        <w:trPr>
          <w:trHeight w:val="20"/>
        </w:trPr>
        <w:tc>
          <w:tcPr>
            <w:tcW w:w="489" w:type="dxa"/>
            <w:vMerge/>
          </w:tcPr>
          <w:p w14:paraId="00AF9351" w14:textId="77777777" w:rsidR="00D7232E" w:rsidRPr="00D365C3" w:rsidRDefault="00D7232E" w:rsidP="001E35F5">
            <w:pPr>
              <w:rPr>
                <w:rFonts w:ascii="Arial Narrow" w:hAnsi="Arial Narrow"/>
                <w:sz w:val="20"/>
                <w:szCs w:val="20"/>
              </w:rPr>
            </w:pPr>
          </w:p>
        </w:tc>
        <w:tc>
          <w:tcPr>
            <w:tcW w:w="785" w:type="dxa"/>
            <w:vAlign w:val="center"/>
          </w:tcPr>
          <w:p w14:paraId="6AB33236" w14:textId="7EE551B8" w:rsidR="00D7232E" w:rsidRPr="00D365C3" w:rsidRDefault="00D7232E" w:rsidP="001E35F5">
            <w:pPr>
              <w:jc w:val="center"/>
              <w:rPr>
                <w:rFonts w:ascii="Arial Narrow" w:hAnsi="Arial Narrow"/>
                <w:sz w:val="20"/>
                <w:szCs w:val="20"/>
              </w:rPr>
            </w:pPr>
          </w:p>
        </w:tc>
        <w:tc>
          <w:tcPr>
            <w:tcW w:w="7748" w:type="dxa"/>
            <w:gridSpan w:val="6"/>
            <w:vAlign w:val="center"/>
          </w:tcPr>
          <w:p w14:paraId="779A2CC3" w14:textId="77777777" w:rsidR="00D7232E" w:rsidRPr="00D365C3" w:rsidRDefault="00D7232E" w:rsidP="001E35F5">
            <w:pPr>
              <w:rPr>
                <w:rFonts w:ascii="Arial Narrow" w:hAnsi="Arial Narrow"/>
                <w:b/>
                <w:bCs/>
                <w:sz w:val="20"/>
                <w:szCs w:val="20"/>
              </w:rPr>
            </w:pPr>
            <w:r w:rsidRPr="00D365C3">
              <w:rPr>
                <w:rFonts w:ascii="Arial Narrow" w:hAnsi="Arial Narrow"/>
                <w:b/>
                <w:bCs/>
                <w:sz w:val="20"/>
                <w:szCs w:val="20"/>
              </w:rPr>
              <w:t>Administrative Advice:</w:t>
            </w:r>
          </w:p>
          <w:p w14:paraId="70B436C3" w14:textId="77777777" w:rsidR="00D7232E" w:rsidRPr="00D365C3" w:rsidRDefault="00D7232E" w:rsidP="001E35F5">
            <w:pPr>
              <w:rPr>
                <w:rFonts w:ascii="Arial Narrow" w:hAnsi="Arial Narrow"/>
                <w:b/>
                <w:bCs/>
                <w:sz w:val="20"/>
                <w:szCs w:val="20"/>
              </w:rPr>
            </w:pPr>
            <w:r w:rsidRPr="00D365C3">
              <w:rPr>
                <w:rFonts w:ascii="Arial Narrow" w:hAnsi="Arial Narrow"/>
                <w:i/>
                <w:iCs/>
                <w:sz w:val="20"/>
                <w:szCs w:val="20"/>
              </w:rPr>
              <w:t>No increase in the maximum number of repeats may be authorised.</w:t>
            </w:r>
          </w:p>
        </w:tc>
      </w:tr>
      <w:tr w:rsidR="00D7232E" w:rsidRPr="00D365C3" w14:paraId="1186C70F" w14:textId="77777777" w:rsidTr="00D7232E">
        <w:tblPrEx>
          <w:tblCellMar>
            <w:top w:w="15" w:type="dxa"/>
            <w:bottom w:w="15" w:type="dxa"/>
          </w:tblCellMar>
        </w:tblPrEx>
        <w:trPr>
          <w:trHeight w:val="20"/>
        </w:trPr>
        <w:tc>
          <w:tcPr>
            <w:tcW w:w="489" w:type="dxa"/>
            <w:vMerge/>
          </w:tcPr>
          <w:p w14:paraId="110994D1" w14:textId="77777777" w:rsidR="00D7232E" w:rsidRPr="00D365C3" w:rsidRDefault="00D7232E" w:rsidP="001E35F5">
            <w:pPr>
              <w:rPr>
                <w:rFonts w:ascii="Arial Narrow" w:hAnsi="Arial Narrow"/>
                <w:sz w:val="20"/>
                <w:szCs w:val="20"/>
              </w:rPr>
            </w:pPr>
          </w:p>
        </w:tc>
        <w:tc>
          <w:tcPr>
            <w:tcW w:w="785" w:type="dxa"/>
            <w:vAlign w:val="center"/>
          </w:tcPr>
          <w:p w14:paraId="379EC522" w14:textId="3E7D07C4" w:rsidR="00D7232E" w:rsidRPr="00D365C3" w:rsidRDefault="00D7232E" w:rsidP="001E35F5">
            <w:pPr>
              <w:jc w:val="center"/>
              <w:rPr>
                <w:rFonts w:ascii="Arial Narrow" w:hAnsi="Arial Narrow"/>
                <w:sz w:val="20"/>
                <w:szCs w:val="20"/>
              </w:rPr>
            </w:pPr>
          </w:p>
        </w:tc>
        <w:tc>
          <w:tcPr>
            <w:tcW w:w="7748" w:type="dxa"/>
            <w:gridSpan w:val="6"/>
            <w:vAlign w:val="center"/>
          </w:tcPr>
          <w:p w14:paraId="60FD6D76" w14:textId="77777777" w:rsidR="00D7232E" w:rsidRPr="00D365C3" w:rsidRDefault="00D7232E" w:rsidP="001E35F5">
            <w:pPr>
              <w:rPr>
                <w:rFonts w:ascii="Arial Narrow" w:hAnsi="Arial Narrow"/>
                <w:b/>
                <w:bCs/>
                <w:sz w:val="20"/>
                <w:szCs w:val="20"/>
              </w:rPr>
            </w:pPr>
            <w:r w:rsidRPr="00D365C3">
              <w:rPr>
                <w:rFonts w:ascii="Arial Narrow" w:hAnsi="Arial Narrow"/>
                <w:b/>
                <w:bCs/>
                <w:sz w:val="20"/>
                <w:szCs w:val="20"/>
              </w:rPr>
              <w:t>Administrative Advice:</w:t>
            </w:r>
          </w:p>
          <w:p w14:paraId="755D25F9" w14:textId="77777777" w:rsidR="00D7232E" w:rsidRPr="00D365C3" w:rsidRDefault="00D7232E" w:rsidP="001E35F5">
            <w:pPr>
              <w:rPr>
                <w:rFonts w:ascii="Arial Narrow" w:hAnsi="Arial Narrow"/>
                <w:b/>
                <w:bCs/>
                <w:i/>
                <w:iCs/>
                <w:sz w:val="20"/>
                <w:szCs w:val="20"/>
              </w:rPr>
            </w:pPr>
            <w:r w:rsidRPr="00D365C3">
              <w:rPr>
                <w:rFonts w:ascii="Arial Narrow" w:hAnsi="Arial Narrow"/>
                <w:i/>
                <w:iCs/>
                <w:sz w:val="20"/>
                <w:szCs w:val="20"/>
              </w:rPr>
              <w:t>Special Pricing Arrangements apply.</w:t>
            </w:r>
          </w:p>
        </w:tc>
      </w:tr>
      <w:tr w:rsidR="00D7232E" w:rsidRPr="00D365C3" w14:paraId="5723D6E0" w14:textId="77777777" w:rsidTr="00D7232E">
        <w:tblPrEx>
          <w:tblCellMar>
            <w:top w:w="15" w:type="dxa"/>
            <w:bottom w:w="15" w:type="dxa"/>
          </w:tblCellMar>
        </w:tblPrEx>
        <w:trPr>
          <w:trHeight w:val="20"/>
        </w:trPr>
        <w:tc>
          <w:tcPr>
            <w:tcW w:w="489" w:type="dxa"/>
            <w:vMerge/>
          </w:tcPr>
          <w:p w14:paraId="7A8F38D4" w14:textId="77777777" w:rsidR="00D7232E" w:rsidRPr="00D365C3" w:rsidRDefault="00D7232E" w:rsidP="001E35F5">
            <w:pPr>
              <w:rPr>
                <w:rFonts w:ascii="Arial Narrow" w:hAnsi="Arial Narrow"/>
                <w:sz w:val="20"/>
                <w:szCs w:val="20"/>
              </w:rPr>
            </w:pPr>
          </w:p>
        </w:tc>
        <w:tc>
          <w:tcPr>
            <w:tcW w:w="785" w:type="dxa"/>
            <w:vAlign w:val="center"/>
          </w:tcPr>
          <w:p w14:paraId="63840790" w14:textId="5D9FB0DC" w:rsidR="00D7232E" w:rsidRPr="00D365C3" w:rsidRDefault="00D7232E" w:rsidP="001E35F5">
            <w:pPr>
              <w:jc w:val="center"/>
              <w:rPr>
                <w:rFonts w:ascii="Arial Narrow" w:hAnsi="Arial Narrow"/>
                <w:i/>
                <w:iCs/>
                <w:sz w:val="20"/>
                <w:szCs w:val="20"/>
              </w:rPr>
            </w:pPr>
          </w:p>
        </w:tc>
        <w:tc>
          <w:tcPr>
            <w:tcW w:w="7748" w:type="dxa"/>
            <w:gridSpan w:val="6"/>
            <w:vAlign w:val="center"/>
          </w:tcPr>
          <w:p w14:paraId="5B23048A" w14:textId="77777777" w:rsidR="00D7232E" w:rsidRPr="00D365C3" w:rsidRDefault="00D7232E" w:rsidP="001E35F5">
            <w:pPr>
              <w:rPr>
                <w:rFonts w:ascii="Arial Narrow" w:hAnsi="Arial Narrow"/>
                <w:bCs/>
                <w:i/>
                <w:iCs/>
                <w:sz w:val="20"/>
                <w:szCs w:val="20"/>
              </w:rPr>
            </w:pPr>
            <w:r w:rsidRPr="00D365C3">
              <w:rPr>
                <w:rFonts w:ascii="Arial Narrow" w:hAnsi="Arial Narrow"/>
                <w:b/>
                <w:bCs/>
                <w:i/>
                <w:iCs/>
                <w:sz w:val="20"/>
                <w:szCs w:val="20"/>
              </w:rPr>
              <w:t xml:space="preserve">Administrative Advice: </w:t>
            </w:r>
          </w:p>
          <w:p w14:paraId="69720B2E" w14:textId="77777777" w:rsidR="00D7232E" w:rsidRPr="00D365C3" w:rsidRDefault="00D7232E" w:rsidP="001E35F5">
            <w:pPr>
              <w:rPr>
                <w:rFonts w:ascii="Arial Narrow" w:hAnsi="Arial Narrow"/>
                <w:b/>
                <w:bCs/>
                <w:i/>
                <w:iCs/>
                <w:sz w:val="20"/>
                <w:szCs w:val="20"/>
              </w:rPr>
            </w:pPr>
            <w:r w:rsidRPr="00D365C3">
              <w:rPr>
                <w:rFonts w:ascii="Arial Narrow" w:hAnsi="Arial Narrow"/>
                <w:i/>
                <w:iCs/>
                <w:sz w:val="20"/>
                <w:szCs w:val="20"/>
              </w:rPr>
              <w:t>Risk of myelofibrosis is defined in accordance with the Myelofibrosis International Prognostic Scoring System (OPSS) OR the Dynamic International Prognostic Scoring System (DIPSS) OR the Age-Adjusted DIPSS (</w:t>
            </w:r>
            <w:proofErr w:type="spellStart"/>
            <w:r w:rsidRPr="00D365C3">
              <w:rPr>
                <w:rFonts w:ascii="Arial Narrow" w:hAnsi="Arial Narrow"/>
                <w:i/>
                <w:iCs/>
                <w:sz w:val="20"/>
                <w:szCs w:val="20"/>
              </w:rPr>
              <w:t>aaDIPSS</w:t>
            </w:r>
            <w:proofErr w:type="spellEnd"/>
            <w:r w:rsidRPr="00D365C3">
              <w:rPr>
                <w:rFonts w:ascii="Arial Narrow" w:hAnsi="Arial Narrow"/>
                <w:i/>
                <w:iCs/>
                <w:sz w:val="20"/>
                <w:szCs w:val="20"/>
              </w:rPr>
              <w:t>).</w:t>
            </w:r>
          </w:p>
        </w:tc>
      </w:tr>
      <w:tr w:rsidR="00D7232E" w:rsidRPr="00D365C3" w14:paraId="028052EC" w14:textId="77777777" w:rsidTr="00D7232E">
        <w:tblPrEx>
          <w:tblCellMar>
            <w:top w:w="15" w:type="dxa"/>
            <w:bottom w:w="15" w:type="dxa"/>
          </w:tblCellMar>
        </w:tblPrEx>
        <w:trPr>
          <w:trHeight w:val="20"/>
        </w:trPr>
        <w:tc>
          <w:tcPr>
            <w:tcW w:w="489" w:type="dxa"/>
            <w:vMerge/>
          </w:tcPr>
          <w:p w14:paraId="14F7302F" w14:textId="77777777" w:rsidR="00D7232E" w:rsidRPr="00D365C3" w:rsidRDefault="00D7232E" w:rsidP="001E35F5">
            <w:pPr>
              <w:rPr>
                <w:rFonts w:ascii="Arial Narrow" w:hAnsi="Arial Narrow"/>
                <w:sz w:val="20"/>
                <w:szCs w:val="20"/>
              </w:rPr>
            </w:pPr>
          </w:p>
        </w:tc>
        <w:tc>
          <w:tcPr>
            <w:tcW w:w="785" w:type="dxa"/>
            <w:vAlign w:val="center"/>
          </w:tcPr>
          <w:p w14:paraId="6A00489F" w14:textId="5250CCC6" w:rsidR="00D7232E" w:rsidRPr="00BF3D72" w:rsidRDefault="00D7232E" w:rsidP="001E35F5">
            <w:pPr>
              <w:jc w:val="center"/>
              <w:rPr>
                <w:rFonts w:ascii="Arial Narrow" w:hAnsi="Arial Narrow"/>
                <w:i/>
                <w:iCs/>
                <w:sz w:val="20"/>
                <w:szCs w:val="20"/>
              </w:rPr>
            </w:pPr>
          </w:p>
        </w:tc>
        <w:tc>
          <w:tcPr>
            <w:tcW w:w="7748" w:type="dxa"/>
            <w:gridSpan w:val="6"/>
            <w:vAlign w:val="center"/>
          </w:tcPr>
          <w:p w14:paraId="27EEFBE4" w14:textId="77777777" w:rsidR="00D7232E" w:rsidRPr="00E2658E" w:rsidRDefault="00D7232E" w:rsidP="001E35F5">
            <w:pPr>
              <w:rPr>
                <w:rFonts w:ascii="Arial Narrow" w:hAnsi="Arial Narrow"/>
                <w:b/>
                <w:bCs/>
                <w:i/>
                <w:iCs/>
                <w:sz w:val="20"/>
                <w:szCs w:val="20"/>
              </w:rPr>
            </w:pPr>
            <w:r w:rsidRPr="00E2658E">
              <w:rPr>
                <w:rFonts w:ascii="Arial Narrow" w:hAnsi="Arial Narrow"/>
                <w:b/>
                <w:bCs/>
                <w:i/>
                <w:iCs/>
                <w:sz w:val="20"/>
                <w:szCs w:val="20"/>
              </w:rPr>
              <w:t xml:space="preserve">Administrative Advice: </w:t>
            </w:r>
          </w:p>
          <w:p w14:paraId="16422489" w14:textId="77777777" w:rsidR="00D7232E" w:rsidRPr="00E2658E" w:rsidRDefault="00D7232E" w:rsidP="001E35F5">
            <w:pPr>
              <w:rPr>
                <w:rFonts w:ascii="Arial Narrow" w:hAnsi="Arial Narrow"/>
                <w:b/>
                <w:bCs/>
                <w:i/>
                <w:iCs/>
                <w:sz w:val="20"/>
                <w:szCs w:val="20"/>
              </w:rPr>
            </w:pPr>
            <w:r w:rsidRPr="00E2658E">
              <w:rPr>
                <w:rFonts w:ascii="Arial Narrow" w:hAnsi="Arial Narrow"/>
                <w:bCs/>
                <w:i/>
                <w:i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D7232E" w:rsidRPr="00D365C3" w14:paraId="072070C6" w14:textId="77777777" w:rsidTr="00CA5DAE">
        <w:tblPrEx>
          <w:tblCellMar>
            <w:top w:w="15" w:type="dxa"/>
            <w:bottom w:w="15" w:type="dxa"/>
          </w:tblCellMar>
        </w:tblPrEx>
        <w:trPr>
          <w:cantSplit/>
          <w:trHeight w:val="20"/>
        </w:trPr>
        <w:tc>
          <w:tcPr>
            <w:tcW w:w="1274" w:type="dxa"/>
            <w:gridSpan w:val="2"/>
            <w:vAlign w:val="center"/>
          </w:tcPr>
          <w:p w14:paraId="0FF9CF3A" w14:textId="00CCB481" w:rsidR="00D7232E" w:rsidRPr="00D365C3" w:rsidRDefault="00D7232E" w:rsidP="001E35F5">
            <w:pPr>
              <w:keepLines/>
              <w:jc w:val="center"/>
              <w:rPr>
                <w:rFonts w:ascii="Arial Narrow" w:hAnsi="Arial Narrow"/>
                <w:sz w:val="20"/>
                <w:szCs w:val="20"/>
              </w:rPr>
            </w:pPr>
          </w:p>
        </w:tc>
        <w:tc>
          <w:tcPr>
            <w:tcW w:w="7748" w:type="dxa"/>
            <w:gridSpan w:val="6"/>
            <w:vAlign w:val="center"/>
            <w:hideMark/>
          </w:tcPr>
          <w:p w14:paraId="7D8F8CFB" w14:textId="342D521B" w:rsidR="00D7232E" w:rsidRPr="00D365C3" w:rsidRDefault="00D7232E" w:rsidP="001E35F5">
            <w:pPr>
              <w:keepLines/>
              <w:rPr>
                <w:rFonts w:ascii="Arial Narrow" w:hAnsi="Arial Narrow"/>
                <w:sz w:val="20"/>
                <w:szCs w:val="20"/>
              </w:rPr>
            </w:pPr>
            <w:r w:rsidRPr="00D365C3">
              <w:rPr>
                <w:rFonts w:ascii="Arial Narrow" w:hAnsi="Arial Narrow"/>
                <w:b/>
                <w:bCs/>
                <w:sz w:val="20"/>
                <w:szCs w:val="20"/>
              </w:rPr>
              <w:t>Indication:</w:t>
            </w:r>
            <w:r w:rsidRPr="00D365C3">
              <w:rPr>
                <w:rFonts w:ascii="Arial Narrow" w:hAnsi="Arial Narrow"/>
                <w:sz w:val="20"/>
                <w:szCs w:val="20"/>
              </w:rPr>
              <w:t xml:space="preserve"> </w:t>
            </w:r>
            <w:r w:rsidRPr="00D365C3">
              <w:rPr>
                <w:rFonts w:ascii="Arial Narrow" w:hAnsi="Arial Narrow"/>
                <w:sz w:val="20"/>
              </w:rPr>
              <w:t>High-risk and intermediate-2 risk myelofibrosis</w:t>
            </w:r>
          </w:p>
        </w:tc>
      </w:tr>
      <w:tr w:rsidR="00D7232E" w:rsidRPr="00D365C3" w14:paraId="2E4D9518" w14:textId="77777777" w:rsidTr="00CA5DAE">
        <w:tblPrEx>
          <w:tblCellMar>
            <w:top w:w="15" w:type="dxa"/>
            <w:bottom w:w="15" w:type="dxa"/>
          </w:tblCellMar>
        </w:tblPrEx>
        <w:trPr>
          <w:cantSplit/>
          <w:trHeight w:val="20"/>
        </w:trPr>
        <w:tc>
          <w:tcPr>
            <w:tcW w:w="1274" w:type="dxa"/>
            <w:gridSpan w:val="2"/>
            <w:vAlign w:val="center"/>
          </w:tcPr>
          <w:p w14:paraId="5E2D612D" w14:textId="77777777" w:rsidR="00D7232E" w:rsidRPr="00D365C3" w:rsidRDefault="00D7232E" w:rsidP="00087834">
            <w:pPr>
              <w:rPr>
                <w:rFonts w:ascii="Arial Narrow" w:hAnsi="Arial Narrow"/>
                <w:sz w:val="20"/>
                <w:szCs w:val="20"/>
              </w:rPr>
            </w:pPr>
          </w:p>
        </w:tc>
        <w:tc>
          <w:tcPr>
            <w:tcW w:w="7748" w:type="dxa"/>
            <w:gridSpan w:val="6"/>
            <w:vAlign w:val="center"/>
            <w:hideMark/>
          </w:tcPr>
          <w:p w14:paraId="0DF5EB39" w14:textId="77777777" w:rsidR="00D7232E" w:rsidRPr="00D365C3" w:rsidRDefault="00D7232E" w:rsidP="001E35F5">
            <w:pPr>
              <w:rPr>
                <w:rFonts w:ascii="Arial Narrow" w:hAnsi="Arial Narrow"/>
                <w:sz w:val="20"/>
                <w:szCs w:val="20"/>
              </w:rPr>
            </w:pPr>
            <w:r w:rsidRPr="00D365C3">
              <w:rPr>
                <w:rFonts w:ascii="Arial Narrow" w:hAnsi="Arial Narrow"/>
                <w:b/>
                <w:bCs/>
                <w:sz w:val="20"/>
                <w:szCs w:val="20"/>
              </w:rPr>
              <w:t xml:space="preserve">Clinical criteria: </w:t>
            </w:r>
          </w:p>
        </w:tc>
      </w:tr>
      <w:tr w:rsidR="00D7232E" w:rsidRPr="00D365C3" w14:paraId="3E092FB2" w14:textId="77777777" w:rsidTr="00CA5DAE">
        <w:tblPrEx>
          <w:tblCellMar>
            <w:top w:w="15" w:type="dxa"/>
            <w:bottom w:w="15" w:type="dxa"/>
          </w:tblCellMar>
        </w:tblPrEx>
        <w:trPr>
          <w:cantSplit/>
          <w:trHeight w:val="20"/>
        </w:trPr>
        <w:tc>
          <w:tcPr>
            <w:tcW w:w="1274" w:type="dxa"/>
            <w:gridSpan w:val="2"/>
            <w:vAlign w:val="center"/>
          </w:tcPr>
          <w:p w14:paraId="715D73B6" w14:textId="2A64C1FE" w:rsidR="00D7232E" w:rsidRPr="00D365C3" w:rsidRDefault="00D7232E" w:rsidP="001E35F5">
            <w:pPr>
              <w:jc w:val="center"/>
              <w:rPr>
                <w:rFonts w:ascii="Arial Narrow" w:hAnsi="Arial Narrow"/>
                <w:sz w:val="20"/>
                <w:szCs w:val="20"/>
              </w:rPr>
            </w:pPr>
          </w:p>
        </w:tc>
        <w:tc>
          <w:tcPr>
            <w:tcW w:w="7748" w:type="dxa"/>
            <w:gridSpan w:val="6"/>
            <w:vAlign w:val="center"/>
            <w:hideMark/>
          </w:tcPr>
          <w:p w14:paraId="292CFD96" w14:textId="77777777" w:rsidR="00D7232E" w:rsidRPr="00D365C3" w:rsidRDefault="00D7232E" w:rsidP="001E35F5">
            <w:pPr>
              <w:rPr>
                <w:rFonts w:ascii="Arial Narrow" w:hAnsi="Arial Narrow"/>
                <w:sz w:val="20"/>
                <w:szCs w:val="20"/>
              </w:rPr>
            </w:pPr>
            <w:r w:rsidRPr="00D365C3">
              <w:rPr>
                <w:rFonts w:ascii="Arial Narrow" w:hAnsi="Arial Narrow"/>
                <w:bCs/>
                <w:sz w:val="20"/>
              </w:rPr>
              <w:t>The condition must be either: (</w:t>
            </w:r>
            <w:proofErr w:type="spellStart"/>
            <w:r w:rsidRPr="00D365C3">
              <w:rPr>
                <w:rFonts w:ascii="Arial Narrow" w:hAnsi="Arial Narrow"/>
                <w:bCs/>
                <w:sz w:val="20"/>
              </w:rPr>
              <w:t>i</w:t>
            </w:r>
            <w:proofErr w:type="spellEnd"/>
            <w:r w:rsidRPr="00D365C3">
              <w:rPr>
                <w:rFonts w:ascii="Arial Narrow" w:hAnsi="Arial Narrow"/>
                <w:bCs/>
                <w:sz w:val="20"/>
              </w:rPr>
              <w:t xml:space="preserve">) primary myelofibrosis, (ii) post-polycythaemia vera myelofibrosis, (iii) post-essential </w:t>
            </w:r>
            <w:proofErr w:type="spellStart"/>
            <w:r w:rsidRPr="00D365C3">
              <w:rPr>
                <w:rFonts w:ascii="Arial Narrow" w:hAnsi="Arial Narrow"/>
                <w:bCs/>
                <w:sz w:val="20"/>
              </w:rPr>
              <w:t>thrombocythaemia</w:t>
            </w:r>
            <w:proofErr w:type="spellEnd"/>
            <w:r w:rsidRPr="00D365C3">
              <w:rPr>
                <w:rFonts w:ascii="Arial Narrow" w:hAnsi="Arial Narrow"/>
                <w:bCs/>
                <w:sz w:val="20"/>
              </w:rPr>
              <w:t xml:space="preserve"> myelofibrosis, confirmed through a bone marrow biopsy report</w:t>
            </w:r>
          </w:p>
        </w:tc>
      </w:tr>
      <w:tr w:rsidR="00D7232E" w:rsidRPr="00D365C3" w14:paraId="7513D15B" w14:textId="77777777" w:rsidTr="00CA5DAE">
        <w:tblPrEx>
          <w:tblCellMar>
            <w:top w:w="15" w:type="dxa"/>
            <w:bottom w:w="15" w:type="dxa"/>
          </w:tblCellMar>
        </w:tblPrEx>
        <w:trPr>
          <w:cantSplit/>
          <w:trHeight w:val="20"/>
        </w:trPr>
        <w:tc>
          <w:tcPr>
            <w:tcW w:w="1274" w:type="dxa"/>
            <w:gridSpan w:val="2"/>
            <w:vAlign w:val="center"/>
          </w:tcPr>
          <w:p w14:paraId="01778F18" w14:textId="77777777" w:rsidR="00D7232E" w:rsidRPr="00D365C3" w:rsidRDefault="00D7232E" w:rsidP="001E35F5">
            <w:pPr>
              <w:jc w:val="center"/>
              <w:rPr>
                <w:rFonts w:ascii="Arial Narrow" w:hAnsi="Arial Narrow"/>
                <w:sz w:val="20"/>
                <w:szCs w:val="20"/>
              </w:rPr>
            </w:pPr>
          </w:p>
        </w:tc>
        <w:tc>
          <w:tcPr>
            <w:tcW w:w="7748" w:type="dxa"/>
            <w:gridSpan w:val="6"/>
            <w:vAlign w:val="center"/>
            <w:hideMark/>
          </w:tcPr>
          <w:p w14:paraId="62B92D82" w14:textId="77777777" w:rsidR="00D7232E" w:rsidRPr="00D365C3" w:rsidRDefault="00D7232E" w:rsidP="001E35F5">
            <w:pPr>
              <w:rPr>
                <w:rFonts w:ascii="Arial Narrow" w:hAnsi="Arial Narrow"/>
                <w:sz w:val="20"/>
                <w:szCs w:val="20"/>
              </w:rPr>
            </w:pPr>
            <w:r w:rsidRPr="00D365C3">
              <w:rPr>
                <w:rFonts w:ascii="Arial Narrow" w:hAnsi="Arial Narrow"/>
                <w:b/>
                <w:bCs/>
                <w:sz w:val="20"/>
                <w:szCs w:val="20"/>
              </w:rPr>
              <w:t>AND</w:t>
            </w:r>
          </w:p>
        </w:tc>
      </w:tr>
      <w:tr w:rsidR="00D7232E" w:rsidRPr="00D365C3" w14:paraId="3D128273" w14:textId="77777777" w:rsidTr="00D7232E">
        <w:tblPrEx>
          <w:tblCellMar>
            <w:top w:w="15" w:type="dxa"/>
            <w:bottom w:w="15" w:type="dxa"/>
          </w:tblCellMar>
        </w:tblPrEx>
        <w:trPr>
          <w:cantSplit/>
          <w:trHeight w:val="20"/>
        </w:trPr>
        <w:tc>
          <w:tcPr>
            <w:tcW w:w="1274" w:type="dxa"/>
            <w:gridSpan w:val="2"/>
            <w:vAlign w:val="center"/>
          </w:tcPr>
          <w:p w14:paraId="14538267" w14:textId="76730444" w:rsidR="00D7232E" w:rsidRPr="00D365C3" w:rsidRDefault="00D7232E" w:rsidP="001E35F5">
            <w:pPr>
              <w:jc w:val="center"/>
              <w:rPr>
                <w:rFonts w:ascii="Arial Narrow" w:hAnsi="Arial Narrow"/>
                <w:sz w:val="20"/>
                <w:szCs w:val="20"/>
              </w:rPr>
            </w:pPr>
          </w:p>
        </w:tc>
        <w:tc>
          <w:tcPr>
            <w:tcW w:w="7748" w:type="dxa"/>
            <w:gridSpan w:val="6"/>
            <w:vAlign w:val="center"/>
            <w:hideMark/>
          </w:tcPr>
          <w:p w14:paraId="62BE6416" w14:textId="77777777" w:rsidR="00D7232E" w:rsidRPr="00D365C3" w:rsidRDefault="00D7232E" w:rsidP="001E35F5">
            <w:pPr>
              <w:rPr>
                <w:rFonts w:ascii="Arial Narrow" w:hAnsi="Arial Narrow"/>
                <w:sz w:val="20"/>
                <w:szCs w:val="20"/>
              </w:rPr>
            </w:pPr>
            <w:r w:rsidRPr="00D365C3">
              <w:rPr>
                <w:rFonts w:ascii="Arial Narrow" w:hAnsi="Arial Narrow"/>
                <w:b/>
                <w:bCs/>
                <w:sz w:val="20"/>
                <w:szCs w:val="20"/>
              </w:rPr>
              <w:t>Clinical criteria:</w:t>
            </w:r>
          </w:p>
        </w:tc>
      </w:tr>
      <w:tr w:rsidR="00D7232E" w:rsidRPr="00D365C3" w14:paraId="02CF3808" w14:textId="77777777" w:rsidTr="00D7232E">
        <w:tblPrEx>
          <w:tblCellMar>
            <w:top w:w="15" w:type="dxa"/>
            <w:bottom w:w="15" w:type="dxa"/>
          </w:tblCellMar>
        </w:tblPrEx>
        <w:trPr>
          <w:cantSplit/>
          <w:trHeight w:val="20"/>
        </w:trPr>
        <w:tc>
          <w:tcPr>
            <w:tcW w:w="1274" w:type="dxa"/>
            <w:gridSpan w:val="2"/>
            <w:vAlign w:val="center"/>
          </w:tcPr>
          <w:p w14:paraId="05D5078B" w14:textId="2D24687E" w:rsidR="00D7232E" w:rsidRPr="00D365C3" w:rsidRDefault="00D7232E" w:rsidP="001E35F5">
            <w:pPr>
              <w:jc w:val="center"/>
              <w:rPr>
                <w:rFonts w:ascii="Arial Narrow" w:hAnsi="Arial Narrow"/>
                <w:i/>
                <w:iCs/>
                <w:sz w:val="20"/>
                <w:szCs w:val="20"/>
              </w:rPr>
            </w:pPr>
          </w:p>
        </w:tc>
        <w:tc>
          <w:tcPr>
            <w:tcW w:w="7748" w:type="dxa"/>
            <w:gridSpan w:val="6"/>
            <w:vAlign w:val="center"/>
            <w:hideMark/>
          </w:tcPr>
          <w:p w14:paraId="588F0C14" w14:textId="77777777" w:rsidR="00D7232E" w:rsidRPr="00D365C3" w:rsidRDefault="00D7232E" w:rsidP="001E35F5">
            <w:pPr>
              <w:rPr>
                <w:rFonts w:ascii="Arial Narrow" w:hAnsi="Arial Narrow"/>
                <w:i/>
                <w:iCs/>
                <w:sz w:val="20"/>
                <w:szCs w:val="20"/>
              </w:rPr>
            </w:pPr>
            <w:r w:rsidRPr="1B303403">
              <w:rPr>
                <w:rFonts w:ascii="Arial Narrow" w:hAnsi="Arial Narrow"/>
                <w:sz w:val="20"/>
                <w:szCs w:val="20"/>
              </w:rPr>
              <w:t xml:space="preserve">Patient must have disease related symptoms that are resistant, refractory or intolerant to </w:t>
            </w:r>
            <w:proofErr w:type="spellStart"/>
            <w:r w:rsidRPr="1B303403">
              <w:rPr>
                <w:rFonts w:ascii="Arial Narrow" w:hAnsi="Arial Narrow"/>
                <w:strike/>
                <w:sz w:val="20"/>
                <w:szCs w:val="20"/>
              </w:rPr>
              <w:t>ruxolitinib</w:t>
            </w:r>
            <w:proofErr w:type="spellEnd"/>
            <w:r w:rsidRPr="1B303403">
              <w:rPr>
                <w:rFonts w:ascii="Arial Narrow" w:hAnsi="Arial Narrow"/>
                <w:strike/>
                <w:sz w:val="20"/>
                <w:szCs w:val="20"/>
              </w:rPr>
              <w:t xml:space="preserve"> </w:t>
            </w:r>
            <w:r w:rsidRPr="1B303403">
              <w:rPr>
                <w:rFonts w:ascii="Arial Narrow" w:hAnsi="Arial Narrow"/>
                <w:i/>
                <w:sz w:val="20"/>
                <w:szCs w:val="20"/>
              </w:rPr>
              <w:t>best available therapy</w:t>
            </w:r>
          </w:p>
        </w:tc>
      </w:tr>
      <w:tr w:rsidR="00D7232E" w:rsidRPr="00D365C3" w14:paraId="4F97AC0A" w14:textId="77777777" w:rsidTr="00D7232E">
        <w:tblPrEx>
          <w:tblCellMar>
            <w:top w:w="15" w:type="dxa"/>
            <w:bottom w:w="15" w:type="dxa"/>
          </w:tblCellMar>
        </w:tblPrEx>
        <w:trPr>
          <w:cantSplit/>
          <w:trHeight w:val="20"/>
        </w:trPr>
        <w:tc>
          <w:tcPr>
            <w:tcW w:w="1274" w:type="dxa"/>
            <w:gridSpan w:val="2"/>
            <w:vAlign w:val="center"/>
          </w:tcPr>
          <w:p w14:paraId="62A5396F" w14:textId="77777777" w:rsidR="00D7232E" w:rsidRPr="00D365C3" w:rsidRDefault="00D7232E" w:rsidP="001E35F5">
            <w:pPr>
              <w:jc w:val="center"/>
              <w:rPr>
                <w:rFonts w:ascii="Arial Narrow" w:hAnsi="Arial Narrow"/>
                <w:sz w:val="20"/>
                <w:szCs w:val="20"/>
              </w:rPr>
            </w:pPr>
          </w:p>
        </w:tc>
        <w:tc>
          <w:tcPr>
            <w:tcW w:w="7748" w:type="dxa"/>
            <w:gridSpan w:val="6"/>
            <w:vAlign w:val="center"/>
          </w:tcPr>
          <w:p w14:paraId="77994FCF" w14:textId="77777777" w:rsidR="00D7232E" w:rsidRPr="00D365C3" w:rsidRDefault="00D7232E" w:rsidP="001E35F5">
            <w:pPr>
              <w:rPr>
                <w:rFonts w:ascii="Arial Narrow" w:hAnsi="Arial Narrow"/>
                <w:b/>
                <w:bCs/>
                <w:i/>
                <w:iCs/>
                <w:sz w:val="20"/>
              </w:rPr>
            </w:pPr>
            <w:r w:rsidRPr="00D365C3">
              <w:rPr>
                <w:rFonts w:ascii="Arial Narrow" w:hAnsi="Arial Narrow"/>
                <w:b/>
                <w:bCs/>
                <w:i/>
                <w:iCs/>
                <w:sz w:val="20"/>
              </w:rPr>
              <w:t>AND</w:t>
            </w:r>
          </w:p>
        </w:tc>
      </w:tr>
      <w:tr w:rsidR="00D7232E" w:rsidRPr="00D365C3" w14:paraId="79766FEF" w14:textId="77777777" w:rsidTr="00D7232E">
        <w:tblPrEx>
          <w:tblCellMar>
            <w:top w:w="15" w:type="dxa"/>
            <w:bottom w:w="15" w:type="dxa"/>
          </w:tblCellMar>
        </w:tblPrEx>
        <w:trPr>
          <w:cantSplit/>
          <w:trHeight w:val="20"/>
        </w:trPr>
        <w:tc>
          <w:tcPr>
            <w:tcW w:w="1274" w:type="dxa"/>
            <w:gridSpan w:val="2"/>
            <w:vAlign w:val="center"/>
          </w:tcPr>
          <w:p w14:paraId="08AFCE95" w14:textId="68C97EF7" w:rsidR="00D7232E" w:rsidRPr="00D365C3" w:rsidRDefault="00D7232E" w:rsidP="001E35F5">
            <w:pPr>
              <w:jc w:val="center"/>
              <w:rPr>
                <w:rFonts w:ascii="Arial Narrow" w:hAnsi="Arial Narrow"/>
                <w:b/>
                <w:bCs/>
                <w:i/>
                <w:iCs/>
                <w:sz w:val="20"/>
                <w:szCs w:val="20"/>
              </w:rPr>
            </w:pPr>
          </w:p>
        </w:tc>
        <w:tc>
          <w:tcPr>
            <w:tcW w:w="7748" w:type="dxa"/>
            <w:gridSpan w:val="6"/>
            <w:vAlign w:val="center"/>
          </w:tcPr>
          <w:p w14:paraId="5B94E087" w14:textId="77777777" w:rsidR="00D7232E" w:rsidRPr="00D365C3" w:rsidRDefault="00D7232E" w:rsidP="001E35F5">
            <w:pPr>
              <w:rPr>
                <w:rFonts w:ascii="Arial Narrow" w:hAnsi="Arial Narrow"/>
                <w:b/>
                <w:bCs/>
                <w:i/>
                <w:iCs/>
                <w:sz w:val="20"/>
              </w:rPr>
            </w:pPr>
            <w:r w:rsidRPr="00D365C3">
              <w:rPr>
                <w:rFonts w:ascii="Arial Narrow" w:hAnsi="Arial Narrow"/>
                <w:b/>
                <w:bCs/>
                <w:i/>
                <w:iCs/>
                <w:sz w:val="20"/>
              </w:rPr>
              <w:t>Clinical criteria:</w:t>
            </w:r>
          </w:p>
        </w:tc>
      </w:tr>
      <w:tr w:rsidR="00D7232E" w:rsidRPr="00D365C3" w14:paraId="556766A1" w14:textId="77777777" w:rsidTr="00D7232E">
        <w:tblPrEx>
          <w:tblCellMar>
            <w:top w:w="15" w:type="dxa"/>
            <w:bottom w:w="15" w:type="dxa"/>
          </w:tblCellMar>
        </w:tblPrEx>
        <w:trPr>
          <w:cantSplit/>
          <w:trHeight w:val="20"/>
        </w:trPr>
        <w:tc>
          <w:tcPr>
            <w:tcW w:w="1274" w:type="dxa"/>
            <w:gridSpan w:val="2"/>
            <w:vAlign w:val="center"/>
          </w:tcPr>
          <w:p w14:paraId="4FB11C4F" w14:textId="1518B7BA" w:rsidR="00D7232E" w:rsidRPr="00D365C3" w:rsidRDefault="00D7232E" w:rsidP="001E35F5">
            <w:pPr>
              <w:jc w:val="center"/>
              <w:rPr>
                <w:rFonts w:ascii="Arial Narrow" w:hAnsi="Arial Narrow"/>
                <w:i/>
                <w:iCs/>
                <w:sz w:val="20"/>
                <w:szCs w:val="20"/>
              </w:rPr>
            </w:pPr>
          </w:p>
        </w:tc>
        <w:tc>
          <w:tcPr>
            <w:tcW w:w="7748" w:type="dxa"/>
            <w:gridSpan w:val="6"/>
            <w:vAlign w:val="center"/>
          </w:tcPr>
          <w:p w14:paraId="5897DF89" w14:textId="77777777" w:rsidR="00D7232E" w:rsidRPr="00D365C3" w:rsidRDefault="00D7232E" w:rsidP="001E35F5">
            <w:pPr>
              <w:rPr>
                <w:rFonts w:ascii="Arial Narrow" w:hAnsi="Arial Narrow"/>
                <w:i/>
                <w:iCs/>
                <w:sz w:val="20"/>
              </w:rPr>
            </w:pPr>
            <w:r w:rsidRPr="00D365C3">
              <w:rPr>
                <w:rFonts w:ascii="Arial Narrow" w:hAnsi="Arial Narrow"/>
                <w:i/>
                <w:iCs/>
                <w:sz w:val="20"/>
              </w:rPr>
              <w:t>The treatment must be the sole PBS-subsidised JAK inhibitor therapy for this condition</w:t>
            </w:r>
          </w:p>
        </w:tc>
      </w:tr>
      <w:tr w:rsidR="00D7232E" w:rsidRPr="00D365C3" w14:paraId="5D6C881F" w14:textId="77777777" w:rsidTr="00D7232E">
        <w:tblPrEx>
          <w:tblCellMar>
            <w:top w:w="15" w:type="dxa"/>
            <w:bottom w:w="15" w:type="dxa"/>
          </w:tblCellMar>
        </w:tblPrEx>
        <w:trPr>
          <w:cantSplit/>
          <w:trHeight w:val="20"/>
        </w:trPr>
        <w:tc>
          <w:tcPr>
            <w:tcW w:w="1274" w:type="dxa"/>
            <w:gridSpan w:val="2"/>
            <w:vAlign w:val="center"/>
          </w:tcPr>
          <w:p w14:paraId="7AD922D9" w14:textId="704D26EB" w:rsidR="00D7232E" w:rsidRPr="00D365C3" w:rsidRDefault="00D7232E" w:rsidP="001E35F5">
            <w:pPr>
              <w:jc w:val="center"/>
              <w:rPr>
                <w:rFonts w:ascii="Arial Narrow" w:hAnsi="Arial Narrow"/>
                <w:sz w:val="20"/>
                <w:szCs w:val="20"/>
              </w:rPr>
            </w:pPr>
          </w:p>
        </w:tc>
        <w:tc>
          <w:tcPr>
            <w:tcW w:w="7748" w:type="dxa"/>
            <w:gridSpan w:val="6"/>
            <w:vAlign w:val="center"/>
            <w:hideMark/>
          </w:tcPr>
          <w:p w14:paraId="771AE267" w14:textId="77777777" w:rsidR="00D7232E" w:rsidRPr="00D365C3" w:rsidRDefault="00D7232E" w:rsidP="001E35F5">
            <w:pPr>
              <w:rPr>
                <w:rFonts w:ascii="Arial Narrow" w:hAnsi="Arial Narrow"/>
                <w:sz w:val="20"/>
                <w:szCs w:val="20"/>
              </w:rPr>
            </w:pPr>
            <w:r w:rsidRPr="00D365C3">
              <w:rPr>
                <w:rFonts w:ascii="Arial Narrow" w:hAnsi="Arial Narrow"/>
                <w:b/>
                <w:bCs/>
                <w:sz w:val="20"/>
                <w:szCs w:val="20"/>
              </w:rPr>
              <w:t>Population criteria:</w:t>
            </w:r>
          </w:p>
        </w:tc>
      </w:tr>
      <w:tr w:rsidR="00D7232E" w:rsidRPr="00D365C3" w14:paraId="032D498C" w14:textId="77777777" w:rsidTr="00CA5DAE">
        <w:tblPrEx>
          <w:tblCellMar>
            <w:top w:w="15" w:type="dxa"/>
            <w:bottom w:w="15" w:type="dxa"/>
          </w:tblCellMar>
        </w:tblPrEx>
        <w:trPr>
          <w:cantSplit/>
          <w:trHeight w:val="20"/>
        </w:trPr>
        <w:tc>
          <w:tcPr>
            <w:tcW w:w="1274" w:type="dxa"/>
            <w:gridSpan w:val="2"/>
            <w:vAlign w:val="center"/>
          </w:tcPr>
          <w:p w14:paraId="27AEED19" w14:textId="5ADB0918" w:rsidR="00D7232E" w:rsidRPr="00D365C3" w:rsidRDefault="00D7232E" w:rsidP="001E35F5">
            <w:pPr>
              <w:jc w:val="center"/>
              <w:rPr>
                <w:rFonts w:ascii="Arial Narrow" w:hAnsi="Arial Narrow"/>
                <w:sz w:val="20"/>
                <w:szCs w:val="20"/>
              </w:rPr>
            </w:pPr>
          </w:p>
        </w:tc>
        <w:tc>
          <w:tcPr>
            <w:tcW w:w="7748" w:type="dxa"/>
            <w:gridSpan w:val="6"/>
            <w:vAlign w:val="center"/>
            <w:hideMark/>
          </w:tcPr>
          <w:p w14:paraId="7CCA97C5" w14:textId="77777777" w:rsidR="00D7232E" w:rsidRPr="00D365C3" w:rsidRDefault="00D7232E" w:rsidP="001E35F5">
            <w:pPr>
              <w:rPr>
                <w:rFonts w:ascii="Arial Narrow" w:hAnsi="Arial Narrow"/>
                <w:sz w:val="20"/>
                <w:szCs w:val="20"/>
              </w:rPr>
            </w:pPr>
            <w:r w:rsidRPr="00D365C3">
              <w:rPr>
                <w:rFonts w:ascii="Arial Narrow" w:hAnsi="Arial Narrow"/>
                <w:sz w:val="20"/>
              </w:rPr>
              <w:t>Patient must be at least 18 years of age.</w:t>
            </w:r>
          </w:p>
        </w:tc>
      </w:tr>
      <w:tr w:rsidR="00D7232E" w:rsidRPr="00D365C3" w14:paraId="51509D09" w14:textId="77777777" w:rsidTr="00D7232E">
        <w:tblPrEx>
          <w:tblCellMar>
            <w:top w:w="15" w:type="dxa"/>
            <w:bottom w:w="15" w:type="dxa"/>
          </w:tblCellMar>
        </w:tblPrEx>
        <w:trPr>
          <w:cantSplit/>
          <w:trHeight w:val="20"/>
        </w:trPr>
        <w:tc>
          <w:tcPr>
            <w:tcW w:w="1274" w:type="dxa"/>
            <w:gridSpan w:val="2"/>
            <w:vAlign w:val="center"/>
          </w:tcPr>
          <w:p w14:paraId="7B6B1F67" w14:textId="1FF8C426" w:rsidR="00D7232E" w:rsidRPr="00D365C3" w:rsidRDefault="00D7232E" w:rsidP="001E35F5">
            <w:pPr>
              <w:jc w:val="center"/>
              <w:rPr>
                <w:rFonts w:ascii="Arial Narrow" w:hAnsi="Arial Narrow"/>
                <w:i/>
                <w:iCs/>
                <w:sz w:val="20"/>
                <w:szCs w:val="20"/>
              </w:rPr>
            </w:pPr>
          </w:p>
        </w:tc>
        <w:tc>
          <w:tcPr>
            <w:tcW w:w="7748" w:type="dxa"/>
            <w:gridSpan w:val="6"/>
            <w:vAlign w:val="center"/>
          </w:tcPr>
          <w:p w14:paraId="57A09E51" w14:textId="77777777" w:rsidR="00D7232E" w:rsidRPr="00D365C3" w:rsidRDefault="00D7232E" w:rsidP="001E35F5">
            <w:pPr>
              <w:rPr>
                <w:rFonts w:ascii="Arial Narrow" w:hAnsi="Arial Narrow"/>
                <w:b/>
                <w:bCs/>
                <w:i/>
                <w:iCs/>
                <w:sz w:val="20"/>
                <w:szCs w:val="20"/>
              </w:rPr>
            </w:pPr>
            <w:r w:rsidRPr="00D365C3">
              <w:rPr>
                <w:rFonts w:ascii="Arial Narrow" w:hAnsi="Arial Narrow"/>
                <w:b/>
                <w:bCs/>
                <w:i/>
                <w:iCs/>
                <w:sz w:val="20"/>
                <w:szCs w:val="20"/>
              </w:rPr>
              <w:t xml:space="preserve">Prescribing Instructions: </w:t>
            </w:r>
          </w:p>
          <w:p w14:paraId="47E6698F" w14:textId="77777777" w:rsidR="00D7232E" w:rsidRPr="00D365C3" w:rsidRDefault="00D7232E" w:rsidP="001E35F5">
            <w:pPr>
              <w:rPr>
                <w:rFonts w:ascii="Arial Narrow" w:hAnsi="Arial Narrow"/>
                <w:i/>
                <w:iCs/>
                <w:sz w:val="20"/>
                <w:szCs w:val="20"/>
              </w:rPr>
            </w:pPr>
            <w:r w:rsidRPr="00D365C3">
              <w:rPr>
                <w:rFonts w:ascii="Arial Narrow" w:hAnsi="Arial Narrow"/>
                <w:i/>
                <w:iCs/>
                <w:sz w:val="20"/>
                <w:szCs w:val="20"/>
              </w:rPr>
              <w:t xml:space="preserve">Details of the following must be documented in the patient’s medical records: </w:t>
            </w:r>
          </w:p>
          <w:p w14:paraId="6D6C6E82" w14:textId="77777777" w:rsidR="00D7232E" w:rsidRPr="00D365C3" w:rsidRDefault="00D7232E" w:rsidP="001E35F5">
            <w:pPr>
              <w:pStyle w:val="ListParagraph"/>
              <w:numPr>
                <w:ilvl w:val="0"/>
                <w:numId w:val="12"/>
              </w:numPr>
              <w:jc w:val="left"/>
              <w:rPr>
                <w:rFonts w:ascii="Arial Narrow" w:hAnsi="Arial Narrow"/>
                <w:i/>
                <w:iCs/>
                <w:sz w:val="20"/>
                <w:szCs w:val="20"/>
              </w:rPr>
            </w:pPr>
            <w:r w:rsidRPr="00D365C3">
              <w:rPr>
                <w:rFonts w:ascii="Arial Narrow" w:hAnsi="Arial Narrow"/>
                <w:i/>
                <w:iCs/>
                <w:sz w:val="20"/>
                <w:szCs w:val="20"/>
              </w:rPr>
              <w:t xml:space="preserve">the bone marrow biopsy report confirming diagnosis of myelofibrosis (date, unique identifying number/code or provider number); and </w:t>
            </w:r>
          </w:p>
          <w:p w14:paraId="73D87014" w14:textId="77777777" w:rsidR="00D7232E" w:rsidRPr="00D365C3" w:rsidRDefault="00D7232E" w:rsidP="001E35F5">
            <w:pPr>
              <w:pStyle w:val="ListParagraph"/>
              <w:numPr>
                <w:ilvl w:val="0"/>
                <w:numId w:val="12"/>
              </w:numPr>
              <w:jc w:val="left"/>
              <w:rPr>
                <w:rFonts w:ascii="Arial Narrow" w:hAnsi="Arial Narrow"/>
                <w:i/>
                <w:iCs/>
                <w:sz w:val="20"/>
                <w:szCs w:val="20"/>
              </w:rPr>
            </w:pPr>
            <w:r w:rsidRPr="00D365C3">
              <w:rPr>
                <w:rFonts w:ascii="Arial Narrow" w:hAnsi="Arial Narrow"/>
                <w:i/>
                <w:iCs/>
                <w:sz w:val="20"/>
                <w:szCs w:val="20"/>
              </w:rPr>
              <w:t>a classification of risk of myelofibrosis according to either the IPSS, DIPSS, or the Age-Adjusted DIPSS</w:t>
            </w:r>
          </w:p>
        </w:tc>
      </w:tr>
      <w:tr w:rsidR="00D7232E" w:rsidRPr="00D365C3" w14:paraId="098A331A" w14:textId="77777777" w:rsidTr="00D7232E">
        <w:tblPrEx>
          <w:tblCellMar>
            <w:top w:w="15" w:type="dxa"/>
            <w:bottom w:w="15" w:type="dxa"/>
          </w:tblCellMar>
        </w:tblPrEx>
        <w:trPr>
          <w:cantSplit/>
          <w:trHeight w:val="20"/>
        </w:trPr>
        <w:tc>
          <w:tcPr>
            <w:tcW w:w="1274" w:type="dxa"/>
            <w:gridSpan w:val="2"/>
            <w:vAlign w:val="center"/>
          </w:tcPr>
          <w:p w14:paraId="1CA54028" w14:textId="2589A4E5" w:rsidR="00D7232E" w:rsidRPr="00D365C3" w:rsidRDefault="00D7232E" w:rsidP="001E35F5">
            <w:pPr>
              <w:jc w:val="center"/>
              <w:rPr>
                <w:rFonts w:ascii="Arial Narrow" w:hAnsi="Arial Narrow"/>
                <w:i/>
                <w:iCs/>
                <w:sz w:val="20"/>
                <w:szCs w:val="20"/>
              </w:rPr>
            </w:pPr>
          </w:p>
        </w:tc>
        <w:tc>
          <w:tcPr>
            <w:tcW w:w="7748" w:type="dxa"/>
            <w:gridSpan w:val="6"/>
            <w:vAlign w:val="center"/>
          </w:tcPr>
          <w:p w14:paraId="0A9B08DD" w14:textId="77777777" w:rsidR="00D7232E" w:rsidRDefault="00D7232E" w:rsidP="001E35F5">
            <w:pPr>
              <w:rPr>
                <w:rFonts w:ascii="Arial Narrow" w:hAnsi="Arial Narrow"/>
                <w:b/>
                <w:bCs/>
                <w:i/>
                <w:iCs/>
                <w:sz w:val="20"/>
                <w:szCs w:val="20"/>
              </w:rPr>
            </w:pPr>
            <w:r>
              <w:rPr>
                <w:rFonts w:ascii="Arial Narrow" w:hAnsi="Arial Narrow"/>
                <w:b/>
                <w:bCs/>
                <w:i/>
                <w:iCs/>
                <w:sz w:val="20"/>
                <w:szCs w:val="20"/>
              </w:rPr>
              <w:t xml:space="preserve">Caution: </w:t>
            </w:r>
          </w:p>
          <w:p w14:paraId="78AFC0F3" w14:textId="77777777" w:rsidR="00D7232E" w:rsidRPr="008855E4" w:rsidRDefault="00D7232E" w:rsidP="001E35F5">
            <w:pPr>
              <w:rPr>
                <w:rFonts w:ascii="Arial Narrow" w:hAnsi="Arial Narrow"/>
                <w:i/>
                <w:iCs/>
                <w:sz w:val="20"/>
                <w:szCs w:val="20"/>
              </w:rPr>
            </w:pPr>
            <w:r w:rsidRPr="008855E4">
              <w:rPr>
                <w:rFonts w:ascii="Arial Narrow" w:hAnsi="Arial Narrow"/>
                <w:i/>
                <w:iCs/>
                <w:sz w:val="20"/>
                <w:szCs w:val="20"/>
              </w:rPr>
              <w:t>Thiamine levels should be assessed as per </w:t>
            </w:r>
            <w:r w:rsidRPr="00067142">
              <w:rPr>
                <w:rFonts w:ascii="Arial Narrow" w:hAnsi="Arial Narrow"/>
                <w:i/>
                <w:iCs/>
                <w:sz w:val="20"/>
                <w:szCs w:val="20"/>
              </w:rPr>
              <w:t xml:space="preserve">the </w:t>
            </w:r>
            <w:r>
              <w:rPr>
                <w:rFonts w:ascii="Arial Narrow" w:hAnsi="Arial Narrow"/>
                <w:i/>
                <w:iCs/>
                <w:sz w:val="20"/>
                <w:szCs w:val="20"/>
              </w:rPr>
              <w:t xml:space="preserve">approved </w:t>
            </w:r>
            <w:r w:rsidRPr="0064333E">
              <w:rPr>
                <w:rFonts w:ascii="Arial Narrow" w:hAnsi="Arial Narrow"/>
                <w:i/>
                <w:iCs/>
                <w:sz w:val="20"/>
                <w:szCs w:val="20"/>
              </w:rPr>
              <w:t>Therapeutic Goods Administration (TGA) Product Information (PI)</w:t>
            </w:r>
            <w:r>
              <w:rPr>
                <w:rFonts w:ascii="Arial Narrow" w:hAnsi="Arial Narrow"/>
                <w:i/>
                <w:iCs/>
                <w:sz w:val="20"/>
                <w:szCs w:val="20"/>
              </w:rPr>
              <w:t xml:space="preserve"> prior to receiving treatment and should be closely monitored throughout the treatment period. </w:t>
            </w:r>
          </w:p>
        </w:tc>
      </w:tr>
    </w:tbl>
    <w:p w14:paraId="15D713A3" w14:textId="2C87BCC9" w:rsidR="00D7232E" w:rsidRPr="00247A60" w:rsidRDefault="00D7232E" w:rsidP="00CC0348">
      <w:pPr>
        <w:pStyle w:val="3-BodyText"/>
        <w:rPr>
          <w:rFonts w:ascii="Arial Narrow" w:hAnsi="Arial Narrow" w:cs="Calibri"/>
          <w:color w:val="0D0D0D" w:themeColor="text1" w:themeTint="F2"/>
          <w:sz w:val="20"/>
          <w:szCs w:val="20"/>
        </w:rPr>
      </w:pPr>
    </w:p>
    <w:p w14:paraId="46BFFAEA" w14:textId="264D0CB2" w:rsidR="000D6A19" w:rsidRPr="003B6D82" w:rsidRDefault="000D6A19" w:rsidP="00F40844">
      <w:pPr>
        <w:pStyle w:val="COMexecsummnumbered"/>
        <w:numPr>
          <w:ilvl w:val="1"/>
          <w:numId w:val="3"/>
        </w:numPr>
        <w:rPr>
          <w:iCs/>
        </w:rPr>
      </w:pPr>
      <w:r w:rsidRPr="003B6D82">
        <w:rPr>
          <w:iCs/>
        </w:rPr>
        <w:lastRenderedPageBreak/>
        <w:t xml:space="preserve">The submission </w:t>
      </w:r>
      <w:r w:rsidR="00BE6B90">
        <w:rPr>
          <w:iCs/>
        </w:rPr>
        <w:t>requested</w:t>
      </w:r>
      <w:r w:rsidR="00BE6B90" w:rsidRPr="003B6D82">
        <w:rPr>
          <w:iCs/>
        </w:rPr>
        <w:t xml:space="preserve"> </w:t>
      </w:r>
      <w:r w:rsidRPr="003B6D82">
        <w:rPr>
          <w:iCs/>
        </w:rPr>
        <w:t xml:space="preserve">a special pricing arrangement </w:t>
      </w:r>
      <w:r w:rsidR="00117FD6">
        <w:rPr>
          <w:iCs/>
        </w:rPr>
        <w:t>(SPA)</w:t>
      </w:r>
      <w:r w:rsidR="00BE6B90">
        <w:rPr>
          <w:iCs/>
        </w:rPr>
        <w:t xml:space="preserve"> apply to </w:t>
      </w:r>
      <w:proofErr w:type="spellStart"/>
      <w:r w:rsidR="00BE6B90">
        <w:rPr>
          <w:iCs/>
        </w:rPr>
        <w:t>fedratinib</w:t>
      </w:r>
      <w:proofErr w:type="spellEnd"/>
      <w:r w:rsidR="00BE6B90">
        <w:rPr>
          <w:iCs/>
        </w:rPr>
        <w:t xml:space="preserve">, </w:t>
      </w:r>
      <w:r w:rsidRPr="003B6D82">
        <w:rPr>
          <w:iCs/>
        </w:rPr>
        <w:t xml:space="preserve">with a </w:t>
      </w:r>
      <w:r w:rsidR="00AE2A42">
        <w:rPr>
          <w:iCs/>
        </w:rPr>
        <w:t xml:space="preserve">published </w:t>
      </w:r>
      <w:r w:rsidR="006D2E96">
        <w:rPr>
          <w:iCs/>
        </w:rPr>
        <w:t>dispensed price per maximum quantity</w:t>
      </w:r>
      <w:r w:rsidR="00EC6787">
        <w:rPr>
          <w:iCs/>
        </w:rPr>
        <w:t xml:space="preserve"> (DPMQ)</w:t>
      </w:r>
      <w:r w:rsidR="006D2E96">
        <w:rPr>
          <w:iCs/>
        </w:rPr>
        <w:t xml:space="preserve"> </w:t>
      </w:r>
      <w:r w:rsidRPr="003B6D82">
        <w:rPr>
          <w:iCs/>
        </w:rPr>
        <w:t>price of $</w:t>
      </w:r>
      <w:r w:rsidR="00733FBC" w:rsidRPr="00E66BAF">
        <w:rPr>
          <w:iCs/>
          <w:color w:val="000000"/>
          <w:w w:val="60"/>
          <w:shd w:val="solid" w:color="000000" w:fill="000000"/>
          <w:fitText w:val="470" w:id="-663572478"/>
          <w14:textFill>
            <w14:solidFill>
              <w14:srgbClr w14:val="000000">
                <w14:alpha w14:val="100000"/>
              </w14:srgbClr>
            </w14:solidFill>
          </w14:textFill>
        </w:rPr>
        <w:t>||</w:t>
      </w:r>
      <w:proofErr w:type="gramStart"/>
      <w:r w:rsidR="00733FBC" w:rsidRPr="00E66BAF">
        <w:rPr>
          <w:iCs/>
          <w:color w:val="000000"/>
          <w:w w:val="60"/>
          <w:shd w:val="solid" w:color="000000" w:fill="000000"/>
          <w:fitText w:val="470" w:id="-663572478"/>
          <w14:textFill>
            <w14:solidFill>
              <w14:srgbClr w14:val="000000">
                <w14:alpha w14:val="100000"/>
              </w14:srgbClr>
            </w14:solidFill>
          </w14:textFill>
        </w:rPr>
        <w:t>|  |</w:t>
      </w:r>
      <w:proofErr w:type="gramEnd"/>
      <w:r w:rsidR="00733FBC" w:rsidRPr="00E66BAF">
        <w:rPr>
          <w:iCs/>
          <w:color w:val="000000"/>
          <w:w w:val="60"/>
          <w:shd w:val="solid" w:color="000000" w:fill="000000"/>
          <w:fitText w:val="470" w:id="-663572478"/>
          <w14:textFill>
            <w14:solidFill>
              <w14:srgbClr w14:val="000000">
                <w14:alpha w14:val="100000"/>
              </w14:srgbClr>
            </w14:solidFill>
          </w14:textFill>
        </w:rPr>
        <w:t>|</w:t>
      </w:r>
      <w:r w:rsidR="00733FBC" w:rsidRPr="00E66BAF">
        <w:rPr>
          <w:iCs/>
          <w:color w:val="000000"/>
          <w:spacing w:val="6"/>
          <w:w w:val="60"/>
          <w:shd w:val="solid" w:color="000000" w:fill="000000"/>
          <w:fitText w:val="470" w:id="-663572478"/>
          <w14:textFill>
            <w14:solidFill>
              <w14:srgbClr w14:val="000000">
                <w14:alpha w14:val="100000"/>
              </w14:srgbClr>
            </w14:solidFill>
          </w14:textFill>
        </w:rPr>
        <w:t>|</w:t>
      </w:r>
      <w:r w:rsidRPr="003B6D82">
        <w:rPr>
          <w:iCs/>
        </w:rPr>
        <w:t xml:space="preserve"> and an effective</w:t>
      </w:r>
      <w:r w:rsidR="00BF1FC9">
        <w:rPr>
          <w:iCs/>
        </w:rPr>
        <w:t xml:space="preserve"> </w:t>
      </w:r>
      <w:r w:rsidRPr="003B6D82">
        <w:rPr>
          <w:iCs/>
        </w:rPr>
        <w:t>price of $</w:t>
      </w:r>
      <w:r w:rsidR="00733FBC" w:rsidRPr="00E66BAF">
        <w:rPr>
          <w:iCs/>
          <w:color w:val="000000"/>
          <w:w w:val="60"/>
          <w:shd w:val="solid" w:color="000000" w:fill="000000"/>
          <w:fitText w:val="470" w:id="-663572477"/>
          <w14:textFill>
            <w14:solidFill>
              <w14:srgbClr w14:val="000000">
                <w14:alpha w14:val="100000"/>
              </w14:srgbClr>
            </w14:solidFill>
          </w14:textFill>
        </w:rPr>
        <w:t>||</w:t>
      </w:r>
      <w:proofErr w:type="gramStart"/>
      <w:r w:rsidR="00733FBC" w:rsidRPr="00E66BAF">
        <w:rPr>
          <w:iCs/>
          <w:color w:val="000000"/>
          <w:w w:val="60"/>
          <w:shd w:val="solid" w:color="000000" w:fill="000000"/>
          <w:fitText w:val="470" w:id="-663572477"/>
          <w14:textFill>
            <w14:solidFill>
              <w14:srgbClr w14:val="000000">
                <w14:alpha w14:val="100000"/>
              </w14:srgbClr>
            </w14:solidFill>
          </w14:textFill>
        </w:rPr>
        <w:t>|  |</w:t>
      </w:r>
      <w:proofErr w:type="gramEnd"/>
      <w:r w:rsidR="00733FBC" w:rsidRPr="00E66BAF">
        <w:rPr>
          <w:iCs/>
          <w:color w:val="000000"/>
          <w:w w:val="60"/>
          <w:shd w:val="solid" w:color="000000" w:fill="000000"/>
          <w:fitText w:val="470" w:id="-663572477"/>
          <w14:textFill>
            <w14:solidFill>
              <w14:srgbClr w14:val="000000">
                <w14:alpha w14:val="100000"/>
              </w14:srgbClr>
            </w14:solidFill>
          </w14:textFill>
        </w:rPr>
        <w:t>|</w:t>
      </w:r>
      <w:r w:rsidR="00733FBC" w:rsidRPr="00E66BAF">
        <w:rPr>
          <w:iCs/>
          <w:color w:val="000000"/>
          <w:spacing w:val="6"/>
          <w:w w:val="60"/>
          <w:shd w:val="solid" w:color="000000" w:fill="000000"/>
          <w:fitText w:val="470" w:id="-663572477"/>
          <w14:textFill>
            <w14:solidFill>
              <w14:srgbClr w14:val="000000">
                <w14:alpha w14:val="100000"/>
              </w14:srgbClr>
            </w14:solidFill>
          </w14:textFill>
        </w:rPr>
        <w:t>|</w:t>
      </w:r>
      <w:r w:rsidRPr="003B6D82">
        <w:rPr>
          <w:iCs/>
        </w:rPr>
        <w:t xml:space="preserve"> per pack of 120 capsules. </w:t>
      </w:r>
    </w:p>
    <w:p w14:paraId="14652D26" w14:textId="032E91F4" w:rsidR="006F4CBC" w:rsidRPr="003B6D82" w:rsidRDefault="000D6A19" w:rsidP="0028381B">
      <w:pPr>
        <w:pStyle w:val="COMexecsummnumbered"/>
        <w:numPr>
          <w:ilvl w:val="1"/>
          <w:numId w:val="3"/>
        </w:numPr>
        <w:rPr>
          <w:iCs/>
        </w:rPr>
      </w:pPr>
      <w:r w:rsidRPr="003B6D82">
        <w:rPr>
          <w:iCs/>
        </w:rPr>
        <w:t xml:space="preserve">The </w:t>
      </w:r>
      <w:r w:rsidR="00D05CBE">
        <w:rPr>
          <w:iCs/>
        </w:rPr>
        <w:t>proposed</w:t>
      </w:r>
      <w:r w:rsidR="00D05CBE" w:rsidRPr="003B6D82">
        <w:rPr>
          <w:iCs/>
        </w:rPr>
        <w:t xml:space="preserve"> </w:t>
      </w:r>
      <w:r w:rsidR="007518B8">
        <w:rPr>
          <w:iCs/>
        </w:rPr>
        <w:t>PBS listing</w:t>
      </w:r>
      <w:r w:rsidR="00561FF2">
        <w:rPr>
          <w:iCs/>
        </w:rPr>
        <w:t xml:space="preserve"> for </w:t>
      </w:r>
      <w:proofErr w:type="spellStart"/>
      <w:r w:rsidR="00561FF2">
        <w:rPr>
          <w:iCs/>
        </w:rPr>
        <w:t>fedratinib</w:t>
      </w:r>
      <w:proofErr w:type="spellEnd"/>
      <w:r w:rsidR="007518B8" w:rsidRPr="003B6D82">
        <w:rPr>
          <w:iCs/>
        </w:rPr>
        <w:t xml:space="preserve"> </w:t>
      </w:r>
      <w:r w:rsidRPr="003B6D82">
        <w:rPr>
          <w:iCs/>
        </w:rPr>
        <w:t xml:space="preserve">is narrower than the </w:t>
      </w:r>
      <w:r w:rsidR="004D6660" w:rsidRPr="003B6D82">
        <w:rPr>
          <w:iCs/>
        </w:rPr>
        <w:t xml:space="preserve">approved </w:t>
      </w:r>
      <w:r w:rsidRPr="003B6D82">
        <w:rPr>
          <w:iCs/>
        </w:rPr>
        <w:t>TGA indicat</w:t>
      </w:r>
      <w:r w:rsidR="009C6CE7">
        <w:rPr>
          <w:iCs/>
        </w:rPr>
        <w:t>ion</w:t>
      </w:r>
      <w:r w:rsidR="00B729B4">
        <w:rPr>
          <w:iCs/>
        </w:rPr>
        <w:t xml:space="preserve">. </w:t>
      </w:r>
      <w:r w:rsidR="00BD6EC9">
        <w:rPr>
          <w:iCs/>
        </w:rPr>
        <w:t>The</w:t>
      </w:r>
      <w:r w:rsidR="000B2838">
        <w:rPr>
          <w:iCs/>
        </w:rPr>
        <w:t xml:space="preserve"> TGA indication </w:t>
      </w:r>
      <w:r w:rsidRPr="003B6D82">
        <w:rPr>
          <w:iCs/>
        </w:rPr>
        <w:t xml:space="preserve">includes patients who are JAK inhibitor naïve, does not restrict </w:t>
      </w:r>
      <w:r w:rsidR="00602641" w:rsidRPr="003B6D82">
        <w:rPr>
          <w:iCs/>
        </w:rPr>
        <w:t>based on</w:t>
      </w:r>
      <w:r w:rsidRPr="003B6D82">
        <w:rPr>
          <w:iCs/>
        </w:rPr>
        <w:t xml:space="preserve"> disease risk, and does not require patients to be resistant, refractory or intolerant to </w:t>
      </w:r>
      <w:proofErr w:type="spellStart"/>
      <w:r w:rsidRPr="003B6D82">
        <w:rPr>
          <w:iCs/>
        </w:rPr>
        <w:t>ruxolitinib</w:t>
      </w:r>
      <w:proofErr w:type="spellEnd"/>
      <w:r w:rsidRPr="003B6D82">
        <w:rPr>
          <w:iCs/>
        </w:rPr>
        <w:t>.</w:t>
      </w:r>
      <w:r w:rsidR="00602641">
        <w:rPr>
          <w:iCs/>
        </w:rPr>
        <w:t xml:space="preserve"> </w:t>
      </w:r>
      <w:r w:rsidR="008D55E9">
        <w:rPr>
          <w:iCs/>
        </w:rPr>
        <w:t>T</w:t>
      </w:r>
      <w:r w:rsidR="00C234EC" w:rsidRPr="003B6D82">
        <w:rPr>
          <w:iCs/>
        </w:rPr>
        <w:t xml:space="preserve">he ESC noted the </w:t>
      </w:r>
      <w:proofErr w:type="spellStart"/>
      <w:r w:rsidR="00C234EC" w:rsidRPr="003B6D82">
        <w:rPr>
          <w:iCs/>
        </w:rPr>
        <w:t>fedratinib</w:t>
      </w:r>
      <w:proofErr w:type="spellEnd"/>
      <w:r w:rsidR="00C234EC" w:rsidRPr="003B6D82">
        <w:rPr>
          <w:iCs/>
        </w:rPr>
        <w:t xml:space="preserve"> submission did not request a listing for patients with intermediate-1 disease</w:t>
      </w:r>
      <w:r w:rsidR="008D55E9">
        <w:rPr>
          <w:iCs/>
        </w:rPr>
        <w:t xml:space="preserve">, </w:t>
      </w:r>
      <w:proofErr w:type="gramStart"/>
      <w:r w:rsidR="008D55E9">
        <w:rPr>
          <w:iCs/>
        </w:rPr>
        <w:t>similar to</w:t>
      </w:r>
      <w:proofErr w:type="gramEnd"/>
      <w:r w:rsidR="008D55E9">
        <w:rPr>
          <w:iCs/>
        </w:rPr>
        <w:t xml:space="preserve"> </w:t>
      </w:r>
      <w:r w:rsidR="00602641">
        <w:rPr>
          <w:iCs/>
        </w:rPr>
        <w:t xml:space="preserve">the current PBS listing for </w:t>
      </w:r>
      <w:proofErr w:type="spellStart"/>
      <w:r w:rsidR="008D55E9">
        <w:rPr>
          <w:iCs/>
        </w:rPr>
        <w:t>ruxolit</w:t>
      </w:r>
      <w:r w:rsidR="00BD6EC9">
        <w:rPr>
          <w:iCs/>
        </w:rPr>
        <w:t>inib</w:t>
      </w:r>
      <w:proofErr w:type="spellEnd"/>
      <w:r w:rsidR="00BD6EC9">
        <w:rPr>
          <w:iCs/>
        </w:rPr>
        <w:t xml:space="preserve"> and </w:t>
      </w:r>
      <w:proofErr w:type="spellStart"/>
      <w:r w:rsidR="00BD6EC9">
        <w:rPr>
          <w:iCs/>
        </w:rPr>
        <w:t>momelotinib</w:t>
      </w:r>
      <w:proofErr w:type="spellEnd"/>
      <w:r w:rsidR="00C234EC" w:rsidRPr="003B6D82">
        <w:rPr>
          <w:iCs/>
        </w:rPr>
        <w:t xml:space="preserve">. This is further discussed in paragraph </w:t>
      </w:r>
      <w:r w:rsidR="00C234EC" w:rsidRPr="003B6D82">
        <w:rPr>
          <w:iCs/>
        </w:rPr>
        <w:fldChar w:fldCharType="begin" w:fldLock="1"/>
      </w:r>
      <w:r w:rsidR="00C234EC" w:rsidRPr="003B6D82">
        <w:rPr>
          <w:iCs/>
        </w:rPr>
        <w:instrText xml:space="preserve"> REF _Ref195693637 \r \h  \* MERGEFORMAT </w:instrText>
      </w:r>
      <w:r w:rsidR="00C234EC" w:rsidRPr="003B6D82">
        <w:rPr>
          <w:iCs/>
        </w:rPr>
      </w:r>
      <w:r w:rsidR="00C234EC" w:rsidRPr="003B6D82">
        <w:rPr>
          <w:iCs/>
        </w:rPr>
        <w:fldChar w:fldCharType="separate"/>
      </w:r>
      <w:r w:rsidR="00A072A5">
        <w:rPr>
          <w:iCs/>
        </w:rPr>
        <w:t>4.10</w:t>
      </w:r>
      <w:r w:rsidR="00C234EC" w:rsidRPr="003B6D82">
        <w:rPr>
          <w:iCs/>
        </w:rPr>
        <w:fldChar w:fldCharType="end"/>
      </w:r>
      <w:r w:rsidR="00C234EC" w:rsidRPr="003B6D82">
        <w:rPr>
          <w:iCs/>
        </w:rPr>
        <w:t xml:space="preserve">. </w:t>
      </w:r>
    </w:p>
    <w:p w14:paraId="52BCE7B4" w14:textId="32B8D0C0" w:rsidR="00830735" w:rsidRDefault="000D6A19" w:rsidP="00830735">
      <w:pPr>
        <w:pStyle w:val="COMexecsummnumbered"/>
        <w:numPr>
          <w:ilvl w:val="1"/>
          <w:numId w:val="3"/>
        </w:numPr>
        <w:rPr>
          <w:iCs/>
        </w:rPr>
      </w:pPr>
      <w:r w:rsidRPr="003B6D82">
        <w:rPr>
          <w:iCs/>
        </w:rPr>
        <w:t xml:space="preserve">The proposed </w:t>
      </w:r>
      <w:r w:rsidR="00ED2C54">
        <w:rPr>
          <w:iCs/>
        </w:rPr>
        <w:t xml:space="preserve">PBS </w:t>
      </w:r>
      <w:r w:rsidRPr="003B6D82">
        <w:rPr>
          <w:iCs/>
        </w:rPr>
        <w:t xml:space="preserve">listing </w:t>
      </w:r>
      <w:r w:rsidR="00ED2C54">
        <w:rPr>
          <w:iCs/>
        </w:rPr>
        <w:t>required</w:t>
      </w:r>
      <w:r w:rsidR="00ED2C54" w:rsidRPr="003B6D82">
        <w:rPr>
          <w:iCs/>
        </w:rPr>
        <w:t xml:space="preserve"> </w:t>
      </w:r>
      <w:r w:rsidRPr="003B6D82">
        <w:rPr>
          <w:iCs/>
        </w:rPr>
        <w:t xml:space="preserve">patients to have disease-related symptoms that are resistant, refractory or intolerant to </w:t>
      </w:r>
      <w:proofErr w:type="spellStart"/>
      <w:r w:rsidRPr="003B6D82">
        <w:rPr>
          <w:iCs/>
        </w:rPr>
        <w:t>ruxolitinib</w:t>
      </w:r>
      <w:proofErr w:type="spellEnd"/>
      <w:r w:rsidRPr="003B6D82">
        <w:rPr>
          <w:iCs/>
        </w:rPr>
        <w:t>. This differ</w:t>
      </w:r>
      <w:r w:rsidR="00975DF3">
        <w:rPr>
          <w:iCs/>
        </w:rPr>
        <w:t>ed</w:t>
      </w:r>
      <w:r w:rsidRPr="003B6D82">
        <w:rPr>
          <w:iCs/>
        </w:rPr>
        <w:t xml:space="preserve"> from the FREEDOM-2 trial, which included patients with previous </w:t>
      </w:r>
      <w:proofErr w:type="spellStart"/>
      <w:r w:rsidRPr="003B6D82">
        <w:rPr>
          <w:iCs/>
        </w:rPr>
        <w:t>ruxolitinib</w:t>
      </w:r>
      <w:proofErr w:type="spellEnd"/>
      <w:r w:rsidRPr="003B6D82">
        <w:rPr>
          <w:iCs/>
        </w:rPr>
        <w:t xml:space="preserve"> exposure who had relapsed, were refractory, or were intolerant to </w:t>
      </w:r>
      <w:proofErr w:type="spellStart"/>
      <w:r w:rsidRPr="003B6D82">
        <w:rPr>
          <w:iCs/>
        </w:rPr>
        <w:t>ruxolitinib</w:t>
      </w:r>
      <w:proofErr w:type="spellEnd"/>
      <w:r w:rsidRPr="003B6D82">
        <w:rPr>
          <w:iCs/>
        </w:rPr>
        <w:t>.</w:t>
      </w:r>
      <w:r w:rsidR="00E145BA" w:rsidRPr="003B6D82">
        <w:rPr>
          <w:iCs/>
        </w:rPr>
        <w:t xml:space="preserve"> The Pre-Sub Committee Response (PSCR) </w:t>
      </w:r>
      <w:r w:rsidR="006D5D13" w:rsidRPr="003B6D82">
        <w:rPr>
          <w:iCs/>
        </w:rPr>
        <w:t xml:space="preserve">noted </w:t>
      </w:r>
      <w:r w:rsidR="00FF653E">
        <w:rPr>
          <w:iCs/>
        </w:rPr>
        <w:t>t</w:t>
      </w:r>
      <w:r w:rsidR="00E145BA" w:rsidRPr="003B6D82">
        <w:rPr>
          <w:iCs/>
        </w:rPr>
        <w:t xml:space="preserve">he Sponsor is amenable to </w:t>
      </w:r>
      <w:r w:rsidR="00600E13">
        <w:rPr>
          <w:iCs/>
        </w:rPr>
        <w:t>include</w:t>
      </w:r>
      <w:r w:rsidR="00E145BA" w:rsidRPr="003B6D82">
        <w:rPr>
          <w:iCs/>
        </w:rPr>
        <w:t xml:space="preserve"> clinical criteria “Patient must have disease related symptoms that are relapsed, refractory or intolerant to </w:t>
      </w:r>
      <w:proofErr w:type="spellStart"/>
      <w:r w:rsidR="00E145BA" w:rsidRPr="0091461A">
        <w:rPr>
          <w:iCs/>
        </w:rPr>
        <w:t>ruxolitinib</w:t>
      </w:r>
      <w:proofErr w:type="spellEnd"/>
      <w:r w:rsidR="00E145BA" w:rsidRPr="00DF43A1">
        <w:rPr>
          <w:iCs/>
        </w:rPr>
        <w:t>” to align closer to the FREEDOM-</w:t>
      </w:r>
      <w:r w:rsidR="00107220" w:rsidRPr="00DF43A1">
        <w:rPr>
          <w:iCs/>
        </w:rPr>
        <w:t>2</w:t>
      </w:r>
      <w:r w:rsidR="00E145BA" w:rsidRPr="00DF43A1">
        <w:rPr>
          <w:iCs/>
        </w:rPr>
        <w:t xml:space="preserve"> trial.</w:t>
      </w:r>
      <w:r w:rsidR="0059515D" w:rsidRPr="00DF43A1">
        <w:rPr>
          <w:iCs/>
        </w:rPr>
        <w:t xml:space="preserve"> </w:t>
      </w:r>
    </w:p>
    <w:p w14:paraId="5F6D335E" w14:textId="211AD23C" w:rsidR="006A5CA6" w:rsidRPr="00830735" w:rsidRDefault="000D6A19" w:rsidP="00830735">
      <w:pPr>
        <w:pStyle w:val="COMexecsummnumbered"/>
        <w:numPr>
          <w:ilvl w:val="1"/>
          <w:numId w:val="3"/>
        </w:numPr>
        <w:rPr>
          <w:iCs/>
        </w:rPr>
      </w:pPr>
      <w:r w:rsidRPr="00830735">
        <w:rPr>
          <w:iCs/>
        </w:rPr>
        <w:t xml:space="preserve">The proposed </w:t>
      </w:r>
      <w:r w:rsidR="006A3FFE" w:rsidRPr="00830735">
        <w:rPr>
          <w:iCs/>
        </w:rPr>
        <w:t xml:space="preserve">PBS listing </w:t>
      </w:r>
      <w:r w:rsidR="00255AD3" w:rsidRPr="00830735">
        <w:rPr>
          <w:iCs/>
        </w:rPr>
        <w:t xml:space="preserve">did </w:t>
      </w:r>
      <w:r w:rsidRPr="00830735">
        <w:rPr>
          <w:iCs/>
        </w:rPr>
        <w:t xml:space="preserve">not include </w:t>
      </w:r>
      <w:r w:rsidR="008F708D" w:rsidRPr="00830735">
        <w:rPr>
          <w:iCs/>
        </w:rPr>
        <w:t xml:space="preserve">a </w:t>
      </w:r>
      <w:r w:rsidRPr="00830735">
        <w:rPr>
          <w:iCs/>
        </w:rPr>
        <w:t xml:space="preserve">definition for the terms ‘resistant’, ‘refractory’ or ‘intolerant’. </w:t>
      </w:r>
      <w:r w:rsidR="00DF4E51" w:rsidRPr="00830735">
        <w:rPr>
          <w:iCs/>
        </w:rPr>
        <w:t xml:space="preserve">The </w:t>
      </w:r>
      <w:r w:rsidR="00953471" w:rsidRPr="00830735">
        <w:rPr>
          <w:iCs/>
        </w:rPr>
        <w:t>evaluation noted the following from the</w:t>
      </w:r>
      <w:r w:rsidR="00DF4E51" w:rsidRPr="00830735">
        <w:rPr>
          <w:iCs/>
        </w:rPr>
        <w:t xml:space="preserve"> FREEDOM-2 trial: </w:t>
      </w:r>
    </w:p>
    <w:p w14:paraId="7F90A79F" w14:textId="53D46931" w:rsidR="006A5CA6" w:rsidRDefault="00902263" w:rsidP="004662E7">
      <w:pPr>
        <w:pStyle w:val="COMexecsummnumbered"/>
        <w:numPr>
          <w:ilvl w:val="0"/>
          <w:numId w:val="22"/>
        </w:numPr>
        <w:ind w:left="1134" w:hanging="425"/>
        <w:rPr>
          <w:iCs/>
        </w:rPr>
      </w:pPr>
      <w:r>
        <w:rPr>
          <w:iCs/>
        </w:rPr>
        <w:t>R</w:t>
      </w:r>
      <w:r w:rsidR="000D6A19" w:rsidRPr="00DF43A1">
        <w:rPr>
          <w:iCs/>
        </w:rPr>
        <w:t xml:space="preserve">efractory disease was defined as treatment with </w:t>
      </w:r>
      <w:proofErr w:type="spellStart"/>
      <w:r w:rsidR="000D6A19" w:rsidRPr="00DF43A1">
        <w:rPr>
          <w:iCs/>
        </w:rPr>
        <w:t>ruxolitinib</w:t>
      </w:r>
      <w:proofErr w:type="spellEnd"/>
      <w:r w:rsidR="000D6A19" w:rsidRPr="00DF43A1">
        <w:rPr>
          <w:iCs/>
        </w:rPr>
        <w:t xml:space="preserve"> for </w:t>
      </w:r>
      <w:r w:rsidR="00CC6E3A" w:rsidRPr="00DF43A1">
        <w:rPr>
          <w:iCs/>
        </w:rPr>
        <w:t>≥</w:t>
      </w:r>
      <w:r w:rsidR="000D6A19" w:rsidRPr="00DF43A1">
        <w:rPr>
          <w:iCs/>
        </w:rPr>
        <w:t>3 months with inadequate efficacy response (</w:t>
      </w:r>
      <w:r w:rsidR="00CC6E3A" w:rsidRPr="00DF43A1">
        <w:rPr>
          <w:iCs/>
        </w:rPr>
        <w:t>&lt;</w:t>
      </w:r>
      <w:r w:rsidR="000D6A19" w:rsidRPr="00DF43A1">
        <w:rPr>
          <w:iCs/>
        </w:rPr>
        <w:t xml:space="preserve">10% spleen volume reduction by MRI or </w:t>
      </w:r>
      <w:r w:rsidR="00CC6E3A" w:rsidRPr="00DF43A1">
        <w:rPr>
          <w:iCs/>
        </w:rPr>
        <w:t>&lt;</w:t>
      </w:r>
      <w:r w:rsidR="000D6A19" w:rsidRPr="00DF43A1">
        <w:rPr>
          <w:iCs/>
        </w:rPr>
        <w:t xml:space="preserve">30% decrease from baseline in spleen size by palpation). </w:t>
      </w:r>
      <w:r w:rsidR="00DD7774" w:rsidRPr="00DF43A1">
        <w:rPr>
          <w:iCs/>
        </w:rPr>
        <w:t xml:space="preserve">There is likely to be substantial overlap between </w:t>
      </w:r>
      <w:r w:rsidR="00B05060" w:rsidRPr="00DF43A1">
        <w:rPr>
          <w:iCs/>
        </w:rPr>
        <w:t>patients</w:t>
      </w:r>
      <w:r w:rsidR="00DD7774" w:rsidRPr="00DF43A1">
        <w:rPr>
          <w:iCs/>
        </w:rPr>
        <w:t xml:space="preserve"> considered ‘refractory’ and ‘resistant’. </w:t>
      </w:r>
    </w:p>
    <w:p w14:paraId="508AFFB5" w14:textId="58F7DF94" w:rsidR="004662E7" w:rsidRPr="004662E7" w:rsidRDefault="004662E7" w:rsidP="004662E7">
      <w:pPr>
        <w:pStyle w:val="COMexecsummnumbered"/>
        <w:numPr>
          <w:ilvl w:val="0"/>
          <w:numId w:val="22"/>
        </w:numPr>
        <w:ind w:left="1134" w:hanging="425"/>
        <w:rPr>
          <w:iCs/>
        </w:rPr>
      </w:pPr>
      <w:r>
        <w:rPr>
          <w:iCs/>
        </w:rPr>
        <w:t>I</w:t>
      </w:r>
      <w:r w:rsidR="000D6A19" w:rsidRPr="00DF43A1">
        <w:rPr>
          <w:iCs/>
        </w:rPr>
        <w:t xml:space="preserve">ntolerance was defined as </w:t>
      </w:r>
      <w:r w:rsidR="000D6A19" w:rsidRPr="004662E7">
        <w:rPr>
          <w:iCs/>
        </w:rPr>
        <w:t xml:space="preserve">treatment with </w:t>
      </w:r>
      <w:proofErr w:type="spellStart"/>
      <w:r w:rsidR="000D6A19" w:rsidRPr="004662E7">
        <w:rPr>
          <w:iCs/>
        </w:rPr>
        <w:t>ruxolitinib</w:t>
      </w:r>
      <w:proofErr w:type="spellEnd"/>
      <w:r w:rsidR="000D6A19" w:rsidRPr="004662E7">
        <w:rPr>
          <w:iCs/>
        </w:rPr>
        <w:t xml:space="preserve"> for </w:t>
      </w:r>
      <w:r w:rsidR="00CC6E3A" w:rsidRPr="004662E7">
        <w:rPr>
          <w:iCs/>
        </w:rPr>
        <w:t>≥</w:t>
      </w:r>
      <w:r w:rsidR="000D6A19" w:rsidRPr="004662E7">
        <w:rPr>
          <w:iCs/>
        </w:rPr>
        <w:t xml:space="preserve">28 days that was complicated by the development of a red blood cell transfusion requirement of at least 2 units/month for 2 months, or Grade </w:t>
      </w:r>
      <w:r w:rsidR="00CC6E3A" w:rsidRPr="004662E7">
        <w:rPr>
          <w:iCs/>
        </w:rPr>
        <w:t>≥</w:t>
      </w:r>
      <w:r w:rsidR="000D6A19" w:rsidRPr="004662E7">
        <w:rPr>
          <w:iCs/>
        </w:rPr>
        <w:t>3 adverse events of thrombocyto</w:t>
      </w:r>
      <w:r w:rsidR="00A8411E" w:rsidRPr="004662E7">
        <w:rPr>
          <w:iCs/>
        </w:rPr>
        <w:t>p</w:t>
      </w:r>
      <w:r w:rsidR="000D6A19" w:rsidRPr="004662E7">
        <w:rPr>
          <w:iCs/>
        </w:rPr>
        <w:t xml:space="preserve">enia, anaemia, haematoma, and/or haemorrhage while on treatment with </w:t>
      </w:r>
      <w:proofErr w:type="spellStart"/>
      <w:r w:rsidR="000D6A19" w:rsidRPr="004662E7">
        <w:rPr>
          <w:iCs/>
        </w:rPr>
        <w:t>ruxolitinib</w:t>
      </w:r>
      <w:proofErr w:type="spellEnd"/>
      <w:r w:rsidR="000D6A19" w:rsidRPr="004662E7">
        <w:rPr>
          <w:iCs/>
        </w:rPr>
        <w:t>.</w:t>
      </w:r>
      <w:r w:rsidR="00B05060" w:rsidRPr="004662E7">
        <w:rPr>
          <w:iCs/>
        </w:rPr>
        <w:t xml:space="preserve"> </w:t>
      </w:r>
    </w:p>
    <w:p w14:paraId="10073B1F" w14:textId="2F06975D" w:rsidR="004662E7" w:rsidRPr="004662E7" w:rsidRDefault="005616C3" w:rsidP="004662E7">
      <w:pPr>
        <w:pStyle w:val="COMexecsummnumbered"/>
        <w:numPr>
          <w:ilvl w:val="0"/>
          <w:numId w:val="22"/>
        </w:numPr>
        <w:ind w:left="1134" w:hanging="425"/>
        <w:rPr>
          <w:iCs/>
        </w:rPr>
      </w:pPr>
      <w:r>
        <w:rPr>
          <w:iCs/>
        </w:rPr>
        <w:t>P</w:t>
      </w:r>
      <w:r w:rsidR="00B05060" w:rsidRPr="004662E7">
        <w:rPr>
          <w:iCs/>
        </w:rPr>
        <w:t>atients with relapsed disease, defined as regrowth in spleen volume parameters following an initial response</w:t>
      </w:r>
      <w:r w:rsidR="00902263">
        <w:rPr>
          <w:iCs/>
        </w:rPr>
        <w:t xml:space="preserve">. </w:t>
      </w:r>
      <w:r w:rsidR="00497018">
        <w:rPr>
          <w:iCs/>
        </w:rPr>
        <w:t>P</w:t>
      </w:r>
      <w:r w:rsidR="00B05060" w:rsidRPr="004662E7">
        <w:rPr>
          <w:iCs/>
        </w:rPr>
        <w:t>atients with relapsed disease are not specifically included in the proposed restriction.</w:t>
      </w:r>
      <w:r w:rsidR="00A737D6" w:rsidRPr="004662E7">
        <w:rPr>
          <w:iCs/>
        </w:rPr>
        <w:t xml:space="preserve"> </w:t>
      </w:r>
    </w:p>
    <w:p w14:paraId="3F54F21E" w14:textId="6BD3C49B" w:rsidR="000D6A19" w:rsidRPr="00AD094E" w:rsidRDefault="00A50351" w:rsidP="004662E7">
      <w:pPr>
        <w:pStyle w:val="COMexecsummnumbered"/>
        <w:numPr>
          <w:ilvl w:val="0"/>
          <w:numId w:val="0"/>
        </w:numPr>
        <w:ind w:left="720" w:hanging="11"/>
        <w:rPr>
          <w:iCs/>
        </w:rPr>
      </w:pPr>
      <w:r w:rsidRPr="004662E7">
        <w:rPr>
          <w:iCs/>
        </w:rPr>
        <w:t xml:space="preserve">The PSCR </w:t>
      </w:r>
      <w:r w:rsidR="00187331" w:rsidRPr="004662E7">
        <w:rPr>
          <w:iCs/>
        </w:rPr>
        <w:t xml:space="preserve">noted </w:t>
      </w:r>
      <w:r w:rsidR="00D7517C" w:rsidRPr="004662E7">
        <w:rPr>
          <w:iCs/>
        </w:rPr>
        <w:t xml:space="preserve">the Sponsor </w:t>
      </w:r>
      <w:r w:rsidR="00241DDD">
        <w:rPr>
          <w:iCs/>
        </w:rPr>
        <w:t>suggested</w:t>
      </w:r>
      <w:r w:rsidR="00787B01">
        <w:rPr>
          <w:iCs/>
        </w:rPr>
        <w:t xml:space="preserve"> consistency with </w:t>
      </w:r>
      <w:proofErr w:type="spellStart"/>
      <w:r w:rsidR="00782289">
        <w:rPr>
          <w:iCs/>
        </w:rPr>
        <w:t>ruxolitinib</w:t>
      </w:r>
      <w:proofErr w:type="spellEnd"/>
      <w:r w:rsidR="00211BB8">
        <w:rPr>
          <w:iCs/>
        </w:rPr>
        <w:t xml:space="preserve">, with the </w:t>
      </w:r>
      <w:r w:rsidR="00D7517C" w:rsidRPr="004E6C41">
        <w:rPr>
          <w:iCs/>
        </w:rPr>
        <w:t xml:space="preserve">decision to cease </w:t>
      </w:r>
      <w:proofErr w:type="spellStart"/>
      <w:r w:rsidR="00D7517C" w:rsidRPr="004E6C41">
        <w:rPr>
          <w:iCs/>
        </w:rPr>
        <w:t>ruxolitinib</w:t>
      </w:r>
      <w:proofErr w:type="spellEnd"/>
      <w:r w:rsidR="00D7517C" w:rsidRPr="004E6C41">
        <w:rPr>
          <w:iCs/>
        </w:rPr>
        <w:t xml:space="preserve"> </w:t>
      </w:r>
      <w:r w:rsidR="00D7517C" w:rsidRPr="005B7BF6">
        <w:rPr>
          <w:iCs/>
        </w:rPr>
        <w:t>treatment remain the decision of the clinicia</w:t>
      </w:r>
      <w:r w:rsidR="00722C6C">
        <w:rPr>
          <w:iCs/>
        </w:rPr>
        <w:t>n</w:t>
      </w:r>
      <w:r w:rsidR="00187331" w:rsidRPr="005B7BF6">
        <w:rPr>
          <w:iCs/>
        </w:rPr>
        <w:t>.</w:t>
      </w:r>
      <w:r w:rsidR="002E5311" w:rsidRPr="005B7BF6">
        <w:rPr>
          <w:iCs/>
        </w:rPr>
        <w:t xml:space="preserve"> The ESC considered </w:t>
      </w:r>
      <w:r w:rsidR="000A21F6">
        <w:rPr>
          <w:iCs/>
        </w:rPr>
        <w:t>this was appropriate,</w:t>
      </w:r>
      <w:r w:rsidR="00335B5A" w:rsidRPr="00AD094E">
        <w:rPr>
          <w:iCs/>
        </w:rPr>
        <w:t xml:space="preserve"> as the current</w:t>
      </w:r>
      <w:r w:rsidR="000A21F6">
        <w:rPr>
          <w:iCs/>
        </w:rPr>
        <w:t xml:space="preserve"> myelofibrosis restriction</w:t>
      </w:r>
      <w:r w:rsidR="00335B5A" w:rsidRPr="00AD094E">
        <w:rPr>
          <w:iCs/>
        </w:rPr>
        <w:t xml:space="preserve"> wording </w:t>
      </w:r>
      <w:r w:rsidR="005C3A81" w:rsidRPr="00AD094E">
        <w:rPr>
          <w:iCs/>
        </w:rPr>
        <w:t xml:space="preserve">restricts the population in </w:t>
      </w:r>
      <w:r w:rsidR="00335B5A" w:rsidRPr="00AD094E">
        <w:rPr>
          <w:iCs/>
        </w:rPr>
        <w:t>line</w:t>
      </w:r>
      <w:r w:rsidR="005C3A81" w:rsidRPr="00AD094E">
        <w:rPr>
          <w:iCs/>
        </w:rPr>
        <w:t xml:space="preserve"> with </w:t>
      </w:r>
      <w:r w:rsidR="00335B5A" w:rsidRPr="00AD094E">
        <w:rPr>
          <w:iCs/>
        </w:rPr>
        <w:t xml:space="preserve">current </w:t>
      </w:r>
      <w:r w:rsidR="005C3A81" w:rsidRPr="00AD094E">
        <w:rPr>
          <w:iCs/>
        </w:rPr>
        <w:t>standard care</w:t>
      </w:r>
      <w:r w:rsidR="00335B5A" w:rsidRPr="00AD094E">
        <w:rPr>
          <w:iCs/>
        </w:rPr>
        <w:t>.</w:t>
      </w:r>
    </w:p>
    <w:p w14:paraId="38D93A59" w14:textId="047D0E48" w:rsidR="000D6A19" w:rsidRPr="00AD094E" w:rsidRDefault="000D6A19" w:rsidP="00F40844">
      <w:pPr>
        <w:pStyle w:val="COMexecsummnumbered"/>
        <w:numPr>
          <w:ilvl w:val="1"/>
          <w:numId w:val="3"/>
        </w:numPr>
        <w:rPr>
          <w:iCs/>
        </w:rPr>
      </w:pPr>
      <w:r w:rsidRPr="00AD094E">
        <w:rPr>
          <w:iCs/>
        </w:rPr>
        <w:t xml:space="preserve">The proposed </w:t>
      </w:r>
      <w:r w:rsidR="00D71CEB" w:rsidRPr="00AD094E">
        <w:rPr>
          <w:iCs/>
        </w:rPr>
        <w:t xml:space="preserve">PBS listing </w:t>
      </w:r>
      <w:r w:rsidR="005B7BF6" w:rsidRPr="00AD094E">
        <w:rPr>
          <w:iCs/>
        </w:rPr>
        <w:t xml:space="preserve">did </w:t>
      </w:r>
      <w:r w:rsidRPr="00AD094E">
        <w:rPr>
          <w:iCs/>
        </w:rPr>
        <w:t xml:space="preserve">not include evidentiary requirements relating to disease status. The PBS restriction for </w:t>
      </w:r>
      <w:proofErr w:type="spellStart"/>
      <w:r w:rsidRPr="00AD094E">
        <w:rPr>
          <w:iCs/>
        </w:rPr>
        <w:t>ruxolitinib</w:t>
      </w:r>
      <w:proofErr w:type="spellEnd"/>
      <w:r w:rsidRPr="00AD094E">
        <w:rPr>
          <w:iCs/>
        </w:rPr>
        <w:t xml:space="preserve"> requires prescribers to include details (date, unique identifying number/code or provider number) of the bone marrow biopsy report confirming the diagnosis of myelofibrosis; and a classification of risk of myelofibrosis according to either the Myelofibrosis International Prognostic Scoring </w:t>
      </w:r>
      <w:r w:rsidRPr="00AD094E">
        <w:rPr>
          <w:iCs/>
        </w:rPr>
        <w:lastRenderedPageBreak/>
        <w:t xml:space="preserve">System (IPSS), Dynamic International Prognostic Scoring System (DIPSS), or the age-adjusted DIPSS. The FREEDOM-2 trial required patients to have intermediate-2 </w:t>
      </w:r>
      <w:r w:rsidR="00BC4F9A">
        <w:rPr>
          <w:iCs/>
        </w:rPr>
        <w:t>and</w:t>
      </w:r>
      <w:r w:rsidRPr="00AD094E">
        <w:rPr>
          <w:iCs/>
        </w:rPr>
        <w:t xml:space="preserve"> high</w:t>
      </w:r>
      <w:r w:rsidR="00BD2255">
        <w:rPr>
          <w:iCs/>
        </w:rPr>
        <w:t>-</w:t>
      </w:r>
      <w:r w:rsidRPr="00AD094E">
        <w:rPr>
          <w:iCs/>
        </w:rPr>
        <w:t xml:space="preserve">risk disease based on the DIPSS. </w:t>
      </w:r>
      <w:proofErr w:type="gramStart"/>
      <w:r w:rsidRPr="00AD094E">
        <w:rPr>
          <w:iCs/>
        </w:rPr>
        <w:t>A number of</w:t>
      </w:r>
      <w:proofErr w:type="gramEnd"/>
      <w:r w:rsidRPr="00AD094E">
        <w:rPr>
          <w:iCs/>
        </w:rPr>
        <w:t xml:space="preserve"> other scoring systems are also used in clinical practice to estimate risk status (i.e., the MIPSS-70 and MIPSS-70-Plus for primary myelofibrosis and the MYSEC-PM for post-polycythaemia vera and post-essential </w:t>
      </w:r>
      <w:proofErr w:type="spellStart"/>
      <w:r w:rsidRPr="00AD094E">
        <w:rPr>
          <w:iCs/>
        </w:rPr>
        <w:t>thrombocythaemia</w:t>
      </w:r>
      <w:proofErr w:type="spellEnd"/>
      <w:r w:rsidRPr="00AD094E">
        <w:rPr>
          <w:iCs/>
        </w:rPr>
        <w:t xml:space="preserve"> myelofibrosis).</w:t>
      </w:r>
      <w:r w:rsidR="00583873" w:rsidRPr="00AD094E">
        <w:rPr>
          <w:iCs/>
        </w:rPr>
        <w:t xml:space="preserve"> </w:t>
      </w:r>
      <w:r w:rsidR="0041469D" w:rsidRPr="00AD094E">
        <w:rPr>
          <w:iCs/>
        </w:rPr>
        <w:t xml:space="preserve">Given the proposed listing is after treatment with </w:t>
      </w:r>
      <w:proofErr w:type="spellStart"/>
      <w:r w:rsidR="0041469D" w:rsidRPr="00AD094E">
        <w:rPr>
          <w:iCs/>
        </w:rPr>
        <w:t>ruxolitinib</w:t>
      </w:r>
      <w:proofErr w:type="spellEnd"/>
      <w:r w:rsidR="0041469D" w:rsidRPr="00AD094E">
        <w:rPr>
          <w:iCs/>
        </w:rPr>
        <w:t>, patient</w:t>
      </w:r>
      <w:r w:rsidR="00A570B4" w:rsidRPr="00AD094E">
        <w:rPr>
          <w:iCs/>
        </w:rPr>
        <w:t>s</w:t>
      </w:r>
      <w:r w:rsidR="0041469D" w:rsidRPr="00AD094E">
        <w:rPr>
          <w:iCs/>
        </w:rPr>
        <w:t xml:space="preserve"> would have had to satisfy the criteria </w:t>
      </w:r>
      <w:r w:rsidR="00BB13BF" w:rsidRPr="00AD094E">
        <w:rPr>
          <w:iCs/>
        </w:rPr>
        <w:t xml:space="preserve">for treatment with </w:t>
      </w:r>
      <w:proofErr w:type="spellStart"/>
      <w:r w:rsidR="00BB13BF" w:rsidRPr="00AD094E">
        <w:rPr>
          <w:iCs/>
        </w:rPr>
        <w:t>ruxolitinib</w:t>
      </w:r>
      <w:proofErr w:type="spellEnd"/>
      <w:r w:rsidR="00BB13BF" w:rsidRPr="00AD094E">
        <w:rPr>
          <w:iCs/>
        </w:rPr>
        <w:t>, including a classification of risk based on IPSS or DIPSS</w:t>
      </w:r>
      <w:r w:rsidR="00A570B4" w:rsidRPr="00AD094E">
        <w:rPr>
          <w:iCs/>
        </w:rPr>
        <w:t xml:space="preserve">, prior to being eligible for </w:t>
      </w:r>
      <w:proofErr w:type="spellStart"/>
      <w:r w:rsidR="00A570B4" w:rsidRPr="00AD094E">
        <w:rPr>
          <w:iCs/>
        </w:rPr>
        <w:t>fedratinib</w:t>
      </w:r>
      <w:proofErr w:type="spellEnd"/>
      <w:r w:rsidR="00A570B4" w:rsidRPr="00AD094E">
        <w:rPr>
          <w:iCs/>
        </w:rPr>
        <w:t xml:space="preserve">. </w:t>
      </w:r>
    </w:p>
    <w:p w14:paraId="632F1030" w14:textId="596177F4" w:rsidR="009060E6" w:rsidRDefault="000D6A19" w:rsidP="00F40844">
      <w:pPr>
        <w:pStyle w:val="COMexecsummnumbered"/>
        <w:numPr>
          <w:ilvl w:val="1"/>
          <w:numId w:val="3"/>
        </w:numPr>
        <w:rPr>
          <w:iCs/>
        </w:rPr>
      </w:pPr>
      <w:r w:rsidRPr="00E650F1">
        <w:rPr>
          <w:iCs/>
        </w:rPr>
        <w:t xml:space="preserve">Due to the risk of Wernicke’s encephalopathy associated with </w:t>
      </w:r>
      <w:proofErr w:type="spellStart"/>
      <w:r w:rsidRPr="00E650F1">
        <w:rPr>
          <w:iCs/>
        </w:rPr>
        <w:t>fedratinib</w:t>
      </w:r>
      <w:proofErr w:type="spellEnd"/>
      <w:r w:rsidRPr="00E650F1">
        <w:rPr>
          <w:iCs/>
        </w:rPr>
        <w:t xml:space="preserve"> treatment</w:t>
      </w:r>
      <w:r w:rsidR="009060E6">
        <w:rPr>
          <w:iCs/>
        </w:rPr>
        <w:t xml:space="preserve"> (see paragraph </w:t>
      </w:r>
      <w:r w:rsidR="009060E6">
        <w:rPr>
          <w:iCs/>
        </w:rPr>
        <w:fldChar w:fldCharType="begin" w:fldLock="1"/>
      </w:r>
      <w:r w:rsidR="009060E6">
        <w:rPr>
          <w:iCs/>
        </w:rPr>
        <w:instrText xml:space="preserve"> REF _Ref199845941 \r \h </w:instrText>
      </w:r>
      <w:r w:rsidR="009060E6">
        <w:rPr>
          <w:iCs/>
        </w:rPr>
      </w:r>
      <w:r w:rsidR="009060E6">
        <w:rPr>
          <w:iCs/>
        </w:rPr>
        <w:fldChar w:fldCharType="separate"/>
      </w:r>
      <w:r w:rsidR="00A072A5">
        <w:rPr>
          <w:iCs/>
        </w:rPr>
        <w:t>4.9</w:t>
      </w:r>
      <w:r w:rsidR="009060E6">
        <w:rPr>
          <w:iCs/>
        </w:rPr>
        <w:fldChar w:fldCharType="end"/>
      </w:r>
      <w:r w:rsidR="009060E6">
        <w:rPr>
          <w:iCs/>
        </w:rPr>
        <w:t>)</w:t>
      </w:r>
      <w:r w:rsidRPr="00E650F1">
        <w:rPr>
          <w:iCs/>
        </w:rPr>
        <w:t xml:space="preserve">, a prescribing instruction and/or caution regarding assessment and monitoring for thiamine deficiency prior to </w:t>
      </w:r>
      <w:proofErr w:type="spellStart"/>
      <w:r w:rsidRPr="00E650F1">
        <w:rPr>
          <w:iCs/>
        </w:rPr>
        <w:t>fedratinib</w:t>
      </w:r>
      <w:proofErr w:type="spellEnd"/>
      <w:r w:rsidRPr="00E650F1">
        <w:rPr>
          <w:iCs/>
        </w:rPr>
        <w:t xml:space="preserve"> initiation, and for thiamine prophylaxis during treatment with </w:t>
      </w:r>
      <w:proofErr w:type="spellStart"/>
      <w:r w:rsidRPr="00E650F1">
        <w:rPr>
          <w:iCs/>
        </w:rPr>
        <w:t>fedratinib</w:t>
      </w:r>
      <w:proofErr w:type="spellEnd"/>
      <w:r w:rsidR="00722C6C" w:rsidRPr="00E650F1">
        <w:rPr>
          <w:iCs/>
        </w:rPr>
        <w:t xml:space="preserve"> was included.</w:t>
      </w:r>
    </w:p>
    <w:p w14:paraId="1BE42884" w14:textId="233C07C0" w:rsidR="000D6A19" w:rsidRPr="003B6D82" w:rsidRDefault="003A3C5F" w:rsidP="00F40844">
      <w:pPr>
        <w:pStyle w:val="COMexecsummnumbered"/>
        <w:numPr>
          <w:ilvl w:val="1"/>
          <w:numId w:val="3"/>
        </w:numPr>
        <w:rPr>
          <w:iCs/>
        </w:rPr>
      </w:pPr>
      <w:r w:rsidRPr="003B6D82">
        <w:rPr>
          <w:iCs/>
        </w:rPr>
        <w:t>The ESC considered it appropriate that the</w:t>
      </w:r>
      <w:r w:rsidR="009060E6">
        <w:rPr>
          <w:iCs/>
        </w:rPr>
        <w:t xml:space="preserve"> </w:t>
      </w:r>
      <w:r w:rsidR="000D6A19" w:rsidRPr="003B6D82" w:rsidDel="00D46C51">
        <w:rPr>
          <w:iCs/>
        </w:rPr>
        <w:t xml:space="preserve">restriction </w:t>
      </w:r>
      <w:r w:rsidR="006640F4" w:rsidRPr="003B6D82">
        <w:rPr>
          <w:iCs/>
        </w:rPr>
        <w:t>should</w:t>
      </w:r>
      <w:r w:rsidR="000D6A19" w:rsidRPr="003B6D82" w:rsidDel="00D46C51">
        <w:rPr>
          <w:iCs/>
        </w:rPr>
        <w:t xml:space="preserve"> preclude the use of </w:t>
      </w:r>
      <w:proofErr w:type="spellStart"/>
      <w:r w:rsidR="000D6A19" w:rsidRPr="003B6D82" w:rsidDel="00D46C51">
        <w:rPr>
          <w:iCs/>
        </w:rPr>
        <w:t>fedratinib</w:t>
      </w:r>
      <w:proofErr w:type="spellEnd"/>
      <w:r w:rsidR="000D6A19" w:rsidRPr="003B6D82" w:rsidDel="00D46C51">
        <w:rPr>
          <w:iCs/>
        </w:rPr>
        <w:t xml:space="preserve"> in combination with other JAK inhibitors</w:t>
      </w:r>
      <w:r w:rsidR="002458A4" w:rsidRPr="003B6D82">
        <w:rPr>
          <w:iCs/>
        </w:rPr>
        <w:t xml:space="preserve">, </w:t>
      </w:r>
      <w:proofErr w:type="gramStart"/>
      <w:r w:rsidR="002458A4" w:rsidRPr="003B6D82">
        <w:rPr>
          <w:iCs/>
        </w:rPr>
        <w:t>similar to</w:t>
      </w:r>
      <w:proofErr w:type="gramEnd"/>
      <w:r w:rsidR="002458A4" w:rsidRPr="003B6D82">
        <w:rPr>
          <w:iCs/>
        </w:rPr>
        <w:t xml:space="preserve"> existing PBS requirements for </w:t>
      </w:r>
      <w:proofErr w:type="spellStart"/>
      <w:r w:rsidR="002458A4" w:rsidRPr="003B6D82">
        <w:rPr>
          <w:iCs/>
        </w:rPr>
        <w:t>ruxol</w:t>
      </w:r>
      <w:r w:rsidR="00191CE8" w:rsidRPr="003B6D82">
        <w:rPr>
          <w:iCs/>
        </w:rPr>
        <w:t>itinib</w:t>
      </w:r>
      <w:proofErr w:type="spellEnd"/>
      <w:r w:rsidR="00191CE8" w:rsidRPr="003B6D82">
        <w:rPr>
          <w:iCs/>
        </w:rPr>
        <w:t xml:space="preserve"> and </w:t>
      </w:r>
      <w:proofErr w:type="spellStart"/>
      <w:r w:rsidR="00191CE8" w:rsidRPr="003B6D82">
        <w:rPr>
          <w:iCs/>
        </w:rPr>
        <w:t>mom</w:t>
      </w:r>
      <w:r w:rsidR="00480324" w:rsidRPr="003B6D82">
        <w:rPr>
          <w:iCs/>
        </w:rPr>
        <w:t>elotinib</w:t>
      </w:r>
      <w:proofErr w:type="spellEnd"/>
      <w:r w:rsidR="000D6A19" w:rsidRPr="003B6D82" w:rsidDel="00D46C51">
        <w:rPr>
          <w:iCs/>
        </w:rPr>
        <w:t xml:space="preserve">. </w:t>
      </w:r>
    </w:p>
    <w:p w14:paraId="1AF31A96" w14:textId="362A6752" w:rsidR="000D6A19" w:rsidRPr="003B6D82" w:rsidRDefault="00F31C0A" w:rsidP="00F40844">
      <w:pPr>
        <w:pStyle w:val="COMexecsummnumbered"/>
        <w:numPr>
          <w:ilvl w:val="1"/>
          <w:numId w:val="3"/>
        </w:numPr>
        <w:rPr>
          <w:iCs/>
        </w:rPr>
      </w:pPr>
      <w:r w:rsidRPr="003B6D82">
        <w:rPr>
          <w:iCs/>
        </w:rPr>
        <w:t>The ESC</w:t>
      </w:r>
      <w:r w:rsidR="00B55AE4">
        <w:rPr>
          <w:iCs/>
        </w:rPr>
        <w:t xml:space="preserve"> also</w:t>
      </w:r>
      <w:r w:rsidRPr="003B6D82">
        <w:rPr>
          <w:iCs/>
        </w:rPr>
        <w:t xml:space="preserve"> considered it </w:t>
      </w:r>
      <w:r w:rsidR="00462F69" w:rsidRPr="003B6D82">
        <w:rPr>
          <w:iCs/>
        </w:rPr>
        <w:t xml:space="preserve">was </w:t>
      </w:r>
      <w:r w:rsidRPr="003B6D82">
        <w:rPr>
          <w:iCs/>
        </w:rPr>
        <w:t xml:space="preserve">appropriate to </w:t>
      </w:r>
      <w:r w:rsidR="00497E2C" w:rsidRPr="003B6D82">
        <w:rPr>
          <w:iCs/>
        </w:rPr>
        <w:t>consider flow-on changes that enabled</w:t>
      </w:r>
      <w:r w:rsidR="00462F69" w:rsidRPr="003B6D82">
        <w:rPr>
          <w:iCs/>
        </w:rPr>
        <w:t xml:space="preserve"> switching between </w:t>
      </w:r>
      <w:proofErr w:type="spellStart"/>
      <w:r w:rsidR="00497E2C" w:rsidRPr="003B6D82">
        <w:rPr>
          <w:iCs/>
        </w:rPr>
        <w:t>ruxolitinib</w:t>
      </w:r>
      <w:proofErr w:type="spellEnd"/>
      <w:r w:rsidR="00497E2C" w:rsidRPr="003B6D82">
        <w:rPr>
          <w:iCs/>
        </w:rPr>
        <w:t xml:space="preserve">, </w:t>
      </w:r>
      <w:proofErr w:type="spellStart"/>
      <w:r w:rsidR="00497E2C" w:rsidRPr="003B6D82">
        <w:rPr>
          <w:iCs/>
        </w:rPr>
        <w:t>mom</w:t>
      </w:r>
      <w:r w:rsidR="00F21D96" w:rsidRPr="003B6D82">
        <w:rPr>
          <w:iCs/>
        </w:rPr>
        <w:t>elotinib</w:t>
      </w:r>
      <w:proofErr w:type="spellEnd"/>
      <w:r w:rsidR="00F21D96" w:rsidRPr="003B6D82">
        <w:rPr>
          <w:iCs/>
        </w:rPr>
        <w:t xml:space="preserve"> and </w:t>
      </w:r>
      <w:proofErr w:type="spellStart"/>
      <w:r w:rsidR="00F21D96" w:rsidRPr="003B6D82">
        <w:rPr>
          <w:iCs/>
        </w:rPr>
        <w:t>fedratinib</w:t>
      </w:r>
      <w:proofErr w:type="spellEnd"/>
      <w:r w:rsidR="00462F69" w:rsidRPr="003B6D82">
        <w:rPr>
          <w:iCs/>
        </w:rPr>
        <w:t xml:space="preserve"> under limited circumstances</w:t>
      </w:r>
      <w:r w:rsidR="00CD400B" w:rsidRPr="003B6D82">
        <w:rPr>
          <w:iCs/>
        </w:rPr>
        <w:t xml:space="preserve">, consistent with how </w:t>
      </w:r>
      <w:proofErr w:type="spellStart"/>
      <w:r w:rsidR="00CD400B" w:rsidRPr="003B6D82">
        <w:rPr>
          <w:iCs/>
        </w:rPr>
        <w:t>momelotinib</w:t>
      </w:r>
      <w:proofErr w:type="spellEnd"/>
      <w:r w:rsidR="00CD400B" w:rsidRPr="003B6D82">
        <w:rPr>
          <w:iCs/>
        </w:rPr>
        <w:t xml:space="preserve"> and </w:t>
      </w:r>
      <w:proofErr w:type="spellStart"/>
      <w:r w:rsidR="00CD400B" w:rsidRPr="003B6D82">
        <w:rPr>
          <w:iCs/>
        </w:rPr>
        <w:t>ruxolitinib</w:t>
      </w:r>
      <w:proofErr w:type="spellEnd"/>
      <w:r w:rsidR="00CD400B" w:rsidRPr="003B6D82">
        <w:rPr>
          <w:iCs/>
        </w:rPr>
        <w:t xml:space="preserve"> are listed (as of 1</w:t>
      </w:r>
      <w:r w:rsidR="009B2A38">
        <w:rPr>
          <w:iCs/>
        </w:rPr>
        <w:t> </w:t>
      </w:r>
      <w:r w:rsidR="00CD400B" w:rsidRPr="003B6D82">
        <w:rPr>
          <w:iCs/>
        </w:rPr>
        <w:t>April 2025)</w:t>
      </w:r>
      <w:r w:rsidR="00270680" w:rsidRPr="003B6D82">
        <w:rPr>
          <w:iCs/>
        </w:rPr>
        <w:t xml:space="preserve">, although it may be appropriate to consider the total number of JAK inhibitor treatment attempts that </w:t>
      </w:r>
      <w:r w:rsidR="003959D0" w:rsidRPr="003B6D82">
        <w:rPr>
          <w:iCs/>
        </w:rPr>
        <w:t>can be undertaken in a lifetime under the PBS for myelofibrosis (</w:t>
      </w:r>
      <w:r w:rsidR="000428B8" w:rsidRPr="003B6D82">
        <w:rPr>
          <w:iCs/>
        </w:rPr>
        <w:t xml:space="preserve">as </w:t>
      </w:r>
      <w:proofErr w:type="spellStart"/>
      <w:r w:rsidR="000428B8" w:rsidRPr="003B6D82">
        <w:rPr>
          <w:iCs/>
        </w:rPr>
        <w:t>ruxolitinib</w:t>
      </w:r>
      <w:proofErr w:type="spellEnd"/>
      <w:r w:rsidR="000428B8" w:rsidRPr="003B6D82">
        <w:rPr>
          <w:iCs/>
        </w:rPr>
        <w:t xml:space="preserve"> and </w:t>
      </w:r>
      <w:proofErr w:type="spellStart"/>
      <w:r w:rsidR="009842CE" w:rsidRPr="003B6D82">
        <w:rPr>
          <w:iCs/>
        </w:rPr>
        <w:t>momelotinib</w:t>
      </w:r>
      <w:proofErr w:type="spellEnd"/>
      <w:r w:rsidR="009842CE" w:rsidRPr="003B6D82">
        <w:rPr>
          <w:iCs/>
        </w:rPr>
        <w:t xml:space="preserve"> are limited to two treatment attempts</w:t>
      </w:r>
      <w:r w:rsidR="009D237B" w:rsidRPr="003B6D82">
        <w:rPr>
          <w:iCs/>
        </w:rPr>
        <w:t xml:space="preserve"> for each)</w:t>
      </w:r>
      <w:r w:rsidR="00462F69" w:rsidRPr="003B6D82">
        <w:rPr>
          <w:iCs/>
        </w:rPr>
        <w:t xml:space="preserve">. </w:t>
      </w:r>
    </w:p>
    <w:p w14:paraId="7B4FA82B" w14:textId="77777777" w:rsidR="000D6A19" w:rsidRDefault="000D6A19" w:rsidP="00F40844">
      <w:pPr>
        <w:pStyle w:val="COMexecsummnumbered"/>
        <w:numPr>
          <w:ilvl w:val="1"/>
          <w:numId w:val="3"/>
        </w:numPr>
        <w:rPr>
          <w:iCs/>
        </w:rPr>
      </w:pPr>
      <w:r w:rsidRPr="003B6D82">
        <w:rPr>
          <w:iCs/>
        </w:rPr>
        <w:t xml:space="preserve">Grandfathering provisions were not requested on the basis that the sponsor does not intend to initiate a patient access program for </w:t>
      </w:r>
      <w:proofErr w:type="spellStart"/>
      <w:r w:rsidRPr="003B6D82">
        <w:rPr>
          <w:iCs/>
        </w:rPr>
        <w:t>fedratinib</w:t>
      </w:r>
      <w:proofErr w:type="spellEnd"/>
      <w:r w:rsidRPr="003B6D82">
        <w:rPr>
          <w:iCs/>
        </w:rPr>
        <w:t xml:space="preserve"> prior to PBS listing.</w:t>
      </w:r>
    </w:p>
    <w:p w14:paraId="12175F00" w14:textId="77777777" w:rsidR="00C936E3" w:rsidRPr="00020CEA" w:rsidRDefault="00C936E3" w:rsidP="00020CEA">
      <w:pPr>
        <w:spacing w:before="60" w:after="60"/>
        <w:ind w:firstLine="720"/>
        <w:rPr>
          <w:i/>
          <w:iCs/>
        </w:rPr>
      </w:pPr>
      <w:bookmarkStart w:id="5" w:name="_Hlk76375324"/>
      <w:r w:rsidRPr="00020CEA">
        <w:rPr>
          <w:i/>
          <w:iCs/>
        </w:rPr>
        <w:t>For more detail on PBAC’s view, see section 7 PBAC outcome.</w:t>
      </w:r>
    </w:p>
    <w:p w14:paraId="39F3809B" w14:textId="77777777" w:rsidR="000D6A19" w:rsidRPr="003B6D82" w:rsidRDefault="000D6A19" w:rsidP="00F40844">
      <w:pPr>
        <w:pStyle w:val="COMH1-numbered"/>
        <w:numPr>
          <w:ilvl w:val="0"/>
          <w:numId w:val="3"/>
        </w:numPr>
        <w:snapToGrid w:val="0"/>
        <w:rPr>
          <w:iCs/>
        </w:rPr>
      </w:pPr>
      <w:bookmarkStart w:id="6" w:name="_Toc192437870"/>
      <w:bookmarkEnd w:id="5"/>
      <w:r w:rsidRPr="003B6D82">
        <w:rPr>
          <w:iCs/>
        </w:rPr>
        <w:t>Population and disease</w:t>
      </w:r>
      <w:bookmarkEnd w:id="6"/>
    </w:p>
    <w:p w14:paraId="4D9989A8" w14:textId="659FF620" w:rsidR="000D6A19" w:rsidRPr="003B6D82" w:rsidRDefault="000D6A19" w:rsidP="00F40844">
      <w:pPr>
        <w:pStyle w:val="COMexecsummnumbered"/>
        <w:numPr>
          <w:ilvl w:val="1"/>
          <w:numId w:val="3"/>
        </w:numPr>
        <w:rPr>
          <w:iCs/>
        </w:rPr>
      </w:pPr>
      <w:r w:rsidRPr="003B6D82">
        <w:rPr>
          <w:iCs/>
        </w:rPr>
        <w:t xml:space="preserve">Myelofibrosis is a type of Philadelphia chromosome-negative neoplasm affecting myeloid stem cells. Abnormal clonal proliferation of stem cells and an associated release of pro-inflammatory cytokines results in progressive bone marrow fibrosis, which may lead to the development of </w:t>
      </w:r>
      <w:proofErr w:type="spellStart"/>
      <w:r w:rsidRPr="003B6D82">
        <w:rPr>
          <w:iCs/>
        </w:rPr>
        <w:t>cytopenias</w:t>
      </w:r>
      <w:proofErr w:type="spellEnd"/>
      <w:r w:rsidRPr="003B6D82">
        <w:rPr>
          <w:iCs/>
        </w:rPr>
        <w:t xml:space="preserve"> (i.e., anaemia, thrombocytopenia, and leukopenia) due to impairment of normal haematopoiesis. Compensatory production of blood cells in other organs (extramedullary haematopoiesis) leads to enlargement of the spleen and liver. Symptoms of myelofibrosis include fatigue, shortness of breath, pain associated with splenomegaly, bruising/bleeding, low grade fever, night sweats, bone pain, and weight loss. Some patients may be asymptomatic.</w:t>
      </w:r>
    </w:p>
    <w:p w14:paraId="1642D996" w14:textId="77777777" w:rsidR="000D6A19" w:rsidRPr="003B6D82" w:rsidRDefault="000D6A19" w:rsidP="00F40844">
      <w:pPr>
        <w:pStyle w:val="COMexecsummnumbered"/>
        <w:numPr>
          <w:ilvl w:val="1"/>
          <w:numId w:val="3"/>
        </w:numPr>
        <w:rPr>
          <w:iCs/>
        </w:rPr>
      </w:pPr>
      <w:r w:rsidRPr="003B6D82">
        <w:rPr>
          <w:iCs/>
        </w:rPr>
        <w:t xml:space="preserve">Myelofibrosis is classified as primary myelofibrosis if it arises spontaneously, and secondary myelofibrosis if it occurs secondary to another disorder, such as polycythaemia vera or essential </w:t>
      </w:r>
      <w:proofErr w:type="spellStart"/>
      <w:r w:rsidRPr="003B6D82">
        <w:rPr>
          <w:iCs/>
        </w:rPr>
        <w:t>thrombocythaemia</w:t>
      </w:r>
      <w:proofErr w:type="spellEnd"/>
      <w:r w:rsidRPr="003B6D82">
        <w:rPr>
          <w:iCs/>
        </w:rPr>
        <w:t xml:space="preserve">. While the underlying causes of </w:t>
      </w:r>
      <w:r w:rsidRPr="003B6D82">
        <w:rPr>
          <w:iCs/>
        </w:rPr>
        <w:lastRenderedPageBreak/>
        <w:t>myelofibrosis are not completely understood, most patients have a mutation in the JAK2, CALR, or MPL genes. The reported incidence of primary myelofibrosis in Australia in 2020 was 263 cases, with a higher proportion of males (61%) compared to females (39%; AIHW, 2024). The disease predominantly affects middle-aged and older adults. The estimated median age at diagnosis for primary myelofibrosis between 2003 and 2014 was 72 years (Baade et al., 2019).</w:t>
      </w:r>
    </w:p>
    <w:p w14:paraId="1DA20405" w14:textId="77777777" w:rsidR="000D6A19" w:rsidRPr="003B6D82" w:rsidRDefault="000D6A19" w:rsidP="00F40844">
      <w:pPr>
        <w:pStyle w:val="COMexecsummnumbered"/>
        <w:numPr>
          <w:ilvl w:val="1"/>
          <w:numId w:val="3"/>
        </w:numPr>
        <w:rPr>
          <w:iCs/>
        </w:rPr>
      </w:pPr>
      <w:r w:rsidRPr="003B6D82">
        <w:rPr>
          <w:iCs/>
        </w:rPr>
        <w:t xml:space="preserve">While patients with asymptomatic, lower risk disease may be managed with observation alone, patients with symptomatic and/or higher risk disease typically receive first-line treatment with </w:t>
      </w:r>
      <w:proofErr w:type="spellStart"/>
      <w:r w:rsidRPr="003B6D82">
        <w:rPr>
          <w:iCs/>
        </w:rPr>
        <w:t>ruxolitinib</w:t>
      </w:r>
      <w:proofErr w:type="spellEnd"/>
      <w:r w:rsidRPr="003B6D82">
        <w:rPr>
          <w:iCs/>
        </w:rPr>
        <w:t>, a selective inhibitor of JAK1 and JAK2. Allogeneic haematopoietic stem cell transplantation (HSCT) may lead to long-term remission in patients with myelofibrosis, but is generally reserved for use in younger, fitter patients, due to the morbidity and mortality associated with the procedure.</w:t>
      </w:r>
    </w:p>
    <w:p w14:paraId="6B80F3F4" w14:textId="77777777" w:rsidR="000D6A19" w:rsidRPr="003B6D82" w:rsidRDefault="000D6A19" w:rsidP="00F40844">
      <w:pPr>
        <w:pStyle w:val="COMexecsummnumbered"/>
        <w:numPr>
          <w:ilvl w:val="1"/>
          <w:numId w:val="3"/>
        </w:numPr>
        <w:rPr>
          <w:iCs/>
        </w:rPr>
      </w:pPr>
      <w:proofErr w:type="gramStart"/>
      <w:r w:rsidRPr="003B6D82">
        <w:rPr>
          <w:iCs/>
        </w:rPr>
        <w:t>A number of</w:t>
      </w:r>
      <w:proofErr w:type="gramEnd"/>
      <w:r w:rsidRPr="003B6D82">
        <w:rPr>
          <w:iCs/>
        </w:rPr>
        <w:t xml:space="preserve"> supportive treatments are used in the management of myelofibrosis, including blood transfusions (red blood cells and platelets), antifibrinolytic agents for bleeding that is refractory to transfusions, iron chelation therapy, antibiotic prophylaxis for recurrent infections, prophylactic vaccinations, and haematopoietic growth factor support (erythropoiesis-stimulating agents and granulocyte colony-stimulating factor).</w:t>
      </w:r>
    </w:p>
    <w:p w14:paraId="4D1BC410" w14:textId="10574716" w:rsidR="000D6A19" w:rsidRPr="003B6D82" w:rsidRDefault="000D6A19" w:rsidP="00F40844">
      <w:pPr>
        <w:pStyle w:val="COMexecsummnumbered"/>
        <w:numPr>
          <w:ilvl w:val="1"/>
          <w:numId w:val="3"/>
        </w:numPr>
        <w:rPr>
          <w:iCs/>
        </w:rPr>
      </w:pPr>
      <w:r w:rsidRPr="003B6D82">
        <w:rPr>
          <w:iCs/>
        </w:rPr>
        <w:t xml:space="preserve">The submission positioned </w:t>
      </w:r>
      <w:proofErr w:type="spellStart"/>
      <w:r w:rsidRPr="003B6D82">
        <w:rPr>
          <w:iCs/>
        </w:rPr>
        <w:t>fedratinib</w:t>
      </w:r>
      <w:proofErr w:type="spellEnd"/>
      <w:r w:rsidRPr="003B6D82">
        <w:rPr>
          <w:iCs/>
        </w:rPr>
        <w:t xml:space="preserve"> as an option for patients with intermediate-2 </w:t>
      </w:r>
      <w:r w:rsidR="00BC4F9A">
        <w:rPr>
          <w:iCs/>
        </w:rPr>
        <w:t>and</w:t>
      </w:r>
      <w:r w:rsidRPr="003B6D82">
        <w:rPr>
          <w:iCs/>
        </w:rPr>
        <w:t xml:space="preserve"> high</w:t>
      </w:r>
      <w:r w:rsidR="00BD2255">
        <w:rPr>
          <w:iCs/>
        </w:rPr>
        <w:t>-</w:t>
      </w:r>
      <w:r w:rsidRPr="003B6D82">
        <w:rPr>
          <w:iCs/>
        </w:rPr>
        <w:t xml:space="preserve">risk myelofibrosis who are considered unsuitable for allogeneic HSCT, and who experience persistent symptoms despite treatment with </w:t>
      </w:r>
      <w:proofErr w:type="spellStart"/>
      <w:r w:rsidRPr="003B6D82">
        <w:rPr>
          <w:iCs/>
        </w:rPr>
        <w:t>ruxolitinib</w:t>
      </w:r>
      <w:proofErr w:type="spellEnd"/>
      <w:r w:rsidRPr="003B6D82">
        <w:rPr>
          <w:iCs/>
        </w:rPr>
        <w:t xml:space="preserve">, or are intolerant to </w:t>
      </w:r>
      <w:proofErr w:type="spellStart"/>
      <w:r w:rsidRPr="003B6D82">
        <w:rPr>
          <w:iCs/>
        </w:rPr>
        <w:t>ruxolitinib</w:t>
      </w:r>
      <w:proofErr w:type="spellEnd"/>
      <w:r w:rsidRPr="003B6D82">
        <w:rPr>
          <w:iCs/>
        </w:rPr>
        <w:t xml:space="preserve">. Alternative second or later line therapies included in the submission’s treatment algorithm include </w:t>
      </w:r>
      <w:proofErr w:type="spellStart"/>
      <w:r w:rsidRPr="003B6D82">
        <w:rPr>
          <w:iCs/>
        </w:rPr>
        <w:t>ruxolitinib</w:t>
      </w:r>
      <w:proofErr w:type="spellEnd"/>
      <w:r w:rsidRPr="003B6D82">
        <w:rPr>
          <w:iCs/>
        </w:rPr>
        <w:t xml:space="preserve"> with or without other treatments, hydroxyurea, peginterferon alfa-2a, busulfan and prednisone. </w:t>
      </w:r>
    </w:p>
    <w:p w14:paraId="3D3D6D5C" w14:textId="3E7203A5" w:rsidR="000D6A19" w:rsidRPr="003B6D82" w:rsidRDefault="000D6A19" w:rsidP="00F40844">
      <w:pPr>
        <w:pStyle w:val="COMexecsummnumbered"/>
        <w:numPr>
          <w:ilvl w:val="1"/>
          <w:numId w:val="3"/>
        </w:numPr>
        <w:rPr>
          <w:iCs/>
        </w:rPr>
      </w:pPr>
      <w:r w:rsidRPr="003B6D82">
        <w:rPr>
          <w:iCs/>
        </w:rPr>
        <w:t xml:space="preserve">A resubmission for </w:t>
      </w:r>
      <w:proofErr w:type="spellStart"/>
      <w:r w:rsidRPr="003B6D82">
        <w:rPr>
          <w:iCs/>
        </w:rPr>
        <w:t>ruxolitinib</w:t>
      </w:r>
      <w:proofErr w:type="spellEnd"/>
      <w:r w:rsidRPr="003B6D82">
        <w:rPr>
          <w:iCs/>
        </w:rPr>
        <w:t xml:space="preserve">, for the treatment of adult patients with polycythaemia vera who are resistant to, or intolerant of hydroxyurea, was </w:t>
      </w:r>
      <w:r w:rsidR="0031185B">
        <w:rPr>
          <w:iCs/>
        </w:rPr>
        <w:t>recommended</w:t>
      </w:r>
      <w:r w:rsidR="0031185B" w:rsidRPr="003B6D82">
        <w:rPr>
          <w:iCs/>
        </w:rPr>
        <w:t xml:space="preserve"> </w:t>
      </w:r>
      <w:r w:rsidRPr="003B6D82">
        <w:rPr>
          <w:iCs/>
        </w:rPr>
        <w:t>at the March 2025 PBAC meeting (</w:t>
      </w:r>
      <w:r w:rsidR="0031185B" w:rsidRPr="003B6D82">
        <w:rPr>
          <w:iCs/>
        </w:rPr>
        <w:t>p</w:t>
      </w:r>
      <w:r w:rsidR="0031185B">
        <w:rPr>
          <w:iCs/>
        </w:rPr>
        <w:t>32</w:t>
      </w:r>
      <w:r w:rsidRPr="003B6D82">
        <w:rPr>
          <w:iCs/>
        </w:rPr>
        <w:t xml:space="preserve">, PBAC </w:t>
      </w:r>
      <w:r w:rsidR="00452454">
        <w:rPr>
          <w:iCs/>
        </w:rPr>
        <w:t>Web Outcomes</w:t>
      </w:r>
      <w:r w:rsidRPr="003B6D82">
        <w:rPr>
          <w:iCs/>
        </w:rPr>
        <w:t xml:space="preserve">, March 2025 PBAC meeting). Use of </w:t>
      </w:r>
      <w:proofErr w:type="spellStart"/>
      <w:r w:rsidRPr="003B6D82">
        <w:rPr>
          <w:iCs/>
        </w:rPr>
        <w:t>ruxolitinib</w:t>
      </w:r>
      <w:proofErr w:type="spellEnd"/>
      <w:r w:rsidRPr="003B6D82">
        <w:rPr>
          <w:iCs/>
        </w:rPr>
        <w:t xml:space="preserve"> to treat polycythaemia vera may impact the treatment options available to patients if they subsequently develop post-polycythaemia vera myelofibrosis.</w:t>
      </w:r>
    </w:p>
    <w:p w14:paraId="78992A33" w14:textId="77777777" w:rsidR="000D6A19" w:rsidRPr="003B6D82" w:rsidRDefault="000D6A19" w:rsidP="00F40844">
      <w:pPr>
        <w:pStyle w:val="COMexecsummnumbered"/>
        <w:numPr>
          <w:ilvl w:val="1"/>
          <w:numId w:val="3"/>
        </w:numPr>
        <w:rPr>
          <w:iCs/>
        </w:rPr>
      </w:pPr>
      <w:proofErr w:type="spellStart"/>
      <w:r w:rsidRPr="003B6D82">
        <w:rPr>
          <w:iCs/>
        </w:rPr>
        <w:t>Fedratinib</w:t>
      </w:r>
      <w:proofErr w:type="spellEnd"/>
      <w:r w:rsidRPr="003B6D82">
        <w:rPr>
          <w:iCs/>
        </w:rPr>
        <w:t xml:space="preserve"> is an oral kinase inhibitor with activity against wild-type and mutationally activated JAK2 and FMS-like tyrosine kinase 3 (FLT3). </w:t>
      </w:r>
      <w:proofErr w:type="spellStart"/>
      <w:r w:rsidRPr="003B6D82">
        <w:rPr>
          <w:iCs/>
        </w:rPr>
        <w:t>Fedratinib</w:t>
      </w:r>
      <w:proofErr w:type="spellEnd"/>
      <w:r w:rsidRPr="003B6D82">
        <w:rPr>
          <w:iCs/>
        </w:rPr>
        <w:t xml:space="preserve"> is a selective inhibitor of JAKs, with higher activity against JAK2 compared to other JAK family members (JAK1, JAK3 and TYK2). Abnormal activation of JAK2 is associated with myeloproliferative neoplasms, including myelofibrosis and polycythaemia vera.</w:t>
      </w:r>
    </w:p>
    <w:p w14:paraId="26F4E72E" w14:textId="59143318" w:rsidR="000D6A19" w:rsidRPr="003B6D82" w:rsidRDefault="000D6A19" w:rsidP="00F40844">
      <w:pPr>
        <w:pStyle w:val="COMexecsummnumbered"/>
        <w:numPr>
          <w:ilvl w:val="1"/>
          <w:numId w:val="3"/>
        </w:numPr>
        <w:rPr>
          <w:iCs/>
        </w:rPr>
      </w:pPr>
      <w:r w:rsidRPr="003B6D82">
        <w:rPr>
          <w:iCs/>
        </w:rPr>
        <w:t xml:space="preserve">The recommended dose of </w:t>
      </w:r>
      <w:proofErr w:type="spellStart"/>
      <w:r w:rsidRPr="003B6D82">
        <w:rPr>
          <w:iCs/>
        </w:rPr>
        <w:t>fedratinib</w:t>
      </w:r>
      <w:proofErr w:type="spellEnd"/>
      <w:r w:rsidRPr="003B6D82">
        <w:rPr>
          <w:iCs/>
        </w:rPr>
        <w:t xml:space="preserve"> for patients with a baseline platelet count </w:t>
      </w:r>
      <w:r w:rsidR="00CC6E3A" w:rsidRPr="003B6D82">
        <w:rPr>
          <w:iCs/>
        </w:rPr>
        <w:t>≥</w:t>
      </w:r>
      <w:r w:rsidR="00EE5E0D">
        <w:rPr>
          <w:iCs/>
        </w:rPr>
        <w:t> </w:t>
      </w:r>
      <w:r w:rsidRPr="003B6D82">
        <w:rPr>
          <w:iCs/>
        </w:rPr>
        <w:t>50</w:t>
      </w:r>
      <w:r w:rsidR="00EE5E0D">
        <w:rPr>
          <w:iCs/>
        </w:rPr>
        <w:t> </w:t>
      </w:r>
      <w:r w:rsidRPr="003B6D82">
        <w:rPr>
          <w:iCs/>
        </w:rPr>
        <w:t>×</w:t>
      </w:r>
      <w:r w:rsidR="00EE5E0D">
        <w:rPr>
          <w:iCs/>
        </w:rPr>
        <w:t> </w:t>
      </w:r>
      <w:r w:rsidRPr="003B6D82">
        <w:rPr>
          <w:iCs/>
        </w:rPr>
        <w:t>10</w:t>
      </w:r>
      <w:r w:rsidRPr="003B6D82">
        <w:rPr>
          <w:iCs/>
          <w:vertAlign w:val="superscript"/>
        </w:rPr>
        <w:t>9</w:t>
      </w:r>
      <w:r w:rsidRPr="003B6D82">
        <w:rPr>
          <w:iCs/>
        </w:rPr>
        <w:t xml:space="preserve">/L is 400 mg (4 × 100 mg capsules) administered orally once a day. The product information states that </w:t>
      </w:r>
      <w:proofErr w:type="spellStart"/>
      <w:r w:rsidRPr="003B6D82">
        <w:rPr>
          <w:iCs/>
        </w:rPr>
        <w:t>fedratinib</w:t>
      </w:r>
      <w:proofErr w:type="spellEnd"/>
      <w:r w:rsidRPr="003B6D82">
        <w:rPr>
          <w:iCs/>
        </w:rPr>
        <w:t xml:space="preserve"> has not been studied in patients with a baseline platelet count </w:t>
      </w:r>
      <w:r w:rsidR="00CC6E3A" w:rsidRPr="003B6D82">
        <w:rPr>
          <w:iCs/>
        </w:rPr>
        <w:t>&lt;</w:t>
      </w:r>
      <w:r w:rsidRPr="003B6D82">
        <w:rPr>
          <w:iCs/>
        </w:rPr>
        <w:t>50 × 10</w:t>
      </w:r>
      <w:r w:rsidRPr="003B6D82">
        <w:rPr>
          <w:iCs/>
          <w:vertAlign w:val="superscript"/>
        </w:rPr>
        <w:t>9</w:t>
      </w:r>
      <w:r w:rsidRPr="003B6D82">
        <w:rPr>
          <w:iCs/>
        </w:rPr>
        <w:t xml:space="preserve">/L. Dose modification is required for patients with severe renal impairment (creatinine clearance of 15 to 29 mL/min), patients using </w:t>
      </w:r>
      <w:r w:rsidRPr="003B6D82">
        <w:rPr>
          <w:iCs/>
        </w:rPr>
        <w:lastRenderedPageBreak/>
        <w:t xml:space="preserve">strong CYP3A4 inhibitors, and patients with specified Grade </w:t>
      </w:r>
      <w:r w:rsidR="00CC6E3A" w:rsidRPr="003B6D82">
        <w:rPr>
          <w:iCs/>
        </w:rPr>
        <w:t>≥</w:t>
      </w:r>
      <w:r w:rsidRPr="003B6D82">
        <w:rPr>
          <w:iCs/>
        </w:rPr>
        <w:t>3 haematologic/non-haematologic toxicities.</w:t>
      </w:r>
    </w:p>
    <w:p w14:paraId="1C55A4E8" w14:textId="77777777" w:rsidR="000D6A19" w:rsidRPr="003B6D82" w:rsidRDefault="000D6A19" w:rsidP="00F40844">
      <w:pPr>
        <w:pStyle w:val="COMexecsummnumbered"/>
        <w:numPr>
          <w:ilvl w:val="1"/>
          <w:numId w:val="3"/>
        </w:numPr>
        <w:rPr>
          <w:iCs/>
        </w:rPr>
      </w:pPr>
      <w:bookmarkStart w:id="7" w:name="_Ref199845941"/>
      <w:r w:rsidRPr="003B6D82">
        <w:rPr>
          <w:iCs/>
        </w:rPr>
        <w:t xml:space="preserve">Due to the association of </w:t>
      </w:r>
      <w:proofErr w:type="spellStart"/>
      <w:r w:rsidRPr="003B6D82">
        <w:rPr>
          <w:iCs/>
        </w:rPr>
        <w:t>fedratinib</w:t>
      </w:r>
      <w:proofErr w:type="spellEnd"/>
      <w:r w:rsidRPr="003B6D82">
        <w:rPr>
          <w:iCs/>
        </w:rPr>
        <w:t xml:space="preserve"> with the development of Wernicke’s encephalopathy, assessment of thiamine levels and correction of thiamine deficiency (if detected) should be undertaken prior to </w:t>
      </w:r>
      <w:proofErr w:type="spellStart"/>
      <w:r w:rsidRPr="003B6D82">
        <w:rPr>
          <w:iCs/>
        </w:rPr>
        <w:t>fedratinib</w:t>
      </w:r>
      <w:proofErr w:type="spellEnd"/>
      <w:r w:rsidRPr="003B6D82">
        <w:rPr>
          <w:iCs/>
        </w:rPr>
        <w:t xml:space="preserve"> initiation. Additionally, patients should receive prophylaxis with oral thiamine 100 mg daily and have thiamine levels assessed periodically (as clinically indicated) while on treatment with </w:t>
      </w:r>
      <w:proofErr w:type="spellStart"/>
      <w:r w:rsidRPr="003B6D82">
        <w:rPr>
          <w:iCs/>
        </w:rPr>
        <w:t>fedratinib</w:t>
      </w:r>
      <w:proofErr w:type="spellEnd"/>
      <w:r w:rsidRPr="003B6D82">
        <w:rPr>
          <w:iCs/>
        </w:rPr>
        <w:t xml:space="preserve">. </w:t>
      </w:r>
      <w:proofErr w:type="spellStart"/>
      <w:r w:rsidRPr="003B6D82">
        <w:rPr>
          <w:iCs/>
        </w:rPr>
        <w:t>Fedratinib</w:t>
      </w:r>
      <w:proofErr w:type="spellEnd"/>
      <w:r w:rsidRPr="003B6D82">
        <w:rPr>
          <w:iCs/>
        </w:rPr>
        <w:t xml:space="preserve"> should be immediately discontinued if Wernicke’s encephalopathy is suspected.</w:t>
      </w:r>
      <w:bookmarkEnd w:id="7"/>
    </w:p>
    <w:p w14:paraId="5D749F98" w14:textId="689A9E6D" w:rsidR="00C80164" w:rsidRDefault="00E64563" w:rsidP="0029372B">
      <w:pPr>
        <w:pStyle w:val="COMexecsummnumbered"/>
        <w:numPr>
          <w:ilvl w:val="1"/>
          <w:numId w:val="3"/>
        </w:numPr>
        <w:rPr>
          <w:iCs/>
        </w:rPr>
      </w:pPr>
      <w:bookmarkStart w:id="8" w:name="_Ref195693637"/>
      <w:r w:rsidRPr="003B6D82">
        <w:rPr>
          <w:iCs/>
        </w:rPr>
        <w:t>The</w:t>
      </w:r>
      <w:r w:rsidR="00CE7441" w:rsidRPr="003B6D82">
        <w:rPr>
          <w:iCs/>
        </w:rPr>
        <w:t xml:space="preserve"> </w:t>
      </w:r>
      <w:r w:rsidR="004231B2" w:rsidRPr="003B6D82">
        <w:rPr>
          <w:iCs/>
        </w:rPr>
        <w:t>updated NCCN</w:t>
      </w:r>
      <w:r w:rsidR="00CE7441" w:rsidRPr="003B6D82">
        <w:rPr>
          <w:iCs/>
        </w:rPr>
        <w:t xml:space="preserve"> guidelines </w:t>
      </w:r>
      <w:r w:rsidR="004231B2" w:rsidRPr="003B6D82">
        <w:rPr>
          <w:iCs/>
        </w:rPr>
        <w:t>(Version 1</w:t>
      </w:r>
      <w:r w:rsidR="00EA58C7" w:rsidRPr="003B6D82">
        <w:rPr>
          <w:iCs/>
        </w:rPr>
        <w:t xml:space="preserve">.2025; February 2025) </w:t>
      </w:r>
      <w:r w:rsidR="00AD1B33" w:rsidRPr="003B6D82">
        <w:rPr>
          <w:iCs/>
        </w:rPr>
        <w:t xml:space="preserve">recommend the use of </w:t>
      </w:r>
      <w:proofErr w:type="spellStart"/>
      <w:r w:rsidR="00842BEE" w:rsidRPr="003B6D82">
        <w:rPr>
          <w:iCs/>
        </w:rPr>
        <w:t>ruxolitinib</w:t>
      </w:r>
      <w:proofErr w:type="spellEnd"/>
      <w:r w:rsidR="00842BEE" w:rsidRPr="003B6D82">
        <w:rPr>
          <w:iCs/>
        </w:rPr>
        <w:t xml:space="preserve">, </w:t>
      </w:r>
      <w:proofErr w:type="spellStart"/>
      <w:r w:rsidR="000B0FD7" w:rsidRPr="003B6D82">
        <w:rPr>
          <w:iCs/>
        </w:rPr>
        <w:t>momelotinib</w:t>
      </w:r>
      <w:proofErr w:type="spellEnd"/>
      <w:r w:rsidR="000B0FD7" w:rsidRPr="003B6D82">
        <w:rPr>
          <w:iCs/>
        </w:rPr>
        <w:t xml:space="preserve"> </w:t>
      </w:r>
      <w:r w:rsidR="008E22D2">
        <w:rPr>
          <w:iCs/>
        </w:rPr>
        <w:t>or</w:t>
      </w:r>
      <w:r w:rsidR="000B0FD7" w:rsidRPr="003B6D82">
        <w:rPr>
          <w:iCs/>
        </w:rPr>
        <w:t xml:space="preserve"> </w:t>
      </w:r>
      <w:proofErr w:type="spellStart"/>
      <w:r w:rsidR="000B0FD7" w:rsidRPr="003B6D82">
        <w:rPr>
          <w:iCs/>
        </w:rPr>
        <w:t>fedratinib</w:t>
      </w:r>
      <w:proofErr w:type="spellEnd"/>
      <w:r w:rsidR="000B0FD7" w:rsidRPr="003B6D82">
        <w:rPr>
          <w:iCs/>
        </w:rPr>
        <w:t xml:space="preserve"> </w:t>
      </w:r>
      <w:r w:rsidR="00FF15F7" w:rsidRPr="003B6D82">
        <w:rPr>
          <w:iCs/>
        </w:rPr>
        <w:t>in first</w:t>
      </w:r>
      <w:r w:rsidR="007468A2">
        <w:rPr>
          <w:iCs/>
        </w:rPr>
        <w:t>-</w:t>
      </w:r>
      <w:r w:rsidR="00FF15F7" w:rsidRPr="003B6D82">
        <w:rPr>
          <w:iCs/>
        </w:rPr>
        <w:t xml:space="preserve">line myelofibrosis. </w:t>
      </w:r>
      <w:r w:rsidR="000C4991" w:rsidRPr="003B6D82">
        <w:rPr>
          <w:iCs/>
        </w:rPr>
        <w:t>The ESC</w:t>
      </w:r>
      <w:r w:rsidR="000F0644" w:rsidRPr="003B6D82">
        <w:rPr>
          <w:iCs/>
        </w:rPr>
        <w:t xml:space="preserve"> noted </w:t>
      </w:r>
      <w:proofErr w:type="spellStart"/>
      <w:r w:rsidR="000F0644" w:rsidRPr="003B6D82">
        <w:rPr>
          <w:iCs/>
        </w:rPr>
        <w:t>fedratinib</w:t>
      </w:r>
      <w:proofErr w:type="spellEnd"/>
      <w:r w:rsidR="000F0644" w:rsidRPr="003B6D82">
        <w:rPr>
          <w:iCs/>
        </w:rPr>
        <w:t xml:space="preserve"> did not seek a PBS listing for intermediate-1 risk myelofibrosis and </w:t>
      </w:r>
      <w:r w:rsidR="00453BE1" w:rsidRPr="003B6D82">
        <w:rPr>
          <w:iCs/>
        </w:rPr>
        <w:t xml:space="preserve">may </w:t>
      </w:r>
      <w:r w:rsidR="00831B05" w:rsidRPr="003B6D82">
        <w:rPr>
          <w:iCs/>
        </w:rPr>
        <w:t>create a</w:t>
      </w:r>
      <w:r w:rsidR="00D2736E" w:rsidRPr="003B6D82">
        <w:rPr>
          <w:iCs/>
        </w:rPr>
        <w:t xml:space="preserve">n </w:t>
      </w:r>
      <w:r w:rsidR="00BF176C" w:rsidRPr="003B6D82">
        <w:rPr>
          <w:iCs/>
        </w:rPr>
        <w:t>in</w:t>
      </w:r>
      <w:r w:rsidR="00D2736E" w:rsidRPr="003B6D82">
        <w:rPr>
          <w:iCs/>
        </w:rPr>
        <w:t xml:space="preserve">equity or limitation on </w:t>
      </w:r>
      <w:r w:rsidR="00011271" w:rsidRPr="003B6D82">
        <w:rPr>
          <w:iCs/>
        </w:rPr>
        <w:t>reimbursed access to treatment based on</w:t>
      </w:r>
      <w:r w:rsidR="00453BE1" w:rsidRPr="003B6D82">
        <w:rPr>
          <w:iCs/>
        </w:rPr>
        <w:t xml:space="preserve"> </w:t>
      </w:r>
      <w:r w:rsidR="007A75FE" w:rsidRPr="003B6D82">
        <w:rPr>
          <w:iCs/>
        </w:rPr>
        <w:t xml:space="preserve">available evidence. </w:t>
      </w:r>
      <w:r w:rsidR="0032075A" w:rsidRPr="003B6D82">
        <w:rPr>
          <w:iCs/>
        </w:rPr>
        <w:t xml:space="preserve">The ESC </w:t>
      </w:r>
      <w:r w:rsidR="00F83B24" w:rsidRPr="003B6D82">
        <w:rPr>
          <w:iCs/>
        </w:rPr>
        <w:t>noted the</w:t>
      </w:r>
      <w:r w:rsidR="0032075A" w:rsidRPr="003B6D82">
        <w:rPr>
          <w:iCs/>
        </w:rPr>
        <w:t xml:space="preserve"> clinical data </w:t>
      </w:r>
      <w:r w:rsidR="00F83B24" w:rsidRPr="003B6D82">
        <w:rPr>
          <w:iCs/>
        </w:rPr>
        <w:t>supporting the</w:t>
      </w:r>
      <w:r w:rsidR="0032075A" w:rsidRPr="003B6D82">
        <w:rPr>
          <w:iCs/>
        </w:rPr>
        <w:t xml:space="preserve"> efficacy of </w:t>
      </w:r>
      <w:proofErr w:type="spellStart"/>
      <w:r w:rsidR="0032075A" w:rsidRPr="003B6D82">
        <w:rPr>
          <w:iCs/>
        </w:rPr>
        <w:t>fedratinib</w:t>
      </w:r>
      <w:proofErr w:type="spellEnd"/>
      <w:r w:rsidR="0032075A" w:rsidRPr="003B6D82">
        <w:rPr>
          <w:iCs/>
        </w:rPr>
        <w:t xml:space="preserve"> versus placebo in first</w:t>
      </w:r>
      <w:r w:rsidR="007468A2">
        <w:rPr>
          <w:iCs/>
        </w:rPr>
        <w:t>-</w:t>
      </w:r>
      <w:r w:rsidR="0032075A" w:rsidRPr="003B6D82">
        <w:rPr>
          <w:iCs/>
        </w:rPr>
        <w:t>line myelofibrosis (JAKARTA clinical trial)</w:t>
      </w:r>
      <w:r w:rsidR="00F83B24" w:rsidRPr="003B6D82">
        <w:rPr>
          <w:iCs/>
        </w:rPr>
        <w:t xml:space="preserve"> has been available for </w:t>
      </w:r>
      <w:r w:rsidR="0029372B" w:rsidRPr="003B6D82">
        <w:rPr>
          <w:iCs/>
        </w:rPr>
        <w:t xml:space="preserve">a number of years and </w:t>
      </w:r>
      <w:r w:rsidR="0032075A" w:rsidRPr="003B6D82">
        <w:rPr>
          <w:iCs/>
        </w:rPr>
        <w:t>was disappointed that the evidence presented was limited to the second</w:t>
      </w:r>
      <w:r w:rsidR="00487FBD">
        <w:rPr>
          <w:iCs/>
        </w:rPr>
        <w:t>-</w:t>
      </w:r>
      <w:r w:rsidR="0032075A" w:rsidRPr="003B6D82">
        <w:rPr>
          <w:iCs/>
        </w:rPr>
        <w:t xml:space="preserve">line setting and did not allow an assessment of a broader PBS population in line with </w:t>
      </w:r>
      <w:proofErr w:type="spellStart"/>
      <w:r w:rsidR="0032075A" w:rsidRPr="003B6D82">
        <w:rPr>
          <w:iCs/>
        </w:rPr>
        <w:t>ruxolitinib</w:t>
      </w:r>
      <w:proofErr w:type="spellEnd"/>
      <w:r w:rsidR="0032075A" w:rsidRPr="003B6D82">
        <w:rPr>
          <w:iCs/>
        </w:rPr>
        <w:t xml:space="preserve"> current PBS population, that would be expected to lead to equity of access and alignment with clinical guidelines. The ESC expressed a view that given there was robust evidence for </w:t>
      </w:r>
      <w:proofErr w:type="spellStart"/>
      <w:r w:rsidR="0032075A" w:rsidRPr="003B6D82">
        <w:rPr>
          <w:iCs/>
        </w:rPr>
        <w:t>fedratinib</w:t>
      </w:r>
      <w:proofErr w:type="spellEnd"/>
      <w:r w:rsidR="0032075A" w:rsidRPr="003B6D82">
        <w:rPr>
          <w:iCs/>
        </w:rPr>
        <w:t xml:space="preserve"> in a </w:t>
      </w:r>
      <w:proofErr w:type="gramStart"/>
      <w:r w:rsidR="0032075A" w:rsidRPr="003B6D82">
        <w:rPr>
          <w:iCs/>
        </w:rPr>
        <w:t>first</w:t>
      </w:r>
      <w:r w:rsidR="007468A2">
        <w:rPr>
          <w:iCs/>
        </w:rPr>
        <w:t>-</w:t>
      </w:r>
      <w:r w:rsidR="0032075A" w:rsidRPr="003B6D82">
        <w:rPr>
          <w:iCs/>
        </w:rPr>
        <w:t>line</w:t>
      </w:r>
      <w:proofErr w:type="gramEnd"/>
      <w:r w:rsidR="0032075A" w:rsidRPr="003B6D82">
        <w:rPr>
          <w:iCs/>
        </w:rPr>
        <w:t xml:space="preserve"> setting that a broader listing may be simpler for prescribers and patients.</w:t>
      </w:r>
      <w:bookmarkEnd w:id="8"/>
      <w:r w:rsidR="0032075A" w:rsidRPr="003B6D82">
        <w:rPr>
          <w:iCs/>
        </w:rPr>
        <w:t xml:space="preserve"> </w:t>
      </w:r>
    </w:p>
    <w:p w14:paraId="02D0938D" w14:textId="7729298F" w:rsidR="005D7367" w:rsidRPr="00232140" w:rsidRDefault="00CA23B1" w:rsidP="00232140">
      <w:pPr>
        <w:pStyle w:val="COMexecsummnumbered"/>
        <w:numPr>
          <w:ilvl w:val="1"/>
          <w:numId w:val="3"/>
        </w:numPr>
        <w:rPr>
          <w:iCs/>
        </w:rPr>
      </w:pPr>
      <w:r>
        <w:rPr>
          <w:iCs/>
        </w:rPr>
        <w:t>The Pre-PBAC Response</w:t>
      </w:r>
      <w:r w:rsidR="000119EA">
        <w:rPr>
          <w:iCs/>
        </w:rPr>
        <w:t xml:space="preserve"> acknowledged the</w:t>
      </w:r>
      <w:r w:rsidR="00E004D7">
        <w:rPr>
          <w:iCs/>
        </w:rPr>
        <w:t xml:space="preserve"> </w:t>
      </w:r>
      <w:r w:rsidR="00E7688B">
        <w:rPr>
          <w:iCs/>
        </w:rPr>
        <w:t xml:space="preserve">views of ESC and </w:t>
      </w:r>
      <w:r w:rsidR="00257955">
        <w:rPr>
          <w:iCs/>
        </w:rPr>
        <w:t>submitted two options fo</w:t>
      </w:r>
      <w:r w:rsidR="00456FA6">
        <w:rPr>
          <w:iCs/>
        </w:rPr>
        <w:t>r</w:t>
      </w:r>
      <w:r w:rsidR="00257955">
        <w:rPr>
          <w:iCs/>
        </w:rPr>
        <w:t xml:space="preserve"> the PBAC consideration: </w:t>
      </w:r>
      <w:r w:rsidR="00456FA6">
        <w:rPr>
          <w:iCs/>
        </w:rPr>
        <w:t>1</w:t>
      </w:r>
      <w:r w:rsidR="00257955">
        <w:rPr>
          <w:iCs/>
        </w:rPr>
        <w:t xml:space="preserve">) a line agnostic </w:t>
      </w:r>
      <w:r w:rsidR="00C16F7F">
        <w:rPr>
          <w:iCs/>
        </w:rPr>
        <w:t xml:space="preserve">broad listing for </w:t>
      </w:r>
      <w:proofErr w:type="spellStart"/>
      <w:r w:rsidR="00C16F7F">
        <w:rPr>
          <w:iCs/>
        </w:rPr>
        <w:t>fedratinib</w:t>
      </w:r>
      <w:proofErr w:type="spellEnd"/>
      <w:r w:rsidR="00C16F7F">
        <w:rPr>
          <w:iCs/>
        </w:rPr>
        <w:t>, based on a non-inferiority claim and cost-</w:t>
      </w:r>
      <w:r w:rsidR="00DB7D94">
        <w:rPr>
          <w:iCs/>
        </w:rPr>
        <w:t>minimisation</w:t>
      </w:r>
      <w:r w:rsidR="00C16F7F">
        <w:rPr>
          <w:iCs/>
        </w:rPr>
        <w:t xml:space="preserve"> analysis to </w:t>
      </w:r>
      <w:proofErr w:type="spellStart"/>
      <w:r w:rsidR="00C16F7F">
        <w:rPr>
          <w:iCs/>
        </w:rPr>
        <w:t>ruxolitinib</w:t>
      </w:r>
      <w:proofErr w:type="spellEnd"/>
      <w:r w:rsidR="00C16F7F">
        <w:rPr>
          <w:iCs/>
        </w:rPr>
        <w:t xml:space="preserve"> and 2) </w:t>
      </w:r>
      <w:r w:rsidR="00CB71B0">
        <w:rPr>
          <w:iCs/>
        </w:rPr>
        <w:t xml:space="preserve">consistent with the original submission, a second-line listing </w:t>
      </w:r>
      <w:r w:rsidR="00DB7D94">
        <w:rPr>
          <w:iCs/>
        </w:rPr>
        <w:t xml:space="preserve">based on a cost utility analysis versus best available therapy. </w:t>
      </w:r>
      <w:r w:rsidR="00F80D29">
        <w:rPr>
          <w:iCs/>
        </w:rPr>
        <w:t>The PBAC c</w:t>
      </w:r>
      <w:r w:rsidR="00FB4C2E">
        <w:rPr>
          <w:iCs/>
        </w:rPr>
        <w:t xml:space="preserve">onsidered the evidence provided </w:t>
      </w:r>
      <w:r w:rsidR="000D354F">
        <w:rPr>
          <w:iCs/>
        </w:rPr>
        <w:t xml:space="preserve">for </w:t>
      </w:r>
      <w:r w:rsidR="00F81024">
        <w:rPr>
          <w:iCs/>
        </w:rPr>
        <w:t xml:space="preserve">a first-line listing </w:t>
      </w:r>
      <w:r w:rsidR="000D354F">
        <w:rPr>
          <w:iCs/>
        </w:rPr>
        <w:t xml:space="preserve">would </w:t>
      </w:r>
      <w:r w:rsidR="00F81024">
        <w:rPr>
          <w:iCs/>
        </w:rPr>
        <w:t>require</w:t>
      </w:r>
      <w:r w:rsidR="001C7C76">
        <w:rPr>
          <w:iCs/>
        </w:rPr>
        <w:t xml:space="preserve"> a fulsome </w:t>
      </w:r>
      <w:r w:rsidR="00073A9C">
        <w:rPr>
          <w:iCs/>
        </w:rPr>
        <w:t xml:space="preserve">a full evaluation of the clinical, economic and financial implications. </w:t>
      </w:r>
    </w:p>
    <w:p w14:paraId="36C40BCE" w14:textId="77777777" w:rsidR="00335992" w:rsidRPr="00020CEA" w:rsidRDefault="00335992" w:rsidP="00020CEA">
      <w:pPr>
        <w:spacing w:before="60" w:after="60"/>
        <w:ind w:firstLine="720"/>
        <w:rPr>
          <w:rFonts w:eastAsiaTheme="minorHAnsi"/>
          <w:i/>
          <w:iCs/>
        </w:rPr>
      </w:pPr>
      <w:r w:rsidRPr="00020CEA">
        <w:rPr>
          <w:rFonts w:eastAsiaTheme="minorHAnsi"/>
          <w:i/>
          <w:iCs/>
        </w:rPr>
        <w:t>For more detail on PBAC’s view, see section 7 PBAC outcome.</w:t>
      </w:r>
    </w:p>
    <w:p w14:paraId="1CA41FEA" w14:textId="77777777" w:rsidR="000D6A19" w:rsidRPr="003B6D82" w:rsidRDefault="000D6A19" w:rsidP="00F40844">
      <w:pPr>
        <w:pStyle w:val="COMH1-numbered"/>
        <w:numPr>
          <w:ilvl w:val="0"/>
          <w:numId w:val="3"/>
        </w:numPr>
        <w:snapToGrid w:val="0"/>
        <w:rPr>
          <w:iCs/>
        </w:rPr>
      </w:pPr>
      <w:bookmarkStart w:id="9" w:name="_Toc192437871"/>
      <w:r w:rsidRPr="003B6D82">
        <w:rPr>
          <w:iCs/>
        </w:rPr>
        <w:t>Comparator</w:t>
      </w:r>
      <w:bookmarkEnd w:id="9"/>
    </w:p>
    <w:p w14:paraId="5F69205C" w14:textId="148FAF75" w:rsidR="000D6A19" w:rsidRPr="003B6D82" w:rsidRDefault="000D6A19" w:rsidP="00F40844">
      <w:pPr>
        <w:pStyle w:val="COMexecsummnumbered"/>
        <w:numPr>
          <w:ilvl w:val="1"/>
          <w:numId w:val="3"/>
        </w:numPr>
        <w:rPr>
          <w:rStyle w:val="COMBodyChar"/>
          <w:iCs/>
        </w:rPr>
      </w:pPr>
      <w:r w:rsidRPr="003B6D82">
        <w:rPr>
          <w:iCs/>
        </w:rPr>
        <w:t xml:space="preserve">The submission nominated best available therapy, comprised of </w:t>
      </w:r>
      <w:r w:rsidRPr="003B6D82">
        <w:rPr>
          <w:rStyle w:val="COMBodyChar"/>
          <w:iCs/>
        </w:rPr>
        <w:t xml:space="preserve">suboptimal treatment with </w:t>
      </w:r>
      <w:proofErr w:type="spellStart"/>
      <w:r w:rsidRPr="003B6D82">
        <w:rPr>
          <w:rStyle w:val="COMBodyChar"/>
          <w:iCs/>
        </w:rPr>
        <w:t>ruxolitinib</w:t>
      </w:r>
      <w:proofErr w:type="spellEnd"/>
      <w:r w:rsidRPr="003B6D82">
        <w:rPr>
          <w:rStyle w:val="COMBodyChar"/>
          <w:iCs/>
        </w:rPr>
        <w:t xml:space="preserve"> for </w:t>
      </w:r>
      <w:proofErr w:type="gramStart"/>
      <w:r w:rsidRPr="003B6D82">
        <w:rPr>
          <w:rStyle w:val="COMBodyChar"/>
          <w:iCs/>
        </w:rPr>
        <w:t>the majority of</w:t>
      </w:r>
      <w:proofErr w:type="gramEnd"/>
      <w:r w:rsidRPr="003B6D82">
        <w:rPr>
          <w:rStyle w:val="COMBodyChar"/>
          <w:iCs/>
        </w:rPr>
        <w:t xml:space="preserve"> patients, along with other treatments such </w:t>
      </w:r>
      <w:r w:rsidR="00D90B2F" w:rsidRPr="003B6D82">
        <w:rPr>
          <w:rStyle w:val="COMBodyChar"/>
          <w:iCs/>
        </w:rPr>
        <w:t xml:space="preserve">as </w:t>
      </w:r>
      <w:r w:rsidRPr="003B6D82">
        <w:rPr>
          <w:rStyle w:val="COMBodyChar"/>
          <w:iCs/>
        </w:rPr>
        <w:t>hydroxyurea, interferon alfa, prednisone, or busulfan for a small proportion of patients, as the main comparator.</w:t>
      </w:r>
    </w:p>
    <w:p w14:paraId="5F0B46C8" w14:textId="77777777" w:rsidR="000D6A19" w:rsidRPr="003B6D82" w:rsidRDefault="000D6A19" w:rsidP="00F40844">
      <w:pPr>
        <w:pStyle w:val="COMexecsummnumbered"/>
        <w:numPr>
          <w:ilvl w:val="1"/>
          <w:numId w:val="3"/>
        </w:numPr>
        <w:rPr>
          <w:rStyle w:val="COMBodyChar"/>
          <w:iCs/>
        </w:rPr>
      </w:pPr>
      <w:r w:rsidRPr="003B6D82">
        <w:rPr>
          <w:rStyle w:val="COMBodyChar"/>
          <w:iCs/>
        </w:rPr>
        <w:t>The main arguments provided in support of this nomination were:</w:t>
      </w:r>
    </w:p>
    <w:p w14:paraId="4EA74CEF" w14:textId="0B696728" w:rsidR="000D6A19" w:rsidRPr="003B6D82" w:rsidRDefault="000D6A19" w:rsidP="00D5712A">
      <w:pPr>
        <w:pStyle w:val="COMexecsummbulletlist"/>
        <w:numPr>
          <w:ilvl w:val="0"/>
          <w:numId w:val="8"/>
        </w:numPr>
        <w:snapToGrid w:val="0"/>
        <w:ind w:left="1134" w:hanging="357"/>
        <w:rPr>
          <w:rFonts w:eastAsiaTheme="majorEastAsia"/>
          <w:iCs/>
        </w:rPr>
      </w:pPr>
      <w:proofErr w:type="spellStart"/>
      <w:r w:rsidRPr="003B6D82">
        <w:rPr>
          <w:iCs/>
        </w:rPr>
        <w:t>Ruxolitinib</w:t>
      </w:r>
      <w:proofErr w:type="spellEnd"/>
      <w:r w:rsidRPr="003B6D82">
        <w:rPr>
          <w:iCs/>
        </w:rPr>
        <w:t xml:space="preserve"> is a selective JAK1/JAK2 inhibitor that represents the current standard of care for patients with intermediate-2 and </w:t>
      </w:r>
      <w:r w:rsidR="00BD2255" w:rsidRPr="003B6D82">
        <w:rPr>
          <w:iCs/>
        </w:rPr>
        <w:t>high-risk</w:t>
      </w:r>
      <w:r w:rsidRPr="003B6D82">
        <w:rPr>
          <w:iCs/>
        </w:rPr>
        <w:t xml:space="preserve"> primary myelofibrosis. The PBS restriction for </w:t>
      </w:r>
      <w:proofErr w:type="spellStart"/>
      <w:r w:rsidRPr="003B6D82">
        <w:rPr>
          <w:iCs/>
        </w:rPr>
        <w:t>ruxolitinib</w:t>
      </w:r>
      <w:proofErr w:type="spellEnd"/>
      <w:r w:rsidRPr="003B6D82">
        <w:rPr>
          <w:iCs/>
        </w:rPr>
        <w:t xml:space="preserve"> allows treatment to continue despite loss of response to </w:t>
      </w:r>
      <w:proofErr w:type="spellStart"/>
      <w:r w:rsidRPr="003B6D82">
        <w:rPr>
          <w:iCs/>
        </w:rPr>
        <w:t>ruxolitinib</w:t>
      </w:r>
      <w:proofErr w:type="spellEnd"/>
      <w:r w:rsidRPr="003B6D82">
        <w:rPr>
          <w:iCs/>
        </w:rPr>
        <w:t>.</w:t>
      </w:r>
    </w:p>
    <w:p w14:paraId="033F4458" w14:textId="77777777" w:rsidR="000D6A19" w:rsidRPr="003B6D82" w:rsidRDefault="000D6A19" w:rsidP="00F40844">
      <w:pPr>
        <w:pStyle w:val="COMexecsummbulletlist"/>
        <w:numPr>
          <w:ilvl w:val="0"/>
          <w:numId w:val="8"/>
        </w:numPr>
        <w:snapToGrid w:val="0"/>
        <w:ind w:left="1134"/>
        <w:rPr>
          <w:iCs/>
        </w:rPr>
      </w:pPr>
      <w:r w:rsidRPr="003B6D82">
        <w:rPr>
          <w:iCs/>
        </w:rPr>
        <w:lastRenderedPageBreak/>
        <w:t xml:space="preserve">Best available therapy was the comparator in the FREEDOM-2 trial, with 70.1% of patients receiving treatment with </w:t>
      </w:r>
      <w:proofErr w:type="spellStart"/>
      <w:r w:rsidRPr="003B6D82">
        <w:rPr>
          <w:iCs/>
        </w:rPr>
        <w:t>ruxolitinib</w:t>
      </w:r>
      <w:proofErr w:type="spellEnd"/>
      <w:r w:rsidRPr="003B6D82">
        <w:rPr>
          <w:iCs/>
        </w:rPr>
        <w:t xml:space="preserve"> monotherapy, and 7.5% receiving treatment with </w:t>
      </w:r>
      <w:proofErr w:type="spellStart"/>
      <w:r w:rsidRPr="003B6D82">
        <w:rPr>
          <w:iCs/>
        </w:rPr>
        <w:t>ruxolitinib</w:t>
      </w:r>
      <w:proofErr w:type="spellEnd"/>
      <w:r w:rsidRPr="003B6D82">
        <w:rPr>
          <w:iCs/>
        </w:rPr>
        <w:t xml:space="preserve"> in combination with hydroxyurea.</w:t>
      </w:r>
    </w:p>
    <w:p w14:paraId="3BA1DB0E" w14:textId="06DF0FEB" w:rsidR="00B90539" w:rsidRPr="003B6D82" w:rsidRDefault="000D6A19" w:rsidP="00F40844">
      <w:pPr>
        <w:pStyle w:val="COMexecsummnumbered"/>
        <w:numPr>
          <w:ilvl w:val="1"/>
          <w:numId w:val="3"/>
        </w:numPr>
        <w:rPr>
          <w:iCs/>
        </w:rPr>
      </w:pPr>
      <w:proofErr w:type="spellStart"/>
      <w:r w:rsidRPr="003B6D82">
        <w:rPr>
          <w:iCs/>
        </w:rPr>
        <w:t>Momelotinib</w:t>
      </w:r>
      <w:proofErr w:type="spellEnd"/>
      <w:r w:rsidRPr="003B6D82">
        <w:rPr>
          <w:iCs/>
        </w:rPr>
        <w:t xml:space="preserve">, a selective JAK1/JAK2 inhibitor that also inhibits activin A receptor type 1 (ACVR1), was recommended at the November 2024 PBAC meeting for the treatment of intermediate or </w:t>
      </w:r>
      <w:r w:rsidR="00BD2255" w:rsidRPr="003B6D82">
        <w:rPr>
          <w:iCs/>
        </w:rPr>
        <w:t>high-risk</w:t>
      </w:r>
      <w:r w:rsidRPr="003B6D82">
        <w:rPr>
          <w:iCs/>
        </w:rPr>
        <w:t xml:space="preserve"> primary myelofibrosis, post-polycythaemia vera myelofibrosis or post-essential </w:t>
      </w:r>
      <w:proofErr w:type="spellStart"/>
      <w:r w:rsidRPr="003B6D82">
        <w:rPr>
          <w:iCs/>
        </w:rPr>
        <w:t>thrombocythaemia</w:t>
      </w:r>
      <w:proofErr w:type="spellEnd"/>
      <w:r w:rsidRPr="003B6D82">
        <w:rPr>
          <w:iCs/>
        </w:rPr>
        <w:t xml:space="preserve"> myelofibrosis in patients with moderate to severe anaemia and who are JAK inhibitor naïve or have been treated with </w:t>
      </w:r>
      <w:proofErr w:type="spellStart"/>
      <w:r w:rsidRPr="003B6D82">
        <w:rPr>
          <w:iCs/>
        </w:rPr>
        <w:t>ruxolitinib</w:t>
      </w:r>
      <w:proofErr w:type="spellEnd"/>
      <w:r w:rsidRPr="003B6D82">
        <w:rPr>
          <w:iCs/>
        </w:rPr>
        <w:t xml:space="preserve">. The recommendation for listing was based on the PBAC’s assessment that the cost-effectiveness of </w:t>
      </w:r>
      <w:proofErr w:type="spellStart"/>
      <w:r w:rsidRPr="003B6D82">
        <w:rPr>
          <w:iCs/>
        </w:rPr>
        <w:t>momelotinib</w:t>
      </w:r>
      <w:proofErr w:type="spellEnd"/>
      <w:r w:rsidRPr="003B6D82">
        <w:rPr>
          <w:iCs/>
        </w:rPr>
        <w:t xml:space="preserve"> would be acceptable if it were cost-minimised against </w:t>
      </w:r>
      <w:proofErr w:type="spellStart"/>
      <w:r w:rsidRPr="003B6D82">
        <w:rPr>
          <w:iCs/>
        </w:rPr>
        <w:t>ruxolitinib</w:t>
      </w:r>
      <w:proofErr w:type="spellEnd"/>
      <w:r w:rsidRPr="003B6D82">
        <w:rPr>
          <w:iCs/>
        </w:rPr>
        <w:t xml:space="preserve"> (</w:t>
      </w:r>
      <w:r w:rsidR="00791F68">
        <w:rPr>
          <w:iCs/>
        </w:rPr>
        <w:t xml:space="preserve">Paragraph 7.1, </w:t>
      </w:r>
      <w:proofErr w:type="spellStart"/>
      <w:r w:rsidR="00791F68">
        <w:rPr>
          <w:iCs/>
        </w:rPr>
        <w:t>momelotinib</w:t>
      </w:r>
      <w:proofErr w:type="spellEnd"/>
      <w:r w:rsidR="00791F68">
        <w:rPr>
          <w:iCs/>
        </w:rPr>
        <w:t xml:space="preserve"> </w:t>
      </w:r>
      <w:r w:rsidR="00C04D1C">
        <w:rPr>
          <w:iCs/>
        </w:rPr>
        <w:t>Public Summary Document [</w:t>
      </w:r>
      <w:r w:rsidR="00791F68">
        <w:rPr>
          <w:iCs/>
        </w:rPr>
        <w:t>PSD</w:t>
      </w:r>
      <w:r w:rsidR="00C04D1C">
        <w:rPr>
          <w:iCs/>
        </w:rPr>
        <w:t>]</w:t>
      </w:r>
      <w:r w:rsidRPr="003B6D82">
        <w:rPr>
          <w:iCs/>
        </w:rPr>
        <w:t xml:space="preserve">, November 2024 PBAC meeting). While the submission acknowledged that </w:t>
      </w:r>
      <w:proofErr w:type="spellStart"/>
      <w:r w:rsidRPr="003B6D82">
        <w:rPr>
          <w:iCs/>
        </w:rPr>
        <w:t>momelotinib</w:t>
      </w:r>
      <w:proofErr w:type="spellEnd"/>
      <w:r w:rsidRPr="003B6D82">
        <w:rPr>
          <w:iCs/>
        </w:rPr>
        <w:t xml:space="preserve"> was considered at the November 2024 PBAC meeting, </w:t>
      </w:r>
      <w:proofErr w:type="spellStart"/>
      <w:r w:rsidRPr="003B6D82">
        <w:rPr>
          <w:iCs/>
        </w:rPr>
        <w:t>momelotinib</w:t>
      </w:r>
      <w:proofErr w:type="spellEnd"/>
      <w:r w:rsidRPr="003B6D82">
        <w:rPr>
          <w:iCs/>
        </w:rPr>
        <w:t xml:space="preserve"> was not nominated as a near market comparator in the submission. Although there are differences between the requested populations for </w:t>
      </w:r>
      <w:proofErr w:type="spellStart"/>
      <w:r w:rsidRPr="003B6D82">
        <w:rPr>
          <w:iCs/>
        </w:rPr>
        <w:t>fedratinib</w:t>
      </w:r>
      <w:proofErr w:type="spellEnd"/>
      <w:r w:rsidRPr="003B6D82">
        <w:rPr>
          <w:iCs/>
        </w:rPr>
        <w:t xml:space="preserve"> and </w:t>
      </w:r>
      <w:proofErr w:type="spellStart"/>
      <w:r w:rsidRPr="003B6D82">
        <w:rPr>
          <w:iCs/>
        </w:rPr>
        <w:t>momelotinib</w:t>
      </w:r>
      <w:proofErr w:type="spellEnd"/>
      <w:r w:rsidRPr="003B6D82">
        <w:rPr>
          <w:iCs/>
        </w:rPr>
        <w:t xml:space="preserve"> (the proposed </w:t>
      </w:r>
      <w:proofErr w:type="spellStart"/>
      <w:r w:rsidRPr="003B6D82">
        <w:rPr>
          <w:iCs/>
        </w:rPr>
        <w:t>fedratinib</w:t>
      </w:r>
      <w:proofErr w:type="spellEnd"/>
      <w:r w:rsidRPr="003B6D82">
        <w:rPr>
          <w:iCs/>
        </w:rPr>
        <w:t xml:space="preserve"> restriction excludes patients with intermediate-1 myelofibrosis and patients who are treatment naïve</w:t>
      </w:r>
      <w:r w:rsidR="001C34ED">
        <w:rPr>
          <w:iCs/>
        </w:rPr>
        <w:t xml:space="preserve"> and </w:t>
      </w:r>
      <w:r w:rsidRPr="003B6D82">
        <w:rPr>
          <w:iCs/>
        </w:rPr>
        <w:t xml:space="preserve">does not limit treatment based on the presence of moderate to severe anaemia), </w:t>
      </w:r>
      <w:proofErr w:type="spellStart"/>
      <w:r w:rsidRPr="003B6D82">
        <w:rPr>
          <w:iCs/>
        </w:rPr>
        <w:t>momelotinib</w:t>
      </w:r>
      <w:proofErr w:type="spellEnd"/>
      <w:r w:rsidRPr="003B6D82">
        <w:rPr>
          <w:iCs/>
        </w:rPr>
        <w:t xml:space="preserve"> may be a relevant comparator for some patients (i.e., the subgroup of patients with intermediate-2</w:t>
      </w:r>
      <w:r w:rsidR="00BD2255">
        <w:rPr>
          <w:iCs/>
        </w:rPr>
        <w:t xml:space="preserve"> </w:t>
      </w:r>
      <w:r w:rsidR="00BC4F9A">
        <w:rPr>
          <w:iCs/>
        </w:rPr>
        <w:t>and</w:t>
      </w:r>
      <w:r w:rsidR="00BD2255">
        <w:rPr>
          <w:iCs/>
        </w:rPr>
        <w:t xml:space="preserve"> </w:t>
      </w:r>
      <w:r w:rsidRPr="003B6D82">
        <w:rPr>
          <w:iCs/>
        </w:rPr>
        <w:t>high</w:t>
      </w:r>
      <w:r w:rsidR="00BD2255">
        <w:rPr>
          <w:iCs/>
        </w:rPr>
        <w:t>-</w:t>
      </w:r>
      <w:r w:rsidRPr="003B6D82">
        <w:rPr>
          <w:iCs/>
        </w:rPr>
        <w:t>risk myelofibrosis who have moderate to severe anaemia)</w:t>
      </w:r>
      <w:r w:rsidR="0083361C" w:rsidRPr="003B6D82">
        <w:rPr>
          <w:iCs/>
        </w:rPr>
        <w:t xml:space="preserve">. </w:t>
      </w:r>
    </w:p>
    <w:p w14:paraId="0B3E981E" w14:textId="4C4AC96D" w:rsidR="00016D2B" w:rsidRPr="003B6D82" w:rsidRDefault="006469A2" w:rsidP="00F40844">
      <w:pPr>
        <w:pStyle w:val="COMexecsummnumbered"/>
        <w:numPr>
          <w:ilvl w:val="1"/>
          <w:numId w:val="3"/>
        </w:numPr>
        <w:rPr>
          <w:iCs/>
        </w:rPr>
      </w:pPr>
      <w:r w:rsidRPr="003B6D82">
        <w:rPr>
          <w:iCs/>
        </w:rPr>
        <w:t>The PSCR state</w:t>
      </w:r>
      <w:r w:rsidR="00683243" w:rsidRPr="003B6D82">
        <w:rPr>
          <w:iCs/>
        </w:rPr>
        <w:t>d</w:t>
      </w:r>
      <w:r w:rsidRPr="003B6D82">
        <w:rPr>
          <w:iCs/>
        </w:rPr>
        <w:t xml:space="preserve"> the patient group treated with </w:t>
      </w:r>
      <w:proofErr w:type="spellStart"/>
      <w:r w:rsidRPr="003B6D82">
        <w:rPr>
          <w:iCs/>
        </w:rPr>
        <w:t>fedratinib</w:t>
      </w:r>
      <w:proofErr w:type="spellEnd"/>
      <w:r w:rsidRPr="003B6D82">
        <w:rPr>
          <w:iCs/>
        </w:rPr>
        <w:t xml:space="preserve"> or </w:t>
      </w:r>
      <w:proofErr w:type="spellStart"/>
      <w:r w:rsidRPr="003B6D82">
        <w:rPr>
          <w:iCs/>
        </w:rPr>
        <w:t>momelotinib</w:t>
      </w:r>
      <w:proofErr w:type="spellEnd"/>
      <w:r w:rsidRPr="003B6D82">
        <w:rPr>
          <w:iCs/>
        </w:rPr>
        <w:t xml:space="preserve"> are mutually exclusive for majority of </w:t>
      </w:r>
      <w:r w:rsidR="00044F52" w:rsidRPr="003B6D82">
        <w:rPr>
          <w:iCs/>
        </w:rPr>
        <w:t>patients</w:t>
      </w:r>
      <w:r w:rsidRPr="003B6D82">
        <w:rPr>
          <w:iCs/>
        </w:rPr>
        <w:t xml:space="preserve"> and only a very small proportion of patients will overlap. </w:t>
      </w:r>
      <w:r w:rsidR="007A2115" w:rsidRPr="003B6D82">
        <w:rPr>
          <w:iCs/>
        </w:rPr>
        <w:t>The ESC noted</w:t>
      </w:r>
      <w:r w:rsidR="00D82CFA" w:rsidRPr="003B6D82">
        <w:rPr>
          <w:iCs/>
        </w:rPr>
        <w:t xml:space="preserve"> that a</w:t>
      </w:r>
      <w:r w:rsidR="00B90539" w:rsidRPr="003B6D82">
        <w:rPr>
          <w:iCs/>
        </w:rPr>
        <w:t xml:space="preserve">pproximately 67% of patients in the </w:t>
      </w:r>
      <w:proofErr w:type="spellStart"/>
      <w:r w:rsidR="00B90539" w:rsidRPr="003B6D82">
        <w:rPr>
          <w:iCs/>
        </w:rPr>
        <w:t>fedratinib</w:t>
      </w:r>
      <w:proofErr w:type="spellEnd"/>
      <w:r w:rsidR="00B90539" w:rsidRPr="003B6D82">
        <w:rPr>
          <w:iCs/>
        </w:rPr>
        <w:t xml:space="preserve"> arm and 61% of patients in the BAT arm of the FREEDOM-2 trial had a haemoglobin ≤</w:t>
      </w:r>
      <w:r w:rsidR="00D5712A">
        <w:rPr>
          <w:iCs/>
        </w:rPr>
        <w:t> </w:t>
      </w:r>
      <w:r w:rsidR="00B90539" w:rsidRPr="003B6D82">
        <w:rPr>
          <w:iCs/>
        </w:rPr>
        <w:t>100</w:t>
      </w:r>
      <w:r w:rsidR="00D5712A">
        <w:rPr>
          <w:iCs/>
        </w:rPr>
        <w:t> </w:t>
      </w:r>
      <w:r w:rsidR="00B90539" w:rsidRPr="003B6D82">
        <w:rPr>
          <w:iCs/>
        </w:rPr>
        <w:t>g/dL at baseline</w:t>
      </w:r>
      <w:r w:rsidR="00D82CFA" w:rsidRPr="003B6D82">
        <w:rPr>
          <w:iCs/>
        </w:rPr>
        <w:t>. The ESC considered this suggested</w:t>
      </w:r>
      <w:r w:rsidR="00B90539" w:rsidRPr="003B6D82">
        <w:rPr>
          <w:iCs/>
        </w:rPr>
        <w:t xml:space="preserve"> that a relatively large number of patients in the proposed PBS population </w:t>
      </w:r>
      <w:r w:rsidR="001059FB" w:rsidRPr="003B6D82">
        <w:rPr>
          <w:iCs/>
        </w:rPr>
        <w:t>may</w:t>
      </w:r>
      <w:r w:rsidR="00B90539" w:rsidRPr="003B6D82">
        <w:rPr>
          <w:iCs/>
        </w:rPr>
        <w:t xml:space="preserve"> meet the PBS eligibility criteria for both treatments. </w:t>
      </w:r>
    </w:p>
    <w:p w14:paraId="420DFF6D" w14:textId="78FC1EF6" w:rsidR="00DB4C3D" w:rsidRPr="003B6D82" w:rsidRDefault="00DB4C3D" w:rsidP="00DB4C3D">
      <w:pPr>
        <w:pStyle w:val="COMexecsummnumbered"/>
        <w:numPr>
          <w:ilvl w:val="1"/>
          <w:numId w:val="3"/>
        </w:numPr>
        <w:rPr>
          <w:iCs/>
        </w:rPr>
      </w:pPr>
      <w:r w:rsidRPr="003B6D82">
        <w:rPr>
          <w:iCs/>
        </w:rPr>
        <w:t xml:space="preserve">The evaluation and ESC considered best available therapy is an appropriate comparator. </w:t>
      </w:r>
      <w:r w:rsidR="00FD25D7">
        <w:rPr>
          <w:iCs/>
        </w:rPr>
        <w:t>H</w:t>
      </w:r>
      <w:r w:rsidRPr="003B6D82">
        <w:rPr>
          <w:iCs/>
        </w:rPr>
        <w:t>owever</w:t>
      </w:r>
      <w:r w:rsidR="00FD25D7">
        <w:rPr>
          <w:iCs/>
        </w:rPr>
        <w:t>,</w:t>
      </w:r>
      <w:r w:rsidRPr="003B6D82">
        <w:rPr>
          <w:iCs/>
        </w:rPr>
        <w:t xml:space="preserve"> the ESC also considered that while the </w:t>
      </w:r>
      <w:proofErr w:type="spellStart"/>
      <w:r w:rsidRPr="003B6D82">
        <w:rPr>
          <w:iCs/>
        </w:rPr>
        <w:t>momelotinib</w:t>
      </w:r>
      <w:proofErr w:type="spellEnd"/>
      <w:r w:rsidRPr="003B6D82">
        <w:rPr>
          <w:iCs/>
        </w:rPr>
        <w:t xml:space="preserve"> and </w:t>
      </w:r>
      <w:proofErr w:type="spellStart"/>
      <w:r w:rsidRPr="003B6D82">
        <w:rPr>
          <w:iCs/>
        </w:rPr>
        <w:t>fedratinib</w:t>
      </w:r>
      <w:proofErr w:type="spellEnd"/>
      <w:r w:rsidRPr="003B6D82">
        <w:rPr>
          <w:iCs/>
        </w:rPr>
        <w:t xml:space="preserve"> populations are different, they are not mutually exclusive where they overlap (such as by line of therapy and anaemia status/haemoglobin level). </w:t>
      </w:r>
    </w:p>
    <w:p w14:paraId="05790763" w14:textId="23FD5FDE" w:rsidR="000F1652" w:rsidRDefault="000F1652" w:rsidP="000F1652">
      <w:pPr>
        <w:pStyle w:val="COMexecsummnumbered"/>
        <w:numPr>
          <w:ilvl w:val="1"/>
          <w:numId w:val="3"/>
        </w:numPr>
        <w:rPr>
          <w:iCs/>
        </w:rPr>
      </w:pPr>
      <w:r w:rsidRPr="003B6D82">
        <w:rPr>
          <w:iCs/>
        </w:rPr>
        <w:t>The ESC further noted updated NCCN guidelines (Version 1.2025; February 2025) stratify treatment for patients with higher risk myelofibrosis according to platelet count (≥</w:t>
      </w:r>
      <w:r w:rsidR="00395BD1">
        <w:rPr>
          <w:iCs/>
        </w:rPr>
        <w:t xml:space="preserve"> </w:t>
      </w:r>
      <w:r w:rsidRPr="003B6D82">
        <w:rPr>
          <w:iCs/>
        </w:rPr>
        <w:t>50 or &lt;</w:t>
      </w:r>
      <w:r w:rsidR="00395BD1">
        <w:rPr>
          <w:iCs/>
        </w:rPr>
        <w:t xml:space="preserve"> </w:t>
      </w:r>
      <w:r w:rsidRPr="003B6D82">
        <w:rPr>
          <w:iCs/>
        </w:rPr>
        <w:t>50 × 10</w:t>
      </w:r>
      <w:r w:rsidRPr="00395BD1">
        <w:rPr>
          <w:iCs/>
          <w:vertAlign w:val="superscript"/>
        </w:rPr>
        <w:t>9</w:t>
      </w:r>
      <w:r w:rsidRPr="003B6D82">
        <w:rPr>
          <w:iCs/>
        </w:rPr>
        <w:t xml:space="preserve">/L) as well as the presence of anaemia (previously based on platelet count alone). </w:t>
      </w:r>
      <w:proofErr w:type="spellStart"/>
      <w:r w:rsidRPr="003B6D82">
        <w:rPr>
          <w:iCs/>
        </w:rPr>
        <w:t>Momelotinib</w:t>
      </w:r>
      <w:proofErr w:type="spellEnd"/>
      <w:r w:rsidRPr="003B6D82">
        <w:rPr>
          <w:iCs/>
        </w:rPr>
        <w:t xml:space="preserve"> and clinical trial participation are listed as the preferred treatment options for patients with anaemia and ongoing symptomatic splenomegaly and/or constitutional symptoms. The ESC further noted that while the NCCN guidelines provide comparative evidence recommendations for first-line JAK inhibitor use in patients with a platelet count ≥50 × 109/L (Category 1 for </w:t>
      </w:r>
      <w:proofErr w:type="spellStart"/>
      <w:r w:rsidRPr="003B6D82">
        <w:rPr>
          <w:iCs/>
        </w:rPr>
        <w:t>fedratinib</w:t>
      </w:r>
      <w:proofErr w:type="spellEnd"/>
      <w:r w:rsidRPr="003B6D82">
        <w:rPr>
          <w:iCs/>
        </w:rPr>
        <w:t xml:space="preserve">; Category 2B for </w:t>
      </w:r>
      <w:proofErr w:type="spellStart"/>
      <w:r w:rsidRPr="003B6D82">
        <w:rPr>
          <w:iCs/>
        </w:rPr>
        <w:t>momelotinib</w:t>
      </w:r>
      <w:proofErr w:type="spellEnd"/>
      <w:r w:rsidRPr="003B6D82">
        <w:rPr>
          <w:iCs/>
        </w:rPr>
        <w:t xml:space="preserve">), no specific recommendations are made in the </w:t>
      </w:r>
      <w:r w:rsidRPr="003B6D82">
        <w:rPr>
          <w:iCs/>
        </w:rPr>
        <w:lastRenderedPageBreak/>
        <w:t xml:space="preserve">subsequent-line treatment setting (the guidelines recommend the use of a JAK inhibitor that has not previously been used). </w:t>
      </w:r>
    </w:p>
    <w:p w14:paraId="4DB13406" w14:textId="77777777" w:rsidR="00020CEA" w:rsidRPr="00020CEA" w:rsidRDefault="00020CEA" w:rsidP="00020CEA">
      <w:pPr>
        <w:spacing w:before="60" w:after="60"/>
        <w:ind w:firstLine="720"/>
        <w:rPr>
          <w:rFonts w:eastAsiaTheme="minorHAnsi"/>
          <w:i/>
          <w:iCs/>
        </w:rPr>
      </w:pPr>
      <w:bookmarkStart w:id="10" w:name="_Toc192437872"/>
      <w:bookmarkStart w:id="11" w:name="_Toc22897640"/>
      <w:r w:rsidRPr="00020CEA">
        <w:rPr>
          <w:rFonts w:eastAsiaTheme="minorHAnsi"/>
          <w:i/>
          <w:iCs/>
        </w:rPr>
        <w:t>For more detail on PBAC’s view, see section 7 PBAC outcome.</w:t>
      </w:r>
    </w:p>
    <w:p w14:paraId="7F9C27C8" w14:textId="77777777" w:rsidR="00223D5A" w:rsidRPr="003B6D82" w:rsidRDefault="00223D5A" w:rsidP="00223D5A">
      <w:pPr>
        <w:pStyle w:val="COMH1-numbered"/>
        <w:rPr>
          <w:iCs/>
        </w:rPr>
      </w:pPr>
      <w:r w:rsidRPr="003B6D82">
        <w:rPr>
          <w:iCs/>
        </w:rPr>
        <w:t>Consideration of the evidence</w:t>
      </w:r>
      <w:bookmarkEnd w:id="10"/>
    </w:p>
    <w:p w14:paraId="6C8E9291" w14:textId="77777777" w:rsidR="00C43E64" w:rsidRPr="00F24853" w:rsidRDefault="00C43E64" w:rsidP="00C43E64">
      <w:pPr>
        <w:pStyle w:val="COMH2-non-numbered"/>
      </w:pPr>
      <w:bookmarkStart w:id="12" w:name="_Hlk76375935"/>
      <w:bookmarkStart w:id="13" w:name="_Toc192437873"/>
      <w:r w:rsidRPr="00F24853">
        <w:t>Sponsor hearing</w:t>
      </w:r>
    </w:p>
    <w:p w14:paraId="7DA0331A" w14:textId="77777777" w:rsidR="00F24853" w:rsidRPr="00F24853" w:rsidRDefault="00F24853" w:rsidP="00F24853">
      <w:pPr>
        <w:widowControl w:val="0"/>
        <w:numPr>
          <w:ilvl w:val="1"/>
          <w:numId w:val="1"/>
        </w:numPr>
        <w:spacing w:after="120"/>
        <w:rPr>
          <w:rFonts w:cs="Calibri"/>
          <w:bCs/>
          <w:snapToGrid w:val="0"/>
        </w:rPr>
      </w:pPr>
      <w:r w:rsidRPr="00F24853">
        <w:rPr>
          <w:rFonts w:cs="Calibri"/>
          <w:bCs/>
          <w:snapToGrid w:val="0"/>
        </w:rPr>
        <w:t>There was no hearing for this item.</w:t>
      </w:r>
    </w:p>
    <w:p w14:paraId="7A3BB77A" w14:textId="77777777" w:rsidR="00C43E64" w:rsidRPr="004670CE" w:rsidRDefault="00C43E64" w:rsidP="00C43E64">
      <w:pPr>
        <w:pStyle w:val="COMH2-non-numbered"/>
      </w:pPr>
      <w:r w:rsidRPr="00E31908">
        <w:t>Consumer comments</w:t>
      </w:r>
    </w:p>
    <w:p w14:paraId="3CDEC42A" w14:textId="6421F57A" w:rsidR="00AE13F5" w:rsidRPr="001C4D95" w:rsidRDefault="004670CE" w:rsidP="00A47E2E">
      <w:pPr>
        <w:widowControl w:val="0"/>
        <w:numPr>
          <w:ilvl w:val="1"/>
          <w:numId w:val="1"/>
        </w:numPr>
        <w:spacing w:after="120"/>
        <w:rPr>
          <w:sz w:val="22"/>
          <w:szCs w:val="22"/>
        </w:rPr>
      </w:pPr>
      <w:bookmarkStart w:id="14" w:name="_Hlk76382618"/>
      <w:r w:rsidRPr="00684E8A">
        <w:rPr>
          <w:rFonts w:asciiTheme="minorHAnsi" w:hAnsiTheme="minorHAnsi"/>
          <w:bCs/>
          <w:snapToGrid w:val="0"/>
        </w:rPr>
        <w:t xml:space="preserve">The PBAC noted and welcomed the input from individuals (8), health care professionals (2) and organisations (3) via the Consumer Comments facility on the PBS website. </w:t>
      </w:r>
      <w:r w:rsidR="00DB19A4" w:rsidRPr="00684E8A">
        <w:rPr>
          <w:rFonts w:asciiTheme="minorHAnsi" w:hAnsiTheme="minorHAnsi"/>
          <w:bCs/>
          <w:snapToGrid w:val="0"/>
        </w:rPr>
        <w:t xml:space="preserve">The PBAC noted the </w:t>
      </w:r>
      <w:r w:rsidR="002A1F09" w:rsidRPr="00684E8A">
        <w:rPr>
          <w:rFonts w:asciiTheme="minorHAnsi" w:hAnsiTheme="minorHAnsi"/>
          <w:bCs/>
          <w:snapToGrid w:val="0"/>
        </w:rPr>
        <w:t xml:space="preserve">comments from individuals </w:t>
      </w:r>
      <w:r w:rsidR="00DD0745" w:rsidRPr="00684E8A">
        <w:rPr>
          <w:rFonts w:asciiTheme="minorHAnsi" w:hAnsiTheme="minorHAnsi"/>
          <w:bCs/>
          <w:snapToGrid w:val="0"/>
        </w:rPr>
        <w:t xml:space="preserve">described the </w:t>
      </w:r>
      <w:r w:rsidR="00DA0996" w:rsidRPr="00684E8A">
        <w:rPr>
          <w:rFonts w:asciiTheme="minorHAnsi" w:hAnsiTheme="minorHAnsi"/>
          <w:bCs/>
          <w:snapToGrid w:val="0"/>
        </w:rPr>
        <w:t>impact of</w:t>
      </w:r>
      <w:r w:rsidR="0079458F" w:rsidRPr="00684E8A">
        <w:rPr>
          <w:rFonts w:asciiTheme="minorHAnsi" w:hAnsiTheme="minorHAnsi"/>
          <w:bCs/>
          <w:snapToGrid w:val="0"/>
        </w:rPr>
        <w:t xml:space="preserve"> myelofibrosis </w:t>
      </w:r>
      <w:r w:rsidR="00874C56" w:rsidRPr="00684E8A">
        <w:rPr>
          <w:rFonts w:asciiTheme="minorHAnsi" w:hAnsiTheme="minorHAnsi"/>
          <w:bCs/>
          <w:snapToGrid w:val="0"/>
        </w:rPr>
        <w:t>on their quality of life</w:t>
      </w:r>
      <w:r w:rsidR="00FD0898" w:rsidRPr="00684E8A">
        <w:rPr>
          <w:rFonts w:asciiTheme="minorHAnsi" w:hAnsiTheme="minorHAnsi"/>
          <w:bCs/>
          <w:snapToGrid w:val="0"/>
        </w:rPr>
        <w:t xml:space="preserve">, including the heavy mental burden </w:t>
      </w:r>
      <w:r w:rsidR="0014469B">
        <w:rPr>
          <w:rFonts w:asciiTheme="minorHAnsi" w:hAnsiTheme="minorHAnsi"/>
          <w:bCs/>
          <w:snapToGrid w:val="0"/>
        </w:rPr>
        <w:t xml:space="preserve">associated with the disease </w:t>
      </w:r>
      <w:r w:rsidR="00FD0898" w:rsidRPr="00684E8A">
        <w:rPr>
          <w:rFonts w:asciiTheme="minorHAnsi" w:hAnsiTheme="minorHAnsi"/>
          <w:bCs/>
          <w:snapToGrid w:val="0"/>
        </w:rPr>
        <w:t xml:space="preserve">and the uncertain future it creates. </w:t>
      </w:r>
      <w:r w:rsidR="003418BA" w:rsidRPr="00684E8A">
        <w:rPr>
          <w:rFonts w:asciiTheme="minorHAnsi" w:hAnsiTheme="minorHAnsi"/>
          <w:bCs/>
          <w:snapToGrid w:val="0"/>
        </w:rPr>
        <w:t>The comments also noted limited treatment options</w:t>
      </w:r>
      <w:r w:rsidR="006B3D5C" w:rsidRPr="00684E8A">
        <w:rPr>
          <w:rFonts w:asciiTheme="minorHAnsi" w:hAnsiTheme="minorHAnsi"/>
          <w:bCs/>
          <w:snapToGrid w:val="0"/>
        </w:rPr>
        <w:t xml:space="preserve"> available to treat myelofibrosis</w:t>
      </w:r>
      <w:r w:rsidR="00DF7AF8">
        <w:rPr>
          <w:rFonts w:asciiTheme="minorHAnsi" w:hAnsiTheme="minorHAnsi"/>
          <w:bCs/>
          <w:snapToGrid w:val="0"/>
        </w:rPr>
        <w:t xml:space="preserve">, with the </w:t>
      </w:r>
      <w:r w:rsidR="00EB35A7" w:rsidRPr="00684E8A">
        <w:rPr>
          <w:rFonts w:asciiTheme="minorHAnsi" w:hAnsiTheme="minorHAnsi"/>
          <w:bCs/>
          <w:snapToGrid w:val="0"/>
        </w:rPr>
        <w:t>available options stop being effective after prolonged use.</w:t>
      </w:r>
      <w:r w:rsidR="00BD51C6" w:rsidRPr="00684E8A">
        <w:rPr>
          <w:rFonts w:asciiTheme="minorHAnsi" w:hAnsiTheme="minorHAnsi"/>
          <w:bCs/>
          <w:snapToGrid w:val="0"/>
        </w:rPr>
        <w:t xml:space="preserve"> Input from health professionals who</w:t>
      </w:r>
      <w:r w:rsidR="00BC65C8" w:rsidRPr="00684E8A">
        <w:rPr>
          <w:rFonts w:asciiTheme="minorHAnsi" w:hAnsiTheme="minorHAnsi"/>
          <w:bCs/>
          <w:snapToGrid w:val="0"/>
        </w:rPr>
        <w:t xml:space="preserve"> had experience in treating patients with the condition</w:t>
      </w:r>
      <w:r w:rsidR="003543D7" w:rsidRPr="00684E8A">
        <w:rPr>
          <w:rFonts w:asciiTheme="minorHAnsi" w:hAnsiTheme="minorHAnsi"/>
          <w:bCs/>
          <w:snapToGrid w:val="0"/>
        </w:rPr>
        <w:t xml:space="preserve"> noted </w:t>
      </w:r>
      <w:proofErr w:type="spellStart"/>
      <w:r w:rsidR="003543D7" w:rsidRPr="00684E8A">
        <w:rPr>
          <w:rFonts w:asciiTheme="minorHAnsi" w:hAnsiTheme="minorHAnsi"/>
          <w:bCs/>
          <w:snapToGrid w:val="0"/>
        </w:rPr>
        <w:t>fed</w:t>
      </w:r>
      <w:r w:rsidR="00513BDB" w:rsidRPr="00684E8A">
        <w:rPr>
          <w:rFonts w:asciiTheme="minorHAnsi" w:hAnsiTheme="minorHAnsi"/>
          <w:bCs/>
          <w:snapToGrid w:val="0"/>
        </w:rPr>
        <w:t>ratinib</w:t>
      </w:r>
      <w:proofErr w:type="spellEnd"/>
      <w:r w:rsidR="00513BDB" w:rsidRPr="00684E8A">
        <w:rPr>
          <w:rFonts w:asciiTheme="minorHAnsi" w:hAnsiTheme="minorHAnsi"/>
          <w:bCs/>
          <w:snapToGrid w:val="0"/>
        </w:rPr>
        <w:t xml:space="preserve"> may</w:t>
      </w:r>
      <w:r w:rsidR="00C41808" w:rsidRPr="00684E8A">
        <w:rPr>
          <w:rFonts w:asciiTheme="minorHAnsi" w:hAnsiTheme="minorHAnsi"/>
          <w:bCs/>
          <w:snapToGrid w:val="0"/>
        </w:rPr>
        <w:t xml:space="preserve"> be</w:t>
      </w:r>
      <w:r w:rsidR="00513BDB" w:rsidRPr="00684E8A">
        <w:rPr>
          <w:rFonts w:asciiTheme="minorHAnsi" w:hAnsiTheme="minorHAnsi"/>
          <w:bCs/>
          <w:snapToGrid w:val="0"/>
        </w:rPr>
        <w:t xml:space="preserve"> </w:t>
      </w:r>
      <w:r w:rsidR="00C41808" w:rsidRPr="00684E8A">
        <w:rPr>
          <w:rFonts w:asciiTheme="minorHAnsi" w:hAnsiTheme="minorHAnsi"/>
          <w:bCs/>
          <w:snapToGrid w:val="0"/>
        </w:rPr>
        <w:t xml:space="preserve">described as advantageous due to its efficacy in patients where </w:t>
      </w:r>
      <w:proofErr w:type="spellStart"/>
      <w:r w:rsidR="00C41808" w:rsidRPr="00684E8A">
        <w:rPr>
          <w:rFonts w:asciiTheme="minorHAnsi" w:hAnsiTheme="minorHAnsi"/>
          <w:bCs/>
          <w:snapToGrid w:val="0"/>
        </w:rPr>
        <w:t>ruxolitinib</w:t>
      </w:r>
      <w:proofErr w:type="spellEnd"/>
      <w:r w:rsidR="00C41808" w:rsidRPr="00684E8A">
        <w:rPr>
          <w:rFonts w:asciiTheme="minorHAnsi" w:hAnsiTheme="minorHAnsi"/>
          <w:bCs/>
          <w:snapToGrid w:val="0"/>
        </w:rPr>
        <w:t xml:space="preserve"> fails, or as an alternative to </w:t>
      </w:r>
      <w:proofErr w:type="spellStart"/>
      <w:r w:rsidR="00C41808" w:rsidRPr="00684E8A">
        <w:rPr>
          <w:rFonts w:asciiTheme="minorHAnsi" w:hAnsiTheme="minorHAnsi"/>
          <w:bCs/>
          <w:snapToGrid w:val="0"/>
        </w:rPr>
        <w:t>ruxolitinib</w:t>
      </w:r>
      <w:proofErr w:type="spellEnd"/>
      <w:r w:rsidR="00C41808" w:rsidRPr="00684E8A">
        <w:rPr>
          <w:rFonts w:asciiTheme="minorHAnsi" w:hAnsiTheme="minorHAnsi"/>
          <w:bCs/>
          <w:snapToGrid w:val="0"/>
        </w:rPr>
        <w:t xml:space="preserve"> where it cannot be used due to side-effects or toxicity.</w:t>
      </w:r>
      <w:r w:rsidR="00BD51C6" w:rsidRPr="00684E8A">
        <w:rPr>
          <w:rFonts w:asciiTheme="minorHAnsi" w:hAnsiTheme="minorHAnsi"/>
          <w:bCs/>
          <w:snapToGrid w:val="0"/>
        </w:rPr>
        <w:t xml:space="preserve"> </w:t>
      </w:r>
      <w:r w:rsidR="00F3577D">
        <w:rPr>
          <w:rFonts w:asciiTheme="minorHAnsi" w:hAnsiTheme="minorHAnsi"/>
          <w:bCs/>
          <w:snapToGrid w:val="0"/>
        </w:rPr>
        <w:t xml:space="preserve">The input also noted the </w:t>
      </w:r>
      <w:r w:rsidR="00D30663">
        <w:rPr>
          <w:rFonts w:asciiTheme="minorHAnsi" w:hAnsiTheme="minorHAnsi"/>
          <w:bCs/>
          <w:snapToGrid w:val="0"/>
        </w:rPr>
        <w:t xml:space="preserve">toxicity of </w:t>
      </w:r>
      <w:proofErr w:type="spellStart"/>
      <w:r w:rsidR="00D30663">
        <w:rPr>
          <w:rFonts w:asciiTheme="minorHAnsi" w:hAnsiTheme="minorHAnsi"/>
          <w:bCs/>
          <w:snapToGrid w:val="0"/>
        </w:rPr>
        <w:t>fedratinib</w:t>
      </w:r>
      <w:proofErr w:type="spellEnd"/>
      <w:r w:rsidR="00493F7A">
        <w:rPr>
          <w:rFonts w:asciiTheme="minorHAnsi" w:hAnsiTheme="minorHAnsi"/>
          <w:bCs/>
          <w:snapToGrid w:val="0"/>
        </w:rPr>
        <w:t xml:space="preserve">. </w:t>
      </w:r>
    </w:p>
    <w:p w14:paraId="65DCC8D7" w14:textId="074C2DA1" w:rsidR="00DE590F" w:rsidRDefault="004E3AA9" w:rsidP="00BD543C">
      <w:pPr>
        <w:widowControl w:val="0"/>
        <w:numPr>
          <w:ilvl w:val="1"/>
          <w:numId w:val="1"/>
        </w:numPr>
        <w:spacing w:after="120"/>
        <w:rPr>
          <w:rFonts w:ascii="Aptos" w:hAnsi="Aptos" w:cs="Aptos"/>
        </w:rPr>
      </w:pPr>
      <w:r>
        <w:rPr>
          <w:rFonts w:asciiTheme="minorHAnsi" w:hAnsiTheme="minorHAnsi"/>
          <w:bCs/>
          <w:snapToGrid w:val="0"/>
        </w:rPr>
        <w:t>T</w:t>
      </w:r>
      <w:r w:rsidR="001C4D95" w:rsidRPr="001A2554">
        <w:rPr>
          <w:rFonts w:asciiTheme="minorHAnsi" w:hAnsiTheme="minorHAnsi"/>
          <w:bCs/>
          <w:snapToGrid w:val="0"/>
        </w:rPr>
        <w:t>he Leukaemia Foundation</w:t>
      </w:r>
      <w:r w:rsidR="001D2BA9" w:rsidRPr="001A2554">
        <w:rPr>
          <w:rFonts w:asciiTheme="minorHAnsi" w:hAnsiTheme="minorHAnsi"/>
          <w:bCs/>
          <w:snapToGrid w:val="0"/>
        </w:rPr>
        <w:t xml:space="preserve"> stated </w:t>
      </w:r>
      <w:proofErr w:type="spellStart"/>
      <w:r w:rsidR="001D2BA9" w:rsidRPr="001A2554">
        <w:rPr>
          <w:rFonts w:asciiTheme="minorHAnsi" w:hAnsiTheme="minorHAnsi"/>
          <w:bCs/>
          <w:snapToGrid w:val="0"/>
        </w:rPr>
        <w:t>ruxolitinib</w:t>
      </w:r>
      <w:proofErr w:type="spellEnd"/>
      <w:r w:rsidR="001D2BA9" w:rsidRPr="001A2554">
        <w:rPr>
          <w:rFonts w:asciiTheme="minorHAnsi" w:hAnsiTheme="minorHAnsi"/>
          <w:bCs/>
          <w:snapToGrid w:val="0"/>
        </w:rPr>
        <w:t xml:space="preserve"> is the current standard of care for the treatment of myelofibrosis. </w:t>
      </w:r>
      <w:r w:rsidR="005E0939" w:rsidRPr="001A2554">
        <w:rPr>
          <w:rFonts w:asciiTheme="minorHAnsi" w:hAnsiTheme="minorHAnsi"/>
          <w:bCs/>
          <w:snapToGrid w:val="0"/>
        </w:rPr>
        <w:t xml:space="preserve">The input noted </w:t>
      </w:r>
      <w:r w:rsidR="0038307A" w:rsidRPr="001A2554">
        <w:rPr>
          <w:rFonts w:asciiTheme="minorHAnsi" w:hAnsiTheme="minorHAnsi"/>
          <w:bCs/>
          <w:snapToGrid w:val="0"/>
        </w:rPr>
        <w:t xml:space="preserve">that </w:t>
      </w:r>
      <w:proofErr w:type="spellStart"/>
      <w:r w:rsidR="0038307A" w:rsidRPr="001A2554">
        <w:rPr>
          <w:rFonts w:asciiTheme="minorHAnsi" w:hAnsiTheme="minorHAnsi"/>
          <w:bCs/>
          <w:snapToGrid w:val="0"/>
        </w:rPr>
        <w:t>ruxolitinib</w:t>
      </w:r>
      <w:proofErr w:type="spellEnd"/>
      <w:r w:rsidR="0038307A" w:rsidRPr="001A2554">
        <w:rPr>
          <w:rFonts w:asciiTheme="minorHAnsi" w:hAnsiTheme="minorHAnsi"/>
          <w:bCs/>
          <w:snapToGrid w:val="0"/>
        </w:rPr>
        <w:t xml:space="preserve"> has shown efficacy in reducing spleen volume</w:t>
      </w:r>
      <w:r w:rsidR="00457A42" w:rsidRPr="001A2554">
        <w:rPr>
          <w:rFonts w:asciiTheme="minorHAnsi" w:hAnsiTheme="minorHAnsi"/>
          <w:bCs/>
          <w:snapToGrid w:val="0"/>
        </w:rPr>
        <w:t xml:space="preserve"> </w:t>
      </w:r>
      <w:r w:rsidR="00A15D93" w:rsidRPr="001A2554">
        <w:rPr>
          <w:rFonts w:asciiTheme="minorHAnsi" w:hAnsiTheme="minorHAnsi"/>
          <w:bCs/>
          <w:snapToGrid w:val="0"/>
        </w:rPr>
        <w:t>and increase</w:t>
      </w:r>
      <w:r w:rsidR="00457A42" w:rsidRPr="001A2554">
        <w:rPr>
          <w:rFonts w:asciiTheme="minorHAnsi" w:hAnsiTheme="minorHAnsi"/>
          <w:bCs/>
          <w:snapToGrid w:val="0"/>
        </w:rPr>
        <w:t xml:space="preserve"> 5-year overall survival rates. However, the prognosis for patients that stop </w:t>
      </w:r>
      <w:r w:rsidR="00A15D93" w:rsidRPr="001A2554">
        <w:rPr>
          <w:rFonts w:asciiTheme="minorHAnsi" w:hAnsiTheme="minorHAnsi"/>
          <w:bCs/>
          <w:snapToGrid w:val="0"/>
        </w:rPr>
        <w:t>responding</w:t>
      </w:r>
      <w:r w:rsidR="00457A42" w:rsidRPr="001A2554">
        <w:rPr>
          <w:rFonts w:asciiTheme="minorHAnsi" w:hAnsiTheme="minorHAnsi"/>
          <w:bCs/>
          <w:snapToGrid w:val="0"/>
        </w:rPr>
        <w:t xml:space="preserve"> to </w:t>
      </w:r>
      <w:proofErr w:type="spellStart"/>
      <w:r w:rsidR="00457A42" w:rsidRPr="001A2554">
        <w:rPr>
          <w:rFonts w:asciiTheme="minorHAnsi" w:hAnsiTheme="minorHAnsi"/>
          <w:bCs/>
          <w:snapToGrid w:val="0"/>
        </w:rPr>
        <w:t>ruxolitinib</w:t>
      </w:r>
      <w:proofErr w:type="spellEnd"/>
      <w:r w:rsidR="00457A42" w:rsidRPr="001A2554">
        <w:rPr>
          <w:rFonts w:asciiTheme="minorHAnsi" w:hAnsiTheme="minorHAnsi"/>
          <w:bCs/>
          <w:snapToGrid w:val="0"/>
        </w:rPr>
        <w:t xml:space="preserve"> is poor</w:t>
      </w:r>
      <w:r w:rsidR="001A2554">
        <w:rPr>
          <w:rFonts w:asciiTheme="minorHAnsi" w:hAnsiTheme="minorHAnsi"/>
          <w:bCs/>
          <w:snapToGrid w:val="0"/>
        </w:rPr>
        <w:t xml:space="preserve"> </w:t>
      </w:r>
      <w:r w:rsidR="00A15D93" w:rsidRPr="001A2554">
        <w:rPr>
          <w:rFonts w:asciiTheme="minorHAnsi" w:hAnsiTheme="minorHAnsi"/>
          <w:bCs/>
          <w:snapToGrid w:val="0"/>
        </w:rPr>
        <w:t xml:space="preserve">and due to limited treatment options, patient with relapsed or </w:t>
      </w:r>
      <w:r w:rsidR="002701C1" w:rsidRPr="001A2554">
        <w:rPr>
          <w:rFonts w:asciiTheme="minorHAnsi" w:hAnsiTheme="minorHAnsi"/>
          <w:bCs/>
          <w:snapToGrid w:val="0"/>
        </w:rPr>
        <w:t>refractory</w:t>
      </w:r>
      <w:r w:rsidR="00A15D93" w:rsidRPr="001A2554">
        <w:rPr>
          <w:rFonts w:asciiTheme="minorHAnsi" w:hAnsiTheme="minorHAnsi"/>
          <w:bCs/>
          <w:snapToGrid w:val="0"/>
        </w:rPr>
        <w:t xml:space="preserve"> disease often </w:t>
      </w:r>
      <w:r w:rsidR="002701C1" w:rsidRPr="001A2554">
        <w:rPr>
          <w:rFonts w:asciiTheme="minorHAnsi" w:hAnsiTheme="minorHAnsi"/>
          <w:bCs/>
          <w:snapToGrid w:val="0"/>
        </w:rPr>
        <w:t>remain</w:t>
      </w:r>
      <w:r w:rsidR="00A15D93" w:rsidRPr="001A2554">
        <w:rPr>
          <w:rFonts w:asciiTheme="minorHAnsi" w:hAnsiTheme="minorHAnsi"/>
          <w:bCs/>
          <w:snapToGrid w:val="0"/>
        </w:rPr>
        <w:t xml:space="preserve"> on suboptimal </w:t>
      </w:r>
      <w:proofErr w:type="spellStart"/>
      <w:r w:rsidR="002701C1" w:rsidRPr="001A2554">
        <w:rPr>
          <w:rFonts w:asciiTheme="minorHAnsi" w:hAnsiTheme="minorHAnsi"/>
          <w:bCs/>
          <w:snapToGrid w:val="0"/>
        </w:rPr>
        <w:t>ruxolitinib</w:t>
      </w:r>
      <w:proofErr w:type="spellEnd"/>
      <w:r w:rsidR="002701C1" w:rsidRPr="001A2554">
        <w:rPr>
          <w:rFonts w:asciiTheme="minorHAnsi" w:hAnsiTheme="minorHAnsi"/>
          <w:bCs/>
          <w:snapToGrid w:val="0"/>
        </w:rPr>
        <w:t xml:space="preserve"> therapy. </w:t>
      </w:r>
      <w:r w:rsidR="008E1EBA">
        <w:rPr>
          <w:rFonts w:asciiTheme="minorHAnsi" w:hAnsiTheme="minorHAnsi"/>
          <w:bCs/>
          <w:snapToGrid w:val="0"/>
        </w:rPr>
        <w:t xml:space="preserve">The Leukaemia Foundation </w:t>
      </w:r>
      <w:r w:rsidR="00DE590F">
        <w:rPr>
          <w:rFonts w:asciiTheme="minorHAnsi" w:hAnsiTheme="minorHAnsi"/>
          <w:bCs/>
          <w:snapToGrid w:val="0"/>
        </w:rPr>
        <w:t>state</w:t>
      </w:r>
      <w:r w:rsidR="00F06CE3">
        <w:rPr>
          <w:rFonts w:asciiTheme="minorHAnsi" w:hAnsiTheme="minorHAnsi"/>
          <w:bCs/>
          <w:snapToGrid w:val="0"/>
        </w:rPr>
        <w:t>d</w:t>
      </w:r>
      <w:r w:rsidR="00DE590F">
        <w:rPr>
          <w:rFonts w:asciiTheme="minorHAnsi" w:hAnsiTheme="minorHAnsi"/>
          <w:bCs/>
          <w:snapToGrid w:val="0"/>
        </w:rPr>
        <w:t xml:space="preserve"> more treatment options are vital to improve overall survival rates </w:t>
      </w:r>
      <w:r w:rsidR="00DE590F" w:rsidRPr="00A3225C">
        <w:rPr>
          <w:rFonts w:asciiTheme="minorHAnsi" w:hAnsiTheme="minorHAnsi"/>
          <w:bCs/>
          <w:snapToGrid w:val="0"/>
        </w:rPr>
        <w:t>for people suffering from this disease</w:t>
      </w:r>
      <w:r w:rsidR="00DE590F" w:rsidRPr="00A3225C">
        <w:rPr>
          <w:rFonts w:ascii="Aptos" w:hAnsi="Aptos" w:cs="Aptos"/>
          <w:color w:val="000000"/>
          <w:sz w:val="22"/>
          <w:szCs w:val="22"/>
        </w:rPr>
        <w:t xml:space="preserve">. </w:t>
      </w:r>
    </w:p>
    <w:p w14:paraId="3D2B4CA7" w14:textId="209309D5" w:rsidR="00A731D1" w:rsidRPr="00A731D1" w:rsidRDefault="004E3AA9" w:rsidP="00A27C0F">
      <w:pPr>
        <w:widowControl w:val="0"/>
        <w:numPr>
          <w:ilvl w:val="1"/>
          <w:numId w:val="1"/>
        </w:numPr>
        <w:spacing w:after="120"/>
        <w:rPr>
          <w:rFonts w:ascii="Aptos" w:hAnsi="Aptos" w:cs="Aptos"/>
        </w:rPr>
      </w:pPr>
      <w:r>
        <w:rPr>
          <w:rFonts w:asciiTheme="minorHAnsi" w:hAnsiTheme="minorHAnsi"/>
          <w:bCs/>
          <w:snapToGrid w:val="0"/>
        </w:rPr>
        <w:t>T</w:t>
      </w:r>
      <w:r w:rsidR="00BD543C">
        <w:rPr>
          <w:rFonts w:asciiTheme="minorHAnsi" w:hAnsiTheme="minorHAnsi"/>
          <w:bCs/>
          <w:snapToGrid w:val="0"/>
        </w:rPr>
        <w:t xml:space="preserve">he </w:t>
      </w:r>
      <w:r w:rsidR="00291534">
        <w:rPr>
          <w:rFonts w:asciiTheme="minorHAnsi" w:hAnsiTheme="minorHAnsi"/>
          <w:bCs/>
          <w:snapToGrid w:val="0"/>
        </w:rPr>
        <w:t>Myeloproliferative Neoplasms (</w:t>
      </w:r>
      <w:r w:rsidR="00BD543C">
        <w:rPr>
          <w:rFonts w:asciiTheme="minorHAnsi" w:hAnsiTheme="minorHAnsi"/>
          <w:bCs/>
          <w:snapToGrid w:val="0"/>
        </w:rPr>
        <w:t>MPN</w:t>
      </w:r>
      <w:r w:rsidR="00291534">
        <w:rPr>
          <w:rFonts w:asciiTheme="minorHAnsi" w:hAnsiTheme="minorHAnsi"/>
          <w:bCs/>
          <w:snapToGrid w:val="0"/>
        </w:rPr>
        <w:t>)</w:t>
      </w:r>
      <w:r w:rsidR="00BD543C">
        <w:rPr>
          <w:rFonts w:asciiTheme="minorHAnsi" w:hAnsiTheme="minorHAnsi"/>
          <w:bCs/>
          <w:snapToGrid w:val="0"/>
        </w:rPr>
        <w:t xml:space="preserve"> Alliance</w:t>
      </w:r>
      <w:r w:rsidR="00C62A42">
        <w:rPr>
          <w:rFonts w:asciiTheme="minorHAnsi" w:hAnsiTheme="minorHAnsi"/>
          <w:bCs/>
          <w:snapToGrid w:val="0"/>
        </w:rPr>
        <w:t xml:space="preserve"> </w:t>
      </w:r>
      <w:r w:rsidR="00482102">
        <w:rPr>
          <w:rFonts w:asciiTheme="minorHAnsi" w:hAnsiTheme="minorHAnsi"/>
          <w:bCs/>
          <w:snapToGrid w:val="0"/>
        </w:rPr>
        <w:t xml:space="preserve">Australia </w:t>
      </w:r>
      <w:r w:rsidR="00650A64">
        <w:rPr>
          <w:rFonts w:asciiTheme="minorHAnsi" w:hAnsiTheme="minorHAnsi"/>
          <w:bCs/>
          <w:snapToGrid w:val="0"/>
        </w:rPr>
        <w:t xml:space="preserve">described the impact </w:t>
      </w:r>
      <w:r w:rsidR="00E45D7E">
        <w:rPr>
          <w:rFonts w:asciiTheme="minorHAnsi" w:hAnsiTheme="minorHAnsi"/>
          <w:bCs/>
          <w:snapToGrid w:val="0"/>
        </w:rPr>
        <w:t xml:space="preserve">of </w:t>
      </w:r>
      <w:r w:rsidR="00E45D7E" w:rsidRPr="00684E8A">
        <w:rPr>
          <w:rFonts w:asciiTheme="minorHAnsi" w:hAnsiTheme="minorHAnsi"/>
          <w:bCs/>
          <w:snapToGrid w:val="0"/>
        </w:rPr>
        <w:t>myelofibrosis</w:t>
      </w:r>
      <w:r w:rsidR="00E45D7E">
        <w:rPr>
          <w:rFonts w:asciiTheme="minorHAnsi" w:hAnsiTheme="minorHAnsi"/>
          <w:bCs/>
          <w:snapToGrid w:val="0"/>
        </w:rPr>
        <w:t xml:space="preserve"> on a </w:t>
      </w:r>
      <w:r w:rsidR="0015200B">
        <w:rPr>
          <w:rFonts w:asciiTheme="minorHAnsi" w:hAnsiTheme="minorHAnsi"/>
          <w:bCs/>
          <w:snapToGrid w:val="0"/>
        </w:rPr>
        <w:t>patient’s</w:t>
      </w:r>
      <w:r w:rsidR="00E45D7E">
        <w:rPr>
          <w:rFonts w:asciiTheme="minorHAnsi" w:hAnsiTheme="minorHAnsi"/>
          <w:bCs/>
          <w:snapToGrid w:val="0"/>
        </w:rPr>
        <w:t xml:space="preserve"> quality of life, stating an enlarged spleen can be very painful, uncomfortable and impacts on ability to eat properly and sleep</w:t>
      </w:r>
      <w:r w:rsidR="0015200B">
        <w:rPr>
          <w:rFonts w:asciiTheme="minorHAnsi" w:hAnsiTheme="minorHAnsi"/>
          <w:bCs/>
          <w:snapToGrid w:val="0"/>
        </w:rPr>
        <w:t xml:space="preserve">. </w:t>
      </w:r>
      <w:r w:rsidR="00ED16C3">
        <w:rPr>
          <w:rFonts w:asciiTheme="minorHAnsi" w:hAnsiTheme="minorHAnsi"/>
          <w:bCs/>
          <w:snapToGrid w:val="0"/>
        </w:rPr>
        <w:t xml:space="preserve">The input further described full-time employment to be challenging </w:t>
      </w:r>
      <w:r w:rsidR="00A27C0F">
        <w:rPr>
          <w:rFonts w:asciiTheme="minorHAnsi" w:hAnsiTheme="minorHAnsi"/>
          <w:bCs/>
          <w:snapToGrid w:val="0"/>
        </w:rPr>
        <w:t xml:space="preserve">due to symptom burden and need for ongoing regular medical care. </w:t>
      </w:r>
      <w:r w:rsidR="00D95BCB">
        <w:rPr>
          <w:rFonts w:asciiTheme="minorHAnsi" w:hAnsiTheme="minorHAnsi"/>
          <w:bCs/>
          <w:snapToGrid w:val="0"/>
        </w:rPr>
        <w:t xml:space="preserve">The MPN Alliance noted </w:t>
      </w:r>
      <w:proofErr w:type="spellStart"/>
      <w:r w:rsidR="00D95BCB" w:rsidRPr="001A2554">
        <w:rPr>
          <w:rFonts w:asciiTheme="minorHAnsi" w:hAnsiTheme="minorHAnsi"/>
          <w:bCs/>
          <w:snapToGrid w:val="0"/>
        </w:rPr>
        <w:t>ruxolitinib</w:t>
      </w:r>
      <w:proofErr w:type="spellEnd"/>
      <w:r w:rsidR="00293ADD">
        <w:rPr>
          <w:rFonts w:asciiTheme="minorHAnsi" w:hAnsiTheme="minorHAnsi"/>
          <w:bCs/>
          <w:snapToGrid w:val="0"/>
        </w:rPr>
        <w:t xml:space="preserve"> as the standard of care</w:t>
      </w:r>
      <w:r w:rsidR="00E805F5">
        <w:rPr>
          <w:rFonts w:asciiTheme="minorHAnsi" w:hAnsiTheme="minorHAnsi"/>
          <w:bCs/>
          <w:snapToGrid w:val="0"/>
        </w:rPr>
        <w:t xml:space="preserve">, with </w:t>
      </w:r>
      <w:proofErr w:type="spellStart"/>
      <w:r w:rsidR="002B260B">
        <w:rPr>
          <w:rFonts w:asciiTheme="minorHAnsi" w:hAnsiTheme="minorHAnsi"/>
          <w:bCs/>
          <w:snapToGrid w:val="0"/>
        </w:rPr>
        <w:t>momelotinib</w:t>
      </w:r>
      <w:proofErr w:type="spellEnd"/>
      <w:r w:rsidR="002B260B">
        <w:rPr>
          <w:rFonts w:asciiTheme="minorHAnsi" w:hAnsiTheme="minorHAnsi"/>
          <w:bCs/>
          <w:snapToGrid w:val="0"/>
        </w:rPr>
        <w:t xml:space="preserve"> and </w:t>
      </w:r>
      <w:proofErr w:type="spellStart"/>
      <w:r w:rsidR="002B260B">
        <w:rPr>
          <w:rFonts w:asciiTheme="minorHAnsi" w:hAnsiTheme="minorHAnsi"/>
          <w:bCs/>
          <w:snapToGrid w:val="0"/>
        </w:rPr>
        <w:t>fedratinib</w:t>
      </w:r>
      <w:proofErr w:type="spellEnd"/>
      <w:r w:rsidR="002B260B">
        <w:rPr>
          <w:rFonts w:asciiTheme="minorHAnsi" w:hAnsiTheme="minorHAnsi"/>
          <w:bCs/>
          <w:snapToGrid w:val="0"/>
        </w:rPr>
        <w:t xml:space="preserve"> </w:t>
      </w:r>
      <w:r w:rsidR="00E805F5">
        <w:rPr>
          <w:rFonts w:asciiTheme="minorHAnsi" w:hAnsiTheme="minorHAnsi"/>
          <w:bCs/>
          <w:snapToGrid w:val="0"/>
        </w:rPr>
        <w:t>as</w:t>
      </w:r>
      <w:r w:rsidR="00192B85">
        <w:rPr>
          <w:rFonts w:asciiTheme="minorHAnsi" w:hAnsiTheme="minorHAnsi"/>
          <w:bCs/>
          <w:snapToGrid w:val="0"/>
        </w:rPr>
        <w:t xml:space="preserve"> </w:t>
      </w:r>
      <w:r w:rsidR="002B260B">
        <w:rPr>
          <w:rFonts w:asciiTheme="minorHAnsi" w:hAnsiTheme="minorHAnsi"/>
          <w:bCs/>
          <w:snapToGrid w:val="0"/>
        </w:rPr>
        <w:t>second</w:t>
      </w:r>
      <w:r w:rsidR="00487FBD">
        <w:rPr>
          <w:rFonts w:asciiTheme="minorHAnsi" w:hAnsiTheme="minorHAnsi"/>
          <w:bCs/>
          <w:snapToGrid w:val="0"/>
        </w:rPr>
        <w:t>-</w:t>
      </w:r>
      <w:r w:rsidR="002B260B">
        <w:rPr>
          <w:rFonts w:asciiTheme="minorHAnsi" w:hAnsiTheme="minorHAnsi"/>
          <w:bCs/>
          <w:snapToGrid w:val="0"/>
        </w:rPr>
        <w:t xml:space="preserve">line </w:t>
      </w:r>
      <w:r w:rsidR="00192B85">
        <w:rPr>
          <w:rFonts w:asciiTheme="minorHAnsi" w:hAnsiTheme="minorHAnsi"/>
          <w:bCs/>
          <w:snapToGrid w:val="0"/>
        </w:rPr>
        <w:t>therapy options</w:t>
      </w:r>
      <w:r w:rsidR="00EF54A0">
        <w:rPr>
          <w:rFonts w:asciiTheme="minorHAnsi" w:hAnsiTheme="minorHAnsi"/>
          <w:bCs/>
          <w:snapToGrid w:val="0"/>
        </w:rPr>
        <w:t xml:space="preserve">. </w:t>
      </w:r>
      <w:r w:rsidR="00513B6A">
        <w:rPr>
          <w:rFonts w:asciiTheme="minorHAnsi" w:hAnsiTheme="minorHAnsi"/>
          <w:bCs/>
          <w:snapToGrid w:val="0"/>
        </w:rPr>
        <w:t xml:space="preserve">It further stated without further treatment </w:t>
      </w:r>
      <w:r w:rsidR="00A71770">
        <w:rPr>
          <w:rFonts w:asciiTheme="minorHAnsi" w:hAnsiTheme="minorHAnsi"/>
          <w:bCs/>
          <w:snapToGrid w:val="0"/>
        </w:rPr>
        <w:t>options</w:t>
      </w:r>
      <w:r w:rsidR="00513B6A">
        <w:rPr>
          <w:rFonts w:asciiTheme="minorHAnsi" w:hAnsiTheme="minorHAnsi"/>
          <w:bCs/>
          <w:snapToGrid w:val="0"/>
        </w:rPr>
        <w:t xml:space="preserve"> many </w:t>
      </w:r>
      <w:r w:rsidR="00513B6A" w:rsidRPr="00684E8A">
        <w:rPr>
          <w:rFonts w:asciiTheme="minorHAnsi" w:hAnsiTheme="minorHAnsi"/>
          <w:bCs/>
          <w:snapToGrid w:val="0"/>
        </w:rPr>
        <w:t>myelofibrosis</w:t>
      </w:r>
      <w:r w:rsidR="00513B6A">
        <w:rPr>
          <w:rFonts w:asciiTheme="minorHAnsi" w:hAnsiTheme="minorHAnsi"/>
          <w:bCs/>
          <w:snapToGrid w:val="0"/>
        </w:rPr>
        <w:t xml:space="preserve"> patients are likely to experience clinical deterioration.</w:t>
      </w:r>
    </w:p>
    <w:p w14:paraId="4FE965A8" w14:textId="64C1BBEC" w:rsidR="00504965" w:rsidRPr="00A27C0F" w:rsidRDefault="00504965" w:rsidP="00A27C0F">
      <w:pPr>
        <w:widowControl w:val="0"/>
        <w:numPr>
          <w:ilvl w:val="1"/>
          <w:numId w:val="1"/>
        </w:numPr>
        <w:spacing w:after="120"/>
        <w:rPr>
          <w:rFonts w:ascii="Aptos" w:hAnsi="Aptos" w:cs="Aptos"/>
        </w:rPr>
      </w:pPr>
      <w:r>
        <w:rPr>
          <w:rFonts w:asciiTheme="minorHAnsi" w:hAnsiTheme="minorHAnsi"/>
          <w:bCs/>
          <w:snapToGrid w:val="0"/>
        </w:rPr>
        <w:t xml:space="preserve">Rare Cancers </w:t>
      </w:r>
      <w:r w:rsidR="00BD210D">
        <w:rPr>
          <w:rFonts w:asciiTheme="minorHAnsi" w:hAnsiTheme="minorHAnsi"/>
          <w:bCs/>
          <w:snapToGrid w:val="0"/>
        </w:rPr>
        <w:t xml:space="preserve">Australia </w:t>
      </w:r>
      <w:r w:rsidR="00EA26E9">
        <w:rPr>
          <w:rFonts w:asciiTheme="minorHAnsi" w:hAnsiTheme="minorHAnsi"/>
          <w:bCs/>
          <w:snapToGrid w:val="0"/>
        </w:rPr>
        <w:t>noted the emotional</w:t>
      </w:r>
      <w:r w:rsidR="00623B18">
        <w:rPr>
          <w:rFonts w:asciiTheme="minorHAnsi" w:hAnsiTheme="minorHAnsi"/>
          <w:bCs/>
          <w:snapToGrid w:val="0"/>
        </w:rPr>
        <w:t xml:space="preserve">, </w:t>
      </w:r>
      <w:r w:rsidR="00EA26E9">
        <w:rPr>
          <w:rFonts w:asciiTheme="minorHAnsi" w:hAnsiTheme="minorHAnsi"/>
          <w:bCs/>
          <w:snapToGrid w:val="0"/>
        </w:rPr>
        <w:t>mental burden</w:t>
      </w:r>
      <w:r w:rsidR="00623B18">
        <w:rPr>
          <w:rFonts w:asciiTheme="minorHAnsi" w:hAnsiTheme="minorHAnsi"/>
          <w:bCs/>
          <w:snapToGrid w:val="0"/>
        </w:rPr>
        <w:t xml:space="preserve"> and reduced quality of life</w:t>
      </w:r>
      <w:r w:rsidR="00EA26E9">
        <w:rPr>
          <w:rFonts w:asciiTheme="minorHAnsi" w:hAnsiTheme="minorHAnsi"/>
          <w:bCs/>
          <w:snapToGrid w:val="0"/>
        </w:rPr>
        <w:t xml:space="preserve"> </w:t>
      </w:r>
      <w:r w:rsidR="004A4DB7">
        <w:rPr>
          <w:rFonts w:asciiTheme="minorHAnsi" w:hAnsiTheme="minorHAnsi"/>
          <w:bCs/>
          <w:snapToGrid w:val="0"/>
        </w:rPr>
        <w:t xml:space="preserve">associated with </w:t>
      </w:r>
      <w:r w:rsidR="00EA26E9" w:rsidRPr="00684E8A">
        <w:rPr>
          <w:rFonts w:asciiTheme="minorHAnsi" w:hAnsiTheme="minorHAnsi"/>
          <w:bCs/>
          <w:snapToGrid w:val="0"/>
        </w:rPr>
        <w:t>myelofibrosis</w:t>
      </w:r>
      <w:r w:rsidR="00F06CE3">
        <w:rPr>
          <w:rFonts w:asciiTheme="minorHAnsi" w:hAnsiTheme="minorHAnsi"/>
          <w:bCs/>
          <w:snapToGrid w:val="0"/>
        </w:rPr>
        <w:t xml:space="preserve">. </w:t>
      </w:r>
    </w:p>
    <w:bookmarkEnd w:id="12"/>
    <w:bookmarkEnd w:id="14"/>
    <w:p w14:paraId="609C0765" w14:textId="1173960B" w:rsidR="00B60939" w:rsidRPr="003B6D82" w:rsidRDefault="00B60939" w:rsidP="003D5DE7">
      <w:pPr>
        <w:pStyle w:val="COMH2-non-numbered"/>
        <w:rPr>
          <w:i w:val="0"/>
          <w:iCs/>
        </w:rPr>
      </w:pPr>
      <w:r w:rsidRPr="003B6D82">
        <w:rPr>
          <w:i w:val="0"/>
          <w:iCs/>
        </w:rPr>
        <w:lastRenderedPageBreak/>
        <w:t>Clinical trials</w:t>
      </w:r>
      <w:bookmarkEnd w:id="11"/>
      <w:bookmarkEnd w:id="13"/>
    </w:p>
    <w:p w14:paraId="3FB1BDC9" w14:textId="779C4D66" w:rsidR="008B607C" w:rsidRPr="003B6D82" w:rsidRDefault="00A81F7C" w:rsidP="008B607C">
      <w:pPr>
        <w:pStyle w:val="COMexecsummnumbered"/>
        <w:rPr>
          <w:iCs/>
          <w:color w:val="0066FF"/>
        </w:rPr>
      </w:pPr>
      <w:bookmarkStart w:id="15" w:name="_Toc22897641"/>
      <w:r w:rsidRPr="003B6D82">
        <w:rPr>
          <w:iCs/>
        </w:rPr>
        <w:t xml:space="preserve">The submission was based on one head-to-head trial comparing </w:t>
      </w:r>
      <w:proofErr w:type="spellStart"/>
      <w:r w:rsidRPr="003B6D82">
        <w:rPr>
          <w:iCs/>
        </w:rPr>
        <w:t>fedratinib</w:t>
      </w:r>
      <w:proofErr w:type="spellEnd"/>
      <w:r w:rsidRPr="003B6D82">
        <w:rPr>
          <w:iCs/>
        </w:rPr>
        <w:t xml:space="preserve"> to best available therapy </w:t>
      </w:r>
      <w:r w:rsidR="008D5E61" w:rsidRPr="003B6D82">
        <w:rPr>
          <w:iCs/>
        </w:rPr>
        <w:t xml:space="preserve">(predominantly </w:t>
      </w:r>
      <w:proofErr w:type="spellStart"/>
      <w:r w:rsidR="008D5E61" w:rsidRPr="003B6D82">
        <w:rPr>
          <w:iCs/>
        </w:rPr>
        <w:t>ruxolitinib</w:t>
      </w:r>
      <w:proofErr w:type="spellEnd"/>
      <w:r w:rsidR="008D5E61" w:rsidRPr="003B6D82">
        <w:rPr>
          <w:iCs/>
        </w:rPr>
        <w:t xml:space="preserve">) in </w:t>
      </w:r>
      <w:r w:rsidR="00E11F75" w:rsidRPr="003B6D82">
        <w:rPr>
          <w:iCs/>
        </w:rPr>
        <w:t>adults</w:t>
      </w:r>
      <w:r w:rsidR="008D5E61" w:rsidRPr="003B6D82">
        <w:rPr>
          <w:iCs/>
        </w:rPr>
        <w:t xml:space="preserve"> with intermediate-2 </w:t>
      </w:r>
      <w:r w:rsidR="00BC4F9A">
        <w:rPr>
          <w:iCs/>
        </w:rPr>
        <w:t>and</w:t>
      </w:r>
      <w:r w:rsidR="008D5E61" w:rsidRPr="003B6D82">
        <w:rPr>
          <w:iCs/>
        </w:rPr>
        <w:t xml:space="preserve"> </w:t>
      </w:r>
      <w:r w:rsidR="00DA1879" w:rsidRPr="003B6D82">
        <w:rPr>
          <w:iCs/>
        </w:rPr>
        <w:t>high-risk</w:t>
      </w:r>
      <w:r w:rsidR="008D5E61" w:rsidRPr="003B6D82">
        <w:rPr>
          <w:iCs/>
        </w:rPr>
        <w:t xml:space="preserve"> </w:t>
      </w:r>
      <w:r w:rsidR="00E11F75" w:rsidRPr="003B6D82">
        <w:rPr>
          <w:iCs/>
        </w:rPr>
        <w:t xml:space="preserve">primary myelofibrosis, post-polycythaemia vera myelofibrosis or post-essential </w:t>
      </w:r>
      <w:proofErr w:type="spellStart"/>
      <w:r w:rsidR="00E11F75" w:rsidRPr="003B6D82">
        <w:rPr>
          <w:iCs/>
        </w:rPr>
        <w:t>thrombocythaemia</w:t>
      </w:r>
      <w:proofErr w:type="spellEnd"/>
      <w:r w:rsidR="00E11F75" w:rsidRPr="003B6D82">
        <w:rPr>
          <w:iCs/>
        </w:rPr>
        <w:t xml:space="preserve"> </w:t>
      </w:r>
      <w:r w:rsidR="008D5E61" w:rsidRPr="003B6D82">
        <w:rPr>
          <w:iCs/>
        </w:rPr>
        <w:t xml:space="preserve">myelofibrosis and who were refractory, relapsed or intolerant to </w:t>
      </w:r>
      <w:proofErr w:type="spellStart"/>
      <w:r w:rsidR="008D5E61" w:rsidRPr="003B6D82">
        <w:rPr>
          <w:iCs/>
        </w:rPr>
        <w:t>ruxolitinib</w:t>
      </w:r>
      <w:proofErr w:type="spellEnd"/>
      <w:r w:rsidR="008D5E61" w:rsidRPr="003B6D82">
        <w:rPr>
          <w:iCs/>
        </w:rPr>
        <w:t xml:space="preserve"> </w:t>
      </w:r>
      <w:r w:rsidRPr="003B6D82">
        <w:rPr>
          <w:iCs/>
        </w:rPr>
        <w:t>(FREEDOM-2).</w:t>
      </w:r>
      <w:r w:rsidR="000527B9" w:rsidRPr="003B6D82">
        <w:rPr>
          <w:iCs/>
          <w:color w:val="0066FF"/>
        </w:rPr>
        <w:t xml:space="preserve"> </w:t>
      </w:r>
    </w:p>
    <w:p w14:paraId="0E0F6D7C" w14:textId="793B50D2" w:rsidR="00A81F7C" w:rsidRPr="003B6D82" w:rsidRDefault="00A81F7C" w:rsidP="008B607C">
      <w:pPr>
        <w:pStyle w:val="COMexecsummnumbered"/>
        <w:rPr>
          <w:iCs/>
          <w:color w:val="0066FF"/>
        </w:rPr>
      </w:pPr>
      <w:r w:rsidRPr="003B6D82">
        <w:rPr>
          <w:iCs/>
        </w:rPr>
        <w:t xml:space="preserve">Details of the trial presented in the submission are provided in </w:t>
      </w:r>
      <w:r w:rsidRPr="003B6D82">
        <w:rPr>
          <w:iCs/>
        </w:rPr>
        <w:fldChar w:fldCharType="begin" w:fldLock="1"/>
      </w:r>
      <w:r w:rsidRPr="003B6D82">
        <w:rPr>
          <w:iCs/>
        </w:rPr>
        <w:instrText xml:space="preserve"> REF _Ref104803956 \h </w:instrText>
      </w:r>
      <w:r w:rsidR="003B6D82">
        <w:rPr>
          <w:iCs/>
        </w:rPr>
        <w:instrText xml:space="preserve"> \* MERGEFORMAT </w:instrText>
      </w:r>
      <w:r w:rsidRPr="003B6D82">
        <w:rPr>
          <w:iCs/>
        </w:rPr>
      </w:r>
      <w:r w:rsidRPr="003B6D82">
        <w:rPr>
          <w:iCs/>
        </w:rPr>
        <w:fldChar w:fldCharType="separate"/>
      </w:r>
      <w:r w:rsidR="00A072A5" w:rsidRPr="003B6D82">
        <w:rPr>
          <w:iCs/>
        </w:rPr>
        <w:t xml:space="preserve">Table </w:t>
      </w:r>
      <w:r w:rsidR="00A072A5">
        <w:rPr>
          <w:iCs/>
          <w:noProof/>
        </w:rPr>
        <w:t>2</w:t>
      </w:r>
      <w:r w:rsidRPr="003B6D82">
        <w:rPr>
          <w:iCs/>
        </w:rPr>
        <w:fldChar w:fldCharType="end"/>
      </w:r>
      <w:r w:rsidRPr="003B6D82">
        <w:rPr>
          <w:iCs/>
        </w:rPr>
        <w:t>.</w:t>
      </w:r>
    </w:p>
    <w:p w14:paraId="00E7D4F0" w14:textId="5FC5131D" w:rsidR="00A81F7C" w:rsidRPr="003B6D82" w:rsidRDefault="00A81F7C" w:rsidP="00A16EC4">
      <w:pPr>
        <w:pStyle w:val="Caption"/>
        <w:spacing w:before="120"/>
        <w:rPr>
          <w:iCs/>
        </w:rPr>
      </w:pPr>
      <w:bookmarkStart w:id="16" w:name="_Ref104803956"/>
      <w:r w:rsidRPr="003B6D82">
        <w:rPr>
          <w:iCs/>
        </w:rPr>
        <w:t xml:space="preserve">Table </w:t>
      </w:r>
      <w:r w:rsidR="00B251ED" w:rsidRPr="003B6D82">
        <w:rPr>
          <w:iCs/>
        </w:rPr>
        <w:fldChar w:fldCharType="begin" w:fldLock="1"/>
      </w:r>
      <w:r w:rsidR="00B251ED" w:rsidRPr="003B6D82">
        <w:rPr>
          <w:iCs/>
        </w:rPr>
        <w:instrText xml:space="preserve"> SEQ Table \* ARABIC </w:instrText>
      </w:r>
      <w:r w:rsidR="00B251ED" w:rsidRPr="003B6D82">
        <w:rPr>
          <w:iCs/>
        </w:rPr>
        <w:fldChar w:fldCharType="separate"/>
      </w:r>
      <w:r w:rsidR="00A072A5">
        <w:rPr>
          <w:iCs/>
          <w:noProof/>
        </w:rPr>
        <w:t>2</w:t>
      </w:r>
      <w:r w:rsidR="00B251ED" w:rsidRPr="003B6D82">
        <w:rPr>
          <w:iCs/>
          <w:noProof/>
        </w:rPr>
        <w:fldChar w:fldCharType="end"/>
      </w:r>
      <w:bookmarkEnd w:id="16"/>
      <w:r w:rsidRPr="003B6D82">
        <w:rPr>
          <w:iCs/>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A81F7C" w:rsidRPr="003B6D82" w14:paraId="554ACD51" w14:textId="77777777" w:rsidTr="00CE55F4">
        <w:trPr>
          <w:tblHeader/>
        </w:trPr>
        <w:tc>
          <w:tcPr>
            <w:tcW w:w="796" w:type="pct"/>
            <w:vAlign w:val="center"/>
          </w:tcPr>
          <w:p w14:paraId="58E0B914" w14:textId="77777777" w:rsidR="00A81F7C" w:rsidRPr="007C513C" w:rsidRDefault="00A81F7C" w:rsidP="00CE55F4">
            <w:pPr>
              <w:pStyle w:val="COMTableheadingrow"/>
              <w:rPr>
                <w:iCs/>
                <w:lang w:val="en-AU"/>
              </w:rPr>
            </w:pPr>
            <w:r w:rsidRPr="007C513C">
              <w:rPr>
                <w:iCs/>
                <w:lang w:val="en-AU"/>
              </w:rPr>
              <w:t>Trial ID</w:t>
            </w:r>
          </w:p>
        </w:tc>
        <w:tc>
          <w:tcPr>
            <w:tcW w:w="3027" w:type="pct"/>
            <w:vAlign w:val="center"/>
          </w:tcPr>
          <w:p w14:paraId="40290F74" w14:textId="77777777" w:rsidR="00A81F7C" w:rsidRPr="007C513C" w:rsidRDefault="00A81F7C" w:rsidP="00CE55F4">
            <w:pPr>
              <w:pStyle w:val="COMTableheadingrow"/>
              <w:rPr>
                <w:iCs/>
                <w:lang w:val="en-AU"/>
              </w:rPr>
            </w:pPr>
            <w:r w:rsidRPr="007C513C">
              <w:rPr>
                <w:iCs/>
                <w:lang w:val="en-AU"/>
              </w:rPr>
              <w:t>Protocol title/ Publication title</w:t>
            </w:r>
          </w:p>
        </w:tc>
        <w:tc>
          <w:tcPr>
            <w:tcW w:w="1177" w:type="pct"/>
            <w:vAlign w:val="center"/>
          </w:tcPr>
          <w:p w14:paraId="0242BC9F" w14:textId="77777777" w:rsidR="00A81F7C" w:rsidRPr="003B6D82" w:rsidRDefault="00A81F7C" w:rsidP="00CE55F4">
            <w:pPr>
              <w:pStyle w:val="COMTableheadingrow"/>
              <w:rPr>
                <w:iCs/>
                <w:lang w:val="en-AU"/>
              </w:rPr>
            </w:pPr>
            <w:r w:rsidRPr="007C513C">
              <w:rPr>
                <w:iCs/>
                <w:lang w:val="en-AU"/>
              </w:rPr>
              <w:t>Publication citation</w:t>
            </w:r>
          </w:p>
        </w:tc>
      </w:tr>
      <w:tr w:rsidR="00A81F7C" w:rsidRPr="003B6D82" w14:paraId="4E56D4C8" w14:textId="77777777" w:rsidTr="00CE55F4">
        <w:tc>
          <w:tcPr>
            <w:tcW w:w="796" w:type="pct"/>
            <w:vMerge w:val="restart"/>
            <w:vAlign w:val="center"/>
          </w:tcPr>
          <w:p w14:paraId="31B3870D" w14:textId="77777777" w:rsidR="00A81F7C" w:rsidRPr="003B6D82" w:rsidRDefault="00A81F7C" w:rsidP="00CE55F4">
            <w:pPr>
              <w:pStyle w:val="COMTabletext"/>
              <w:rPr>
                <w:iCs/>
              </w:rPr>
            </w:pPr>
            <w:r w:rsidRPr="003B6D82">
              <w:rPr>
                <w:iCs/>
              </w:rPr>
              <w:t>FREEDOM-2</w:t>
            </w:r>
          </w:p>
        </w:tc>
        <w:tc>
          <w:tcPr>
            <w:tcW w:w="3027" w:type="pct"/>
            <w:tcBorders>
              <w:bottom w:val="nil"/>
            </w:tcBorders>
          </w:tcPr>
          <w:p w14:paraId="4F50DA69" w14:textId="461A5005" w:rsidR="00A81F7C" w:rsidRPr="003B6D82" w:rsidRDefault="00A81F7C" w:rsidP="00CE55F4">
            <w:pPr>
              <w:pStyle w:val="COMTabletext"/>
              <w:rPr>
                <w:iCs/>
              </w:rPr>
            </w:pPr>
            <w:r w:rsidRPr="003B6D82">
              <w:rPr>
                <w:iCs/>
              </w:rPr>
              <w:t xml:space="preserve">A Phase 3, </w:t>
            </w:r>
            <w:proofErr w:type="spellStart"/>
            <w:r w:rsidRPr="003B6D82">
              <w:rPr>
                <w:iCs/>
              </w:rPr>
              <w:t>multicenter</w:t>
            </w:r>
            <w:proofErr w:type="spellEnd"/>
            <w:r w:rsidRPr="003B6D82">
              <w:rPr>
                <w:iCs/>
              </w:rPr>
              <w:t xml:space="preserve">, open-label, randomized study to evaluate the efficacy and safety of </w:t>
            </w:r>
            <w:proofErr w:type="spellStart"/>
            <w:r w:rsidRPr="003B6D82">
              <w:rPr>
                <w:iCs/>
              </w:rPr>
              <w:t>fedratinib</w:t>
            </w:r>
            <w:proofErr w:type="spellEnd"/>
            <w:r w:rsidRPr="003B6D82">
              <w:rPr>
                <w:iCs/>
              </w:rPr>
              <w:t xml:space="preserve"> compared to best available therapy in subjects with DIPSS-Intermediate or high-risk primary myelofibrosis, post-</w:t>
            </w:r>
            <w:proofErr w:type="spellStart"/>
            <w:r w:rsidRPr="003B6D82">
              <w:rPr>
                <w:iCs/>
              </w:rPr>
              <w:t>polycythemia</w:t>
            </w:r>
            <w:proofErr w:type="spellEnd"/>
            <w:r w:rsidRPr="003B6D82">
              <w:rPr>
                <w:iCs/>
              </w:rPr>
              <w:t xml:space="preserve"> vera myelofibrosis, or post-essential thrombocythemia myelofibrosis and previously treated with </w:t>
            </w:r>
            <w:proofErr w:type="spellStart"/>
            <w:r w:rsidRPr="003B6D82">
              <w:rPr>
                <w:iCs/>
              </w:rPr>
              <w:t>ruxolitinib</w:t>
            </w:r>
            <w:proofErr w:type="spellEnd"/>
            <w:r w:rsidRPr="003B6D82">
              <w:rPr>
                <w:iCs/>
              </w:rPr>
              <w:t>: The “FREEDOM-2” trial.</w:t>
            </w:r>
          </w:p>
        </w:tc>
        <w:tc>
          <w:tcPr>
            <w:tcW w:w="1177" w:type="pct"/>
            <w:tcBorders>
              <w:bottom w:val="nil"/>
            </w:tcBorders>
          </w:tcPr>
          <w:p w14:paraId="6BD7BC11" w14:textId="77777777" w:rsidR="00A81F7C" w:rsidRPr="003B6D82" w:rsidRDefault="00A81F7C" w:rsidP="00CE55F4">
            <w:pPr>
              <w:pStyle w:val="COMTabletext"/>
              <w:rPr>
                <w:iCs/>
              </w:rPr>
            </w:pPr>
            <w:r w:rsidRPr="003B6D82">
              <w:rPr>
                <w:iCs/>
              </w:rPr>
              <w:t>Clinical Study Report, August 2023</w:t>
            </w:r>
          </w:p>
        </w:tc>
      </w:tr>
      <w:tr w:rsidR="00A81F7C" w:rsidRPr="003B6D82" w14:paraId="2013AB20" w14:textId="77777777" w:rsidTr="00CE55F4">
        <w:tc>
          <w:tcPr>
            <w:tcW w:w="796" w:type="pct"/>
            <w:vMerge/>
            <w:vAlign w:val="center"/>
          </w:tcPr>
          <w:p w14:paraId="742DD931" w14:textId="77777777" w:rsidR="00A81F7C" w:rsidRPr="003B6D82" w:rsidRDefault="00A81F7C" w:rsidP="00CE55F4">
            <w:pPr>
              <w:pStyle w:val="COMTabletext"/>
              <w:rPr>
                <w:iCs/>
              </w:rPr>
            </w:pPr>
          </w:p>
        </w:tc>
        <w:tc>
          <w:tcPr>
            <w:tcW w:w="3027" w:type="pct"/>
            <w:tcBorders>
              <w:top w:val="nil"/>
              <w:bottom w:val="nil"/>
            </w:tcBorders>
          </w:tcPr>
          <w:p w14:paraId="1DF21328" w14:textId="77777777" w:rsidR="00A81F7C" w:rsidRPr="003B6D82" w:rsidRDefault="00A81F7C" w:rsidP="00CE55F4">
            <w:pPr>
              <w:pStyle w:val="COMTabletext"/>
              <w:rPr>
                <w:iCs/>
              </w:rPr>
            </w:pPr>
            <w:r w:rsidRPr="003B6D82">
              <w:rPr>
                <w:iCs/>
              </w:rPr>
              <w:t xml:space="preserve">Harrison CN, Mesa R, </w:t>
            </w:r>
            <w:proofErr w:type="spellStart"/>
            <w:r w:rsidRPr="003B6D82">
              <w:rPr>
                <w:iCs/>
              </w:rPr>
              <w:t>Talpaz</w:t>
            </w:r>
            <w:proofErr w:type="spellEnd"/>
            <w:r w:rsidRPr="003B6D82">
              <w:rPr>
                <w:iCs/>
              </w:rPr>
              <w:t xml:space="preserve"> M, et al. Efficacy and safety of </w:t>
            </w:r>
            <w:proofErr w:type="spellStart"/>
            <w:r w:rsidRPr="003B6D82">
              <w:rPr>
                <w:iCs/>
              </w:rPr>
              <w:t>fedratinib</w:t>
            </w:r>
            <w:proofErr w:type="spellEnd"/>
            <w:r w:rsidRPr="003B6D82">
              <w:rPr>
                <w:iCs/>
              </w:rPr>
              <w:t xml:space="preserve"> in patients with myelofibrosis previously treated with </w:t>
            </w:r>
            <w:proofErr w:type="spellStart"/>
            <w:r w:rsidRPr="003B6D82">
              <w:rPr>
                <w:iCs/>
              </w:rPr>
              <w:t>ruxolitinib</w:t>
            </w:r>
            <w:proofErr w:type="spellEnd"/>
            <w:r w:rsidRPr="003B6D82">
              <w:rPr>
                <w:iCs/>
              </w:rPr>
              <w:t xml:space="preserve"> (FREEDOM2): Results from a multicentre, </w:t>
            </w:r>
            <w:proofErr w:type="gramStart"/>
            <w:r w:rsidRPr="003B6D82">
              <w:rPr>
                <w:iCs/>
              </w:rPr>
              <w:t>open-label</w:t>
            </w:r>
            <w:proofErr w:type="gramEnd"/>
            <w:r w:rsidRPr="003B6D82">
              <w:rPr>
                <w:iCs/>
              </w:rPr>
              <w:t>, randomised, controlled phase 3 trial.</w:t>
            </w:r>
          </w:p>
        </w:tc>
        <w:tc>
          <w:tcPr>
            <w:tcW w:w="1177" w:type="pct"/>
            <w:tcBorders>
              <w:top w:val="nil"/>
              <w:bottom w:val="nil"/>
            </w:tcBorders>
          </w:tcPr>
          <w:p w14:paraId="6AD59DCD" w14:textId="77777777" w:rsidR="00A81F7C" w:rsidRPr="003B6D82" w:rsidRDefault="00A81F7C" w:rsidP="00CE55F4">
            <w:pPr>
              <w:pStyle w:val="COMTabletext"/>
              <w:rPr>
                <w:iCs/>
              </w:rPr>
            </w:pPr>
            <w:r w:rsidRPr="003B6D82">
              <w:rPr>
                <w:iCs/>
              </w:rPr>
              <w:t>Lancet Haematology 2024; 11(10</w:t>
            </w:r>
            <w:proofErr w:type="gramStart"/>
            <w:r w:rsidRPr="003B6D82">
              <w:rPr>
                <w:iCs/>
              </w:rPr>
              <w:t>):e</w:t>
            </w:r>
            <w:proofErr w:type="gramEnd"/>
            <w:r w:rsidRPr="003B6D82">
              <w:rPr>
                <w:iCs/>
              </w:rPr>
              <w:t>729-e740</w:t>
            </w:r>
          </w:p>
        </w:tc>
      </w:tr>
      <w:tr w:rsidR="00A81F7C" w:rsidRPr="003B6D82" w14:paraId="42FD6E46" w14:textId="77777777" w:rsidTr="00CE55F4">
        <w:tc>
          <w:tcPr>
            <w:tcW w:w="796" w:type="pct"/>
            <w:vMerge/>
            <w:tcBorders>
              <w:bottom w:val="single" w:sz="4" w:space="0" w:color="auto"/>
            </w:tcBorders>
            <w:vAlign w:val="center"/>
          </w:tcPr>
          <w:p w14:paraId="2D98A299" w14:textId="77777777" w:rsidR="00A81F7C" w:rsidRPr="003B6D82" w:rsidRDefault="00A81F7C" w:rsidP="00CE55F4">
            <w:pPr>
              <w:rPr>
                <w:iCs/>
              </w:rPr>
            </w:pPr>
          </w:p>
        </w:tc>
        <w:tc>
          <w:tcPr>
            <w:tcW w:w="3027" w:type="pct"/>
            <w:tcBorders>
              <w:top w:val="nil"/>
              <w:bottom w:val="single" w:sz="4" w:space="0" w:color="auto"/>
            </w:tcBorders>
          </w:tcPr>
          <w:p w14:paraId="53A2955B" w14:textId="77777777" w:rsidR="00A81F7C" w:rsidRPr="003B6D82" w:rsidRDefault="00A81F7C" w:rsidP="00CE55F4">
            <w:pPr>
              <w:pStyle w:val="COMTabletext"/>
              <w:rPr>
                <w:iCs/>
              </w:rPr>
            </w:pPr>
            <w:r w:rsidRPr="003B6D82">
              <w:rPr>
                <w:iCs/>
              </w:rPr>
              <w:t xml:space="preserve">Harrison CN, Mesa R, </w:t>
            </w:r>
            <w:proofErr w:type="spellStart"/>
            <w:r w:rsidRPr="003B6D82">
              <w:rPr>
                <w:iCs/>
              </w:rPr>
              <w:t>Talpaz</w:t>
            </w:r>
            <w:proofErr w:type="spellEnd"/>
            <w:r w:rsidRPr="003B6D82">
              <w:rPr>
                <w:iCs/>
              </w:rPr>
              <w:t xml:space="preserve"> M, et al. Efficacy and safety of </w:t>
            </w:r>
            <w:proofErr w:type="spellStart"/>
            <w:r w:rsidRPr="003B6D82">
              <w:rPr>
                <w:iCs/>
              </w:rPr>
              <w:t>fedratinib</w:t>
            </w:r>
            <w:proofErr w:type="spellEnd"/>
            <w:r w:rsidRPr="003B6D82">
              <w:rPr>
                <w:iCs/>
              </w:rPr>
              <w:t xml:space="preserve"> in patients with myelofibrosis previously treated with </w:t>
            </w:r>
            <w:proofErr w:type="spellStart"/>
            <w:r w:rsidRPr="003B6D82">
              <w:rPr>
                <w:iCs/>
              </w:rPr>
              <w:t>ruxolitinib</w:t>
            </w:r>
            <w:proofErr w:type="spellEnd"/>
            <w:r w:rsidRPr="003B6D82">
              <w:rPr>
                <w:iCs/>
              </w:rPr>
              <w:t xml:space="preserve">: Results from the Phase 3 randomized FREEDOM2 study. </w:t>
            </w:r>
          </w:p>
        </w:tc>
        <w:tc>
          <w:tcPr>
            <w:tcW w:w="1177" w:type="pct"/>
            <w:tcBorders>
              <w:top w:val="nil"/>
              <w:bottom w:val="single" w:sz="4" w:space="0" w:color="auto"/>
            </w:tcBorders>
          </w:tcPr>
          <w:p w14:paraId="1F48B2BB" w14:textId="77777777" w:rsidR="00A81F7C" w:rsidRPr="003B6D82" w:rsidRDefault="00A81F7C" w:rsidP="00CE55F4">
            <w:pPr>
              <w:pStyle w:val="COMTabletext"/>
              <w:rPr>
                <w:iCs/>
              </w:rPr>
            </w:pPr>
            <w:r w:rsidRPr="003B6D82">
              <w:rPr>
                <w:iCs/>
              </w:rPr>
              <w:t>Blood 2023; 142:3204 (conference abstract)</w:t>
            </w:r>
          </w:p>
        </w:tc>
      </w:tr>
    </w:tbl>
    <w:p w14:paraId="0F7C5211" w14:textId="77777777" w:rsidR="00A81F7C" w:rsidRPr="003B6D82" w:rsidRDefault="00A81F7C" w:rsidP="00A81F7C">
      <w:pPr>
        <w:pStyle w:val="COMTablefooter"/>
        <w:rPr>
          <w:iCs/>
        </w:rPr>
      </w:pPr>
      <w:r w:rsidRPr="003B6D82">
        <w:rPr>
          <w:iCs/>
        </w:rPr>
        <w:t>Source: Table 25, p49 of the submission.</w:t>
      </w:r>
    </w:p>
    <w:p w14:paraId="2F651976" w14:textId="5AA2CB06" w:rsidR="00A81F7C" w:rsidRPr="003B6D82" w:rsidRDefault="00A81F7C" w:rsidP="00193987">
      <w:pPr>
        <w:pStyle w:val="COMexecsummnumbered"/>
        <w:rPr>
          <w:iCs/>
          <w:color w:val="0066FF"/>
        </w:rPr>
      </w:pPr>
      <w:r w:rsidRPr="003B6D82">
        <w:rPr>
          <w:iCs/>
        </w:rPr>
        <w:t xml:space="preserve">The key features of the FREEDOM-2 trial are summarised in </w:t>
      </w:r>
      <w:r w:rsidRPr="003B6D82">
        <w:rPr>
          <w:iCs/>
        </w:rPr>
        <w:fldChar w:fldCharType="begin" w:fldLock="1"/>
      </w:r>
      <w:r w:rsidRPr="003B6D82">
        <w:rPr>
          <w:iCs/>
        </w:rPr>
        <w:instrText xml:space="preserve"> REF _Ref104804098 \h  \* MERGEFORMAT </w:instrText>
      </w:r>
      <w:r w:rsidRPr="003B6D82">
        <w:rPr>
          <w:iCs/>
        </w:rPr>
      </w:r>
      <w:r w:rsidRPr="003B6D82">
        <w:rPr>
          <w:iCs/>
        </w:rPr>
        <w:fldChar w:fldCharType="separate"/>
      </w:r>
      <w:r w:rsidR="00A072A5" w:rsidRPr="003B6D82">
        <w:rPr>
          <w:iCs/>
        </w:rPr>
        <w:t xml:space="preserve">Table </w:t>
      </w:r>
      <w:r w:rsidR="00A072A5">
        <w:rPr>
          <w:iCs/>
        </w:rPr>
        <w:t>3</w:t>
      </w:r>
      <w:r w:rsidRPr="003B6D82">
        <w:rPr>
          <w:iCs/>
        </w:rPr>
        <w:fldChar w:fldCharType="end"/>
      </w:r>
      <w:r w:rsidRPr="003B6D82">
        <w:rPr>
          <w:iCs/>
        </w:rPr>
        <w:t>.</w:t>
      </w:r>
    </w:p>
    <w:p w14:paraId="548EA20D" w14:textId="5F26DD50" w:rsidR="00A81F7C" w:rsidRPr="003B6D82" w:rsidRDefault="00A81F7C" w:rsidP="00A319C7">
      <w:pPr>
        <w:pStyle w:val="COMtablefigcaption"/>
        <w:keepLines/>
        <w:spacing w:before="120"/>
        <w:rPr>
          <w:iCs/>
        </w:rPr>
      </w:pPr>
      <w:bookmarkStart w:id="17" w:name="_Ref104804098"/>
      <w:r w:rsidRPr="003B6D82">
        <w:rPr>
          <w:iCs/>
        </w:rPr>
        <w:t xml:space="preserve">Table </w:t>
      </w:r>
      <w:r w:rsidR="00B251ED" w:rsidRPr="003B6D82">
        <w:rPr>
          <w:iCs/>
        </w:rPr>
        <w:fldChar w:fldCharType="begin" w:fldLock="1"/>
      </w:r>
      <w:r w:rsidR="00B251ED" w:rsidRPr="003B6D82">
        <w:rPr>
          <w:iCs/>
        </w:rPr>
        <w:instrText xml:space="preserve"> SEQ Table \* ARABIC </w:instrText>
      </w:r>
      <w:r w:rsidR="00B251ED" w:rsidRPr="003B6D82">
        <w:rPr>
          <w:iCs/>
        </w:rPr>
        <w:fldChar w:fldCharType="separate"/>
      </w:r>
      <w:r w:rsidR="00A072A5">
        <w:rPr>
          <w:iCs/>
          <w:noProof/>
        </w:rPr>
        <w:t>3</w:t>
      </w:r>
      <w:r w:rsidR="00B251ED" w:rsidRPr="003B6D82">
        <w:rPr>
          <w:iCs/>
          <w:noProof/>
        </w:rPr>
        <w:fldChar w:fldCharType="end"/>
      </w:r>
      <w:bookmarkEnd w:id="17"/>
      <w:r w:rsidRPr="003B6D82">
        <w:rPr>
          <w:iCs/>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7"/>
        <w:gridCol w:w="572"/>
        <w:gridCol w:w="1699"/>
        <w:gridCol w:w="855"/>
        <w:gridCol w:w="1841"/>
        <w:gridCol w:w="1558"/>
        <w:gridCol w:w="1365"/>
      </w:tblGrid>
      <w:tr w:rsidR="00A81F7C" w:rsidRPr="003B6D82" w14:paraId="7D2BFE6F" w14:textId="77777777" w:rsidTr="00670F13">
        <w:trPr>
          <w:cantSplit/>
          <w:tblHeader/>
        </w:trPr>
        <w:tc>
          <w:tcPr>
            <w:tcW w:w="625" w:type="pct"/>
            <w:shd w:val="clear" w:color="auto" w:fill="auto"/>
            <w:vAlign w:val="center"/>
          </w:tcPr>
          <w:p w14:paraId="7EEBB2EC" w14:textId="77777777" w:rsidR="00A81F7C" w:rsidRPr="003B6D82" w:rsidRDefault="00A81F7C" w:rsidP="00A319C7">
            <w:pPr>
              <w:pStyle w:val="COMTableheadingrow"/>
              <w:keepLines/>
              <w:jc w:val="center"/>
              <w:rPr>
                <w:iCs/>
                <w:lang w:val="en-AU"/>
              </w:rPr>
            </w:pPr>
            <w:r w:rsidRPr="003B6D82">
              <w:rPr>
                <w:iCs/>
                <w:lang w:val="en-AU"/>
              </w:rPr>
              <w:t>Trial</w:t>
            </w:r>
          </w:p>
        </w:tc>
        <w:tc>
          <w:tcPr>
            <w:tcW w:w="317" w:type="pct"/>
            <w:shd w:val="clear" w:color="auto" w:fill="auto"/>
            <w:vAlign w:val="center"/>
          </w:tcPr>
          <w:p w14:paraId="333BFEA6" w14:textId="77777777" w:rsidR="00A81F7C" w:rsidRPr="003B6D82" w:rsidRDefault="00A81F7C" w:rsidP="00A319C7">
            <w:pPr>
              <w:pStyle w:val="COMTableheadingrow"/>
              <w:keepLines/>
              <w:jc w:val="center"/>
              <w:rPr>
                <w:iCs/>
                <w:lang w:val="en-AU"/>
              </w:rPr>
            </w:pPr>
            <w:r w:rsidRPr="003B6D82">
              <w:rPr>
                <w:iCs/>
                <w:lang w:val="en-AU"/>
              </w:rPr>
              <w:t>N</w:t>
            </w:r>
          </w:p>
        </w:tc>
        <w:tc>
          <w:tcPr>
            <w:tcW w:w="942" w:type="pct"/>
            <w:shd w:val="clear" w:color="auto" w:fill="auto"/>
            <w:vAlign w:val="center"/>
          </w:tcPr>
          <w:p w14:paraId="1FA4E3F9" w14:textId="77777777" w:rsidR="00A81F7C" w:rsidRPr="003B6D82" w:rsidRDefault="00A81F7C" w:rsidP="00A319C7">
            <w:pPr>
              <w:pStyle w:val="COMTableheadingrow"/>
              <w:keepLines/>
              <w:jc w:val="center"/>
              <w:rPr>
                <w:iCs/>
                <w:lang w:val="en-AU"/>
              </w:rPr>
            </w:pPr>
            <w:r w:rsidRPr="003B6D82">
              <w:rPr>
                <w:iCs/>
                <w:lang w:val="en-AU"/>
              </w:rPr>
              <w:t>Design/ duration</w:t>
            </w:r>
          </w:p>
        </w:tc>
        <w:tc>
          <w:tcPr>
            <w:tcW w:w="474" w:type="pct"/>
            <w:shd w:val="clear" w:color="auto" w:fill="auto"/>
            <w:vAlign w:val="center"/>
          </w:tcPr>
          <w:p w14:paraId="13CA8DBE" w14:textId="77777777" w:rsidR="00A81F7C" w:rsidRPr="003B6D82" w:rsidRDefault="00A81F7C" w:rsidP="00A319C7">
            <w:pPr>
              <w:pStyle w:val="COMTableheadingrow"/>
              <w:keepLines/>
              <w:jc w:val="center"/>
              <w:rPr>
                <w:iCs/>
                <w:lang w:val="en-AU"/>
              </w:rPr>
            </w:pPr>
            <w:r w:rsidRPr="003B6D82">
              <w:rPr>
                <w:iCs/>
                <w:lang w:val="en-AU"/>
              </w:rPr>
              <w:t>Risk of bias</w:t>
            </w:r>
          </w:p>
        </w:tc>
        <w:tc>
          <w:tcPr>
            <w:tcW w:w="1021" w:type="pct"/>
            <w:shd w:val="clear" w:color="auto" w:fill="auto"/>
            <w:vAlign w:val="center"/>
          </w:tcPr>
          <w:p w14:paraId="5CAC7409" w14:textId="77777777" w:rsidR="00A81F7C" w:rsidRPr="003B6D82" w:rsidRDefault="00A81F7C" w:rsidP="00A319C7">
            <w:pPr>
              <w:pStyle w:val="COMTableheadingrow"/>
              <w:keepLines/>
              <w:jc w:val="center"/>
              <w:rPr>
                <w:iCs/>
                <w:lang w:val="en-AU"/>
              </w:rPr>
            </w:pPr>
            <w:r w:rsidRPr="003B6D82">
              <w:rPr>
                <w:iCs/>
                <w:lang w:val="en-AU"/>
              </w:rPr>
              <w:t>Patient population</w:t>
            </w:r>
          </w:p>
        </w:tc>
        <w:tc>
          <w:tcPr>
            <w:tcW w:w="864" w:type="pct"/>
            <w:shd w:val="clear" w:color="auto" w:fill="auto"/>
            <w:vAlign w:val="center"/>
          </w:tcPr>
          <w:p w14:paraId="5EEC5815" w14:textId="1C1C14A9" w:rsidR="00A81F7C" w:rsidRPr="003B6D82" w:rsidRDefault="00A81F7C" w:rsidP="00A319C7">
            <w:pPr>
              <w:pStyle w:val="COMTableheadingrow"/>
              <w:keepLines/>
              <w:jc w:val="center"/>
              <w:rPr>
                <w:iCs/>
                <w:lang w:val="en-AU"/>
              </w:rPr>
            </w:pPr>
            <w:r w:rsidRPr="003B6D82">
              <w:rPr>
                <w:iCs/>
                <w:lang w:val="en-AU"/>
              </w:rPr>
              <w:t>Outcomes</w:t>
            </w:r>
          </w:p>
        </w:tc>
        <w:tc>
          <w:tcPr>
            <w:tcW w:w="758" w:type="pct"/>
            <w:shd w:val="clear" w:color="auto" w:fill="auto"/>
            <w:vAlign w:val="center"/>
          </w:tcPr>
          <w:p w14:paraId="2BFBFD2A" w14:textId="77777777" w:rsidR="00A81F7C" w:rsidRPr="003B6D82" w:rsidRDefault="00A81F7C" w:rsidP="00A319C7">
            <w:pPr>
              <w:pStyle w:val="COMTableheadingrow"/>
              <w:keepLines/>
              <w:jc w:val="center"/>
              <w:rPr>
                <w:iCs/>
                <w:lang w:val="en-AU"/>
              </w:rPr>
            </w:pPr>
            <w:r w:rsidRPr="003B6D82">
              <w:rPr>
                <w:iCs/>
                <w:lang w:val="en-AU"/>
              </w:rPr>
              <w:t>Use in modelled evaluation</w:t>
            </w:r>
          </w:p>
        </w:tc>
      </w:tr>
      <w:tr w:rsidR="00A81F7C" w:rsidRPr="003B6D82" w14:paraId="5795BE80" w14:textId="77777777" w:rsidTr="00670F13">
        <w:trPr>
          <w:cantSplit/>
        </w:trPr>
        <w:tc>
          <w:tcPr>
            <w:tcW w:w="625" w:type="pct"/>
            <w:shd w:val="clear" w:color="auto" w:fill="auto"/>
            <w:vAlign w:val="center"/>
          </w:tcPr>
          <w:p w14:paraId="1BCCE1C9" w14:textId="77777777" w:rsidR="00A81F7C" w:rsidRPr="003B6D82" w:rsidRDefault="00A81F7C" w:rsidP="00A319C7">
            <w:pPr>
              <w:pStyle w:val="COMTabletext"/>
              <w:keepLines/>
              <w:rPr>
                <w:iCs/>
              </w:rPr>
            </w:pPr>
            <w:r w:rsidRPr="003B6D82">
              <w:rPr>
                <w:iCs/>
              </w:rPr>
              <w:t>FREEDOM-2</w:t>
            </w:r>
          </w:p>
        </w:tc>
        <w:tc>
          <w:tcPr>
            <w:tcW w:w="317" w:type="pct"/>
            <w:shd w:val="clear" w:color="auto" w:fill="auto"/>
            <w:vAlign w:val="center"/>
          </w:tcPr>
          <w:p w14:paraId="1DFEA06E" w14:textId="77777777" w:rsidR="00A81F7C" w:rsidRPr="003B6D82" w:rsidRDefault="00A81F7C" w:rsidP="00A319C7">
            <w:pPr>
              <w:pStyle w:val="COMTabletext"/>
              <w:keepLines/>
              <w:jc w:val="center"/>
              <w:rPr>
                <w:iCs/>
              </w:rPr>
            </w:pPr>
            <w:r w:rsidRPr="003B6D82">
              <w:rPr>
                <w:iCs/>
              </w:rPr>
              <w:t>201</w:t>
            </w:r>
          </w:p>
        </w:tc>
        <w:tc>
          <w:tcPr>
            <w:tcW w:w="942" w:type="pct"/>
            <w:shd w:val="clear" w:color="auto" w:fill="auto"/>
            <w:vAlign w:val="center"/>
          </w:tcPr>
          <w:p w14:paraId="4C5D6F95" w14:textId="7C5E1686" w:rsidR="00A81F7C" w:rsidRPr="003B6D82" w:rsidRDefault="00A81F7C" w:rsidP="00A319C7">
            <w:pPr>
              <w:pStyle w:val="COMTabletext"/>
              <w:keepLines/>
              <w:jc w:val="center"/>
              <w:rPr>
                <w:iCs/>
              </w:rPr>
            </w:pPr>
            <w:r w:rsidRPr="003B6D82">
              <w:rPr>
                <w:iCs/>
              </w:rPr>
              <w:t xml:space="preserve">Phase </w:t>
            </w:r>
            <w:r w:rsidR="0087650E" w:rsidRPr="003B6D82">
              <w:rPr>
                <w:iCs/>
              </w:rPr>
              <w:t>3</w:t>
            </w:r>
            <w:r w:rsidRPr="003B6D82">
              <w:rPr>
                <w:iCs/>
              </w:rPr>
              <w:t xml:space="preserve">, multicentre, randomised, open label trial; </w:t>
            </w:r>
            <w:proofErr w:type="gramStart"/>
            <w:r w:rsidRPr="003B6D82">
              <w:rPr>
                <w:iCs/>
              </w:rPr>
              <w:t>24 week</w:t>
            </w:r>
            <w:proofErr w:type="gramEnd"/>
            <w:r w:rsidRPr="003B6D82">
              <w:rPr>
                <w:iCs/>
              </w:rPr>
              <w:t xml:space="preserve"> randomised period with ongoing follow</w:t>
            </w:r>
            <w:r w:rsidR="001C1426" w:rsidRPr="003B6D82">
              <w:rPr>
                <w:iCs/>
              </w:rPr>
              <w:t>-</w:t>
            </w:r>
            <w:r w:rsidRPr="003B6D82">
              <w:rPr>
                <w:iCs/>
              </w:rPr>
              <w:t>up</w:t>
            </w:r>
          </w:p>
        </w:tc>
        <w:tc>
          <w:tcPr>
            <w:tcW w:w="474" w:type="pct"/>
            <w:shd w:val="clear" w:color="auto" w:fill="auto"/>
            <w:vAlign w:val="center"/>
          </w:tcPr>
          <w:p w14:paraId="378E75E1" w14:textId="77777777" w:rsidR="00A81F7C" w:rsidRPr="003B6D82" w:rsidRDefault="00A81F7C" w:rsidP="00A319C7">
            <w:pPr>
              <w:pStyle w:val="COMTabletext"/>
              <w:keepLines/>
              <w:jc w:val="center"/>
              <w:rPr>
                <w:iCs/>
              </w:rPr>
            </w:pPr>
            <w:r w:rsidRPr="003B6D82">
              <w:rPr>
                <w:iCs/>
              </w:rPr>
              <w:t>High</w:t>
            </w:r>
          </w:p>
        </w:tc>
        <w:tc>
          <w:tcPr>
            <w:tcW w:w="1021" w:type="pct"/>
            <w:shd w:val="clear" w:color="auto" w:fill="auto"/>
            <w:vAlign w:val="center"/>
          </w:tcPr>
          <w:p w14:paraId="6F4D0EE7" w14:textId="3D74D5A9" w:rsidR="00A81F7C" w:rsidRPr="003B6D82" w:rsidRDefault="00A81F7C" w:rsidP="00A319C7">
            <w:pPr>
              <w:pStyle w:val="COMTabletext"/>
              <w:keepLines/>
              <w:jc w:val="center"/>
              <w:rPr>
                <w:iCs/>
              </w:rPr>
            </w:pPr>
            <w:r w:rsidRPr="003B6D82">
              <w:rPr>
                <w:iCs/>
              </w:rPr>
              <w:t>Adults with high or intermediate-2 risk primary, post-PV or post-ET myelofibrosis who were relapsed/</w:t>
            </w:r>
            <w:r w:rsidR="00455F17" w:rsidRPr="003B6D82">
              <w:rPr>
                <w:iCs/>
              </w:rPr>
              <w:t xml:space="preserve"> </w:t>
            </w:r>
            <w:r w:rsidRPr="003B6D82">
              <w:rPr>
                <w:iCs/>
              </w:rPr>
              <w:t xml:space="preserve">refractory or intolerant to </w:t>
            </w:r>
            <w:proofErr w:type="spellStart"/>
            <w:r w:rsidRPr="003B6D82">
              <w:rPr>
                <w:iCs/>
              </w:rPr>
              <w:t>ruxolitinib</w:t>
            </w:r>
            <w:proofErr w:type="spellEnd"/>
            <w:r w:rsidRPr="003B6D82">
              <w:rPr>
                <w:iCs/>
              </w:rPr>
              <w:t>.</w:t>
            </w:r>
          </w:p>
        </w:tc>
        <w:tc>
          <w:tcPr>
            <w:tcW w:w="864" w:type="pct"/>
            <w:shd w:val="clear" w:color="auto" w:fill="auto"/>
            <w:vAlign w:val="center"/>
          </w:tcPr>
          <w:p w14:paraId="7A41AFC5" w14:textId="5A96214C" w:rsidR="00A81F7C" w:rsidRPr="003B6D82" w:rsidRDefault="00A81F7C" w:rsidP="00A319C7">
            <w:pPr>
              <w:pStyle w:val="COMTabletext"/>
              <w:keepLines/>
              <w:jc w:val="center"/>
              <w:rPr>
                <w:iCs/>
              </w:rPr>
            </w:pPr>
            <w:r w:rsidRPr="003B6D82">
              <w:rPr>
                <w:iCs/>
              </w:rPr>
              <w:t xml:space="preserve">Spleen volume response rate, </w:t>
            </w:r>
            <w:r w:rsidR="00757903" w:rsidRPr="003B6D82">
              <w:rPr>
                <w:iCs/>
              </w:rPr>
              <w:t>MFSAF TS</w:t>
            </w:r>
            <w:r w:rsidRPr="003B6D82">
              <w:rPr>
                <w:iCs/>
              </w:rPr>
              <w:t>S response rate, quality of life, overall survival, safety</w:t>
            </w:r>
          </w:p>
        </w:tc>
        <w:tc>
          <w:tcPr>
            <w:tcW w:w="758" w:type="pct"/>
            <w:shd w:val="clear" w:color="auto" w:fill="auto"/>
            <w:vAlign w:val="center"/>
          </w:tcPr>
          <w:p w14:paraId="45012282" w14:textId="092A3484" w:rsidR="00A81F7C" w:rsidRPr="003B6D82" w:rsidRDefault="00A81F7C" w:rsidP="00A319C7">
            <w:pPr>
              <w:pStyle w:val="COMTabletext"/>
              <w:keepLines/>
              <w:jc w:val="center"/>
              <w:rPr>
                <w:iCs/>
              </w:rPr>
            </w:pPr>
            <w:r w:rsidRPr="003B6D82">
              <w:rPr>
                <w:iCs/>
              </w:rPr>
              <w:t>Post hoc analys</w:t>
            </w:r>
            <w:r w:rsidR="008151F8" w:rsidRPr="003B6D82">
              <w:rPr>
                <w:iCs/>
              </w:rPr>
              <w:t>e</w:t>
            </w:r>
            <w:r w:rsidRPr="003B6D82">
              <w:rPr>
                <w:iCs/>
              </w:rPr>
              <w:t xml:space="preserve">s of </w:t>
            </w:r>
            <w:r w:rsidR="008E1934" w:rsidRPr="003B6D82">
              <w:rPr>
                <w:iCs/>
              </w:rPr>
              <w:t>IPD based on sple</w:t>
            </w:r>
            <w:r w:rsidR="008D65A8" w:rsidRPr="003B6D82">
              <w:rPr>
                <w:iCs/>
              </w:rPr>
              <w:t>en and/or symptom response</w:t>
            </w:r>
          </w:p>
        </w:tc>
      </w:tr>
    </w:tbl>
    <w:p w14:paraId="26BA1635" w14:textId="77777777" w:rsidR="00A81F7C" w:rsidRPr="003B6D82" w:rsidRDefault="00A81F7C" w:rsidP="00A319C7">
      <w:pPr>
        <w:pStyle w:val="COMTablefooter"/>
        <w:keepNext/>
        <w:keepLines/>
        <w:rPr>
          <w:iCs/>
        </w:rPr>
      </w:pPr>
      <w:r w:rsidRPr="003B6D82">
        <w:rPr>
          <w:iCs/>
        </w:rPr>
        <w:t>Source: Table 26, p51 of the submission.</w:t>
      </w:r>
    </w:p>
    <w:p w14:paraId="4BF2C3B3" w14:textId="2FA20C2F" w:rsidR="00A81F7C" w:rsidRPr="003B6D82" w:rsidRDefault="00A81F7C" w:rsidP="00A319C7">
      <w:pPr>
        <w:pStyle w:val="COMTablefooter"/>
        <w:keepLines/>
        <w:rPr>
          <w:iCs/>
        </w:rPr>
      </w:pPr>
      <w:r w:rsidRPr="003B6D82">
        <w:rPr>
          <w:iCs/>
        </w:rPr>
        <w:t xml:space="preserve">Abbreviations: ET, essential </w:t>
      </w:r>
      <w:proofErr w:type="spellStart"/>
      <w:r w:rsidRPr="003B6D82">
        <w:rPr>
          <w:iCs/>
        </w:rPr>
        <w:t>thrombocythaemia</w:t>
      </w:r>
      <w:proofErr w:type="spellEnd"/>
      <w:r w:rsidRPr="003B6D82">
        <w:rPr>
          <w:iCs/>
        </w:rPr>
        <w:t>;</w:t>
      </w:r>
      <w:r w:rsidR="008D65A8" w:rsidRPr="003B6D82">
        <w:rPr>
          <w:iCs/>
        </w:rPr>
        <w:t xml:space="preserve"> IPD, individual patient data;</w:t>
      </w:r>
      <w:r w:rsidRPr="003B6D82">
        <w:rPr>
          <w:iCs/>
        </w:rPr>
        <w:t xml:space="preserve"> </w:t>
      </w:r>
      <w:r w:rsidR="00757903" w:rsidRPr="003B6D82">
        <w:rPr>
          <w:iCs/>
        </w:rPr>
        <w:t>MFSAF, Myelofibrosis Symptom Assessment Form</w:t>
      </w:r>
      <w:r w:rsidR="002531C2" w:rsidRPr="003B6D82">
        <w:rPr>
          <w:iCs/>
        </w:rPr>
        <w:t xml:space="preserve">; </w:t>
      </w:r>
      <w:r w:rsidRPr="003B6D82">
        <w:rPr>
          <w:iCs/>
        </w:rPr>
        <w:t>PV, polycythaemia vera; TSS, total symptom score</w:t>
      </w:r>
      <w:r w:rsidR="009177AB" w:rsidRPr="003B6D82">
        <w:rPr>
          <w:iCs/>
        </w:rPr>
        <w:t>.</w:t>
      </w:r>
    </w:p>
    <w:p w14:paraId="3B4A78B4" w14:textId="2B7AFE86" w:rsidR="00A81F7C" w:rsidRPr="003B6D82" w:rsidRDefault="00A81F7C" w:rsidP="00A81F7C">
      <w:pPr>
        <w:pStyle w:val="COMexecsummnumbered"/>
        <w:rPr>
          <w:iCs/>
          <w:color w:val="0066FF"/>
        </w:rPr>
      </w:pPr>
      <w:r w:rsidRPr="003B6D82">
        <w:rPr>
          <w:iCs/>
        </w:rPr>
        <w:t xml:space="preserve">The FREEDOM-2 trial had an overall high risk of bias. While the primary endpoint of spleen volume response (proportion of patients with ≥35% reduction in spleen volume) was objectively assessed, the open-label design has the potential to introduce bias in other areas, as knowledge of treatment assignment may affect disease management decisions, and assessment of other outcomes (e.g. self-reported </w:t>
      </w:r>
      <w:r w:rsidR="0037643D" w:rsidRPr="003B6D82">
        <w:rPr>
          <w:iCs/>
        </w:rPr>
        <w:t xml:space="preserve">Myelofibrosis Symptom Assessment Form </w:t>
      </w:r>
      <w:r w:rsidR="00757903" w:rsidRPr="003B6D82">
        <w:rPr>
          <w:iCs/>
        </w:rPr>
        <w:t xml:space="preserve">(MFSAF) </w:t>
      </w:r>
      <w:r w:rsidRPr="003B6D82">
        <w:rPr>
          <w:iCs/>
        </w:rPr>
        <w:t xml:space="preserve">total symptom score, quality of life measures, adverse events). </w:t>
      </w:r>
    </w:p>
    <w:p w14:paraId="1DCDFC07" w14:textId="44B2240F" w:rsidR="00F65ED8" w:rsidRPr="003B6D82" w:rsidRDefault="00F65ED8" w:rsidP="00E17E79">
      <w:pPr>
        <w:pStyle w:val="COMexecsummnumbered"/>
        <w:rPr>
          <w:iCs/>
          <w:color w:val="0066FF"/>
        </w:rPr>
      </w:pPr>
      <w:r w:rsidRPr="003B6D82">
        <w:rPr>
          <w:iCs/>
        </w:rPr>
        <w:t xml:space="preserve">The applicability of the FREEDOM-2 trial to the target PBS population is unclear, as the proposed restriction does not define relapsed/refractory disease or intolerance, </w:t>
      </w:r>
      <w:r w:rsidRPr="003B6D82">
        <w:rPr>
          <w:iCs/>
        </w:rPr>
        <w:lastRenderedPageBreak/>
        <w:t>whereas the treatment eligibility criteria from the trial were based on specific definitions of relapsed/refractory disease (</w:t>
      </w:r>
      <w:proofErr w:type="spellStart"/>
      <w:r w:rsidRPr="003B6D82">
        <w:rPr>
          <w:iCs/>
        </w:rPr>
        <w:t>ruxolitinib</w:t>
      </w:r>
      <w:proofErr w:type="spellEnd"/>
      <w:r w:rsidRPr="003B6D82">
        <w:rPr>
          <w:iCs/>
        </w:rPr>
        <w:t xml:space="preserve"> use for ≥3 months with an inadequate spleen volume reduction of &lt;10% by MRI or &lt;30% by palpation; or regrowth to these parameters following initial response; no symptom criteria for eligibility) or intolerance (</w:t>
      </w:r>
      <w:proofErr w:type="spellStart"/>
      <w:r w:rsidRPr="003B6D82">
        <w:rPr>
          <w:iCs/>
        </w:rPr>
        <w:t>ruxolitinib</w:t>
      </w:r>
      <w:proofErr w:type="spellEnd"/>
      <w:r w:rsidRPr="003B6D82">
        <w:rPr>
          <w:iCs/>
        </w:rPr>
        <w:t xml:space="preserve"> use for ≥28 days with concomitant red blood cell transfusions or severe thrombocytopenia, anaemia, haematoma and/or haemorrhage).</w:t>
      </w:r>
    </w:p>
    <w:p w14:paraId="6CDCEBE2" w14:textId="3B3E9EAC" w:rsidR="00E17E79" w:rsidRPr="003B6D82" w:rsidRDefault="00E17E79" w:rsidP="00E17E79">
      <w:pPr>
        <w:pStyle w:val="COMexecsummnumbered"/>
        <w:rPr>
          <w:iCs/>
          <w:color w:val="0066FF"/>
        </w:rPr>
      </w:pPr>
      <w:r w:rsidRPr="003B6D82">
        <w:rPr>
          <w:iCs/>
        </w:rPr>
        <w:t xml:space="preserve">Additionally, the </w:t>
      </w:r>
      <w:r w:rsidR="00482C18">
        <w:rPr>
          <w:iCs/>
        </w:rPr>
        <w:t>November 2024</w:t>
      </w:r>
      <w:r w:rsidR="00482C18" w:rsidRPr="003B6D82">
        <w:rPr>
          <w:iCs/>
        </w:rPr>
        <w:t xml:space="preserve"> </w:t>
      </w:r>
      <w:r w:rsidRPr="003B6D82">
        <w:rPr>
          <w:iCs/>
        </w:rPr>
        <w:t xml:space="preserve">PBAC recommendation of </w:t>
      </w:r>
      <w:proofErr w:type="spellStart"/>
      <w:r w:rsidRPr="003B6D82">
        <w:rPr>
          <w:iCs/>
        </w:rPr>
        <w:t>momelotinib</w:t>
      </w:r>
      <w:proofErr w:type="spellEnd"/>
      <w:r w:rsidRPr="003B6D82">
        <w:rPr>
          <w:iCs/>
        </w:rPr>
        <w:t xml:space="preserve"> as a treatment option for myelofibrosis (</w:t>
      </w:r>
      <w:r w:rsidR="00241DD5">
        <w:rPr>
          <w:iCs/>
        </w:rPr>
        <w:t xml:space="preserve">PSD </w:t>
      </w:r>
      <w:r w:rsidRPr="003B6D82">
        <w:rPr>
          <w:iCs/>
        </w:rPr>
        <w:t xml:space="preserve">November 2024 PBAC meeting) also has the potential to shift the target patient population as </w:t>
      </w:r>
      <w:proofErr w:type="spellStart"/>
      <w:r w:rsidRPr="003B6D82">
        <w:rPr>
          <w:iCs/>
        </w:rPr>
        <w:t>momelotinib</w:t>
      </w:r>
      <w:proofErr w:type="spellEnd"/>
      <w:r w:rsidRPr="003B6D82">
        <w:rPr>
          <w:iCs/>
        </w:rPr>
        <w:t xml:space="preserve"> may capture more patients with haematological risk factors</w:t>
      </w:r>
      <w:r w:rsidR="00FA7071" w:rsidRPr="003B6D82">
        <w:rPr>
          <w:iCs/>
        </w:rPr>
        <w:t>.</w:t>
      </w:r>
    </w:p>
    <w:p w14:paraId="74E05D2E" w14:textId="483BA7E3" w:rsidR="003A4E66" w:rsidRPr="003B6D82" w:rsidRDefault="003A4E66" w:rsidP="003A4E66">
      <w:pPr>
        <w:pStyle w:val="COMexecsummnumbered"/>
        <w:rPr>
          <w:iCs/>
        </w:rPr>
      </w:pPr>
      <w:r w:rsidRPr="003B6D82">
        <w:rPr>
          <w:iCs/>
        </w:rPr>
        <w:t xml:space="preserve">Most patients </w:t>
      </w:r>
      <w:r w:rsidR="0099073D" w:rsidRPr="003B6D82">
        <w:rPr>
          <w:iCs/>
        </w:rPr>
        <w:t xml:space="preserve">in FREEDOM-2 </w:t>
      </w:r>
      <w:r w:rsidRPr="003B6D82">
        <w:rPr>
          <w:iCs/>
        </w:rPr>
        <w:t xml:space="preserve">were reported to be refractory/relapsed after </w:t>
      </w:r>
      <w:proofErr w:type="spellStart"/>
      <w:r w:rsidRPr="003B6D82">
        <w:rPr>
          <w:iCs/>
        </w:rPr>
        <w:t>ruxolitinib</w:t>
      </w:r>
      <w:proofErr w:type="spellEnd"/>
      <w:r w:rsidRPr="003B6D82">
        <w:rPr>
          <w:iCs/>
        </w:rPr>
        <w:t xml:space="preserve"> treatment (82.8% </w:t>
      </w:r>
      <w:proofErr w:type="spellStart"/>
      <w:r w:rsidRPr="003B6D82">
        <w:rPr>
          <w:iCs/>
        </w:rPr>
        <w:t>fedratinib</w:t>
      </w:r>
      <w:proofErr w:type="spellEnd"/>
      <w:r w:rsidRPr="003B6D82">
        <w:rPr>
          <w:iCs/>
        </w:rPr>
        <w:t xml:space="preserve"> arm, 82.1% best available therapy arm). In addition, 22% to 40% of patients were reported to be intolerant to </w:t>
      </w:r>
      <w:proofErr w:type="spellStart"/>
      <w:r w:rsidRPr="003B6D82">
        <w:rPr>
          <w:iCs/>
        </w:rPr>
        <w:t>ruxolitinib</w:t>
      </w:r>
      <w:proofErr w:type="spellEnd"/>
      <w:r w:rsidRPr="003B6D82">
        <w:rPr>
          <w:iCs/>
        </w:rPr>
        <w:t xml:space="preserve"> either based on RBC transfusion requirement (31.3% </w:t>
      </w:r>
      <w:proofErr w:type="spellStart"/>
      <w:r w:rsidRPr="003B6D82">
        <w:rPr>
          <w:iCs/>
        </w:rPr>
        <w:t>fedratinib</w:t>
      </w:r>
      <w:proofErr w:type="spellEnd"/>
      <w:r w:rsidRPr="003B6D82">
        <w:rPr>
          <w:iCs/>
        </w:rPr>
        <w:t xml:space="preserve">, 22.4% best available therapy) or Grade ≥3 specified adverse events (39.6% </w:t>
      </w:r>
      <w:proofErr w:type="spellStart"/>
      <w:r w:rsidRPr="003B6D82">
        <w:rPr>
          <w:iCs/>
        </w:rPr>
        <w:t>fedratinib</w:t>
      </w:r>
      <w:proofErr w:type="spellEnd"/>
      <w:r w:rsidRPr="003B6D82">
        <w:rPr>
          <w:iCs/>
        </w:rPr>
        <w:t>, 40.3% best available therapy). The extent of the overlap between these subgroups is unclear. The FREEDOM-2 clinical study report described the stratification of patients at randomisation, whereby patients recorded as both refractory/relapsed and intolerant were stratified as refractory/relapsed.</w:t>
      </w:r>
    </w:p>
    <w:p w14:paraId="779DF84C" w14:textId="05D34089" w:rsidR="00684495" w:rsidRPr="003B6D82" w:rsidRDefault="00A81F7C" w:rsidP="00867C0D">
      <w:pPr>
        <w:pStyle w:val="COMexecsummnumbered"/>
        <w:rPr>
          <w:iCs/>
          <w:color w:val="0066FF"/>
        </w:rPr>
      </w:pPr>
      <w:r w:rsidRPr="003B6D82">
        <w:rPr>
          <w:iCs/>
        </w:rPr>
        <w:t xml:space="preserve">Participants in the FREEDOM-2 trial were randomised to treatment with either </w:t>
      </w:r>
      <w:proofErr w:type="spellStart"/>
      <w:r w:rsidRPr="003B6D82">
        <w:rPr>
          <w:iCs/>
        </w:rPr>
        <w:t>fedratinib</w:t>
      </w:r>
      <w:proofErr w:type="spellEnd"/>
      <w:r w:rsidRPr="003B6D82">
        <w:rPr>
          <w:iCs/>
        </w:rPr>
        <w:t xml:space="preserve"> or best available therapy for 24 weeks (</w:t>
      </w:r>
      <w:r w:rsidR="00132F54" w:rsidRPr="003B6D82">
        <w:rPr>
          <w:iCs/>
        </w:rPr>
        <w:t xml:space="preserve">divided into </w:t>
      </w:r>
      <w:r w:rsidRPr="003B6D82">
        <w:rPr>
          <w:iCs/>
        </w:rPr>
        <w:t xml:space="preserve">6 </w:t>
      </w:r>
      <w:r w:rsidR="0099073D" w:rsidRPr="003B6D82">
        <w:rPr>
          <w:iCs/>
        </w:rPr>
        <w:t>×</w:t>
      </w:r>
      <w:r w:rsidRPr="003B6D82">
        <w:rPr>
          <w:iCs/>
        </w:rPr>
        <w:t xml:space="preserve"> </w:t>
      </w:r>
      <w:proofErr w:type="gramStart"/>
      <w:r w:rsidRPr="003B6D82">
        <w:rPr>
          <w:iCs/>
        </w:rPr>
        <w:t>28 day</w:t>
      </w:r>
      <w:proofErr w:type="gramEnd"/>
      <w:r w:rsidRPr="003B6D82">
        <w:rPr>
          <w:iCs/>
        </w:rPr>
        <w:t xml:space="preserve"> cycles</w:t>
      </w:r>
      <w:r w:rsidR="00132F54" w:rsidRPr="003B6D82">
        <w:rPr>
          <w:iCs/>
        </w:rPr>
        <w:t xml:space="preserve"> for administrative purposes</w:t>
      </w:r>
      <w:r w:rsidRPr="003B6D82">
        <w:rPr>
          <w:iCs/>
        </w:rPr>
        <w:t xml:space="preserve">). </w:t>
      </w:r>
      <w:r w:rsidR="00C23868" w:rsidRPr="003B6D82">
        <w:rPr>
          <w:iCs/>
        </w:rPr>
        <w:t xml:space="preserve">Best available therapy included any investigator-selected treatment such as approved JAK inhibitors, chemotherapy, anagrelide, corticosteroid, haematopoietic growth factor, immunomodulating agents, androgens or interferon, and could also include ‘no treatment’ and symptom-directed treatment. </w:t>
      </w:r>
      <w:proofErr w:type="gramStart"/>
      <w:r w:rsidR="00C23868" w:rsidRPr="003B6D82">
        <w:rPr>
          <w:iCs/>
        </w:rPr>
        <w:t>The majority of</w:t>
      </w:r>
      <w:proofErr w:type="gramEnd"/>
      <w:r w:rsidR="00C23868" w:rsidRPr="003B6D82">
        <w:rPr>
          <w:iCs/>
        </w:rPr>
        <w:t xml:space="preserve"> patients in the best available therapy arm were treated with </w:t>
      </w:r>
      <w:proofErr w:type="spellStart"/>
      <w:r w:rsidR="00C23868" w:rsidRPr="003B6D82">
        <w:rPr>
          <w:iCs/>
        </w:rPr>
        <w:t>ruxolitinib</w:t>
      </w:r>
      <w:proofErr w:type="spellEnd"/>
      <w:r w:rsidR="00C23868" w:rsidRPr="003B6D82">
        <w:rPr>
          <w:iCs/>
        </w:rPr>
        <w:t xml:space="preserve"> (77.6%), followed by hydroxyurea with or without other medications (17.9%), with 28.4% of patients receiving red blood cell transfusions during the trial. </w:t>
      </w:r>
    </w:p>
    <w:p w14:paraId="0B3FC6A4" w14:textId="6C1E38A1" w:rsidR="00993D40" w:rsidRPr="003B6D82" w:rsidRDefault="00DF6AAE" w:rsidP="00867C0D">
      <w:pPr>
        <w:pStyle w:val="COMexecsummnumbered"/>
        <w:rPr>
          <w:iCs/>
          <w:color w:val="0066FF"/>
        </w:rPr>
      </w:pPr>
      <w:r w:rsidRPr="003B6D82">
        <w:rPr>
          <w:iCs/>
        </w:rPr>
        <w:t xml:space="preserve">Patients in the best available therapy arm could switch to </w:t>
      </w:r>
      <w:proofErr w:type="spellStart"/>
      <w:r w:rsidRPr="003B6D82">
        <w:rPr>
          <w:iCs/>
        </w:rPr>
        <w:t>fedratinib</w:t>
      </w:r>
      <w:proofErr w:type="spellEnd"/>
      <w:r w:rsidRPr="003B6D82">
        <w:rPr>
          <w:iCs/>
        </w:rPr>
        <w:t xml:space="preserve"> treatment </w:t>
      </w:r>
      <w:r w:rsidR="00A81F7C" w:rsidRPr="003B6D82">
        <w:rPr>
          <w:iCs/>
        </w:rPr>
        <w:t>after the Cycle 6 response assessment or earlier in the event of a confirmed progression of splenomegaly (by MRI/CT scan), with 64.2% of patients</w:t>
      </w:r>
      <w:r w:rsidR="003D3356" w:rsidRPr="003B6D82">
        <w:rPr>
          <w:iCs/>
        </w:rPr>
        <w:t xml:space="preserve"> in the best available therapy arm</w:t>
      </w:r>
      <w:r w:rsidR="00A81F7C" w:rsidRPr="003B6D82">
        <w:rPr>
          <w:iCs/>
        </w:rPr>
        <w:t xml:space="preserve"> crossing over </w:t>
      </w:r>
      <w:r w:rsidR="00E85F40" w:rsidRPr="003B6D82">
        <w:rPr>
          <w:iCs/>
        </w:rPr>
        <w:t xml:space="preserve">to </w:t>
      </w:r>
      <w:proofErr w:type="spellStart"/>
      <w:r w:rsidR="00E85F40" w:rsidRPr="003B6D82">
        <w:rPr>
          <w:iCs/>
        </w:rPr>
        <w:t>fedratinib</w:t>
      </w:r>
      <w:proofErr w:type="spellEnd"/>
      <w:r w:rsidR="00E85F40" w:rsidRPr="003B6D82">
        <w:rPr>
          <w:iCs/>
        </w:rPr>
        <w:t xml:space="preserve"> </w:t>
      </w:r>
      <w:r w:rsidR="00A81F7C" w:rsidRPr="003B6D82">
        <w:rPr>
          <w:iCs/>
        </w:rPr>
        <w:t>after the randomised phase and 4.5% prior to the Cycle</w:t>
      </w:r>
      <w:r w:rsidR="00004D85">
        <w:rPr>
          <w:iCs/>
        </w:rPr>
        <w:t> </w:t>
      </w:r>
      <w:r w:rsidR="00A81F7C" w:rsidRPr="003B6D82">
        <w:rPr>
          <w:iCs/>
        </w:rPr>
        <w:t xml:space="preserve">6 response assessment. During the randomised period, 28.4% of patients in the </w:t>
      </w:r>
      <w:proofErr w:type="spellStart"/>
      <w:r w:rsidR="00A81F7C" w:rsidRPr="003B6D82">
        <w:rPr>
          <w:iCs/>
        </w:rPr>
        <w:t>fedratinib</w:t>
      </w:r>
      <w:proofErr w:type="spellEnd"/>
      <w:r w:rsidR="00A81F7C" w:rsidRPr="003B6D82">
        <w:rPr>
          <w:iCs/>
        </w:rPr>
        <w:t xml:space="preserve"> arm discontinued their study treatment, compared to 16.4% of patients in the best available therapy arm. The submission argued that the open-label design of the FREEDOM</w:t>
      </w:r>
      <w:r w:rsidR="00333646" w:rsidRPr="003B6D82">
        <w:rPr>
          <w:iCs/>
        </w:rPr>
        <w:t>-2</w:t>
      </w:r>
      <w:r w:rsidR="00A81F7C" w:rsidRPr="003B6D82">
        <w:rPr>
          <w:iCs/>
        </w:rPr>
        <w:t xml:space="preserve"> trial may have resulted in patients randomised to the best available therapy arm having increased compliance for the first 6 cycles of treatment so they could crossover to </w:t>
      </w:r>
      <w:proofErr w:type="spellStart"/>
      <w:r w:rsidR="00A81F7C" w:rsidRPr="003B6D82">
        <w:rPr>
          <w:iCs/>
        </w:rPr>
        <w:t>fedratinib</w:t>
      </w:r>
      <w:proofErr w:type="spellEnd"/>
      <w:r w:rsidR="00A81F7C" w:rsidRPr="003B6D82">
        <w:rPr>
          <w:iCs/>
        </w:rPr>
        <w:t xml:space="preserve"> at the end of </w:t>
      </w:r>
      <w:r w:rsidR="00090C3D" w:rsidRPr="003B6D82">
        <w:rPr>
          <w:iCs/>
        </w:rPr>
        <w:t>C</w:t>
      </w:r>
      <w:r w:rsidR="00A81F7C" w:rsidRPr="003B6D82">
        <w:rPr>
          <w:iCs/>
        </w:rPr>
        <w:t>ycle 6 assessments.</w:t>
      </w:r>
      <w:r w:rsidR="00502968" w:rsidRPr="003B6D82">
        <w:rPr>
          <w:iCs/>
        </w:rPr>
        <w:t xml:space="preserve"> The submission did not appear to consider other explanations for the observed treatment patterns. For example, in the absence of other treatment options patients may remain on their existing therapies particularly if they a</w:t>
      </w:r>
      <w:r w:rsidR="00AD5F6F" w:rsidRPr="003B6D82">
        <w:rPr>
          <w:iCs/>
        </w:rPr>
        <w:t>re</w:t>
      </w:r>
      <w:r w:rsidR="00502968" w:rsidRPr="003B6D82">
        <w:rPr>
          <w:iCs/>
        </w:rPr>
        <w:t xml:space="preserve"> demonstrating some clinical benefit. </w:t>
      </w:r>
      <w:r w:rsidR="00B14D48" w:rsidRPr="003B6D82">
        <w:rPr>
          <w:iCs/>
        </w:rPr>
        <w:t xml:space="preserve">In </w:t>
      </w:r>
      <w:r w:rsidR="00B14D48" w:rsidRPr="003B6D82">
        <w:rPr>
          <w:iCs/>
        </w:rPr>
        <w:lastRenderedPageBreak/>
        <w:t>addition, g</w:t>
      </w:r>
      <w:r w:rsidR="00A81F7C" w:rsidRPr="003B6D82">
        <w:rPr>
          <w:iCs/>
        </w:rPr>
        <w:t xml:space="preserve">iven </w:t>
      </w:r>
      <w:proofErr w:type="gramStart"/>
      <w:r w:rsidR="00A81F7C" w:rsidRPr="003B6D82">
        <w:rPr>
          <w:iCs/>
        </w:rPr>
        <w:t>the majority of</w:t>
      </w:r>
      <w:proofErr w:type="gramEnd"/>
      <w:r w:rsidR="00A81F7C" w:rsidRPr="003B6D82">
        <w:rPr>
          <w:iCs/>
        </w:rPr>
        <w:t xml:space="preserve"> patients in the best available therapy arm crossed over to </w:t>
      </w:r>
      <w:proofErr w:type="spellStart"/>
      <w:r w:rsidR="00A81F7C" w:rsidRPr="003B6D82">
        <w:rPr>
          <w:iCs/>
        </w:rPr>
        <w:t>fedratinib</w:t>
      </w:r>
      <w:proofErr w:type="spellEnd"/>
      <w:r w:rsidR="00A81F7C" w:rsidRPr="003B6D82">
        <w:rPr>
          <w:iCs/>
        </w:rPr>
        <w:t xml:space="preserve"> treatment after Week 24, the results of the </w:t>
      </w:r>
      <w:proofErr w:type="gramStart"/>
      <w:r w:rsidR="00A81F7C" w:rsidRPr="003B6D82">
        <w:rPr>
          <w:iCs/>
        </w:rPr>
        <w:t>longer term</w:t>
      </w:r>
      <w:proofErr w:type="gramEnd"/>
      <w:r w:rsidR="00A81F7C" w:rsidRPr="003B6D82">
        <w:rPr>
          <w:iCs/>
        </w:rPr>
        <w:t xml:space="preserve"> outcomes are of limited benefit in assessing the comparative efficacy of </w:t>
      </w:r>
      <w:proofErr w:type="spellStart"/>
      <w:r w:rsidR="00A81F7C" w:rsidRPr="003B6D82">
        <w:rPr>
          <w:iCs/>
        </w:rPr>
        <w:t>fedratinib</w:t>
      </w:r>
      <w:proofErr w:type="spellEnd"/>
      <w:r w:rsidR="00A81F7C" w:rsidRPr="003B6D82">
        <w:rPr>
          <w:iCs/>
        </w:rPr>
        <w:t xml:space="preserve"> and </w:t>
      </w:r>
      <w:r w:rsidR="000317C8" w:rsidRPr="003B6D82">
        <w:rPr>
          <w:iCs/>
        </w:rPr>
        <w:t>best available therapy</w:t>
      </w:r>
      <w:r w:rsidR="00A81F7C" w:rsidRPr="003B6D82">
        <w:rPr>
          <w:iCs/>
        </w:rPr>
        <w:t>.</w:t>
      </w:r>
    </w:p>
    <w:p w14:paraId="3E086E43" w14:textId="31BFA573" w:rsidR="00AC22E6" w:rsidRPr="003B6D82" w:rsidRDefault="00D8348D" w:rsidP="00CE55F4">
      <w:pPr>
        <w:pStyle w:val="COMexecsummnumbered"/>
        <w:rPr>
          <w:iCs/>
        </w:rPr>
      </w:pPr>
      <w:r w:rsidRPr="003B6D82">
        <w:rPr>
          <w:iCs/>
        </w:rPr>
        <w:t xml:space="preserve">Subjects were allowed to continue study treatment beyond the initial </w:t>
      </w:r>
      <w:proofErr w:type="gramStart"/>
      <w:r w:rsidRPr="003B6D82">
        <w:rPr>
          <w:iCs/>
        </w:rPr>
        <w:t>24 week</w:t>
      </w:r>
      <w:proofErr w:type="gramEnd"/>
      <w:r w:rsidRPr="003B6D82">
        <w:rPr>
          <w:iCs/>
        </w:rPr>
        <w:t xml:space="preserve"> period until unacceptable toxicity, lack of therapeutic effect, progression of disease or withdrawal of consent. Patients discontinuing treatment were followed for survival, subsequent therapies, new malignancy and progression of myelofibrosis to acute myeloid leukaemia every 3 months until death, loss to follow-up, withdrawal of consent, or study closure. The follow-up period of FREEDOM-2 is ongoing with anticipated completion in June 2025. The submission provided data from a clinical study report with a data cut-off date of 27 December 2022</w:t>
      </w:r>
      <w:r w:rsidR="00281E9D">
        <w:rPr>
          <w:iCs/>
        </w:rPr>
        <w:t xml:space="preserve"> and</w:t>
      </w:r>
      <w:r w:rsidRPr="003B6D82">
        <w:rPr>
          <w:iCs/>
        </w:rPr>
        <w:t xml:space="preserve"> utility data from a later data cut-off of May 2023</w:t>
      </w:r>
      <w:r w:rsidR="00281E9D">
        <w:rPr>
          <w:iCs/>
        </w:rPr>
        <w:t>.</w:t>
      </w:r>
      <w:r w:rsidRPr="003B6D82">
        <w:rPr>
          <w:iCs/>
        </w:rPr>
        <w:t xml:space="preserve"> </w:t>
      </w:r>
    </w:p>
    <w:p w14:paraId="4A4FE085" w14:textId="1C5613CC" w:rsidR="00B60939" w:rsidRPr="003B6D82" w:rsidRDefault="00B60939" w:rsidP="003D5DE7">
      <w:pPr>
        <w:pStyle w:val="COMH2-non-numbered"/>
        <w:rPr>
          <w:i w:val="0"/>
          <w:iCs/>
        </w:rPr>
      </w:pPr>
      <w:bookmarkStart w:id="18" w:name="_Toc192437874"/>
      <w:r w:rsidRPr="00312B98">
        <w:rPr>
          <w:i w:val="0"/>
          <w:iCs/>
        </w:rPr>
        <w:t>Comparative effectiveness</w:t>
      </w:r>
      <w:bookmarkEnd w:id="15"/>
      <w:bookmarkEnd w:id="18"/>
    </w:p>
    <w:p w14:paraId="02A0B8C4" w14:textId="1387E1D4" w:rsidR="00FE25B4" w:rsidRPr="003B6D82" w:rsidRDefault="00FE25B4" w:rsidP="00EC5836">
      <w:pPr>
        <w:pStyle w:val="COMexecsummnumbered"/>
        <w:rPr>
          <w:iCs/>
          <w:color w:val="0066FF"/>
        </w:rPr>
      </w:pPr>
      <w:r w:rsidRPr="003B6D82">
        <w:rPr>
          <w:iCs/>
        </w:rPr>
        <w:t>Results for the primary endpoint and key secondary spleen response outcomes</w:t>
      </w:r>
      <w:r w:rsidR="0000004C" w:rsidRPr="003B6D82">
        <w:rPr>
          <w:iCs/>
        </w:rPr>
        <w:t xml:space="preserve"> at Week 24 (end of Cycle 6)</w:t>
      </w:r>
      <w:r w:rsidRPr="003B6D82">
        <w:rPr>
          <w:iCs/>
        </w:rPr>
        <w:t xml:space="preserve"> from FREEDOM-2 are summarised in </w:t>
      </w:r>
      <w:r w:rsidR="00734416" w:rsidRPr="003B6D82">
        <w:rPr>
          <w:iCs/>
        </w:rPr>
        <w:fldChar w:fldCharType="begin" w:fldLock="1"/>
      </w:r>
      <w:r w:rsidR="00734416" w:rsidRPr="003B6D82">
        <w:rPr>
          <w:iCs/>
        </w:rPr>
        <w:instrText xml:space="preserve"> REF _Ref191893413 \h </w:instrText>
      </w:r>
      <w:r w:rsidR="003B6D82">
        <w:rPr>
          <w:iCs/>
        </w:rPr>
        <w:instrText xml:space="preserve"> \* MERGEFORMAT </w:instrText>
      </w:r>
      <w:r w:rsidR="00734416" w:rsidRPr="003B6D82">
        <w:rPr>
          <w:iCs/>
        </w:rPr>
      </w:r>
      <w:r w:rsidR="00734416" w:rsidRPr="003B6D82">
        <w:rPr>
          <w:iCs/>
        </w:rPr>
        <w:fldChar w:fldCharType="separate"/>
      </w:r>
      <w:r w:rsidR="00A072A5" w:rsidRPr="003B6D82">
        <w:rPr>
          <w:iCs/>
        </w:rPr>
        <w:t xml:space="preserve">Table </w:t>
      </w:r>
      <w:r w:rsidR="00A072A5">
        <w:rPr>
          <w:iCs/>
          <w:noProof/>
        </w:rPr>
        <w:t>4</w:t>
      </w:r>
      <w:r w:rsidR="00734416" w:rsidRPr="003B6D82">
        <w:rPr>
          <w:iCs/>
        </w:rPr>
        <w:fldChar w:fldCharType="end"/>
      </w:r>
      <w:r w:rsidR="00734416" w:rsidRPr="003B6D82">
        <w:rPr>
          <w:iCs/>
        </w:rPr>
        <w:t>.</w:t>
      </w:r>
    </w:p>
    <w:p w14:paraId="47097134" w14:textId="46386412" w:rsidR="00FE25B4" w:rsidRPr="003B6D82" w:rsidRDefault="00FE25B4" w:rsidP="00AA78F9">
      <w:pPr>
        <w:pStyle w:val="COMtablefigcaption"/>
        <w:spacing w:before="120"/>
        <w:rPr>
          <w:iCs/>
          <w:color w:val="0066FF"/>
        </w:rPr>
      </w:pPr>
      <w:bookmarkStart w:id="19" w:name="_Ref191893413"/>
      <w:r w:rsidRPr="003B6D82">
        <w:rPr>
          <w:iCs/>
        </w:rPr>
        <w:t xml:space="preserve">Table </w:t>
      </w:r>
      <w:r w:rsidR="00B251ED" w:rsidRPr="003B6D82">
        <w:rPr>
          <w:iCs/>
        </w:rPr>
        <w:fldChar w:fldCharType="begin" w:fldLock="1"/>
      </w:r>
      <w:r w:rsidR="00B251ED" w:rsidRPr="003B6D82">
        <w:rPr>
          <w:iCs/>
        </w:rPr>
        <w:instrText xml:space="preserve"> SEQ Table \* ARABIC </w:instrText>
      </w:r>
      <w:r w:rsidR="00B251ED" w:rsidRPr="003B6D82">
        <w:rPr>
          <w:iCs/>
        </w:rPr>
        <w:fldChar w:fldCharType="separate"/>
      </w:r>
      <w:r w:rsidR="00A072A5">
        <w:rPr>
          <w:iCs/>
          <w:noProof/>
        </w:rPr>
        <w:t>4</w:t>
      </w:r>
      <w:r w:rsidR="00B251ED" w:rsidRPr="003B6D82">
        <w:rPr>
          <w:iCs/>
          <w:noProof/>
        </w:rPr>
        <w:fldChar w:fldCharType="end"/>
      </w:r>
      <w:bookmarkEnd w:id="19"/>
      <w:r w:rsidRPr="003B6D82">
        <w:rPr>
          <w:iCs/>
        </w:rPr>
        <w:t xml:space="preserve">: Results of </w:t>
      </w:r>
      <w:r w:rsidR="00734416" w:rsidRPr="003B6D82">
        <w:rPr>
          <w:iCs/>
        </w:rPr>
        <w:t>primary and key secondary spleen response outcomes from FREEDOM-2, ITT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1847"/>
        <w:gridCol w:w="1702"/>
        <w:gridCol w:w="1930"/>
      </w:tblGrid>
      <w:tr w:rsidR="0000004C" w:rsidRPr="003B6D82" w14:paraId="1683BD40" w14:textId="77777777" w:rsidTr="00CE55F4">
        <w:trPr>
          <w:tblHeader/>
        </w:trPr>
        <w:tc>
          <w:tcPr>
            <w:tcW w:w="1962" w:type="pct"/>
            <w:vAlign w:val="center"/>
          </w:tcPr>
          <w:p w14:paraId="139B2B97" w14:textId="77777777" w:rsidR="0000004C" w:rsidRPr="003B6D82" w:rsidRDefault="0000004C" w:rsidP="00CE55F4">
            <w:pPr>
              <w:pStyle w:val="COMTableheadingrow"/>
              <w:rPr>
                <w:iCs/>
                <w:lang w:val="en-AU"/>
              </w:rPr>
            </w:pPr>
            <w:r w:rsidRPr="003B6D82">
              <w:rPr>
                <w:iCs/>
                <w:lang w:val="en-AU"/>
              </w:rPr>
              <w:t>Outcome at week 24</w:t>
            </w:r>
          </w:p>
        </w:tc>
        <w:tc>
          <w:tcPr>
            <w:tcW w:w="1024" w:type="pct"/>
            <w:vAlign w:val="center"/>
          </w:tcPr>
          <w:p w14:paraId="42E407B6" w14:textId="77777777" w:rsidR="0000004C" w:rsidRPr="003B6D82" w:rsidRDefault="0000004C" w:rsidP="00CE55F4">
            <w:pPr>
              <w:pStyle w:val="COMTableheadingrow"/>
              <w:jc w:val="center"/>
              <w:rPr>
                <w:iCs/>
                <w:lang w:val="en-AU"/>
              </w:rPr>
            </w:pPr>
            <w:proofErr w:type="spellStart"/>
            <w:r w:rsidRPr="003B6D82">
              <w:rPr>
                <w:iCs/>
                <w:lang w:val="en-AU"/>
              </w:rPr>
              <w:t>Fedratinib</w:t>
            </w:r>
            <w:proofErr w:type="spellEnd"/>
          </w:p>
          <w:p w14:paraId="4108B260" w14:textId="77777777" w:rsidR="0000004C" w:rsidRPr="003B6D82" w:rsidRDefault="0000004C" w:rsidP="00CE55F4">
            <w:pPr>
              <w:pStyle w:val="COMTableheadingrow"/>
              <w:jc w:val="center"/>
              <w:rPr>
                <w:iCs/>
                <w:lang w:val="en-AU"/>
              </w:rPr>
            </w:pPr>
            <w:r w:rsidRPr="003B6D82">
              <w:rPr>
                <w:iCs/>
                <w:lang w:val="en-AU"/>
              </w:rPr>
              <w:t>N = 134</w:t>
            </w:r>
          </w:p>
        </w:tc>
        <w:tc>
          <w:tcPr>
            <w:tcW w:w="944" w:type="pct"/>
            <w:vAlign w:val="center"/>
          </w:tcPr>
          <w:p w14:paraId="05AFDDE0" w14:textId="77777777" w:rsidR="0000004C" w:rsidRPr="003B6D82" w:rsidRDefault="0000004C" w:rsidP="00CE55F4">
            <w:pPr>
              <w:pStyle w:val="COMTableheadingrow"/>
              <w:jc w:val="center"/>
              <w:rPr>
                <w:iCs/>
                <w:lang w:val="en-AU"/>
              </w:rPr>
            </w:pPr>
            <w:r w:rsidRPr="003B6D82">
              <w:rPr>
                <w:iCs/>
                <w:lang w:val="en-AU"/>
              </w:rPr>
              <w:t>BAT</w:t>
            </w:r>
          </w:p>
          <w:p w14:paraId="46DF9B6A" w14:textId="77777777" w:rsidR="0000004C" w:rsidRPr="003B6D82" w:rsidRDefault="0000004C" w:rsidP="00CE55F4">
            <w:pPr>
              <w:pStyle w:val="COMTableheadingrow"/>
              <w:jc w:val="center"/>
              <w:rPr>
                <w:iCs/>
                <w:lang w:val="en-AU"/>
              </w:rPr>
            </w:pPr>
            <w:r w:rsidRPr="003B6D82">
              <w:rPr>
                <w:iCs/>
                <w:lang w:val="en-AU"/>
              </w:rPr>
              <w:t>N = 67</w:t>
            </w:r>
          </w:p>
        </w:tc>
        <w:tc>
          <w:tcPr>
            <w:tcW w:w="1070" w:type="pct"/>
            <w:vAlign w:val="center"/>
          </w:tcPr>
          <w:p w14:paraId="0B59FE76" w14:textId="77777777" w:rsidR="0000004C" w:rsidRPr="003B6D82" w:rsidRDefault="0000004C" w:rsidP="00CE55F4">
            <w:pPr>
              <w:pStyle w:val="COMTableheadingrow"/>
              <w:jc w:val="center"/>
              <w:rPr>
                <w:iCs/>
                <w:lang w:val="en-AU"/>
              </w:rPr>
            </w:pPr>
            <w:r w:rsidRPr="003B6D82">
              <w:rPr>
                <w:iCs/>
                <w:lang w:val="en-AU"/>
              </w:rPr>
              <w:t>Difference in proportion (95% CI)</w:t>
            </w:r>
          </w:p>
        </w:tc>
      </w:tr>
      <w:tr w:rsidR="0000004C" w:rsidRPr="003B6D82" w14:paraId="10225960" w14:textId="77777777" w:rsidTr="00CE55F4">
        <w:tc>
          <w:tcPr>
            <w:tcW w:w="1962" w:type="pct"/>
            <w:vAlign w:val="center"/>
          </w:tcPr>
          <w:p w14:paraId="5700058F" w14:textId="36A3A960" w:rsidR="0000004C" w:rsidRPr="003B6D82" w:rsidRDefault="0000004C" w:rsidP="00CE55F4">
            <w:pPr>
              <w:pStyle w:val="COMTabletext"/>
              <w:rPr>
                <w:iCs/>
              </w:rPr>
            </w:pPr>
            <w:r w:rsidRPr="003B6D82">
              <w:rPr>
                <w:iCs/>
              </w:rPr>
              <w:t>≥35% spleen volume reduction, n (%)</w:t>
            </w:r>
          </w:p>
        </w:tc>
        <w:tc>
          <w:tcPr>
            <w:tcW w:w="1024" w:type="pct"/>
            <w:vAlign w:val="center"/>
          </w:tcPr>
          <w:p w14:paraId="36E21977" w14:textId="6C4F0456" w:rsidR="0000004C" w:rsidRPr="003B6D82" w:rsidRDefault="0000004C" w:rsidP="00CE55F4">
            <w:pPr>
              <w:pStyle w:val="COMTabletext"/>
              <w:jc w:val="center"/>
              <w:rPr>
                <w:iCs/>
              </w:rPr>
            </w:pPr>
            <w:r w:rsidRPr="003B6D82">
              <w:rPr>
                <w:iCs/>
              </w:rPr>
              <w:t>48 (35.8%)</w:t>
            </w:r>
          </w:p>
        </w:tc>
        <w:tc>
          <w:tcPr>
            <w:tcW w:w="944" w:type="pct"/>
            <w:vAlign w:val="center"/>
          </w:tcPr>
          <w:p w14:paraId="1AF7ADE5" w14:textId="4DAC8743" w:rsidR="0000004C" w:rsidRPr="003B6D82" w:rsidRDefault="0000004C" w:rsidP="00CE55F4">
            <w:pPr>
              <w:pStyle w:val="COMTabletext"/>
              <w:jc w:val="center"/>
              <w:rPr>
                <w:iCs/>
              </w:rPr>
            </w:pPr>
            <w:r w:rsidRPr="003B6D82">
              <w:rPr>
                <w:iCs/>
              </w:rPr>
              <w:t>4 (6.0%)</w:t>
            </w:r>
          </w:p>
        </w:tc>
        <w:tc>
          <w:tcPr>
            <w:tcW w:w="1070" w:type="pct"/>
            <w:vAlign w:val="center"/>
          </w:tcPr>
          <w:p w14:paraId="2AD6DE7E" w14:textId="77777777" w:rsidR="0000004C" w:rsidRPr="003B6D82" w:rsidRDefault="0000004C" w:rsidP="00CE55F4">
            <w:pPr>
              <w:pStyle w:val="COMTabletext"/>
              <w:jc w:val="center"/>
              <w:rPr>
                <w:b/>
                <w:bCs w:val="0"/>
                <w:iCs/>
              </w:rPr>
            </w:pPr>
            <w:r w:rsidRPr="003B6D82">
              <w:rPr>
                <w:b/>
                <w:bCs w:val="0"/>
                <w:iCs/>
              </w:rPr>
              <w:t>29.6 (19.9, 39.4)</w:t>
            </w:r>
          </w:p>
        </w:tc>
      </w:tr>
      <w:tr w:rsidR="0000004C" w:rsidRPr="003B6D82" w14:paraId="26A4DFA5" w14:textId="77777777" w:rsidTr="00CE55F4">
        <w:tc>
          <w:tcPr>
            <w:tcW w:w="1962" w:type="pct"/>
            <w:vAlign w:val="center"/>
          </w:tcPr>
          <w:p w14:paraId="10CB63F0" w14:textId="33ACFB8F" w:rsidR="0000004C" w:rsidRPr="003B6D82" w:rsidRDefault="0000004C" w:rsidP="00CE55F4">
            <w:pPr>
              <w:pStyle w:val="COMTabletext"/>
              <w:rPr>
                <w:iCs/>
              </w:rPr>
            </w:pPr>
            <w:r w:rsidRPr="003B6D82">
              <w:rPr>
                <w:iCs/>
              </w:rPr>
              <w:t>≥25% spleen volume reduction, n (%)</w:t>
            </w:r>
          </w:p>
        </w:tc>
        <w:tc>
          <w:tcPr>
            <w:tcW w:w="1024" w:type="pct"/>
            <w:vAlign w:val="center"/>
          </w:tcPr>
          <w:p w14:paraId="65C59A2B" w14:textId="24A0B385" w:rsidR="0000004C" w:rsidRPr="003B6D82" w:rsidRDefault="0000004C" w:rsidP="00CE55F4">
            <w:pPr>
              <w:pStyle w:val="COMTabletext"/>
              <w:jc w:val="center"/>
              <w:rPr>
                <w:iCs/>
              </w:rPr>
            </w:pPr>
            <w:r w:rsidRPr="003B6D82">
              <w:rPr>
                <w:iCs/>
              </w:rPr>
              <w:t>63 (47.0%)</w:t>
            </w:r>
          </w:p>
        </w:tc>
        <w:tc>
          <w:tcPr>
            <w:tcW w:w="944" w:type="pct"/>
            <w:vAlign w:val="center"/>
          </w:tcPr>
          <w:p w14:paraId="68B8555C" w14:textId="7EC77D4E" w:rsidR="0000004C" w:rsidRPr="003B6D82" w:rsidRDefault="0000004C" w:rsidP="00CE55F4">
            <w:pPr>
              <w:pStyle w:val="COMTabletext"/>
              <w:jc w:val="center"/>
              <w:rPr>
                <w:iCs/>
              </w:rPr>
            </w:pPr>
            <w:r w:rsidRPr="003B6D82">
              <w:rPr>
                <w:iCs/>
              </w:rPr>
              <w:t>9 (13.4%)</w:t>
            </w:r>
          </w:p>
        </w:tc>
        <w:tc>
          <w:tcPr>
            <w:tcW w:w="1070" w:type="pct"/>
            <w:vAlign w:val="center"/>
          </w:tcPr>
          <w:p w14:paraId="02AFA04A" w14:textId="77777777" w:rsidR="0000004C" w:rsidRPr="003B6D82" w:rsidRDefault="0000004C" w:rsidP="00CE55F4">
            <w:pPr>
              <w:pStyle w:val="COMTabletext"/>
              <w:jc w:val="center"/>
              <w:rPr>
                <w:b/>
                <w:bCs w:val="0"/>
                <w:iCs/>
              </w:rPr>
            </w:pPr>
            <w:r w:rsidRPr="003B6D82">
              <w:rPr>
                <w:b/>
                <w:bCs w:val="0"/>
                <w:iCs/>
              </w:rPr>
              <w:t>33.5 (21.9, 45.1)</w:t>
            </w:r>
          </w:p>
        </w:tc>
      </w:tr>
      <w:tr w:rsidR="0000004C" w:rsidRPr="003B6D82" w14:paraId="6A114ACD" w14:textId="77777777" w:rsidTr="00CE55F4">
        <w:tc>
          <w:tcPr>
            <w:tcW w:w="1962" w:type="pct"/>
            <w:vAlign w:val="center"/>
          </w:tcPr>
          <w:p w14:paraId="1E248F98" w14:textId="3B834DC8" w:rsidR="0000004C" w:rsidRPr="003B6D82" w:rsidRDefault="0000004C" w:rsidP="00CE55F4">
            <w:pPr>
              <w:pStyle w:val="COMTabletext"/>
              <w:rPr>
                <w:iCs/>
              </w:rPr>
            </w:pPr>
            <w:r w:rsidRPr="003B6D82">
              <w:rPr>
                <w:iCs/>
              </w:rPr>
              <w:t>Spleen response by palpation, n (%)</w:t>
            </w:r>
          </w:p>
        </w:tc>
        <w:tc>
          <w:tcPr>
            <w:tcW w:w="1024" w:type="pct"/>
            <w:vAlign w:val="center"/>
          </w:tcPr>
          <w:p w14:paraId="7BA56BBE" w14:textId="48187AAA" w:rsidR="0000004C" w:rsidRPr="003B6D82" w:rsidRDefault="0000004C" w:rsidP="00CE55F4">
            <w:pPr>
              <w:pStyle w:val="COMTabletext"/>
              <w:jc w:val="center"/>
              <w:rPr>
                <w:iCs/>
              </w:rPr>
            </w:pPr>
            <w:r w:rsidRPr="003B6D82">
              <w:rPr>
                <w:iCs/>
              </w:rPr>
              <w:t>38 (28.4%)</w:t>
            </w:r>
          </w:p>
        </w:tc>
        <w:tc>
          <w:tcPr>
            <w:tcW w:w="944" w:type="pct"/>
            <w:vAlign w:val="center"/>
          </w:tcPr>
          <w:p w14:paraId="14235AB4" w14:textId="24BF2AF5" w:rsidR="0000004C" w:rsidRPr="003B6D82" w:rsidRDefault="0000004C" w:rsidP="00CE55F4">
            <w:pPr>
              <w:pStyle w:val="COMTabletext"/>
              <w:jc w:val="center"/>
              <w:rPr>
                <w:iCs/>
              </w:rPr>
            </w:pPr>
            <w:r w:rsidRPr="003B6D82">
              <w:rPr>
                <w:iCs/>
              </w:rPr>
              <w:t>5 (7.7%)</w:t>
            </w:r>
          </w:p>
        </w:tc>
        <w:tc>
          <w:tcPr>
            <w:tcW w:w="1070" w:type="pct"/>
            <w:vAlign w:val="center"/>
          </w:tcPr>
          <w:p w14:paraId="2B5B567A" w14:textId="77777777" w:rsidR="0000004C" w:rsidRPr="003B6D82" w:rsidRDefault="0000004C" w:rsidP="00CE55F4">
            <w:pPr>
              <w:pStyle w:val="COMTabletext"/>
              <w:jc w:val="center"/>
              <w:rPr>
                <w:b/>
                <w:bCs w:val="0"/>
                <w:iCs/>
              </w:rPr>
            </w:pPr>
            <w:r w:rsidRPr="003B6D82">
              <w:rPr>
                <w:b/>
                <w:bCs w:val="0"/>
                <w:iCs/>
              </w:rPr>
              <w:t>19.9 (10.0, 29.7)</w:t>
            </w:r>
          </w:p>
        </w:tc>
      </w:tr>
    </w:tbl>
    <w:p w14:paraId="346F9B6D" w14:textId="77777777" w:rsidR="0000004C" w:rsidRPr="003B6D82" w:rsidRDefault="0000004C" w:rsidP="00004D85">
      <w:pPr>
        <w:pStyle w:val="COMTablefooter"/>
        <w:keepNext/>
        <w:keepLines/>
        <w:rPr>
          <w:iCs/>
        </w:rPr>
      </w:pPr>
      <w:r w:rsidRPr="003B6D82">
        <w:rPr>
          <w:iCs/>
        </w:rPr>
        <w:t>Source: Table 39, p67 of the submission.</w:t>
      </w:r>
    </w:p>
    <w:p w14:paraId="38AA6F3A" w14:textId="49E5CDC9" w:rsidR="0000004C" w:rsidRPr="003B6D82" w:rsidRDefault="0000004C" w:rsidP="00004D85">
      <w:pPr>
        <w:pStyle w:val="COMTablefooter"/>
        <w:keepNext/>
        <w:keepLines/>
        <w:rPr>
          <w:rFonts w:eastAsia="Calibri"/>
          <w:iCs/>
        </w:rPr>
      </w:pPr>
      <w:r w:rsidRPr="003B6D82">
        <w:rPr>
          <w:rFonts w:eastAsia="Calibri"/>
          <w:iCs/>
        </w:rPr>
        <w:t xml:space="preserve">Abbreviations: BAT, best available therapy; </w:t>
      </w:r>
      <w:r w:rsidR="00986AF4" w:rsidRPr="003B6D82">
        <w:rPr>
          <w:rFonts w:eastAsia="Calibri"/>
          <w:iCs/>
        </w:rPr>
        <w:t xml:space="preserve">CI, confidence interval; </w:t>
      </w:r>
      <w:r w:rsidRPr="003B6D82">
        <w:rPr>
          <w:rFonts w:eastAsia="Calibri"/>
          <w:iCs/>
        </w:rPr>
        <w:t>ITT, intent-to-treat.</w:t>
      </w:r>
    </w:p>
    <w:p w14:paraId="7D79DA9C" w14:textId="00AEA45A" w:rsidR="0000004C" w:rsidRPr="003B6D82" w:rsidRDefault="0000004C" w:rsidP="00004D85">
      <w:pPr>
        <w:pStyle w:val="COMTablefooter"/>
        <w:keepNext/>
        <w:keepLines/>
        <w:rPr>
          <w:rFonts w:eastAsia="Calibri"/>
          <w:iCs/>
        </w:rPr>
      </w:pPr>
      <w:r w:rsidRPr="003B6D82">
        <w:rPr>
          <w:rFonts w:eastAsia="Calibri"/>
          <w:iCs/>
        </w:rPr>
        <w:t xml:space="preserve">Note: </w:t>
      </w:r>
      <w:r w:rsidR="00303BBE" w:rsidRPr="003B6D82">
        <w:rPr>
          <w:rFonts w:eastAsia="Calibri"/>
          <w:iCs/>
        </w:rPr>
        <w:t xml:space="preserve">The FREEDOM-2 clinical study report noted differences between the information provided to the interactive response technology </w:t>
      </w:r>
      <w:r w:rsidR="00FA0DBD" w:rsidRPr="003B6D82">
        <w:rPr>
          <w:rFonts w:eastAsia="Calibri"/>
          <w:iCs/>
        </w:rPr>
        <w:t xml:space="preserve">(during screening) </w:t>
      </w:r>
      <w:r w:rsidR="00303BBE" w:rsidRPr="003B6D82">
        <w:rPr>
          <w:rFonts w:eastAsia="Calibri"/>
          <w:iCs/>
        </w:rPr>
        <w:t>and the electronic case report form</w:t>
      </w:r>
      <w:r w:rsidR="00FA0DBD" w:rsidRPr="003B6D82">
        <w:rPr>
          <w:rFonts w:eastAsia="Calibri"/>
          <w:iCs/>
        </w:rPr>
        <w:t xml:space="preserve"> (derived from last non-missing data prior to or on randomisation date)</w:t>
      </w:r>
      <w:r w:rsidR="00303BBE" w:rsidRPr="003B6D82">
        <w:rPr>
          <w:rFonts w:eastAsia="Calibri"/>
          <w:iCs/>
        </w:rPr>
        <w:t xml:space="preserve"> regarding assignment of a patient to pre-defined strata. </w:t>
      </w:r>
      <w:r w:rsidR="00657FE5" w:rsidRPr="003B6D82">
        <w:rPr>
          <w:rFonts w:eastAsia="Calibri"/>
          <w:iCs/>
        </w:rPr>
        <w:t xml:space="preserve">There were minor differences in the results based on the stratification method chosen, however these differences did not materially alter the outcome of the analyses. </w:t>
      </w:r>
      <w:r w:rsidR="0030230D" w:rsidRPr="003B6D82">
        <w:rPr>
          <w:rFonts w:eastAsia="Calibri"/>
          <w:iCs/>
        </w:rPr>
        <w:t>The results</w:t>
      </w:r>
      <w:r w:rsidR="00A15C37" w:rsidRPr="003B6D82">
        <w:rPr>
          <w:rFonts w:eastAsia="Calibri"/>
          <w:iCs/>
        </w:rPr>
        <w:t xml:space="preserve"> presented in the commentary</w:t>
      </w:r>
      <w:r w:rsidR="0030230D" w:rsidRPr="003B6D82">
        <w:rPr>
          <w:rFonts w:eastAsia="Calibri"/>
          <w:iCs/>
        </w:rPr>
        <w:t xml:space="preserve"> are based on the stratified analysis using </w:t>
      </w:r>
      <w:r w:rsidR="00424641" w:rsidRPr="003B6D82">
        <w:rPr>
          <w:rFonts w:eastAsia="Calibri"/>
          <w:iCs/>
        </w:rPr>
        <w:t>data reported in the electronic case report form.</w:t>
      </w:r>
    </w:p>
    <w:p w14:paraId="46C48B02" w14:textId="268050DD" w:rsidR="0000004C" w:rsidRPr="003B6D82" w:rsidRDefault="0000004C" w:rsidP="0000004C">
      <w:pPr>
        <w:pStyle w:val="COMTablefooter"/>
        <w:rPr>
          <w:rFonts w:eastAsia="Calibri"/>
          <w:iCs/>
        </w:rPr>
      </w:pPr>
      <w:r w:rsidRPr="003B6D82">
        <w:rPr>
          <w:rFonts w:eastAsia="Calibri"/>
          <w:b/>
          <w:bCs/>
          <w:iCs/>
        </w:rPr>
        <w:t>Bold</w:t>
      </w:r>
      <w:r w:rsidRPr="003B6D82">
        <w:rPr>
          <w:rFonts w:eastAsia="Calibri"/>
          <w:iCs/>
        </w:rPr>
        <w:t xml:space="preserve"> indicates statistically significant results</w:t>
      </w:r>
      <w:r w:rsidR="00B932F9" w:rsidRPr="003B6D82">
        <w:rPr>
          <w:rFonts w:eastAsia="Calibri"/>
          <w:iCs/>
        </w:rPr>
        <w:t>.</w:t>
      </w:r>
    </w:p>
    <w:p w14:paraId="2449C230" w14:textId="4D3C69FD" w:rsidR="0000004C" w:rsidRPr="003B6D82" w:rsidRDefault="0000004C" w:rsidP="00CE55F4">
      <w:pPr>
        <w:pStyle w:val="COMexecsummnumbered"/>
        <w:rPr>
          <w:iCs/>
        </w:rPr>
      </w:pPr>
      <w:proofErr w:type="spellStart"/>
      <w:r w:rsidRPr="003B6D82">
        <w:rPr>
          <w:iCs/>
        </w:rPr>
        <w:t>Fedratinib</w:t>
      </w:r>
      <w:proofErr w:type="spellEnd"/>
      <w:r w:rsidRPr="003B6D82">
        <w:rPr>
          <w:iCs/>
        </w:rPr>
        <w:t xml:space="preserve"> was associated with a statistically significantly greater proportion of responders compared to </w:t>
      </w:r>
      <w:r w:rsidR="000317C8" w:rsidRPr="003B6D82">
        <w:rPr>
          <w:iCs/>
        </w:rPr>
        <w:t xml:space="preserve">best available therapy </w:t>
      </w:r>
      <w:r w:rsidRPr="003B6D82">
        <w:rPr>
          <w:iCs/>
        </w:rPr>
        <w:t xml:space="preserve">for the primary and key secondary spleen response outcomes. Spleen volume response was also measured at the end of </w:t>
      </w:r>
      <w:r w:rsidR="00DC250C" w:rsidRPr="003B6D82">
        <w:rPr>
          <w:iCs/>
        </w:rPr>
        <w:t>C</w:t>
      </w:r>
      <w:r w:rsidRPr="003B6D82">
        <w:rPr>
          <w:iCs/>
        </w:rPr>
        <w:t>ycle 3</w:t>
      </w:r>
      <w:r w:rsidR="00DC250C" w:rsidRPr="003B6D82">
        <w:rPr>
          <w:iCs/>
        </w:rPr>
        <w:t xml:space="preserve"> (12 weeks)</w:t>
      </w:r>
      <w:r w:rsidRPr="003B6D82">
        <w:rPr>
          <w:iCs/>
        </w:rPr>
        <w:t xml:space="preserve">, with 58 (43.3%) patients in the </w:t>
      </w:r>
      <w:proofErr w:type="spellStart"/>
      <w:r w:rsidRPr="003B6D82">
        <w:rPr>
          <w:iCs/>
        </w:rPr>
        <w:t>fedratinib</w:t>
      </w:r>
      <w:proofErr w:type="spellEnd"/>
      <w:r w:rsidRPr="003B6D82">
        <w:rPr>
          <w:iCs/>
        </w:rPr>
        <w:t xml:space="preserve"> arm and 4 (6.0%) patients in the best available therapy arm achieving splenic response (</w:t>
      </w:r>
      <w:r w:rsidR="00934B46" w:rsidRPr="003B6D82">
        <w:rPr>
          <w:iCs/>
        </w:rPr>
        <w:t>≥</w:t>
      </w:r>
      <w:r w:rsidRPr="003B6D82">
        <w:rPr>
          <w:iCs/>
        </w:rPr>
        <w:t xml:space="preserve">35% reduction) by the end of </w:t>
      </w:r>
      <w:r w:rsidR="00DC250C" w:rsidRPr="003B6D82">
        <w:rPr>
          <w:iCs/>
        </w:rPr>
        <w:t>C</w:t>
      </w:r>
      <w:r w:rsidRPr="003B6D82">
        <w:rPr>
          <w:iCs/>
        </w:rPr>
        <w:t>ycle 3 (difference in proportion 36.8%, 95% CI 26.9, 46.8).</w:t>
      </w:r>
    </w:p>
    <w:p w14:paraId="425937B5" w14:textId="19E9B25B" w:rsidR="00E32F87" w:rsidRPr="003B6D82" w:rsidRDefault="000E6BCB" w:rsidP="00CE55F4">
      <w:pPr>
        <w:pStyle w:val="COMexecsummnumbered"/>
        <w:rPr>
          <w:iCs/>
        </w:rPr>
      </w:pPr>
      <w:r w:rsidRPr="003B6D82">
        <w:rPr>
          <w:iCs/>
        </w:rPr>
        <w:t>Prespecified subgroup</w:t>
      </w:r>
      <w:r w:rsidR="00E32F87" w:rsidRPr="003B6D82">
        <w:rPr>
          <w:iCs/>
        </w:rPr>
        <w:t xml:space="preserve"> analyses </w:t>
      </w:r>
      <w:r w:rsidR="00630C74" w:rsidRPr="003B6D82">
        <w:rPr>
          <w:iCs/>
        </w:rPr>
        <w:t>of the primary outcome (proportion of patients with ≥35% spleen volume reduction)</w:t>
      </w:r>
      <w:r w:rsidR="00FA26EA" w:rsidRPr="003B6D82">
        <w:rPr>
          <w:iCs/>
        </w:rPr>
        <w:t xml:space="preserve"> were generally consistent with the ITT population, with higher proportions of </w:t>
      </w:r>
      <w:proofErr w:type="spellStart"/>
      <w:r w:rsidR="00FA26EA" w:rsidRPr="003B6D82">
        <w:rPr>
          <w:iCs/>
        </w:rPr>
        <w:t>fedratinib</w:t>
      </w:r>
      <w:proofErr w:type="spellEnd"/>
      <w:r w:rsidR="00FA26EA" w:rsidRPr="003B6D82">
        <w:rPr>
          <w:iCs/>
        </w:rPr>
        <w:t xml:space="preserve">-treated patients achieving spleen volume reduction of </w:t>
      </w:r>
      <w:r w:rsidR="00FA26EA" w:rsidRPr="003B6D82">
        <w:rPr>
          <w:rFonts w:cs="Calibri"/>
          <w:iCs/>
        </w:rPr>
        <w:t xml:space="preserve">≥35% than patients treated with best available therapy across all subgroups. There was a trend towards increased differences in spleen response (favouring </w:t>
      </w:r>
      <w:proofErr w:type="spellStart"/>
      <w:r w:rsidR="00FA26EA" w:rsidRPr="003B6D82">
        <w:rPr>
          <w:rFonts w:cs="Calibri"/>
          <w:iCs/>
        </w:rPr>
        <w:t>fedratinib</w:t>
      </w:r>
      <w:proofErr w:type="spellEnd"/>
      <w:r w:rsidR="00FA26EA" w:rsidRPr="003B6D82">
        <w:rPr>
          <w:rFonts w:cs="Calibri"/>
          <w:iCs/>
        </w:rPr>
        <w:t>) in the subgroup with lower baseline platelet counts between 50 and 100 × 10</w:t>
      </w:r>
      <w:r w:rsidR="00FA26EA" w:rsidRPr="003B6D82">
        <w:rPr>
          <w:rFonts w:cs="Calibri"/>
          <w:iCs/>
          <w:vertAlign w:val="superscript"/>
        </w:rPr>
        <w:t>9</w:t>
      </w:r>
      <w:r w:rsidR="00FA26EA" w:rsidRPr="003B6D82">
        <w:rPr>
          <w:rFonts w:cs="Calibri"/>
          <w:iCs/>
        </w:rPr>
        <w:t>/L compared to the subgroup with higher baseline platelets ≥</w:t>
      </w:r>
      <w:r w:rsidR="00890CE3" w:rsidRPr="003B6D82">
        <w:rPr>
          <w:rFonts w:cs="Calibri"/>
          <w:iCs/>
        </w:rPr>
        <w:t>100</w:t>
      </w:r>
      <w:r w:rsidR="00890CE3">
        <w:rPr>
          <w:rFonts w:cs="Calibri"/>
          <w:iCs/>
        </w:rPr>
        <w:t> </w:t>
      </w:r>
      <w:r w:rsidR="00FA26EA" w:rsidRPr="003B6D82">
        <w:rPr>
          <w:rFonts w:cs="Calibri"/>
          <w:iCs/>
        </w:rPr>
        <w:t>×</w:t>
      </w:r>
      <w:r w:rsidR="00890CE3">
        <w:rPr>
          <w:rFonts w:cs="Calibri"/>
          <w:iCs/>
        </w:rPr>
        <w:t> </w:t>
      </w:r>
      <w:r w:rsidR="00FA26EA" w:rsidRPr="003B6D82">
        <w:rPr>
          <w:rFonts w:cs="Calibri"/>
          <w:iCs/>
        </w:rPr>
        <w:t>10</w:t>
      </w:r>
      <w:r w:rsidR="00FA26EA" w:rsidRPr="003B6D82">
        <w:rPr>
          <w:rFonts w:cs="Calibri"/>
          <w:iCs/>
          <w:vertAlign w:val="superscript"/>
        </w:rPr>
        <w:t>9</w:t>
      </w:r>
      <w:r w:rsidR="00FA26EA" w:rsidRPr="003B6D82">
        <w:rPr>
          <w:rFonts w:cs="Calibri"/>
          <w:iCs/>
        </w:rPr>
        <w:t xml:space="preserve">/L, and in </w:t>
      </w:r>
      <w:proofErr w:type="spellStart"/>
      <w:r w:rsidR="00FA26EA" w:rsidRPr="003B6D82">
        <w:rPr>
          <w:rFonts w:cs="Calibri"/>
          <w:iCs/>
        </w:rPr>
        <w:t>ruxolitinib</w:t>
      </w:r>
      <w:proofErr w:type="spellEnd"/>
      <w:r w:rsidR="00FA26EA" w:rsidRPr="003B6D82">
        <w:rPr>
          <w:rFonts w:cs="Calibri"/>
          <w:iCs/>
        </w:rPr>
        <w:t xml:space="preserve"> intolerant patients compared to </w:t>
      </w:r>
      <w:proofErr w:type="spellStart"/>
      <w:r w:rsidR="00FA26EA" w:rsidRPr="003B6D82">
        <w:rPr>
          <w:rFonts w:cs="Calibri"/>
          <w:iCs/>
        </w:rPr>
        <w:t>ruxolitinib</w:t>
      </w:r>
      <w:proofErr w:type="spellEnd"/>
      <w:r w:rsidR="00FA26EA" w:rsidRPr="003B6D82">
        <w:rPr>
          <w:rFonts w:cs="Calibri"/>
          <w:iCs/>
        </w:rPr>
        <w:t xml:space="preserve"> refractory/relapsed </w:t>
      </w:r>
      <w:r w:rsidR="00FA26EA" w:rsidRPr="003B6D82">
        <w:rPr>
          <w:rFonts w:cs="Calibri"/>
          <w:iCs/>
        </w:rPr>
        <w:lastRenderedPageBreak/>
        <w:t xml:space="preserve">patients. However, small patient numbers in these subgroups may limit the generalisability of these results. In addition, there was an overlap in baseline patient characteristics between </w:t>
      </w:r>
      <w:proofErr w:type="spellStart"/>
      <w:r w:rsidR="00FA26EA" w:rsidRPr="003B6D82">
        <w:rPr>
          <w:rFonts w:cs="Calibri"/>
          <w:iCs/>
        </w:rPr>
        <w:t>ruxolitinib</w:t>
      </w:r>
      <w:proofErr w:type="spellEnd"/>
      <w:r w:rsidR="00FA26EA" w:rsidRPr="003B6D82">
        <w:rPr>
          <w:rFonts w:cs="Calibri"/>
          <w:iCs/>
        </w:rPr>
        <w:t xml:space="preserve"> refractory/relapsed and </w:t>
      </w:r>
      <w:proofErr w:type="spellStart"/>
      <w:r w:rsidR="00FA26EA" w:rsidRPr="003B6D82">
        <w:rPr>
          <w:rFonts w:cs="Calibri"/>
          <w:iCs/>
        </w:rPr>
        <w:t>ruxolitinib</w:t>
      </w:r>
      <w:proofErr w:type="spellEnd"/>
      <w:r w:rsidR="00FA26EA" w:rsidRPr="003B6D82">
        <w:rPr>
          <w:rFonts w:cs="Calibri"/>
          <w:iCs/>
        </w:rPr>
        <w:t xml:space="preserve"> intolerance, with patients reporting both characteristics classified as refractory/relapsed. Tests for treatment effect interaction were not reported.</w:t>
      </w:r>
    </w:p>
    <w:p w14:paraId="385A425A" w14:textId="4B193769" w:rsidR="004C7C9B" w:rsidRPr="003B6D82" w:rsidRDefault="00C62323" w:rsidP="00CE55F4">
      <w:pPr>
        <w:pStyle w:val="COMexecsummnumbered"/>
        <w:rPr>
          <w:iCs/>
        </w:rPr>
      </w:pPr>
      <w:r w:rsidRPr="003B6D82">
        <w:rPr>
          <w:iCs/>
        </w:rPr>
        <w:t xml:space="preserve">Durability of spleen response </w:t>
      </w:r>
      <w:r w:rsidR="00821531" w:rsidRPr="003B6D82">
        <w:rPr>
          <w:iCs/>
        </w:rPr>
        <w:t>through the follow-up period (</w:t>
      </w:r>
      <w:r w:rsidR="004C7C9B" w:rsidRPr="003B6D82">
        <w:rPr>
          <w:iCs/>
        </w:rPr>
        <w:t>December 2022 data cut-off</w:t>
      </w:r>
      <w:r w:rsidR="00821531" w:rsidRPr="003B6D82">
        <w:rPr>
          <w:iCs/>
        </w:rPr>
        <w:t>)</w:t>
      </w:r>
      <w:r w:rsidR="004C7C9B" w:rsidRPr="003B6D82">
        <w:rPr>
          <w:iCs/>
        </w:rPr>
        <w:t xml:space="preserve"> </w:t>
      </w:r>
      <w:r w:rsidR="00821531" w:rsidRPr="003B6D82">
        <w:rPr>
          <w:iCs/>
        </w:rPr>
        <w:t xml:space="preserve">was </w:t>
      </w:r>
      <w:r w:rsidR="004C7C9B" w:rsidRPr="003B6D82">
        <w:rPr>
          <w:iCs/>
        </w:rPr>
        <w:t xml:space="preserve">based on a median follow-up of 36.1 weeks for </w:t>
      </w:r>
      <w:proofErr w:type="spellStart"/>
      <w:r w:rsidR="004C7C9B" w:rsidRPr="003B6D82">
        <w:rPr>
          <w:iCs/>
        </w:rPr>
        <w:t>fedratinib</w:t>
      </w:r>
      <w:proofErr w:type="spellEnd"/>
      <w:r w:rsidR="004C7C9B" w:rsidRPr="003B6D82">
        <w:rPr>
          <w:iCs/>
        </w:rPr>
        <w:t xml:space="preserve"> and 18.</w:t>
      </w:r>
      <w:r w:rsidR="003264B3" w:rsidRPr="003B6D82">
        <w:rPr>
          <w:iCs/>
        </w:rPr>
        <w:t xml:space="preserve">7 </w:t>
      </w:r>
      <w:r w:rsidR="004C7C9B" w:rsidRPr="003B6D82">
        <w:rPr>
          <w:iCs/>
        </w:rPr>
        <w:t xml:space="preserve">weeks for the best available therapy arm, </w:t>
      </w:r>
      <w:r w:rsidR="009A6D21" w:rsidRPr="003B6D82">
        <w:rPr>
          <w:iCs/>
        </w:rPr>
        <w:t xml:space="preserve">with a </w:t>
      </w:r>
      <w:r w:rsidR="00C85480" w:rsidRPr="003B6D82">
        <w:rPr>
          <w:iCs/>
        </w:rPr>
        <w:t xml:space="preserve">median </w:t>
      </w:r>
      <w:r w:rsidR="004C7C9B" w:rsidRPr="003B6D82">
        <w:rPr>
          <w:iCs/>
        </w:rPr>
        <w:t xml:space="preserve">durability of spleen response by MRI/CT scan </w:t>
      </w:r>
      <w:r w:rsidR="009A6D21" w:rsidRPr="003B6D82">
        <w:rPr>
          <w:iCs/>
        </w:rPr>
        <w:t xml:space="preserve">of </w:t>
      </w:r>
      <w:r w:rsidR="004C7C9B" w:rsidRPr="003B6D82">
        <w:rPr>
          <w:iCs/>
        </w:rPr>
        <w:t xml:space="preserve">86.3 weeks (95% CI 63.0, 126.4) in the </w:t>
      </w:r>
      <w:proofErr w:type="spellStart"/>
      <w:r w:rsidR="004C7C9B" w:rsidRPr="003B6D82">
        <w:rPr>
          <w:iCs/>
        </w:rPr>
        <w:t>fedratinib</w:t>
      </w:r>
      <w:proofErr w:type="spellEnd"/>
      <w:r w:rsidR="004C7C9B" w:rsidRPr="003B6D82">
        <w:rPr>
          <w:iCs/>
        </w:rPr>
        <w:t xml:space="preserve"> arm </w:t>
      </w:r>
      <w:r w:rsidR="00C713DE" w:rsidRPr="003B6D82">
        <w:rPr>
          <w:iCs/>
        </w:rPr>
        <w:t xml:space="preserve">(not estimable </w:t>
      </w:r>
      <w:r w:rsidR="004C7C9B" w:rsidRPr="003B6D82">
        <w:rPr>
          <w:iCs/>
        </w:rPr>
        <w:t>in the best available therapy arm</w:t>
      </w:r>
      <w:r w:rsidR="00C713DE" w:rsidRPr="003B6D82">
        <w:rPr>
          <w:iCs/>
        </w:rPr>
        <w:t>)</w:t>
      </w:r>
      <w:r w:rsidR="004C7C9B" w:rsidRPr="003B6D82">
        <w:rPr>
          <w:iCs/>
        </w:rPr>
        <w:t xml:space="preserve">. Given </w:t>
      </w:r>
      <w:proofErr w:type="gramStart"/>
      <w:r w:rsidR="004C7C9B" w:rsidRPr="003B6D82">
        <w:rPr>
          <w:iCs/>
        </w:rPr>
        <w:t>the majority of</w:t>
      </w:r>
      <w:proofErr w:type="gramEnd"/>
      <w:r w:rsidR="004C7C9B" w:rsidRPr="003B6D82">
        <w:rPr>
          <w:iCs/>
        </w:rPr>
        <w:t xml:space="preserve"> patients in the best available therapy arm crossed over to </w:t>
      </w:r>
      <w:proofErr w:type="spellStart"/>
      <w:r w:rsidR="004C7C9B" w:rsidRPr="003B6D82">
        <w:rPr>
          <w:iCs/>
        </w:rPr>
        <w:t>fedratinib</w:t>
      </w:r>
      <w:proofErr w:type="spellEnd"/>
      <w:r w:rsidR="004C7C9B" w:rsidRPr="003B6D82">
        <w:rPr>
          <w:iCs/>
        </w:rPr>
        <w:t xml:space="preserve"> treatment after </w:t>
      </w:r>
      <w:r w:rsidR="001B3951" w:rsidRPr="003B6D82">
        <w:rPr>
          <w:iCs/>
        </w:rPr>
        <w:t>24 weeks</w:t>
      </w:r>
      <w:r w:rsidR="004C7C9B" w:rsidRPr="003B6D82">
        <w:rPr>
          <w:iCs/>
        </w:rPr>
        <w:t xml:space="preserve">, the results of the </w:t>
      </w:r>
      <w:proofErr w:type="gramStart"/>
      <w:r w:rsidR="004C7C9B" w:rsidRPr="003B6D82">
        <w:rPr>
          <w:iCs/>
        </w:rPr>
        <w:t>longer term</w:t>
      </w:r>
      <w:proofErr w:type="gramEnd"/>
      <w:r w:rsidR="004C7C9B" w:rsidRPr="003B6D82">
        <w:rPr>
          <w:iCs/>
        </w:rPr>
        <w:t xml:space="preserve"> outcomes are of limited benefit in assessing the comparative efficacy of </w:t>
      </w:r>
      <w:proofErr w:type="spellStart"/>
      <w:r w:rsidR="004C7C9B" w:rsidRPr="003B6D82">
        <w:rPr>
          <w:iCs/>
        </w:rPr>
        <w:t>fedratinib</w:t>
      </w:r>
      <w:proofErr w:type="spellEnd"/>
      <w:r w:rsidR="004C7C9B" w:rsidRPr="003B6D82">
        <w:rPr>
          <w:iCs/>
        </w:rPr>
        <w:t xml:space="preserve"> and best available therapy.</w:t>
      </w:r>
    </w:p>
    <w:p w14:paraId="38985E5F" w14:textId="3DB59765" w:rsidR="004C7C9B" w:rsidRPr="003B6D82" w:rsidRDefault="004C7C9B" w:rsidP="00CE55F4">
      <w:pPr>
        <w:pStyle w:val="COMexecsummnumbered"/>
        <w:rPr>
          <w:iCs/>
        </w:rPr>
      </w:pPr>
      <w:r w:rsidRPr="003B6D82">
        <w:rPr>
          <w:iCs/>
        </w:rPr>
        <w:t xml:space="preserve">Results of the key secondary outcome from FREEDOM-2, proportion of patients with at least </w:t>
      </w:r>
      <w:r w:rsidR="00011AF0" w:rsidRPr="003B6D82">
        <w:rPr>
          <w:iCs/>
        </w:rPr>
        <w:t xml:space="preserve">a </w:t>
      </w:r>
      <w:r w:rsidRPr="003B6D82">
        <w:rPr>
          <w:iCs/>
        </w:rPr>
        <w:t>50% reduction in total</w:t>
      </w:r>
      <w:r w:rsidR="00DE2E62" w:rsidRPr="003B6D82">
        <w:rPr>
          <w:iCs/>
        </w:rPr>
        <w:t xml:space="preserve"> </w:t>
      </w:r>
      <w:r w:rsidR="00C646B6" w:rsidRPr="003B6D82">
        <w:rPr>
          <w:iCs/>
        </w:rPr>
        <w:t xml:space="preserve">symptom scores, measured using the </w:t>
      </w:r>
      <w:r w:rsidRPr="003B6D82">
        <w:rPr>
          <w:iCs/>
        </w:rPr>
        <w:t xml:space="preserve">MFSAF, are summarised in </w:t>
      </w:r>
      <w:r w:rsidR="007C4357" w:rsidRPr="003B6D82">
        <w:rPr>
          <w:iCs/>
        </w:rPr>
        <w:fldChar w:fldCharType="begin" w:fldLock="1"/>
      </w:r>
      <w:r w:rsidR="007C4357" w:rsidRPr="003B6D82">
        <w:rPr>
          <w:iCs/>
        </w:rPr>
        <w:instrText xml:space="preserve"> REF _Ref191893709 \h </w:instrText>
      </w:r>
      <w:r w:rsidR="00A67212" w:rsidRPr="003B6D82">
        <w:rPr>
          <w:iCs/>
        </w:rPr>
        <w:instrText xml:space="preserve"> \* MERGEFORMAT </w:instrText>
      </w:r>
      <w:r w:rsidR="007C4357" w:rsidRPr="003B6D82">
        <w:rPr>
          <w:iCs/>
        </w:rPr>
      </w:r>
      <w:r w:rsidR="007C4357" w:rsidRPr="003B6D82">
        <w:rPr>
          <w:iCs/>
        </w:rPr>
        <w:fldChar w:fldCharType="separate"/>
      </w:r>
      <w:r w:rsidR="00A072A5" w:rsidRPr="003B6D82">
        <w:rPr>
          <w:iCs/>
        </w:rPr>
        <w:t xml:space="preserve">Table </w:t>
      </w:r>
      <w:r w:rsidR="00A072A5">
        <w:rPr>
          <w:iCs/>
          <w:noProof/>
        </w:rPr>
        <w:t>5</w:t>
      </w:r>
      <w:r w:rsidR="007C4357" w:rsidRPr="003B6D82">
        <w:rPr>
          <w:iCs/>
        </w:rPr>
        <w:fldChar w:fldCharType="end"/>
      </w:r>
      <w:r w:rsidR="007C4357" w:rsidRPr="003B6D82">
        <w:rPr>
          <w:iCs/>
        </w:rPr>
        <w:t>.</w:t>
      </w:r>
    </w:p>
    <w:p w14:paraId="24DA9B39" w14:textId="6272F421" w:rsidR="004C7C9B" w:rsidRPr="003B6D82" w:rsidRDefault="004C7C9B" w:rsidP="00AA78F9">
      <w:pPr>
        <w:pStyle w:val="COMtablefigcaption"/>
        <w:spacing w:before="120"/>
        <w:rPr>
          <w:iCs/>
        </w:rPr>
      </w:pPr>
      <w:bookmarkStart w:id="20" w:name="_Ref191893709"/>
      <w:r w:rsidRPr="003B6D82">
        <w:rPr>
          <w:iCs/>
        </w:rPr>
        <w:t xml:space="preserve">Table </w:t>
      </w:r>
      <w:r w:rsidR="00B251ED" w:rsidRPr="003B6D82">
        <w:rPr>
          <w:iCs/>
        </w:rPr>
        <w:fldChar w:fldCharType="begin" w:fldLock="1"/>
      </w:r>
      <w:r w:rsidR="00B251ED" w:rsidRPr="003B6D82">
        <w:rPr>
          <w:iCs/>
        </w:rPr>
        <w:instrText xml:space="preserve"> SEQ Table \* ARABIC </w:instrText>
      </w:r>
      <w:r w:rsidR="00B251ED" w:rsidRPr="003B6D82">
        <w:rPr>
          <w:iCs/>
        </w:rPr>
        <w:fldChar w:fldCharType="separate"/>
      </w:r>
      <w:r w:rsidR="00A072A5">
        <w:rPr>
          <w:iCs/>
          <w:noProof/>
        </w:rPr>
        <w:t>5</w:t>
      </w:r>
      <w:r w:rsidR="00B251ED" w:rsidRPr="003B6D82">
        <w:rPr>
          <w:iCs/>
          <w:noProof/>
        </w:rPr>
        <w:fldChar w:fldCharType="end"/>
      </w:r>
      <w:bookmarkEnd w:id="20"/>
      <w:r w:rsidRPr="003B6D82">
        <w:rPr>
          <w:iCs/>
        </w:rPr>
        <w:t xml:space="preserve">: Proportion of patients with at least 50% reduction in </w:t>
      </w:r>
      <w:r w:rsidR="00DB7C80" w:rsidRPr="003B6D82">
        <w:rPr>
          <w:iCs/>
        </w:rPr>
        <w:t xml:space="preserve">MFSAF </w:t>
      </w:r>
      <w:r w:rsidRPr="003B6D82">
        <w:rPr>
          <w:iCs/>
        </w:rPr>
        <w:t>total symptom scores, FREEDOM-2, ITT population with non-zero baseline total symptom score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1847"/>
        <w:gridCol w:w="1702"/>
        <w:gridCol w:w="1930"/>
      </w:tblGrid>
      <w:tr w:rsidR="004C7C9B" w:rsidRPr="003B6D82" w14:paraId="4A03ADBF" w14:textId="77777777" w:rsidTr="00CE55F4">
        <w:trPr>
          <w:tblHeader/>
        </w:trPr>
        <w:tc>
          <w:tcPr>
            <w:tcW w:w="1962" w:type="pct"/>
            <w:vAlign w:val="center"/>
          </w:tcPr>
          <w:p w14:paraId="71819725" w14:textId="77777777" w:rsidR="004C7C9B" w:rsidRPr="003B6D82" w:rsidRDefault="004C7C9B" w:rsidP="00CE55F4">
            <w:pPr>
              <w:pStyle w:val="COMTableheadingrow"/>
              <w:rPr>
                <w:iCs/>
                <w:lang w:val="en-AU"/>
              </w:rPr>
            </w:pPr>
            <w:r w:rsidRPr="003B6D82">
              <w:rPr>
                <w:iCs/>
                <w:lang w:val="en-AU"/>
              </w:rPr>
              <w:t>Outcome at week 24</w:t>
            </w:r>
          </w:p>
        </w:tc>
        <w:tc>
          <w:tcPr>
            <w:tcW w:w="1024" w:type="pct"/>
            <w:vAlign w:val="center"/>
          </w:tcPr>
          <w:p w14:paraId="1390648C" w14:textId="77777777" w:rsidR="004C7C9B" w:rsidRPr="003B6D82" w:rsidRDefault="004C7C9B" w:rsidP="00CE55F4">
            <w:pPr>
              <w:pStyle w:val="COMTableheadingrow"/>
              <w:jc w:val="center"/>
              <w:rPr>
                <w:iCs/>
                <w:lang w:val="en-AU"/>
              </w:rPr>
            </w:pPr>
            <w:proofErr w:type="spellStart"/>
            <w:r w:rsidRPr="003B6D82">
              <w:rPr>
                <w:iCs/>
                <w:lang w:val="en-AU"/>
              </w:rPr>
              <w:t>Fedratinib</w:t>
            </w:r>
            <w:proofErr w:type="spellEnd"/>
          </w:p>
          <w:p w14:paraId="256E1D50" w14:textId="77777777" w:rsidR="004C7C9B" w:rsidRPr="003B6D82" w:rsidRDefault="004C7C9B" w:rsidP="00CE55F4">
            <w:pPr>
              <w:pStyle w:val="COMTableheadingrow"/>
              <w:jc w:val="center"/>
              <w:rPr>
                <w:iCs/>
                <w:lang w:val="en-AU"/>
              </w:rPr>
            </w:pPr>
            <w:r w:rsidRPr="003B6D82">
              <w:rPr>
                <w:iCs/>
                <w:lang w:val="en-AU"/>
              </w:rPr>
              <w:t>N = 126</w:t>
            </w:r>
          </w:p>
        </w:tc>
        <w:tc>
          <w:tcPr>
            <w:tcW w:w="944" w:type="pct"/>
            <w:vAlign w:val="center"/>
          </w:tcPr>
          <w:p w14:paraId="0C67405C" w14:textId="77777777" w:rsidR="004C7C9B" w:rsidRPr="003B6D82" w:rsidRDefault="004C7C9B" w:rsidP="00CE55F4">
            <w:pPr>
              <w:pStyle w:val="COMTableheadingrow"/>
              <w:jc w:val="center"/>
              <w:rPr>
                <w:iCs/>
                <w:lang w:val="en-AU"/>
              </w:rPr>
            </w:pPr>
            <w:r w:rsidRPr="003B6D82">
              <w:rPr>
                <w:iCs/>
                <w:lang w:val="en-AU"/>
              </w:rPr>
              <w:t>BAT</w:t>
            </w:r>
          </w:p>
          <w:p w14:paraId="701CC909" w14:textId="77777777" w:rsidR="004C7C9B" w:rsidRPr="003B6D82" w:rsidRDefault="004C7C9B" w:rsidP="00CE55F4">
            <w:pPr>
              <w:pStyle w:val="COMTableheadingrow"/>
              <w:jc w:val="center"/>
              <w:rPr>
                <w:iCs/>
                <w:lang w:val="en-AU"/>
              </w:rPr>
            </w:pPr>
            <w:r w:rsidRPr="003B6D82">
              <w:rPr>
                <w:iCs/>
                <w:lang w:val="en-AU"/>
              </w:rPr>
              <w:t>N = 65</w:t>
            </w:r>
          </w:p>
        </w:tc>
        <w:tc>
          <w:tcPr>
            <w:tcW w:w="1070" w:type="pct"/>
            <w:vAlign w:val="center"/>
          </w:tcPr>
          <w:p w14:paraId="1B594047" w14:textId="77777777" w:rsidR="004C7C9B" w:rsidRPr="003B6D82" w:rsidRDefault="004C7C9B" w:rsidP="00CE55F4">
            <w:pPr>
              <w:pStyle w:val="COMTableheadingrow"/>
              <w:jc w:val="center"/>
              <w:rPr>
                <w:iCs/>
                <w:lang w:val="en-AU"/>
              </w:rPr>
            </w:pPr>
            <w:r w:rsidRPr="003B6D82">
              <w:rPr>
                <w:iCs/>
                <w:lang w:val="en-AU"/>
              </w:rPr>
              <w:t>Difference in proportion (95% CI)</w:t>
            </w:r>
          </w:p>
        </w:tc>
      </w:tr>
      <w:tr w:rsidR="004C7C9B" w:rsidRPr="003B6D82" w14:paraId="338213D1" w14:textId="77777777" w:rsidTr="00CE55F4">
        <w:tc>
          <w:tcPr>
            <w:tcW w:w="1962" w:type="pct"/>
            <w:vAlign w:val="center"/>
          </w:tcPr>
          <w:p w14:paraId="0A2D5CF2" w14:textId="07DE48BB" w:rsidR="004C7C9B" w:rsidRPr="003B6D82" w:rsidRDefault="004C7C9B" w:rsidP="00CE55F4">
            <w:pPr>
              <w:pStyle w:val="COMTabletext"/>
              <w:rPr>
                <w:iCs/>
              </w:rPr>
            </w:pPr>
            <w:r w:rsidRPr="003B6D82">
              <w:rPr>
                <w:iCs/>
              </w:rPr>
              <w:t>≥50% reduction in TSS, n (%)</w:t>
            </w:r>
          </w:p>
        </w:tc>
        <w:tc>
          <w:tcPr>
            <w:tcW w:w="1024" w:type="pct"/>
            <w:vAlign w:val="center"/>
          </w:tcPr>
          <w:p w14:paraId="09535A41" w14:textId="2FD9805B" w:rsidR="004C7C9B" w:rsidRPr="003B6D82" w:rsidRDefault="004C7C9B" w:rsidP="00CE55F4">
            <w:pPr>
              <w:pStyle w:val="COMTabletext"/>
              <w:jc w:val="center"/>
              <w:rPr>
                <w:iCs/>
              </w:rPr>
            </w:pPr>
            <w:r w:rsidRPr="003B6D82">
              <w:rPr>
                <w:iCs/>
              </w:rPr>
              <w:t>43 (34.1%)</w:t>
            </w:r>
          </w:p>
        </w:tc>
        <w:tc>
          <w:tcPr>
            <w:tcW w:w="944" w:type="pct"/>
            <w:vAlign w:val="center"/>
          </w:tcPr>
          <w:p w14:paraId="5DBA14C7" w14:textId="63A1EFDB" w:rsidR="004C7C9B" w:rsidRPr="003B6D82" w:rsidRDefault="004C7C9B" w:rsidP="00CE55F4">
            <w:pPr>
              <w:pStyle w:val="COMTabletext"/>
              <w:jc w:val="center"/>
              <w:rPr>
                <w:iCs/>
              </w:rPr>
            </w:pPr>
            <w:r w:rsidRPr="003B6D82">
              <w:rPr>
                <w:iCs/>
              </w:rPr>
              <w:t>11 (16.9%)</w:t>
            </w:r>
          </w:p>
        </w:tc>
        <w:tc>
          <w:tcPr>
            <w:tcW w:w="1070" w:type="pct"/>
            <w:vAlign w:val="center"/>
          </w:tcPr>
          <w:p w14:paraId="46BBF3BA" w14:textId="77777777" w:rsidR="004C7C9B" w:rsidRPr="003B6D82" w:rsidRDefault="004C7C9B" w:rsidP="00CE55F4">
            <w:pPr>
              <w:pStyle w:val="COMTabletext"/>
              <w:jc w:val="center"/>
              <w:rPr>
                <w:b/>
                <w:bCs w:val="0"/>
                <w:iCs/>
              </w:rPr>
            </w:pPr>
            <w:r w:rsidRPr="003B6D82">
              <w:rPr>
                <w:b/>
                <w:bCs w:val="0"/>
                <w:iCs/>
              </w:rPr>
              <w:t>17.1 (4.8, 29.4)</w:t>
            </w:r>
          </w:p>
        </w:tc>
      </w:tr>
    </w:tbl>
    <w:p w14:paraId="203F0C53" w14:textId="77777777" w:rsidR="004C7C9B" w:rsidRPr="003B6D82" w:rsidRDefault="004C7C9B" w:rsidP="00890CE3">
      <w:pPr>
        <w:pStyle w:val="COMTablefooter"/>
        <w:keepNext/>
        <w:keepLines/>
        <w:rPr>
          <w:iCs/>
        </w:rPr>
      </w:pPr>
      <w:r w:rsidRPr="003B6D82">
        <w:rPr>
          <w:iCs/>
        </w:rPr>
        <w:t>Source: Table 40, p68 of the submission.</w:t>
      </w:r>
    </w:p>
    <w:p w14:paraId="2DC88600" w14:textId="2D2C1D22" w:rsidR="004C7C9B" w:rsidRPr="003B6D82" w:rsidRDefault="004C7C9B" w:rsidP="00890CE3">
      <w:pPr>
        <w:pStyle w:val="COMTablefooter"/>
        <w:keepNext/>
        <w:keepLines/>
        <w:rPr>
          <w:rFonts w:eastAsia="Calibri"/>
          <w:iCs/>
        </w:rPr>
      </w:pPr>
      <w:r w:rsidRPr="003B6D82">
        <w:rPr>
          <w:rFonts w:eastAsia="Calibri"/>
          <w:iCs/>
        </w:rPr>
        <w:t xml:space="preserve">Abbreviations: BAT, best available therapy; ITT, intent-to-treat; </w:t>
      </w:r>
      <w:r w:rsidR="00DB7C80" w:rsidRPr="003B6D82">
        <w:rPr>
          <w:iCs/>
        </w:rPr>
        <w:t xml:space="preserve">MFSAF, Myelofibrosis Symptom Assessment Form; </w:t>
      </w:r>
      <w:r w:rsidRPr="003B6D82">
        <w:rPr>
          <w:rFonts w:eastAsia="Calibri"/>
          <w:iCs/>
        </w:rPr>
        <w:t>TSS, total symptom score.</w:t>
      </w:r>
    </w:p>
    <w:p w14:paraId="61049462" w14:textId="77777777" w:rsidR="00DB7C80" w:rsidRPr="003B6D82" w:rsidRDefault="00DB7C80" w:rsidP="00890CE3">
      <w:pPr>
        <w:pStyle w:val="COMTablefooter"/>
        <w:keepNext/>
        <w:keepLines/>
        <w:rPr>
          <w:rFonts w:eastAsia="Calibri"/>
          <w:iCs/>
        </w:rPr>
      </w:pPr>
      <w:r w:rsidRPr="003B6D82">
        <w:rPr>
          <w:rFonts w:eastAsia="Calibri"/>
          <w:iCs/>
        </w:rPr>
        <w:t>Note: stratified analysis based on data reported in the electronic case report form.</w:t>
      </w:r>
    </w:p>
    <w:p w14:paraId="49FAC7FD" w14:textId="77777777" w:rsidR="004C7C9B" w:rsidRPr="003B6D82" w:rsidRDefault="004C7C9B" w:rsidP="00890CE3">
      <w:pPr>
        <w:pStyle w:val="COMTablefooter"/>
        <w:keepNext/>
        <w:keepLines/>
        <w:rPr>
          <w:rFonts w:eastAsia="Calibri"/>
          <w:iCs/>
        </w:rPr>
      </w:pPr>
      <w:r w:rsidRPr="003B6D82">
        <w:rPr>
          <w:rFonts w:eastAsia="Calibri"/>
          <w:iCs/>
        </w:rPr>
        <w:t xml:space="preserve">Note: There were 3 patients in the </w:t>
      </w:r>
      <w:proofErr w:type="spellStart"/>
      <w:r w:rsidRPr="003B6D82">
        <w:rPr>
          <w:rFonts w:eastAsia="Calibri"/>
          <w:iCs/>
        </w:rPr>
        <w:t>fedratinib</w:t>
      </w:r>
      <w:proofErr w:type="spellEnd"/>
      <w:r w:rsidRPr="003B6D82">
        <w:rPr>
          <w:rFonts w:eastAsia="Calibri"/>
          <w:iCs/>
        </w:rPr>
        <w:t xml:space="preserve"> arm and no patients in the BAT arm with a total symptom score of zero. The remaining 5 patients in the </w:t>
      </w:r>
      <w:proofErr w:type="spellStart"/>
      <w:r w:rsidRPr="003B6D82">
        <w:rPr>
          <w:rFonts w:eastAsia="Calibri"/>
          <w:iCs/>
        </w:rPr>
        <w:t>fedratinib</w:t>
      </w:r>
      <w:proofErr w:type="spellEnd"/>
      <w:r w:rsidRPr="003B6D82">
        <w:rPr>
          <w:rFonts w:eastAsia="Calibri"/>
          <w:iCs/>
        </w:rPr>
        <w:t xml:space="preserve"> arm and 2 patients in the BAT arm did not have baseline MFSAF scores.</w:t>
      </w:r>
    </w:p>
    <w:p w14:paraId="34D722FB" w14:textId="605D7F33" w:rsidR="004C7C9B" w:rsidRPr="003B6D82" w:rsidRDefault="004C7C9B" w:rsidP="00890CE3">
      <w:pPr>
        <w:pStyle w:val="COMTablefooter"/>
        <w:keepNext/>
        <w:keepLines/>
        <w:rPr>
          <w:iCs/>
        </w:rPr>
      </w:pPr>
      <w:r w:rsidRPr="003B6D82">
        <w:rPr>
          <w:iCs/>
        </w:rPr>
        <w:t xml:space="preserve">Note: </w:t>
      </w:r>
      <w:r w:rsidR="00226627" w:rsidRPr="003B6D82">
        <w:rPr>
          <w:iCs/>
        </w:rPr>
        <w:t>The MFSAF (version 4) asks patients to report myelofibrosis associated symptoms experienced within the prior 7 days, including night sweats, pruritus, abdominal discomfort, early satiety, pain under ribs on the left side, bone or muscle pain, and fatigue. Each symptom is scored from 0 to 10, with the total symptom score (0 to 70) the sum of the scores for the 7 symptoms, and higher scores corresponding to more severe symptoms.</w:t>
      </w:r>
    </w:p>
    <w:p w14:paraId="7B2CE737" w14:textId="6C9BCDBB" w:rsidR="004C7C9B" w:rsidRPr="003B6D82" w:rsidRDefault="004C7C9B" w:rsidP="00C646B6">
      <w:pPr>
        <w:pStyle w:val="COMTablefooter"/>
        <w:rPr>
          <w:iCs/>
        </w:rPr>
      </w:pPr>
      <w:r w:rsidRPr="003B6D82">
        <w:rPr>
          <w:rFonts w:eastAsia="Calibri"/>
          <w:b/>
          <w:bCs/>
          <w:iCs/>
        </w:rPr>
        <w:t>Bold</w:t>
      </w:r>
      <w:r w:rsidRPr="003B6D82">
        <w:rPr>
          <w:rFonts w:eastAsia="Calibri"/>
          <w:iCs/>
        </w:rPr>
        <w:t xml:space="preserve"> indicates statistically significant results</w:t>
      </w:r>
      <w:r w:rsidR="00B30D90" w:rsidRPr="003B6D82">
        <w:rPr>
          <w:rFonts w:eastAsia="Calibri"/>
          <w:iCs/>
        </w:rPr>
        <w:t>.</w:t>
      </w:r>
    </w:p>
    <w:p w14:paraId="736CD828" w14:textId="356C0482" w:rsidR="00C762C7" w:rsidRPr="003B6D82" w:rsidRDefault="00C762C7" w:rsidP="00CE55F4">
      <w:pPr>
        <w:pStyle w:val="COMexecsummnumbered"/>
        <w:rPr>
          <w:iCs/>
        </w:rPr>
      </w:pPr>
      <w:r w:rsidRPr="003B6D82">
        <w:rPr>
          <w:iCs/>
        </w:rPr>
        <w:t xml:space="preserve">A statistically significantly greater proportion of patients treated with </w:t>
      </w:r>
      <w:proofErr w:type="spellStart"/>
      <w:r w:rsidRPr="003B6D82">
        <w:rPr>
          <w:iCs/>
        </w:rPr>
        <w:t>fedratinib</w:t>
      </w:r>
      <w:proofErr w:type="spellEnd"/>
      <w:r w:rsidRPr="003B6D82">
        <w:rPr>
          <w:iCs/>
        </w:rPr>
        <w:t xml:space="preserve"> achieved at least </w:t>
      </w:r>
      <w:r w:rsidR="00011AF0" w:rsidRPr="003B6D82">
        <w:rPr>
          <w:iCs/>
        </w:rPr>
        <w:t xml:space="preserve">a </w:t>
      </w:r>
      <w:r w:rsidRPr="003B6D82">
        <w:rPr>
          <w:iCs/>
        </w:rPr>
        <w:t xml:space="preserve">50% reduction in </w:t>
      </w:r>
      <w:r w:rsidR="008C588C" w:rsidRPr="003B6D82">
        <w:rPr>
          <w:iCs/>
        </w:rPr>
        <w:t xml:space="preserve">MFSAF </w:t>
      </w:r>
      <w:r w:rsidRPr="003B6D82">
        <w:rPr>
          <w:iCs/>
        </w:rPr>
        <w:t>total symptom scores compared to patients</w:t>
      </w:r>
      <w:r w:rsidR="0092325C" w:rsidRPr="003B6D82">
        <w:rPr>
          <w:iCs/>
        </w:rPr>
        <w:t xml:space="preserve"> in the best available therapy arm</w:t>
      </w:r>
      <w:r w:rsidRPr="003B6D82">
        <w:rPr>
          <w:iCs/>
        </w:rPr>
        <w:t xml:space="preserve">. Durability of symptom response through the follow-up period was based on a median follow-up of 11.5 weeks for </w:t>
      </w:r>
      <w:proofErr w:type="spellStart"/>
      <w:r w:rsidRPr="003B6D82">
        <w:rPr>
          <w:iCs/>
        </w:rPr>
        <w:t>fedratinib</w:t>
      </w:r>
      <w:proofErr w:type="spellEnd"/>
      <w:r w:rsidRPr="003B6D82">
        <w:rPr>
          <w:iCs/>
        </w:rPr>
        <w:t xml:space="preserve"> and 8.1</w:t>
      </w:r>
      <w:r w:rsidR="0082693F" w:rsidRPr="003B6D82">
        <w:rPr>
          <w:iCs/>
        </w:rPr>
        <w:t xml:space="preserve"> </w:t>
      </w:r>
      <w:r w:rsidRPr="003B6D82">
        <w:rPr>
          <w:iCs/>
        </w:rPr>
        <w:t xml:space="preserve">weeks for </w:t>
      </w:r>
      <w:r w:rsidR="0092325C" w:rsidRPr="003B6D82">
        <w:rPr>
          <w:iCs/>
        </w:rPr>
        <w:t>best available therapy</w:t>
      </w:r>
      <w:r w:rsidRPr="003B6D82">
        <w:rPr>
          <w:iCs/>
        </w:rPr>
        <w:t xml:space="preserve">, with </w:t>
      </w:r>
      <w:r w:rsidR="007B5748" w:rsidRPr="003B6D82">
        <w:rPr>
          <w:iCs/>
        </w:rPr>
        <w:t xml:space="preserve">a </w:t>
      </w:r>
      <w:r w:rsidRPr="003B6D82">
        <w:rPr>
          <w:iCs/>
        </w:rPr>
        <w:t xml:space="preserve">median duration of symptom response </w:t>
      </w:r>
      <w:r w:rsidR="00B96555" w:rsidRPr="003B6D82">
        <w:rPr>
          <w:iCs/>
        </w:rPr>
        <w:t xml:space="preserve">of </w:t>
      </w:r>
      <w:r w:rsidRPr="003B6D82">
        <w:rPr>
          <w:iCs/>
        </w:rPr>
        <w:t xml:space="preserve">12.1 weeks (95% CI 8.1, 16.1) in the </w:t>
      </w:r>
      <w:proofErr w:type="spellStart"/>
      <w:r w:rsidRPr="003B6D82">
        <w:rPr>
          <w:iCs/>
        </w:rPr>
        <w:t>fedratinib</w:t>
      </w:r>
      <w:proofErr w:type="spellEnd"/>
      <w:r w:rsidRPr="003B6D82">
        <w:rPr>
          <w:iCs/>
        </w:rPr>
        <w:t xml:space="preserve"> arm and 10.1 weeks (95% CI 4.1, 16.7) in the best available therapy arm.</w:t>
      </w:r>
      <w:r w:rsidR="000A5160" w:rsidRPr="003B6D82">
        <w:rPr>
          <w:iCs/>
        </w:rPr>
        <w:t xml:space="preserve"> The ESC noted </w:t>
      </w:r>
      <w:proofErr w:type="gramStart"/>
      <w:r w:rsidRPr="003B6D82">
        <w:rPr>
          <w:iCs/>
        </w:rPr>
        <w:t>the majority of</w:t>
      </w:r>
      <w:proofErr w:type="gramEnd"/>
      <w:r w:rsidRPr="003B6D82">
        <w:rPr>
          <w:iCs/>
        </w:rPr>
        <w:t xml:space="preserve"> patients in the best available therapy arm crossed over to </w:t>
      </w:r>
      <w:proofErr w:type="spellStart"/>
      <w:r w:rsidRPr="003B6D82">
        <w:rPr>
          <w:iCs/>
        </w:rPr>
        <w:t>fedratinib</w:t>
      </w:r>
      <w:proofErr w:type="spellEnd"/>
      <w:r w:rsidRPr="003B6D82">
        <w:rPr>
          <w:iCs/>
        </w:rPr>
        <w:t xml:space="preserve"> treatment after Week</w:t>
      </w:r>
      <w:r w:rsidR="00890CE3">
        <w:rPr>
          <w:iCs/>
        </w:rPr>
        <w:t> </w:t>
      </w:r>
      <w:r w:rsidRPr="003B6D82">
        <w:rPr>
          <w:iCs/>
        </w:rPr>
        <w:t xml:space="preserve">24, the results of the </w:t>
      </w:r>
      <w:proofErr w:type="gramStart"/>
      <w:r w:rsidRPr="003B6D82">
        <w:rPr>
          <w:iCs/>
        </w:rPr>
        <w:t>longer term</w:t>
      </w:r>
      <w:proofErr w:type="gramEnd"/>
      <w:r w:rsidRPr="003B6D82">
        <w:rPr>
          <w:iCs/>
        </w:rPr>
        <w:t xml:space="preserve"> outcomes are of limited benefit in assessing the comparative efficacy of </w:t>
      </w:r>
      <w:proofErr w:type="spellStart"/>
      <w:r w:rsidRPr="003B6D82">
        <w:rPr>
          <w:iCs/>
        </w:rPr>
        <w:t>fedratinib</w:t>
      </w:r>
      <w:proofErr w:type="spellEnd"/>
      <w:r w:rsidRPr="003B6D82">
        <w:rPr>
          <w:iCs/>
        </w:rPr>
        <w:t xml:space="preserve"> and </w:t>
      </w:r>
      <w:r w:rsidR="0092325C" w:rsidRPr="003B6D82">
        <w:rPr>
          <w:iCs/>
        </w:rPr>
        <w:t>best available therapy</w:t>
      </w:r>
      <w:r w:rsidRPr="003B6D82">
        <w:rPr>
          <w:iCs/>
        </w:rPr>
        <w:t>.</w:t>
      </w:r>
    </w:p>
    <w:p w14:paraId="7B785A32" w14:textId="0BF5B297" w:rsidR="002675F6" w:rsidRPr="003B6D82" w:rsidRDefault="002675F6" w:rsidP="00CE55F4">
      <w:pPr>
        <w:pStyle w:val="COMexecsummnumbered"/>
        <w:rPr>
          <w:iCs/>
        </w:rPr>
      </w:pPr>
      <w:r w:rsidRPr="003B6D82">
        <w:rPr>
          <w:iCs/>
        </w:rPr>
        <w:t xml:space="preserve">The FREEDOM-2 clinical study report noted that concordance between spleen volume response and symptom response at the </w:t>
      </w:r>
      <w:r w:rsidR="009F4193" w:rsidRPr="003B6D82">
        <w:rPr>
          <w:iCs/>
        </w:rPr>
        <w:t>end of Cycle</w:t>
      </w:r>
      <w:r w:rsidRPr="003B6D82">
        <w:rPr>
          <w:iCs/>
        </w:rPr>
        <w:t xml:space="preserve"> 6 was 69.6% overall (62.7% in the </w:t>
      </w:r>
      <w:proofErr w:type="spellStart"/>
      <w:r w:rsidRPr="003B6D82">
        <w:rPr>
          <w:iCs/>
        </w:rPr>
        <w:t>fedratinib</w:t>
      </w:r>
      <w:proofErr w:type="spellEnd"/>
      <w:r w:rsidRPr="003B6D82">
        <w:rPr>
          <w:iCs/>
        </w:rPr>
        <w:t xml:space="preserve"> arm and 83.1% in the best available therapy arm). At the </w:t>
      </w:r>
      <w:r w:rsidR="009F4193" w:rsidRPr="003B6D82">
        <w:rPr>
          <w:iCs/>
        </w:rPr>
        <w:t>end of Cycle</w:t>
      </w:r>
      <w:r w:rsidR="00890CE3">
        <w:rPr>
          <w:iCs/>
        </w:rPr>
        <w:t> </w:t>
      </w:r>
      <w:r w:rsidRPr="003B6D82">
        <w:rPr>
          <w:iCs/>
        </w:rPr>
        <w:t xml:space="preserve">6, </w:t>
      </w:r>
      <w:r w:rsidRPr="003B6D82">
        <w:rPr>
          <w:iCs/>
        </w:rPr>
        <w:lastRenderedPageBreak/>
        <w:t xml:space="preserve">21/126 </w:t>
      </w:r>
      <w:proofErr w:type="spellStart"/>
      <w:r w:rsidRPr="003B6D82">
        <w:rPr>
          <w:iCs/>
        </w:rPr>
        <w:t>fedratinib</w:t>
      </w:r>
      <w:proofErr w:type="spellEnd"/>
      <w:r w:rsidRPr="003B6D82">
        <w:rPr>
          <w:iCs/>
        </w:rPr>
        <w:t xml:space="preserve"> treated patients (16.7%) achieved both spleen and symptom response compared to 2/65 (3.1%) best available therapy-treated patients. There were 68 (54.0%) patients in the </w:t>
      </w:r>
      <w:proofErr w:type="spellStart"/>
      <w:r w:rsidRPr="003B6D82">
        <w:rPr>
          <w:iCs/>
        </w:rPr>
        <w:t>fedratinib</w:t>
      </w:r>
      <w:proofErr w:type="spellEnd"/>
      <w:r w:rsidRPr="003B6D82">
        <w:rPr>
          <w:iCs/>
        </w:rPr>
        <w:t xml:space="preserve"> arm who achieved either spleen or symptom response compared to 13 (20.0%) in the best available therapy arm.</w:t>
      </w:r>
    </w:p>
    <w:p w14:paraId="0679DFF5" w14:textId="6BD109A5" w:rsidR="00D87D46" w:rsidRPr="003B6D82" w:rsidRDefault="00D87D46" w:rsidP="00D87D46">
      <w:pPr>
        <w:pStyle w:val="COMexecsummnumbered"/>
        <w:rPr>
          <w:iCs/>
        </w:rPr>
      </w:pPr>
      <w:r w:rsidRPr="003B6D82">
        <w:rPr>
          <w:iCs/>
        </w:rPr>
        <w:t xml:space="preserve">Anaemia response, defined as ≥20 g/L increase in haemoglobin level in transfusion-independent subjects or transfusion-dependent subjects who become transfusion-independent, was reported in the FREEDOM-2 trial as an exploratory outcome. Anaemia response was recorded in 19.8% of patients in the </w:t>
      </w:r>
      <w:proofErr w:type="spellStart"/>
      <w:r w:rsidRPr="003B6D82">
        <w:rPr>
          <w:iCs/>
        </w:rPr>
        <w:t>fedratinib</w:t>
      </w:r>
      <w:proofErr w:type="spellEnd"/>
      <w:r w:rsidRPr="003B6D82">
        <w:rPr>
          <w:iCs/>
        </w:rPr>
        <w:t xml:space="preserve"> arm and 22.6% of patients in the best available therapy arm. Across the entire treatment period, the mean red blood cell transfusion rate per 28 days (number of units of transfusions that occurred from first dose of study medication to last dose of study medication</w:t>
      </w:r>
      <w:r w:rsidR="00DE3EC3">
        <w:rPr>
          <w:iCs/>
        </w:rPr>
        <w:t xml:space="preserve"> </w:t>
      </w:r>
      <w:r w:rsidRPr="003B6D82">
        <w:rPr>
          <w:iCs/>
        </w:rPr>
        <w:t>+30</w:t>
      </w:r>
      <w:r w:rsidR="00890CE3">
        <w:rPr>
          <w:iCs/>
        </w:rPr>
        <w:t> </w:t>
      </w:r>
      <w:r w:rsidRPr="003B6D82">
        <w:rPr>
          <w:iCs/>
        </w:rPr>
        <w:t xml:space="preserve">days/on treatment period (days) </w:t>
      </w:r>
      <w:r w:rsidR="00A82BF7" w:rsidRPr="003B6D82">
        <w:rPr>
          <w:iCs/>
        </w:rPr>
        <w:t>×</w:t>
      </w:r>
      <w:r w:rsidRPr="003B6D82">
        <w:rPr>
          <w:iCs/>
        </w:rPr>
        <w:t xml:space="preserve"> 28 days) was 1.935 (SD 2.090) in the </w:t>
      </w:r>
      <w:proofErr w:type="spellStart"/>
      <w:r w:rsidRPr="003B6D82">
        <w:rPr>
          <w:iCs/>
        </w:rPr>
        <w:t>fedratinib</w:t>
      </w:r>
      <w:proofErr w:type="spellEnd"/>
      <w:r w:rsidRPr="003B6D82">
        <w:rPr>
          <w:iCs/>
        </w:rPr>
        <w:t xml:space="preserve"> arm and 1.408 (1.209) in the best available therapy arm. However, results for the best available therapy arm only included data prior to treatment crossover to </w:t>
      </w:r>
      <w:proofErr w:type="spellStart"/>
      <w:r w:rsidRPr="003B6D82">
        <w:rPr>
          <w:iCs/>
        </w:rPr>
        <w:t>fedratinib</w:t>
      </w:r>
      <w:proofErr w:type="spellEnd"/>
      <w:r w:rsidRPr="003B6D82">
        <w:rPr>
          <w:iCs/>
        </w:rPr>
        <w:t xml:space="preserve">. </w:t>
      </w:r>
    </w:p>
    <w:p w14:paraId="0846DD94" w14:textId="70A75682" w:rsidR="00723F17" w:rsidRPr="003B6D82" w:rsidRDefault="002675F6" w:rsidP="00CE55F4">
      <w:pPr>
        <w:pStyle w:val="COMexecsummnumbered"/>
        <w:rPr>
          <w:iCs/>
        </w:rPr>
      </w:pPr>
      <w:r w:rsidRPr="003B6D82">
        <w:rPr>
          <w:iCs/>
        </w:rPr>
        <w:t xml:space="preserve">Quality of life in the FREEDOM-2 trial was measured by the </w:t>
      </w:r>
      <w:r w:rsidR="00A54936" w:rsidRPr="003B6D82">
        <w:rPr>
          <w:iCs/>
        </w:rPr>
        <w:t xml:space="preserve">European </w:t>
      </w:r>
      <w:r w:rsidR="0049026A" w:rsidRPr="003B6D82">
        <w:rPr>
          <w:iCs/>
        </w:rPr>
        <w:t xml:space="preserve">Organisation </w:t>
      </w:r>
      <w:r w:rsidR="00A54936" w:rsidRPr="003B6D82">
        <w:rPr>
          <w:iCs/>
        </w:rPr>
        <w:t xml:space="preserve">for Research and Treatment of Cancer Quality of Life </w:t>
      </w:r>
      <w:r w:rsidR="00657B04" w:rsidRPr="003B6D82">
        <w:rPr>
          <w:iCs/>
        </w:rPr>
        <w:t xml:space="preserve">Questionnaire </w:t>
      </w:r>
      <w:r w:rsidR="00D10189" w:rsidRPr="003B6D82">
        <w:rPr>
          <w:iCs/>
        </w:rPr>
        <w:t>Core</w:t>
      </w:r>
      <w:r w:rsidR="00206892" w:rsidRPr="003B6D82">
        <w:rPr>
          <w:iCs/>
        </w:rPr>
        <w:t xml:space="preserve"> </w:t>
      </w:r>
      <w:r w:rsidR="00A54936" w:rsidRPr="003B6D82">
        <w:rPr>
          <w:iCs/>
        </w:rPr>
        <w:t>30 (</w:t>
      </w:r>
      <w:r w:rsidRPr="003B6D82">
        <w:rPr>
          <w:iCs/>
        </w:rPr>
        <w:t>EORTC QLQ-</w:t>
      </w:r>
      <w:r w:rsidR="00045409" w:rsidRPr="003B6D82">
        <w:rPr>
          <w:iCs/>
        </w:rPr>
        <w:t>C</w:t>
      </w:r>
      <w:r w:rsidRPr="003B6D82">
        <w:rPr>
          <w:iCs/>
        </w:rPr>
        <w:t>30</w:t>
      </w:r>
      <w:r w:rsidR="00A54936" w:rsidRPr="003B6D82">
        <w:rPr>
          <w:iCs/>
        </w:rPr>
        <w:t>)</w:t>
      </w:r>
      <w:r w:rsidRPr="003B6D82">
        <w:rPr>
          <w:iCs/>
        </w:rPr>
        <w:t xml:space="preserve"> </w:t>
      </w:r>
      <w:r w:rsidR="00CD3C68" w:rsidRPr="003B6D82">
        <w:rPr>
          <w:iCs/>
        </w:rPr>
        <w:t xml:space="preserve">and </w:t>
      </w:r>
      <w:r w:rsidR="00175736" w:rsidRPr="003B6D82">
        <w:rPr>
          <w:iCs/>
        </w:rPr>
        <w:t>EQ-5D-5L visual analogue scale and utility score</w:t>
      </w:r>
      <w:r w:rsidR="002B62FB" w:rsidRPr="003B6D82">
        <w:rPr>
          <w:iCs/>
        </w:rPr>
        <w:t xml:space="preserve"> (using the US value set)</w:t>
      </w:r>
      <w:r w:rsidR="001E1E68" w:rsidRPr="003B6D82">
        <w:rPr>
          <w:iCs/>
        </w:rPr>
        <w:t>,</w:t>
      </w:r>
      <w:r w:rsidR="00175736" w:rsidRPr="003B6D82">
        <w:rPr>
          <w:iCs/>
        </w:rPr>
        <w:t xml:space="preserve"> </w:t>
      </w:r>
      <w:r w:rsidR="002B62FB" w:rsidRPr="003B6D82">
        <w:rPr>
          <w:iCs/>
        </w:rPr>
        <w:t xml:space="preserve">based on </w:t>
      </w:r>
      <w:r w:rsidRPr="003B6D82">
        <w:rPr>
          <w:iCs/>
        </w:rPr>
        <w:t xml:space="preserve">the </w:t>
      </w:r>
      <w:proofErr w:type="spellStart"/>
      <w:r w:rsidRPr="003B6D82">
        <w:rPr>
          <w:iCs/>
        </w:rPr>
        <w:t>HRQoL</w:t>
      </w:r>
      <w:proofErr w:type="spellEnd"/>
      <w:r w:rsidRPr="003B6D82">
        <w:rPr>
          <w:iCs/>
        </w:rPr>
        <w:t xml:space="preserve"> evaluable population (all subjects who had an evaluable assessment of a given health-related quality of life measure at baseline and at least one evaluable assessment post-baseline</w:t>
      </w:r>
      <w:r w:rsidR="00804D87" w:rsidRPr="003B6D82">
        <w:rPr>
          <w:iCs/>
        </w:rPr>
        <w:t>)</w:t>
      </w:r>
      <w:r w:rsidRPr="003B6D82">
        <w:rPr>
          <w:iCs/>
        </w:rPr>
        <w:t xml:space="preserve">. </w:t>
      </w:r>
      <w:r w:rsidR="00BB74FF" w:rsidRPr="003B6D82">
        <w:rPr>
          <w:iCs/>
        </w:rPr>
        <w:t>The ESC noted f</w:t>
      </w:r>
      <w:r w:rsidR="00326DDC" w:rsidRPr="003B6D82">
        <w:rPr>
          <w:iCs/>
        </w:rPr>
        <w:t xml:space="preserve">or the EORTC QLQ-C30, </w:t>
      </w:r>
      <w:r w:rsidR="00114CBA" w:rsidRPr="003B6D82">
        <w:rPr>
          <w:iCs/>
        </w:rPr>
        <w:t xml:space="preserve">low questionnaire completion rates and </w:t>
      </w:r>
      <w:r w:rsidR="00723F17" w:rsidRPr="003B6D82">
        <w:rPr>
          <w:iCs/>
        </w:rPr>
        <w:t xml:space="preserve">clinically important </w:t>
      </w:r>
      <w:r w:rsidR="00114CBA" w:rsidRPr="003B6D82">
        <w:rPr>
          <w:iCs/>
        </w:rPr>
        <w:t xml:space="preserve">baseline score differences between treatment arms, favouring </w:t>
      </w:r>
      <w:proofErr w:type="spellStart"/>
      <w:r w:rsidR="00114CBA" w:rsidRPr="003B6D82">
        <w:rPr>
          <w:iCs/>
        </w:rPr>
        <w:t>fedratinib</w:t>
      </w:r>
      <w:proofErr w:type="spellEnd"/>
      <w:r w:rsidR="00723F17" w:rsidRPr="003B6D82">
        <w:rPr>
          <w:iCs/>
        </w:rPr>
        <w:t>, limit the usefulness of results.</w:t>
      </w:r>
    </w:p>
    <w:p w14:paraId="76CABD92" w14:textId="145F7AE0" w:rsidR="0034351A" w:rsidRPr="003B6D82" w:rsidRDefault="004A377C" w:rsidP="00CE55F4">
      <w:pPr>
        <w:pStyle w:val="COMexecsummnumbered"/>
        <w:rPr>
          <w:iCs/>
        </w:rPr>
      </w:pPr>
      <w:r w:rsidRPr="003B6D82">
        <w:rPr>
          <w:iCs/>
        </w:rPr>
        <w:t xml:space="preserve">Although </w:t>
      </w:r>
      <w:r w:rsidR="00260274" w:rsidRPr="003B6D82">
        <w:rPr>
          <w:iCs/>
        </w:rPr>
        <w:t xml:space="preserve">questionnaire </w:t>
      </w:r>
      <w:r w:rsidRPr="003B6D82">
        <w:rPr>
          <w:iCs/>
        </w:rPr>
        <w:t>completion rates were</w:t>
      </w:r>
      <w:r w:rsidR="00EE4AC6" w:rsidRPr="003B6D82">
        <w:rPr>
          <w:iCs/>
        </w:rPr>
        <w:t xml:space="preserve"> similarly</w:t>
      </w:r>
      <w:r w:rsidRPr="003B6D82">
        <w:rPr>
          <w:iCs/>
        </w:rPr>
        <w:t xml:space="preserve"> low </w:t>
      </w:r>
      <w:r w:rsidR="00EE4AC6" w:rsidRPr="003B6D82">
        <w:rPr>
          <w:iCs/>
        </w:rPr>
        <w:t>for the EQ-5D-5L, there were no notable differences in baseline scores.</w:t>
      </w:r>
      <w:r w:rsidR="00114CBA" w:rsidRPr="003B6D82">
        <w:rPr>
          <w:iCs/>
        </w:rPr>
        <w:t xml:space="preserve"> </w:t>
      </w:r>
      <w:r w:rsidR="0034351A" w:rsidRPr="003B6D82">
        <w:rPr>
          <w:iCs/>
        </w:rPr>
        <w:t xml:space="preserve">Both treatment groups had increased mean EQ-5D-5L VAS and utility scores (indicating improvement) from baseline during the treatment period through to the end of Cycle 6. Mean change from baseline in the VAS score was greater in the </w:t>
      </w:r>
      <w:proofErr w:type="spellStart"/>
      <w:r w:rsidR="0034351A" w:rsidRPr="003B6D82">
        <w:rPr>
          <w:iCs/>
        </w:rPr>
        <w:t>fedratinib</w:t>
      </w:r>
      <w:proofErr w:type="spellEnd"/>
      <w:r w:rsidR="0034351A" w:rsidRPr="003B6D82">
        <w:rPr>
          <w:iCs/>
        </w:rPr>
        <w:t xml:space="preserve"> arm than the best available therapy arm, while change in utility scores was similar across treatments. Differences between treatment arms were not assessed statistically.</w:t>
      </w:r>
    </w:p>
    <w:p w14:paraId="2698285A" w14:textId="5BA489BF" w:rsidR="00934988" w:rsidRPr="003B6D82" w:rsidRDefault="00291A3B" w:rsidP="00460931">
      <w:pPr>
        <w:pStyle w:val="COMexecsummnumbered"/>
        <w:rPr>
          <w:rStyle w:val="COMtablefigcaptionChar"/>
          <w:rFonts w:asciiTheme="minorHAnsi" w:eastAsiaTheme="minorHAnsi" w:hAnsiTheme="minorHAnsi" w:cstheme="minorBidi"/>
          <w:b w:val="0"/>
          <w:bCs w:val="0"/>
          <w:iCs/>
          <w:szCs w:val="22"/>
        </w:rPr>
      </w:pPr>
      <w:r w:rsidRPr="003B6D82">
        <w:rPr>
          <w:iCs/>
        </w:rPr>
        <w:t xml:space="preserve">Over the entire treatment period (to December 2022 data cut-off) there were 43 (32.1%) deaths in the </w:t>
      </w:r>
      <w:proofErr w:type="spellStart"/>
      <w:r w:rsidRPr="003B6D82">
        <w:rPr>
          <w:iCs/>
        </w:rPr>
        <w:t>fedratinib</w:t>
      </w:r>
      <w:proofErr w:type="spellEnd"/>
      <w:r w:rsidRPr="003B6D82">
        <w:rPr>
          <w:iCs/>
        </w:rPr>
        <w:t xml:space="preserve"> arm and 18 (26.9%) deaths in the best available therapy arm. Based on a median follow-up time of 64.5 weeks for the </w:t>
      </w:r>
      <w:proofErr w:type="spellStart"/>
      <w:r w:rsidRPr="003B6D82">
        <w:rPr>
          <w:iCs/>
        </w:rPr>
        <w:t>fedratinib</w:t>
      </w:r>
      <w:proofErr w:type="spellEnd"/>
      <w:r w:rsidRPr="003B6D82">
        <w:rPr>
          <w:iCs/>
        </w:rPr>
        <w:t xml:space="preserve"> arm and 63.7</w:t>
      </w:r>
      <w:r w:rsidR="00F621E7" w:rsidRPr="003B6D82">
        <w:rPr>
          <w:iCs/>
        </w:rPr>
        <w:t xml:space="preserve"> </w:t>
      </w:r>
      <w:r w:rsidRPr="003B6D82">
        <w:rPr>
          <w:iCs/>
        </w:rPr>
        <w:t xml:space="preserve">weeks for the best available therapy </w:t>
      </w:r>
      <w:r w:rsidR="00CE076F" w:rsidRPr="003B6D82">
        <w:rPr>
          <w:iCs/>
        </w:rPr>
        <w:t>arm</w:t>
      </w:r>
      <w:r w:rsidRPr="003B6D82">
        <w:rPr>
          <w:iCs/>
        </w:rPr>
        <w:t xml:space="preserve">, median overall survival was not estimable in the </w:t>
      </w:r>
      <w:proofErr w:type="spellStart"/>
      <w:r w:rsidRPr="003B6D82">
        <w:rPr>
          <w:iCs/>
        </w:rPr>
        <w:t>fedratinib</w:t>
      </w:r>
      <w:proofErr w:type="spellEnd"/>
      <w:r w:rsidRPr="003B6D82">
        <w:rPr>
          <w:iCs/>
        </w:rPr>
        <w:t xml:space="preserve"> arm</w:t>
      </w:r>
      <w:r w:rsidR="00AC0415" w:rsidRPr="003B6D82">
        <w:rPr>
          <w:iCs/>
        </w:rPr>
        <w:t xml:space="preserve"> (95% CI 112.6, not estimable)</w:t>
      </w:r>
      <w:r w:rsidR="00E94510" w:rsidRPr="003B6D82">
        <w:rPr>
          <w:iCs/>
        </w:rPr>
        <w:t xml:space="preserve"> </w:t>
      </w:r>
      <w:r w:rsidRPr="003B6D82">
        <w:rPr>
          <w:iCs/>
        </w:rPr>
        <w:t xml:space="preserve">and 124.6 weeks (95% CI 98.9, not estimable) in the best available therapy arm. The submission noted that overall survival was similar in both treatment arms but favoured the best available therapy arm for the first two years. Interpretation of comparative efficacy for survival outcomes after 24 weeks is limited by the crossover of patients in the best available therapy arm to </w:t>
      </w:r>
      <w:proofErr w:type="spellStart"/>
      <w:r w:rsidRPr="003B6D82">
        <w:rPr>
          <w:iCs/>
        </w:rPr>
        <w:t>fedratinib</w:t>
      </w:r>
      <w:proofErr w:type="spellEnd"/>
      <w:r w:rsidRPr="003B6D82">
        <w:rPr>
          <w:iCs/>
        </w:rPr>
        <w:t xml:space="preserve"> treatment.</w:t>
      </w:r>
    </w:p>
    <w:p w14:paraId="1452C351" w14:textId="0D19F1B0" w:rsidR="00B60939" w:rsidRPr="003B6D82" w:rsidRDefault="00B60939" w:rsidP="003D5DE7">
      <w:pPr>
        <w:pStyle w:val="COMH2-non-numbered"/>
        <w:rPr>
          <w:i w:val="0"/>
          <w:iCs/>
        </w:rPr>
      </w:pPr>
      <w:bookmarkStart w:id="21" w:name="_Toc22897642"/>
      <w:bookmarkStart w:id="22" w:name="_Toc192437875"/>
      <w:r w:rsidRPr="004F1F33">
        <w:rPr>
          <w:i w:val="0"/>
          <w:iCs/>
        </w:rPr>
        <w:lastRenderedPageBreak/>
        <w:t>Comparative harms</w:t>
      </w:r>
      <w:bookmarkEnd w:id="21"/>
      <w:bookmarkEnd w:id="22"/>
    </w:p>
    <w:p w14:paraId="2DAF16D1" w14:textId="06FEBF76" w:rsidR="00B60939" w:rsidRPr="003B6D82" w:rsidRDefault="001C0686" w:rsidP="00D86231">
      <w:pPr>
        <w:pStyle w:val="COMexecsummnumbered"/>
        <w:rPr>
          <w:iCs/>
          <w:color w:val="0066FF"/>
        </w:rPr>
      </w:pPr>
      <w:r w:rsidRPr="003B6D82">
        <w:rPr>
          <w:iCs/>
        </w:rPr>
        <w:t xml:space="preserve">Adverse events during the randomised phase of the FREEDOM-2 trial are summarised in </w:t>
      </w:r>
      <w:r w:rsidRPr="003B6D82">
        <w:rPr>
          <w:iCs/>
        </w:rPr>
        <w:fldChar w:fldCharType="begin" w:fldLock="1"/>
      </w:r>
      <w:r w:rsidRPr="003B6D82">
        <w:rPr>
          <w:iCs/>
        </w:rPr>
        <w:instrText xml:space="preserve"> REF _Ref191895403 \h </w:instrText>
      </w:r>
      <w:r w:rsidR="003B6D82">
        <w:rPr>
          <w:iCs/>
        </w:rPr>
        <w:instrText xml:space="preserve"> \* MERGEFORMAT </w:instrText>
      </w:r>
      <w:r w:rsidRPr="003B6D82">
        <w:rPr>
          <w:iCs/>
        </w:rPr>
      </w:r>
      <w:r w:rsidRPr="003B6D82">
        <w:rPr>
          <w:iCs/>
        </w:rPr>
        <w:fldChar w:fldCharType="separate"/>
      </w:r>
      <w:r w:rsidR="00A072A5" w:rsidRPr="003B6D82">
        <w:rPr>
          <w:iCs/>
        </w:rPr>
        <w:t xml:space="preserve">Table </w:t>
      </w:r>
      <w:r w:rsidR="00A072A5">
        <w:rPr>
          <w:iCs/>
          <w:noProof/>
        </w:rPr>
        <w:t>6</w:t>
      </w:r>
      <w:r w:rsidRPr="003B6D82">
        <w:rPr>
          <w:iCs/>
        </w:rPr>
        <w:fldChar w:fldCharType="end"/>
      </w:r>
      <w:r w:rsidRPr="003B6D82">
        <w:rPr>
          <w:iCs/>
        </w:rPr>
        <w:t>.</w:t>
      </w:r>
    </w:p>
    <w:p w14:paraId="310B2246" w14:textId="537D346F" w:rsidR="00B60939" w:rsidRPr="003B6D82" w:rsidRDefault="00D6076E" w:rsidP="00AA78F9">
      <w:pPr>
        <w:pStyle w:val="COMtablefigcaption"/>
        <w:spacing w:before="120"/>
        <w:rPr>
          <w:iCs/>
        </w:rPr>
      </w:pPr>
      <w:bookmarkStart w:id="23" w:name="_Ref191895403"/>
      <w:r w:rsidRPr="003B6D82">
        <w:rPr>
          <w:iCs/>
        </w:rPr>
        <w:t xml:space="preserve">Table </w:t>
      </w:r>
      <w:r w:rsidR="00B251ED" w:rsidRPr="003B6D82">
        <w:rPr>
          <w:iCs/>
        </w:rPr>
        <w:fldChar w:fldCharType="begin" w:fldLock="1"/>
      </w:r>
      <w:r w:rsidR="00B251ED" w:rsidRPr="003B6D82">
        <w:rPr>
          <w:iCs/>
        </w:rPr>
        <w:instrText xml:space="preserve"> SEQ Table \* ARABIC </w:instrText>
      </w:r>
      <w:r w:rsidR="00B251ED" w:rsidRPr="003B6D82">
        <w:rPr>
          <w:iCs/>
        </w:rPr>
        <w:fldChar w:fldCharType="separate"/>
      </w:r>
      <w:r w:rsidR="00A072A5">
        <w:rPr>
          <w:iCs/>
          <w:noProof/>
        </w:rPr>
        <w:t>6</w:t>
      </w:r>
      <w:r w:rsidR="00B251ED" w:rsidRPr="003B6D82">
        <w:rPr>
          <w:iCs/>
          <w:noProof/>
        </w:rPr>
        <w:fldChar w:fldCharType="end"/>
      </w:r>
      <w:bookmarkEnd w:id="23"/>
      <w:r w:rsidRPr="003B6D82">
        <w:rPr>
          <w:iCs/>
        </w:rPr>
        <w:t xml:space="preserve">: </w:t>
      </w:r>
      <w:r w:rsidR="005D26B4" w:rsidRPr="003B6D82">
        <w:rPr>
          <w:iCs/>
        </w:rPr>
        <w:t xml:space="preserve">Summary of key adverse events in </w:t>
      </w:r>
      <w:r w:rsidR="001C0686" w:rsidRPr="003B6D82">
        <w:rPr>
          <w:iCs/>
        </w:rPr>
        <w:t xml:space="preserve">the FREEDOM-2 trial safety population, </w:t>
      </w:r>
      <w:r w:rsidR="009024FC" w:rsidRPr="003B6D82">
        <w:rPr>
          <w:iCs/>
        </w:rPr>
        <w:t>randomised treatment phase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313"/>
        <w:gridCol w:w="2314"/>
      </w:tblGrid>
      <w:tr w:rsidR="001C0686" w:rsidRPr="003B6D82" w14:paraId="39B75C6C" w14:textId="77777777" w:rsidTr="00CE55F4">
        <w:trPr>
          <w:tblHeader/>
        </w:trPr>
        <w:tc>
          <w:tcPr>
            <w:tcW w:w="4390" w:type="dxa"/>
            <w:vAlign w:val="center"/>
          </w:tcPr>
          <w:p w14:paraId="5035A001" w14:textId="15ECE2F1" w:rsidR="001C0686" w:rsidRPr="003B6D82" w:rsidRDefault="001C0686" w:rsidP="00CE55F4">
            <w:pPr>
              <w:pStyle w:val="COMTableheadingrow"/>
              <w:rPr>
                <w:iCs/>
                <w:lang w:val="en-AU"/>
              </w:rPr>
            </w:pPr>
            <w:bookmarkStart w:id="24" w:name="_Toc22897643"/>
            <w:r w:rsidRPr="003B6D82">
              <w:rPr>
                <w:iCs/>
                <w:lang w:val="en-AU"/>
              </w:rPr>
              <w:t xml:space="preserve">Adverse events during </w:t>
            </w:r>
            <w:r w:rsidR="009024FC" w:rsidRPr="003B6D82">
              <w:rPr>
                <w:iCs/>
                <w:lang w:val="en-AU"/>
              </w:rPr>
              <w:t>the randomised treatment phase (24 weeks)</w:t>
            </w:r>
            <w:r w:rsidRPr="003B6D82">
              <w:rPr>
                <w:iCs/>
                <w:lang w:val="en-AU"/>
              </w:rPr>
              <w:t>, n (%)</w:t>
            </w:r>
          </w:p>
        </w:tc>
        <w:tc>
          <w:tcPr>
            <w:tcW w:w="2313" w:type="dxa"/>
            <w:vAlign w:val="center"/>
          </w:tcPr>
          <w:p w14:paraId="34481B8F" w14:textId="77777777" w:rsidR="001C0686" w:rsidRPr="003B6D82" w:rsidRDefault="001C0686" w:rsidP="00CE55F4">
            <w:pPr>
              <w:pStyle w:val="COMTableheadingrow"/>
              <w:jc w:val="center"/>
              <w:rPr>
                <w:iCs/>
                <w:lang w:val="en-AU"/>
              </w:rPr>
            </w:pPr>
            <w:proofErr w:type="spellStart"/>
            <w:r w:rsidRPr="003B6D82">
              <w:rPr>
                <w:iCs/>
                <w:lang w:val="en-AU"/>
              </w:rPr>
              <w:t>Fedratinib</w:t>
            </w:r>
            <w:proofErr w:type="spellEnd"/>
          </w:p>
          <w:p w14:paraId="4D560495" w14:textId="77777777" w:rsidR="001C0686" w:rsidRPr="003B6D82" w:rsidRDefault="001C0686" w:rsidP="00CE55F4">
            <w:pPr>
              <w:pStyle w:val="COMTableheadingrow"/>
              <w:jc w:val="center"/>
              <w:rPr>
                <w:iCs/>
                <w:lang w:val="en-AU"/>
              </w:rPr>
            </w:pPr>
            <w:r w:rsidRPr="003B6D82">
              <w:rPr>
                <w:iCs/>
                <w:lang w:val="en-AU"/>
              </w:rPr>
              <w:t>N = 134</w:t>
            </w:r>
          </w:p>
        </w:tc>
        <w:tc>
          <w:tcPr>
            <w:tcW w:w="2314" w:type="dxa"/>
            <w:vAlign w:val="center"/>
          </w:tcPr>
          <w:p w14:paraId="77FA947A" w14:textId="77777777" w:rsidR="001C0686" w:rsidRPr="003B6D82" w:rsidRDefault="001C0686" w:rsidP="00CE55F4">
            <w:pPr>
              <w:pStyle w:val="COMTableheadingrow"/>
              <w:jc w:val="center"/>
              <w:rPr>
                <w:iCs/>
                <w:lang w:val="en-AU"/>
              </w:rPr>
            </w:pPr>
            <w:r w:rsidRPr="003B6D82">
              <w:rPr>
                <w:iCs/>
                <w:lang w:val="en-AU"/>
              </w:rPr>
              <w:t>BAT</w:t>
            </w:r>
          </w:p>
          <w:p w14:paraId="631F100B" w14:textId="77777777" w:rsidR="001C0686" w:rsidRPr="003B6D82" w:rsidRDefault="001C0686" w:rsidP="00CE55F4">
            <w:pPr>
              <w:pStyle w:val="COMTableheadingrow"/>
              <w:jc w:val="center"/>
              <w:rPr>
                <w:iCs/>
                <w:lang w:val="en-AU"/>
              </w:rPr>
            </w:pPr>
            <w:r w:rsidRPr="003B6D82">
              <w:rPr>
                <w:iCs/>
                <w:lang w:val="en-AU"/>
              </w:rPr>
              <w:t>N = 67</w:t>
            </w:r>
          </w:p>
        </w:tc>
      </w:tr>
      <w:tr w:rsidR="001C0686" w:rsidRPr="003B6D82" w14:paraId="4F68EC66" w14:textId="77777777" w:rsidTr="00CE55F4">
        <w:tc>
          <w:tcPr>
            <w:tcW w:w="4390" w:type="dxa"/>
            <w:vAlign w:val="center"/>
          </w:tcPr>
          <w:p w14:paraId="4A6180B0" w14:textId="77777777" w:rsidR="001C0686" w:rsidRPr="003B6D82" w:rsidRDefault="001C0686" w:rsidP="00CE55F4">
            <w:pPr>
              <w:pStyle w:val="COMTabletext"/>
              <w:rPr>
                <w:iCs/>
              </w:rPr>
            </w:pPr>
            <w:r w:rsidRPr="003B6D82">
              <w:rPr>
                <w:iCs/>
              </w:rPr>
              <w:t>Any TEAE</w:t>
            </w:r>
          </w:p>
        </w:tc>
        <w:tc>
          <w:tcPr>
            <w:tcW w:w="2313" w:type="dxa"/>
            <w:vAlign w:val="center"/>
          </w:tcPr>
          <w:p w14:paraId="1992B788" w14:textId="77777777" w:rsidR="001C0686" w:rsidRPr="003B6D82" w:rsidRDefault="001C0686" w:rsidP="00CE55F4">
            <w:pPr>
              <w:pStyle w:val="COMTabletext"/>
              <w:jc w:val="center"/>
              <w:rPr>
                <w:iCs/>
              </w:rPr>
            </w:pPr>
            <w:r w:rsidRPr="003B6D82">
              <w:rPr>
                <w:iCs/>
              </w:rPr>
              <w:t>132 (98.5)</w:t>
            </w:r>
          </w:p>
        </w:tc>
        <w:tc>
          <w:tcPr>
            <w:tcW w:w="2314" w:type="dxa"/>
            <w:vAlign w:val="center"/>
          </w:tcPr>
          <w:p w14:paraId="2C979CD9" w14:textId="77777777" w:rsidR="001C0686" w:rsidRPr="003B6D82" w:rsidRDefault="001C0686" w:rsidP="00CE55F4">
            <w:pPr>
              <w:pStyle w:val="COMTabletext"/>
              <w:jc w:val="center"/>
              <w:rPr>
                <w:iCs/>
              </w:rPr>
            </w:pPr>
            <w:r w:rsidRPr="003B6D82">
              <w:rPr>
                <w:iCs/>
              </w:rPr>
              <w:t>65 (97.0)</w:t>
            </w:r>
          </w:p>
        </w:tc>
      </w:tr>
      <w:tr w:rsidR="001C0686" w:rsidRPr="003B6D82" w14:paraId="0E0D580C" w14:textId="77777777" w:rsidTr="00CE55F4">
        <w:tc>
          <w:tcPr>
            <w:tcW w:w="4390" w:type="dxa"/>
            <w:vAlign w:val="center"/>
          </w:tcPr>
          <w:p w14:paraId="0741EE68" w14:textId="77777777" w:rsidR="001C0686" w:rsidRPr="003B6D82" w:rsidRDefault="001C0686" w:rsidP="00CE55F4">
            <w:pPr>
              <w:pStyle w:val="COMTabletext"/>
              <w:rPr>
                <w:iCs/>
              </w:rPr>
            </w:pPr>
            <w:r w:rsidRPr="003B6D82">
              <w:rPr>
                <w:iCs/>
              </w:rPr>
              <w:t>Treatment-related TEAE</w:t>
            </w:r>
          </w:p>
        </w:tc>
        <w:tc>
          <w:tcPr>
            <w:tcW w:w="2313" w:type="dxa"/>
            <w:vAlign w:val="center"/>
          </w:tcPr>
          <w:p w14:paraId="0763CE19" w14:textId="77777777" w:rsidR="001C0686" w:rsidRPr="003B6D82" w:rsidRDefault="001C0686" w:rsidP="00CE55F4">
            <w:pPr>
              <w:pStyle w:val="COMTabletext"/>
              <w:jc w:val="center"/>
              <w:rPr>
                <w:iCs/>
              </w:rPr>
            </w:pPr>
            <w:r w:rsidRPr="003B6D82">
              <w:rPr>
                <w:iCs/>
              </w:rPr>
              <w:t>109 (81.3)</w:t>
            </w:r>
          </w:p>
        </w:tc>
        <w:tc>
          <w:tcPr>
            <w:tcW w:w="2314" w:type="dxa"/>
            <w:vAlign w:val="center"/>
          </w:tcPr>
          <w:p w14:paraId="1AE63F0B" w14:textId="77777777" w:rsidR="001C0686" w:rsidRPr="003B6D82" w:rsidRDefault="001C0686" w:rsidP="00CE55F4">
            <w:pPr>
              <w:pStyle w:val="COMTabletext"/>
              <w:jc w:val="center"/>
              <w:rPr>
                <w:iCs/>
              </w:rPr>
            </w:pPr>
            <w:r w:rsidRPr="003B6D82">
              <w:rPr>
                <w:iCs/>
              </w:rPr>
              <w:t>23 (34.3)</w:t>
            </w:r>
          </w:p>
        </w:tc>
      </w:tr>
      <w:tr w:rsidR="001C0686" w:rsidRPr="003B6D82" w14:paraId="174CF447" w14:textId="77777777" w:rsidTr="00CE55F4">
        <w:tc>
          <w:tcPr>
            <w:tcW w:w="4390" w:type="dxa"/>
            <w:vAlign w:val="center"/>
          </w:tcPr>
          <w:p w14:paraId="30F7900A" w14:textId="77777777" w:rsidR="001C0686" w:rsidRPr="003B6D82" w:rsidRDefault="001C0686" w:rsidP="00CE55F4">
            <w:pPr>
              <w:pStyle w:val="COMTabletext"/>
              <w:rPr>
                <w:iCs/>
              </w:rPr>
            </w:pPr>
            <w:r w:rsidRPr="003B6D82">
              <w:rPr>
                <w:iCs/>
              </w:rPr>
              <w:t>Serious TEAE</w:t>
            </w:r>
          </w:p>
        </w:tc>
        <w:tc>
          <w:tcPr>
            <w:tcW w:w="2313" w:type="dxa"/>
            <w:vAlign w:val="center"/>
          </w:tcPr>
          <w:p w14:paraId="245D94A5" w14:textId="77777777" w:rsidR="001C0686" w:rsidRPr="003B6D82" w:rsidRDefault="001C0686" w:rsidP="00CE55F4">
            <w:pPr>
              <w:pStyle w:val="COMTabletext"/>
              <w:jc w:val="center"/>
              <w:rPr>
                <w:iCs/>
              </w:rPr>
            </w:pPr>
            <w:r w:rsidRPr="003B6D82">
              <w:rPr>
                <w:iCs/>
              </w:rPr>
              <w:t>44 (32.8)</w:t>
            </w:r>
          </w:p>
        </w:tc>
        <w:tc>
          <w:tcPr>
            <w:tcW w:w="2314" w:type="dxa"/>
            <w:vAlign w:val="center"/>
          </w:tcPr>
          <w:p w14:paraId="351C3C95" w14:textId="77777777" w:rsidR="001C0686" w:rsidRPr="003B6D82" w:rsidRDefault="001C0686" w:rsidP="00CE55F4">
            <w:pPr>
              <w:pStyle w:val="COMTabletext"/>
              <w:jc w:val="center"/>
              <w:rPr>
                <w:iCs/>
              </w:rPr>
            </w:pPr>
            <w:r w:rsidRPr="003B6D82">
              <w:rPr>
                <w:iCs/>
              </w:rPr>
              <w:t>16 (23.9)</w:t>
            </w:r>
          </w:p>
        </w:tc>
      </w:tr>
      <w:tr w:rsidR="001C0686" w:rsidRPr="003B6D82" w14:paraId="220219FF" w14:textId="77777777" w:rsidTr="00CE55F4">
        <w:tc>
          <w:tcPr>
            <w:tcW w:w="4390" w:type="dxa"/>
            <w:vAlign w:val="center"/>
          </w:tcPr>
          <w:p w14:paraId="7E43FA97" w14:textId="77777777" w:rsidR="001C0686" w:rsidRPr="003B6D82" w:rsidRDefault="001C0686" w:rsidP="00CE55F4">
            <w:pPr>
              <w:pStyle w:val="COMTabletext"/>
              <w:rPr>
                <w:iCs/>
              </w:rPr>
            </w:pPr>
            <w:r w:rsidRPr="003B6D82">
              <w:rPr>
                <w:iCs/>
              </w:rPr>
              <w:t>Serious treatment-related TEAE</w:t>
            </w:r>
          </w:p>
        </w:tc>
        <w:tc>
          <w:tcPr>
            <w:tcW w:w="2313" w:type="dxa"/>
            <w:vAlign w:val="center"/>
          </w:tcPr>
          <w:p w14:paraId="10F178E8" w14:textId="77777777" w:rsidR="001C0686" w:rsidRPr="003B6D82" w:rsidRDefault="001C0686" w:rsidP="00CE55F4">
            <w:pPr>
              <w:pStyle w:val="COMTabletext"/>
              <w:jc w:val="center"/>
              <w:rPr>
                <w:iCs/>
              </w:rPr>
            </w:pPr>
            <w:r w:rsidRPr="003B6D82">
              <w:rPr>
                <w:iCs/>
              </w:rPr>
              <w:t>20 (14.9)</w:t>
            </w:r>
          </w:p>
        </w:tc>
        <w:tc>
          <w:tcPr>
            <w:tcW w:w="2314" w:type="dxa"/>
            <w:vAlign w:val="center"/>
          </w:tcPr>
          <w:p w14:paraId="1AB80E1C" w14:textId="77777777" w:rsidR="001C0686" w:rsidRPr="003B6D82" w:rsidRDefault="001C0686" w:rsidP="00CE55F4">
            <w:pPr>
              <w:pStyle w:val="COMTabletext"/>
              <w:jc w:val="center"/>
              <w:rPr>
                <w:iCs/>
              </w:rPr>
            </w:pPr>
            <w:r w:rsidRPr="003B6D82">
              <w:rPr>
                <w:iCs/>
              </w:rPr>
              <w:t>2 (3.0)</w:t>
            </w:r>
          </w:p>
        </w:tc>
      </w:tr>
      <w:tr w:rsidR="001C0686" w:rsidRPr="003B6D82" w14:paraId="046743BE" w14:textId="77777777" w:rsidTr="00CE55F4">
        <w:tc>
          <w:tcPr>
            <w:tcW w:w="4390" w:type="dxa"/>
            <w:vAlign w:val="center"/>
          </w:tcPr>
          <w:p w14:paraId="45AC0C99" w14:textId="77777777" w:rsidR="001C0686" w:rsidRPr="003B6D82" w:rsidRDefault="001C0686" w:rsidP="00CE55F4">
            <w:pPr>
              <w:pStyle w:val="COMTabletext"/>
              <w:rPr>
                <w:iCs/>
              </w:rPr>
            </w:pPr>
            <w:r w:rsidRPr="003B6D82">
              <w:rPr>
                <w:iCs/>
              </w:rPr>
              <w:t>Grade ≥3 TEAE</w:t>
            </w:r>
          </w:p>
        </w:tc>
        <w:tc>
          <w:tcPr>
            <w:tcW w:w="2313" w:type="dxa"/>
          </w:tcPr>
          <w:p w14:paraId="746C35ED" w14:textId="77777777" w:rsidR="001C0686" w:rsidRPr="003B6D82" w:rsidRDefault="001C0686" w:rsidP="00CE55F4">
            <w:pPr>
              <w:pStyle w:val="COMTabletext"/>
              <w:jc w:val="center"/>
              <w:rPr>
                <w:iCs/>
              </w:rPr>
            </w:pPr>
            <w:r w:rsidRPr="003B6D82">
              <w:rPr>
                <w:iCs/>
              </w:rPr>
              <w:t>88 (65.7)</w:t>
            </w:r>
          </w:p>
        </w:tc>
        <w:tc>
          <w:tcPr>
            <w:tcW w:w="2314" w:type="dxa"/>
          </w:tcPr>
          <w:p w14:paraId="765DB7F6" w14:textId="77777777" w:rsidR="001C0686" w:rsidRPr="003B6D82" w:rsidRDefault="001C0686" w:rsidP="00CE55F4">
            <w:pPr>
              <w:pStyle w:val="COMTabletext"/>
              <w:jc w:val="center"/>
              <w:rPr>
                <w:iCs/>
              </w:rPr>
            </w:pPr>
            <w:r w:rsidRPr="003B6D82">
              <w:rPr>
                <w:iCs/>
              </w:rPr>
              <w:t>29 (43.3)</w:t>
            </w:r>
          </w:p>
        </w:tc>
      </w:tr>
      <w:tr w:rsidR="001C0686" w:rsidRPr="003B6D82" w14:paraId="2938CB84" w14:textId="77777777" w:rsidTr="00CE55F4">
        <w:tc>
          <w:tcPr>
            <w:tcW w:w="4390" w:type="dxa"/>
            <w:vAlign w:val="center"/>
          </w:tcPr>
          <w:p w14:paraId="089E8EBE" w14:textId="77777777" w:rsidR="001C0686" w:rsidRPr="003B6D82" w:rsidRDefault="001C0686" w:rsidP="00CE55F4">
            <w:pPr>
              <w:pStyle w:val="COMTabletext"/>
              <w:rPr>
                <w:iCs/>
              </w:rPr>
            </w:pPr>
            <w:r w:rsidRPr="003B6D82">
              <w:rPr>
                <w:iCs/>
              </w:rPr>
              <w:t>Grade ≥3 treatment-related TEAE</w:t>
            </w:r>
          </w:p>
        </w:tc>
        <w:tc>
          <w:tcPr>
            <w:tcW w:w="2313" w:type="dxa"/>
            <w:vAlign w:val="center"/>
          </w:tcPr>
          <w:p w14:paraId="45D6C3C6" w14:textId="77777777" w:rsidR="001C0686" w:rsidRPr="003B6D82" w:rsidRDefault="001C0686" w:rsidP="00CE55F4">
            <w:pPr>
              <w:pStyle w:val="COMTabletext"/>
              <w:jc w:val="center"/>
              <w:rPr>
                <w:iCs/>
              </w:rPr>
            </w:pPr>
            <w:r w:rsidRPr="003B6D82">
              <w:rPr>
                <w:iCs/>
              </w:rPr>
              <w:t>52 (38.8)</w:t>
            </w:r>
          </w:p>
        </w:tc>
        <w:tc>
          <w:tcPr>
            <w:tcW w:w="2314" w:type="dxa"/>
            <w:vAlign w:val="center"/>
          </w:tcPr>
          <w:p w14:paraId="5B2157F9" w14:textId="77777777" w:rsidR="001C0686" w:rsidRPr="003B6D82" w:rsidRDefault="001C0686" w:rsidP="00CE55F4">
            <w:pPr>
              <w:pStyle w:val="COMTabletext"/>
              <w:jc w:val="center"/>
              <w:rPr>
                <w:iCs/>
              </w:rPr>
            </w:pPr>
            <w:r w:rsidRPr="003B6D82">
              <w:rPr>
                <w:iCs/>
              </w:rPr>
              <w:t>8 (11.9)</w:t>
            </w:r>
          </w:p>
        </w:tc>
      </w:tr>
      <w:tr w:rsidR="001C0686" w:rsidRPr="003B6D82" w14:paraId="34B4E060" w14:textId="77777777" w:rsidTr="00CE55F4">
        <w:tc>
          <w:tcPr>
            <w:tcW w:w="4390" w:type="dxa"/>
            <w:vAlign w:val="center"/>
          </w:tcPr>
          <w:p w14:paraId="02E45B8D" w14:textId="77777777" w:rsidR="001C0686" w:rsidRPr="003B6D82" w:rsidRDefault="001C0686" w:rsidP="00CE55F4">
            <w:pPr>
              <w:pStyle w:val="COMTabletext"/>
              <w:rPr>
                <w:iCs/>
              </w:rPr>
            </w:pPr>
            <w:r w:rsidRPr="003B6D82">
              <w:rPr>
                <w:iCs/>
              </w:rPr>
              <w:t>TEAE leading to death</w:t>
            </w:r>
          </w:p>
        </w:tc>
        <w:tc>
          <w:tcPr>
            <w:tcW w:w="2313" w:type="dxa"/>
            <w:vAlign w:val="center"/>
          </w:tcPr>
          <w:p w14:paraId="0D98E679" w14:textId="77777777" w:rsidR="001C0686" w:rsidRPr="003B6D82" w:rsidRDefault="001C0686" w:rsidP="00CE55F4">
            <w:pPr>
              <w:pStyle w:val="COMTabletext"/>
              <w:jc w:val="center"/>
              <w:rPr>
                <w:iCs/>
              </w:rPr>
            </w:pPr>
            <w:r w:rsidRPr="003B6D82">
              <w:rPr>
                <w:iCs/>
              </w:rPr>
              <w:t>7 (5.2)</w:t>
            </w:r>
          </w:p>
        </w:tc>
        <w:tc>
          <w:tcPr>
            <w:tcW w:w="2314" w:type="dxa"/>
            <w:vAlign w:val="center"/>
          </w:tcPr>
          <w:p w14:paraId="3DCE76EB" w14:textId="77777777" w:rsidR="001C0686" w:rsidRPr="003B6D82" w:rsidRDefault="001C0686" w:rsidP="00CE55F4">
            <w:pPr>
              <w:pStyle w:val="COMTabletext"/>
              <w:jc w:val="center"/>
              <w:rPr>
                <w:iCs/>
              </w:rPr>
            </w:pPr>
            <w:r w:rsidRPr="003B6D82">
              <w:rPr>
                <w:iCs/>
              </w:rPr>
              <w:t>1 (1.5)</w:t>
            </w:r>
          </w:p>
        </w:tc>
      </w:tr>
      <w:tr w:rsidR="001C0686" w:rsidRPr="003B6D82" w14:paraId="65A3C0B8" w14:textId="77777777" w:rsidTr="00CE55F4">
        <w:tc>
          <w:tcPr>
            <w:tcW w:w="4390" w:type="dxa"/>
            <w:vAlign w:val="center"/>
          </w:tcPr>
          <w:p w14:paraId="1A1095E6" w14:textId="77777777" w:rsidR="001C0686" w:rsidRPr="003B6D82" w:rsidRDefault="001C0686" w:rsidP="00CE55F4">
            <w:pPr>
              <w:pStyle w:val="COMTabletext"/>
              <w:rPr>
                <w:iCs/>
              </w:rPr>
            </w:pPr>
            <w:r w:rsidRPr="003B6D82">
              <w:rPr>
                <w:iCs/>
              </w:rPr>
              <w:t>Treatment related TEAE leading to death</w:t>
            </w:r>
          </w:p>
        </w:tc>
        <w:tc>
          <w:tcPr>
            <w:tcW w:w="2313" w:type="dxa"/>
            <w:vAlign w:val="center"/>
          </w:tcPr>
          <w:p w14:paraId="095355ED" w14:textId="77777777" w:rsidR="001C0686" w:rsidRPr="003B6D82" w:rsidRDefault="001C0686" w:rsidP="00CE55F4">
            <w:pPr>
              <w:pStyle w:val="COMTabletext"/>
              <w:jc w:val="center"/>
              <w:rPr>
                <w:iCs/>
              </w:rPr>
            </w:pPr>
            <w:r w:rsidRPr="003B6D82">
              <w:rPr>
                <w:iCs/>
              </w:rPr>
              <w:t>1 (0.7)</w:t>
            </w:r>
          </w:p>
        </w:tc>
        <w:tc>
          <w:tcPr>
            <w:tcW w:w="2314" w:type="dxa"/>
            <w:vAlign w:val="center"/>
          </w:tcPr>
          <w:p w14:paraId="5D140F81" w14:textId="77777777" w:rsidR="001C0686" w:rsidRPr="003B6D82" w:rsidRDefault="001C0686" w:rsidP="00CE55F4">
            <w:pPr>
              <w:pStyle w:val="COMTabletext"/>
              <w:jc w:val="center"/>
              <w:rPr>
                <w:iCs/>
              </w:rPr>
            </w:pPr>
            <w:r w:rsidRPr="003B6D82">
              <w:rPr>
                <w:iCs/>
              </w:rPr>
              <w:t>0 (0)</w:t>
            </w:r>
          </w:p>
        </w:tc>
      </w:tr>
      <w:tr w:rsidR="001C0686" w:rsidRPr="003B6D82" w14:paraId="19970991" w14:textId="77777777" w:rsidTr="00CE55F4">
        <w:tc>
          <w:tcPr>
            <w:tcW w:w="4390" w:type="dxa"/>
            <w:vAlign w:val="center"/>
          </w:tcPr>
          <w:p w14:paraId="56255285" w14:textId="77777777" w:rsidR="001C0686" w:rsidRPr="003B6D82" w:rsidRDefault="001C0686" w:rsidP="00CE55F4">
            <w:pPr>
              <w:pStyle w:val="COMTabletext"/>
              <w:rPr>
                <w:iCs/>
              </w:rPr>
            </w:pPr>
            <w:r w:rsidRPr="003B6D82">
              <w:rPr>
                <w:iCs/>
              </w:rPr>
              <w:t>TEAE leading to dose reduction</w:t>
            </w:r>
          </w:p>
        </w:tc>
        <w:tc>
          <w:tcPr>
            <w:tcW w:w="2313" w:type="dxa"/>
            <w:vAlign w:val="center"/>
          </w:tcPr>
          <w:p w14:paraId="70DBA5EF" w14:textId="77777777" w:rsidR="001C0686" w:rsidRPr="003B6D82" w:rsidRDefault="001C0686" w:rsidP="00CE55F4">
            <w:pPr>
              <w:pStyle w:val="COMTabletext"/>
              <w:jc w:val="center"/>
              <w:rPr>
                <w:iCs/>
              </w:rPr>
            </w:pPr>
            <w:r w:rsidRPr="003B6D82">
              <w:rPr>
                <w:iCs/>
              </w:rPr>
              <w:t>41 (30.6)</w:t>
            </w:r>
          </w:p>
        </w:tc>
        <w:tc>
          <w:tcPr>
            <w:tcW w:w="2314" w:type="dxa"/>
            <w:vAlign w:val="center"/>
          </w:tcPr>
          <w:p w14:paraId="3579B810" w14:textId="77777777" w:rsidR="001C0686" w:rsidRPr="003B6D82" w:rsidRDefault="001C0686" w:rsidP="00CE55F4">
            <w:pPr>
              <w:pStyle w:val="COMTabletext"/>
              <w:jc w:val="center"/>
              <w:rPr>
                <w:iCs/>
              </w:rPr>
            </w:pPr>
            <w:r w:rsidRPr="003B6D82">
              <w:rPr>
                <w:iCs/>
              </w:rPr>
              <w:t xml:space="preserve">7 (10.4) </w:t>
            </w:r>
          </w:p>
        </w:tc>
      </w:tr>
      <w:tr w:rsidR="001C0686" w:rsidRPr="003B6D82" w14:paraId="6174A5AA" w14:textId="77777777" w:rsidTr="00CE55F4">
        <w:tc>
          <w:tcPr>
            <w:tcW w:w="4390" w:type="dxa"/>
            <w:vAlign w:val="center"/>
          </w:tcPr>
          <w:p w14:paraId="5256CBA7" w14:textId="77777777" w:rsidR="001C0686" w:rsidRPr="003B6D82" w:rsidRDefault="001C0686" w:rsidP="00CE55F4">
            <w:pPr>
              <w:pStyle w:val="COMTabletext"/>
              <w:rPr>
                <w:iCs/>
              </w:rPr>
            </w:pPr>
            <w:r w:rsidRPr="003B6D82">
              <w:rPr>
                <w:iCs/>
              </w:rPr>
              <w:t>TEAE leading to dose interruption</w:t>
            </w:r>
          </w:p>
        </w:tc>
        <w:tc>
          <w:tcPr>
            <w:tcW w:w="2313" w:type="dxa"/>
            <w:vAlign w:val="center"/>
          </w:tcPr>
          <w:p w14:paraId="66CFA68C" w14:textId="77777777" w:rsidR="001C0686" w:rsidRPr="003B6D82" w:rsidRDefault="001C0686" w:rsidP="00CE55F4">
            <w:pPr>
              <w:pStyle w:val="COMTabletext"/>
              <w:jc w:val="center"/>
              <w:rPr>
                <w:iCs/>
              </w:rPr>
            </w:pPr>
            <w:r w:rsidRPr="003B6D82">
              <w:rPr>
                <w:iCs/>
              </w:rPr>
              <w:t>42 (31.3)</w:t>
            </w:r>
          </w:p>
        </w:tc>
        <w:tc>
          <w:tcPr>
            <w:tcW w:w="2314" w:type="dxa"/>
            <w:vAlign w:val="center"/>
          </w:tcPr>
          <w:p w14:paraId="473543BE" w14:textId="77777777" w:rsidR="001C0686" w:rsidRPr="003B6D82" w:rsidRDefault="001C0686" w:rsidP="00CE55F4">
            <w:pPr>
              <w:pStyle w:val="COMTabletext"/>
              <w:jc w:val="center"/>
              <w:rPr>
                <w:iCs/>
              </w:rPr>
            </w:pPr>
            <w:r w:rsidRPr="003B6D82">
              <w:rPr>
                <w:iCs/>
              </w:rPr>
              <w:t>4 (6.0)</w:t>
            </w:r>
          </w:p>
        </w:tc>
      </w:tr>
      <w:tr w:rsidR="001C0686" w:rsidRPr="003B6D82" w14:paraId="0FDBCA77" w14:textId="77777777" w:rsidTr="00CE55F4">
        <w:tc>
          <w:tcPr>
            <w:tcW w:w="4390" w:type="dxa"/>
            <w:vAlign w:val="center"/>
          </w:tcPr>
          <w:p w14:paraId="53045C33" w14:textId="77777777" w:rsidR="001C0686" w:rsidRPr="003B6D82" w:rsidRDefault="001C0686" w:rsidP="00CE55F4">
            <w:pPr>
              <w:pStyle w:val="COMTabletext"/>
              <w:rPr>
                <w:iCs/>
              </w:rPr>
            </w:pPr>
            <w:r w:rsidRPr="003B6D82">
              <w:rPr>
                <w:iCs/>
              </w:rPr>
              <w:t>TEAE leading to permanent treatment discontinuation</w:t>
            </w:r>
          </w:p>
        </w:tc>
        <w:tc>
          <w:tcPr>
            <w:tcW w:w="2313" w:type="dxa"/>
            <w:vAlign w:val="center"/>
          </w:tcPr>
          <w:p w14:paraId="6951EA84" w14:textId="77777777" w:rsidR="001C0686" w:rsidRPr="003B6D82" w:rsidRDefault="001C0686" w:rsidP="00CE55F4">
            <w:pPr>
              <w:pStyle w:val="COMTabletext"/>
              <w:jc w:val="center"/>
              <w:rPr>
                <w:iCs/>
              </w:rPr>
            </w:pPr>
            <w:r w:rsidRPr="003B6D82">
              <w:rPr>
                <w:iCs/>
              </w:rPr>
              <w:t>13 (9.7)</w:t>
            </w:r>
          </w:p>
        </w:tc>
        <w:tc>
          <w:tcPr>
            <w:tcW w:w="2314" w:type="dxa"/>
            <w:vAlign w:val="center"/>
          </w:tcPr>
          <w:p w14:paraId="069EA991" w14:textId="77777777" w:rsidR="001C0686" w:rsidRPr="003B6D82" w:rsidRDefault="001C0686" w:rsidP="00CE55F4">
            <w:pPr>
              <w:pStyle w:val="COMTabletext"/>
              <w:jc w:val="center"/>
              <w:rPr>
                <w:iCs/>
              </w:rPr>
            </w:pPr>
            <w:r w:rsidRPr="003B6D82">
              <w:rPr>
                <w:iCs/>
              </w:rPr>
              <w:t>4 (6.0)</w:t>
            </w:r>
          </w:p>
        </w:tc>
      </w:tr>
      <w:tr w:rsidR="001C0686" w:rsidRPr="003B6D82" w14:paraId="2441AB9B" w14:textId="77777777" w:rsidTr="00CE55F4">
        <w:tc>
          <w:tcPr>
            <w:tcW w:w="4390" w:type="dxa"/>
            <w:vAlign w:val="center"/>
          </w:tcPr>
          <w:p w14:paraId="7DF2DFD7" w14:textId="77777777" w:rsidR="001C0686" w:rsidRPr="003B6D82" w:rsidRDefault="001C0686" w:rsidP="00CE55F4">
            <w:pPr>
              <w:pStyle w:val="COMTabletext"/>
              <w:rPr>
                <w:iCs/>
              </w:rPr>
            </w:pPr>
            <w:r w:rsidRPr="003B6D82">
              <w:rPr>
                <w:iCs/>
              </w:rPr>
              <w:t>AE of special interest</w:t>
            </w:r>
          </w:p>
        </w:tc>
        <w:tc>
          <w:tcPr>
            <w:tcW w:w="2313" w:type="dxa"/>
            <w:vAlign w:val="center"/>
          </w:tcPr>
          <w:p w14:paraId="6982262D" w14:textId="77777777" w:rsidR="001C0686" w:rsidRPr="003B6D82" w:rsidRDefault="001C0686" w:rsidP="00CE55F4">
            <w:pPr>
              <w:pStyle w:val="COMTabletext"/>
              <w:jc w:val="center"/>
              <w:rPr>
                <w:iCs/>
              </w:rPr>
            </w:pPr>
            <w:r w:rsidRPr="003B6D82">
              <w:rPr>
                <w:iCs/>
              </w:rPr>
              <w:t>88 (67.5)</w:t>
            </w:r>
          </w:p>
        </w:tc>
        <w:tc>
          <w:tcPr>
            <w:tcW w:w="2314" w:type="dxa"/>
            <w:vAlign w:val="center"/>
          </w:tcPr>
          <w:p w14:paraId="40FF7BEB" w14:textId="77777777" w:rsidR="001C0686" w:rsidRPr="003B6D82" w:rsidRDefault="001C0686" w:rsidP="00CE55F4">
            <w:pPr>
              <w:pStyle w:val="COMTabletext"/>
              <w:jc w:val="center"/>
              <w:rPr>
                <w:iCs/>
              </w:rPr>
            </w:pPr>
            <w:r w:rsidRPr="003B6D82">
              <w:rPr>
                <w:iCs/>
              </w:rPr>
              <w:t>27 (40.3)</w:t>
            </w:r>
          </w:p>
        </w:tc>
      </w:tr>
      <w:tr w:rsidR="001C0686" w:rsidRPr="003B6D82" w14:paraId="41509A4F" w14:textId="77777777" w:rsidTr="00CE55F4">
        <w:tc>
          <w:tcPr>
            <w:tcW w:w="4390" w:type="dxa"/>
            <w:vAlign w:val="center"/>
          </w:tcPr>
          <w:p w14:paraId="06612CDC" w14:textId="77777777" w:rsidR="001C0686" w:rsidRPr="003B6D82" w:rsidRDefault="001C0686" w:rsidP="00CE55F4">
            <w:pPr>
              <w:pStyle w:val="COMTabletext"/>
              <w:rPr>
                <w:iCs/>
              </w:rPr>
            </w:pPr>
            <w:r w:rsidRPr="003B6D82">
              <w:rPr>
                <w:iCs/>
              </w:rPr>
              <w:t>Treatment-related AE of special interest</w:t>
            </w:r>
          </w:p>
        </w:tc>
        <w:tc>
          <w:tcPr>
            <w:tcW w:w="2313" w:type="dxa"/>
            <w:vAlign w:val="center"/>
          </w:tcPr>
          <w:p w14:paraId="59029557" w14:textId="77777777" w:rsidR="001C0686" w:rsidRPr="003B6D82" w:rsidRDefault="001C0686" w:rsidP="00CE55F4">
            <w:pPr>
              <w:pStyle w:val="COMTabletext"/>
              <w:jc w:val="center"/>
              <w:rPr>
                <w:iCs/>
              </w:rPr>
            </w:pPr>
            <w:r w:rsidRPr="003B6D82">
              <w:rPr>
                <w:iCs/>
              </w:rPr>
              <w:t>42 (31.3)</w:t>
            </w:r>
          </w:p>
        </w:tc>
        <w:tc>
          <w:tcPr>
            <w:tcW w:w="2314" w:type="dxa"/>
            <w:vAlign w:val="center"/>
          </w:tcPr>
          <w:p w14:paraId="532804E5" w14:textId="77777777" w:rsidR="001C0686" w:rsidRPr="003B6D82" w:rsidRDefault="001C0686" w:rsidP="00CE55F4">
            <w:pPr>
              <w:pStyle w:val="COMTabletext"/>
              <w:jc w:val="center"/>
              <w:rPr>
                <w:iCs/>
              </w:rPr>
            </w:pPr>
            <w:r w:rsidRPr="003B6D82">
              <w:rPr>
                <w:iCs/>
              </w:rPr>
              <w:t>8 (11.9)</w:t>
            </w:r>
          </w:p>
        </w:tc>
      </w:tr>
      <w:tr w:rsidR="001C0686" w:rsidRPr="003B6D82" w14:paraId="4F2E430B" w14:textId="77777777" w:rsidTr="00CE55F4">
        <w:tc>
          <w:tcPr>
            <w:tcW w:w="9017" w:type="dxa"/>
            <w:gridSpan w:val="3"/>
            <w:vAlign w:val="center"/>
          </w:tcPr>
          <w:p w14:paraId="4C3CAFBA" w14:textId="77777777" w:rsidR="001C0686" w:rsidRPr="003B6D82" w:rsidRDefault="001C0686" w:rsidP="00CE55F4">
            <w:pPr>
              <w:pStyle w:val="COMTabletext"/>
              <w:rPr>
                <w:b/>
                <w:bCs w:val="0"/>
                <w:iCs/>
              </w:rPr>
            </w:pPr>
            <w:r w:rsidRPr="003B6D82">
              <w:rPr>
                <w:b/>
                <w:bCs w:val="0"/>
                <w:iCs/>
              </w:rPr>
              <w:t>Commonly reported adverse events</w:t>
            </w:r>
          </w:p>
        </w:tc>
      </w:tr>
      <w:tr w:rsidR="001C0686" w:rsidRPr="003B6D82" w14:paraId="42F5C64C" w14:textId="77777777" w:rsidTr="00CE55F4">
        <w:tc>
          <w:tcPr>
            <w:tcW w:w="4390" w:type="dxa"/>
          </w:tcPr>
          <w:p w14:paraId="3CCED9FC" w14:textId="77777777" w:rsidR="001C0686" w:rsidRPr="003B6D82" w:rsidRDefault="001C0686" w:rsidP="00CE55F4">
            <w:pPr>
              <w:pStyle w:val="COMTabletext"/>
              <w:rPr>
                <w:iCs/>
              </w:rPr>
            </w:pPr>
            <w:r w:rsidRPr="003B6D82">
              <w:rPr>
                <w:iCs/>
              </w:rPr>
              <w:t>Diarrhoea</w:t>
            </w:r>
          </w:p>
        </w:tc>
        <w:tc>
          <w:tcPr>
            <w:tcW w:w="2313" w:type="dxa"/>
          </w:tcPr>
          <w:p w14:paraId="668D5BFB" w14:textId="77777777" w:rsidR="001C0686" w:rsidRPr="003B6D82" w:rsidRDefault="001C0686" w:rsidP="00CE55F4">
            <w:pPr>
              <w:pStyle w:val="COMTabletext"/>
              <w:jc w:val="center"/>
              <w:rPr>
                <w:iCs/>
              </w:rPr>
            </w:pPr>
            <w:r w:rsidRPr="003B6D82">
              <w:rPr>
                <w:iCs/>
              </w:rPr>
              <w:t>56 (41.8)</w:t>
            </w:r>
          </w:p>
        </w:tc>
        <w:tc>
          <w:tcPr>
            <w:tcW w:w="2314" w:type="dxa"/>
          </w:tcPr>
          <w:p w14:paraId="580E984E" w14:textId="77777777" w:rsidR="001C0686" w:rsidRPr="003B6D82" w:rsidRDefault="001C0686" w:rsidP="00CE55F4">
            <w:pPr>
              <w:pStyle w:val="COMTabletext"/>
              <w:jc w:val="center"/>
              <w:rPr>
                <w:iCs/>
              </w:rPr>
            </w:pPr>
            <w:r w:rsidRPr="003B6D82">
              <w:rPr>
                <w:iCs/>
              </w:rPr>
              <w:t xml:space="preserve">2 (3.0) </w:t>
            </w:r>
          </w:p>
        </w:tc>
      </w:tr>
      <w:tr w:rsidR="001C0686" w:rsidRPr="003B6D82" w14:paraId="2CC635BB" w14:textId="77777777" w:rsidTr="00CE55F4">
        <w:tc>
          <w:tcPr>
            <w:tcW w:w="4390" w:type="dxa"/>
          </w:tcPr>
          <w:p w14:paraId="69C522E8" w14:textId="77777777" w:rsidR="001C0686" w:rsidRPr="003B6D82" w:rsidRDefault="001C0686" w:rsidP="00CE55F4">
            <w:pPr>
              <w:pStyle w:val="COMTabletext"/>
              <w:rPr>
                <w:iCs/>
              </w:rPr>
            </w:pPr>
            <w:r w:rsidRPr="003B6D82">
              <w:rPr>
                <w:iCs/>
              </w:rPr>
              <w:t>Nausea</w:t>
            </w:r>
          </w:p>
        </w:tc>
        <w:tc>
          <w:tcPr>
            <w:tcW w:w="2313" w:type="dxa"/>
          </w:tcPr>
          <w:p w14:paraId="4AD8FB31" w14:textId="77777777" w:rsidR="001C0686" w:rsidRPr="003B6D82" w:rsidRDefault="001C0686" w:rsidP="00CE55F4">
            <w:pPr>
              <w:pStyle w:val="COMTabletext"/>
              <w:jc w:val="center"/>
              <w:rPr>
                <w:iCs/>
              </w:rPr>
            </w:pPr>
            <w:r w:rsidRPr="003B6D82">
              <w:rPr>
                <w:iCs/>
              </w:rPr>
              <w:t>49 (36.6)</w:t>
            </w:r>
          </w:p>
        </w:tc>
        <w:tc>
          <w:tcPr>
            <w:tcW w:w="2314" w:type="dxa"/>
          </w:tcPr>
          <w:p w14:paraId="012969A3" w14:textId="77777777" w:rsidR="001C0686" w:rsidRPr="003B6D82" w:rsidRDefault="001C0686" w:rsidP="00CE55F4">
            <w:pPr>
              <w:pStyle w:val="COMTabletext"/>
              <w:jc w:val="center"/>
              <w:rPr>
                <w:iCs/>
              </w:rPr>
            </w:pPr>
            <w:r w:rsidRPr="003B6D82">
              <w:rPr>
                <w:iCs/>
              </w:rPr>
              <w:t xml:space="preserve">10 (14.9) </w:t>
            </w:r>
          </w:p>
        </w:tc>
      </w:tr>
      <w:tr w:rsidR="001C0686" w:rsidRPr="003B6D82" w14:paraId="364147E3" w14:textId="77777777" w:rsidTr="00CE55F4">
        <w:tc>
          <w:tcPr>
            <w:tcW w:w="4390" w:type="dxa"/>
          </w:tcPr>
          <w:p w14:paraId="4B082485" w14:textId="77777777" w:rsidR="001C0686" w:rsidRPr="003B6D82" w:rsidRDefault="001C0686" w:rsidP="00CE55F4">
            <w:pPr>
              <w:pStyle w:val="COMTabletext"/>
              <w:rPr>
                <w:iCs/>
              </w:rPr>
            </w:pPr>
            <w:r w:rsidRPr="003B6D82">
              <w:rPr>
                <w:iCs/>
              </w:rPr>
              <w:t>Constipation</w:t>
            </w:r>
          </w:p>
        </w:tc>
        <w:tc>
          <w:tcPr>
            <w:tcW w:w="2313" w:type="dxa"/>
          </w:tcPr>
          <w:p w14:paraId="126DE2A4" w14:textId="77777777" w:rsidR="001C0686" w:rsidRPr="003B6D82" w:rsidRDefault="001C0686" w:rsidP="00CE55F4">
            <w:pPr>
              <w:pStyle w:val="COMTabletext"/>
              <w:jc w:val="center"/>
              <w:rPr>
                <w:iCs/>
              </w:rPr>
            </w:pPr>
            <w:r w:rsidRPr="003B6D82">
              <w:rPr>
                <w:iCs/>
              </w:rPr>
              <w:t>28 (20.9)</w:t>
            </w:r>
          </w:p>
        </w:tc>
        <w:tc>
          <w:tcPr>
            <w:tcW w:w="2314" w:type="dxa"/>
          </w:tcPr>
          <w:p w14:paraId="1C9C60FB" w14:textId="77777777" w:rsidR="001C0686" w:rsidRPr="003B6D82" w:rsidRDefault="001C0686" w:rsidP="00CE55F4">
            <w:pPr>
              <w:pStyle w:val="COMTabletext"/>
              <w:jc w:val="center"/>
              <w:rPr>
                <w:iCs/>
              </w:rPr>
            </w:pPr>
            <w:r w:rsidRPr="003B6D82">
              <w:rPr>
                <w:iCs/>
              </w:rPr>
              <w:t xml:space="preserve">6 (9.0) </w:t>
            </w:r>
          </w:p>
        </w:tc>
      </w:tr>
      <w:tr w:rsidR="001C0686" w:rsidRPr="003B6D82" w14:paraId="6E85DF8F" w14:textId="77777777" w:rsidTr="00CE55F4">
        <w:tc>
          <w:tcPr>
            <w:tcW w:w="4390" w:type="dxa"/>
          </w:tcPr>
          <w:p w14:paraId="016FACFB" w14:textId="77777777" w:rsidR="001C0686" w:rsidRPr="003B6D82" w:rsidRDefault="001C0686" w:rsidP="00CE55F4">
            <w:pPr>
              <w:pStyle w:val="COMTabletext"/>
              <w:rPr>
                <w:iCs/>
              </w:rPr>
            </w:pPr>
            <w:r w:rsidRPr="003B6D82">
              <w:rPr>
                <w:iCs/>
              </w:rPr>
              <w:t>Vomiting</w:t>
            </w:r>
          </w:p>
        </w:tc>
        <w:tc>
          <w:tcPr>
            <w:tcW w:w="2313" w:type="dxa"/>
          </w:tcPr>
          <w:p w14:paraId="344BC0AC" w14:textId="77777777" w:rsidR="001C0686" w:rsidRPr="003B6D82" w:rsidRDefault="001C0686" w:rsidP="00CE55F4">
            <w:pPr>
              <w:pStyle w:val="COMTabletext"/>
              <w:jc w:val="center"/>
              <w:rPr>
                <w:iCs/>
              </w:rPr>
            </w:pPr>
            <w:r w:rsidRPr="003B6D82">
              <w:rPr>
                <w:iCs/>
              </w:rPr>
              <w:t>21 (15.7)</w:t>
            </w:r>
          </w:p>
        </w:tc>
        <w:tc>
          <w:tcPr>
            <w:tcW w:w="2314" w:type="dxa"/>
          </w:tcPr>
          <w:p w14:paraId="592B55C2" w14:textId="77777777" w:rsidR="001C0686" w:rsidRPr="003B6D82" w:rsidRDefault="001C0686" w:rsidP="00CE55F4">
            <w:pPr>
              <w:pStyle w:val="COMTabletext"/>
              <w:jc w:val="center"/>
              <w:rPr>
                <w:iCs/>
              </w:rPr>
            </w:pPr>
            <w:r w:rsidRPr="003B6D82">
              <w:rPr>
                <w:iCs/>
              </w:rPr>
              <w:t xml:space="preserve">3 (4.5) </w:t>
            </w:r>
          </w:p>
        </w:tc>
      </w:tr>
      <w:tr w:rsidR="001C0686" w:rsidRPr="003B6D82" w14:paraId="2B6F8748" w14:textId="77777777" w:rsidTr="00CE55F4">
        <w:trPr>
          <w:trHeight w:val="59"/>
        </w:trPr>
        <w:tc>
          <w:tcPr>
            <w:tcW w:w="4390" w:type="dxa"/>
          </w:tcPr>
          <w:p w14:paraId="20DE5EA5" w14:textId="77777777" w:rsidR="001C0686" w:rsidRPr="003B6D82" w:rsidRDefault="001C0686" w:rsidP="00CE55F4">
            <w:pPr>
              <w:pStyle w:val="COMTabletext"/>
              <w:rPr>
                <w:iCs/>
              </w:rPr>
            </w:pPr>
            <w:r w:rsidRPr="003B6D82">
              <w:rPr>
                <w:iCs/>
              </w:rPr>
              <w:t>Abdominal pain</w:t>
            </w:r>
          </w:p>
        </w:tc>
        <w:tc>
          <w:tcPr>
            <w:tcW w:w="2313" w:type="dxa"/>
          </w:tcPr>
          <w:p w14:paraId="0DE1B6C9" w14:textId="77777777" w:rsidR="001C0686" w:rsidRPr="003B6D82" w:rsidRDefault="001C0686" w:rsidP="00CE55F4">
            <w:pPr>
              <w:pStyle w:val="COMTabletext"/>
              <w:jc w:val="center"/>
              <w:rPr>
                <w:iCs/>
              </w:rPr>
            </w:pPr>
            <w:r w:rsidRPr="003B6D82">
              <w:rPr>
                <w:iCs/>
              </w:rPr>
              <w:t xml:space="preserve">12 (9.0) </w:t>
            </w:r>
          </w:p>
        </w:tc>
        <w:tc>
          <w:tcPr>
            <w:tcW w:w="2314" w:type="dxa"/>
          </w:tcPr>
          <w:p w14:paraId="272E0481" w14:textId="77777777" w:rsidR="001C0686" w:rsidRPr="003B6D82" w:rsidRDefault="001C0686" w:rsidP="00CE55F4">
            <w:pPr>
              <w:pStyle w:val="COMTabletext"/>
              <w:jc w:val="center"/>
              <w:rPr>
                <w:iCs/>
              </w:rPr>
            </w:pPr>
            <w:r w:rsidRPr="003B6D82">
              <w:rPr>
                <w:iCs/>
              </w:rPr>
              <w:t xml:space="preserve">9 (13.4) </w:t>
            </w:r>
          </w:p>
        </w:tc>
      </w:tr>
      <w:tr w:rsidR="001C0686" w:rsidRPr="003B6D82" w14:paraId="177D8679" w14:textId="77777777" w:rsidTr="00CE55F4">
        <w:tc>
          <w:tcPr>
            <w:tcW w:w="4390" w:type="dxa"/>
          </w:tcPr>
          <w:p w14:paraId="70A59465" w14:textId="77777777" w:rsidR="001C0686" w:rsidRPr="003B6D82" w:rsidRDefault="001C0686" w:rsidP="00CE55F4">
            <w:pPr>
              <w:pStyle w:val="COMTabletext"/>
              <w:rPr>
                <w:iCs/>
              </w:rPr>
            </w:pPr>
            <w:r w:rsidRPr="003B6D82">
              <w:rPr>
                <w:iCs/>
              </w:rPr>
              <w:t>Anaemia</w:t>
            </w:r>
          </w:p>
        </w:tc>
        <w:tc>
          <w:tcPr>
            <w:tcW w:w="2313" w:type="dxa"/>
          </w:tcPr>
          <w:p w14:paraId="1B3ACC39" w14:textId="77777777" w:rsidR="001C0686" w:rsidRPr="003B6D82" w:rsidRDefault="001C0686" w:rsidP="00CE55F4">
            <w:pPr>
              <w:pStyle w:val="COMTabletext"/>
              <w:jc w:val="center"/>
              <w:rPr>
                <w:iCs/>
              </w:rPr>
            </w:pPr>
            <w:r w:rsidRPr="003B6D82">
              <w:rPr>
                <w:iCs/>
              </w:rPr>
              <w:t>52 (38.8)</w:t>
            </w:r>
          </w:p>
        </w:tc>
        <w:tc>
          <w:tcPr>
            <w:tcW w:w="2314" w:type="dxa"/>
          </w:tcPr>
          <w:p w14:paraId="39B95EFB" w14:textId="77777777" w:rsidR="001C0686" w:rsidRPr="003B6D82" w:rsidRDefault="001C0686" w:rsidP="00CE55F4">
            <w:pPr>
              <w:pStyle w:val="COMTabletext"/>
              <w:jc w:val="center"/>
              <w:rPr>
                <w:iCs/>
              </w:rPr>
            </w:pPr>
            <w:r w:rsidRPr="003B6D82">
              <w:rPr>
                <w:iCs/>
              </w:rPr>
              <w:t>23 (34.3)</w:t>
            </w:r>
          </w:p>
        </w:tc>
      </w:tr>
      <w:tr w:rsidR="001C0686" w:rsidRPr="003B6D82" w14:paraId="40B1B087" w14:textId="77777777" w:rsidTr="00CE55F4">
        <w:tc>
          <w:tcPr>
            <w:tcW w:w="4390" w:type="dxa"/>
          </w:tcPr>
          <w:p w14:paraId="459C87C7" w14:textId="011E25A6" w:rsidR="001C0686" w:rsidRPr="003B6D82" w:rsidRDefault="001C0686" w:rsidP="00CE55F4">
            <w:pPr>
              <w:pStyle w:val="COMTabletext"/>
              <w:rPr>
                <w:iCs/>
              </w:rPr>
            </w:pPr>
            <w:r w:rsidRPr="003B6D82">
              <w:rPr>
                <w:iCs/>
              </w:rPr>
              <w:t>Thrombocytopenia</w:t>
            </w:r>
          </w:p>
        </w:tc>
        <w:tc>
          <w:tcPr>
            <w:tcW w:w="2313" w:type="dxa"/>
          </w:tcPr>
          <w:p w14:paraId="2111C37F" w14:textId="77777777" w:rsidR="001C0686" w:rsidRPr="003B6D82" w:rsidRDefault="001C0686" w:rsidP="00CE55F4">
            <w:pPr>
              <w:pStyle w:val="COMTabletext"/>
              <w:jc w:val="center"/>
              <w:rPr>
                <w:iCs/>
              </w:rPr>
            </w:pPr>
            <w:r w:rsidRPr="003B6D82">
              <w:rPr>
                <w:iCs/>
              </w:rPr>
              <w:t>36 (26.9)</w:t>
            </w:r>
          </w:p>
        </w:tc>
        <w:tc>
          <w:tcPr>
            <w:tcW w:w="2314" w:type="dxa"/>
          </w:tcPr>
          <w:p w14:paraId="4185AFAF" w14:textId="77777777" w:rsidR="001C0686" w:rsidRPr="003B6D82" w:rsidRDefault="001C0686" w:rsidP="00CE55F4">
            <w:pPr>
              <w:pStyle w:val="COMTabletext"/>
              <w:jc w:val="center"/>
              <w:rPr>
                <w:iCs/>
              </w:rPr>
            </w:pPr>
            <w:r w:rsidRPr="003B6D82">
              <w:rPr>
                <w:iCs/>
              </w:rPr>
              <w:t>11 (16.4)</w:t>
            </w:r>
          </w:p>
        </w:tc>
      </w:tr>
      <w:tr w:rsidR="001C0686" w:rsidRPr="003B6D82" w14:paraId="5C63640D" w14:textId="77777777" w:rsidTr="00CE55F4">
        <w:tc>
          <w:tcPr>
            <w:tcW w:w="4390" w:type="dxa"/>
          </w:tcPr>
          <w:p w14:paraId="7BCE10B8" w14:textId="77777777" w:rsidR="001C0686" w:rsidRPr="003B6D82" w:rsidRDefault="001C0686" w:rsidP="00CE55F4">
            <w:pPr>
              <w:pStyle w:val="COMTabletext"/>
              <w:rPr>
                <w:iCs/>
              </w:rPr>
            </w:pPr>
            <w:r w:rsidRPr="003B6D82">
              <w:rPr>
                <w:iCs/>
              </w:rPr>
              <w:t>Encephalopathy</w:t>
            </w:r>
          </w:p>
        </w:tc>
        <w:tc>
          <w:tcPr>
            <w:tcW w:w="2313" w:type="dxa"/>
          </w:tcPr>
          <w:p w14:paraId="2B644F57" w14:textId="60739123" w:rsidR="001C0686" w:rsidRPr="003B6D82" w:rsidRDefault="001C0686" w:rsidP="00CE55F4">
            <w:pPr>
              <w:pStyle w:val="COMTabletext"/>
              <w:jc w:val="center"/>
              <w:rPr>
                <w:iCs/>
              </w:rPr>
            </w:pPr>
            <w:r w:rsidRPr="003B6D82">
              <w:rPr>
                <w:iCs/>
              </w:rPr>
              <w:t>18 (</w:t>
            </w:r>
            <w:r w:rsidR="0010604C" w:rsidRPr="003B6D82">
              <w:rPr>
                <w:iCs/>
              </w:rPr>
              <w:t>13</w:t>
            </w:r>
            <w:r w:rsidRPr="003B6D82">
              <w:rPr>
                <w:iCs/>
              </w:rPr>
              <w:t>.</w:t>
            </w:r>
            <w:r w:rsidR="0010604C" w:rsidRPr="003B6D82">
              <w:rPr>
                <w:iCs/>
              </w:rPr>
              <w:t>4</w:t>
            </w:r>
            <w:r w:rsidRPr="003B6D82">
              <w:rPr>
                <w:iCs/>
              </w:rPr>
              <w:t>)</w:t>
            </w:r>
          </w:p>
        </w:tc>
        <w:tc>
          <w:tcPr>
            <w:tcW w:w="2314" w:type="dxa"/>
          </w:tcPr>
          <w:p w14:paraId="4244970B" w14:textId="77777777" w:rsidR="001C0686" w:rsidRPr="003B6D82" w:rsidRDefault="001C0686" w:rsidP="00CE55F4">
            <w:pPr>
              <w:pStyle w:val="COMTabletext"/>
              <w:jc w:val="center"/>
              <w:rPr>
                <w:iCs/>
              </w:rPr>
            </w:pPr>
            <w:r w:rsidRPr="003B6D82">
              <w:rPr>
                <w:iCs/>
              </w:rPr>
              <w:t>2 (3.0)</w:t>
            </w:r>
          </w:p>
        </w:tc>
      </w:tr>
      <w:tr w:rsidR="001C0686" w:rsidRPr="003B6D82" w14:paraId="0C050BCC" w14:textId="77777777" w:rsidTr="00CE55F4">
        <w:tc>
          <w:tcPr>
            <w:tcW w:w="4390" w:type="dxa"/>
            <w:vAlign w:val="center"/>
          </w:tcPr>
          <w:p w14:paraId="6C022581" w14:textId="067D3F9C" w:rsidR="001C0686" w:rsidRPr="003B6D82" w:rsidRDefault="001C0686" w:rsidP="00CE55F4">
            <w:pPr>
              <w:pStyle w:val="COMTabletext"/>
              <w:rPr>
                <w:iCs/>
              </w:rPr>
            </w:pPr>
            <w:r w:rsidRPr="003B6D82">
              <w:rPr>
                <w:iCs/>
              </w:rPr>
              <w:t xml:space="preserve">Wernicke’s </w:t>
            </w:r>
            <w:r w:rsidR="00957834" w:rsidRPr="003B6D82">
              <w:rPr>
                <w:iCs/>
              </w:rPr>
              <w:t>encephalopathy</w:t>
            </w:r>
          </w:p>
        </w:tc>
        <w:tc>
          <w:tcPr>
            <w:tcW w:w="2313" w:type="dxa"/>
            <w:vAlign w:val="center"/>
          </w:tcPr>
          <w:p w14:paraId="2965BD73" w14:textId="77777777" w:rsidR="001C0686" w:rsidRPr="003B6D82" w:rsidRDefault="001C0686" w:rsidP="00CE55F4">
            <w:pPr>
              <w:pStyle w:val="COMTabletext"/>
              <w:jc w:val="center"/>
              <w:rPr>
                <w:iCs/>
              </w:rPr>
            </w:pPr>
            <w:r w:rsidRPr="003B6D82">
              <w:rPr>
                <w:iCs/>
              </w:rPr>
              <w:t>1 (0.7)</w:t>
            </w:r>
          </w:p>
        </w:tc>
        <w:tc>
          <w:tcPr>
            <w:tcW w:w="2314" w:type="dxa"/>
            <w:vAlign w:val="center"/>
          </w:tcPr>
          <w:p w14:paraId="3F21BAB8" w14:textId="77777777" w:rsidR="001C0686" w:rsidRPr="003B6D82" w:rsidRDefault="001C0686" w:rsidP="00CE55F4">
            <w:pPr>
              <w:pStyle w:val="COMTabletext"/>
              <w:jc w:val="center"/>
              <w:rPr>
                <w:iCs/>
              </w:rPr>
            </w:pPr>
            <w:r w:rsidRPr="003B6D82">
              <w:rPr>
                <w:iCs/>
              </w:rPr>
              <w:t>0 (0)</w:t>
            </w:r>
          </w:p>
        </w:tc>
      </w:tr>
    </w:tbl>
    <w:p w14:paraId="38A25A9D" w14:textId="30306B82" w:rsidR="001C0686" w:rsidRPr="003B6D82" w:rsidRDefault="001C0686" w:rsidP="00DE3EC3">
      <w:pPr>
        <w:pStyle w:val="COMTablefooter"/>
        <w:keepNext/>
        <w:rPr>
          <w:iCs/>
        </w:rPr>
      </w:pPr>
      <w:r w:rsidRPr="003B6D82">
        <w:rPr>
          <w:iCs/>
        </w:rPr>
        <w:t>Source: Table 47, pp77-80 of the submission</w:t>
      </w:r>
      <w:r w:rsidR="00B30D90" w:rsidRPr="003B6D82">
        <w:rPr>
          <w:iCs/>
        </w:rPr>
        <w:t>.</w:t>
      </w:r>
    </w:p>
    <w:p w14:paraId="477B1A24" w14:textId="4C991558" w:rsidR="001C0686" w:rsidRPr="003B6D82" w:rsidRDefault="001C0686" w:rsidP="00DE3EC3">
      <w:pPr>
        <w:pStyle w:val="COMTablefooter"/>
        <w:keepNext/>
        <w:rPr>
          <w:iCs/>
        </w:rPr>
      </w:pPr>
      <w:r w:rsidRPr="003B6D82">
        <w:rPr>
          <w:iCs/>
        </w:rPr>
        <w:t>Abbreviations: AE, adverse event; TEAE, treatment emergent adverse event</w:t>
      </w:r>
      <w:r w:rsidR="00B30D90" w:rsidRPr="003B6D82">
        <w:rPr>
          <w:iCs/>
        </w:rPr>
        <w:t>.</w:t>
      </w:r>
    </w:p>
    <w:p w14:paraId="58A6C080" w14:textId="2DF99235" w:rsidR="001C0686" w:rsidRPr="003B6D82" w:rsidRDefault="001C0686" w:rsidP="00DE3EC3">
      <w:pPr>
        <w:pStyle w:val="COMTablefooter"/>
        <w:keepLines/>
        <w:rPr>
          <w:iCs/>
        </w:rPr>
      </w:pPr>
      <w:r w:rsidRPr="003B6D82">
        <w:rPr>
          <w:iCs/>
        </w:rPr>
        <w:t xml:space="preserve">Note: Adverse events of special interest included: encephalopathy including confirmed and suspected cases of Wernicke’s encephalopathy, thiamine levels below normal range with or without signs or symptoms of Wernicke’s encephalopathy, new malignancy after start of study treatment, progression of myelofibrosis to acute myeloid leukaemia, cardiac failure or cardiomyopathy, Grade 3 or 4 </w:t>
      </w:r>
      <w:proofErr w:type="spellStart"/>
      <w:r w:rsidRPr="003B6D82">
        <w:rPr>
          <w:iCs/>
        </w:rPr>
        <w:t>hyperlipasemia</w:t>
      </w:r>
      <w:proofErr w:type="spellEnd"/>
      <w:r w:rsidRPr="003B6D82">
        <w:rPr>
          <w:iCs/>
        </w:rPr>
        <w:t xml:space="preserve"> or hyperamylasemia or events of pancreatitis, Grade 3 or 4 ALT or AST or total bilirubin elevation or events of hepatotoxicity, Grade 3 or 4 anaemia, Grade 3 or 4 thrombocytopenia, pregnancy, overdose.</w:t>
      </w:r>
    </w:p>
    <w:p w14:paraId="16EC80D3" w14:textId="4CC34AD1" w:rsidR="00516E35" w:rsidRPr="003B6D82" w:rsidRDefault="00516E35" w:rsidP="00516E35">
      <w:pPr>
        <w:pStyle w:val="COMexecsummnumbered"/>
        <w:rPr>
          <w:iCs/>
        </w:rPr>
      </w:pPr>
      <w:r w:rsidRPr="003B6D82">
        <w:rPr>
          <w:iCs/>
        </w:rPr>
        <w:t xml:space="preserve">Almost all patients in both treatment arms reported a treatment emergent adverse event during the first 6 cycles (24 weeks) of treatment, however a greater proportion of patients in the </w:t>
      </w:r>
      <w:proofErr w:type="spellStart"/>
      <w:r w:rsidRPr="003B6D82">
        <w:rPr>
          <w:iCs/>
        </w:rPr>
        <w:t>fedratinib</w:t>
      </w:r>
      <w:proofErr w:type="spellEnd"/>
      <w:r w:rsidRPr="003B6D82">
        <w:rPr>
          <w:iCs/>
        </w:rPr>
        <w:t xml:space="preserve"> arm reported adverse events of all types (treatment-related, serious, grade ≥3), and adverse events leading to death, dose reduction, dose interruption or treatment discontinuation, compared to patients in the best available therapy arm. The most frequently reported adverse events in the </w:t>
      </w:r>
      <w:proofErr w:type="spellStart"/>
      <w:r w:rsidRPr="003B6D82">
        <w:rPr>
          <w:iCs/>
        </w:rPr>
        <w:t>fedratinib</w:t>
      </w:r>
      <w:proofErr w:type="spellEnd"/>
      <w:r w:rsidRPr="003B6D82">
        <w:rPr>
          <w:iCs/>
        </w:rPr>
        <w:t xml:space="preserve"> arm were gastrointestinal events (diarrhoea 41.8%, nausea 36.6%, constipation 20.9%, vomiting 15.7%), anaemia (38.8%) and thrombocytopenia (26.9%). The submission noted that these adverse events are consistent with all prior studies of </w:t>
      </w:r>
      <w:proofErr w:type="spellStart"/>
      <w:r w:rsidRPr="003B6D82">
        <w:rPr>
          <w:iCs/>
        </w:rPr>
        <w:t>fedratinib</w:t>
      </w:r>
      <w:proofErr w:type="spellEnd"/>
      <w:r w:rsidRPr="003B6D82">
        <w:rPr>
          <w:iCs/>
        </w:rPr>
        <w:t xml:space="preserve"> in </w:t>
      </w:r>
      <w:proofErr w:type="gramStart"/>
      <w:r w:rsidRPr="003B6D82">
        <w:rPr>
          <w:iCs/>
        </w:rPr>
        <w:t>myelofibrosis, and</w:t>
      </w:r>
      <w:proofErr w:type="gramEnd"/>
      <w:r w:rsidRPr="003B6D82">
        <w:rPr>
          <w:iCs/>
        </w:rPr>
        <w:t xml:space="preserve"> argued that the lower incidence of treatment emergent adverse events in the best available therapy arm were due to </w:t>
      </w:r>
      <w:proofErr w:type="gramStart"/>
      <w:r w:rsidRPr="003B6D82">
        <w:rPr>
          <w:iCs/>
        </w:rPr>
        <w:t>the majority of</w:t>
      </w:r>
      <w:proofErr w:type="gramEnd"/>
      <w:r w:rsidRPr="003B6D82">
        <w:rPr>
          <w:iCs/>
        </w:rPr>
        <w:t xml:space="preserve"> patients continuing treatment with </w:t>
      </w:r>
      <w:proofErr w:type="gramStart"/>
      <w:r w:rsidRPr="003B6D82">
        <w:rPr>
          <w:iCs/>
        </w:rPr>
        <w:t>previously-received</w:t>
      </w:r>
      <w:proofErr w:type="gramEnd"/>
      <w:r w:rsidRPr="003B6D82">
        <w:rPr>
          <w:iCs/>
        </w:rPr>
        <w:t xml:space="preserve"> </w:t>
      </w:r>
      <w:proofErr w:type="spellStart"/>
      <w:r w:rsidRPr="003B6D82">
        <w:rPr>
          <w:iCs/>
        </w:rPr>
        <w:t>ruxolitinib</w:t>
      </w:r>
      <w:proofErr w:type="spellEnd"/>
      <w:r w:rsidRPr="003B6D82">
        <w:rPr>
          <w:iCs/>
        </w:rPr>
        <w:t>, rather than receiving a new treatment for which they had no prior exposure.</w:t>
      </w:r>
      <w:r w:rsidR="00130497" w:rsidRPr="003B6D82">
        <w:rPr>
          <w:iCs/>
        </w:rPr>
        <w:t xml:space="preserve"> The ESC </w:t>
      </w:r>
      <w:r w:rsidR="002E6FFA" w:rsidRPr="003B6D82">
        <w:rPr>
          <w:iCs/>
        </w:rPr>
        <w:t xml:space="preserve">considered the assumption to be reasonable, </w:t>
      </w:r>
      <w:r w:rsidR="002E6FFA" w:rsidRPr="003B6D82">
        <w:rPr>
          <w:iCs/>
        </w:rPr>
        <w:lastRenderedPageBreak/>
        <w:t xml:space="preserve">considering majority of patients were on </w:t>
      </w:r>
      <w:proofErr w:type="spellStart"/>
      <w:r w:rsidR="002E6FFA" w:rsidRPr="003B6D82">
        <w:rPr>
          <w:iCs/>
        </w:rPr>
        <w:t>ruxolitinib</w:t>
      </w:r>
      <w:proofErr w:type="spellEnd"/>
      <w:r w:rsidR="002E6FFA" w:rsidRPr="003B6D82">
        <w:rPr>
          <w:iCs/>
        </w:rPr>
        <w:t xml:space="preserve">. </w:t>
      </w:r>
      <w:r w:rsidRPr="003B6D82">
        <w:rPr>
          <w:iCs/>
        </w:rPr>
        <w:t xml:space="preserve">In the best available therapy arm, the most frequently reported adverse events were anaemia (34.3%), asthenia (22.4%), thrombocytopenia (16.4%), nausea (14.9%) and fatigue (11.9%). </w:t>
      </w:r>
    </w:p>
    <w:p w14:paraId="2AE9723F" w14:textId="486EA18B" w:rsidR="00516E35" w:rsidRPr="003B6D82" w:rsidRDefault="00516E35" w:rsidP="00516E35">
      <w:pPr>
        <w:pStyle w:val="COMexecsummnumbered"/>
        <w:rPr>
          <w:iCs/>
        </w:rPr>
      </w:pPr>
      <w:r w:rsidRPr="003B6D82">
        <w:rPr>
          <w:iCs/>
        </w:rPr>
        <w:t xml:space="preserve">Gastrointestinal adverse events of nausea, diarrhoea or vomiting occurred more frequently in </w:t>
      </w:r>
      <w:proofErr w:type="spellStart"/>
      <w:r w:rsidRPr="003B6D82">
        <w:rPr>
          <w:iCs/>
        </w:rPr>
        <w:t>fedratinib</w:t>
      </w:r>
      <w:proofErr w:type="spellEnd"/>
      <w:r w:rsidRPr="003B6D82">
        <w:rPr>
          <w:iCs/>
        </w:rPr>
        <w:t xml:space="preserve">-treated patients, with 87 (64.9%) patients in the </w:t>
      </w:r>
      <w:proofErr w:type="spellStart"/>
      <w:r w:rsidRPr="003B6D82">
        <w:rPr>
          <w:iCs/>
        </w:rPr>
        <w:t>fedratinib</w:t>
      </w:r>
      <w:proofErr w:type="spellEnd"/>
      <w:r w:rsidRPr="003B6D82">
        <w:rPr>
          <w:iCs/>
        </w:rPr>
        <w:t xml:space="preserve"> arm reporting at least one gastrointestinal adverse event across the entire treatment period (to December 2022 data cut-off) compared to 14 (20.9%) patients in the best available therapy arm. A breakdown of gastrointestinal adverse events by treatment and cycle indicated a greater incidence of nausea, vomiting or diarrhoea events in earlier treatment cycles in the </w:t>
      </w:r>
      <w:proofErr w:type="spellStart"/>
      <w:r w:rsidRPr="003B6D82">
        <w:rPr>
          <w:iCs/>
        </w:rPr>
        <w:t>fedratinib</w:t>
      </w:r>
      <w:proofErr w:type="spellEnd"/>
      <w:r w:rsidRPr="003B6D82">
        <w:rPr>
          <w:iCs/>
        </w:rPr>
        <w:t xml:space="preserve"> arm, with a brief increase in incidence in the best available therapy arm in Cycle 6, likely indicative of patients crossing over to </w:t>
      </w:r>
      <w:proofErr w:type="spellStart"/>
      <w:r w:rsidRPr="003B6D82">
        <w:rPr>
          <w:iCs/>
        </w:rPr>
        <w:t>fedratinib</w:t>
      </w:r>
      <w:proofErr w:type="spellEnd"/>
      <w:r w:rsidRPr="003B6D82">
        <w:rPr>
          <w:iCs/>
        </w:rPr>
        <w:t xml:space="preserve"> treatment (see Table 8.5.2-1, FREEDOM-2 clinical study report). It is unclear whether the incidence of gastrointestinal adverse events in the trial would be representative of clinical practice given the </w:t>
      </w:r>
      <w:proofErr w:type="spellStart"/>
      <w:r w:rsidRPr="003B6D82">
        <w:rPr>
          <w:iCs/>
        </w:rPr>
        <w:t>fedratinib</w:t>
      </w:r>
      <w:proofErr w:type="spellEnd"/>
      <w:r w:rsidRPr="003B6D82">
        <w:rPr>
          <w:iCs/>
        </w:rPr>
        <w:t xml:space="preserve"> product information states that appropriate prophylactic anti-emetic therapy should be considered during </w:t>
      </w:r>
      <w:proofErr w:type="spellStart"/>
      <w:r w:rsidRPr="003B6D82">
        <w:rPr>
          <w:iCs/>
        </w:rPr>
        <w:t>fedratinib</w:t>
      </w:r>
      <w:proofErr w:type="spellEnd"/>
      <w:r w:rsidRPr="003B6D82">
        <w:rPr>
          <w:iCs/>
        </w:rPr>
        <w:t xml:space="preserve"> treatment and recommends prompt treatment of diarrhoea with anti-diarrhoeal medications at the first onset of symptoms. In the trial, only 50% of patients in the </w:t>
      </w:r>
      <w:proofErr w:type="spellStart"/>
      <w:r w:rsidRPr="003B6D82">
        <w:rPr>
          <w:iCs/>
        </w:rPr>
        <w:t>fedratinib</w:t>
      </w:r>
      <w:proofErr w:type="spellEnd"/>
      <w:r w:rsidRPr="003B6D82">
        <w:rPr>
          <w:iCs/>
        </w:rPr>
        <w:t xml:space="preserve"> arm received concomitant anti-emetic therapy and 33% received anti-diarrhoeal medicines.</w:t>
      </w:r>
      <w:r w:rsidR="004A2D8A" w:rsidRPr="003B6D82">
        <w:rPr>
          <w:iCs/>
        </w:rPr>
        <w:t xml:space="preserve"> The ESC considered</w:t>
      </w:r>
      <w:r w:rsidR="00561DEF" w:rsidRPr="003B6D82">
        <w:rPr>
          <w:iCs/>
        </w:rPr>
        <w:t>, based on the available safety data, that</w:t>
      </w:r>
      <w:r w:rsidR="004A2D8A" w:rsidRPr="003B6D82">
        <w:rPr>
          <w:iCs/>
        </w:rPr>
        <w:t xml:space="preserve"> anti-</w:t>
      </w:r>
      <w:r w:rsidR="00866D23" w:rsidRPr="003B6D82">
        <w:rPr>
          <w:iCs/>
        </w:rPr>
        <w:t>emetic</w:t>
      </w:r>
      <w:r w:rsidR="004A2D8A" w:rsidRPr="003B6D82">
        <w:rPr>
          <w:iCs/>
        </w:rPr>
        <w:t xml:space="preserve"> </w:t>
      </w:r>
      <w:r w:rsidR="00866D23" w:rsidRPr="003B6D82">
        <w:rPr>
          <w:iCs/>
        </w:rPr>
        <w:t>therapy</w:t>
      </w:r>
      <w:r w:rsidR="00C26BA1" w:rsidRPr="003B6D82">
        <w:rPr>
          <w:iCs/>
        </w:rPr>
        <w:t xml:space="preserve">, </w:t>
      </w:r>
      <w:r w:rsidR="00474F91" w:rsidRPr="003B6D82">
        <w:rPr>
          <w:iCs/>
        </w:rPr>
        <w:t xml:space="preserve">anti-diarrhoeal </w:t>
      </w:r>
      <w:r w:rsidR="00C26BA1" w:rsidRPr="003B6D82">
        <w:rPr>
          <w:iCs/>
        </w:rPr>
        <w:t xml:space="preserve">and thiamine </w:t>
      </w:r>
      <w:r w:rsidR="002A566F" w:rsidRPr="003B6D82">
        <w:rPr>
          <w:iCs/>
        </w:rPr>
        <w:t xml:space="preserve">supplementation (and monitoring) were </w:t>
      </w:r>
      <w:r w:rsidR="00561DEF" w:rsidRPr="003B6D82">
        <w:rPr>
          <w:iCs/>
        </w:rPr>
        <w:t xml:space="preserve">likely relevant costs associated with </w:t>
      </w:r>
      <w:proofErr w:type="spellStart"/>
      <w:r w:rsidR="00561DEF" w:rsidRPr="003B6D82">
        <w:rPr>
          <w:iCs/>
        </w:rPr>
        <w:t>fedratinib</w:t>
      </w:r>
      <w:proofErr w:type="spellEnd"/>
      <w:r w:rsidR="00561DEF" w:rsidRPr="003B6D82">
        <w:rPr>
          <w:iCs/>
        </w:rPr>
        <w:t xml:space="preserve"> treatment that should be considered </w:t>
      </w:r>
      <w:r w:rsidR="00E72105" w:rsidRPr="003B6D82">
        <w:rPr>
          <w:iCs/>
        </w:rPr>
        <w:t xml:space="preserve">in </w:t>
      </w:r>
      <w:r w:rsidR="00561DEF" w:rsidRPr="003B6D82">
        <w:rPr>
          <w:iCs/>
        </w:rPr>
        <w:t xml:space="preserve">the economic analysis. </w:t>
      </w:r>
    </w:p>
    <w:p w14:paraId="29FF1E0A" w14:textId="7B4B167D" w:rsidR="00516E35" w:rsidRPr="00F07C53" w:rsidRDefault="00516E35" w:rsidP="00516E35">
      <w:pPr>
        <w:pStyle w:val="COMexecsummnumbered"/>
        <w:rPr>
          <w:iCs/>
        </w:rPr>
      </w:pPr>
      <w:r w:rsidRPr="003B6D82">
        <w:rPr>
          <w:iCs/>
        </w:rPr>
        <w:t xml:space="preserve">During the first 6 treatment cycles, more patients in the </w:t>
      </w:r>
      <w:proofErr w:type="spellStart"/>
      <w:r w:rsidRPr="003B6D82">
        <w:rPr>
          <w:iCs/>
        </w:rPr>
        <w:t>fedratinib</w:t>
      </w:r>
      <w:proofErr w:type="spellEnd"/>
      <w:r w:rsidRPr="003B6D82">
        <w:rPr>
          <w:iCs/>
        </w:rPr>
        <w:t xml:space="preserve"> arm reported adverse events leading to dose reduction, dose interruption or permanent treatment discontinuation (30.6%, 31.3% and 9.7%, respectively), compared to the </w:t>
      </w:r>
      <w:r w:rsidRPr="00F07C53">
        <w:rPr>
          <w:iCs/>
        </w:rPr>
        <w:t>best available therapy arm (10.4%, 6.0% and 6.0%, respectively).</w:t>
      </w:r>
    </w:p>
    <w:p w14:paraId="430AE2BB" w14:textId="4D6BE106" w:rsidR="00FB5FA1" w:rsidRPr="00F07C53" w:rsidRDefault="00E32F87" w:rsidP="00E32F87">
      <w:pPr>
        <w:pStyle w:val="COMexecsummnumbered"/>
        <w:rPr>
          <w:iCs/>
        </w:rPr>
      </w:pPr>
      <w:r w:rsidRPr="00F07C53">
        <w:rPr>
          <w:iCs/>
        </w:rPr>
        <w:t xml:space="preserve">Adverse events of special interest including encephalopathy/Wernicke’s encephalopathy (or suspected cases associated with thiamine levels below normal range), thiamine levels below normal range, progression to AML, Grade 3 or 4 anaemia and Grade 3 or 4 thrombocytopenia were investigated during the FREEDOM-2 trial. During the first 6 treatment cycles, 65.7% of </w:t>
      </w:r>
      <w:proofErr w:type="spellStart"/>
      <w:r w:rsidRPr="00F07C53">
        <w:rPr>
          <w:iCs/>
        </w:rPr>
        <w:t>fedratinib</w:t>
      </w:r>
      <w:proofErr w:type="spellEnd"/>
      <w:r w:rsidRPr="00F07C53">
        <w:rPr>
          <w:iCs/>
        </w:rPr>
        <w:t>-treated patients experienced an adverse event of special interest, compared to 40.3% of patients in the best available therapy arm.</w:t>
      </w:r>
      <w:r w:rsidR="00DA66B5" w:rsidRPr="00F07C53">
        <w:rPr>
          <w:iCs/>
        </w:rPr>
        <w:t xml:space="preserve"> </w:t>
      </w:r>
      <w:r w:rsidR="00763670" w:rsidRPr="00F07C53">
        <w:rPr>
          <w:iCs/>
        </w:rPr>
        <w:t xml:space="preserve">There were no patients in either treatment arm who experienced transformation to acute myeloid leukaemia. </w:t>
      </w:r>
      <w:r w:rsidR="00DA66B5" w:rsidRPr="00F07C53">
        <w:rPr>
          <w:iCs/>
        </w:rPr>
        <w:t xml:space="preserve">Encephalopathy-related events were reported for 13.4% of patients in the </w:t>
      </w:r>
      <w:proofErr w:type="spellStart"/>
      <w:r w:rsidR="00DA66B5" w:rsidRPr="00F07C53">
        <w:rPr>
          <w:iCs/>
        </w:rPr>
        <w:t>fedratinib</w:t>
      </w:r>
      <w:proofErr w:type="spellEnd"/>
      <w:r w:rsidR="00DA66B5" w:rsidRPr="00F07C53">
        <w:rPr>
          <w:iCs/>
        </w:rPr>
        <w:t xml:space="preserve"> arm (3.0% in the best available therapy arm), including one case of Wernicke’s encephalopathy (</w:t>
      </w:r>
      <w:r w:rsidR="00691A50" w:rsidRPr="00F07C53">
        <w:rPr>
          <w:iCs/>
        </w:rPr>
        <w:t>grade</w:t>
      </w:r>
      <w:r w:rsidR="00691A50">
        <w:rPr>
          <w:iCs/>
        </w:rPr>
        <w:t> </w:t>
      </w:r>
      <w:r w:rsidR="00DA66B5" w:rsidRPr="00F07C53">
        <w:rPr>
          <w:iCs/>
        </w:rPr>
        <w:t xml:space="preserve">1, non-serious, with symptoms resolved within 24 hours with thiamine supplementation). Thiamine levels below normal range were reported for 16.4% of </w:t>
      </w:r>
      <w:proofErr w:type="spellStart"/>
      <w:r w:rsidR="00DA66B5" w:rsidRPr="00F07C53">
        <w:rPr>
          <w:iCs/>
        </w:rPr>
        <w:t>fedratinib</w:t>
      </w:r>
      <w:proofErr w:type="spellEnd"/>
      <w:r w:rsidR="00DA66B5" w:rsidRPr="00F07C53">
        <w:rPr>
          <w:iCs/>
        </w:rPr>
        <w:t xml:space="preserve">-treated patients compared to 3.0% in the best available therapy arm. It is unclear whether the incidence of encephalopathy events during the trial would be representative of clinical practice, given the product information states that all patients should receive prophylaxis with oral thiamine whilst on treatment with </w:t>
      </w:r>
      <w:proofErr w:type="spellStart"/>
      <w:r w:rsidR="00DA66B5" w:rsidRPr="00F07C53">
        <w:rPr>
          <w:iCs/>
        </w:rPr>
        <w:lastRenderedPageBreak/>
        <w:t>fedratinib</w:t>
      </w:r>
      <w:proofErr w:type="spellEnd"/>
      <w:r w:rsidR="00DA66B5" w:rsidRPr="00F07C53">
        <w:rPr>
          <w:iCs/>
        </w:rPr>
        <w:t xml:space="preserve">, while in the trial only 64.5% of patients in the </w:t>
      </w:r>
      <w:proofErr w:type="spellStart"/>
      <w:r w:rsidR="00DA66B5" w:rsidRPr="00F07C53">
        <w:rPr>
          <w:iCs/>
        </w:rPr>
        <w:t>fedratinib</w:t>
      </w:r>
      <w:proofErr w:type="spellEnd"/>
      <w:r w:rsidR="00DA66B5" w:rsidRPr="00F07C53">
        <w:rPr>
          <w:iCs/>
        </w:rPr>
        <w:t xml:space="preserve"> arm received thiamine supplementation.</w:t>
      </w:r>
      <w:r w:rsidR="0098126A" w:rsidRPr="00F07C53">
        <w:rPr>
          <w:iCs/>
        </w:rPr>
        <w:t xml:space="preserve"> </w:t>
      </w:r>
    </w:p>
    <w:p w14:paraId="423A4CA9" w14:textId="3EA4742D" w:rsidR="00E32F87" w:rsidRPr="003B6D82" w:rsidRDefault="009F5182" w:rsidP="00E32F87">
      <w:pPr>
        <w:pStyle w:val="COMexecsummnumbered"/>
        <w:rPr>
          <w:iCs/>
        </w:rPr>
      </w:pPr>
      <w:r w:rsidRPr="003B6D82">
        <w:rPr>
          <w:iCs/>
        </w:rPr>
        <w:t xml:space="preserve">The </w:t>
      </w:r>
      <w:r w:rsidR="006516B0" w:rsidRPr="003B6D82">
        <w:rPr>
          <w:iCs/>
        </w:rPr>
        <w:t xml:space="preserve">overall </w:t>
      </w:r>
      <w:r w:rsidRPr="003B6D82">
        <w:rPr>
          <w:iCs/>
        </w:rPr>
        <w:t xml:space="preserve">incidence of </w:t>
      </w:r>
      <w:r w:rsidR="00AE180A" w:rsidRPr="003B6D82">
        <w:rPr>
          <w:iCs/>
        </w:rPr>
        <w:t>Grade 3 or 4 th</w:t>
      </w:r>
      <w:r w:rsidRPr="003B6D82">
        <w:rPr>
          <w:iCs/>
        </w:rPr>
        <w:t>r</w:t>
      </w:r>
      <w:r w:rsidR="00AE180A" w:rsidRPr="003B6D82">
        <w:rPr>
          <w:iCs/>
        </w:rPr>
        <w:t>ombocytop</w:t>
      </w:r>
      <w:r w:rsidRPr="003B6D82">
        <w:rPr>
          <w:iCs/>
        </w:rPr>
        <w:t>enia was higher in</w:t>
      </w:r>
      <w:r w:rsidR="00D841F3" w:rsidRPr="003B6D82">
        <w:rPr>
          <w:iCs/>
        </w:rPr>
        <w:t xml:space="preserve"> the </w:t>
      </w:r>
      <w:proofErr w:type="spellStart"/>
      <w:r w:rsidR="00D841F3" w:rsidRPr="003B6D82">
        <w:rPr>
          <w:iCs/>
        </w:rPr>
        <w:t>fedratinib</w:t>
      </w:r>
      <w:proofErr w:type="spellEnd"/>
      <w:r w:rsidR="00D841F3" w:rsidRPr="003B6D82">
        <w:rPr>
          <w:iCs/>
        </w:rPr>
        <w:t xml:space="preserve"> arm (</w:t>
      </w:r>
      <w:r w:rsidR="006516B0" w:rsidRPr="003B6D82">
        <w:rPr>
          <w:iCs/>
        </w:rPr>
        <w:t>20.1</w:t>
      </w:r>
      <w:r w:rsidR="00D841F3" w:rsidRPr="003B6D82">
        <w:rPr>
          <w:iCs/>
        </w:rPr>
        <w:t>%) than the best available therapy arm (</w:t>
      </w:r>
      <w:r w:rsidR="006516B0" w:rsidRPr="003B6D82">
        <w:rPr>
          <w:iCs/>
        </w:rPr>
        <w:t>6</w:t>
      </w:r>
      <w:r w:rsidR="00D841F3" w:rsidRPr="003B6D82">
        <w:rPr>
          <w:iCs/>
        </w:rPr>
        <w:t>.0</w:t>
      </w:r>
      <w:r w:rsidRPr="003B6D82">
        <w:rPr>
          <w:iCs/>
        </w:rPr>
        <w:t>%</w:t>
      </w:r>
      <w:r w:rsidR="00D841F3" w:rsidRPr="003B6D82">
        <w:rPr>
          <w:iCs/>
        </w:rPr>
        <w:t xml:space="preserve">), </w:t>
      </w:r>
      <w:r w:rsidR="00286226" w:rsidRPr="003B6D82">
        <w:rPr>
          <w:iCs/>
        </w:rPr>
        <w:t>as was the</w:t>
      </w:r>
      <w:r w:rsidR="00D841F3" w:rsidRPr="003B6D82">
        <w:rPr>
          <w:iCs/>
        </w:rPr>
        <w:t xml:space="preserve"> incidence of Grade</w:t>
      </w:r>
      <w:r w:rsidR="00691A50">
        <w:rPr>
          <w:iCs/>
        </w:rPr>
        <w:t> </w:t>
      </w:r>
      <w:r w:rsidR="00D841F3" w:rsidRPr="003B6D82">
        <w:rPr>
          <w:iCs/>
        </w:rPr>
        <w:t xml:space="preserve">3 or 4 anaemia </w:t>
      </w:r>
      <w:r w:rsidR="00286226" w:rsidRPr="003B6D82">
        <w:rPr>
          <w:iCs/>
        </w:rPr>
        <w:t>(</w:t>
      </w:r>
      <w:r w:rsidR="00736C0D" w:rsidRPr="003B6D82">
        <w:rPr>
          <w:iCs/>
        </w:rPr>
        <w:t>27.6% versus 19.4%).</w:t>
      </w:r>
      <w:r w:rsidRPr="003B6D82">
        <w:rPr>
          <w:iCs/>
        </w:rPr>
        <w:t xml:space="preserve"> </w:t>
      </w:r>
      <w:r w:rsidR="002C14B6" w:rsidRPr="003B6D82">
        <w:rPr>
          <w:iCs/>
        </w:rPr>
        <w:t xml:space="preserve">The incidence of </w:t>
      </w:r>
      <w:r w:rsidR="00395CD8" w:rsidRPr="003B6D82">
        <w:rPr>
          <w:iCs/>
        </w:rPr>
        <w:t>Grade 3 or 4 renal and urinary disorders (</w:t>
      </w:r>
      <w:r w:rsidR="00846146" w:rsidRPr="003B6D82">
        <w:rPr>
          <w:iCs/>
        </w:rPr>
        <w:t xml:space="preserve">including </w:t>
      </w:r>
      <w:r w:rsidR="00395CD8" w:rsidRPr="003B6D82">
        <w:rPr>
          <w:iCs/>
        </w:rPr>
        <w:t>acute kidney injury, chronic kidney disease, renal failure and renal impairment</w:t>
      </w:r>
      <w:r w:rsidR="002C14B6" w:rsidRPr="003B6D82">
        <w:rPr>
          <w:iCs/>
        </w:rPr>
        <w:t xml:space="preserve"> reported for </w:t>
      </w:r>
      <w:r w:rsidR="000B3A11" w:rsidRPr="003B6D82">
        <w:rPr>
          <w:iCs/>
        </w:rPr>
        <w:t xml:space="preserve">more than </w:t>
      </w:r>
      <w:r w:rsidR="002C14B6" w:rsidRPr="003B6D82">
        <w:rPr>
          <w:iCs/>
        </w:rPr>
        <w:t xml:space="preserve">1 patient in the </w:t>
      </w:r>
      <w:proofErr w:type="spellStart"/>
      <w:r w:rsidR="002C14B6" w:rsidRPr="003B6D82">
        <w:rPr>
          <w:iCs/>
        </w:rPr>
        <w:t>fedratinib</w:t>
      </w:r>
      <w:proofErr w:type="spellEnd"/>
      <w:r w:rsidR="002C14B6" w:rsidRPr="003B6D82">
        <w:rPr>
          <w:iCs/>
        </w:rPr>
        <w:t xml:space="preserve"> arm</w:t>
      </w:r>
      <w:r w:rsidR="00395CD8" w:rsidRPr="003B6D82">
        <w:rPr>
          <w:iCs/>
        </w:rPr>
        <w:t>)</w:t>
      </w:r>
      <w:r w:rsidR="005602D5" w:rsidRPr="003B6D82">
        <w:rPr>
          <w:iCs/>
        </w:rPr>
        <w:t xml:space="preserve"> </w:t>
      </w:r>
      <w:r w:rsidR="002C14B6" w:rsidRPr="003B6D82">
        <w:rPr>
          <w:iCs/>
        </w:rPr>
        <w:t xml:space="preserve">was higher </w:t>
      </w:r>
      <w:r w:rsidR="005602D5" w:rsidRPr="003B6D82">
        <w:rPr>
          <w:iCs/>
        </w:rPr>
        <w:t xml:space="preserve">in the </w:t>
      </w:r>
      <w:proofErr w:type="spellStart"/>
      <w:r w:rsidR="005602D5" w:rsidRPr="003B6D82">
        <w:rPr>
          <w:iCs/>
        </w:rPr>
        <w:t>fedratinib</w:t>
      </w:r>
      <w:proofErr w:type="spellEnd"/>
      <w:r w:rsidR="005602D5" w:rsidRPr="003B6D82">
        <w:rPr>
          <w:iCs/>
        </w:rPr>
        <w:t xml:space="preserve"> arm (12.7%) compared to the best available therapy arm (1.5%)</w:t>
      </w:r>
      <w:r w:rsidR="005227BD" w:rsidRPr="003B6D82">
        <w:rPr>
          <w:iCs/>
        </w:rPr>
        <w:t xml:space="preserve">. </w:t>
      </w:r>
      <w:r w:rsidR="00846146" w:rsidRPr="003B6D82">
        <w:rPr>
          <w:iCs/>
        </w:rPr>
        <w:t xml:space="preserve">The incidence of </w:t>
      </w:r>
      <w:r w:rsidR="005227BD" w:rsidRPr="003B6D82">
        <w:rPr>
          <w:iCs/>
        </w:rPr>
        <w:t>Grade 3 or 4 gastrointestinal disorders (</w:t>
      </w:r>
      <w:r w:rsidR="00846146" w:rsidRPr="003B6D82">
        <w:rPr>
          <w:iCs/>
        </w:rPr>
        <w:t xml:space="preserve">including </w:t>
      </w:r>
      <w:r w:rsidR="005227BD" w:rsidRPr="003B6D82">
        <w:rPr>
          <w:iCs/>
        </w:rPr>
        <w:t>upper abdominal pain, diarrhoea and gastrointestinal haemorrhage</w:t>
      </w:r>
      <w:r w:rsidR="002C14B6" w:rsidRPr="003B6D82">
        <w:rPr>
          <w:iCs/>
        </w:rPr>
        <w:t xml:space="preserve"> reported for </w:t>
      </w:r>
      <w:r w:rsidR="00F01163" w:rsidRPr="003B6D82">
        <w:rPr>
          <w:iCs/>
        </w:rPr>
        <w:t xml:space="preserve">more than </w:t>
      </w:r>
      <w:r w:rsidR="002C14B6" w:rsidRPr="003B6D82">
        <w:rPr>
          <w:iCs/>
        </w:rPr>
        <w:t xml:space="preserve">1 </w:t>
      </w:r>
      <w:r w:rsidR="00846146" w:rsidRPr="003B6D82">
        <w:rPr>
          <w:iCs/>
        </w:rPr>
        <w:t xml:space="preserve">patient in the </w:t>
      </w:r>
      <w:proofErr w:type="spellStart"/>
      <w:r w:rsidR="00846146" w:rsidRPr="003B6D82">
        <w:rPr>
          <w:iCs/>
        </w:rPr>
        <w:t>fedratinib</w:t>
      </w:r>
      <w:proofErr w:type="spellEnd"/>
      <w:r w:rsidR="00846146" w:rsidRPr="003B6D82">
        <w:rPr>
          <w:iCs/>
        </w:rPr>
        <w:t xml:space="preserve"> arm</w:t>
      </w:r>
      <w:r w:rsidR="005227BD" w:rsidRPr="003B6D82">
        <w:rPr>
          <w:iCs/>
        </w:rPr>
        <w:t>)</w:t>
      </w:r>
      <w:r w:rsidR="00846146" w:rsidRPr="003B6D82">
        <w:rPr>
          <w:iCs/>
        </w:rPr>
        <w:t xml:space="preserve"> was also higher in the </w:t>
      </w:r>
      <w:proofErr w:type="spellStart"/>
      <w:r w:rsidR="00846146" w:rsidRPr="003B6D82">
        <w:rPr>
          <w:iCs/>
        </w:rPr>
        <w:t>fedratinib</w:t>
      </w:r>
      <w:proofErr w:type="spellEnd"/>
      <w:r w:rsidR="00846146" w:rsidRPr="003B6D82">
        <w:rPr>
          <w:iCs/>
        </w:rPr>
        <w:t xml:space="preserve"> arm (8.2%) compared to the best available therapy arm (0%).</w:t>
      </w:r>
    </w:p>
    <w:p w14:paraId="0A10D57F" w14:textId="4609C9C0" w:rsidR="00680DA8" w:rsidRPr="003B6D82" w:rsidRDefault="003A6076" w:rsidP="00E32F87">
      <w:pPr>
        <w:pStyle w:val="COMexecsummnumbered"/>
        <w:rPr>
          <w:iCs/>
        </w:rPr>
      </w:pPr>
      <w:r w:rsidRPr="003B6D82">
        <w:rPr>
          <w:iCs/>
        </w:rPr>
        <w:t xml:space="preserve">The most recent </w:t>
      </w:r>
      <w:proofErr w:type="gramStart"/>
      <w:r w:rsidRPr="003B6D82">
        <w:rPr>
          <w:iCs/>
        </w:rPr>
        <w:t>6 month</w:t>
      </w:r>
      <w:proofErr w:type="gramEnd"/>
      <w:r w:rsidRPr="003B6D82">
        <w:rPr>
          <w:iCs/>
        </w:rPr>
        <w:t xml:space="preserve"> Periodic Benefit-Risk Evaluation Report (covering the period 16</w:t>
      </w:r>
      <w:r w:rsidR="00691A50">
        <w:rPr>
          <w:iCs/>
        </w:rPr>
        <w:t> </w:t>
      </w:r>
      <w:r w:rsidRPr="003B6D82">
        <w:rPr>
          <w:iCs/>
        </w:rPr>
        <w:t xml:space="preserve">February 2024 to 15 August 2024) noted </w:t>
      </w:r>
      <w:r w:rsidR="0015561C" w:rsidRPr="003B6D82">
        <w:rPr>
          <w:iCs/>
        </w:rPr>
        <w:t>the following im</w:t>
      </w:r>
      <w:r w:rsidR="00680DA8" w:rsidRPr="003B6D82">
        <w:rPr>
          <w:iCs/>
        </w:rPr>
        <w:t xml:space="preserve">portant identified risks: anaemia, thrombocytopenia/bleeding, encephalopathy (including Wernicke’s encephalopathy), and gastrointestinal toxicities (diarrhoea, nausea, vomiting). Important potential risks include pancreatitis, severe hepatotoxicity and severe infections including viral reactivation. Missing information includes use in patients with severe hepatic impairment, and </w:t>
      </w:r>
      <w:proofErr w:type="gramStart"/>
      <w:r w:rsidR="00680DA8" w:rsidRPr="003B6D82">
        <w:rPr>
          <w:iCs/>
        </w:rPr>
        <w:t>long term</w:t>
      </w:r>
      <w:proofErr w:type="gramEnd"/>
      <w:r w:rsidR="00680DA8" w:rsidRPr="003B6D82">
        <w:rPr>
          <w:iCs/>
        </w:rPr>
        <w:t xml:space="preserve"> safety, including secondary malignancies. During the current reporting period, there was one new validated safety signal of uveitis that was evaluated and closed. Eleven cases of uveitis were reported among 251 patients treated in three </w:t>
      </w:r>
      <w:proofErr w:type="spellStart"/>
      <w:r w:rsidR="00680DA8" w:rsidRPr="003B6D82">
        <w:rPr>
          <w:iCs/>
        </w:rPr>
        <w:t>fedratinib</w:t>
      </w:r>
      <w:proofErr w:type="spellEnd"/>
      <w:r w:rsidR="00680DA8" w:rsidRPr="003B6D82">
        <w:rPr>
          <w:iCs/>
        </w:rPr>
        <w:t xml:space="preserve"> trials (FREEDOM, FREEDOM-2 and a Japanese Phase 1/2 single arm study FEDR-MF-003), with the highest incidence (19.4%) reported in the Japanese study, and a trend for increasing incidence with increased duration of therapy. The PBRER advised that all patients should be counselled on the risks of developing uveitis before starting </w:t>
      </w:r>
      <w:proofErr w:type="spellStart"/>
      <w:r w:rsidR="00680DA8" w:rsidRPr="003B6D82">
        <w:rPr>
          <w:iCs/>
        </w:rPr>
        <w:t>fedratinib</w:t>
      </w:r>
      <w:proofErr w:type="spellEnd"/>
      <w:r w:rsidR="00680DA8" w:rsidRPr="003B6D82">
        <w:rPr>
          <w:iCs/>
        </w:rPr>
        <w:t xml:space="preserve"> therapy.</w:t>
      </w:r>
    </w:p>
    <w:p w14:paraId="04908C7F" w14:textId="415B9B7D" w:rsidR="007F1017" w:rsidRPr="003B6D82" w:rsidRDefault="007F1017" w:rsidP="003D5DE7">
      <w:pPr>
        <w:pStyle w:val="COMH2-non-numbered"/>
        <w:rPr>
          <w:i w:val="0"/>
          <w:iCs/>
        </w:rPr>
      </w:pPr>
      <w:bookmarkStart w:id="25" w:name="_Toc192437876"/>
      <w:r w:rsidRPr="003B6D82">
        <w:rPr>
          <w:i w:val="0"/>
          <w:iCs/>
        </w:rPr>
        <w:t>Benefits/harms</w:t>
      </w:r>
      <w:bookmarkEnd w:id="24"/>
      <w:bookmarkEnd w:id="25"/>
    </w:p>
    <w:p w14:paraId="56A22B9E" w14:textId="5A078F2C" w:rsidR="002441D2" w:rsidRPr="003B6D82" w:rsidRDefault="002441D2" w:rsidP="00E9094A">
      <w:pPr>
        <w:pStyle w:val="COMexecsummnumbered"/>
        <w:rPr>
          <w:iCs/>
        </w:rPr>
      </w:pPr>
      <w:proofErr w:type="gramStart"/>
      <w:r w:rsidRPr="003B6D82">
        <w:rPr>
          <w:iCs/>
        </w:rPr>
        <w:t>On the basis of</w:t>
      </w:r>
      <w:proofErr w:type="gramEnd"/>
      <w:r w:rsidRPr="003B6D82">
        <w:rPr>
          <w:iCs/>
        </w:rPr>
        <w:t xml:space="preserve"> direct evidence presented </w:t>
      </w:r>
      <w:r w:rsidR="00595CAF" w:rsidRPr="003B6D82">
        <w:rPr>
          <w:iCs/>
        </w:rPr>
        <w:t xml:space="preserve">in </w:t>
      </w:r>
      <w:r w:rsidRPr="003B6D82">
        <w:rPr>
          <w:iCs/>
        </w:rPr>
        <w:t xml:space="preserve">the submission, for every 100 patients treated with </w:t>
      </w:r>
      <w:proofErr w:type="spellStart"/>
      <w:r w:rsidR="00E9673A" w:rsidRPr="003B6D82">
        <w:rPr>
          <w:iCs/>
        </w:rPr>
        <w:t>fedratinib</w:t>
      </w:r>
      <w:proofErr w:type="spellEnd"/>
      <w:r w:rsidRPr="003B6D82">
        <w:rPr>
          <w:iCs/>
        </w:rPr>
        <w:t xml:space="preserve"> in comparison </w:t>
      </w:r>
      <w:r w:rsidR="006D68FB" w:rsidRPr="003B6D82">
        <w:rPr>
          <w:iCs/>
        </w:rPr>
        <w:t>with</w:t>
      </w:r>
      <w:r w:rsidRPr="003B6D82">
        <w:rPr>
          <w:iCs/>
        </w:rPr>
        <w:t xml:space="preserve"> </w:t>
      </w:r>
      <w:r w:rsidR="00E9673A" w:rsidRPr="003B6D82">
        <w:rPr>
          <w:iCs/>
        </w:rPr>
        <w:t>best available therapy</w:t>
      </w:r>
      <w:r w:rsidR="00F90921" w:rsidRPr="003B6D82">
        <w:rPr>
          <w:iCs/>
        </w:rPr>
        <w:t xml:space="preserve"> over a median duration of </w:t>
      </w:r>
      <w:r w:rsidR="009413A3" w:rsidRPr="003B6D82">
        <w:rPr>
          <w:iCs/>
        </w:rPr>
        <w:t>exposure of 23.9 weeks</w:t>
      </w:r>
      <w:r w:rsidRPr="003B6D82">
        <w:rPr>
          <w:iCs/>
        </w:rPr>
        <w:t>:</w:t>
      </w:r>
    </w:p>
    <w:p w14:paraId="1D93E2C6" w14:textId="0CA3C1F1" w:rsidR="00FC1884" w:rsidRPr="003B6D82" w:rsidRDefault="00FC1884" w:rsidP="00691A50">
      <w:pPr>
        <w:pStyle w:val="COMexecsummbulletlist"/>
        <w:ind w:hanging="357"/>
        <w:rPr>
          <w:iCs/>
        </w:rPr>
      </w:pPr>
      <w:r w:rsidRPr="003B6D82">
        <w:rPr>
          <w:iCs/>
        </w:rPr>
        <w:t xml:space="preserve">Approximately </w:t>
      </w:r>
      <w:r w:rsidR="00974E33" w:rsidRPr="003B6D82">
        <w:rPr>
          <w:iCs/>
        </w:rPr>
        <w:t>30</w:t>
      </w:r>
      <w:r w:rsidRPr="003B6D82">
        <w:rPr>
          <w:iCs/>
        </w:rPr>
        <w:t xml:space="preserve"> additional patients would have</w:t>
      </w:r>
      <w:r w:rsidR="00974E33" w:rsidRPr="003B6D82">
        <w:rPr>
          <w:iCs/>
        </w:rPr>
        <w:t xml:space="preserve"> at least</w:t>
      </w:r>
      <w:r w:rsidR="00595CAF" w:rsidRPr="003B6D82">
        <w:rPr>
          <w:iCs/>
        </w:rPr>
        <w:t xml:space="preserve"> a</w:t>
      </w:r>
      <w:r w:rsidR="00974E33" w:rsidRPr="003B6D82">
        <w:rPr>
          <w:iCs/>
        </w:rPr>
        <w:t xml:space="preserve"> 35% reduction in spleen volume</w:t>
      </w:r>
      <w:r w:rsidR="001C2A9B" w:rsidRPr="003B6D82">
        <w:rPr>
          <w:iCs/>
        </w:rPr>
        <w:t>.</w:t>
      </w:r>
    </w:p>
    <w:p w14:paraId="4D6F9667" w14:textId="502D508B" w:rsidR="00FC1884" w:rsidRPr="003B6D82" w:rsidRDefault="00FC1884" w:rsidP="00691A50">
      <w:pPr>
        <w:pStyle w:val="COMexecsummbulletlist"/>
        <w:ind w:hanging="357"/>
        <w:rPr>
          <w:iCs/>
        </w:rPr>
      </w:pPr>
      <w:r w:rsidRPr="003B6D82">
        <w:rPr>
          <w:iCs/>
        </w:rPr>
        <w:t xml:space="preserve">Approximately </w:t>
      </w:r>
      <w:r w:rsidR="00974E33" w:rsidRPr="003B6D82">
        <w:rPr>
          <w:iCs/>
        </w:rPr>
        <w:t>1</w:t>
      </w:r>
      <w:r w:rsidRPr="003B6D82">
        <w:rPr>
          <w:iCs/>
        </w:rPr>
        <w:t xml:space="preserve">7 </w:t>
      </w:r>
      <w:r w:rsidR="00974E33" w:rsidRPr="003B6D82">
        <w:rPr>
          <w:iCs/>
        </w:rPr>
        <w:t xml:space="preserve">additional </w:t>
      </w:r>
      <w:r w:rsidRPr="003B6D82">
        <w:rPr>
          <w:iCs/>
        </w:rPr>
        <w:t>patients woul</w:t>
      </w:r>
      <w:r w:rsidR="001C2A9B" w:rsidRPr="003B6D82">
        <w:rPr>
          <w:iCs/>
        </w:rPr>
        <w:t>d have</w:t>
      </w:r>
      <w:r w:rsidR="00974E33" w:rsidRPr="003B6D82">
        <w:rPr>
          <w:iCs/>
        </w:rPr>
        <w:t xml:space="preserve"> at least </w:t>
      </w:r>
      <w:r w:rsidR="00011AF0" w:rsidRPr="003B6D82">
        <w:rPr>
          <w:iCs/>
        </w:rPr>
        <w:t xml:space="preserve">a </w:t>
      </w:r>
      <w:r w:rsidR="00974E33" w:rsidRPr="003B6D82">
        <w:rPr>
          <w:iCs/>
        </w:rPr>
        <w:t>50% reduction in total symptom scores</w:t>
      </w:r>
      <w:r w:rsidR="001C2A9B" w:rsidRPr="003B6D82">
        <w:rPr>
          <w:iCs/>
        </w:rPr>
        <w:t>.</w:t>
      </w:r>
    </w:p>
    <w:p w14:paraId="4CE9CA67" w14:textId="62048B23" w:rsidR="00FC1884" w:rsidRPr="003B6D82" w:rsidRDefault="00FC1884" w:rsidP="00691A50">
      <w:pPr>
        <w:pStyle w:val="COMexecsummbulletlist"/>
        <w:ind w:hanging="357"/>
        <w:rPr>
          <w:iCs/>
        </w:rPr>
      </w:pPr>
      <w:r w:rsidRPr="003B6D82">
        <w:rPr>
          <w:iCs/>
        </w:rPr>
        <w:t xml:space="preserve">Approximately </w:t>
      </w:r>
      <w:r w:rsidR="009515A7" w:rsidRPr="003B6D82">
        <w:rPr>
          <w:iCs/>
        </w:rPr>
        <w:t xml:space="preserve">39 </w:t>
      </w:r>
      <w:r w:rsidRPr="003B6D82">
        <w:rPr>
          <w:iCs/>
        </w:rPr>
        <w:t xml:space="preserve">additional </w:t>
      </w:r>
      <w:r w:rsidR="00C41768" w:rsidRPr="003B6D82">
        <w:rPr>
          <w:iCs/>
        </w:rPr>
        <w:t xml:space="preserve">patients would experience </w:t>
      </w:r>
      <w:r w:rsidR="009515A7" w:rsidRPr="003B6D82">
        <w:rPr>
          <w:iCs/>
        </w:rPr>
        <w:t>diarrhoea</w:t>
      </w:r>
      <w:r w:rsidR="001C2A9B" w:rsidRPr="003B6D82">
        <w:rPr>
          <w:iCs/>
        </w:rPr>
        <w:t>.</w:t>
      </w:r>
    </w:p>
    <w:p w14:paraId="2A2F0106" w14:textId="24D9930A" w:rsidR="009515A7" w:rsidRPr="003B6D82" w:rsidRDefault="009515A7" w:rsidP="00691A50">
      <w:pPr>
        <w:pStyle w:val="COMexecsummbulletlist"/>
        <w:ind w:hanging="357"/>
        <w:rPr>
          <w:iCs/>
        </w:rPr>
      </w:pPr>
      <w:r w:rsidRPr="003B6D82">
        <w:rPr>
          <w:iCs/>
        </w:rPr>
        <w:t>Approximately</w:t>
      </w:r>
      <w:r w:rsidR="00333B19" w:rsidRPr="003B6D82">
        <w:rPr>
          <w:iCs/>
        </w:rPr>
        <w:t xml:space="preserve"> </w:t>
      </w:r>
      <w:r w:rsidR="00CE5A79" w:rsidRPr="003B6D82">
        <w:rPr>
          <w:iCs/>
        </w:rPr>
        <w:t>22 additional patients would experience nausea</w:t>
      </w:r>
      <w:r w:rsidR="00F35556" w:rsidRPr="003B6D82">
        <w:rPr>
          <w:iCs/>
        </w:rPr>
        <w:t xml:space="preserve"> and approximately 11 additional patients would experience vomiting</w:t>
      </w:r>
      <w:r w:rsidR="00CE5A79" w:rsidRPr="003B6D82">
        <w:rPr>
          <w:iCs/>
        </w:rPr>
        <w:t>.</w:t>
      </w:r>
    </w:p>
    <w:p w14:paraId="5810BA98" w14:textId="77777777" w:rsidR="008F729B" w:rsidRDefault="00FC1884" w:rsidP="00691A50">
      <w:pPr>
        <w:pStyle w:val="COMexecsummbulletlist"/>
        <w:rPr>
          <w:iCs/>
        </w:rPr>
      </w:pPr>
      <w:r w:rsidRPr="003B6D82">
        <w:rPr>
          <w:iCs/>
        </w:rPr>
        <w:t>Approximately</w:t>
      </w:r>
      <w:r w:rsidR="001C2A9B" w:rsidRPr="003B6D82">
        <w:rPr>
          <w:iCs/>
        </w:rPr>
        <w:t xml:space="preserve"> </w:t>
      </w:r>
      <w:r w:rsidR="00352F63" w:rsidRPr="003B6D82">
        <w:rPr>
          <w:iCs/>
        </w:rPr>
        <w:t>10</w:t>
      </w:r>
      <w:r w:rsidR="001C2A9B" w:rsidRPr="003B6D82">
        <w:rPr>
          <w:iCs/>
        </w:rPr>
        <w:t xml:space="preserve"> additional </w:t>
      </w:r>
      <w:r w:rsidR="00C41768" w:rsidRPr="003B6D82">
        <w:rPr>
          <w:iCs/>
        </w:rPr>
        <w:t xml:space="preserve">patients would experience </w:t>
      </w:r>
      <w:r w:rsidR="00085A7F" w:rsidRPr="003B6D82">
        <w:rPr>
          <w:iCs/>
        </w:rPr>
        <w:t xml:space="preserve">symptoms related to encephalopathy </w:t>
      </w:r>
      <w:r w:rsidR="00DE5BA4" w:rsidRPr="003B6D82">
        <w:rPr>
          <w:iCs/>
        </w:rPr>
        <w:t xml:space="preserve">(disturbance of brain function) </w:t>
      </w:r>
    </w:p>
    <w:p w14:paraId="0BEB22D1" w14:textId="19AD0EBC" w:rsidR="00B60939" w:rsidRPr="003B6D82" w:rsidRDefault="008F729B" w:rsidP="00691A50">
      <w:pPr>
        <w:pStyle w:val="COMexecsummbulletlist"/>
        <w:rPr>
          <w:iCs/>
        </w:rPr>
      </w:pPr>
      <w:r>
        <w:rPr>
          <w:iCs/>
        </w:rPr>
        <w:lastRenderedPageBreak/>
        <w:t xml:space="preserve">Approximately </w:t>
      </w:r>
      <w:r w:rsidR="00DE5BA4" w:rsidRPr="003B6D82">
        <w:rPr>
          <w:iCs/>
        </w:rPr>
        <w:t>1 additional patient would experience Wernicke’s encephalopathy</w:t>
      </w:r>
      <w:r w:rsidR="001C2A9B" w:rsidRPr="003B6D82">
        <w:rPr>
          <w:iCs/>
        </w:rPr>
        <w:t>.</w:t>
      </w:r>
    </w:p>
    <w:p w14:paraId="7A1772B6" w14:textId="23BB3145" w:rsidR="00B60939" w:rsidRPr="003B6D82" w:rsidRDefault="00B60939" w:rsidP="003D5DE7">
      <w:pPr>
        <w:pStyle w:val="COMH2-non-numbered"/>
        <w:rPr>
          <w:i w:val="0"/>
          <w:iCs/>
        </w:rPr>
      </w:pPr>
      <w:bookmarkStart w:id="26" w:name="_Toc22897644"/>
      <w:bookmarkStart w:id="27" w:name="_Toc192437877"/>
      <w:r w:rsidRPr="003B6D82">
        <w:rPr>
          <w:i w:val="0"/>
          <w:iCs/>
        </w:rPr>
        <w:t>Clinical claim</w:t>
      </w:r>
      <w:bookmarkEnd w:id="26"/>
      <w:bookmarkEnd w:id="27"/>
    </w:p>
    <w:p w14:paraId="5781F03C" w14:textId="3F9B8E78" w:rsidR="00DE59C5" w:rsidRPr="003B6D82" w:rsidRDefault="00420CAC" w:rsidP="00E9094A">
      <w:pPr>
        <w:pStyle w:val="COMexecsummnumbered"/>
        <w:rPr>
          <w:iCs/>
        </w:rPr>
      </w:pPr>
      <w:r w:rsidRPr="003B6D82">
        <w:rPr>
          <w:iCs/>
        </w:rPr>
        <w:t xml:space="preserve">The submission described </w:t>
      </w:r>
      <w:proofErr w:type="spellStart"/>
      <w:r w:rsidRPr="003B6D82">
        <w:rPr>
          <w:iCs/>
        </w:rPr>
        <w:t>fedratinib</w:t>
      </w:r>
      <w:proofErr w:type="spellEnd"/>
      <w:r w:rsidRPr="003B6D82">
        <w:rPr>
          <w:iCs/>
        </w:rPr>
        <w:t xml:space="preserve"> as superior in terms of effectiveness </w:t>
      </w:r>
      <w:r w:rsidR="00075D51" w:rsidRPr="003B6D82">
        <w:rPr>
          <w:iCs/>
        </w:rPr>
        <w:t xml:space="preserve">and inferior in terms of safety </w:t>
      </w:r>
      <w:r w:rsidRPr="003B6D82">
        <w:rPr>
          <w:iCs/>
        </w:rPr>
        <w:t>compared to best available therapy.</w:t>
      </w:r>
      <w:r w:rsidR="00767BB8" w:rsidRPr="003B6D82">
        <w:rPr>
          <w:iCs/>
        </w:rPr>
        <w:t xml:space="preserve"> The evaluation considered the efficacy claim was adequately supported, </w:t>
      </w:r>
      <w:r w:rsidR="008F5054" w:rsidRPr="003B6D82">
        <w:rPr>
          <w:iCs/>
        </w:rPr>
        <w:t xml:space="preserve">but that some issues required further consideration </w:t>
      </w:r>
      <w:r w:rsidR="00767BB8" w:rsidRPr="003B6D82">
        <w:rPr>
          <w:iCs/>
        </w:rPr>
        <w:t>(discussed in the paragraphs below).</w:t>
      </w:r>
      <w:r w:rsidRPr="003B6D82">
        <w:rPr>
          <w:iCs/>
        </w:rPr>
        <w:t xml:space="preserve"> </w:t>
      </w:r>
      <w:r w:rsidR="000408ED" w:rsidRPr="003B6D82">
        <w:rPr>
          <w:iCs/>
        </w:rPr>
        <w:t>The ESC considered the</w:t>
      </w:r>
      <w:r w:rsidRPr="003B6D82">
        <w:rPr>
          <w:iCs/>
        </w:rPr>
        <w:t xml:space="preserve"> </w:t>
      </w:r>
      <w:r w:rsidR="000D34CD" w:rsidRPr="003B6D82">
        <w:rPr>
          <w:iCs/>
        </w:rPr>
        <w:t xml:space="preserve">efficacy </w:t>
      </w:r>
      <w:r w:rsidRPr="003B6D82">
        <w:rPr>
          <w:iCs/>
        </w:rPr>
        <w:t>claim was adequately supported</w:t>
      </w:r>
      <w:r w:rsidR="00867119" w:rsidRPr="003B6D82">
        <w:rPr>
          <w:iCs/>
        </w:rPr>
        <w:t xml:space="preserve"> in terms of spleen volume reduction but </w:t>
      </w:r>
      <w:r w:rsidR="00767BB8" w:rsidRPr="003B6D82">
        <w:rPr>
          <w:iCs/>
        </w:rPr>
        <w:t xml:space="preserve">considered the available data did not </w:t>
      </w:r>
      <w:r w:rsidR="00EE6F0F" w:rsidRPr="003B6D82">
        <w:rPr>
          <w:iCs/>
        </w:rPr>
        <w:t>strongly suggest</w:t>
      </w:r>
      <w:r w:rsidR="000373BB" w:rsidRPr="003B6D82">
        <w:rPr>
          <w:iCs/>
        </w:rPr>
        <w:t xml:space="preserve"> t</w:t>
      </w:r>
      <w:r w:rsidR="000D34CD" w:rsidRPr="003B6D82">
        <w:rPr>
          <w:iCs/>
        </w:rPr>
        <w:t>here was a clear benefit in</w:t>
      </w:r>
      <w:r w:rsidR="00EE6F0F" w:rsidRPr="003B6D82">
        <w:rPr>
          <w:iCs/>
        </w:rPr>
        <w:t xml:space="preserve"> terms of</w:t>
      </w:r>
      <w:r w:rsidR="00DD7AB0" w:rsidRPr="003B6D82">
        <w:rPr>
          <w:iCs/>
        </w:rPr>
        <w:t xml:space="preserve"> quality of </w:t>
      </w:r>
      <w:r w:rsidR="00F95DBC" w:rsidRPr="003B6D82">
        <w:rPr>
          <w:iCs/>
        </w:rPr>
        <w:t>life</w:t>
      </w:r>
      <w:r w:rsidR="00474E03" w:rsidRPr="003B6D82">
        <w:rPr>
          <w:iCs/>
        </w:rPr>
        <w:t xml:space="preserve">. </w:t>
      </w:r>
    </w:p>
    <w:p w14:paraId="0433D7EF" w14:textId="519D3B34" w:rsidR="0022392B" w:rsidRPr="003B6D82" w:rsidRDefault="00FB09BD" w:rsidP="00E9094A">
      <w:pPr>
        <w:pStyle w:val="COMexecsummnumbered"/>
        <w:rPr>
          <w:iCs/>
        </w:rPr>
      </w:pPr>
      <w:r w:rsidRPr="003B6D82">
        <w:rPr>
          <w:iCs/>
        </w:rPr>
        <w:t>The</w:t>
      </w:r>
      <w:r w:rsidR="001E3395" w:rsidRPr="003B6D82">
        <w:rPr>
          <w:iCs/>
        </w:rPr>
        <w:t xml:space="preserve"> evaluation and ESC </w:t>
      </w:r>
      <w:r w:rsidR="00A40D30" w:rsidRPr="003B6D82">
        <w:rPr>
          <w:iCs/>
        </w:rPr>
        <w:t>noted the following issues:</w:t>
      </w:r>
      <w:r w:rsidRPr="003B6D82">
        <w:rPr>
          <w:iCs/>
        </w:rPr>
        <w:t xml:space="preserve"> </w:t>
      </w:r>
    </w:p>
    <w:p w14:paraId="71ECCF1F" w14:textId="5E616E08" w:rsidR="00CA3789" w:rsidRPr="003B6D82" w:rsidRDefault="002A5EB1" w:rsidP="00A82ED3">
      <w:pPr>
        <w:pStyle w:val="COMexecsummbulletlist"/>
        <w:rPr>
          <w:iCs/>
        </w:rPr>
      </w:pPr>
      <w:r w:rsidRPr="003B6D82">
        <w:rPr>
          <w:iCs/>
        </w:rPr>
        <w:t xml:space="preserve">While there </w:t>
      </w:r>
      <w:r w:rsidR="00CF7868" w:rsidRPr="003B6D82">
        <w:rPr>
          <w:iCs/>
        </w:rPr>
        <w:t>i</w:t>
      </w:r>
      <w:r w:rsidRPr="003B6D82">
        <w:rPr>
          <w:iCs/>
        </w:rPr>
        <w:t>s evidence to support improvements in treatment response</w:t>
      </w:r>
      <w:r w:rsidR="00744014" w:rsidRPr="003B6D82">
        <w:rPr>
          <w:iCs/>
        </w:rPr>
        <w:t xml:space="preserve"> </w:t>
      </w:r>
      <w:r w:rsidRPr="003B6D82">
        <w:rPr>
          <w:iCs/>
        </w:rPr>
        <w:t xml:space="preserve">with </w:t>
      </w:r>
      <w:proofErr w:type="spellStart"/>
      <w:r w:rsidRPr="003B6D82">
        <w:rPr>
          <w:iCs/>
        </w:rPr>
        <w:t>fedratinib</w:t>
      </w:r>
      <w:proofErr w:type="spellEnd"/>
      <w:r w:rsidRPr="003B6D82">
        <w:rPr>
          <w:iCs/>
        </w:rPr>
        <w:t xml:space="preserve"> compared to best available therapy</w:t>
      </w:r>
      <w:r w:rsidR="00515507" w:rsidRPr="003B6D82">
        <w:rPr>
          <w:iCs/>
        </w:rPr>
        <w:t xml:space="preserve"> (based on </w:t>
      </w:r>
      <w:r w:rsidR="004676B2" w:rsidRPr="003B6D82">
        <w:rPr>
          <w:iCs/>
        </w:rPr>
        <w:t>spleen volume reduction</w:t>
      </w:r>
      <w:r w:rsidR="00515507" w:rsidRPr="003B6D82">
        <w:rPr>
          <w:iCs/>
        </w:rPr>
        <w:t xml:space="preserve"> and/or total symptom scores)</w:t>
      </w:r>
      <w:r w:rsidRPr="003B6D82">
        <w:rPr>
          <w:iCs/>
        </w:rPr>
        <w:t xml:space="preserve">, there </w:t>
      </w:r>
      <w:r w:rsidR="00CF7868" w:rsidRPr="003B6D82">
        <w:rPr>
          <w:iCs/>
        </w:rPr>
        <w:t>i</w:t>
      </w:r>
      <w:r w:rsidRPr="003B6D82">
        <w:rPr>
          <w:iCs/>
        </w:rPr>
        <w:t>s insufficient evidence to support an improvement in quality of life or survival outcomes.</w:t>
      </w:r>
      <w:r w:rsidR="0063335D" w:rsidRPr="003B6D82">
        <w:rPr>
          <w:iCs/>
        </w:rPr>
        <w:t xml:space="preserve"> </w:t>
      </w:r>
      <w:r w:rsidR="00C05695" w:rsidRPr="003B6D82">
        <w:rPr>
          <w:iCs/>
        </w:rPr>
        <w:t xml:space="preserve">The PSCR </w:t>
      </w:r>
      <w:r w:rsidR="00ED1BD2" w:rsidRPr="003B6D82">
        <w:rPr>
          <w:iCs/>
        </w:rPr>
        <w:t>argued</w:t>
      </w:r>
      <w:r w:rsidR="00985AAD" w:rsidRPr="003B6D82">
        <w:rPr>
          <w:iCs/>
        </w:rPr>
        <w:t xml:space="preserve"> the </w:t>
      </w:r>
      <w:r w:rsidR="00CA3789" w:rsidRPr="003B6D82">
        <w:rPr>
          <w:iCs/>
        </w:rPr>
        <w:t>MFSAF tool</w:t>
      </w:r>
      <w:r w:rsidR="0019237B" w:rsidRPr="003B6D82">
        <w:rPr>
          <w:iCs/>
        </w:rPr>
        <w:t xml:space="preserve"> was designed to provide a specific myelofibrosis </w:t>
      </w:r>
      <w:proofErr w:type="gramStart"/>
      <w:r w:rsidR="0019237B" w:rsidRPr="003B6D82">
        <w:rPr>
          <w:iCs/>
        </w:rPr>
        <w:t>evidence based</w:t>
      </w:r>
      <w:proofErr w:type="gramEnd"/>
      <w:r w:rsidR="0019237B" w:rsidRPr="003B6D82">
        <w:rPr>
          <w:iCs/>
        </w:rPr>
        <w:t xml:space="preserve"> symptom and quality of life assessment </w:t>
      </w:r>
      <w:proofErr w:type="gramStart"/>
      <w:r w:rsidR="0019237B" w:rsidRPr="003B6D82">
        <w:rPr>
          <w:iCs/>
        </w:rPr>
        <w:t>tool, and</w:t>
      </w:r>
      <w:proofErr w:type="gramEnd"/>
      <w:r w:rsidR="00CA3789" w:rsidRPr="003B6D82">
        <w:rPr>
          <w:iCs/>
        </w:rPr>
        <w:t xml:space="preserve"> assessed symptoms and quality of life in patients with myelofibrosis, with greater numbers of </w:t>
      </w:r>
      <w:proofErr w:type="spellStart"/>
      <w:r w:rsidR="00CA3789" w:rsidRPr="003B6D82">
        <w:rPr>
          <w:iCs/>
        </w:rPr>
        <w:t>fedratinib</w:t>
      </w:r>
      <w:proofErr w:type="spellEnd"/>
      <w:r w:rsidR="00CA3789" w:rsidRPr="003B6D82">
        <w:rPr>
          <w:iCs/>
        </w:rPr>
        <w:t>-treated patients in the FREEDOM-2 trial achieving at least 50% reduction in total symptom scores compared to patients treated with best available therapy</w:t>
      </w:r>
      <w:r w:rsidR="00EF6CA6" w:rsidRPr="003B6D82">
        <w:rPr>
          <w:iCs/>
        </w:rPr>
        <w:t xml:space="preserve">. </w:t>
      </w:r>
      <w:r w:rsidR="004E1509" w:rsidRPr="003B6D82">
        <w:rPr>
          <w:iCs/>
        </w:rPr>
        <w:t xml:space="preserve">The ESC </w:t>
      </w:r>
      <w:r w:rsidR="0019237B" w:rsidRPr="003B6D82">
        <w:rPr>
          <w:iCs/>
        </w:rPr>
        <w:t>noted</w:t>
      </w:r>
      <w:r w:rsidR="00F56B51" w:rsidRPr="003B6D82">
        <w:rPr>
          <w:iCs/>
        </w:rPr>
        <w:t xml:space="preserve"> the results of the</w:t>
      </w:r>
      <w:r w:rsidR="00DD7AB0" w:rsidRPr="003B6D82">
        <w:rPr>
          <w:iCs/>
        </w:rPr>
        <w:t xml:space="preserve"> </w:t>
      </w:r>
      <w:r w:rsidR="00187C98" w:rsidRPr="003B6D82">
        <w:rPr>
          <w:iCs/>
        </w:rPr>
        <w:t xml:space="preserve">FREEDOM-2 trial did not demonstrate a benefit for </w:t>
      </w:r>
      <w:proofErr w:type="spellStart"/>
      <w:r w:rsidR="00187C98" w:rsidRPr="003B6D82">
        <w:rPr>
          <w:iCs/>
        </w:rPr>
        <w:t>fedratinib</w:t>
      </w:r>
      <w:proofErr w:type="spellEnd"/>
      <w:r w:rsidR="00187C98" w:rsidRPr="003B6D82">
        <w:rPr>
          <w:iCs/>
        </w:rPr>
        <w:t xml:space="preserve"> over best available therapy in other measures of quality of life (e.g. EORTC QLQ-C30 or EQ-5D-5L) or in survival outcomes</w:t>
      </w:r>
      <w:r w:rsidR="00C00E70" w:rsidRPr="003B6D82">
        <w:rPr>
          <w:iCs/>
        </w:rPr>
        <w:t xml:space="preserve"> </w:t>
      </w:r>
      <w:r w:rsidR="00F56B51" w:rsidRPr="003B6D82">
        <w:rPr>
          <w:iCs/>
        </w:rPr>
        <w:t xml:space="preserve">and considered a </w:t>
      </w:r>
      <w:proofErr w:type="gramStart"/>
      <w:r w:rsidR="00F56B51" w:rsidRPr="003B6D82">
        <w:rPr>
          <w:iCs/>
        </w:rPr>
        <w:t>quality of life</w:t>
      </w:r>
      <w:proofErr w:type="gramEnd"/>
      <w:r w:rsidR="00F56B51" w:rsidRPr="003B6D82">
        <w:rPr>
          <w:iCs/>
        </w:rPr>
        <w:t xml:space="preserve"> benefit </w:t>
      </w:r>
      <w:r w:rsidR="003C1DA6" w:rsidRPr="003B6D82">
        <w:rPr>
          <w:iCs/>
        </w:rPr>
        <w:t>had not been clearly established and was not well supported.</w:t>
      </w:r>
    </w:p>
    <w:p w14:paraId="786D0543" w14:textId="5AC70956" w:rsidR="009D00B3" w:rsidRPr="003B6D82" w:rsidRDefault="002A5EB1" w:rsidP="005B3BDC">
      <w:pPr>
        <w:pStyle w:val="COMexecsummbulletlist"/>
        <w:rPr>
          <w:iCs/>
        </w:rPr>
      </w:pPr>
      <w:r w:rsidRPr="003B6D82">
        <w:rPr>
          <w:iCs/>
        </w:rPr>
        <w:t xml:space="preserve">There is a lack of long-term comparative efficacy and safety data for </w:t>
      </w:r>
      <w:proofErr w:type="spellStart"/>
      <w:r w:rsidRPr="003B6D82">
        <w:rPr>
          <w:iCs/>
        </w:rPr>
        <w:t>fedratinib</w:t>
      </w:r>
      <w:proofErr w:type="spellEnd"/>
      <w:r w:rsidRPr="003B6D82">
        <w:rPr>
          <w:iCs/>
        </w:rPr>
        <w:t xml:space="preserve"> compared to best available therapy.</w:t>
      </w:r>
      <w:r w:rsidR="00933485" w:rsidRPr="003B6D82">
        <w:rPr>
          <w:iCs/>
        </w:rPr>
        <w:t xml:space="preserve"> The PSCR </w:t>
      </w:r>
      <w:r w:rsidR="005B2CEF" w:rsidRPr="003B6D82">
        <w:rPr>
          <w:iCs/>
        </w:rPr>
        <w:t xml:space="preserve">argued </w:t>
      </w:r>
      <w:r w:rsidR="00933485" w:rsidRPr="003B6D82">
        <w:rPr>
          <w:iCs/>
        </w:rPr>
        <w:t>cross over at week 24 is common practice in JAK inhibitor trials</w:t>
      </w:r>
      <w:r w:rsidR="00283C83" w:rsidRPr="003B6D82">
        <w:rPr>
          <w:iCs/>
        </w:rPr>
        <w:t xml:space="preserve">, and </w:t>
      </w:r>
      <w:r w:rsidR="00E81925" w:rsidRPr="003B6D82">
        <w:rPr>
          <w:iCs/>
        </w:rPr>
        <w:t xml:space="preserve">additional </w:t>
      </w:r>
      <w:r w:rsidR="00350717" w:rsidRPr="003B6D82">
        <w:rPr>
          <w:iCs/>
        </w:rPr>
        <w:t>real-world</w:t>
      </w:r>
      <w:r w:rsidR="00BE164A" w:rsidRPr="003B6D82">
        <w:rPr>
          <w:iCs/>
        </w:rPr>
        <w:t xml:space="preserve"> </w:t>
      </w:r>
      <w:r w:rsidR="005B2CEF" w:rsidRPr="003B6D82">
        <w:rPr>
          <w:iCs/>
        </w:rPr>
        <w:t xml:space="preserve">evidence </w:t>
      </w:r>
      <w:r w:rsidR="00E81925" w:rsidRPr="003B6D82">
        <w:rPr>
          <w:iCs/>
        </w:rPr>
        <w:t>supports</w:t>
      </w:r>
      <w:r w:rsidR="005B2CEF" w:rsidRPr="003B6D82">
        <w:rPr>
          <w:iCs/>
        </w:rPr>
        <w:t xml:space="preserve"> the efficacy and safety of </w:t>
      </w:r>
      <w:proofErr w:type="spellStart"/>
      <w:r w:rsidR="005B2CEF" w:rsidRPr="003B6D82">
        <w:rPr>
          <w:iCs/>
        </w:rPr>
        <w:t>fedratinib</w:t>
      </w:r>
      <w:proofErr w:type="spellEnd"/>
      <w:r w:rsidR="005B2CEF" w:rsidRPr="003B6D82">
        <w:rPr>
          <w:iCs/>
        </w:rPr>
        <w:t xml:space="preserve"> in patients with intermeditate-2 and </w:t>
      </w:r>
      <w:r w:rsidR="00686C22" w:rsidRPr="003B6D82">
        <w:rPr>
          <w:iCs/>
        </w:rPr>
        <w:t>high-risk</w:t>
      </w:r>
      <w:r w:rsidR="005B2CEF" w:rsidRPr="003B6D82">
        <w:rPr>
          <w:iCs/>
        </w:rPr>
        <w:t xml:space="preserve"> myelofibrosis.</w:t>
      </w:r>
      <w:r w:rsidR="00E81925" w:rsidRPr="003B6D82">
        <w:rPr>
          <w:iCs/>
        </w:rPr>
        <w:t xml:space="preserve"> The </w:t>
      </w:r>
      <w:r w:rsidR="00686C22" w:rsidRPr="003B6D82">
        <w:rPr>
          <w:iCs/>
        </w:rPr>
        <w:t>PSCR reference</w:t>
      </w:r>
      <w:r w:rsidR="008948D8" w:rsidRPr="003B6D82">
        <w:rPr>
          <w:iCs/>
        </w:rPr>
        <w:t>d</w:t>
      </w:r>
      <w:r w:rsidR="00686C22" w:rsidRPr="003B6D82">
        <w:rPr>
          <w:iCs/>
        </w:rPr>
        <w:t xml:space="preserve"> a retrospective study from the UK, Germany and Canada</w:t>
      </w:r>
      <w:r w:rsidR="006621F6" w:rsidRPr="003B6D82">
        <w:rPr>
          <w:iCs/>
        </w:rPr>
        <w:t xml:space="preserve"> (</w:t>
      </w:r>
      <w:proofErr w:type="spellStart"/>
      <w:r w:rsidR="006621F6" w:rsidRPr="003B6D82">
        <w:rPr>
          <w:iCs/>
        </w:rPr>
        <w:t>Passamonti</w:t>
      </w:r>
      <w:proofErr w:type="spellEnd"/>
      <w:r w:rsidR="006621F6" w:rsidRPr="003B6D82">
        <w:rPr>
          <w:iCs/>
        </w:rPr>
        <w:t xml:space="preserve"> et al 2025</w:t>
      </w:r>
      <w:r w:rsidR="006621F6" w:rsidRPr="003B6D82">
        <w:rPr>
          <w:rStyle w:val="FootnoteReference"/>
          <w:iCs/>
        </w:rPr>
        <w:footnoteReference w:id="2"/>
      </w:r>
      <w:r w:rsidR="0098413C" w:rsidRPr="003B6D82">
        <w:rPr>
          <w:iCs/>
        </w:rPr>
        <w:t>)</w:t>
      </w:r>
      <w:r w:rsidR="00686C22" w:rsidRPr="003B6D82">
        <w:rPr>
          <w:iCs/>
        </w:rPr>
        <w:t xml:space="preserve"> </w:t>
      </w:r>
      <w:r w:rsidR="008948D8" w:rsidRPr="003B6D82">
        <w:rPr>
          <w:iCs/>
        </w:rPr>
        <w:t xml:space="preserve">which reviewed medical records of 196 eligible patients and reported findings consistent with the FREEDOM-2 trial, which demonstrated both decreases in spleen volume and myelofibrosis-related symptom burden for patients treated with </w:t>
      </w:r>
      <w:proofErr w:type="spellStart"/>
      <w:r w:rsidR="008948D8" w:rsidRPr="003B6D82">
        <w:rPr>
          <w:iCs/>
        </w:rPr>
        <w:t>fedratinib</w:t>
      </w:r>
      <w:proofErr w:type="spellEnd"/>
      <w:r w:rsidR="008948D8" w:rsidRPr="003B6D82">
        <w:rPr>
          <w:iCs/>
        </w:rPr>
        <w:t xml:space="preserve"> after </w:t>
      </w:r>
      <w:proofErr w:type="spellStart"/>
      <w:r w:rsidR="008948D8" w:rsidRPr="003B6D82">
        <w:rPr>
          <w:iCs/>
        </w:rPr>
        <w:t>ruxolitinib</w:t>
      </w:r>
      <w:proofErr w:type="spellEnd"/>
      <w:r w:rsidR="008948D8" w:rsidRPr="003B6D82">
        <w:rPr>
          <w:iCs/>
        </w:rPr>
        <w:t xml:space="preserve"> exposure, with an overall median treatment duration of 11.5 months and mean follow up of 14 months</w:t>
      </w:r>
      <w:r w:rsidR="001B21E0" w:rsidRPr="003B6D82">
        <w:rPr>
          <w:iCs/>
        </w:rPr>
        <w:t xml:space="preserve">. While the study provided some evidence to support symptom and </w:t>
      </w:r>
      <w:r w:rsidR="001B21E0" w:rsidRPr="003B6D82">
        <w:rPr>
          <w:iCs/>
        </w:rPr>
        <w:lastRenderedPageBreak/>
        <w:t xml:space="preserve">spleen volume reduction with </w:t>
      </w:r>
      <w:proofErr w:type="spellStart"/>
      <w:r w:rsidR="001B21E0" w:rsidRPr="003B6D82">
        <w:rPr>
          <w:iCs/>
        </w:rPr>
        <w:t>fedratinib</w:t>
      </w:r>
      <w:proofErr w:type="spellEnd"/>
      <w:r w:rsidR="001B21E0" w:rsidRPr="003B6D82">
        <w:rPr>
          <w:iCs/>
        </w:rPr>
        <w:t xml:space="preserve"> treatment, the overall median treatment duration reported in the study was only 0.7 months longer than in the FREEDOM-2 trial. The ESC considered </w:t>
      </w:r>
      <w:r w:rsidR="00025D9B" w:rsidRPr="003B6D82">
        <w:rPr>
          <w:iCs/>
        </w:rPr>
        <w:t xml:space="preserve">therefore that the additional data did not provide useful additional information for assessing the longer-term and there remained a lack of long-term comparative efficacy and safety of data for </w:t>
      </w:r>
      <w:proofErr w:type="spellStart"/>
      <w:r w:rsidR="00025D9B" w:rsidRPr="003B6D82">
        <w:rPr>
          <w:iCs/>
        </w:rPr>
        <w:t>fedratinib</w:t>
      </w:r>
      <w:proofErr w:type="spellEnd"/>
      <w:r w:rsidR="00025D9B" w:rsidRPr="003B6D82">
        <w:rPr>
          <w:iCs/>
        </w:rPr>
        <w:t>.</w:t>
      </w:r>
    </w:p>
    <w:p w14:paraId="513216AC" w14:textId="237AD95A" w:rsidR="00843E53" w:rsidRPr="008E20A5" w:rsidRDefault="002A5EB1" w:rsidP="00FA760A">
      <w:pPr>
        <w:pStyle w:val="COMexecsummnumbered"/>
        <w:rPr>
          <w:iCs/>
        </w:rPr>
      </w:pPr>
      <w:r w:rsidRPr="003B6D82">
        <w:rPr>
          <w:iCs/>
        </w:rPr>
        <w:t xml:space="preserve">The FREEDOM-2 trial population may not be representative of the proposed PBS population given differences between the trial eligibility criteria and clinical criteria in the proposed </w:t>
      </w:r>
      <w:proofErr w:type="spellStart"/>
      <w:r w:rsidRPr="003B6D82">
        <w:rPr>
          <w:iCs/>
        </w:rPr>
        <w:t>fedratinib</w:t>
      </w:r>
      <w:proofErr w:type="spellEnd"/>
      <w:r w:rsidRPr="003B6D82">
        <w:rPr>
          <w:iCs/>
        </w:rPr>
        <w:t xml:space="preserve"> restriction. The recent PBAC recommendation of </w:t>
      </w:r>
      <w:proofErr w:type="spellStart"/>
      <w:r w:rsidRPr="003B6D82">
        <w:rPr>
          <w:iCs/>
        </w:rPr>
        <w:t>momelotinib</w:t>
      </w:r>
      <w:proofErr w:type="spellEnd"/>
      <w:r w:rsidRPr="003B6D82">
        <w:rPr>
          <w:iCs/>
        </w:rPr>
        <w:t xml:space="preserve"> as a treatment option for myelofibrosis also has the potential to shift the target patient population and may relegate </w:t>
      </w:r>
      <w:proofErr w:type="spellStart"/>
      <w:r w:rsidRPr="003B6D82">
        <w:rPr>
          <w:iCs/>
        </w:rPr>
        <w:t>fedratinib</w:t>
      </w:r>
      <w:proofErr w:type="spellEnd"/>
      <w:r w:rsidRPr="003B6D82">
        <w:rPr>
          <w:iCs/>
        </w:rPr>
        <w:t xml:space="preserve"> to a third-line therapy in some patients.</w:t>
      </w:r>
      <w:r w:rsidR="00FA760A" w:rsidRPr="003B6D82">
        <w:rPr>
          <w:iCs/>
        </w:rPr>
        <w:t xml:space="preserve"> </w:t>
      </w:r>
      <w:r w:rsidR="00471A45" w:rsidRPr="003B6D82">
        <w:rPr>
          <w:iCs/>
        </w:rPr>
        <w:t>In addition</w:t>
      </w:r>
      <w:r w:rsidR="00FA760A" w:rsidRPr="003B6D82">
        <w:rPr>
          <w:iCs/>
        </w:rPr>
        <w:t>,</w:t>
      </w:r>
      <w:r w:rsidR="005F64FF" w:rsidRPr="003B6D82">
        <w:rPr>
          <w:iCs/>
        </w:rPr>
        <w:t xml:space="preserve"> the ESC reiterated its</w:t>
      </w:r>
      <w:r w:rsidR="00471A45" w:rsidRPr="003B6D82">
        <w:rPr>
          <w:iCs/>
        </w:rPr>
        <w:t xml:space="preserve"> view that given there is clinical trial data available for </w:t>
      </w:r>
      <w:proofErr w:type="spellStart"/>
      <w:r w:rsidR="00471A45" w:rsidRPr="003B6D82">
        <w:rPr>
          <w:iCs/>
        </w:rPr>
        <w:t>fedratinib</w:t>
      </w:r>
      <w:proofErr w:type="spellEnd"/>
      <w:r w:rsidR="00471A45" w:rsidRPr="003B6D82">
        <w:rPr>
          <w:iCs/>
        </w:rPr>
        <w:t xml:space="preserve"> in the first</w:t>
      </w:r>
      <w:r w:rsidR="00417905">
        <w:rPr>
          <w:iCs/>
        </w:rPr>
        <w:t>-</w:t>
      </w:r>
      <w:r w:rsidR="00471A45" w:rsidRPr="003B6D82">
        <w:rPr>
          <w:iCs/>
        </w:rPr>
        <w:t xml:space="preserve">line setting, that </w:t>
      </w:r>
      <w:r w:rsidR="000923FE" w:rsidRPr="003B6D82">
        <w:rPr>
          <w:iCs/>
        </w:rPr>
        <w:t xml:space="preserve">an assessment of the evidence and </w:t>
      </w:r>
      <w:r w:rsidR="000923FE" w:rsidRPr="008E20A5">
        <w:rPr>
          <w:iCs/>
        </w:rPr>
        <w:t xml:space="preserve">potential </w:t>
      </w:r>
      <w:r w:rsidR="00FA760A" w:rsidRPr="008E20A5">
        <w:rPr>
          <w:iCs/>
        </w:rPr>
        <w:t>for a line-agnostic listing (or additional listing in the first</w:t>
      </w:r>
      <w:r w:rsidR="00417905">
        <w:rPr>
          <w:iCs/>
        </w:rPr>
        <w:t>-</w:t>
      </w:r>
      <w:r w:rsidR="00FA760A" w:rsidRPr="008E20A5">
        <w:rPr>
          <w:iCs/>
        </w:rPr>
        <w:t xml:space="preserve">line setting) may be simpler for prescribers and patients (paragraph </w:t>
      </w:r>
      <w:r w:rsidR="00FA760A" w:rsidRPr="008E20A5">
        <w:rPr>
          <w:iCs/>
        </w:rPr>
        <w:fldChar w:fldCharType="begin" w:fldLock="1"/>
      </w:r>
      <w:r w:rsidR="00FA760A" w:rsidRPr="008E20A5">
        <w:rPr>
          <w:iCs/>
        </w:rPr>
        <w:instrText xml:space="preserve"> REF _Ref195693637 \r \h  \* MERGEFORMAT </w:instrText>
      </w:r>
      <w:r w:rsidR="00FA760A" w:rsidRPr="008E20A5">
        <w:rPr>
          <w:iCs/>
        </w:rPr>
      </w:r>
      <w:r w:rsidR="00FA760A" w:rsidRPr="008E20A5">
        <w:rPr>
          <w:iCs/>
        </w:rPr>
        <w:fldChar w:fldCharType="separate"/>
      </w:r>
      <w:r w:rsidR="00A072A5">
        <w:rPr>
          <w:iCs/>
        </w:rPr>
        <w:t>4.10</w:t>
      </w:r>
      <w:r w:rsidR="00FA760A" w:rsidRPr="008E20A5">
        <w:rPr>
          <w:iCs/>
        </w:rPr>
        <w:fldChar w:fldCharType="end"/>
      </w:r>
      <w:r w:rsidR="00FA760A" w:rsidRPr="008E20A5">
        <w:rPr>
          <w:iCs/>
        </w:rPr>
        <w:t xml:space="preserve"> refers). </w:t>
      </w:r>
    </w:p>
    <w:p w14:paraId="6A756D81" w14:textId="54E68BCE" w:rsidR="007C513C" w:rsidRPr="008E20A5" w:rsidRDefault="007C513C" w:rsidP="007C513C">
      <w:pPr>
        <w:pStyle w:val="COMexecsummnumbered"/>
        <w:rPr>
          <w:snapToGrid w:val="0"/>
        </w:rPr>
      </w:pPr>
      <w:r w:rsidRPr="008E20A5">
        <w:rPr>
          <w:iCs/>
          <w:snapToGrid w:val="0"/>
        </w:rPr>
        <w:t>The</w:t>
      </w:r>
      <w:r w:rsidRPr="008E20A5">
        <w:rPr>
          <w:snapToGrid w:val="0"/>
        </w:rPr>
        <w:t xml:space="preserve"> PBAC considered that the claim of superior comparative effectiveness was reasonable.</w:t>
      </w:r>
    </w:p>
    <w:p w14:paraId="285BF291" w14:textId="2EE25F85" w:rsidR="007C513C" w:rsidRPr="008E20A5" w:rsidRDefault="007C513C" w:rsidP="00790472">
      <w:pPr>
        <w:pStyle w:val="COMexecsummnumbered"/>
        <w:rPr>
          <w:snapToGrid w:val="0"/>
        </w:rPr>
      </w:pPr>
      <w:r w:rsidRPr="008E20A5">
        <w:rPr>
          <w:snapToGrid w:val="0"/>
        </w:rPr>
        <w:t>The PBAC considered that the claim of inferior comparative safety was reasonable.</w:t>
      </w:r>
    </w:p>
    <w:p w14:paraId="74A1172E" w14:textId="128C170E" w:rsidR="00B60939" w:rsidRPr="003B6D82" w:rsidRDefault="00B60939" w:rsidP="003D5DE7">
      <w:pPr>
        <w:pStyle w:val="COMH2-non-numbered"/>
        <w:rPr>
          <w:i w:val="0"/>
          <w:iCs/>
        </w:rPr>
      </w:pPr>
      <w:bookmarkStart w:id="28" w:name="_Toc22897645"/>
      <w:bookmarkStart w:id="29" w:name="_Toc192437878"/>
      <w:r w:rsidRPr="00DC009F">
        <w:rPr>
          <w:i w:val="0"/>
          <w:iCs/>
        </w:rPr>
        <w:t>Economic analysis</w:t>
      </w:r>
      <w:bookmarkEnd w:id="28"/>
      <w:bookmarkEnd w:id="29"/>
      <w:r w:rsidR="00491B3A" w:rsidRPr="003B6D82">
        <w:rPr>
          <w:i w:val="0"/>
          <w:iCs/>
        </w:rPr>
        <w:t xml:space="preserve"> </w:t>
      </w:r>
    </w:p>
    <w:p w14:paraId="0A8D61E9" w14:textId="77777777" w:rsidR="00EC05C4" w:rsidRPr="003B6D82" w:rsidRDefault="00EC05C4" w:rsidP="00F40844">
      <w:pPr>
        <w:pStyle w:val="COMexecsummnumbered"/>
        <w:numPr>
          <w:ilvl w:val="1"/>
          <w:numId w:val="3"/>
        </w:numPr>
        <w:rPr>
          <w:iCs/>
        </w:rPr>
      </w:pPr>
      <w:r w:rsidRPr="003B6D82">
        <w:rPr>
          <w:iCs/>
        </w:rPr>
        <w:t xml:space="preserve">The submission presented a stepped economic evaluation of </w:t>
      </w:r>
      <w:proofErr w:type="spellStart"/>
      <w:r w:rsidRPr="003B6D82">
        <w:rPr>
          <w:iCs/>
        </w:rPr>
        <w:t>fedratinib</w:t>
      </w:r>
      <w:proofErr w:type="spellEnd"/>
      <w:r w:rsidRPr="003B6D82">
        <w:rPr>
          <w:iCs/>
        </w:rPr>
        <w:t xml:space="preserve"> compared to best available therapy in myelofibrosis patients who were relapsed, refractory or intolerant to </w:t>
      </w:r>
      <w:proofErr w:type="spellStart"/>
      <w:r w:rsidRPr="003B6D82">
        <w:rPr>
          <w:iCs/>
        </w:rPr>
        <w:t>ruxolitinib</w:t>
      </w:r>
      <w:proofErr w:type="spellEnd"/>
      <w:r w:rsidRPr="003B6D82">
        <w:rPr>
          <w:iCs/>
        </w:rPr>
        <w:t>. The economic evaluation was based on a direct randomised trial (FREEDOM-2) with additional modelled data. The economic evaluation was presented as a cost-effectiveness/cost-utility analysis.</w:t>
      </w:r>
    </w:p>
    <w:p w14:paraId="6CF1EA2E" w14:textId="33D5B830" w:rsidR="00EC05C4" w:rsidRPr="003B6D82" w:rsidRDefault="00EC05C4" w:rsidP="00F40844">
      <w:pPr>
        <w:pStyle w:val="COMexecsummnumbered"/>
        <w:numPr>
          <w:ilvl w:val="1"/>
          <w:numId w:val="3"/>
        </w:numPr>
        <w:rPr>
          <w:iCs/>
        </w:rPr>
      </w:pPr>
      <w:r w:rsidRPr="003B6D82">
        <w:rPr>
          <w:iCs/>
        </w:rPr>
        <w:t xml:space="preserve">Key components of the economic evaluation are summarised in </w:t>
      </w:r>
      <w:r w:rsidRPr="003B6D82">
        <w:rPr>
          <w:iCs/>
        </w:rPr>
        <w:fldChar w:fldCharType="begin" w:fldLock="1"/>
      </w:r>
      <w:r w:rsidRPr="003B6D82">
        <w:rPr>
          <w:iCs/>
        </w:rPr>
        <w:instrText xml:space="preserve"> REF _Ref191991624 \h </w:instrText>
      </w:r>
      <w:r w:rsidR="003B6D82">
        <w:rPr>
          <w:iCs/>
        </w:rPr>
        <w:instrText xml:space="preserve"> \* MERGEFORMAT </w:instrText>
      </w:r>
      <w:r w:rsidRPr="003B6D82">
        <w:rPr>
          <w:iCs/>
        </w:rPr>
      </w:r>
      <w:r w:rsidRPr="003B6D82">
        <w:rPr>
          <w:iCs/>
        </w:rPr>
        <w:fldChar w:fldCharType="separate"/>
      </w:r>
      <w:r w:rsidR="00A072A5" w:rsidRPr="003B6D82">
        <w:rPr>
          <w:iCs/>
        </w:rPr>
        <w:t xml:space="preserve">Table </w:t>
      </w:r>
      <w:r w:rsidR="00A072A5">
        <w:rPr>
          <w:iCs/>
          <w:noProof/>
        </w:rPr>
        <w:t>7</w:t>
      </w:r>
      <w:r w:rsidRPr="003B6D82">
        <w:rPr>
          <w:iCs/>
        </w:rPr>
        <w:fldChar w:fldCharType="end"/>
      </w:r>
      <w:r w:rsidRPr="003B6D82">
        <w:rPr>
          <w:iCs/>
        </w:rPr>
        <w:t>.</w:t>
      </w:r>
    </w:p>
    <w:p w14:paraId="17B1CBF1" w14:textId="771DD2A8" w:rsidR="00EC05C4" w:rsidRPr="003B6D82" w:rsidRDefault="00EC05C4" w:rsidP="00DE3380">
      <w:pPr>
        <w:pStyle w:val="COMtablefigcaption"/>
        <w:keepNext w:val="0"/>
        <w:widowControl w:val="0"/>
        <w:spacing w:before="120"/>
        <w:rPr>
          <w:iCs/>
        </w:rPr>
      </w:pPr>
      <w:bookmarkStart w:id="30" w:name="_Ref191991624"/>
      <w:r w:rsidRPr="003B6D82">
        <w:rPr>
          <w:iCs/>
        </w:rPr>
        <w:t xml:space="preserve">Table </w:t>
      </w:r>
      <w:r w:rsidR="00B251ED" w:rsidRPr="003B6D82">
        <w:rPr>
          <w:iCs/>
        </w:rPr>
        <w:fldChar w:fldCharType="begin" w:fldLock="1"/>
      </w:r>
      <w:r w:rsidR="00B251ED" w:rsidRPr="003B6D82">
        <w:rPr>
          <w:iCs/>
        </w:rPr>
        <w:instrText xml:space="preserve"> SEQ Table \* ARABIC </w:instrText>
      </w:r>
      <w:r w:rsidR="00B251ED" w:rsidRPr="003B6D82">
        <w:rPr>
          <w:iCs/>
        </w:rPr>
        <w:fldChar w:fldCharType="separate"/>
      </w:r>
      <w:r w:rsidR="00A072A5">
        <w:rPr>
          <w:iCs/>
          <w:noProof/>
        </w:rPr>
        <w:t>7</w:t>
      </w:r>
      <w:r w:rsidR="00B251ED" w:rsidRPr="003B6D82">
        <w:rPr>
          <w:iCs/>
          <w:noProof/>
        </w:rPr>
        <w:fldChar w:fldCharType="end"/>
      </w:r>
      <w:bookmarkEnd w:id="30"/>
      <w:r w:rsidRPr="003B6D82">
        <w:rPr>
          <w:iCs/>
        </w:rPr>
        <w:t>: Key components of the economic evaluation</w:t>
      </w:r>
    </w:p>
    <w:tbl>
      <w:tblPr>
        <w:tblW w:w="4999"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688"/>
        <w:gridCol w:w="7327"/>
      </w:tblGrid>
      <w:tr w:rsidR="00EC05C4" w:rsidRPr="003B6D82" w14:paraId="5EE12F10" w14:textId="77777777" w:rsidTr="009C6396">
        <w:trPr>
          <w:tblHeader/>
        </w:trPr>
        <w:tc>
          <w:tcPr>
            <w:tcW w:w="936" w:type="pct"/>
            <w:tcBorders>
              <w:top w:val="single" w:sz="4" w:space="0" w:color="auto"/>
              <w:left w:val="single" w:sz="4" w:space="0" w:color="auto"/>
              <w:bottom w:val="single" w:sz="4" w:space="0" w:color="auto"/>
              <w:right w:val="single" w:sz="4" w:space="0" w:color="auto"/>
            </w:tcBorders>
            <w:hideMark/>
          </w:tcPr>
          <w:p w14:paraId="1AE99F51" w14:textId="77777777" w:rsidR="00EC05C4" w:rsidRPr="003B6D82" w:rsidRDefault="00EC05C4" w:rsidP="00DE3380">
            <w:pPr>
              <w:pStyle w:val="TableText0"/>
              <w:keepNext w:val="0"/>
              <w:keepLines w:val="0"/>
              <w:rPr>
                <w:b/>
                <w:iCs/>
              </w:rPr>
            </w:pPr>
            <w:r w:rsidRPr="003B6D82">
              <w:rPr>
                <w:b/>
                <w:iCs/>
              </w:rPr>
              <w:t xml:space="preserve">Component </w:t>
            </w:r>
          </w:p>
        </w:tc>
        <w:tc>
          <w:tcPr>
            <w:tcW w:w="4064" w:type="pct"/>
            <w:tcBorders>
              <w:top w:val="single" w:sz="4" w:space="0" w:color="auto"/>
              <w:left w:val="single" w:sz="4" w:space="0" w:color="auto"/>
              <w:bottom w:val="single" w:sz="4" w:space="0" w:color="auto"/>
              <w:right w:val="single" w:sz="4" w:space="0" w:color="auto"/>
            </w:tcBorders>
            <w:hideMark/>
          </w:tcPr>
          <w:p w14:paraId="0F9193D6" w14:textId="77777777" w:rsidR="00EC05C4" w:rsidRPr="003B6D82" w:rsidRDefault="00EC05C4" w:rsidP="00DE3380">
            <w:pPr>
              <w:pStyle w:val="TableText0"/>
              <w:keepNext w:val="0"/>
              <w:keepLines w:val="0"/>
              <w:rPr>
                <w:b/>
                <w:iCs/>
              </w:rPr>
            </w:pPr>
            <w:r w:rsidRPr="003B6D82">
              <w:rPr>
                <w:b/>
                <w:iCs/>
              </w:rPr>
              <w:t>Description</w:t>
            </w:r>
          </w:p>
        </w:tc>
      </w:tr>
      <w:tr w:rsidR="00EC05C4" w:rsidRPr="003B6D82" w14:paraId="2A9AC07A" w14:textId="77777777" w:rsidTr="009C6396">
        <w:tc>
          <w:tcPr>
            <w:tcW w:w="936" w:type="pct"/>
            <w:tcBorders>
              <w:top w:val="single" w:sz="4" w:space="0" w:color="auto"/>
              <w:left w:val="single" w:sz="4" w:space="0" w:color="auto"/>
              <w:bottom w:val="single" w:sz="4" w:space="0" w:color="auto"/>
              <w:right w:val="single" w:sz="4" w:space="0" w:color="auto"/>
            </w:tcBorders>
            <w:vAlign w:val="center"/>
            <w:hideMark/>
          </w:tcPr>
          <w:p w14:paraId="7FD76D19" w14:textId="77777777" w:rsidR="00EC05C4" w:rsidRPr="003B6D82" w:rsidRDefault="00EC05C4" w:rsidP="00DE3380">
            <w:pPr>
              <w:pStyle w:val="TableText0"/>
              <w:keepNext w:val="0"/>
              <w:keepLines w:val="0"/>
              <w:rPr>
                <w:iCs/>
              </w:rPr>
            </w:pPr>
            <w:r w:rsidRPr="003B6D82">
              <w:rPr>
                <w:iCs/>
              </w:rPr>
              <w:t xml:space="preserve">Type of analysis </w:t>
            </w:r>
          </w:p>
        </w:tc>
        <w:tc>
          <w:tcPr>
            <w:tcW w:w="4064" w:type="pct"/>
            <w:tcBorders>
              <w:top w:val="single" w:sz="4" w:space="0" w:color="auto"/>
              <w:left w:val="single" w:sz="4" w:space="0" w:color="auto"/>
              <w:bottom w:val="single" w:sz="4" w:space="0" w:color="auto"/>
              <w:right w:val="single" w:sz="4" w:space="0" w:color="auto"/>
            </w:tcBorders>
            <w:vAlign w:val="center"/>
            <w:hideMark/>
          </w:tcPr>
          <w:p w14:paraId="068154B1" w14:textId="77777777" w:rsidR="00EC05C4" w:rsidRPr="003B6D82" w:rsidRDefault="00EC05C4" w:rsidP="00DE3380">
            <w:pPr>
              <w:pStyle w:val="TableText0"/>
              <w:keepNext w:val="0"/>
              <w:keepLines w:val="0"/>
              <w:rPr>
                <w:rFonts w:eastAsia="Times New Roman" w:cs="Times New Roman"/>
                <w:iCs/>
                <w:szCs w:val="20"/>
              </w:rPr>
            </w:pPr>
            <w:r w:rsidRPr="003B6D82">
              <w:rPr>
                <w:iCs/>
              </w:rPr>
              <w:t>Cost-effectiveness analysis/cost-utility analysis</w:t>
            </w:r>
          </w:p>
        </w:tc>
      </w:tr>
      <w:tr w:rsidR="00EC05C4" w:rsidRPr="003B6D82" w14:paraId="4536AFC9" w14:textId="77777777" w:rsidTr="009C6396">
        <w:tc>
          <w:tcPr>
            <w:tcW w:w="936" w:type="pct"/>
            <w:tcBorders>
              <w:top w:val="single" w:sz="4" w:space="0" w:color="auto"/>
              <w:left w:val="single" w:sz="4" w:space="0" w:color="auto"/>
              <w:bottom w:val="single" w:sz="4" w:space="0" w:color="auto"/>
              <w:right w:val="single" w:sz="4" w:space="0" w:color="auto"/>
            </w:tcBorders>
            <w:vAlign w:val="center"/>
            <w:hideMark/>
          </w:tcPr>
          <w:p w14:paraId="0DD6C850" w14:textId="77777777" w:rsidR="00EC05C4" w:rsidRPr="003B6D82" w:rsidRDefault="00EC05C4" w:rsidP="00DE3380">
            <w:pPr>
              <w:pStyle w:val="TableText0"/>
              <w:keepNext w:val="0"/>
              <w:keepLines w:val="0"/>
              <w:rPr>
                <w:rFonts w:eastAsia="Times New Roman" w:cs="Times New Roman"/>
                <w:iCs/>
                <w:szCs w:val="20"/>
              </w:rPr>
            </w:pPr>
            <w:r w:rsidRPr="003B6D82">
              <w:rPr>
                <w:iCs/>
              </w:rPr>
              <w:t>Outcomes</w:t>
            </w:r>
          </w:p>
        </w:tc>
        <w:tc>
          <w:tcPr>
            <w:tcW w:w="4064" w:type="pct"/>
            <w:tcBorders>
              <w:top w:val="single" w:sz="4" w:space="0" w:color="auto"/>
              <w:left w:val="single" w:sz="4" w:space="0" w:color="auto"/>
              <w:bottom w:val="single" w:sz="4" w:space="0" w:color="auto"/>
              <w:right w:val="single" w:sz="4" w:space="0" w:color="auto"/>
            </w:tcBorders>
            <w:vAlign w:val="center"/>
            <w:hideMark/>
          </w:tcPr>
          <w:p w14:paraId="03CF5D30" w14:textId="77777777" w:rsidR="00EC05C4" w:rsidRPr="003B6D82" w:rsidRDefault="00EC05C4" w:rsidP="00DE3380">
            <w:pPr>
              <w:pStyle w:val="TableText0"/>
              <w:keepNext w:val="0"/>
              <w:keepLines w:val="0"/>
              <w:rPr>
                <w:iCs/>
              </w:rPr>
            </w:pPr>
            <w:r w:rsidRPr="003B6D82">
              <w:rPr>
                <w:iCs/>
              </w:rPr>
              <w:t>Patients with response; treatment years; quality adjusted life years</w:t>
            </w:r>
          </w:p>
        </w:tc>
      </w:tr>
      <w:tr w:rsidR="00EC05C4" w:rsidRPr="003B6D82" w14:paraId="0A6F463E" w14:textId="77777777" w:rsidTr="009C6396">
        <w:tc>
          <w:tcPr>
            <w:tcW w:w="936" w:type="pct"/>
            <w:tcBorders>
              <w:top w:val="single" w:sz="4" w:space="0" w:color="auto"/>
              <w:left w:val="single" w:sz="4" w:space="0" w:color="auto"/>
              <w:bottom w:val="single" w:sz="4" w:space="0" w:color="auto"/>
              <w:right w:val="single" w:sz="4" w:space="0" w:color="auto"/>
            </w:tcBorders>
            <w:vAlign w:val="center"/>
            <w:hideMark/>
          </w:tcPr>
          <w:p w14:paraId="5E029872" w14:textId="77777777" w:rsidR="00EC05C4" w:rsidRPr="003B6D82" w:rsidRDefault="00EC05C4" w:rsidP="00DE3380">
            <w:pPr>
              <w:pStyle w:val="TableText0"/>
              <w:keepNext w:val="0"/>
              <w:keepLines w:val="0"/>
              <w:rPr>
                <w:rFonts w:eastAsia="Times New Roman" w:cs="Times New Roman"/>
                <w:iCs/>
                <w:szCs w:val="20"/>
              </w:rPr>
            </w:pPr>
            <w:r w:rsidRPr="003B6D82">
              <w:rPr>
                <w:iCs/>
              </w:rPr>
              <w:t>Time horizon</w:t>
            </w:r>
          </w:p>
        </w:tc>
        <w:tc>
          <w:tcPr>
            <w:tcW w:w="4064" w:type="pct"/>
            <w:tcBorders>
              <w:top w:val="single" w:sz="4" w:space="0" w:color="auto"/>
              <w:left w:val="single" w:sz="4" w:space="0" w:color="auto"/>
              <w:bottom w:val="single" w:sz="4" w:space="0" w:color="auto"/>
              <w:right w:val="single" w:sz="4" w:space="0" w:color="auto"/>
            </w:tcBorders>
            <w:vAlign w:val="center"/>
            <w:hideMark/>
          </w:tcPr>
          <w:p w14:paraId="249F32DE" w14:textId="77777777" w:rsidR="00EC05C4" w:rsidRPr="003B6D82" w:rsidRDefault="00EC05C4" w:rsidP="00DE3380">
            <w:pPr>
              <w:pStyle w:val="TableText0"/>
              <w:keepNext w:val="0"/>
              <w:keepLines w:val="0"/>
              <w:rPr>
                <w:rFonts w:eastAsia="Times New Roman" w:cs="Times New Roman"/>
                <w:iCs/>
                <w:szCs w:val="20"/>
              </w:rPr>
            </w:pPr>
            <w:r w:rsidRPr="003B6D82">
              <w:rPr>
                <w:iCs/>
              </w:rPr>
              <w:t>10 years</w:t>
            </w:r>
          </w:p>
        </w:tc>
      </w:tr>
      <w:tr w:rsidR="00EC05C4" w:rsidRPr="003B6D82" w14:paraId="3310E7F6" w14:textId="77777777" w:rsidTr="009C6396">
        <w:tc>
          <w:tcPr>
            <w:tcW w:w="936" w:type="pct"/>
            <w:tcBorders>
              <w:top w:val="single" w:sz="4" w:space="0" w:color="auto"/>
              <w:left w:val="single" w:sz="4" w:space="0" w:color="auto"/>
              <w:bottom w:val="single" w:sz="4" w:space="0" w:color="auto"/>
              <w:right w:val="single" w:sz="4" w:space="0" w:color="auto"/>
            </w:tcBorders>
            <w:vAlign w:val="center"/>
            <w:hideMark/>
          </w:tcPr>
          <w:p w14:paraId="69E678F6" w14:textId="77777777" w:rsidR="00EC05C4" w:rsidRPr="003B6D82" w:rsidRDefault="00EC05C4" w:rsidP="00DE3380">
            <w:pPr>
              <w:pStyle w:val="TableText0"/>
              <w:keepNext w:val="0"/>
              <w:keepLines w:val="0"/>
              <w:rPr>
                <w:rFonts w:eastAsia="Times New Roman" w:cs="Times New Roman"/>
                <w:iCs/>
                <w:szCs w:val="20"/>
              </w:rPr>
            </w:pPr>
            <w:r w:rsidRPr="003B6D82">
              <w:rPr>
                <w:iCs/>
              </w:rPr>
              <w:t>Methods used to generate results</w:t>
            </w:r>
          </w:p>
        </w:tc>
        <w:tc>
          <w:tcPr>
            <w:tcW w:w="4064" w:type="pct"/>
            <w:tcBorders>
              <w:top w:val="single" w:sz="4" w:space="0" w:color="auto"/>
              <w:left w:val="single" w:sz="4" w:space="0" w:color="auto"/>
              <w:bottom w:val="single" w:sz="4" w:space="0" w:color="auto"/>
              <w:right w:val="single" w:sz="4" w:space="0" w:color="auto"/>
            </w:tcBorders>
            <w:vAlign w:val="center"/>
            <w:hideMark/>
          </w:tcPr>
          <w:p w14:paraId="49BB574C" w14:textId="77777777" w:rsidR="00EC05C4" w:rsidRPr="003B6D82" w:rsidRDefault="00EC05C4" w:rsidP="00DE3380">
            <w:pPr>
              <w:pStyle w:val="TableText0"/>
              <w:keepNext w:val="0"/>
              <w:keepLines w:val="0"/>
              <w:rPr>
                <w:rFonts w:eastAsia="Times New Roman" w:cs="Times New Roman"/>
                <w:iCs/>
                <w:szCs w:val="20"/>
              </w:rPr>
            </w:pPr>
            <w:r w:rsidRPr="003B6D82">
              <w:rPr>
                <w:rFonts w:eastAsia="Times New Roman" w:cs="Times New Roman"/>
                <w:iCs/>
                <w:szCs w:val="20"/>
              </w:rPr>
              <w:t>Cohort-level area under the curve model</w:t>
            </w:r>
          </w:p>
        </w:tc>
      </w:tr>
      <w:tr w:rsidR="00EC05C4" w:rsidRPr="003B6D82" w14:paraId="741927D1" w14:textId="77777777" w:rsidTr="009C6396">
        <w:tc>
          <w:tcPr>
            <w:tcW w:w="936" w:type="pct"/>
            <w:tcBorders>
              <w:top w:val="single" w:sz="4" w:space="0" w:color="auto"/>
              <w:left w:val="single" w:sz="4" w:space="0" w:color="auto"/>
              <w:bottom w:val="single" w:sz="4" w:space="0" w:color="auto"/>
              <w:right w:val="single" w:sz="4" w:space="0" w:color="auto"/>
            </w:tcBorders>
            <w:vAlign w:val="center"/>
            <w:hideMark/>
          </w:tcPr>
          <w:p w14:paraId="2A9F8AAE" w14:textId="77777777" w:rsidR="00EC05C4" w:rsidRPr="003B6D82" w:rsidRDefault="00EC05C4" w:rsidP="00DE3380">
            <w:pPr>
              <w:pStyle w:val="TableText0"/>
              <w:keepNext w:val="0"/>
              <w:keepLines w:val="0"/>
              <w:rPr>
                <w:iCs/>
              </w:rPr>
            </w:pPr>
            <w:r w:rsidRPr="003B6D82">
              <w:rPr>
                <w:iCs/>
              </w:rPr>
              <w:t>Treatments</w:t>
            </w:r>
          </w:p>
        </w:tc>
        <w:tc>
          <w:tcPr>
            <w:tcW w:w="4064" w:type="pct"/>
            <w:tcBorders>
              <w:top w:val="single" w:sz="4" w:space="0" w:color="auto"/>
              <w:left w:val="single" w:sz="4" w:space="0" w:color="auto"/>
              <w:bottom w:val="single" w:sz="4" w:space="0" w:color="auto"/>
              <w:right w:val="single" w:sz="4" w:space="0" w:color="auto"/>
            </w:tcBorders>
            <w:vAlign w:val="center"/>
            <w:hideMark/>
          </w:tcPr>
          <w:p w14:paraId="45980589" w14:textId="77777777" w:rsidR="00EC05C4" w:rsidRPr="003B6D82" w:rsidRDefault="00EC05C4" w:rsidP="00DE3380">
            <w:pPr>
              <w:pStyle w:val="TableText0"/>
              <w:keepNext w:val="0"/>
              <w:keepLines w:val="0"/>
              <w:rPr>
                <w:iCs/>
              </w:rPr>
            </w:pPr>
            <w:r w:rsidRPr="003B6D82">
              <w:rPr>
                <w:iCs/>
              </w:rPr>
              <w:t xml:space="preserve">Second-line </w:t>
            </w:r>
            <w:proofErr w:type="spellStart"/>
            <w:r w:rsidRPr="003B6D82">
              <w:rPr>
                <w:iCs/>
              </w:rPr>
              <w:t>fedratinib</w:t>
            </w:r>
            <w:proofErr w:type="spellEnd"/>
            <w:r w:rsidRPr="003B6D82">
              <w:rPr>
                <w:iCs/>
              </w:rPr>
              <w:t xml:space="preserve"> followed by subsequent treatment with either third-line therapies (including hydroxyurea, peginterferon alfa-2a and busulfan) or supportive care versus best available therapy (primarily </w:t>
            </w:r>
            <w:proofErr w:type="spellStart"/>
            <w:r w:rsidRPr="003B6D82">
              <w:rPr>
                <w:iCs/>
              </w:rPr>
              <w:t>ruxolitinib</w:t>
            </w:r>
            <w:proofErr w:type="spellEnd"/>
            <w:r w:rsidRPr="003B6D82">
              <w:rPr>
                <w:iCs/>
              </w:rPr>
              <w:t>) followed by supportive care.</w:t>
            </w:r>
          </w:p>
        </w:tc>
      </w:tr>
      <w:tr w:rsidR="00EC05C4" w:rsidRPr="003B6D82" w14:paraId="75E1BB30" w14:textId="77777777" w:rsidTr="009C6396">
        <w:tc>
          <w:tcPr>
            <w:tcW w:w="936" w:type="pct"/>
            <w:tcBorders>
              <w:top w:val="single" w:sz="4" w:space="0" w:color="auto"/>
              <w:left w:val="single" w:sz="4" w:space="0" w:color="auto"/>
              <w:bottom w:val="single" w:sz="4" w:space="0" w:color="auto"/>
              <w:right w:val="single" w:sz="4" w:space="0" w:color="auto"/>
            </w:tcBorders>
            <w:vAlign w:val="center"/>
            <w:hideMark/>
          </w:tcPr>
          <w:p w14:paraId="04196EF8" w14:textId="77777777" w:rsidR="00EC05C4" w:rsidRPr="003B6D82" w:rsidRDefault="00EC05C4" w:rsidP="00DE3380">
            <w:pPr>
              <w:pStyle w:val="TableText0"/>
              <w:keepNext w:val="0"/>
              <w:keepLines w:val="0"/>
              <w:rPr>
                <w:rFonts w:eastAsia="Times New Roman" w:cs="Times New Roman"/>
                <w:iCs/>
                <w:szCs w:val="20"/>
              </w:rPr>
            </w:pPr>
            <w:r w:rsidRPr="003B6D82">
              <w:rPr>
                <w:iCs/>
              </w:rPr>
              <w:t>Health states</w:t>
            </w:r>
          </w:p>
        </w:tc>
        <w:tc>
          <w:tcPr>
            <w:tcW w:w="4064" w:type="pct"/>
            <w:tcBorders>
              <w:top w:val="single" w:sz="4" w:space="0" w:color="auto"/>
              <w:left w:val="single" w:sz="4" w:space="0" w:color="auto"/>
              <w:bottom w:val="single" w:sz="4" w:space="0" w:color="auto"/>
              <w:right w:val="single" w:sz="4" w:space="0" w:color="auto"/>
            </w:tcBorders>
            <w:vAlign w:val="center"/>
            <w:hideMark/>
          </w:tcPr>
          <w:p w14:paraId="5EC2E540" w14:textId="77777777" w:rsidR="00EC05C4" w:rsidRPr="003B6D82" w:rsidRDefault="00EC05C4" w:rsidP="00DE3380">
            <w:pPr>
              <w:pStyle w:val="TableText0"/>
              <w:keepNext w:val="0"/>
              <w:keepLines w:val="0"/>
              <w:rPr>
                <w:iCs/>
              </w:rPr>
            </w:pPr>
            <w:r w:rsidRPr="003B6D82">
              <w:rPr>
                <w:iCs/>
              </w:rPr>
              <w:t xml:space="preserve">4 health states including responders on second-line treatment, non-responders on second-line treatment; subsequent treatment and death </w:t>
            </w:r>
          </w:p>
        </w:tc>
      </w:tr>
      <w:tr w:rsidR="00EC05C4" w:rsidRPr="003B6D82" w14:paraId="680C31EB" w14:textId="77777777" w:rsidTr="009C6396">
        <w:tc>
          <w:tcPr>
            <w:tcW w:w="936" w:type="pct"/>
            <w:tcBorders>
              <w:top w:val="single" w:sz="4" w:space="0" w:color="auto"/>
              <w:left w:val="single" w:sz="4" w:space="0" w:color="auto"/>
              <w:bottom w:val="single" w:sz="4" w:space="0" w:color="auto"/>
              <w:right w:val="single" w:sz="4" w:space="0" w:color="auto"/>
            </w:tcBorders>
            <w:vAlign w:val="center"/>
            <w:hideMark/>
          </w:tcPr>
          <w:p w14:paraId="6FD712B3" w14:textId="77777777" w:rsidR="00EC05C4" w:rsidRPr="003B6D82" w:rsidRDefault="00EC05C4" w:rsidP="00DE3380">
            <w:pPr>
              <w:pStyle w:val="TableText0"/>
              <w:keepNext w:val="0"/>
              <w:keepLines w:val="0"/>
              <w:rPr>
                <w:rFonts w:eastAsia="Times New Roman" w:cs="Times New Roman"/>
                <w:iCs/>
                <w:szCs w:val="20"/>
              </w:rPr>
            </w:pPr>
            <w:r w:rsidRPr="003B6D82">
              <w:rPr>
                <w:iCs/>
              </w:rPr>
              <w:t>Cycle length</w:t>
            </w:r>
          </w:p>
        </w:tc>
        <w:tc>
          <w:tcPr>
            <w:tcW w:w="4064" w:type="pct"/>
            <w:tcBorders>
              <w:top w:val="single" w:sz="4" w:space="0" w:color="auto"/>
              <w:left w:val="single" w:sz="4" w:space="0" w:color="auto"/>
              <w:bottom w:val="single" w:sz="4" w:space="0" w:color="auto"/>
              <w:right w:val="single" w:sz="4" w:space="0" w:color="auto"/>
            </w:tcBorders>
            <w:vAlign w:val="center"/>
            <w:hideMark/>
          </w:tcPr>
          <w:p w14:paraId="28F55D62" w14:textId="77777777" w:rsidR="00EC05C4" w:rsidRPr="003B6D82" w:rsidRDefault="00EC05C4" w:rsidP="00DE3380">
            <w:pPr>
              <w:pStyle w:val="TableText0"/>
              <w:keepNext w:val="0"/>
              <w:keepLines w:val="0"/>
              <w:rPr>
                <w:iCs/>
              </w:rPr>
            </w:pPr>
            <w:r w:rsidRPr="003B6D82">
              <w:rPr>
                <w:iCs/>
              </w:rPr>
              <w:t>4-weeks (with half-cycle correction)</w:t>
            </w:r>
          </w:p>
        </w:tc>
      </w:tr>
      <w:tr w:rsidR="00EC05C4" w:rsidRPr="003B6D82" w14:paraId="39BFD639" w14:textId="77777777" w:rsidTr="009C6396">
        <w:tc>
          <w:tcPr>
            <w:tcW w:w="936" w:type="pct"/>
            <w:tcBorders>
              <w:top w:val="single" w:sz="4" w:space="0" w:color="auto"/>
              <w:left w:val="single" w:sz="4" w:space="0" w:color="auto"/>
              <w:bottom w:val="single" w:sz="4" w:space="0" w:color="auto"/>
              <w:right w:val="single" w:sz="4" w:space="0" w:color="auto"/>
            </w:tcBorders>
            <w:vAlign w:val="center"/>
            <w:hideMark/>
          </w:tcPr>
          <w:p w14:paraId="36E402DA" w14:textId="77777777" w:rsidR="00EC05C4" w:rsidRPr="003B6D82" w:rsidRDefault="00EC05C4" w:rsidP="00DE3380">
            <w:pPr>
              <w:pStyle w:val="TableText0"/>
              <w:keepNext w:val="0"/>
              <w:keepLines w:val="0"/>
              <w:rPr>
                <w:iCs/>
              </w:rPr>
            </w:pPr>
            <w:r w:rsidRPr="003B6D82">
              <w:rPr>
                <w:iCs/>
              </w:rPr>
              <w:t>Circumstances of use</w:t>
            </w:r>
          </w:p>
        </w:tc>
        <w:tc>
          <w:tcPr>
            <w:tcW w:w="4064" w:type="pct"/>
            <w:tcBorders>
              <w:top w:val="single" w:sz="4" w:space="0" w:color="auto"/>
              <w:left w:val="single" w:sz="4" w:space="0" w:color="auto"/>
              <w:bottom w:val="single" w:sz="4" w:space="0" w:color="auto"/>
              <w:right w:val="single" w:sz="4" w:space="0" w:color="auto"/>
            </w:tcBorders>
            <w:vAlign w:val="center"/>
            <w:hideMark/>
          </w:tcPr>
          <w:p w14:paraId="644E300C" w14:textId="77777777" w:rsidR="00EC05C4" w:rsidRPr="003B6D82" w:rsidRDefault="00EC05C4" w:rsidP="00DE3380">
            <w:pPr>
              <w:pStyle w:val="TableText0"/>
              <w:keepNext w:val="0"/>
              <w:keepLines w:val="0"/>
              <w:spacing w:after="120"/>
              <w:rPr>
                <w:iCs/>
              </w:rPr>
            </w:pPr>
            <w:r w:rsidRPr="003B6D82">
              <w:rPr>
                <w:iCs/>
              </w:rPr>
              <w:t xml:space="preserve">Treatment persistence and adherence to second-line </w:t>
            </w:r>
            <w:proofErr w:type="spellStart"/>
            <w:r w:rsidRPr="003B6D82">
              <w:rPr>
                <w:iCs/>
              </w:rPr>
              <w:t>fedratinib</w:t>
            </w:r>
            <w:proofErr w:type="spellEnd"/>
            <w:r w:rsidRPr="003B6D82">
              <w:rPr>
                <w:iCs/>
              </w:rPr>
              <w:t xml:space="preserve"> were based on the </w:t>
            </w:r>
            <w:proofErr w:type="spellStart"/>
            <w:r w:rsidRPr="003B6D82">
              <w:rPr>
                <w:iCs/>
              </w:rPr>
              <w:t>fedratinib</w:t>
            </w:r>
            <w:proofErr w:type="spellEnd"/>
            <w:r w:rsidRPr="003B6D82">
              <w:rPr>
                <w:iCs/>
              </w:rPr>
              <w:t xml:space="preserve"> treatment arm of the FREEDOM-2 trial. Treatment persistence to best available therapy was based on counterfactual assumptions using data from the </w:t>
            </w:r>
            <w:proofErr w:type="spellStart"/>
            <w:r w:rsidRPr="003B6D82">
              <w:rPr>
                <w:iCs/>
              </w:rPr>
              <w:t>fedratinib</w:t>
            </w:r>
            <w:proofErr w:type="spellEnd"/>
            <w:r w:rsidRPr="003B6D82">
              <w:rPr>
                <w:iCs/>
              </w:rPr>
              <w:t xml:space="preserve"> treatment arm adjusted for response rates at 24 weeks in the best available therapy arm of the FREEDOM-2 trial. Treatment adherence was assumed to be perfect in the best available therapy arm.</w:t>
            </w:r>
          </w:p>
          <w:p w14:paraId="269627CF" w14:textId="77777777" w:rsidR="00EC05C4" w:rsidRPr="003B6D82" w:rsidRDefault="00EC05C4" w:rsidP="00DE3380">
            <w:pPr>
              <w:pStyle w:val="TableText0"/>
              <w:keepNext w:val="0"/>
              <w:keepLines w:val="0"/>
              <w:spacing w:after="120"/>
              <w:rPr>
                <w:iCs/>
              </w:rPr>
            </w:pPr>
            <w:r w:rsidRPr="003B6D82">
              <w:rPr>
                <w:iCs/>
              </w:rPr>
              <w:t xml:space="preserve">It was assumed that patients previously treated with </w:t>
            </w:r>
            <w:proofErr w:type="spellStart"/>
            <w:r w:rsidRPr="003B6D82">
              <w:rPr>
                <w:iCs/>
              </w:rPr>
              <w:t>fedratinib</w:t>
            </w:r>
            <w:proofErr w:type="spellEnd"/>
            <w:r w:rsidRPr="003B6D82">
              <w:rPr>
                <w:iCs/>
              </w:rPr>
              <w:t xml:space="preserve"> who switch to subsequent treatment would spend 36% of their remaining survival time using third-line therapies and 64% of time using </w:t>
            </w:r>
            <w:r w:rsidRPr="003B6D82">
              <w:rPr>
                <w:iCs/>
              </w:rPr>
              <w:lastRenderedPageBreak/>
              <w:t xml:space="preserve">supportive care. It was assumed that only 15% of patients receiving third-line therapies would be treated with hydroxyurea, peginterferon alfa-2a and busulfan and no patients would be treated with </w:t>
            </w:r>
            <w:proofErr w:type="spellStart"/>
            <w:r w:rsidRPr="003B6D82">
              <w:rPr>
                <w:iCs/>
              </w:rPr>
              <w:t>ruxolitinib</w:t>
            </w:r>
            <w:proofErr w:type="spellEnd"/>
            <w:r w:rsidRPr="003B6D82">
              <w:rPr>
                <w:iCs/>
              </w:rPr>
              <w:t>.</w:t>
            </w:r>
          </w:p>
          <w:p w14:paraId="6981F5CE" w14:textId="77777777" w:rsidR="00EC05C4" w:rsidRPr="003B6D82" w:rsidRDefault="00EC05C4" w:rsidP="00DE3380">
            <w:pPr>
              <w:pStyle w:val="TableText0"/>
              <w:keepNext w:val="0"/>
              <w:keepLines w:val="0"/>
              <w:rPr>
                <w:iCs/>
                <w:szCs w:val="20"/>
              </w:rPr>
            </w:pPr>
            <w:r w:rsidRPr="003B6D82">
              <w:rPr>
                <w:iCs/>
              </w:rPr>
              <w:t>It was assumed that patients previously treated with best available therapy would only receive supportive care as subsequent treatment.</w:t>
            </w:r>
          </w:p>
        </w:tc>
      </w:tr>
      <w:tr w:rsidR="00EC05C4" w:rsidRPr="003B6D82" w14:paraId="02CB274E" w14:textId="77777777" w:rsidTr="009C6396">
        <w:tc>
          <w:tcPr>
            <w:tcW w:w="936" w:type="pct"/>
            <w:tcBorders>
              <w:top w:val="single" w:sz="4" w:space="0" w:color="auto"/>
              <w:left w:val="single" w:sz="4" w:space="0" w:color="auto"/>
              <w:bottom w:val="single" w:sz="4" w:space="0" w:color="auto"/>
              <w:right w:val="single" w:sz="4" w:space="0" w:color="auto"/>
            </w:tcBorders>
            <w:vAlign w:val="center"/>
            <w:hideMark/>
          </w:tcPr>
          <w:p w14:paraId="0F8A2240" w14:textId="77777777" w:rsidR="00EC05C4" w:rsidRPr="003B6D82" w:rsidRDefault="00EC05C4" w:rsidP="00DE3380">
            <w:pPr>
              <w:pStyle w:val="TableText0"/>
              <w:keepNext w:val="0"/>
              <w:keepLines w:val="0"/>
              <w:rPr>
                <w:iCs/>
              </w:rPr>
            </w:pPr>
            <w:r w:rsidRPr="003B6D82">
              <w:rPr>
                <w:iCs/>
              </w:rPr>
              <w:lastRenderedPageBreak/>
              <w:t xml:space="preserve">Transition probability </w:t>
            </w:r>
          </w:p>
        </w:tc>
        <w:tc>
          <w:tcPr>
            <w:tcW w:w="4064" w:type="pct"/>
            <w:tcBorders>
              <w:top w:val="single" w:sz="4" w:space="0" w:color="auto"/>
              <w:left w:val="single" w:sz="4" w:space="0" w:color="auto"/>
              <w:bottom w:val="single" w:sz="4" w:space="0" w:color="auto"/>
              <w:right w:val="single" w:sz="4" w:space="0" w:color="auto"/>
            </w:tcBorders>
            <w:vAlign w:val="center"/>
            <w:hideMark/>
          </w:tcPr>
          <w:p w14:paraId="4150A70C" w14:textId="77777777" w:rsidR="00EC05C4" w:rsidRPr="003B6D82" w:rsidRDefault="00EC05C4" w:rsidP="00DE3380">
            <w:pPr>
              <w:pStyle w:val="TableText0"/>
              <w:keepNext w:val="0"/>
              <w:keepLines w:val="0"/>
              <w:spacing w:after="120"/>
              <w:rPr>
                <w:iCs/>
                <w:szCs w:val="20"/>
              </w:rPr>
            </w:pPr>
            <w:r w:rsidRPr="003B6D82">
              <w:rPr>
                <w:iCs/>
                <w:szCs w:val="20"/>
              </w:rPr>
              <w:t>Treatment response rates were based on a post hoc analysis of individual patient data from the FREEDOM-2 trial with response defined as ≥35% reduction in spleen volume or ≥50% reduction in symptom scores (MFSAF instrument) at 24 weeks.</w:t>
            </w:r>
          </w:p>
          <w:p w14:paraId="4E25613C" w14:textId="77777777" w:rsidR="00EC05C4" w:rsidRPr="003B6D82" w:rsidRDefault="00EC05C4" w:rsidP="00DE3380">
            <w:pPr>
              <w:pStyle w:val="TableText0"/>
              <w:keepNext w:val="0"/>
              <w:keepLines w:val="0"/>
              <w:spacing w:after="120"/>
              <w:rPr>
                <w:iCs/>
                <w:szCs w:val="20"/>
              </w:rPr>
            </w:pPr>
            <w:r w:rsidRPr="003B6D82">
              <w:rPr>
                <w:iCs/>
                <w:szCs w:val="20"/>
              </w:rPr>
              <w:t>Response rates were retrospectively applied to patients from the start of the model with separate time to treatment discontinuation curves estimated for treatment responders and non-responders.</w:t>
            </w:r>
          </w:p>
          <w:p w14:paraId="0B100787" w14:textId="77777777" w:rsidR="00EC05C4" w:rsidRPr="003B6D82" w:rsidRDefault="00EC05C4" w:rsidP="00DE3380">
            <w:pPr>
              <w:pStyle w:val="TableText0"/>
              <w:keepNext w:val="0"/>
              <w:keepLines w:val="0"/>
              <w:spacing w:after="120"/>
              <w:rPr>
                <w:iCs/>
                <w:szCs w:val="20"/>
              </w:rPr>
            </w:pPr>
            <w:r w:rsidRPr="003B6D82">
              <w:rPr>
                <w:iCs/>
                <w:szCs w:val="20"/>
              </w:rPr>
              <w:t xml:space="preserve">Time to treatment discontinuation curves for treatment responders and non-responders were derived using data from the </w:t>
            </w:r>
            <w:proofErr w:type="spellStart"/>
            <w:r w:rsidRPr="003B6D82">
              <w:rPr>
                <w:iCs/>
                <w:szCs w:val="20"/>
              </w:rPr>
              <w:t>fedratinib</w:t>
            </w:r>
            <w:proofErr w:type="spellEnd"/>
            <w:r w:rsidRPr="003B6D82">
              <w:rPr>
                <w:iCs/>
                <w:szCs w:val="20"/>
              </w:rPr>
              <w:t xml:space="preserve"> treatment arm of the FREEDOM-2 trial extrapolated using a log-normal function. Best available therapy was assumed to have the same time to treatment discontinuation curves as </w:t>
            </w:r>
            <w:proofErr w:type="spellStart"/>
            <w:r w:rsidRPr="003B6D82">
              <w:rPr>
                <w:iCs/>
                <w:szCs w:val="20"/>
              </w:rPr>
              <w:t>fedratinib</w:t>
            </w:r>
            <w:proofErr w:type="spellEnd"/>
            <w:r w:rsidRPr="003B6D82">
              <w:rPr>
                <w:iCs/>
                <w:szCs w:val="20"/>
              </w:rPr>
              <w:t>.</w:t>
            </w:r>
          </w:p>
          <w:p w14:paraId="00FD7986" w14:textId="77777777" w:rsidR="00EC05C4" w:rsidRPr="003B6D82" w:rsidRDefault="00EC05C4" w:rsidP="00DE3380">
            <w:pPr>
              <w:pStyle w:val="TableText0"/>
              <w:keepNext w:val="0"/>
              <w:keepLines w:val="0"/>
              <w:spacing w:after="120"/>
              <w:rPr>
                <w:iCs/>
                <w:szCs w:val="20"/>
              </w:rPr>
            </w:pPr>
            <w:r w:rsidRPr="003B6D82">
              <w:rPr>
                <w:iCs/>
                <w:szCs w:val="20"/>
              </w:rPr>
              <w:t>An overall survival curve was derived using data from the combined arms of the FREEDOM-2 trial extrapolated using a Weibull function. General population mortality was added after 96 weeks based on Australian life tables.</w:t>
            </w:r>
          </w:p>
          <w:p w14:paraId="172BB4FE" w14:textId="77777777" w:rsidR="00EC05C4" w:rsidRPr="003B6D82" w:rsidRDefault="00EC05C4" w:rsidP="00DE3380">
            <w:pPr>
              <w:pStyle w:val="TableText0"/>
              <w:keepNext w:val="0"/>
              <w:keepLines w:val="0"/>
              <w:rPr>
                <w:iCs/>
                <w:szCs w:val="20"/>
              </w:rPr>
            </w:pPr>
            <w:r w:rsidRPr="003B6D82">
              <w:rPr>
                <w:iCs/>
                <w:szCs w:val="20"/>
              </w:rPr>
              <w:t>Time to treatment discontinuation curves were used to estimate probabilities of remaining in the response/non-response health states over time. The overall survival curve was used to estimate the probability of death (which was assumed to be independent of health state). The proportion of patients in the subsequent treatment state was calculated as 1 minus the proportion of patients in the response, non-response and dead health states in any given cycle.</w:t>
            </w:r>
          </w:p>
        </w:tc>
      </w:tr>
      <w:tr w:rsidR="00EC05C4" w:rsidRPr="003B6D82" w14:paraId="62688D5B" w14:textId="77777777" w:rsidTr="009C6396">
        <w:tc>
          <w:tcPr>
            <w:tcW w:w="936" w:type="pct"/>
            <w:tcBorders>
              <w:top w:val="single" w:sz="4" w:space="0" w:color="auto"/>
              <w:left w:val="single" w:sz="4" w:space="0" w:color="auto"/>
              <w:bottom w:val="single" w:sz="4" w:space="0" w:color="auto"/>
              <w:right w:val="single" w:sz="4" w:space="0" w:color="auto"/>
            </w:tcBorders>
            <w:vAlign w:val="center"/>
            <w:hideMark/>
          </w:tcPr>
          <w:p w14:paraId="46AF8EB3" w14:textId="77777777" w:rsidR="00EC05C4" w:rsidRPr="003B6D82" w:rsidRDefault="00EC05C4" w:rsidP="00DE3380">
            <w:pPr>
              <w:pStyle w:val="TableText0"/>
              <w:keepNext w:val="0"/>
              <w:keepLines w:val="0"/>
              <w:rPr>
                <w:iCs/>
              </w:rPr>
            </w:pPr>
            <w:r w:rsidRPr="003B6D82">
              <w:rPr>
                <w:iCs/>
              </w:rPr>
              <w:t>Utility values</w:t>
            </w:r>
          </w:p>
        </w:tc>
        <w:tc>
          <w:tcPr>
            <w:tcW w:w="4064" w:type="pct"/>
            <w:tcBorders>
              <w:top w:val="single" w:sz="4" w:space="0" w:color="auto"/>
              <w:left w:val="single" w:sz="4" w:space="0" w:color="auto"/>
              <w:bottom w:val="single" w:sz="4" w:space="0" w:color="auto"/>
              <w:right w:val="single" w:sz="4" w:space="0" w:color="auto"/>
            </w:tcBorders>
            <w:vAlign w:val="center"/>
            <w:hideMark/>
          </w:tcPr>
          <w:p w14:paraId="5802436E" w14:textId="77777777" w:rsidR="00EC05C4" w:rsidRPr="003B6D82" w:rsidRDefault="00EC05C4" w:rsidP="00DE3380">
            <w:pPr>
              <w:pStyle w:val="Tabletext"/>
              <w:widowControl w:val="0"/>
              <w:spacing w:after="120"/>
              <w:rPr>
                <w:rFonts w:ascii="Arial Narrow" w:eastAsia="Calibri" w:hAnsi="Arial Narrow" w:cstheme="minorHAnsi"/>
                <w:iCs/>
              </w:rPr>
            </w:pPr>
            <w:r w:rsidRPr="003B6D82">
              <w:rPr>
                <w:rFonts w:ascii="Arial Narrow" w:eastAsia="Calibri" w:hAnsi="Arial Narrow" w:cstheme="minorHAnsi"/>
                <w:iCs/>
              </w:rPr>
              <w:t xml:space="preserve">Second-line responder (0.816) and non-responder (0.701) health state utility values were estimated based on a post hoc analysis of the FREEDOM-2 trial using the condition-specific Myelofibrosis 8 Dimensions (MF-8D) utility instrument. </w:t>
            </w:r>
          </w:p>
          <w:p w14:paraId="69E1B650" w14:textId="77777777" w:rsidR="00EC05C4" w:rsidRPr="003B6D82" w:rsidRDefault="00EC05C4" w:rsidP="00DE3380">
            <w:pPr>
              <w:pStyle w:val="Tabletext"/>
              <w:widowControl w:val="0"/>
              <w:spacing w:after="120"/>
              <w:rPr>
                <w:rFonts w:ascii="Arial Narrow" w:eastAsia="Calibri" w:hAnsi="Arial Narrow" w:cstheme="minorHAnsi"/>
                <w:iCs/>
              </w:rPr>
            </w:pPr>
            <w:r w:rsidRPr="003B6D82">
              <w:rPr>
                <w:rFonts w:ascii="Arial Narrow" w:eastAsia="Calibri" w:hAnsi="Arial Narrow" w:cstheme="minorHAnsi"/>
                <w:iCs/>
              </w:rPr>
              <w:t xml:space="preserve">The third-line treatment utility in the </w:t>
            </w:r>
            <w:proofErr w:type="spellStart"/>
            <w:r w:rsidRPr="003B6D82">
              <w:rPr>
                <w:rFonts w:ascii="Arial Narrow" w:eastAsia="Calibri" w:hAnsi="Arial Narrow" w:cstheme="minorHAnsi"/>
                <w:iCs/>
              </w:rPr>
              <w:t>fedratinib</w:t>
            </w:r>
            <w:proofErr w:type="spellEnd"/>
            <w:r w:rsidRPr="003B6D82">
              <w:rPr>
                <w:rFonts w:ascii="Arial Narrow" w:eastAsia="Calibri" w:hAnsi="Arial Narrow" w:cstheme="minorHAnsi"/>
                <w:iCs/>
              </w:rPr>
              <w:t xml:space="preserve"> arm </w:t>
            </w:r>
            <w:proofErr w:type="gramStart"/>
            <w:r w:rsidRPr="003B6D82">
              <w:rPr>
                <w:rFonts w:ascii="Arial Narrow" w:eastAsia="Calibri" w:hAnsi="Arial Narrow" w:cstheme="minorHAnsi"/>
                <w:iCs/>
              </w:rPr>
              <w:t>was based on the assumption</w:t>
            </w:r>
            <w:proofErr w:type="gramEnd"/>
            <w:r w:rsidRPr="003B6D82">
              <w:rPr>
                <w:rFonts w:ascii="Arial Narrow" w:eastAsia="Calibri" w:hAnsi="Arial Narrow" w:cstheme="minorHAnsi"/>
                <w:iCs/>
              </w:rPr>
              <w:t xml:space="preserve"> that patients had the same utility as second-line non-responders (0.701).</w:t>
            </w:r>
          </w:p>
          <w:p w14:paraId="131C15B9" w14:textId="77777777" w:rsidR="00EC05C4" w:rsidRPr="003B6D82" w:rsidRDefault="00EC05C4" w:rsidP="00DE3380">
            <w:pPr>
              <w:pStyle w:val="Tabletext"/>
              <w:widowControl w:val="0"/>
              <w:spacing w:after="120"/>
              <w:rPr>
                <w:rFonts w:ascii="Arial Narrow" w:eastAsia="Calibri" w:hAnsi="Arial Narrow" w:cstheme="minorHAnsi"/>
                <w:iCs/>
              </w:rPr>
            </w:pPr>
            <w:r w:rsidRPr="003B6D82">
              <w:rPr>
                <w:rFonts w:ascii="Arial Narrow" w:eastAsia="Calibri" w:hAnsi="Arial Narrow" w:cstheme="minorHAnsi"/>
                <w:iCs/>
              </w:rPr>
              <w:t>The supportive care utility (0.59) was based on EQ-5D-3L utility values reported in a cross-sectional study of breast, prostate and colorectal cancer patients receiving palliative care in Finland between 2009 and 2011 (</w:t>
            </w:r>
            <w:proofErr w:type="spellStart"/>
            <w:r w:rsidRPr="003B6D82">
              <w:rPr>
                <w:rFonts w:ascii="Arial Narrow" w:eastAsia="Calibri" w:hAnsi="Arial Narrow" w:cstheme="minorHAnsi"/>
                <w:iCs/>
              </w:rPr>
              <w:t>Färkkilä</w:t>
            </w:r>
            <w:proofErr w:type="spellEnd"/>
            <w:r w:rsidRPr="003B6D82">
              <w:rPr>
                <w:rFonts w:ascii="Arial Narrow" w:eastAsia="Calibri" w:hAnsi="Arial Narrow" w:cstheme="minorHAnsi"/>
                <w:iCs/>
              </w:rPr>
              <w:t xml:space="preserve"> 2014).</w:t>
            </w:r>
          </w:p>
          <w:p w14:paraId="377A1AF2" w14:textId="7B1A1148" w:rsidR="00EC05C4" w:rsidRPr="003B6D82" w:rsidRDefault="00EC05C4" w:rsidP="00DE3380">
            <w:pPr>
              <w:pStyle w:val="TableText0"/>
              <w:keepNext w:val="0"/>
              <w:keepLines w:val="0"/>
              <w:rPr>
                <w:rFonts w:cstheme="minorHAnsi"/>
                <w:iCs/>
                <w:szCs w:val="20"/>
              </w:rPr>
            </w:pPr>
            <w:r w:rsidRPr="003B6D82">
              <w:rPr>
                <w:rFonts w:eastAsia="Calibri" w:cstheme="minorHAnsi"/>
                <w:iCs/>
              </w:rPr>
              <w:t xml:space="preserve">The </w:t>
            </w:r>
            <w:proofErr w:type="spellStart"/>
            <w:r w:rsidRPr="003B6D82">
              <w:rPr>
                <w:rFonts w:eastAsia="Calibri" w:cstheme="minorHAnsi"/>
                <w:iCs/>
              </w:rPr>
              <w:t>disutilities</w:t>
            </w:r>
            <w:proofErr w:type="spellEnd"/>
            <w:r w:rsidRPr="003B6D82">
              <w:rPr>
                <w:rFonts w:eastAsia="Calibri" w:cstheme="minorHAnsi"/>
                <w:iCs/>
              </w:rPr>
              <w:t xml:space="preserve"> associated with severe adverse events were based on various published sources and additional assumptions. </w:t>
            </w:r>
          </w:p>
        </w:tc>
      </w:tr>
      <w:tr w:rsidR="00EC05C4" w:rsidRPr="003B6D82" w14:paraId="6873A400" w14:textId="77777777" w:rsidTr="009C6396">
        <w:tc>
          <w:tcPr>
            <w:tcW w:w="936" w:type="pct"/>
            <w:tcBorders>
              <w:top w:val="single" w:sz="4" w:space="0" w:color="auto"/>
              <w:left w:val="single" w:sz="4" w:space="0" w:color="auto"/>
              <w:bottom w:val="single" w:sz="4" w:space="0" w:color="auto"/>
              <w:right w:val="single" w:sz="4" w:space="0" w:color="auto"/>
            </w:tcBorders>
            <w:vAlign w:val="center"/>
            <w:hideMark/>
          </w:tcPr>
          <w:p w14:paraId="6003B4EC" w14:textId="77777777" w:rsidR="00EC05C4" w:rsidRPr="003B6D82" w:rsidRDefault="00EC05C4" w:rsidP="00DE3380">
            <w:pPr>
              <w:pStyle w:val="TableText0"/>
              <w:keepNext w:val="0"/>
              <w:keepLines w:val="0"/>
              <w:rPr>
                <w:iCs/>
              </w:rPr>
            </w:pPr>
            <w:r w:rsidRPr="003B6D82">
              <w:rPr>
                <w:iCs/>
              </w:rPr>
              <w:t>Costs</w:t>
            </w:r>
          </w:p>
        </w:tc>
        <w:tc>
          <w:tcPr>
            <w:tcW w:w="4064" w:type="pct"/>
            <w:tcBorders>
              <w:top w:val="single" w:sz="4" w:space="0" w:color="auto"/>
              <w:left w:val="single" w:sz="4" w:space="0" w:color="auto"/>
              <w:bottom w:val="single" w:sz="4" w:space="0" w:color="auto"/>
              <w:right w:val="single" w:sz="4" w:space="0" w:color="auto"/>
            </w:tcBorders>
            <w:vAlign w:val="center"/>
            <w:hideMark/>
          </w:tcPr>
          <w:p w14:paraId="0940ABE9" w14:textId="07EE6AFE" w:rsidR="00EC05C4" w:rsidRPr="003B6D82" w:rsidRDefault="00EC05C4" w:rsidP="00DE3380">
            <w:pPr>
              <w:pStyle w:val="TableText0"/>
              <w:keepNext w:val="0"/>
              <w:keepLines w:val="0"/>
              <w:spacing w:after="120"/>
              <w:rPr>
                <w:iCs/>
              </w:rPr>
            </w:pPr>
            <w:r w:rsidRPr="003B6D82">
              <w:rPr>
                <w:iCs/>
              </w:rPr>
              <w:t xml:space="preserve">The cost of </w:t>
            </w:r>
            <w:proofErr w:type="spellStart"/>
            <w:r w:rsidRPr="003B6D82">
              <w:rPr>
                <w:iCs/>
              </w:rPr>
              <w:t>fedratinib</w:t>
            </w:r>
            <w:proofErr w:type="spellEnd"/>
            <w:r w:rsidRPr="003B6D82">
              <w:rPr>
                <w:iCs/>
              </w:rPr>
              <w:t xml:space="preserve"> was based on the proposed effective price and the recommended dosing regimen in the product information. The submission adjusted costs based on the median dose intensity reported in the </w:t>
            </w:r>
            <w:proofErr w:type="spellStart"/>
            <w:r w:rsidRPr="003B6D82">
              <w:rPr>
                <w:iCs/>
              </w:rPr>
              <w:t>fedratinib</w:t>
            </w:r>
            <w:proofErr w:type="spellEnd"/>
            <w:r w:rsidRPr="003B6D82">
              <w:rPr>
                <w:iCs/>
              </w:rPr>
              <w:t xml:space="preserve"> treatment arm of the FREEDOM-2 trial.</w:t>
            </w:r>
          </w:p>
          <w:p w14:paraId="110FCBE2" w14:textId="77777777" w:rsidR="00EC05C4" w:rsidRPr="003B6D82" w:rsidRDefault="00EC05C4" w:rsidP="00DE3380">
            <w:pPr>
              <w:pStyle w:val="TableText0"/>
              <w:keepNext w:val="0"/>
              <w:keepLines w:val="0"/>
              <w:spacing w:after="120"/>
              <w:rPr>
                <w:iCs/>
              </w:rPr>
            </w:pPr>
            <w:r w:rsidRPr="003B6D82">
              <w:rPr>
                <w:iCs/>
              </w:rPr>
              <w:t xml:space="preserve">The cost of </w:t>
            </w:r>
            <w:proofErr w:type="spellStart"/>
            <w:r w:rsidRPr="003B6D82">
              <w:rPr>
                <w:iCs/>
              </w:rPr>
              <w:t>ruxolitinib</w:t>
            </w:r>
            <w:proofErr w:type="spellEnd"/>
            <w:r w:rsidRPr="003B6D82">
              <w:rPr>
                <w:iCs/>
              </w:rPr>
              <w:t xml:space="preserve"> was estimated based on an assumed effective price consisting of a 30% rebate on the published AEMP as well as the assumption of flat pricing across </w:t>
            </w:r>
            <w:proofErr w:type="spellStart"/>
            <w:r w:rsidRPr="003B6D82">
              <w:rPr>
                <w:iCs/>
              </w:rPr>
              <w:t>ruxolitinib</w:t>
            </w:r>
            <w:proofErr w:type="spellEnd"/>
            <w:r w:rsidRPr="003B6D82">
              <w:rPr>
                <w:iCs/>
              </w:rPr>
              <w:t xml:space="preserve"> dose strengths.</w:t>
            </w:r>
          </w:p>
          <w:p w14:paraId="260D6675" w14:textId="77777777" w:rsidR="00EC05C4" w:rsidRPr="003B6D82" w:rsidRDefault="00EC05C4" w:rsidP="00DE3380">
            <w:pPr>
              <w:pStyle w:val="Tabletext"/>
              <w:widowControl w:val="0"/>
              <w:spacing w:after="120"/>
              <w:rPr>
                <w:rFonts w:ascii="Arial Narrow" w:eastAsia="Calibri" w:hAnsi="Arial Narrow"/>
                <w:iCs/>
              </w:rPr>
            </w:pPr>
            <w:r w:rsidRPr="003B6D82">
              <w:rPr>
                <w:rFonts w:ascii="Arial Narrow" w:eastAsia="Calibri" w:hAnsi="Arial Narrow"/>
                <w:iCs/>
              </w:rPr>
              <w:t xml:space="preserve">Third-line treatment costs in the </w:t>
            </w:r>
            <w:proofErr w:type="spellStart"/>
            <w:r w:rsidRPr="003B6D82">
              <w:rPr>
                <w:rFonts w:ascii="Arial Narrow" w:eastAsia="Calibri" w:hAnsi="Arial Narrow"/>
                <w:iCs/>
              </w:rPr>
              <w:t>fedratinib</w:t>
            </w:r>
            <w:proofErr w:type="spellEnd"/>
            <w:r w:rsidRPr="003B6D82">
              <w:rPr>
                <w:rFonts w:ascii="Arial Narrow" w:eastAsia="Calibri" w:hAnsi="Arial Narrow"/>
                <w:iCs/>
              </w:rPr>
              <w:t xml:space="preserve"> arm were estimated assuming that 15% of patients would receive treatment with hydroxyurea, peginterferon alfa-2a and busulfan. No treatment costs were estimated for supportive care.</w:t>
            </w:r>
          </w:p>
          <w:p w14:paraId="6B2069AC" w14:textId="77777777" w:rsidR="00EC05C4" w:rsidRPr="003B6D82" w:rsidRDefault="00EC05C4" w:rsidP="00DE3380">
            <w:pPr>
              <w:pStyle w:val="TableText0"/>
              <w:keepNext w:val="0"/>
              <w:keepLines w:val="0"/>
              <w:spacing w:after="120"/>
              <w:rPr>
                <w:iCs/>
              </w:rPr>
            </w:pPr>
            <w:r w:rsidRPr="003B6D82">
              <w:rPr>
                <w:iCs/>
              </w:rPr>
              <w:t xml:space="preserve">The costs of severe adverse events </w:t>
            </w:r>
            <w:proofErr w:type="gramStart"/>
            <w:r w:rsidRPr="003B6D82">
              <w:rPr>
                <w:iCs/>
              </w:rPr>
              <w:t>were based on the assumption</w:t>
            </w:r>
            <w:proofErr w:type="gramEnd"/>
            <w:r w:rsidRPr="003B6D82">
              <w:rPr>
                <w:iCs/>
              </w:rPr>
              <w:t xml:space="preserve"> that all patients would be hospitalised. The cost of each hospitalisation was based on public and private hospital price weights for AR-DRG items weighted by complexity level (based on separations in the public hospital system) and setting (based on lenalidomide use on the PBS for myelodysplastic disease in the private/public hospital setting in 2023-2024).</w:t>
            </w:r>
          </w:p>
          <w:p w14:paraId="5582DD26" w14:textId="0FFB84AD" w:rsidR="00EC05C4" w:rsidRPr="003B6D82" w:rsidRDefault="00EC05C4" w:rsidP="00DE3380">
            <w:pPr>
              <w:pStyle w:val="TableText0"/>
              <w:keepNext w:val="0"/>
              <w:keepLines w:val="0"/>
              <w:spacing w:after="120"/>
              <w:rPr>
                <w:iCs/>
              </w:rPr>
            </w:pPr>
            <w:r w:rsidRPr="003B6D82">
              <w:rPr>
                <w:iCs/>
              </w:rPr>
              <w:t xml:space="preserve">The costs of thiamine monitoring and supplementation in the </w:t>
            </w:r>
            <w:proofErr w:type="spellStart"/>
            <w:r w:rsidRPr="003B6D82">
              <w:rPr>
                <w:iCs/>
              </w:rPr>
              <w:t>fedratinib</w:t>
            </w:r>
            <w:proofErr w:type="spellEnd"/>
            <w:r w:rsidRPr="003B6D82">
              <w:rPr>
                <w:iCs/>
              </w:rPr>
              <w:t xml:space="preserve"> treatment arm were based </w:t>
            </w:r>
            <w:r w:rsidRPr="003B6D82">
              <w:rPr>
                <w:iCs/>
              </w:rPr>
              <w:lastRenderedPageBreak/>
              <w:t>on the recommendations in the product information, with unit costs based on MBS/PBS items.</w:t>
            </w:r>
          </w:p>
          <w:p w14:paraId="186AE9C7" w14:textId="77777777" w:rsidR="00EC05C4" w:rsidRPr="003B6D82" w:rsidRDefault="00EC05C4" w:rsidP="00DE3380">
            <w:pPr>
              <w:pStyle w:val="TableText0"/>
              <w:keepNext w:val="0"/>
              <w:keepLines w:val="0"/>
              <w:spacing w:after="120"/>
              <w:rPr>
                <w:iCs/>
              </w:rPr>
            </w:pPr>
            <w:r w:rsidRPr="003B6D82">
              <w:rPr>
                <w:iCs/>
              </w:rPr>
              <w:t>The costs associated with prophylaxis and treatment of gastrointestinal events were not included in the submission.</w:t>
            </w:r>
          </w:p>
          <w:p w14:paraId="58972B24" w14:textId="77777777" w:rsidR="00EC05C4" w:rsidRPr="003B6D82" w:rsidRDefault="00EC05C4" w:rsidP="00DE3380">
            <w:pPr>
              <w:pStyle w:val="TableText0"/>
              <w:keepNext w:val="0"/>
              <w:keepLines w:val="0"/>
              <w:spacing w:after="120"/>
              <w:rPr>
                <w:iCs/>
              </w:rPr>
            </w:pPr>
            <w:r w:rsidRPr="003B6D82">
              <w:rPr>
                <w:iCs/>
              </w:rPr>
              <w:t xml:space="preserve">Health resource use for disease management (emergency room visits, pathology testing, hospital nights, outpatient visits, specialist visits, and blood transfusions) was based on various published sources that were referenced in the </w:t>
            </w:r>
            <w:proofErr w:type="spellStart"/>
            <w:r w:rsidRPr="003B6D82">
              <w:rPr>
                <w:iCs/>
              </w:rPr>
              <w:t>ruxolitinib</w:t>
            </w:r>
            <w:proofErr w:type="spellEnd"/>
            <w:r w:rsidRPr="003B6D82">
              <w:rPr>
                <w:iCs/>
              </w:rPr>
              <w:t xml:space="preserve"> June 2015 NICE submission (TA386) as well as additional assumptions. Health resources were costed based on various MBS, NHCDC and NBA items.</w:t>
            </w:r>
          </w:p>
          <w:p w14:paraId="3A5EF898" w14:textId="77777777" w:rsidR="00EC05C4" w:rsidRPr="003B6D82" w:rsidRDefault="00EC05C4" w:rsidP="00DE3380">
            <w:pPr>
              <w:pStyle w:val="TableText0"/>
              <w:keepNext w:val="0"/>
              <w:keepLines w:val="0"/>
              <w:rPr>
                <w:iCs/>
                <w:szCs w:val="20"/>
              </w:rPr>
            </w:pPr>
            <w:r w:rsidRPr="003B6D82">
              <w:rPr>
                <w:iCs/>
              </w:rPr>
              <w:t xml:space="preserve">Terminal care costs were estimated based on the median cost of care in the last 6 months of life for elderly patients who died from cancer, based on a retrospective analysis of data from Australian veterans (Langton 2016). </w:t>
            </w:r>
          </w:p>
        </w:tc>
      </w:tr>
      <w:tr w:rsidR="00EC05C4" w:rsidRPr="003B6D82" w14:paraId="659C87EA" w14:textId="77777777" w:rsidTr="009C6396">
        <w:tc>
          <w:tcPr>
            <w:tcW w:w="936" w:type="pct"/>
            <w:tcBorders>
              <w:top w:val="single" w:sz="4" w:space="0" w:color="auto"/>
              <w:left w:val="single" w:sz="4" w:space="0" w:color="auto"/>
              <w:bottom w:val="single" w:sz="4" w:space="0" w:color="auto"/>
              <w:right w:val="single" w:sz="4" w:space="0" w:color="auto"/>
            </w:tcBorders>
            <w:vAlign w:val="center"/>
            <w:hideMark/>
          </w:tcPr>
          <w:p w14:paraId="37678A76" w14:textId="77777777" w:rsidR="00EC05C4" w:rsidRPr="003B6D82" w:rsidRDefault="00EC05C4" w:rsidP="00DE3380">
            <w:pPr>
              <w:pStyle w:val="TableText0"/>
              <w:keepNext w:val="0"/>
              <w:keepLines w:val="0"/>
              <w:rPr>
                <w:iCs/>
              </w:rPr>
            </w:pPr>
            <w:r w:rsidRPr="003B6D82">
              <w:rPr>
                <w:iCs/>
              </w:rPr>
              <w:lastRenderedPageBreak/>
              <w:t>Discount rate</w:t>
            </w:r>
          </w:p>
        </w:tc>
        <w:tc>
          <w:tcPr>
            <w:tcW w:w="4064" w:type="pct"/>
            <w:tcBorders>
              <w:top w:val="single" w:sz="4" w:space="0" w:color="auto"/>
              <w:left w:val="single" w:sz="4" w:space="0" w:color="auto"/>
              <w:bottom w:val="single" w:sz="4" w:space="0" w:color="auto"/>
              <w:right w:val="single" w:sz="4" w:space="0" w:color="auto"/>
            </w:tcBorders>
            <w:vAlign w:val="center"/>
            <w:hideMark/>
          </w:tcPr>
          <w:p w14:paraId="1A37B161" w14:textId="77777777" w:rsidR="00EC05C4" w:rsidRPr="003B6D82" w:rsidRDefault="00EC05C4" w:rsidP="00DE3380">
            <w:pPr>
              <w:pStyle w:val="TableText0"/>
              <w:keepNext w:val="0"/>
              <w:keepLines w:val="0"/>
              <w:rPr>
                <w:iCs/>
              </w:rPr>
            </w:pPr>
            <w:r w:rsidRPr="003B6D82">
              <w:rPr>
                <w:iCs/>
              </w:rPr>
              <w:t>5% for costs and outcomes</w:t>
            </w:r>
          </w:p>
        </w:tc>
      </w:tr>
      <w:tr w:rsidR="00EC05C4" w:rsidRPr="003B6D82" w14:paraId="64805F4E" w14:textId="77777777" w:rsidTr="009C6396">
        <w:tc>
          <w:tcPr>
            <w:tcW w:w="936" w:type="pct"/>
            <w:tcBorders>
              <w:top w:val="single" w:sz="4" w:space="0" w:color="auto"/>
              <w:left w:val="single" w:sz="4" w:space="0" w:color="auto"/>
              <w:bottom w:val="single" w:sz="4" w:space="0" w:color="auto"/>
              <w:right w:val="single" w:sz="4" w:space="0" w:color="auto"/>
            </w:tcBorders>
            <w:vAlign w:val="center"/>
            <w:hideMark/>
          </w:tcPr>
          <w:p w14:paraId="41170642" w14:textId="77777777" w:rsidR="00EC05C4" w:rsidRPr="003B6D82" w:rsidRDefault="00EC05C4" w:rsidP="00DE3380">
            <w:pPr>
              <w:pStyle w:val="TableText0"/>
              <w:keepNext w:val="0"/>
              <w:keepLines w:val="0"/>
              <w:rPr>
                <w:rFonts w:eastAsia="Times New Roman" w:cs="Times New Roman"/>
                <w:iCs/>
                <w:szCs w:val="20"/>
              </w:rPr>
            </w:pPr>
            <w:r w:rsidRPr="003B6D82">
              <w:rPr>
                <w:iCs/>
              </w:rPr>
              <w:t>Software package</w:t>
            </w:r>
          </w:p>
        </w:tc>
        <w:tc>
          <w:tcPr>
            <w:tcW w:w="4064" w:type="pct"/>
            <w:tcBorders>
              <w:top w:val="single" w:sz="4" w:space="0" w:color="auto"/>
              <w:left w:val="single" w:sz="4" w:space="0" w:color="auto"/>
              <w:bottom w:val="single" w:sz="4" w:space="0" w:color="auto"/>
              <w:right w:val="single" w:sz="4" w:space="0" w:color="auto"/>
            </w:tcBorders>
            <w:vAlign w:val="center"/>
            <w:hideMark/>
          </w:tcPr>
          <w:p w14:paraId="2B57DB2F" w14:textId="77777777" w:rsidR="00EC05C4" w:rsidRPr="003B6D82" w:rsidRDefault="00EC05C4" w:rsidP="00DE3380">
            <w:pPr>
              <w:pStyle w:val="TableText0"/>
              <w:keepNext w:val="0"/>
              <w:keepLines w:val="0"/>
              <w:rPr>
                <w:iCs/>
              </w:rPr>
            </w:pPr>
            <w:r w:rsidRPr="003B6D82">
              <w:rPr>
                <w:iCs/>
              </w:rPr>
              <w:t>Microsoft Excel 365</w:t>
            </w:r>
          </w:p>
        </w:tc>
      </w:tr>
    </w:tbl>
    <w:p w14:paraId="2BD52D3F" w14:textId="77777777" w:rsidR="00EC05C4" w:rsidRPr="003B6D82" w:rsidRDefault="00EC05C4" w:rsidP="00DE3380">
      <w:pPr>
        <w:pStyle w:val="COMTablefooter"/>
        <w:widowControl w:val="0"/>
        <w:rPr>
          <w:iCs/>
        </w:rPr>
      </w:pPr>
      <w:r w:rsidRPr="003B6D82">
        <w:rPr>
          <w:iCs/>
        </w:rPr>
        <w:t>Source: Section 3, pp104-150 of the submission.</w:t>
      </w:r>
    </w:p>
    <w:p w14:paraId="2C3591AB" w14:textId="77777777" w:rsidR="00EC05C4" w:rsidRPr="003B6D82" w:rsidRDefault="00EC05C4" w:rsidP="00EC05C4">
      <w:pPr>
        <w:pStyle w:val="COMTablefooter"/>
        <w:rPr>
          <w:iCs/>
        </w:rPr>
      </w:pPr>
      <w:r w:rsidRPr="003B6D82">
        <w:rPr>
          <w:iCs/>
        </w:rPr>
        <w:t>Abbreviations: AR-DRG, Australian Refined Diagnosis Related Group; MBS, Medicare Benefits Schedule; MFSAF, Myelofibrosis Symptom Assessment Form; NBA, National Blood Authority; NHCDC, National Hospital Cost Data Collection; PBS, Pharmaceutical Benefits Scheme; QALY, quality-adjusted life year.</w:t>
      </w:r>
    </w:p>
    <w:p w14:paraId="1E222769" w14:textId="7F6F1BEB" w:rsidR="00EC05C4" w:rsidRPr="003B6D82" w:rsidRDefault="00EC05C4" w:rsidP="00F40844">
      <w:pPr>
        <w:pStyle w:val="COMexecsummnumbered"/>
        <w:numPr>
          <w:ilvl w:val="1"/>
          <w:numId w:val="3"/>
        </w:numPr>
        <w:rPr>
          <w:iCs/>
        </w:rPr>
      </w:pPr>
      <w:r w:rsidRPr="003B6D82">
        <w:rPr>
          <w:iCs/>
        </w:rPr>
        <w:t xml:space="preserve">The submission presented a cohort-level area under the curve model (the model structure is illustrated in </w:t>
      </w:r>
      <w:r w:rsidRPr="003B6D82">
        <w:rPr>
          <w:iCs/>
        </w:rPr>
        <w:fldChar w:fldCharType="begin" w:fldLock="1"/>
      </w:r>
      <w:r w:rsidRPr="003B6D82">
        <w:rPr>
          <w:iCs/>
        </w:rPr>
        <w:instrText xml:space="preserve"> REF _Ref191991818 \h </w:instrText>
      </w:r>
      <w:r w:rsidR="00A67212" w:rsidRPr="003B6D82">
        <w:rPr>
          <w:iCs/>
        </w:rPr>
        <w:instrText xml:space="preserve"> \* MERGEFORMAT </w:instrText>
      </w:r>
      <w:r w:rsidRPr="003B6D82">
        <w:rPr>
          <w:iCs/>
        </w:rPr>
      </w:r>
      <w:r w:rsidRPr="003B6D82">
        <w:rPr>
          <w:iCs/>
        </w:rPr>
        <w:fldChar w:fldCharType="separate"/>
      </w:r>
      <w:r w:rsidR="00A072A5" w:rsidRPr="003B6D82">
        <w:rPr>
          <w:iCs/>
        </w:rPr>
        <w:t xml:space="preserve">Figure </w:t>
      </w:r>
      <w:r w:rsidR="00A072A5">
        <w:rPr>
          <w:iCs/>
          <w:noProof/>
        </w:rPr>
        <w:t>1</w:t>
      </w:r>
      <w:r w:rsidRPr="003B6D82">
        <w:rPr>
          <w:iCs/>
        </w:rPr>
        <w:fldChar w:fldCharType="end"/>
      </w:r>
      <w:r w:rsidRPr="003B6D82">
        <w:rPr>
          <w:iCs/>
        </w:rPr>
        <w:t>). The submission did not adequately justify the computational methods used for the economic analysis.</w:t>
      </w:r>
    </w:p>
    <w:p w14:paraId="1F4EBC44" w14:textId="7D44C4E1" w:rsidR="00EC05C4" w:rsidRPr="003B6D82" w:rsidRDefault="00EC05C4" w:rsidP="00EC05C4">
      <w:pPr>
        <w:pStyle w:val="COMtablefigcaption"/>
        <w:rPr>
          <w:iCs/>
          <w:color w:val="3366FF"/>
        </w:rPr>
      </w:pPr>
      <w:bookmarkStart w:id="31" w:name="_Ref191991818"/>
      <w:r w:rsidRPr="003B6D82">
        <w:rPr>
          <w:iCs/>
        </w:rPr>
        <w:t xml:space="preserve">Figure </w:t>
      </w:r>
      <w:r w:rsidR="00B251ED" w:rsidRPr="003B6D82">
        <w:rPr>
          <w:iCs/>
        </w:rPr>
        <w:fldChar w:fldCharType="begin" w:fldLock="1"/>
      </w:r>
      <w:r w:rsidR="00B251ED" w:rsidRPr="003B6D82">
        <w:rPr>
          <w:iCs/>
        </w:rPr>
        <w:instrText xml:space="preserve"> SEQ Figure \* ARABIC </w:instrText>
      </w:r>
      <w:r w:rsidR="00B251ED" w:rsidRPr="003B6D82">
        <w:rPr>
          <w:iCs/>
        </w:rPr>
        <w:fldChar w:fldCharType="separate"/>
      </w:r>
      <w:r w:rsidR="00A072A5">
        <w:rPr>
          <w:iCs/>
          <w:noProof/>
        </w:rPr>
        <w:t>1</w:t>
      </w:r>
      <w:r w:rsidR="00B251ED" w:rsidRPr="003B6D82">
        <w:rPr>
          <w:iCs/>
          <w:noProof/>
        </w:rPr>
        <w:fldChar w:fldCharType="end"/>
      </w:r>
      <w:bookmarkEnd w:id="31"/>
      <w:r w:rsidRPr="003B6D82">
        <w:rPr>
          <w:iCs/>
        </w:rPr>
        <w:t>: Model structural overview</w:t>
      </w:r>
    </w:p>
    <w:p w14:paraId="2A993D5E" w14:textId="7580ADEE" w:rsidR="00EC05C4" w:rsidRPr="003B6D82" w:rsidRDefault="00EC05C4" w:rsidP="00FB51FF">
      <w:pPr>
        <w:pStyle w:val="COMBody"/>
        <w:keepNext/>
        <w:keepLines/>
        <w:rPr>
          <w:iCs/>
        </w:rPr>
      </w:pPr>
      <w:r w:rsidRPr="003B6D82">
        <w:rPr>
          <w:iCs/>
          <w:noProof/>
        </w:rPr>
        <w:drawing>
          <wp:inline distT="0" distB="0" distL="0" distR="0" wp14:anchorId="2AF85C7C" wp14:editId="0A86EEB8">
            <wp:extent cx="5732145" cy="3284855"/>
            <wp:effectExtent l="0" t="0" r="1905" b="0"/>
            <wp:docPr id="1081501221" name="Picture 3" descr="A graph showing the results of a respon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showing the results of a response&#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2145" cy="3284855"/>
                    </a:xfrm>
                    <a:prstGeom prst="rect">
                      <a:avLst/>
                    </a:prstGeom>
                    <a:noFill/>
                    <a:ln>
                      <a:noFill/>
                    </a:ln>
                  </pic:spPr>
                </pic:pic>
              </a:graphicData>
            </a:graphic>
          </wp:inline>
        </w:drawing>
      </w:r>
    </w:p>
    <w:p w14:paraId="53D40F9F" w14:textId="77777777" w:rsidR="00EC05C4" w:rsidRPr="003B6D82" w:rsidRDefault="00EC05C4" w:rsidP="00FB51FF">
      <w:pPr>
        <w:pStyle w:val="COMTablefooter"/>
        <w:keepNext/>
        <w:keepLines/>
        <w:rPr>
          <w:iCs/>
        </w:rPr>
      </w:pPr>
      <w:r w:rsidRPr="003B6D82">
        <w:rPr>
          <w:iCs/>
        </w:rPr>
        <w:t xml:space="preserve">Source: Constructed during the evaluation based on the </w:t>
      </w:r>
      <w:proofErr w:type="spellStart"/>
      <w:r w:rsidRPr="003B6D82">
        <w:rPr>
          <w:iCs/>
        </w:rPr>
        <w:t>fedratinib</w:t>
      </w:r>
      <w:proofErr w:type="spellEnd"/>
      <w:r w:rsidRPr="003B6D82">
        <w:rPr>
          <w:iCs/>
        </w:rPr>
        <w:t xml:space="preserve"> arm in ‘Attachment 11 – </w:t>
      </w:r>
      <w:proofErr w:type="spellStart"/>
      <w:r w:rsidRPr="003B6D82">
        <w:rPr>
          <w:iCs/>
        </w:rPr>
        <w:t>Fedratinib</w:t>
      </w:r>
      <w:proofErr w:type="spellEnd"/>
      <w:r w:rsidRPr="003B6D82">
        <w:rPr>
          <w:iCs/>
        </w:rPr>
        <w:t xml:space="preserve"> economic model’ spreadsheet provided with the submission.</w:t>
      </w:r>
    </w:p>
    <w:p w14:paraId="096823C0" w14:textId="77777777" w:rsidR="00EC05C4" w:rsidRPr="003B6D82" w:rsidRDefault="00EC05C4" w:rsidP="00EC05C4">
      <w:pPr>
        <w:pStyle w:val="COMTablefooter"/>
        <w:rPr>
          <w:iCs/>
        </w:rPr>
      </w:pPr>
      <w:r w:rsidRPr="003B6D82">
        <w:rPr>
          <w:iCs/>
        </w:rPr>
        <w:t>Abbreviations: TTD, time to treatment discontinuation</w:t>
      </w:r>
    </w:p>
    <w:p w14:paraId="7B30402F" w14:textId="09F6CE88" w:rsidR="00EC05C4" w:rsidRPr="003B6D82" w:rsidRDefault="00EC05C4" w:rsidP="00F40844">
      <w:pPr>
        <w:pStyle w:val="COMexecsummnumbered"/>
        <w:numPr>
          <w:ilvl w:val="1"/>
          <w:numId w:val="3"/>
        </w:numPr>
        <w:rPr>
          <w:iCs/>
        </w:rPr>
      </w:pPr>
      <w:r w:rsidRPr="003B6D82">
        <w:rPr>
          <w:iCs/>
        </w:rPr>
        <w:t xml:space="preserve">Modelled patients are retrospectively assigned to the response or non-response health states based on a response assessment at 24 weeks. The retrospective application of response assumed that response rates do not change over time and all </w:t>
      </w:r>
      <w:r w:rsidRPr="003B6D82">
        <w:rPr>
          <w:iCs/>
        </w:rPr>
        <w:lastRenderedPageBreak/>
        <w:t>responders must remain alive and on therapy for the first 24 weeks. After 24</w:t>
      </w:r>
      <w:r w:rsidR="00FB51FF">
        <w:rPr>
          <w:iCs/>
        </w:rPr>
        <w:t> </w:t>
      </w:r>
      <w:r w:rsidRPr="003B6D82">
        <w:rPr>
          <w:iCs/>
        </w:rPr>
        <w:t>weeks responders may remain on therapy with response, discontinue treatment or die. Patients assigned to the non-response state can discontinue treatment or die at any timepoint. Patients who discontinue therapy remain in the subsequent treatment state until death.</w:t>
      </w:r>
    </w:p>
    <w:p w14:paraId="051B3733" w14:textId="73936A0E" w:rsidR="00EC05C4" w:rsidRPr="003B6D82" w:rsidRDefault="00EC05C4" w:rsidP="00F40844">
      <w:pPr>
        <w:pStyle w:val="COMexecsummnumbered"/>
        <w:numPr>
          <w:ilvl w:val="1"/>
          <w:numId w:val="3"/>
        </w:numPr>
        <w:rPr>
          <w:iCs/>
        </w:rPr>
      </w:pPr>
      <w:r w:rsidRPr="003B6D82">
        <w:rPr>
          <w:iCs/>
        </w:rPr>
        <w:t xml:space="preserve">Key drivers of the economic model are summarised in </w:t>
      </w:r>
      <w:r w:rsidRPr="003B6D82">
        <w:rPr>
          <w:iCs/>
        </w:rPr>
        <w:fldChar w:fldCharType="begin" w:fldLock="1"/>
      </w:r>
      <w:r w:rsidRPr="003B6D82">
        <w:rPr>
          <w:iCs/>
        </w:rPr>
        <w:instrText xml:space="preserve"> REF _Ref191991849 \h </w:instrText>
      </w:r>
      <w:r w:rsidR="003B6D82">
        <w:rPr>
          <w:iCs/>
        </w:rPr>
        <w:instrText xml:space="preserve"> \* MERGEFORMAT </w:instrText>
      </w:r>
      <w:r w:rsidRPr="003B6D82">
        <w:rPr>
          <w:iCs/>
        </w:rPr>
      </w:r>
      <w:r w:rsidRPr="003B6D82">
        <w:rPr>
          <w:iCs/>
        </w:rPr>
        <w:fldChar w:fldCharType="separate"/>
      </w:r>
      <w:r w:rsidR="00A072A5" w:rsidRPr="003B6D82">
        <w:rPr>
          <w:iCs/>
        </w:rPr>
        <w:t xml:space="preserve">Table </w:t>
      </w:r>
      <w:r w:rsidR="00A072A5">
        <w:rPr>
          <w:iCs/>
          <w:noProof/>
        </w:rPr>
        <w:t>8</w:t>
      </w:r>
      <w:r w:rsidRPr="003B6D82">
        <w:rPr>
          <w:iCs/>
        </w:rPr>
        <w:fldChar w:fldCharType="end"/>
      </w:r>
      <w:r w:rsidRPr="003B6D82">
        <w:rPr>
          <w:iCs/>
        </w:rPr>
        <w:t>.</w:t>
      </w:r>
    </w:p>
    <w:p w14:paraId="00215734" w14:textId="74622979" w:rsidR="00EC05C4" w:rsidRPr="003B6D82" w:rsidRDefault="00EC05C4" w:rsidP="00FB51FF">
      <w:pPr>
        <w:pStyle w:val="COMtablefigcaption"/>
        <w:keepLines/>
        <w:spacing w:before="120"/>
        <w:rPr>
          <w:iCs/>
        </w:rPr>
      </w:pPr>
      <w:bookmarkStart w:id="32" w:name="_Ref191991849"/>
      <w:r w:rsidRPr="003B6D82">
        <w:rPr>
          <w:iCs/>
        </w:rPr>
        <w:t xml:space="preserve">Table </w:t>
      </w:r>
      <w:r w:rsidR="00B251ED" w:rsidRPr="003B6D82">
        <w:rPr>
          <w:iCs/>
        </w:rPr>
        <w:fldChar w:fldCharType="begin" w:fldLock="1"/>
      </w:r>
      <w:r w:rsidR="00B251ED" w:rsidRPr="003B6D82">
        <w:rPr>
          <w:iCs/>
        </w:rPr>
        <w:instrText xml:space="preserve"> SEQ Table \* ARABIC </w:instrText>
      </w:r>
      <w:r w:rsidR="00B251ED" w:rsidRPr="003B6D82">
        <w:rPr>
          <w:iCs/>
        </w:rPr>
        <w:fldChar w:fldCharType="separate"/>
      </w:r>
      <w:r w:rsidR="00A072A5">
        <w:rPr>
          <w:iCs/>
          <w:noProof/>
        </w:rPr>
        <w:t>8</w:t>
      </w:r>
      <w:r w:rsidR="00B251ED" w:rsidRPr="003B6D82">
        <w:rPr>
          <w:iCs/>
          <w:noProof/>
        </w:rPr>
        <w:fldChar w:fldCharType="end"/>
      </w:r>
      <w:bookmarkEnd w:id="32"/>
      <w:r w:rsidRPr="003B6D82">
        <w:rPr>
          <w:iCs/>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37"/>
        <w:gridCol w:w="6213"/>
        <w:gridCol w:w="1367"/>
      </w:tblGrid>
      <w:tr w:rsidR="00EC05C4" w:rsidRPr="003B6D82" w14:paraId="11E4C567" w14:textId="77777777" w:rsidTr="00EC05C4">
        <w:trPr>
          <w:tblHeader/>
        </w:trPr>
        <w:tc>
          <w:tcPr>
            <w:tcW w:w="797" w:type="pct"/>
            <w:tcBorders>
              <w:top w:val="single" w:sz="4" w:space="0" w:color="auto"/>
              <w:left w:val="single" w:sz="4" w:space="0" w:color="auto"/>
              <w:bottom w:val="single" w:sz="4" w:space="0" w:color="auto"/>
              <w:right w:val="single" w:sz="4" w:space="0" w:color="auto"/>
            </w:tcBorders>
            <w:vAlign w:val="center"/>
            <w:hideMark/>
          </w:tcPr>
          <w:p w14:paraId="1A1B17CC" w14:textId="77777777" w:rsidR="00EC05C4" w:rsidRPr="003B6D82" w:rsidRDefault="00EC05C4" w:rsidP="00FB51FF">
            <w:pPr>
              <w:pStyle w:val="COMTableheadingrow"/>
              <w:keepLines/>
              <w:jc w:val="center"/>
              <w:rPr>
                <w:iCs/>
                <w:lang w:val="en-AU"/>
              </w:rPr>
            </w:pPr>
            <w:r w:rsidRPr="003B6D82">
              <w:rPr>
                <w:iCs/>
                <w:lang w:val="en-AU"/>
              </w:rPr>
              <w:t>Description</w:t>
            </w:r>
          </w:p>
        </w:tc>
        <w:tc>
          <w:tcPr>
            <w:tcW w:w="3445" w:type="pct"/>
            <w:tcBorders>
              <w:top w:val="single" w:sz="4" w:space="0" w:color="auto"/>
              <w:left w:val="single" w:sz="4" w:space="0" w:color="auto"/>
              <w:bottom w:val="single" w:sz="4" w:space="0" w:color="auto"/>
              <w:right w:val="single" w:sz="4" w:space="0" w:color="auto"/>
            </w:tcBorders>
            <w:vAlign w:val="center"/>
            <w:hideMark/>
          </w:tcPr>
          <w:p w14:paraId="1C6C9F8A" w14:textId="77777777" w:rsidR="00EC05C4" w:rsidRPr="003B6D82" w:rsidRDefault="00EC05C4" w:rsidP="00FB51FF">
            <w:pPr>
              <w:pStyle w:val="COMTableheadingrow"/>
              <w:keepLines/>
              <w:jc w:val="center"/>
              <w:rPr>
                <w:iCs/>
                <w:lang w:val="en-AU"/>
              </w:rPr>
            </w:pPr>
            <w:r w:rsidRPr="003B6D82">
              <w:rPr>
                <w:iCs/>
                <w:lang w:val="en-AU"/>
              </w:rPr>
              <w:t>Method/Value</w:t>
            </w:r>
          </w:p>
        </w:tc>
        <w:tc>
          <w:tcPr>
            <w:tcW w:w="758" w:type="pct"/>
            <w:tcBorders>
              <w:top w:val="single" w:sz="4" w:space="0" w:color="auto"/>
              <w:left w:val="single" w:sz="4" w:space="0" w:color="auto"/>
              <w:bottom w:val="single" w:sz="4" w:space="0" w:color="auto"/>
              <w:right w:val="single" w:sz="4" w:space="0" w:color="auto"/>
            </w:tcBorders>
            <w:vAlign w:val="center"/>
            <w:hideMark/>
          </w:tcPr>
          <w:p w14:paraId="0E313C58" w14:textId="77777777" w:rsidR="00EC05C4" w:rsidRPr="003B6D82" w:rsidRDefault="00EC05C4" w:rsidP="00FB51FF">
            <w:pPr>
              <w:pStyle w:val="COMTableheadingrow"/>
              <w:keepLines/>
              <w:jc w:val="center"/>
              <w:rPr>
                <w:iCs/>
                <w:lang w:val="en-AU"/>
              </w:rPr>
            </w:pPr>
            <w:r w:rsidRPr="003B6D82">
              <w:rPr>
                <w:iCs/>
                <w:lang w:val="en-AU"/>
              </w:rPr>
              <w:t>Impact</w:t>
            </w:r>
          </w:p>
        </w:tc>
      </w:tr>
      <w:tr w:rsidR="00EC05C4" w:rsidRPr="003B6D82" w14:paraId="51E00DA0" w14:textId="77777777" w:rsidTr="00EC05C4">
        <w:tc>
          <w:tcPr>
            <w:tcW w:w="797" w:type="pct"/>
            <w:tcBorders>
              <w:top w:val="single" w:sz="4" w:space="0" w:color="auto"/>
              <w:left w:val="single" w:sz="4" w:space="0" w:color="auto"/>
              <w:bottom w:val="single" w:sz="4" w:space="0" w:color="auto"/>
              <w:right w:val="single" w:sz="4" w:space="0" w:color="auto"/>
            </w:tcBorders>
            <w:vAlign w:val="center"/>
            <w:hideMark/>
          </w:tcPr>
          <w:p w14:paraId="1075B432" w14:textId="77777777" w:rsidR="00EC05C4" w:rsidRPr="003B6D82" w:rsidRDefault="00EC05C4" w:rsidP="00FB51FF">
            <w:pPr>
              <w:pStyle w:val="COMTabletext"/>
              <w:keepLines/>
              <w:rPr>
                <w:iCs/>
              </w:rPr>
            </w:pPr>
            <w:r w:rsidRPr="003B6D82">
              <w:rPr>
                <w:iCs/>
              </w:rPr>
              <w:t>Treatment discontinuation</w:t>
            </w:r>
          </w:p>
        </w:tc>
        <w:tc>
          <w:tcPr>
            <w:tcW w:w="3445" w:type="pct"/>
            <w:tcBorders>
              <w:top w:val="single" w:sz="4" w:space="0" w:color="auto"/>
              <w:left w:val="single" w:sz="4" w:space="0" w:color="auto"/>
              <w:bottom w:val="single" w:sz="4" w:space="0" w:color="auto"/>
              <w:right w:val="single" w:sz="4" w:space="0" w:color="auto"/>
            </w:tcBorders>
            <w:vAlign w:val="center"/>
            <w:hideMark/>
          </w:tcPr>
          <w:p w14:paraId="0E8EA959" w14:textId="77777777" w:rsidR="00EC05C4" w:rsidRPr="003B6D82" w:rsidRDefault="00EC05C4" w:rsidP="00FB51FF">
            <w:pPr>
              <w:pStyle w:val="COMTabletext"/>
              <w:keepLines/>
              <w:spacing w:after="120"/>
              <w:rPr>
                <w:iCs/>
              </w:rPr>
            </w:pPr>
            <w:r w:rsidRPr="003B6D82">
              <w:rPr>
                <w:iCs/>
              </w:rPr>
              <w:t>The proportions of treatment responders/non-responders who discontinued therapy over time were based on the assumptions that treatment response states could not change over time and treatment responders could not die or discontinue treatment in the first 24 weeks of therapy. The submission claimed this was appropriate to ensure that the modelled proportion of responders at 24 weeks matched the data from the FREEDOM-2 trial.</w:t>
            </w:r>
          </w:p>
          <w:p w14:paraId="1203843E" w14:textId="77777777" w:rsidR="00EC05C4" w:rsidRPr="003B6D82" w:rsidRDefault="00EC05C4" w:rsidP="00FB51FF">
            <w:pPr>
              <w:pStyle w:val="COMTabletext"/>
              <w:keepLines/>
              <w:spacing w:after="120"/>
              <w:rPr>
                <w:iCs/>
              </w:rPr>
            </w:pPr>
            <w:r w:rsidRPr="003B6D82">
              <w:rPr>
                <w:iCs/>
              </w:rPr>
              <w:t xml:space="preserve">The submission used these assumptions to derive post hoc time to treatment discontinuation curves for treatment responders/non-responders based on the </w:t>
            </w:r>
            <w:proofErr w:type="spellStart"/>
            <w:r w:rsidRPr="003B6D82">
              <w:rPr>
                <w:iCs/>
              </w:rPr>
              <w:t>fedratinib</w:t>
            </w:r>
            <w:proofErr w:type="spellEnd"/>
            <w:r w:rsidRPr="003B6D82">
              <w:rPr>
                <w:iCs/>
              </w:rPr>
              <w:t xml:space="preserve"> treatment arm of the FREEDOM-2 trial. The submission claimed that it was appropriate to use the same curves for the best available therapy arm as the ability of patients to cross-over to </w:t>
            </w:r>
            <w:proofErr w:type="spellStart"/>
            <w:r w:rsidRPr="003B6D82">
              <w:rPr>
                <w:iCs/>
              </w:rPr>
              <w:t>fedratinib</w:t>
            </w:r>
            <w:proofErr w:type="spellEnd"/>
            <w:r w:rsidRPr="003B6D82">
              <w:rPr>
                <w:iCs/>
              </w:rPr>
              <w:t xml:space="preserve"> after disease progression or the end of the randomised period of the FREEDOM-2 trial (24 weeks) may have created an incentive to remain on therapy for longer than would be expected in clinical practice.</w:t>
            </w:r>
          </w:p>
          <w:p w14:paraId="2BF4E7E3" w14:textId="77777777" w:rsidR="00EC05C4" w:rsidRPr="003B6D82" w:rsidRDefault="00EC05C4" w:rsidP="00FB51FF">
            <w:pPr>
              <w:pStyle w:val="COMTabletext"/>
              <w:keepLines/>
              <w:spacing w:after="120"/>
              <w:rPr>
                <w:iCs/>
              </w:rPr>
            </w:pPr>
            <w:r w:rsidRPr="003B6D82">
              <w:rPr>
                <w:iCs/>
              </w:rPr>
              <w:t>The submission did not adequately justify the counterfactual assumptions used to model the best available therapy arm which resulted in a significantly larger proportion of patients discontinuing treatment over the first 24 weeks of the model than occurred in the FREEDOM-2 trial (50.4% versus 16.4%). The submission did not appear to consider other explanations for the observed treatment patterns in the trial. For example, in the absence of other treatment options patients may remain on existing therapies, particularly if they are demonstrating some clinical benefit as suggested by improved quality of life in both treatment responders and non-responders in the FREEDOM-2 trial.</w:t>
            </w:r>
          </w:p>
          <w:p w14:paraId="6D70AD21" w14:textId="77777777" w:rsidR="00EC05C4" w:rsidRPr="003B6D82" w:rsidRDefault="00EC05C4" w:rsidP="00FB51FF">
            <w:pPr>
              <w:pStyle w:val="COMTabletext"/>
              <w:keepLines/>
              <w:rPr>
                <w:iCs/>
              </w:rPr>
            </w:pPr>
            <w:r w:rsidRPr="003B6D82">
              <w:rPr>
                <w:iCs/>
              </w:rPr>
              <w:t xml:space="preserve">Treatment with </w:t>
            </w:r>
            <w:proofErr w:type="spellStart"/>
            <w:r w:rsidRPr="003B6D82">
              <w:rPr>
                <w:iCs/>
              </w:rPr>
              <w:t>fedratinib</w:t>
            </w:r>
            <w:proofErr w:type="spellEnd"/>
            <w:r w:rsidRPr="003B6D82">
              <w:rPr>
                <w:iCs/>
              </w:rPr>
              <w:t xml:space="preserve"> was associated with an inferior safety profile compared to best available therapy and therefore the circumstances of use from the </w:t>
            </w:r>
            <w:proofErr w:type="spellStart"/>
            <w:r w:rsidRPr="003B6D82">
              <w:rPr>
                <w:iCs/>
              </w:rPr>
              <w:t>fedratinib</w:t>
            </w:r>
            <w:proofErr w:type="spellEnd"/>
            <w:r w:rsidRPr="003B6D82">
              <w:rPr>
                <w:iCs/>
              </w:rPr>
              <w:t xml:space="preserve"> arm are unlikely to be generalisable to the best available therapy arm.</w:t>
            </w:r>
          </w:p>
        </w:tc>
        <w:tc>
          <w:tcPr>
            <w:tcW w:w="758" w:type="pct"/>
            <w:tcBorders>
              <w:top w:val="single" w:sz="4" w:space="0" w:color="auto"/>
              <w:left w:val="single" w:sz="4" w:space="0" w:color="auto"/>
              <w:bottom w:val="single" w:sz="4" w:space="0" w:color="auto"/>
              <w:right w:val="single" w:sz="4" w:space="0" w:color="auto"/>
            </w:tcBorders>
            <w:vAlign w:val="center"/>
            <w:hideMark/>
          </w:tcPr>
          <w:p w14:paraId="16AEB7A3" w14:textId="77777777" w:rsidR="00EC05C4" w:rsidRPr="003B6D82" w:rsidRDefault="00EC05C4" w:rsidP="00FB51FF">
            <w:pPr>
              <w:pStyle w:val="COMTabletext"/>
              <w:keepLines/>
              <w:jc w:val="center"/>
              <w:rPr>
                <w:iCs/>
              </w:rPr>
            </w:pPr>
            <w:r w:rsidRPr="003B6D82">
              <w:rPr>
                <w:iCs/>
              </w:rPr>
              <w:t>High,</w:t>
            </w:r>
          </w:p>
          <w:p w14:paraId="47C7AA60" w14:textId="77777777" w:rsidR="00EC05C4" w:rsidRPr="003B6D82" w:rsidRDefault="00EC05C4" w:rsidP="00FB51FF">
            <w:pPr>
              <w:pStyle w:val="COMTabletext"/>
              <w:keepLines/>
              <w:jc w:val="center"/>
              <w:rPr>
                <w:iCs/>
              </w:rPr>
            </w:pPr>
            <w:r w:rsidRPr="003B6D82">
              <w:rPr>
                <w:iCs/>
              </w:rPr>
              <w:t>direction unclear</w:t>
            </w:r>
          </w:p>
        </w:tc>
      </w:tr>
      <w:tr w:rsidR="00EC05C4" w:rsidRPr="003B6D82" w14:paraId="3499F71E" w14:textId="77777777" w:rsidTr="00EC05C4">
        <w:tc>
          <w:tcPr>
            <w:tcW w:w="797" w:type="pct"/>
            <w:tcBorders>
              <w:top w:val="single" w:sz="4" w:space="0" w:color="auto"/>
              <w:left w:val="single" w:sz="4" w:space="0" w:color="auto"/>
              <w:bottom w:val="single" w:sz="4" w:space="0" w:color="auto"/>
              <w:right w:val="single" w:sz="4" w:space="0" w:color="auto"/>
            </w:tcBorders>
            <w:vAlign w:val="center"/>
            <w:hideMark/>
          </w:tcPr>
          <w:p w14:paraId="1B778A6B" w14:textId="77777777" w:rsidR="00EC05C4" w:rsidRPr="003B6D82" w:rsidRDefault="00EC05C4">
            <w:pPr>
              <w:pStyle w:val="COMTabletext"/>
              <w:keepNext w:val="0"/>
              <w:rPr>
                <w:iCs/>
              </w:rPr>
            </w:pPr>
            <w:r w:rsidRPr="003B6D82">
              <w:rPr>
                <w:iCs/>
              </w:rPr>
              <w:t>Third-line therapy</w:t>
            </w:r>
          </w:p>
        </w:tc>
        <w:tc>
          <w:tcPr>
            <w:tcW w:w="3445" w:type="pct"/>
            <w:tcBorders>
              <w:top w:val="single" w:sz="4" w:space="0" w:color="auto"/>
              <w:left w:val="single" w:sz="4" w:space="0" w:color="auto"/>
              <w:bottom w:val="single" w:sz="4" w:space="0" w:color="auto"/>
              <w:right w:val="single" w:sz="4" w:space="0" w:color="auto"/>
            </w:tcBorders>
            <w:vAlign w:val="center"/>
            <w:hideMark/>
          </w:tcPr>
          <w:p w14:paraId="5405F5CC" w14:textId="072AE766" w:rsidR="00EC05C4" w:rsidRPr="003B6D82" w:rsidRDefault="00EC05C4">
            <w:pPr>
              <w:pStyle w:val="COMTabletext"/>
              <w:keepNext w:val="0"/>
              <w:spacing w:after="120"/>
              <w:rPr>
                <w:iCs/>
              </w:rPr>
            </w:pPr>
            <w:r w:rsidRPr="003B6D82">
              <w:rPr>
                <w:iCs/>
              </w:rPr>
              <w:t xml:space="preserve">It was assumed that patients previously treated with </w:t>
            </w:r>
            <w:proofErr w:type="spellStart"/>
            <w:r w:rsidRPr="003B6D82">
              <w:rPr>
                <w:iCs/>
              </w:rPr>
              <w:t>fedratinib</w:t>
            </w:r>
            <w:proofErr w:type="spellEnd"/>
            <w:r w:rsidRPr="003B6D82">
              <w:rPr>
                <w:iCs/>
              </w:rPr>
              <w:t xml:space="preserve"> would spend 36% of their remaining survival time using third-line therapies and 64% of time using supportive care. The submission claimed that these proportions were consistent with the proportion of time the modelled best available therapy arm spent in the second-line treatment states (1.1552 / 3.3497 life years; 34.5%) compared to the subsequent treatment state (2.1945 / 3.3497 life years; 65.5%). The relevance of these proportions to the likely time spent using third-line therapies after </w:t>
            </w:r>
            <w:proofErr w:type="spellStart"/>
            <w:r w:rsidRPr="003B6D82">
              <w:rPr>
                <w:iCs/>
              </w:rPr>
              <w:t>fedratinib</w:t>
            </w:r>
            <w:proofErr w:type="spellEnd"/>
            <w:r w:rsidRPr="003B6D82">
              <w:rPr>
                <w:iCs/>
              </w:rPr>
              <w:t xml:space="preserve"> was unclear. This approach assumed that these proportions remain constant regardless of prior therapy (treatment duration, line of therapy, type of therapy)</w:t>
            </w:r>
            <w:r w:rsidR="00223376" w:rsidRPr="003B6D82">
              <w:rPr>
                <w:iCs/>
              </w:rPr>
              <w:t>,</w:t>
            </w:r>
            <w:r w:rsidRPr="003B6D82">
              <w:rPr>
                <w:iCs/>
              </w:rPr>
              <w:t xml:space="preserve"> which may not be reasonable.</w:t>
            </w:r>
          </w:p>
          <w:p w14:paraId="03B38587" w14:textId="2F65F610" w:rsidR="00EC05C4" w:rsidRPr="003B6D82" w:rsidRDefault="00EC05C4">
            <w:pPr>
              <w:pStyle w:val="COMTabletext"/>
              <w:keepNext w:val="0"/>
              <w:spacing w:after="120"/>
              <w:rPr>
                <w:iCs/>
              </w:rPr>
            </w:pPr>
            <w:r w:rsidRPr="003B6D82">
              <w:rPr>
                <w:iCs/>
              </w:rPr>
              <w:t xml:space="preserve">It was assumed that only 15% of patients receiving third-line therapies would be treated with hydroxyurea, peginterferon alfa-2a or busulfan and no patients would receive treatment with </w:t>
            </w:r>
            <w:proofErr w:type="spellStart"/>
            <w:r w:rsidRPr="003B6D82">
              <w:rPr>
                <w:iCs/>
              </w:rPr>
              <w:t>ruxolitinib</w:t>
            </w:r>
            <w:proofErr w:type="spellEnd"/>
            <w:r w:rsidRPr="003B6D82">
              <w:rPr>
                <w:iCs/>
              </w:rPr>
              <w:t xml:space="preserve">. This assumption was not adequately justified and was inconsistent with data from the FREEDOM-2 trial which indicated that </w:t>
            </w:r>
            <w:proofErr w:type="spellStart"/>
            <w:r w:rsidRPr="003B6D82">
              <w:rPr>
                <w:iCs/>
              </w:rPr>
              <w:t>ruxolitinib</w:t>
            </w:r>
            <w:proofErr w:type="spellEnd"/>
            <w:r w:rsidRPr="003B6D82">
              <w:rPr>
                <w:iCs/>
              </w:rPr>
              <w:t xml:space="preserve"> was the active therapy most frequently used after </w:t>
            </w:r>
            <w:proofErr w:type="spellStart"/>
            <w:r w:rsidRPr="003B6D82">
              <w:rPr>
                <w:iCs/>
              </w:rPr>
              <w:t>fedratinib</w:t>
            </w:r>
            <w:proofErr w:type="spellEnd"/>
            <w:r w:rsidRPr="003B6D82">
              <w:rPr>
                <w:iCs/>
              </w:rPr>
              <w:t xml:space="preserve"> (82%</w:t>
            </w:r>
            <w:r w:rsidR="00DB3335" w:rsidRPr="003B6D82">
              <w:rPr>
                <w:iCs/>
              </w:rPr>
              <w:t>). The</w:t>
            </w:r>
            <w:r w:rsidR="00D5579D" w:rsidRPr="003B6D82">
              <w:rPr>
                <w:iCs/>
              </w:rPr>
              <w:t xml:space="preserve"> ESC considered the assumption was not </w:t>
            </w:r>
            <w:r w:rsidR="00DB3335" w:rsidRPr="003B6D82">
              <w:rPr>
                <w:iCs/>
              </w:rPr>
              <w:t>appropriate</w:t>
            </w:r>
            <w:r w:rsidR="00D5579D" w:rsidRPr="003B6D82">
              <w:rPr>
                <w:iCs/>
              </w:rPr>
              <w:t xml:space="preserve"> and did not align with the PBS listing</w:t>
            </w:r>
            <w:r w:rsidR="007521CE" w:rsidRPr="003B6D82">
              <w:rPr>
                <w:iCs/>
              </w:rPr>
              <w:t xml:space="preserve"> where the sponsor assumed </w:t>
            </w:r>
            <w:r w:rsidR="00DB3335" w:rsidRPr="003B6D82">
              <w:rPr>
                <w:iCs/>
              </w:rPr>
              <w:t xml:space="preserve">in the </w:t>
            </w:r>
            <w:proofErr w:type="spellStart"/>
            <w:r w:rsidR="00DB3335" w:rsidRPr="003B6D82">
              <w:rPr>
                <w:iCs/>
              </w:rPr>
              <w:t>fedratinib</w:t>
            </w:r>
            <w:proofErr w:type="spellEnd"/>
            <w:r w:rsidR="00DB3335" w:rsidRPr="003B6D82">
              <w:rPr>
                <w:iCs/>
              </w:rPr>
              <w:t xml:space="preserve"> arm </w:t>
            </w:r>
            <w:r w:rsidR="007521CE" w:rsidRPr="003B6D82">
              <w:rPr>
                <w:iCs/>
              </w:rPr>
              <w:t xml:space="preserve">patients </w:t>
            </w:r>
            <w:r w:rsidR="00DB3335" w:rsidRPr="003B6D82">
              <w:rPr>
                <w:iCs/>
              </w:rPr>
              <w:t xml:space="preserve">can </w:t>
            </w:r>
            <w:r w:rsidR="007521CE" w:rsidRPr="003B6D82">
              <w:rPr>
                <w:iCs/>
              </w:rPr>
              <w:t>access</w:t>
            </w:r>
            <w:r w:rsidR="00DB3335" w:rsidRPr="003B6D82">
              <w:rPr>
                <w:iCs/>
              </w:rPr>
              <w:t xml:space="preserve"> third-line </w:t>
            </w:r>
            <w:r w:rsidR="00DB3335" w:rsidRPr="003B6D82">
              <w:rPr>
                <w:iCs/>
              </w:rPr>
              <w:lastRenderedPageBreak/>
              <w:t xml:space="preserve">treatment, but patients in the </w:t>
            </w:r>
            <w:r w:rsidR="007521CE" w:rsidRPr="003B6D82">
              <w:rPr>
                <w:iCs/>
              </w:rPr>
              <w:t>best available therapy</w:t>
            </w:r>
            <w:r w:rsidR="00DB3335" w:rsidRPr="003B6D82">
              <w:rPr>
                <w:iCs/>
              </w:rPr>
              <w:t xml:space="preserve"> arm only receive supportive care.</w:t>
            </w:r>
          </w:p>
          <w:p w14:paraId="19164D88" w14:textId="77777777" w:rsidR="00EC05C4" w:rsidRPr="003B6D82" w:rsidRDefault="00EC05C4">
            <w:pPr>
              <w:pStyle w:val="COMTabletext"/>
              <w:keepNext w:val="0"/>
              <w:rPr>
                <w:iCs/>
              </w:rPr>
            </w:pPr>
            <w:r w:rsidRPr="003B6D82">
              <w:rPr>
                <w:iCs/>
              </w:rPr>
              <w:t xml:space="preserve">It was assumed that all patients receiving third-line therapies would have the same utility as second-line non-responders. The assumption was not appropriate given substantial differences in the therapies received in the </w:t>
            </w:r>
            <w:proofErr w:type="gramStart"/>
            <w:r w:rsidRPr="003B6D82">
              <w:rPr>
                <w:iCs/>
              </w:rPr>
              <w:t>second-line</w:t>
            </w:r>
            <w:proofErr w:type="gramEnd"/>
            <w:r w:rsidRPr="003B6D82">
              <w:rPr>
                <w:iCs/>
              </w:rPr>
              <w:t xml:space="preserve"> (77-100% treated with JAK inhibitors) and third-line settings (only 15% of patients treated with hydroxyurea, peginterferon alfa-2a or busulfan).</w:t>
            </w:r>
          </w:p>
        </w:tc>
        <w:tc>
          <w:tcPr>
            <w:tcW w:w="758" w:type="pct"/>
            <w:tcBorders>
              <w:top w:val="single" w:sz="4" w:space="0" w:color="auto"/>
              <w:left w:val="single" w:sz="4" w:space="0" w:color="auto"/>
              <w:bottom w:val="single" w:sz="4" w:space="0" w:color="auto"/>
              <w:right w:val="single" w:sz="4" w:space="0" w:color="auto"/>
            </w:tcBorders>
            <w:vAlign w:val="center"/>
            <w:hideMark/>
          </w:tcPr>
          <w:p w14:paraId="07A92ACF" w14:textId="77777777" w:rsidR="00EC05C4" w:rsidRPr="003B6D82" w:rsidRDefault="00EC05C4">
            <w:pPr>
              <w:pStyle w:val="COMTabletext"/>
              <w:keepNext w:val="0"/>
              <w:jc w:val="center"/>
              <w:rPr>
                <w:iCs/>
              </w:rPr>
            </w:pPr>
            <w:r w:rsidRPr="003B6D82">
              <w:rPr>
                <w:iCs/>
              </w:rPr>
              <w:lastRenderedPageBreak/>
              <w:t xml:space="preserve">High, </w:t>
            </w:r>
          </w:p>
          <w:p w14:paraId="7FDBF6DA" w14:textId="77777777" w:rsidR="00EC05C4" w:rsidRPr="003B6D82" w:rsidRDefault="00EC05C4">
            <w:pPr>
              <w:pStyle w:val="COMTabletext"/>
              <w:keepNext w:val="0"/>
              <w:jc w:val="center"/>
              <w:rPr>
                <w:iCs/>
              </w:rPr>
            </w:pPr>
            <w:r w:rsidRPr="003B6D82">
              <w:rPr>
                <w:iCs/>
              </w:rPr>
              <w:t xml:space="preserve">favours </w:t>
            </w:r>
            <w:proofErr w:type="spellStart"/>
            <w:r w:rsidRPr="003B6D82">
              <w:rPr>
                <w:iCs/>
              </w:rPr>
              <w:t>fedratinib</w:t>
            </w:r>
            <w:proofErr w:type="spellEnd"/>
          </w:p>
        </w:tc>
      </w:tr>
      <w:tr w:rsidR="00EC05C4" w:rsidRPr="003B6D82" w14:paraId="2BD92392" w14:textId="77777777" w:rsidTr="00EC05C4">
        <w:tc>
          <w:tcPr>
            <w:tcW w:w="797" w:type="pct"/>
            <w:tcBorders>
              <w:top w:val="single" w:sz="4" w:space="0" w:color="auto"/>
              <w:left w:val="single" w:sz="4" w:space="0" w:color="auto"/>
              <w:bottom w:val="single" w:sz="4" w:space="0" w:color="auto"/>
              <w:right w:val="single" w:sz="4" w:space="0" w:color="auto"/>
            </w:tcBorders>
            <w:vAlign w:val="center"/>
            <w:hideMark/>
          </w:tcPr>
          <w:p w14:paraId="11A9FF5C" w14:textId="77777777" w:rsidR="00EC05C4" w:rsidRPr="003B6D82" w:rsidRDefault="00EC05C4">
            <w:pPr>
              <w:pStyle w:val="COMTabletext"/>
              <w:keepNext w:val="0"/>
              <w:rPr>
                <w:iCs/>
              </w:rPr>
            </w:pPr>
            <w:r w:rsidRPr="003B6D82">
              <w:rPr>
                <w:iCs/>
              </w:rPr>
              <w:t>Adverse events</w:t>
            </w:r>
          </w:p>
        </w:tc>
        <w:tc>
          <w:tcPr>
            <w:tcW w:w="3445" w:type="pct"/>
            <w:tcBorders>
              <w:top w:val="single" w:sz="4" w:space="0" w:color="auto"/>
              <w:left w:val="single" w:sz="4" w:space="0" w:color="auto"/>
              <w:bottom w:val="single" w:sz="4" w:space="0" w:color="auto"/>
              <w:right w:val="single" w:sz="4" w:space="0" w:color="auto"/>
            </w:tcBorders>
            <w:vAlign w:val="center"/>
            <w:hideMark/>
          </w:tcPr>
          <w:p w14:paraId="41B62E82" w14:textId="77777777" w:rsidR="00EC05C4" w:rsidRPr="003B6D82" w:rsidRDefault="00EC05C4">
            <w:pPr>
              <w:pStyle w:val="COMTabletext"/>
              <w:spacing w:after="120"/>
              <w:rPr>
                <w:iCs/>
              </w:rPr>
            </w:pPr>
            <w:r w:rsidRPr="003B6D82">
              <w:rPr>
                <w:iCs/>
              </w:rPr>
              <w:t>Adverse events in each modelled arm were based on the exposure-adjusted incidence of severe adverse events that occurred in more than 2% of patients in either arm during the first 24 weeks of the FREEDOM-2 trial.</w:t>
            </w:r>
          </w:p>
          <w:p w14:paraId="05231303" w14:textId="77777777" w:rsidR="00EC05C4" w:rsidRPr="003B6D82" w:rsidRDefault="00EC05C4">
            <w:pPr>
              <w:pStyle w:val="COMTabletext"/>
              <w:spacing w:after="120"/>
              <w:rPr>
                <w:iCs/>
              </w:rPr>
            </w:pPr>
            <w:r w:rsidRPr="003B6D82">
              <w:rPr>
                <w:iCs/>
              </w:rPr>
              <w:t xml:space="preserve">The selection of severe adverse events used in the model was inconsistent, with some estimates based on individual events (e.g. anaemia), while other estimates were based on broad groups of events (e.g. renal and urinary disorders). In particular, the submission did not include the broad category of severe gastrointestinal disorders, which had a higher incidence in the </w:t>
            </w:r>
            <w:proofErr w:type="spellStart"/>
            <w:r w:rsidRPr="003B6D82">
              <w:rPr>
                <w:iCs/>
              </w:rPr>
              <w:t>fedratinib</w:t>
            </w:r>
            <w:proofErr w:type="spellEnd"/>
            <w:r w:rsidRPr="003B6D82">
              <w:rPr>
                <w:iCs/>
              </w:rPr>
              <w:t xml:space="preserve"> arm compared to best available therapy (incidence 8.2% versus 0% during the 24-week randomised period; exposure-adjusted incidence 11.58 versus 2.57 per 100 patient-years during the randomised and extension periods).</w:t>
            </w:r>
          </w:p>
          <w:p w14:paraId="2D9D0F24" w14:textId="77777777" w:rsidR="00EC05C4" w:rsidRPr="003B6D82" w:rsidRDefault="00EC05C4">
            <w:pPr>
              <w:pStyle w:val="COMTabletext"/>
              <w:keepNext w:val="0"/>
              <w:spacing w:after="120"/>
              <w:rPr>
                <w:iCs/>
              </w:rPr>
            </w:pPr>
            <w:r w:rsidRPr="003B6D82">
              <w:rPr>
                <w:iCs/>
              </w:rPr>
              <w:t>The use of an exposure-adjusted incidence rate may not be appropriate as it does not account for patients experiencing multiple events of the same type, which was likely to have occurred in the trial and would also be expected to occur in clinical practice.</w:t>
            </w:r>
          </w:p>
          <w:p w14:paraId="7D5AA2A1" w14:textId="77777777" w:rsidR="00EC05C4" w:rsidRPr="003B6D82" w:rsidRDefault="00EC05C4">
            <w:pPr>
              <w:pStyle w:val="COMTabletext"/>
              <w:keepNext w:val="0"/>
              <w:spacing w:after="120"/>
              <w:rPr>
                <w:iCs/>
              </w:rPr>
            </w:pPr>
            <w:r w:rsidRPr="003B6D82">
              <w:rPr>
                <w:iCs/>
              </w:rPr>
              <w:t xml:space="preserve">The </w:t>
            </w:r>
            <w:proofErr w:type="spellStart"/>
            <w:r w:rsidRPr="003B6D82">
              <w:rPr>
                <w:iCs/>
              </w:rPr>
              <w:t>disutilities</w:t>
            </w:r>
            <w:proofErr w:type="spellEnd"/>
            <w:r w:rsidRPr="003B6D82">
              <w:rPr>
                <w:iCs/>
              </w:rPr>
              <w:t xml:space="preserve"> associated with adverse events were based on various published sources, and estimated costs were based on the 2024-2025 National Weighted Activity Unit (NWAU) calculator. The submission did not adequately justify the mapping of </w:t>
            </w:r>
            <w:proofErr w:type="spellStart"/>
            <w:r w:rsidRPr="003B6D82">
              <w:rPr>
                <w:iCs/>
              </w:rPr>
              <w:t>disutilities</w:t>
            </w:r>
            <w:proofErr w:type="spellEnd"/>
            <w:r w:rsidRPr="003B6D82">
              <w:rPr>
                <w:iCs/>
              </w:rPr>
              <w:t xml:space="preserve"> and costs to specific events. The private hospital costs estimated using the NWAU calculator did not appear to be representative of the full costs of care.</w:t>
            </w:r>
          </w:p>
          <w:p w14:paraId="191DF06E" w14:textId="7675601B" w:rsidR="00EC05C4" w:rsidRPr="003B6D82" w:rsidRDefault="00EC05C4">
            <w:pPr>
              <w:pStyle w:val="COMTabletext"/>
              <w:keepNext w:val="0"/>
              <w:rPr>
                <w:iCs/>
              </w:rPr>
            </w:pPr>
            <w:r w:rsidRPr="003B6D82">
              <w:rPr>
                <w:iCs/>
              </w:rPr>
              <w:t xml:space="preserve">The submission did not estimate any costs associated with prophylaxis or treatment of non-severe gastrointestinal events. This was not appropriate given that gastrointestinal events were frequently associated with </w:t>
            </w:r>
            <w:proofErr w:type="spellStart"/>
            <w:r w:rsidRPr="003B6D82">
              <w:rPr>
                <w:iCs/>
              </w:rPr>
              <w:t>fedratinib</w:t>
            </w:r>
            <w:proofErr w:type="spellEnd"/>
            <w:r w:rsidRPr="003B6D82">
              <w:rPr>
                <w:iCs/>
              </w:rPr>
              <w:t xml:space="preserve"> in the FREEDOM-2 trial, with a substantial proportion of patients receiving concomitant antiemetics and antinauseants (50%, primarily ondansetron) as well as </w:t>
            </w:r>
            <w:proofErr w:type="spellStart"/>
            <w:r w:rsidRPr="003B6D82">
              <w:rPr>
                <w:iCs/>
              </w:rPr>
              <w:t>antipropulsive</w:t>
            </w:r>
            <w:proofErr w:type="spellEnd"/>
            <w:r w:rsidRPr="003B6D82">
              <w:rPr>
                <w:iCs/>
              </w:rPr>
              <w:t xml:space="preserve"> therapies (33.6%, primarily loperamide). Additionally, the product</w:t>
            </w:r>
            <w:r w:rsidR="00081E40" w:rsidRPr="003B6D82">
              <w:rPr>
                <w:iCs/>
              </w:rPr>
              <w:t xml:space="preserve"> </w:t>
            </w:r>
            <w:r w:rsidRPr="003B6D82">
              <w:rPr>
                <w:iCs/>
              </w:rPr>
              <w:t xml:space="preserve">information for </w:t>
            </w:r>
            <w:proofErr w:type="spellStart"/>
            <w:r w:rsidRPr="003B6D82">
              <w:rPr>
                <w:iCs/>
              </w:rPr>
              <w:t>fedratinib</w:t>
            </w:r>
            <w:proofErr w:type="spellEnd"/>
            <w:r w:rsidRPr="003B6D82">
              <w:rPr>
                <w:iCs/>
              </w:rPr>
              <w:t xml:space="preserve"> also recommends the use prophylactic antiemetic therapy (with 5-HT3 antagonists) as well as prompt treatment of diarrhoea at the first onset of symptoms.</w:t>
            </w:r>
          </w:p>
        </w:tc>
        <w:tc>
          <w:tcPr>
            <w:tcW w:w="758" w:type="pct"/>
            <w:tcBorders>
              <w:top w:val="single" w:sz="4" w:space="0" w:color="auto"/>
              <w:left w:val="single" w:sz="4" w:space="0" w:color="auto"/>
              <w:bottom w:val="single" w:sz="4" w:space="0" w:color="auto"/>
              <w:right w:val="single" w:sz="4" w:space="0" w:color="auto"/>
            </w:tcBorders>
            <w:vAlign w:val="center"/>
            <w:hideMark/>
          </w:tcPr>
          <w:p w14:paraId="2C9D5BD7" w14:textId="77777777" w:rsidR="00EC05C4" w:rsidRPr="003B6D82" w:rsidRDefault="00EC05C4">
            <w:pPr>
              <w:pStyle w:val="COMTabletext"/>
              <w:keepNext w:val="0"/>
              <w:jc w:val="center"/>
              <w:rPr>
                <w:iCs/>
              </w:rPr>
            </w:pPr>
            <w:r w:rsidRPr="003B6D82">
              <w:rPr>
                <w:iCs/>
              </w:rPr>
              <w:t xml:space="preserve">Moderate, favours </w:t>
            </w:r>
            <w:proofErr w:type="spellStart"/>
            <w:r w:rsidRPr="003B6D82">
              <w:rPr>
                <w:iCs/>
              </w:rPr>
              <w:t>fedratinib</w:t>
            </w:r>
            <w:proofErr w:type="spellEnd"/>
          </w:p>
        </w:tc>
      </w:tr>
      <w:tr w:rsidR="00EC05C4" w:rsidRPr="003B6D82" w14:paraId="75614382" w14:textId="77777777" w:rsidTr="00EC05C4">
        <w:tc>
          <w:tcPr>
            <w:tcW w:w="797" w:type="pct"/>
            <w:tcBorders>
              <w:top w:val="single" w:sz="4" w:space="0" w:color="auto"/>
              <w:left w:val="single" w:sz="4" w:space="0" w:color="auto"/>
              <w:bottom w:val="single" w:sz="4" w:space="0" w:color="auto"/>
              <w:right w:val="single" w:sz="4" w:space="0" w:color="auto"/>
            </w:tcBorders>
            <w:vAlign w:val="center"/>
            <w:hideMark/>
          </w:tcPr>
          <w:p w14:paraId="4436510F" w14:textId="77777777" w:rsidR="00EC05C4" w:rsidRPr="003B6D82" w:rsidRDefault="00EC05C4">
            <w:pPr>
              <w:pStyle w:val="COMTabletext"/>
              <w:keepNext w:val="0"/>
              <w:rPr>
                <w:iCs/>
              </w:rPr>
            </w:pPr>
            <w:r w:rsidRPr="003B6D82">
              <w:rPr>
                <w:iCs/>
              </w:rPr>
              <w:t>Hospital overnight stays</w:t>
            </w:r>
          </w:p>
        </w:tc>
        <w:tc>
          <w:tcPr>
            <w:tcW w:w="3445" w:type="pct"/>
            <w:tcBorders>
              <w:top w:val="single" w:sz="4" w:space="0" w:color="auto"/>
              <w:left w:val="single" w:sz="4" w:space="0" w:color="auto"/>
              <w:bottom w:val="single" w:sz="4" w:space="0" w:color="auto"/>
              <w:right w:val="single" w:sz="4" w:space="0" w:color="auto"/>
            </w:tcBorders>
            <w:vAlign w:val="center"/>
            <w:hideMark/>
          </w:tcPr>
          <w:p w14:paraId="72D08F0D" w14:textId="77777777" w:rsidR="00EC05C4" w:rsidRPr="003B6D82" w:rsidRDefault="00EC05C4">
            <w:pPr>
              <w:pStyle w:val="COMTabletext"/>
              <w:keepNext w:val="0"/>
              <w:spacing w:after="120"/>
              <w:rPr>
                <w:iCs/>
              </w:rPr>
            </w:pPr>
            <w:r w:rsidRPr="003B6D82">
              <w:rPr>
                <w:iCs/>
              </w:rPr>
              <w:t xml:space="preserve">The estimated number of hospital nights for myelofibrosis patients who were not using a JAK inhibitor was estimated based on a retrospective audit of 93 myelofibrosis patients from two UK cancer networks between September 2004 and August 2010 (prior to the introduction of </w:t>
            </w:r>
            <w:proofErr w:type="spellStart"/>
            <w:r w:rsidRPr="003B6D82">
              <w:rPr>
                <w:iCs/>
              </w:rPr>
              <w:t>ruxolitinib</w:t>
            </w:r>
            <w:proofErr w:type="spellEnd"/>
            <w:r w:rsidRPr="003B6D82">
              <w:rPr>
                <w:iCs/>
              </w:rPr>
              <w:t>).</w:t>
            </w:r>
          </w:p>
          <w:p w14:paraId="460CE76C" w14:textId="77777777" w:rsidR="00EC05C4" w:rsidRPr="003B6D82" w:rsidRDefault="00EC05C4">
            <w:pPr>
              <w:pStyle w:val="COMTabletext"/>
              <w:keepNext w:val="0"/>
              <w:spacing w:after="120"/>
              <w:rPr>
                <w:iCs/>
              </w:rPr>
            </w:pPr>
            <w:r w:rsidRPr="003B6D82">
              <w:rPr>
                <w:iCs/>
              </w:rPr>
              <w:t xml:space="preserve">Reductions in hospital nights associated with using a JAK inhibitor were based on the JUMP study, a Phase 3 single arm expanded access study of 1,144 patients using </w:t>
            </w:r>
            <w:proofErr w:type="spellStart"/>
            <w:r w:rsidRPr="003B6D82">
              <w:rPr>
                <w:iCs/>
              </w:rPr>
              <w:t>ruxolitinib</w:t>
            </w:r>
            <w:proofErr w:type="spellEnd"/>
            <w:r w:rsidRPr="003B6D82">
              <w:rPr>
                <w:iCs/>
              </w:rPr>
              <w:t xml:space="preserve"> for the management of myelofibrosis. </w:t>
            </w:r>
          </w:p>
          <w:p w14:paraId="78170441" w14:textId="77777777" w:rsidR="00EC05C4" w:rsidRPr="003B6D82" w:rsidRDefault="00EC05C4">
            <w:pPr>
              <w:pStyle w:val="COMTabletext"/>
              <w:keepNext w:val="0"/>
              <w:rPr>
                <w:iCs/>
              </w:rPr>
            </w:pPr>
            <w:r w:rsidRPr="003B6D82">
              <w:rPr>
                <w:iCs/>
              </w:rPr>
              <w:t xml:space="preserve">The cost of each individual hospital night was estimated as a separate hospitalisation episode based on AR-DRG items X63A/B (sequalae of treatment). This was inappropriate as it does not account for the average length of stay for these items, which include multiple days in hospital (5.1 days for X63A and 1.7 days for X63B). An example of the consequences of this approach can be seen in patients not using a JAK inhibitor, with the original NICE submission noting that patients </w:t>
            </w:r>
            <w:r w:rsidRPr="003B6D82">
              <w:rPr>
                <w:iCs/>
              </w:rPr>
              <w:lastRenderedPageBreak/>
              <w:t>spent on average 7.98 nights in hospital per year while the current submission estimated costs based on patients spending 21 days in hospital per year.</w:t>
            </w:r>
          </w:p>
        </w:tc>
        <w:tc>
          <w:tcPr>
            <w:tcW w:w="758" w:type="pct"/>
            <w:tcBorders>
              <w:top w:val="single" w:sz="4" w:space="0" w:color="auto"/>
              <w:left w:val="single" w:sz="4" w:space="0" w:color="auto"/>
              <w:bottom w:val="single" w:sz="4" w:space="0" w:color="auto"/>
              <w:right w:val="single" w:sz="4" w:space="0" w:color="auto"/>
            </w:tcBorders>
            <w:vAlign w:val="center"/>
            <w:hideMark/>
          </w:tcPr>
          <w:p w14:paraId="260B32A4" w14:textId="77777777" w:rsidR="00EC05C4" w:rsidRPr="003B6D82" w:rsidRDefault="00EC05C4">
            <w:pPr>
              <w:pStyle w:val="COMTabletext"/>
              <w:keepNext w:val="0"/>
              <w:jc w:val="center"/>
              <w:rPr>
                <w:iCs/>
              </w:rPr>
            </w:pPr>
            <w:r w:rsidRPr="003B6D82">
              <w:rPr>
                <w:iCs/>
              </w:rPr>
              <w:lastRenderedPageBreak/>
              <w:t xml:space="preserve">High, </w:t>
            </w:r>
          </w:p>
          <w:p w14:paraId="16A28F54" w14:textId="77777777" w:rsidR="00EC05C4" w:rsidRPr="003B6D82" w:rsidRDefault="00EC05C4">
            <w:pPr>
              <w:pStyle w:val="COMTabletext"/>
              <w:keepNext w:val="0"/>
              <w:jc w:val="center"/>
              <w:rPr>
                <w:iCs/>
              </w:rPr>
            </w:pPr>
            <w:r w:rsidRPr="003B6D82">
              <w:rPr>
                <w:iCs/>
              </w:rPr>
              <w:t xml:space="preserve">favours </w:t>
            </w:r>
            <w:proofErr w:type="spellStart"/>
            <w:r w:rsidRPr="003B6D82">
              <w:rPr>
                <w:iCs/>
              </w:rPr>
              <w:t>fedratinib</w:t>
            </w:r>
            <w:proofErr w:type="spellEnd"/>
          </w:p>
        </w:tc>
      </w:tr>
      <w:tr w:rsidR="00EC05C4" w:rsidRPr="003B6D82" w14:paraId="01DD0138" w14:textId="77777777" w:rsidTr="00EC05C4">
        <w:tc>
          <w:tcPr>
            <w:tcW w:w="797" w:type="pct"/>
            <w:tcBorders>
              <w:top w:val="single" w:sz="4" w:space="0" w:color="auto"/>
              <w:left w:val="single" w:sz="4" w:space="0" w:color="auto"/>
              <w:bottom w:val="single" w:sz="4" w:space="0" w:color="auto"/>
              <w:right w:val="single" w:sz="4" w:space="0" w:color="auto"/>
            </w:tcBorders>
            <w:vAlign w:val="center"/>
            <w:hideMark/>
          </w:tcPr>
          <w:p w14:paraId="2F67C2B2" w14:textId="77777777" w:rsidR="00EC05C4" w:rsidRPr="003B6D82" w:rsidRDefault="00EC05C4">
            <w:pPr>
              <w:pStyle w:val="COMTabletext"/>
              <w:keepNext w:val="0"/>
              <w:rPr>
                <w:iCs/>
              </w:rPr>
            </w:pPr>
            <w:proofErr w:type="spellStart"/>
            <w:r w:rsidRPr="003B6D82">
              <w:rPr>
                <w:iCs/>
              </w:rPr>
              <w:t>Ruxolitinib</w:t>
            </w:r>
            <w:proofErr w:type="spellEnd"/>
            <w:r w:rsidRPr="003B6D82">
              <w:rPr>
                <w:iCs/>
              </w:rPr>
              <w:t xml:space="preserve"> drug cost</w:t>
            </w:r>
          </w:p>
        </w:tc>
        <w:tc>
          <w:tcPr>
            <w:tcW w:w="3445" w:type="pct"/>
            <w:tcBorders>
              <w:top w:val="single" w:sz="4" w:space="0" w:color="auto"/>
              <w:left w:val="single" w:sz="4" w:space="0" w:color="auto"/>
              <w:bottom w:val="single" w:sz="4" w:space="0" w:color="auto"/>
              <w:right w:val="single" w:sz="4" w:space="0" w:color="auto"/>
            </w:tcBorders>
            <w:vAlign w:val="center"/>
            <w:hideMark/>
          </w:tcPr>
          <w:p w14:paraId="3AA4F2DE" w14:textId="77777777" w:rsidR="00EC05C4" w:rsidRPr="003B6D82" w:rsidRDefault="00EC05C4">
            <w:pPr>
              <w:pStyle w:val="TableText0"/>
              <w:keepNext w:val="0"/>
              <w:rPr>
                <w:iCs/>
              </w:rPr>
            </w:pPr>
            <w:r w:rsidRPr="003B6D82">
              <w:rPr>
                <w:iCs/>
              </w:rPr>
              <w:t xml:space="preserve">The submission noted the current PBS listing of </w:t>
            </w:r>
            <w:proofErr w:type="spellStart"/>
            <w:r w:rsidRPr="003B6D82">
              <w:rPr>
                <w:iCs/>
              </w:rPr>
              <w:t>ruxolitinib</w:t>
            </w:r>
            <w:proofErr w:type="spellEnd"/>
            <w:r w:rsidRPr="003B6D82">
              <w:rPr>
                <w:iCs/>
              </w:rPr>
              <w:t xml:space="preserve"> for myelofibrosis is subject to a special pricing arrangement. The submission estimated an effective price assuming a 30% rebate on the published AEMP for </w:t>
            </w:r>
            <w:proofErr w:type="spellStart"/>
            <w:r w:rsidRPr="003B6D82">
              <w:rPr>
                <w:iCs/>
              </w:rPr>
              <w:t>ruxolitinib</w:t>
            </w:r>
            <w:proofErr w:type="spellEnd"/>
            <w:r w:rsidRPr="003B6D82">
              <w:rPr>
                <w:iCs/>
              </w:rPr>
              <w:t xml:space="preserve">. The submission assumed that all </w:t>
            </w:r>
            <w:proofErr w:type="spellStart"/>
            <w:r w:rsidRPr="003B6D82">
              <w:rPr>
                <w:iCs/>
              </w:rPr>
              <w:t>ruxolitinib</w:t>
            </w:r>
            <w:proofErr w:type="spellEnd"/>
            <w:r w:rsidRPr="003B6D82">
              <w:rPr>
                <w:iCs/>
              </w:rPr>
              <w:t xml:space="preserve"> dose strengths had the same cost and patients would only require 1 pack per cycle. While the published price appears the same across </w:t>
            </w:r>
            <w:proofErr w:type="spellStart"/>
            <w:r w:rsidRPr="003B6D82">
              <w:rPr>
                <w:iCs/>
              </w:rPr>
              <w:t>ruxolitinib</w:t>
            </w:r>
            <w:proofErr w:type="spellEnd"/>
            <w:r w:rsidRPr="003B6D82">
              <w:rPr>
                <w:iCs/>
              </w:rPr>
              <w:t xml:space="preserve"> dose strengths, the dispensed quantity varies between dose strengths, with 2 packs of the 5 mg dose dispensed for the same price as 1 pack of the 10 mg, 15 mg and 20 mg dose strengths. Additionally, a small number of patients may require 2 packs per cycle to achieve the maximum recommended dose of 25 mg twice daily.</w:t>
            </w:r>
          </w:p>
        </w:tc>
        <w:tc>
          <w:tcPr>
            <w:tcW w:w="758" w:type="pct"/>
            <w:tcBorders>
              <w:top w:val="single" w:sz="4" w:space="0" w:color="auto"/>
              <w:left w:val="single" w:sz="4" w:space="0" w:color="auto"/>
              <w:bottom w:val="single" w:sz="4" w:space="0" w:color="auto"/>
              <w:right w:val="single" w:sz="4" w:space="0" w:color="auto"/>
            </w:tcBorders>
            <w:vAlign w:val="center"/>
            <w:hideMark/>
          </w:tcPr>
          <w:p w14:paraId="6505FE12" w14:textId="77777777" w:rsidR="00EC05C4" w:rsidRPr="003B6D82" w:rsidRDefault="00EC05C4">
            <w:pPr>
              <w:pStyle w:val="TableText0"/>
              <w:keepNext w:val="0"/>
              <w:jc w:val="center"/>
              <w:rPr>
                <w:iCs/>
              </w:rPr>
            </w:pPr>
            <w:r w:rsidRPr="003B6D82">
              <w:rPr>
                <w:iCs/>
              </w:rPr>
              <w:t>High,</w:t>
            </w:r>
          </w:p>
          <w:p w14:paraId="31F0E70F" w14:textId="77777777" w:rsidR="00EC05C4" w:rsidRPr="003B6D82" w:rsidRDefault="00EC05C4">
            <w:pPr>
              <w:pStyle w:val="TableText0"/>
              <w:keepNext w:val="0"/>
              <w:jc w:val="center"/>
              <w:rPr>
                <w:iCs/>
              </w:rPr>
            </w:pPr>
            <w:r w:rsidRPr="003B6D82">
              <w:rPr>
                <w:iCs/>
              </w:rPr>
              <w:t xml:space="preserve">favours </w:t>
            </w:r>
            <w:proofErr w:type="spellStart"/>
            <w:r w:rsidRPr="003B6D82">
              <w:rPr>
                <w:iCs/>
              </w:rPr>
              <w:t>fedratinib</w:t>
            </w:r>
            <w:proofErr w:type="spellEnd"/>
          </w:p>
        </w:tc>
      </w:tr>
    </w:tbl>
    <w:p w14:paraId="168481DC" w14:textId="77777777" w:rsidR="00EC05C4" w:rsidRPr="003B6D82" w:rsidRDefault="00EC05C4" w:rsidP="00EC05C4">
      <w:pPr>
        <w:pStyle w:val="COMTablefooter"/>
        <w:rPr>
          <w:iCs/>
        </w:rPr>
      </w:pPr>
      <w:r w:rsidRPr="003B6D82">
        <w:rPr>
          <w:iCs/>
        </w:rPr>
        <w:t>Source: Constructed during the evaluation.</w:t>
      </w:r>
    </w:p>
    <w:p w14:paraId="74769775" w14:textId="77777777" w:rsidR="00EC05C4" w:rsidRPr="003B6D82" w:rsidRDefault="00EC05C4" w:rsidP="00EC05C4">
      <w:pPr>
        <w:pStyle w:val="COMTablefooter"/>
        <w:rPr>
          <w:iCs/>
        </w:rPr>
      </w:pPr>
      <w:r w:rsidRPr="003B6D82">
        <w:rPr>
          <w:iCs/>
        </w:rPr>
        <w:t>Abbreviations: AR-DRG, Australian Refined Diagnosis Related Group; JAK, Janus kinase; NICE, National Institute for Health and Care Excellence; NWAU, National Weighted Activity Unit; PBS, Pharmaceutical Benefits Scheme.</w:t>
      </w:r>
    </w:p>
    <w:p w14:paraId="36CEA25A" w14:textId="0670E03C" w:rsidR="00456FA6" w:rsidRPr="000959C6" w:rsidRDefault="00EC05C4" w:rsidP="000959C6">
      <w:pPr>
        <w:pStyle w:val="COMexecsummnumbered"/>
        <w:numPr>
          <w:ilvl w:val="1"/>
          <w:numId w:val="3"/>
        </w:numPr>
        <w:rPr>
          <w:iCs/>
        </w:rPr>
      </w:pPr>
      <w:r w:rsidRPr="003B6D82">
        <w:rPr>
          <w:iCs/>
        </w:rPr>
        <w:t xml:space="preserve">A comparison of treatment discontinuations and severe adverse events reported in the first 24 weeks of the FREEDOM-2 trial compared to the first 24 weeks of the model is presented in </w:t>
      </w:r>
      <w:r w:rsidRPr="003B6D82">
        <w:rPr>
          <w:iCs/>
        </w:rPr>
        <w:fldChar w:fldCharType="begin" w:fldLock="1"/>
      </w:r>
      <w:r w:rsidRPr="003B6D82">
        <w:rPr>
          <w:iCs/>
        </w:rPr>
        <w:instrText xml:space="preserve"> REF _Ref191991897 \h </w:instrText>
      </w:r>
      <w:r w:rsidR="003B6D82">
        <w:rPr>
          <w:iCs/>
        </w:rPr>
        <w:instrText xml:space="preserve"> \* MERGEFORMAT </w:instrText>
      </w:r>
      <w:r w:rsidRPr="003B6D82">
        <w:rPr>
          <w:iCs/>
        </w:rPr>
      </w:r>
      <w:r w:rsidRPr="003B6D82">
        <w:rPr>
          <w:iCs/>
        </w:rPr>
        <w:fldChar w:fldCharType="separate"/>
      </w:r>
      <w:r w:rsidR="00A072A5" w:rsidRPr="003B6D82">
        <w:rPr>
          <w:iCs/>
        </w:rPr>
        <w:t xml:space="preserve">Figure </w:t>
      </w:r>
      <w:r w:rsidR="00A072A5">
        <w:rPr>
          <w:iCs/>
          <w:noProof/>
        </w:rPr>
        <w:t>2</w:t>
      </w:r>
      <w:r w:rsidRPr="003B6D82">
        <w:rPr>
          <w:iCs/>
        </w:rPr>
        <w:fldChar w:fldCharType="end"/>
      </w:r>
      <w:r w:rsidRPr="003B6D82">
        <w:rPr>
          <w:iCs/>
        </w:rPr>
        <w:t>.</w:t>
      </w:r>
      <w:r w:rsidR="00456FA6">
        <w:rPr>
          <w:iCs/>
        </w:rPr>
        <w:t xml:space="preserve"> </w:t>
      </w:r>
    </w:p>
    <w:p w14:paraId="246E8F6F" w14:textId="1C86A8B1" w:rsidR="00EC05C4" w:rsidRPr="003B6D82" w:rsidRDefault="00EC05C4" w:rsidP="000959C6">
      <w:pPr>
        <w:pStyle w:val="COMtablefigcaption"/>
        <w:keepLines/>
        <w:rPr>
          <w:iCs/>
        </w:rPr>
      </w:pPr>
      <w:bookmarkStart w:id="33" w:name="_Ref191991897"/>
      <w:r w:rsidRPr="003B6D82">
        <w:rPr>
          <w:iCs/>
        </w:rPr>
        <w:lastRenderedPageBreak/>
        <w:t xml:space="preserve">Figure </w:t>
      </w:r>
      <w:r w:rsidR="00B251ED" w:rsidRPr="003B6D82">
        <w:rPr>
          <w:iCs/>
        </w:rPr>
        <w:fldChar w:fldCharType="begin" w:fldLock="1"/>
      </w:r>
      <w:r w:rsidR="00B251ED" w:rsidRPr="003B6D82">
        <w:rPr>
          <w:iCs/>
        </w:rPr>
        <w:instrText xml:space="preserve"> SEQ Figure \* ARABIC </w:instrText>
      </w:r>
      <w:r w:rsidR="00B251ED" w:rsidRPr="003B6D82">
        <w:rPr>
          <w:iCs/>
        </w:rPr>
        <w:fldChar w:fldCharType="separate"/>
      </w:r>
      <w:r w:rsidR="00A072A5">
        <w:rPr>
          <w:iCs/>
          <w:noProof/>
        </w:rPr>
        <w:t>2</w:t>
      </w:r>
      <w:r w:rsidR="00B251ED" w:rsidRPr="003B6D82">
        <w:rPr>
          <w:iCs/>
          <w:noProof/>
        </w:rPr>
        <w:fldChar w:fldCharType="end"/>
      </w:r>
      <w:bookmarkEnd w:id="33"/>
      <w:r w:rsidRPr="003B6D82">
        <w:rPr>
          <w:iCs/>
        </w:rPr>
        <w:t>: Observed versus modelled treatment discontinuations and severe adverse events over 24 weeks</w:t>
      </w:r>
    </w:p>
    <w:p w14:paraId="40814A86" w14:textId="44DA5928" w:rsidR="00EC05C4" w:rsidRDefault="00EC05C4" w:rsidP="000959C6">
      <w:pPr>
        <w:pStyle w:val="COMtablefigcaption"/>
        <w:keepLines/>
        <w:rPr>
          <w:iCs/>
        </w:rPr>
      </w:pPr>
      <w:r w:rsidRPr="003B6D82">
        <w:rPr>
          <w:iCs/>
          <w:noProof/>
        </w:rPr>
        <w:drawing>
          <wp:inline distT="0" distB="0" distL="0" distR="0" wp14:anchorId="1500C935" wp14:editId="5DBC5D1E">
            <wp:extent cx="5686425" cy="3657600"/>
            <wp:effectExtent l="0" t="0" r="0" b="0"/>
            <wp:docPr id="319097681" name="Picture 2" descr="A graph of a number of patie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graph of a number of patient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6425" cy="3657600"/>
                    </a:xfrm>
                    <a:prstGeom prst="rect">
                      <a:avLst/>
                    </a:prstGeom>
                    <a:noFill/>
                    <a:ln>
                      <a:noFill/>
                    </a:ln>
                  </pic:spPr>
                </pic:pic>
              </a:graphicData>
            </a:graphic>
          </wp:inline>
        </w:drawing>
      </w:r>
    </w:p>
    <w:p w14:paraId="3464024A" w14:textId="77777777" w:rsidR="00456FA6" w:rsidRPr="000959C6" w:rsidRDefault="00456FA6" w:rsidP="000959C6">
      <w:pPr>
        <w:pStyle w:val="COMTableheadingrow"/>
        <w:keepLines/>
        <w:rPr>
          <w:sz w:val="16"/>
          <w:szCs w:val="16"/>
          <w:lang w:val="en-AU"/>
        </w:rPr>
      </w:pPr>
    </w:p>
    <w:p w14:paraId="3B14CF2C" w14:textId="00FEE5B8" w:rsidR="00EC05C4" w:rsidRPr="003B6D82" w:rsidRDefault="00EC05C4" w:rsidP="000959C6">
      <w:pPr>
        <w:pStyle w:val="COMtablefigcaption"/>
        <w:keepLines/>
        <w:rPr>
          <w:iCs/>
        </w:rPr>
      </w:pPr>
      <w:r w:rsidRPr="003B6D82">
        <w:rPr>
          <w:iCs/>
          <w:noProof/>
        </w:rPr>
        <w:drawing>
          <wp:inline distT="0" distB="0" distL="0" distR="0" wp14:anchorId="5A33A6A8" wp14:editId="141C12E8">
            <wp:extent cx="5686425" cy="3781425"/>
            <wp:effectExtent l="0" t="0" r="9525" b="9525"/>
            <wp:docPr id="1799166123" name="Picture 1" descr="A graph of a number of disea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graph of a number of diseases&#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6425" cy="3781425"/>
                    </a:xfrm>
                    <a:prstGeom prst="rect">
                      <a:avLst/>
                    </a:prstGeom>
                    <a:noFill/>
                    <a:ln>
                      <a:noFill/>
                    </a:ln>
                  </pic:spPr>
                </pic:pic>
              </a:graphicData>
            </a:graphic>
          </wp:inline>
        </w:drawing>
      </w:r>
    </w:p>
    <w:p w14:paraId="285C9251" w14:textId="77777777" w:rsidR="00EC05C4" w:rsidRPr="003B6D82" w:rsidRDefault="00EC05C4" w:rsidP="000959C6">
      <w:pPr>
        <w:pStyle w:val="COMTablefooter"/>
        <w:keepNext/>
        <w:keepLines/>
        <w:rPr>
          <w:iCs/>
        </w:rPr>
      </w:pPr>
      <w:r w:rsidRPr="003B6D82">
        <w:rPr>
          <w:iCs/>
        </w:rPr>
        <w:t xml:space="preserve">Source: Constructed during the evaluation using ‘Attachment 11 – </w:t>
      </w:r>
      <w:proofErr w:type="spellStart"/>
      <w:r w:rsidRPr="003B6D82">
        <w:rPr>
          <w:iCs/>
        </w:rPr>
        <w:t>Fedratinib</w:t>
      </w:r>
      <w:proofErr w:type="spellEnd"/>
      <w:r w:rsidRPr="003B6D82">
        <w:rPr>
          <w:iCs/>
        </w:rPr>
        <w:t xml:space="preserve"> economic model’ spreadsheet provided with the submission.</w:t>
      </w:r>
    </w:p>
    <w:p w14:paraId="02660446" w14:textId="77777777" w:rsidR="00EC05C4" w:rsidRPr="006E598C" w:rsidRDefault="00EC05C4" w:rsidP="00EC05C4">
      <w:pPr>
        <w:pStyle w:val="COMTablefooter"/>
        <w:rPr>
          <w:iCs/>
        </w:rPr>
      </w:pPr>
      <w:r w:rsidRPr="003B6D82">
        <w:rPr>
          <w:iCs/>
        </w:rPr>
        <w:t xml:space="preserve">Abbreviations: </w:t>
      </w:r>
      <w:r w:rsidRPr="006E598C">
        <w:rPr>
          <w:iCs/>
        </w:rPr>
        <w:t xml:space="preserve">BAT, best available therapy; FED, </w:t>
      </w:r>
      <w:proofErr w:type="spellStart"/>
      <w:r w:rsidRPr="006E598C">
        <w:rPr>
          <w:iCs/>
        </w:rPr>
        <w:t>fedratinib</w:t>
      </w:r>
      <w:proofErr w:type="spellEnd"/>
      <w:r w:rsidRPr="006E598C">
        <w:rPr>
          <w:iCs/>
        </w:rPr>
        <w:t>.</w:t>
      </w:r>
    </w:p>
    <w:p w14:paraId="1EBE928D" w14:textId="780DF2D3" w:rsidR="00EC05C4" w:rsidRPr="006E598C" w:rsidRDefault="00EC05C4" w:rsidP="00F40844">
      <w:pPr>
        <w:pStyle w:val="COMexecsummnumbered"/>
        <w:numPr>
          <w:ilvl w:val="1"/>
          <w:numId w:val="3"/>
        </w:numPr>
        <w:rPr>
          <w:iCs/>
        </w:rPr>
      </w:pPr>
      <w:r w:rsidRPr="006E598C">
        <w:rPr>
          <w:iCs/>
        </w:rPr>
        <w:lastRenderedPageBreak/>
        <w:t xml:space="preserve">Treatment discontinuations in the </w:t>
      </w:r>
      <w:proofErr w:type="spellStart"/>
      <w:r w:rsidRPr="006E598C">
        <w:rPr>
          <w:iCs/>
        </w:rPr>
        <w:t>fedratinib</w:t>
      </w:r>
      <w:proofErr w:type="spellEnd"/>
      <w:r w:rsidRPr="006E598C">
        <w:rPr>
          <w:iCs/>
        </w:rPr>
        <w:t xml:space="preserve"> treatment arm were broadly consistent between the trial and modelled data, however the model appeared to substantially underestimate the incidence of adverse events associated with </w:t>
      </w:r>
      <w:proofErr w:type="spellStart"/>
      <w:r w:rsidRPr="006E598C">
        <w:rPr>
          <w:iCs/>
        </w:rPr>
        <w:t>fedratinib</w:t>
      </w:r>
      <w:proofErr w:type="spellEnd"/>
      <w:r w:rsidRPr="006E598C">
        <w:rPr>
          <w:iCs/>
        </w:rPr>
        <w:t xml:space="preserve"> treatment during the first 24 weeks.</w:t>
      </w:r>
      <w:r w:rsidR="00021126" w:rsidRPr="006E598C">
        <w:rPr>
          <w:iCs/>
        </w:rPr>
        <w:t xml:space="preserve"> </w:t>
      </w:r>
    </w:p>
    <w:p w14:paraId="000B7C7E" w14:textId="1AEEA76E" w:rsidR="00E71C7C" w:rsidRPr="003B6D82" w:rsidRDefault="000944C4" w:rsidP="00AB470F">
      <w:pPr>
        <w:pStyle w:val="COMexecsummnumbered"/>
        <w:numPr>
          <w:ilvl w:val="1"/>
          <w:numId w:val="3"/>
        </w:numPr>
        <w:rPr>
          <w:iCs/>
        </w:rPr>
      </w:pPr>
      <w:r w:rsidRPr="003B6D82">
        <w:rPr>
          <w:iCs/>
        </w:rPr>
        <w:t>The</w:t>
      </w:r>
      <w:r w:rsidR="00310992" w:rsidRPr="003B6D82">
        <w:rPr>
          <w:iCs/>
        </w:rPr>
        <w:t xml:space="preserve"> evaluation and</w:t>
      </w:r>
      <w:r w:rsidRPr="003B6D82">
        <w:rPr>
          <w:iCs/>
        </w:rPr>
        <w:t xml:space="preserve"> ESC </w:t>
      </w:r>
      <w:r w:rsidR="00B02ACE" w:rsidRPr="003B6D82">
        <w:rPr>
          <w:iCs/>
        </w:rPr>
        <w:t>considered</w:t>
      </w:r>
      <w:r w:rsidR="00B3359A" w:rsidRPr="003B6D82">
        <w:rPr>
          <w:iCs/>
        </w:rPr>
        <w:t xml:space="preserve"> </w:t>
      </w:r>
      <w:r w:rsidR="00FA465A" w:rsidRPr="003B6D82">
        <w:rPr>
          <w:iCs/>
        </w:rPr>
        <w:t xml:space="preserve">it was not appropriate to consider the </w:t>
      </w:r>
      <w:r w:rsidRPr="003B6D82">
        <w:rPr>
          <w:iCs/>
        </w:rPr>
        <w:t>t</w:t>
      </w:r>
      <w:r w:rsidR="00EC05C4" w:rsidRPr="003B6D82">
        <w:rPr>
          <w:iCs/>
        </w:rPr>
        <w:t xml:space="preserve">reatment discontinuations in the best available therapy arm </w:t>
      </w:r>
      <w:r w:rsidR="00FA465A" w:rsidRPr="003B6D82">
        <w:rPr>
          <w:iCs/>
        </w:rPr>
        <w:t xml:space="preserve">to be </w:t>
      </w:r>
      <w:r w:rsidR="00EC05C4" w:rsidRPr="003B6D82">
        <w:rPr>
          <w:iCs/>
        </w:rPr>
        <w:t>approximately 3 times higher in the model compared to reported estimates from the FREEDOM-2 trial.</w:t>
      </w:r>
      <w:r w:rsidR="00B02ACE" w:rsidRPr="003B6D82">
        <w:rPr>
          <w:iCs/>
        </w:rPr>
        <w:t xml:space="preserve"> The PSCR </w:t>
      </w:r>
      <w:r w:rsidR="0011697E" w:rsidRPr="003B6D82">
        <w:rPr>
          <w:iCs/>
        </w:rPr>
        <w:t xml:space="preserve">argued the rationale for not using the TTD curves for BAT in the base </w:t>
      </w:r>
      <w:r w:rsidR="0011697E" w:rsidRPr="00F879D1">
        <w:rPr>
          <w:iCs/>
        </w:rPr>
        <w:t xml:space="preserve">case was that patients in the BAT arm had a strong incentive </w:t>
      </w:r>
      <w:r w:rsidR="005A40CF" w:rsidRPr="00F879D1">
        <w:rPr>
          <w:iCs/>
        </w:rPr>
        <w:t xml:space="preserve">to remain on BAT until they were eligible for crossover, which would likely not reflect clinical practice. The ESC noted the PSCR arguments, however considered the values applied in the model were not supported by the available </w:t>
      </w:r>
      <w:r w:rsidR="00836423" w:rsidRPr="00F879D1">
        <w:rPr>
          <w:iCs/>
        </w:rPr>
        <w:t xml:space="preserve">evidence and were inherently uncertain. </w:t>
      </w:r>
      <w:r w:rsidR="00EC05C4" w:rsidRPr="00F879D1">
        <w:rPr>
          <w:iCs/>
        </w:rPr>
        <w:t>The model also appeared to slightly underestimate the incidence of adverse events associated with best available therapy during the first 24 weeks</w:t>
      </w:r>
      <w:r w:rsidR="00406176" w:rsidRPr="00F879D1">
        <w:rPr>
          <w:iCs/>
        </w:rPr>
        <w:t>.</w:t>
      </w:r>
    </w:p>
    <w:p w14:paraId="40F80ED2" w14:textId="389AF279" w:rsidR="00EC05C4" w:rsidRPr="003B6D82" w:rsidRDefault="00EC05C4" w:rsidP="00F40844">
      <w:pPr>
        <w:pStyle w:val="COMexecsummnumbered"/>
        <w:numPr>
          <w:ilvl w:val="1"/>
          <w:numId w:val="3"/>
        </w:numPr>
        <w:rPr>
          <w:iCs/>
        </w:rPr>
      </w:pPr>
      <w:r w:rsidRPr="003B6D82">
        <w:rPr>
          <w:iCs/>
        </w:rPr>
        <w:t xml:space="preserve">The results of the stepped economic evaluation are summarised in </w:t>
      </w:r>
      <w:r w:rsidRPr="003B6D82">
        <w:rPr>
          <w:iCs/>
        </w:rPr>
        <w:fldChar w:fldCharType="begin" w:fldLock="1"/>
      </w:r>
      <w:r w:rsidRPr="003B6D82">
        <w:rPr>
          <w:iCs/>
        </w:rPr>
        <w:instrText xml:space="preserve"> REF _Ref191991930 \h </w:instrText>
      </w:r>
      <w:r w:rsidR="00A67212" w:rsidRPr="003B6D82">
        <w:rPr>
          <w:iCs/>
        </w:rPr>
        <w:instrText xml:space="preserve"> \* MERGEFORMAT </w:instrText>
      </w:r>
      <w:r w:rsidRPr="003B6D82">
        <w:rPr>
          <w:iCs/>
        </w:rPr>
      </w:r>
      <w:r w:rsidRPr="003B6D82">
        <w:rPr>
          <w:iCs/>
        </w:rPr>
        <w:fldChar w:fldCharType="separate"/>
      </w:r>
      <w:r w:rsidR="00A072A5" w:rsidRPr="003B6D82">
        <w:rPr>
          <w:iCs/>
        </w:rPr>
        <w:t xml:space="preserve">Table </w:t>
      </w:r>
      <w:r w:rsidR="00A072A5">
        <w:rPr>
          <w:iCs/>
          <w:noProof/>
        </w:rPr>
        <w:t>9</w:t>
      </w:r>
      <w:r w:rsidRPr="003B6D82">
        <w:rPr>
          <w:iCs/>
        </w:rPr>
        <w:fldChar w:fldCharType="end"/>
      </w:r>
      <w:r w:rsidRPr="003B6D82">
        <w:rPr>
          <w:iCs/>
        </w:rPr>
        <w:t>.</w:t>
      </w:r>
    </w:p>
    <w:p w14:paraId="075D6AC1" w14:textId="3C777343" w:rsidR="00EC05C4" w:rsidRPr="003B6D82" w:rsidRDefault="00EC05C4" w:rsidP="005270DE">
      <w:pPr>
        <w:pStyle w:val="COMtablefigcaption"/>
        <w:keepLines/>
        <w:spacing w:before="120"/>
        <w:rPr>
          <w:iCs/>
        </w:rPr>
      </w:pPr>
      <w:bookmarkStart w:id="34" w:name="_Ref191991930"/>
      <w:r w:rsidRPr="003B6D82">
        <w:rPr>
          <w:iCs/>
        </w:rPr>
        <w:lastRenderedPageBreak/>
        <w:t xml:space="preserve">Table </w:t>
      </w:r>
      <w:r w:rsidR="00B251ED" w:rsidRPr="003B6D82">
        <w:rPr>
          <w:iCs/>
        </w:rPr>
        <w:fldChar w:fldCharType="begin" w:fldLock="1"/>
      </w:r>
      <w:r w:rsidR="00B251ED" w:rsidRPr="003B6D82">
        <w:rPr>
          <w:iCs/>
        </w:rPr>
        <w:instrText xml:space="preserve"> SEQ Table \* ARABIC </w:instrText>
      </w:r>
      <w:r w:rsidR="00B251ED" w:rsidRPr="003B6D82">
        <w:rPr>
          <w:iCs/>
        </w:rPr>
        <w:fldChar w:fldCharType="separate"/>
      </w:r>
      <w:r w:rsidR="00A072A5">
        <w:rPr>
          <w:iCs/>
          <w:noProof/>
        </w:rPr>
        <w:t>9</w:t>
      </w:r>
      <w:r w:rsidR="00B251ED" w:rsidRPr="003B6D82">
        <w:rPr>
          <w:iCs/>
          <w:noProof/>
        </w:rPr>
        <w:fldChar w:fldCharType="end"/>
      </w:r>
      <w:bookmarkEnd w:id="34"/>
      <w:r w:rsidRPr="003B6D82">
        <w:rPr>
          <w:iCs/>
        </w:rPr>
        <w:t xml:space="preserve">: Stepped economic evaluation of </w:t>
      </w:r>
      <w:proofErr w:type="spellStart"/>
      <w:r w:rsidRPr="003B6D82">
        <w:rPr>
          <w:iCs/>
        </w:rPr>
        <w:t>fedratinib</w:t>
      </w:r>
      <w:proofErr w:type="spellEnd"/>
      <w:r w:rsidRPr="003B6D82">
        <w:rPr>
          <w:iCs/>
        </w:rPr>
        <w:t xml:space="preserve"> compared to best available therapy</w:t>
      </w:r>
    </w:p>
    <w:tbl>
      <w:tblPr>
        <w:tblW w:w="4993" w:type="pct"/>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66"/>
        <w:gridCol w:w="1932"/>
        <w:gridCol w:w="1936"/>
        <w:gridCol w:w="2570"/>
      </w:tblGrid>
      <w:tr w:rsidR="00EC05C4" w:rsidRPr="003B6D82" w14:paraId="54B99D27" w14:textId="77777777" w:rsidTr="00EC05C4">
        <w:trPr>
          <w:trHeight w:val="43"/>
        </w:trPr>
        <w:tc>
          <w:tcPr>
            <w:tcW w:w="1425" w:type="pct"/>
            <w:tcBorders>
              <w:top w:val="single" w:sz="4" w:space="0" w:color="auto"/>
              <w:left w:val="single" w:sz="4" w:space="0" w:color="auto"/>
              <w:bottom w:val="single" w:sz="4" w:space="0" w:color="auto"/>
              <w:right w:val="single" w:sz="4" w:space="0" w:color="auto"/>
            </w:tcBorders>
            <w:vAlign w:val="center"/>
            <w:hideMark/>
          </w:tcPr>
          <w:p w14:paraId="25D52723" w14:textId="77777777" w:rsidR="00EC05C4" w:rsidRPr="003B6D82" w:rsidRDefault="00EC05C4" w:rsidP="005270DE">
            <w:pPr>
              <w:pStyle w:val="TableText0"/>
              <w:widowControl/>
              <w:rPr>
                <w:b/>
                <w:bCs w:val="0"/>
                <w:iCs/>
              </w:rPr>
            </w:pPr>
            <w:r w:rsidRPr="003B6D82">
              <w:rPr>
                <w:b/>
                <w:bCs w:val="0"/>
                <w:iCs/>
              </w:rPr>
              <w:t>Type of resource item</w:t>
            </w:r>
          </w:p>
        </w:tc>
        <w:tc>
          <w:tcPr>
            <w:tcW w:w="1073" w:type="pct"/>
            <w:tcBorders>
              <w:top w:val="single" w:sz="4" w:space="0" w:color="auto"/>
              <w:left w:val="single" w:sz="4" w:space="0" w:color="auto"/>
              <w:bottom w:val="single" w:sz="4" w:space="0" w:color="auto"/>
              <w:right w:val="single" w:sz="4" w:space="0" w:color="auto"/>
            </w:tcBorders>
            <w:vAlign w:val="center"/>
            <w:hideMark/>
          </w:tcPr>
          <w:p w14:paraId="7D4B25F4" w14:textId="77777777" w:rsidR="00EC05C4" w:rsidRPr="003B6D82" w:rsidRDefault="00EC05C4" w:rsidP="005270DE">
            <w:pPr>
              <w:pStyle w:val="TableText0"/>
              <w:widowControl/>
              <w:jc w:val="center"/>
              <w:rPr>
                <w:b/>
                <w:bCs w:val="0"/>
                <w:iCs/>
              </w:rPr>
            </w:pPr>
            <w:proofErr w:type="spellStart"/>
            <w:r w:rsidRPr="003B6D82">
              <w:rPr>
                <w:b/>
                <w:bCs w:val="0"/>
                <w:iCs/>
              </w:rPr>
              <w:t>Fedratinib</w:t>
            </w:r>
            <w:proofErr w:type="spellEnd"/>
          </w:p>
        </w:tc>
        <w:tc>
          <w:tcPr>
            <w:tcW w:w="1075" w:type="pct"/>
            <w:tcBorders>
              <w:top w:val="single" w:sz="4" w:space="0" w:color="auto"/>
              <w:left w:val="single" w:sz="4" w:space="0" w:color="auto"/>
              <w:bottom w:val="single" w:sz="4" w:space="0" w:color="auto"/>
              <w:right w:val="single" w:sz="4" w:space="0" w:color="auto"/>
            </w:tcBorders>
            <w:vAlign w:val="center"/>
            <w:hideMark/>
          </w:tcPr>
          <w:p w14:paraId="46FC0357" w14:textId="77777777" w:rsidR="00EC05C4" w:rsidRPr="003B6D82" w:rsidRDefault="00EC05C4" w:rsidP="005270DE">
            <w:pPr>
              <w:pStyle w:val="TableText0"/>
              <w:widowControl/>
              <w:jc w:val="center"/>
              <w:rPr>
                <w:b/>
                <w:bCs w:val="0"/>
                <w:iCs/>
              </w:rPr>
            </w:pPr>
            <w:r w:rsidRPr="003B6D82">
              <w:rPr>
                <w:b/>
                <w:bCs w:val="0"/>
                <w:iCs/>
              </w:rPr>
              <w:t>Best available therapy</w:t>
            </w:r>
          </w:p>
        </w:tc>
        <w:tc>
          <w:tcPr>
            <w:tcW w:w="1427" w:type="pct"/>
            <w:tcBorders>
              <w:top w:val="single" w:sz="4" w:space="0" w:color="auto"/>
              <w:left w:val="single" w:sz="4" w:space="0" w:color="auto"/>
              <w:bottom w:val="single" w:sz="4" w:space="0" w:color="auto"/>
              <w:right w:val="single" w:sz="4" w:space="0" w:color="auto"/>
            </w:tcBorders>
            <w:hideMark/>
          </w:tcPr>
          <w:p w14:paraId="4D190AA1" w14:textId="77777777" w:rsidR="00EC05C4" w:rsidRPr="003B6D82" w:rsidRDefault="00EC05C4" w:rsidP="005270DE">
            <w:pPr>
              <w:pStyle w:val="TableText0"/>
              <w:widowControl/>
              <w:jc w:val="center"/>
              <w:rPr>
                <w:b/>
                <w:bCs w:val="0"/>
                <w:iCs/>
              </w:rPr>
            </w:pPr>
            <w:r w:rsidRPr="003B6D82">
              <w:rPr>
                <w:b/>
                <w:bCs w:val="0"/>
                <w:iCs/>
              </w:rPr>
              <w:t>Increment</w:t>
            </w:r>
          </w:p>
        </w:tc>
      </w:tr>
      <w:tr w:rsidR="00EC05C4" w:rsidRPr="003B6D82" w14:paraId="67ACDB9F" w14:textId="77777777" w:rsidTr="00EC05C4">
        <w:tc>
          <w:tcPr>
            <w:tcW w:w="5000" w:type="pct"/>
            <w:gridSpan w:val="4"/>
            <w:tcBorders>
              <w:top w:val="single" w:sz="4" w:space="0" w:color="auto"/>
              <w:left w:val="single" w:sz="4" w:space="0" w:color="auto"/>
              <w:bottom w:val="single" w:sz="4" w:space="0" w:color="auto"/>
              <w:right w:val="single" w:sz="4" w:space="0" w:color="auto"/>
            </w:tcBorders>
            <w:hideMark/>
          </w:tcPr>
          <w:p w14:paraId="6FCEB2C3" w14:textId="77777777" w:rsidR="00EC05C4" w:rsidRPr="003B6D82" w:rsidRDefault="00EC05C4" w:rsidP="005270DE">
            <w:pPr>
              <w:pStyle w:val="TableText0"/>
              <w:widowControl/>
              <w:rPr>
                <w:b/>
                <w:bCs w:val="0"/>
                <w:iCs/>
              </w:rPr>
            </w:pPr>
            <w:r w:rsidRPr="003B6D82">
              <w:rPr>
                <w:b/>
                <w:bCs w:val="0"/>
                <w:iCs/>
              </w:rPr>
              <w:t>Step 1: Modelled estimate based on a 144-week time horizon (2.77 years); no discounting; JAK inhibitor drug costs only; health state utility values only</w:t>
            </w:r>
          </w:p>
        </w:tc>
      </w:tr>
      <w:tr w:rsidR="00EC05C4" w:rsidRPr="003B6D82" w14:paraId="48A12E3B" w14:textId="77777777" w:rsidTr="00EC05C4">
        <w:tc>
          <w:tcPr>
            <w:tcW w:w="1425" w:type="pct"/>
            <w:tcBorders>
              <w:top w:val="single" w:sz="4" w:space="0" w:color="auto"/>
              <w:left w:val="single" w:sz="4" w:space="0" w:color="auto"/>
              <w:bottom w:val="single" w:sz="4" w:space="0" w:color="auto"/>
              <w:right w:val="single" w:sz="4" w:space="0" w:color="auto"/>
            </w:tcBorders>
            <w:hideMark/>
          </w:tcPr>
          <w:p w14:paraId="6D725B78" w14:textId="77777777" w:rsidR="00EC05C4" w:rsidRPr="003B6D82" w:rsidRDefault="00EC05C4" w:rsidP="005270DE">
            <w:pPr>
              <w:pStyle w:val="TableText0"/>
              <w:widowControl/>
              <w:rPr>
                <w:iCs/>
              </w:rPr>
            </w:pPr>
            <w:r w:rsidRPr="003B6D82">
              <w:rPr>
                <w:iCs/>
              </w:rPr>
              <w:t>Costs</w:t>
            </w:r>
          </w:p>
        </w:tc>
        <w:tc>
          <w:tcPr>
            <w:tcW w:w="1073" w:type="pct"/>
            <w:tcBorders>
              <w:top w:val="single" w:sz="4" w:space="0" w:color="auto"/>
              <w:left w:val="single" w:sz="4" w:space="0" w:color="auto"/>
              <w:bottom w:val="single" w:sz="4" w:space="0" w:color="auto"/>
              <w:right w:val="single" w:sz="4" w:space="0" w:color="auto"/>
            </w:tcBorders>
            <w:vAlign w:val="bottom"/>
            <w:hideMark/>
          </w:tcPr>
          <w:p w14:paraId="572BFC55" w14:textId="58372FE7" w:rsidR="00EC05C4" w:rsidRPr="003B6D82" w:rsidRDefault="00EC05C4" w:rsidP="005270DE">
            <w:pPr>
              <w:pStyle w:val="TableText0"/>
              <w:widowControl/>
              <w:jc w:val="center"/>
              <w:rPr>
                <w:iCs/>
              </w:rPr>
            </w:pPr>
            <w:r w:rsidRPr="003B6D82">
              <w:rPr>
                <w:iCs/>
              </w:rPr>
              <w:t>$</w:t>
            </w:r>
            <w:r w:rsidR="00733FBC" w:rsidRPr="00733FBC">
              <w:rPr>
                <w:iCs/>
                <w:color w:val="000000"/>
                <w:spacing w:val="53"/>
                <w:shd w:val="solid" w:color="000000" w:fill="000000"/>
                <w:fitText w:val="330" w:id="-663572476"/>
                <w14:textFill>
                  <w14:solidFill>
                    <w14:srgbClr w14:val="000000">
                      <w14:alpha w14:val="100000"/>
                    </w14:srgbClr>
                  </w14:solidFill>
                </w14:textFill>
              </w:rPr>
              <w:t>|||</w:t>
            </w:r>
            <w:r w:rsidR="00733FBC" w:rsidRPr="00733FBC">
              <w:rPr>
                <w:iCs/>
                <w:color w:val="000000"/>
                <w:spacing w:val="1"/>
                <w:shd w:val="solid" w:color="000000" w:fill="000000"/>
                <w:fitText w:val="330" w:id="-663572476"/>
                <w14:textFill>
                  <w14:solidFill>
                    <w14:srgbClr w14:val="000000">
                      <w14:alpha w14:val="100000"/>
                    </w14:srgbClr>
                  </w14:solidFill>
                </w14:textFill>
              </w:rPr>
              <w:t>|</w:t>
            </w:r>
          </w:p>
        </w:tc>
        <w:tc>
          <w:tcPr>
            <w:tcW w:w="1075" w:type="pct"/>
            <w:tcBorders>
              <w:top w:val="single" w:sz="4" w:space="0" w:color="auto"/>
              <w:left w:val="single" w:sz="4" w:space="0" w:color="auto"/>
              <w:bottom w:val="single" w:sz="4" w:space="0" w:color="auto"/>
              <w:right w:val="single" w:sz="4" w:space="0" w:color="auto"/>
            </w:tcBorders>
            <w:vAlign w:val="bottom"/>
            <w:hideMark/>
          </w:tcPr>
          <w:p w14:paraId="4D7C3EE4" w14:textId="77777777" w:rsidR="00EC05C4" w:rsidRPr="003B6D82" w:rsidRDefault="00EC05C4" w:rsidP="005270DE">
            <w:pPr>
              <w:pStyle w:val="TableText0"/>
              <w:widowControl/>
              <w:jc w:val="center"/>
              <w:rPr>
                <w:iCs/>
              </w:rPr>
            </w:pPr>
            <w:r w:rsidRPr="003B6D82">
              <w:rPr>
                <w:iCs/>
              </w:rPr>
              <w:t>$33,233</w:t>
            </w:r>
          </w:p>
        </w:tc>
        <w:tc>
          <w:tcPr>
            <w:tcW w:w="1427" w:type="pct"/>
            <w:tcBorders>
              <w:top w:val="single" w:sz="4" w:space="0" w:color="auto"/>
              <w:left w:val="single" w:sz="4" w:space="0" w:color="auto"/>
              <w:bottom w:val="single" w:sz="4" w:space="0" w:color="auto"/>
              <w:right w:val="single" w:sz="4" w:space="0" w:color="auto"/>
            </w:tcBorders>
            <w:vAlign w:val="center"/>
            <w:hideMark/>
          </w:tcPr>
          <w:p w14:paraId="32858DE4" w14:textId="65EFD736" w:rsidR="00EC05C4" w:rsidRPr="003B6D82" w:rsidRDefault="00EC05C4" w:rsidP="005270DE">
            <w:pPr>
              <w:pStyle w:val="TableText0"/>
              <w:widowControl/>
              <w:jc w:val="center"/>
              <w:rPr>
                <w:iCs/>
              </w:rPr>
            </w:pPr>
            <w:r w:rsidRPr="003B6D82">
              <w:rPr>
                <w:iCs/>
              </w:rPr>
              <w:t>$</w:t>
            </w:r>
            <w:r w:rsidR="00733FBC" w:rsidRPr="00733FBC">
              <w:rPr>
                <w:iCs/>
                <w:color w:val="000000"/>
                <w:spacing w:val="53"/>
                <w:shd w:val="solid" w:color="000000" w:fill="000000"/>
                <w:fitText w:val="330" w:id="-663572224"/>
                <w14:textFill>
                  <w14:solidFill>
                    <w14:srgbClr w14:val="000000">
                      <w14:alpha w14:val="100000"/>
                    </w14:srgbClr>
                  </w14:solidFill>
                </w14:textFill>
              </w:rPr>
              <w:t>|||</w:t>
            </w:r>
            <w:r w:rsidR="00733FBC" w:rsidRPr="00733FBC">
              <w:rPr>
                <w:iCs/>
                <w:color w:val="000000"/>
                <w:spacing w:val="1"/>
                <w:shd w:val="solid" w:color="000000" w:fill="000000"/>
                <w:fitText w:val="330" w:id="-663572224"/>
                <w14:textFill>
                  <w14:solidFill>
                    <w14:srgbClr w14:val="000000">
                      <w14:alpha w14:val="100000"/>
                    </w14:srgbClr>
                  </w14:solidFill>
                </w14:textFill>
              </w:rPr>
              <w:t>|</w:t>
            </w:r>
          </w:p>
        </w:tc>
      </w:tr>
      <w:tr w:rsidR="00EC05C4" w:rsidRPr="003B6D82" w14:paraId="16DBC997" w14:textId="77777777" w:rsidTr="00EC05C4">
        <w:tc>
          <w:tcPr>
            <w:tcW w:w="1425" w:type="pct"/>
            <w:tcBorders>
              <w:top w:val="single" w:sz="4" w:space="0" w:color="auto"/>
              <w:left w:val="single" w:sz="4" w:space="0" w:color="auto"/>
              <w:bottom w:val="single" w:sz="4" w:space="0" w:color="auto"/>
              <w:right w:val="single" w:sz="4" w:space="0" w:color="auto"/>
            </w:tcBorders>
            <w:hideMark/>
          </w:tcPr>
          <w:p w14:paraId="6A77756F" w14:textId="77777777" w:rsidR="00EC05C4" w:rsidRPr="003B6D82" w:rsidRDefault="00EC05C4" w:rsidP="005270DE">
            <w:pPr>
              <w:pStyle w:val="TableText0"/>
              <w:widowControl/>
              <w:rPr>
                <w:iCs/>
              </w:rPr>
            </w:pPr>
            <w:r w:rsidRPr="003B6D82">
              <w:rPr>
                <w:iCs/>
              </w:rPr>
              <w:t>Patients with response</w:t>
            </w:r>
          </w:p>
        </w:tc>
        <w:tc>
          <w:tcPr>
            <w:tcW w:w="1073" w:type="pct"/>
            <w:tcBorders>
              <w:top w:val="single" w:sz="4" w:space="0" w:color="auto"/>
              <w:left w:val="single" w:sz="4" w:space="0" w:color="auto"/>
              <w:bottom w:val="single" w:sz="4" w:space="0" w:color="auto"/>
              <w:right w:val="single" w:sz="4" w:space="0" w:color="auto"/>
            </w:tcBorders>
            <w:vAlign w:val="bottom"/>
            <w:hideMark/>
          </w:tcPr>
          <w:p w14:paraId="03E101AA" w14:textId="77777777" w:rsidR="00EC05C4" w:rsidRPr="003B6D82" w:rsidRDefault="00EC05C4" w:rsidP="005270DE">
            <w:pPr>
              <w:pStyle w:val="TableText0"/>
              <w:widowControl/>
              <w:jc w:val="center"/>
              <w:rPr>
                <w:iCs/>
              </w:rPr>
            </w:pPr>
            <w:r w:rsidRPr="003B6D82">
              <w:rPr>
                <w:iCs/>
              </w:rPr>
              <w:t>0.5224</w:t>
            </w:r>
          </w:p>
        </w:tc>
        <w:tc>
          <w:tcPr>
            <w:tcW w:w="1075" w:type="pct"/>
            <w:tcBorders>
              <w:top w:val="single" w:sz="4" w:space="0" w:color="auto"/>
              <w:left w:val="single" w:sz="4" w:space="0" w:color="auto"/>
              <w:bottom w:val="single" w:sz="4" w:space="0" w:color="auto"/>
              <w:right w:val="single" w:sz="4" w:space="0" w:color="auto"/>
            </w:tcBorders>
            <w:vAlign w:val="bottom"/>
            <w:hideMark/>
          </w:tcPr>
          <w:p w14:paraId="6A097E2B" w14:textId="77777777" w:rsidR="00EC05C4" w:rsidRPr="003B6D82" w:rsidRDefault="00EC05C4" w:rsidP="005270DE">
            <w:pPr>
              <w:pStyle w:val="TableText0"/>
              <w:widowControl/>
              <w:jc w:val="center"/>
              <w:rPr>
                <w:iCs/>
              </w:rPr>
            </w:pPr>
            <w:r w:rsidRPr="003B6D82">
              <w:rPr>
                <w:iCs/>
              </w:rPr>
              <w:t>0.1940</w:t>
            </w:r>
          </w:p>
        </w:tc>
        <w:tc>
          <w:tcPr>
            <w:tcW w:w="1427" w:type="pct"/>
            <w:tcBorders>
              <w:top w:val="single" w:sz="4" w:space="0" w:color="auto"/>
              <w:left w:val="single" w:sz="4" w:space="0" w:color="auto"/>
              <w:bottom w:val="single" w:sz="4" w:space="0" w:color="auto"/>
              <w:right w:val="single" w:sz="4" w:space="0" w:color="auto"/>
            </w:tcBorders>
            <w:vAlign w:val="center"/>
            <w:hideMark/>
          </w:tcPr>
          <w:p w14:paraId="093A264B" w14:textId="77777777" w:rsidR="00EC05C4" w:rsidRPr="003B6D82" w:rsidRDefault="00EC05C4" w:rsidP="005270DE">
            <w:pPr>
              <w:pStyle w:val="TableText0"/>
              <w:widowControl/>
              <w:jc w:val="center"/>
              <w:rPr>
                <w:iCs/>
              </w:rPr>
            </w:pPr>
            <w:r w:rsidRPr="003B6D82">
              <w:rPr>
                <w:iCs/>
              </w:rPr>
              <w:t>0.3284</w:t>
            </w:r>
          </w:p>
        </w:tc>
      </w:tr>
      <w:tr w:rsidR="00EC05C4" w:rsidRPr="003B6D82" w14:paraId="038547B6" w14:textId="77777777" w:rsidTr="00EC05C4">
        <w:tc>
          <w:tcPr>
            <w:tcW w:w="1425" w:type="pct"/>
            <w:tcBorders>
              <w:top w:val="single" w:sz="4" w:space="0" w:color="auto"/>
              <w:left w:val="single" w:sz="4" w:space="0" w:color="auto"/>
              <w:bottom w:val="single" w:sz="4" w:space="0" w:color="auto"/>
              <w:right w:val="single" w:sz="4" w:space="0" w:color="auto"/>
            </w:tcBorders>
            <w:hideMark/>
          </w:tcPr>
          <w:p w14:paraId="08D15E21" w14:textId="77777777" w:rsidR="00EC05C4" w:rsidRPr="003B6D82" w:rsidRDefault="00EC05C4" w:rsidP="005270DE">
            <w:pPr>
              <w:pStyle w:val="TableText0"/>
              <w:widowControl/>
              <w:rPr>
                <w:iCs/>
              </w:rPr>
            </w:pPr>
            <w:r w:rsidRPr="003B6D82">
              <w:rPr>
                <w:iCs/>
              </w:rPr>
              <w:t>Treatment years</w:t>
            </w:r>
          </w:p>
        </w:tc>
        <w:tc>
          <w:tcPr>
            <w:tcW w:w="1073" w:type="pct"/>
            <w:tcBorders>
              <w:top w:val="single" w:sz="4" w:space="0" w:color="auto"/>
              <w:left w:val="single" w:sz="4" w:space="0" w:color="auto"/>
              <w:bottom w:val="single" w:sz="4" w:space="0" w:color="auto"/>
              <w:right w:val="single" w:sz="4" w:space="0" w:color="auto"/>
            </w:tcBorders>
            <w:vAlign w:val="bottom"/>
            <w:hideMark/>
          </w:tcPr>
          <w:p w14:paraId="6314DB46" w14:textId="77777777" w:rsidR="00EC05C4" w:rsidRPr="003B6D82" w:rsidRDefault="00EC05C4" w:rsidP="005270DE">
            <w:pPr>
              <w:pStyle w:val="TableText0"/>
              <w:widowControl/>
              <w:jc w:val="center"/>
              <w:rPr>
                <w:iCs/>
              </w:rPr>
            </w:pPr>
            <w:r w:rsidRPr="003B6D82">
              <w:rPr>
                <w:iCs/>
              </w:rPr>
              <w:t>1.2515</w:t>
            </w:r>
          </w:p>
        </w:tc>
        <w:tc>
          <w:tcPr>
            <w:tcW w:w="1075" w:type="pct"/>
            <w:tcBorders>
              <w:top w:val="single" w:sz="4" w:space="0" w:color="auto"/>
              <w:left w:val="single" w:sz="4" w:space="0" w:color="auto"/>
              <w:bottom w:val="single" w:sz="4" w:space="0" w:color="auto"/>
              <w:right w:val="single" w:sz="4" w:space="0" w:color="auto"/>
            </w:tcBorders>
            <w:vAlign w:val="bottom"/>
            <w:hideMark/>
          </w:tcPr>
          <w:p w14:paraId="322CEA9E" w14:textId="77777777" w:rsidR="00EC05C4" w:rsidRPr="003B6D82" w:rsidRDefault="00EC05C4" w:rsidP="005270DE">
            <w:pPr>
              <w:pStyle w:val="TableText0"/>
              <w:widowControl/>
              <w:jc w:val="center"/>
              <w:rPr>
                <w:iCs/>
              </w:rPr>
            </w:pPr>
            <w:r w:rsidRPr="003B6D82">
              <w:rPr>
                <w:iCs/>
              </w:rPr>
              <w:t>0.9412</w:t>
            </w:r>
          </w:p>
        </w:tc>
        <w:tc>
          <w:tcPr>
            <w:tcW w:w="1427" w:type="pct"/>
            <w:tcBorders>
              <w:top w:val="single" w:sz="4" w:space="0" w:color="auto"/>
              <w:left w:val="single" w:sz="4" w:space="0" w:color="auto"/>
              <w:bottom w:val="single" w:sz="4" w:space="0" w:color="auto"/>
              <w:right w:val="single" w:sz="4" w:space="0" w:color="auto"/>
            </w:tcBorders>
            <w:vAlign w:val="center"/>
            <w:hideMark/>
          </w:tcPr>
          <w:p w14:paraId="00316F3E" w14:textId="77777777" w:rsidR="00EC05C4" w:rsidRPr="003B6D82" w:rsidRDefault="00EC05C4" w:rsidP="005270DE">
            <w:pPr>
              <w:pStyle w:val="TableText0"/>
              <w:widowControl/>
              <w:jc w:val="center"/>
              <w:rPr>
                <w:iCs/>
              </w:rPr>
            </w:pPr>
            <w:r w:rsidRPr="003B6D82">
              <w:rPr>
                <w:iCs/>
              </w:rPr>
              <w:t>0.3103</w:t>
            </w:r>
          </w:p>
        </w:tc>
      </w:tr>
      <w:tr w:rsidR="00EC05C4" w:rsidRPr="003B6D82" w14:paraId="3D74FAD8" w14:textId="77777777" w:rsidTr="00EC05C4">
        <w:tc>
          <w:tcPr>
            <w:tcW w:w="1425" w:type="pct"/>
            <w:tcBorders>
              <w:top w:val="single" w:sz="4" w:space="0" w:color="auto"/>
              <w:left w:val="single" w:sz="4" w:space="0" w:color="auto"/>
              <w:bottom w:val="single" w:sz="4" w:space="0" w:color="auto"/>
              <w:right w:val="single" w:sz="4" w:space="0" w:color="auto"/>
            </w:tcBorders>
            <w:hideMark/>
          </w:tcPr>
          <w:p w14:paraId="2B1CCEB6" w14:textId="77777777" w:rsidR="00EC05C4" w:rsidRPr="003B6D82" w:rsidRDefault="00EC05C4" w:rsidP="005270DE">
            <w:pPr>
              <w:pStyle w:val="TableText0"/>
              <w:widowControl/>
              <w:rPr>
                <w:iCs/>
              </w:rPr>
            </w:pPr>
            <w:r w:rsidRPr="003B6D82">
              <w:rPr>
                <w:iCs/>
              </w:rPr>
              <w:t>QALYs</w:t>
            </w:r>
          </w:p>
        </w:tc>
        <w:tc>
          <w:tcPr>
            <w:tcW w:w="1073" w:type="pct"/>
            <w:tcBorders>
              <w:top w:val="single" w:sz="4" w:space="0" w:color="auto"/>
              <w:left w:val="single" w:sz="4" w:space="0" w:color="auto"/>
              <w:bottom w:val="single" w:sz="4" w:space="0" w:color="auto"/>
              <w:right w:val="single" w:sz="4" w:space="0" w:color="auto"/>
            </w:tcBorders>
            <w:vAlign w:val="bottom"/>
            <w:hideMark/>
          </w:tcPr>
          <w:p w14:paraId="0B32E9CF" w14:textId="77777777" w:rsidR="00EC05C4" w:rsidRPr="003B6D82" w:rsidRDefault="00EC05C4" w:rsidP="005270DE">
            <w:pPr>
              <w:pStyle w:val="TableText0"/>
              <w:widowControl/>
              <w:jc w:val="center"/>
              <w:rPr>
                <w:iCs/>
              </w:rPr>
            </w:pPr>
            <w:r w:rsidRPr="003B6D82">
              <w:rPr>
                <w:iCs/>
              </w:rPr>
              <w:t>1.4751</w:t>
            </w:r>
          </w:p>
        </w:tc>
        <w:tc>
          <w:tcPr>
            <w:tcW w:w="1075" w:type="pct"/>
            <w:tcBorders>
              <w:top w:val="single" w:sz="4" w:space="0" w:color="auto"/>
              <w:left w:val="single" w:sz="4" w:space="0" w:color="auto"/>
              <w:bottom w:val="single" w:sz="4" w:space="0" w:color="auto"/>
              <w:right w:val="single" w:sz="4" w:space="0" w:color="auto"/>
            </w:tcBorders>
            <w:vAlign w:val="bottom"/>
            <w:hideMark/>
          </w:tcPr>
          <w:p w14:paraId="3B4054A6" w14:textId="77777777" w:rsidR="00EC05C4" w:rsidRPr="003B6D82" w:rsidRDefault="00EC05C4" w:rsidP="005270DE">
            <w:pPr>
              <w:pStyle w:val="TableText0"/>
              <w:widowControl/>
              <w:jc w:val="center"/>
              <w:rPr>
                <w:iCs/>
              </w:rPr>
            </w:pPr>
            <w:r w:rsidRPr="003B6D82">
              <w:rPr>
                <w:iCs/>
              </w:rPr>
              <w:t>1.3474</w:t>
            </w:r>
          </w:p>
        </w:tc>
        <w:tc>
          <w:tcPr>
            <w:tcW w:w="1427" w:type="pct"/>
            <w:tcBorders>
              <w:top w:val="single" w:sz="4" w:space="0" w:color="auto"/>
              <w:left w:val="single" w:sz="4" w:space="0" w:color="auto"/>
              <w:bottom w:val="single" w:sz="4" w:space="0" w:color="auto"/>
              <w:right w:val="single" w:sz="4" w:space="0" w:color="auto"/>
            </w:tcBorders>
            <w:vAlign w:val="center"/>
            <w:hideMark/>
          </w:tcPr>
          <w:p w14:paraId="2DFC271B" w14:textId="77777777" w:rsidR="00EC05C4" w:rsidRPr="003B6D82" w:rsidRDefault="00EC05C4" w:rsidP="005270DE">
            <w:pPr>
              <w:pStyle w:val="TableText0"/>
              <w:widowControl/>
              <w:jc w:val="center"/>
              <w:rPr>
                <w:iCs/>
              </w:rPr>
            </w:pPr>
            <w:r w:rsidRPr="003B6D82">
              <w:rPr>
                <w:iCs/>
              </w:rPr>
              <w:t>0.1278</w:t>
            </w:r>
          </w:p>
        </w:tc>
      </w:tr>
      <w:tr w:rsidR="00EC05C4" w:rsidRPr="003B6D82" w14:paraId="3F8B13D6" w14:textId="77777777" w:rsidTr="00EC05C4">
        <w:tc>
          <w:tcPr>
            <w:tcW w:w="3573" w:type="pct"/>
            <w:gridSpan w:val="3"/>
            <w:tcBorders>
              <w:top w:val="single" w:sz="4" w:space="0" w:color="auto"/>
              <w:left w:val="single" w:sz="4" w:space="0" w:color="auto"/>
              <w:bottom w:val="single" w:sz="4" w:space="0" w:color="auto"/>
              <w:right w:val="single" w:sz="4" w:space="0" w:color="auto"/>
            </w:tcBorders>
            <w:hideMark/>
          </w:tcPr>
          <w:p w14:paraId="4BC8079C" w14:textId="77777777" w:rsidR="00EC05C4" w:rsidRPr="003B6D82" w:rsidRDefault="00EC05C4" w:rsidP="005270DE">
            <w:pPr>
              <w:pStyle w:val="TableText0"/>
              <w:widowControl/>
              <w:jc w:val="right"/>
              <w:rPr>
                <w:b/>
                <w:bCs w:val="0"/>
                <w:iCs/>
              </w:rPr>
            </w:pPr>
            <w:r w:rsidRPr="003B6D82">
              <w:rPr>
                <w:b/>
                <w:bCs w:val="0"/>
                <w:iCs/>
              </w:rPr>
              <w:t>Incremental cost per additional responder</w:t>
            </w:r>
          </w:p>
        </w:tc>
        <w:tc>
          <w:tcPr>
            <w:tcW w:w="1427" w:type="pct"/>
            <w:tcBorders>
              <w:top w:val="single" w:sz="4" w:space="0" w:color="auto"/>
              <w:left w:val="single" w:sz="4" w:space="0" w:color="auto"/>
              <w:bottom w:val="single" w:sz="4" w:space="0" w:color="auto"/>
              <w:right w:val="single" w:sz="4" w:space="0" w:color="auto"/>
            </w:tcBorders>
            <w:vAlign w:val="center"/>
            <w:hideMark/>
          </w:tcPr>
          <w:p w14:paraId="53D8CF07" w14:textId="471BEE33" w:rsidR="00EC05C4" w:rsidRPr="00C13135" w:rsidRDefault="00EC05C4" w:rsidP="005270DE">
            <w:pPr>
              <w:pStyle w:val="TableText0"/>
              <w:widowControl/>
              <w:jc w:val="center"/>
              <w:rPr>
                <w:iCs/>
                <w:vertAlign w:val="superscript"/>
              </w:rPr>
            </w:pPr>
            <w:r w:rsidRPr="003B6D82">
              <w:rPr>
                <w:iCs/>
              </w:rPr>
              <w:t>$</w:t>
            </w:r>
            <w:r w:rsidR="00733FBC" w:rsidRPr="00733FBC">
              <w:rPr>
                <w:iCs/>
                <w:color w:val="000000"/>
                <w:spacing w:val="53"/>
                <w:shd w:val="solid" w:color="000000" w:fill="000000"/>
                <w:fitText w:val="330" w:id="-663572223"/>
                <w14:textFill>
                  <w14:solidFill>
                    <w14:srgbClr w14:val="000000">
                      <w14:alpha w14:val="100000"/>
                    </w14:srgbClr>
                  </w14:solidFill>
                </w14:textFill>
              </w:rPr>
              <w:t>|||</w:t>
            </w:r>
            <w:r w:rsidR="00733FBC" w:rsidRPr="00733FBC">
              <w:rPr>
                <w:iCs/>
                <w:color w:val="000000"/>
                <w:spacing w:val="1"/>
                <w:shd w:val="solid" w:color="000000" w:fill="000000"/>
                <w:fitText w:val="330" w:id="-663572223"/>
                <w14:textFill>
                  <w14:solidFill>
                    <w14:srgbClr w14:val="000000">
                      <w14:alpha w14:val="100000"/>
                    </w14:srgbClr>
                  </w14:solidFill>
                </w14:textFill>
              </w:rPr>
              <w:t>|</w:t>
            </w:r>
            <w:r w:rsidR="00C13135">
              <w:rPr>
                <w:iCs/>
              </w:rPr>
              <w:t xml:space="preserve"> </w:t>
            </w:r>
            <w:r w:rsidR="00C13135">
              <w:rPr>
                <w:iCs/>
                <w:vertAlign w:val="superscript"/>
              </w:rPr>
              <w:t>1</w:t>
            </w:r>
          </w:p>
        </w:tc>
      </w:tr>
      <w:tr w:rsidR="00EC05C4" w:rsidRPr="003B6D82" w14:paraId="4F701B82" w14:textId="77777777" w:rsidTr="00EC05C4">
        <w:tc>
          <w:tcPr>
            <w:tcW w:w="3573" w:type="pct"/>
            <w:gridSpan w:val="3"/>
            <w:tcBorders>
              <w:top w:val="single" w:sz="4" w:space="0" w:color="auto"/>
              <w:left w:val="single" w:sz="4" w:space="0" w:color="auto"/>
              <w:bottom w:val="single" w:sz="4" w:space="0" w:color="auto"/>
              <w:right w:val="single" w:sz="4" w:space="0" w:color="auto"/>
            </w:tcBorders>
            <w:hideMark/>
          </w:tcPr>
          <w:p w14:paraId="5584DFD8" w14:textId="77777777" w:rsidR="00EC05C4" w:rsidRPr="003B6D82" w:rsidRDefault="00EC05C4" w:rsidP="005270DE">
            <w:pPr>
              <w:pStyle w:val="TableText0"/>
              <w:widowControl/>
              <w:jc w:val="right"/>
              <w:rPr>
                <w:b/>
                <w:bCs w:val="0"/>
                <w:iCs/>
              </w:rPr>
            </w:pPr>
            <w:r w:rsidRPr="003B6D82">
              <w:rPr>
                <w:b/>
                <w:bCs w:val="0"/>
                <w:iCs/>
              </w:rPr>
              <w:t>Incremental cost per additional year on treatment</w:t>
            </w:r>
          </w:p>
        </w:tc>
        <w:tc>
          <w:tcPr>
            <w:tcW w:w="1427" w:type="pct"/>
            <w:tcBorders>
              <w:top w:val="single" w:sz="4" w:space="0" w:color="auto"/>
              <w:left w:val="single" w:sz="4" w:space="0" w:color="auto"/>
              <w:bottom w:val="single" w:sz="4" w:space="0" w:color="auto"/>
              <w:right w:val="single" w:sz="4" w:space="0" w:color="auto"/>
            </w:tcBorders>
            <w:vAlign w:val="center"/>
            <w:hideMark/>
          </w:tcPr>
          <w:p w14:paraId="658C38E8" w14:textId="66FEF192" w:rsidR="00EC05C4" w:rsidRPr="003B6D82" w:rsidRDefault="00EC05C4" w:rsidP="005270DE">
            <w:pPr>
              <w:pStyle w:val="TableText0"/>
              <w:widowControl/>
              <w:jc w:val="center"/>
              <w:rPr>
                <w:iCs/>
              </w:rPr>
            </w:pPr>
            <w:r w:rsidRPr="003B6D82">
              <w:rPr>
                <w:iCs/>
              </w:rPr>
              <w:t>$</w:t>
            </w:r>
            <w:r w:rsidR="00733FBC" w:rsidRPr="00733FBC">
              <w:rPr>
                <w:iCs/>
                <w:color w:val="000000"/>
                <w:spacing w:val="53"/>
                <w:shd w:val="solid" w:color="000000" w:fill="000000"/>
                <w:fitText w:val="330" w:id="-663572222"/>
                <w14:textFill>
                  <w14:solidFill>
                    <w14:srgbClr w14:val="000000">
                      <w14:alpha w14:val="100000"/>
                    </w14:srgbClr>
                  </w14:solidFill>
                </w14:textFill>
              </w:rPr>
              <w:t>|||</w:t>
            </w:r>
            <w:r w:rsidR="00733FBC" w:rsidRPr="00733FBC">
              <w:rPr>
                <w:iCs/>
                <w:color w:val="000000"/>
                <w:spacing w:val="1"/>
                <w:shd w:val="solid" w:color="000000" w:fill="000000"/>
                <w:fitText w:val="330" w:id="-663572222"/>
                <w14:textFill>
                  <w14:solidFill>
                    <w14:srgbClr w14:val="000000">
                      <w14:alpha w14:val="100000"/>
                    </w14:srgbClr>
                  </w14:solidFill>
                </w14:textFill>
              </w:rPr>
              <w:t>|</w:t>
            </w:r>
            <w:r w:rsidR="00C13135">
              <w:rPr>
                <w:iCs/>
              </w:rPr>
              <w:t xml:space="preserve"> </w:t>
            </w:r>
            <w:r w:rsidR="00C13135">
              <w:rPr>
                <w:iCs/>
                <w:vertAlign w:val="superscript"/>
              </w:rPr>
              <w:t>2</w:t>
            </w:r>
          </w:p>
        </w:tc>
      </w:tr>
      <w:tr w:rsidR="00EC05C4" w:rsidRPr="003B6D82" w14:paraId="18F29764" w14:textId="77777777" w:rsidTr="00EC05C4">
        <w:tc>
          <w:tcPr>
            <w:tcW w:w="3573" w:type="pct"/>
            <w:gridSpan w:val="3"/>
            <w:tcBorders>
              <w:top w:val="single" w:sz="4" w:space="0" w:color="auto"/>
              <w:left w:val="single" w:sz="4" w:space="0" w:color="auto"/>
              <w:bottom w:val="single" w:sz="4" w:space="0" w:color="auto"/>
              <w:right w:val="single" w:sz="4" w:space="0" w:color="auto"/>
            </w:tcBorders>
            <w:hideMark/>
          </w:tcPr>
          <w:p w14:paraId="1ADC3467" w14:textId="77777777" w:rsidR="00EC05C4" w:rsidRPr="003B6D82" w:rsidRDefault="00EC05C4" w:rsidP="005270DE">
            <w:pPr>
              <w:pStyle w:val="TableText0"/>
              <w:widowControl/>
              <w:jc w:val="right"/>
              <w:rPr>
                <w:b/>
                <w:bCs w:val="0"/>
                <w:iCs/>
              </w:rPr>
            </w:pPr>
            <w:r w:rsidRPr="003B6D82">
              <w:rPr>
                <w:b/>
                <w:bCs w:val="0"/>
                <w:iCs/>
              </w:rPr>
              <w:t>Incremental cost per QALY gained</w:t>
            </w:r>
          </w:p>
        </w:tc>
        <w:tc>
          <w:tcPr>
            <w:tcW w:w="1427" w:type="pct"/>
            <w:tcBorders>
              <w:top w:val="single" w:sz="4" w:space="0" w:color="auto"/>
              <w:left w:val="single" w:sz="4" w:space="0" w:color="auto"/>
              <w:bottom w:val="single" w:sz="4" w:space="0" w:color="auto"/>
              <w:right w:val="single" w:sz="4" w:space="0" w:color="auto"/>
            </w:tcBorders>
            <w:vAlign w:val="center"/>
            <w:hideMark/>
          </w:tcPr>
          <w:p w14:paraId="0CD315A8" w14:textId="33F63AD3" w:rsidR="00EC05C4" w:rsidRPr="003B6D82" w:rsidRDefault="00EC05C4" w:rsidP="005270DE">
            <w:pPr>
              <w:pStyle w:val="TableText0"/>
              <w:widowControl/>
              <w:jc w:val="center"/>
              <w:rPr>
                <w:iCs/>
              </w:rPr>
            </w:pPr>
            <w:r w:rsidRPr="003B6D82">
              <w:rPr>
                <w:iCs/>
              </w:rPr>
              <w:t>$</w:t>
            </w:r>
            <w:r w:rsidR="00733FBC" w:rsidRPr="00733FBC">
              <w:rPr>
                <w:iCs/>
                <w:color w:val="000000"/>
                <w:spacing w:val="53"/>
                <w:shd w:val="solid" w:color="000000" w:fill="000000"/>
                <w:fitText w:val="330" w:id="-663572221"/>
                <w14:textFill>
                  <w14:solidFill>
                    <w14:srgbClr w14:val="000000">
                      <w14:alpha w14:val="100000"/>
                    </w14:srgbClr>
                  </w14:solidFill>
                </w14:textFill>
              </w:rPr>
              <w:t>|||</w:t>
            </w:r>
            <w:r w:rsidR="00733FBC" w:rsidRPr="00733FBC">
              <w:rPr>
                <w:iCs/>
                <w:color w:val="000000"/>
                <w:spacing w:val="1"/>
                <w:shd w:val="solid" w:color="000000" w:fill="000000"/>
                <w:fitText w:val="330" w:id="-663572221"/>
                <w14:textFill>
                  <w14:solidFill>
                    <w14:srgbClr w14:val="000000">
                      <w14:alpha w14:val="100000"/>
                    </w14:srgbClr>
                  </w14:solidFill>
                </w14:textFill>
              </w:rPr>
              <w:t>|</w:t>
            </w:r>
            <w:r w:rsidR="00C13135">
              <w:rPr>
                <w:iCs/>
              </w:rPr>
              <w:t xml:space="preserve"> </w:t>
            </w:r>
            <w:r w:rsidR="00C13135">
              <w:rPr>
                <w:iCs/>
                <w:vertAlign w:val="superscript"/>
              </w:rPr>
              <w:t>3</w:t>
            </w:r>
          </w:p>
        </w:tc>
      </w:tr>
      <w:tr w:rsidR="00EC05C4" w:rsidRPr="003B6D82" w14:paraId="6827FE04" w14:textId="77777777" w:rsidTr="00EC05C4">
        <w:trPr>
          <w:trHeight w:val="409"/>
        </w:trPr>
        <w:tc>
          <w:tcPr>
            <w:tcW w:w="5000" w:type="pct"/>
            <w:gridSpan w:val="4"/>
            <w:tcBorders>
              <w:top w:val="single" w:sz="4" w:space="0" w:color="auto"/>
              <w:left w:val="single" w:sz="4" w:space="0" w:color="auto"/>
              <w:bottom w:val="single" w:sz="4" w:space="0" w:color="auto"/>
              <w:right w:val="single" w:sz="4" w:space="0" w:color="auto"/>
            </w:tcBorders>
            <w:hideMark/>
          </w:tcPr>
          <w:p w14:paraId="2DA68423" w14:textId="77777777" w:rsidR="00EC05C4" w:rsidRPr="003B6D82" w:rsidRDefault="00EC05C4" w:rsidP="005270DE">
            <w:pPr>
              <w:pStyle w:val="TableText0"/>
              <w:widowControl/>
              <w:rPr>
                <w:b/>
                <w:bCs w:val="0"/>
                <w:iCs/>
              </w:rPr>
            </w:pPr>
            <w:r w:rsidRPr="003B6D82">
              <w:rPr>
                <w:b/>
                <w:bCs w:val="0"/>
                <w:iCs/>
              </w:rPr>
              <w:t>Step 2: Include standard therapy, thiamine monitoring and supplementation, disease management and terminal care costs</w:t>
            </w:r>
          </w:p>
        </w:tc>
      </w:tr>
      <w:tr w:rsidR="00EC05C4" w:rsidRPr="003B6D82" w14:paraId="6CAD289D" w14:textId="77777777" w:rsidTr="00EC05C4">
        <w:tc>
          <w:tcPr>
            <w:tcW w:w="1425" w:type="pct"/>
            <w:tcBorders>
              <w:top w:val="single" w:sz="4" w:space="0" w:color="auto"/>
              <w:left w:val="single" w:sz="4" w:space="0" w:color="auto"/>
              <w:bottom w:val="single" w:sz="4" w:space="0" w:color="auto"/>
              <w:right w:val="single" w:sz="4" w:space="0" w:color="auto"/>
            </w:tcBorders>
            <w:hideMark/>
          </w:tcPr>
          <w:p w14:paraId="6148CE58" w14:textId="77777777" w:rsidR="00EC05C4" w:rsidRPr="003B6D82" w:rsidRDefault="00EC05C4" w:rsidP="005270DE">
            <w:pPr>
              <w:pStyle w:val="TableText0"/>
              <w:widowControl/>
              <w:rPr>
                <w:iCs/>
              </w:rPr>
            </w:pPr>
            <w:r w:rsidRPr="003B6D82">
              <w:rPr>
                <w:iCs/>
              </w:rPr>
              <w:t>Costs</w:t>
            </w:r>
          </w:p>
        </w:tc>
        <w:tc>
          <w:tcPr>
            <w:tcW w:w="1073" w:type="pct"/>
            <w:tcBorders>
              <w:top w:val="single" w:sz="4" w:space="0" w:color="auto"/>
              <w:left w:val="single" w:sz="4" w:space="0" w:color="auto"/>
              <w:bottom w:val="single" w:sz="4" w:space="0" w:color="auto"/>
              <w:right w:val="single" w:sz="4" w:space="0" w:color="auto"/>
            </w:tcBorders>
            <w:vAlign w:val="bottom"/>
            <w:hideMark/>
          </w:tcPr>
          <w:p w14:paraId="4120FF94" w14:textId="643B63FF" w:rsidR="00EC05C4" w:rsidRPr="003B6D82" w:rsidRDefault="00EC05C4" w:rsidP="005270DE">
            <w:pPr>
              <w:pStyle w:val="TableText0"/>
              <w:widowControl/>
              <w:jc w:val="center"/>
              <w:rPr>
                <w:iCs/>
              </w:rPr>
            </w:pPr>
            <w:r w:rsidRPr="003B6D82">
              <w:rPr>
                <w:iCs/>
              </w:rPr>
              <w:t>$</w:t>
            </w:r>
            <w:r w:rsidR="00733FBC" w:rsidRPr="00733FBC">
              <w:rPr>
                <w:iCs/>
                <w:color w:val="000000"/>
                <w:spacing w:val="53"/>
                <w:shd w:val="solid" w:color="000000" w:fill="000000"/>
                <w:fitText w:val="330" w:id="-663572220"/>
                <w14:textFill>
                  <w14:solidFill>
                    <w14:srgbClr w14:val="000000">
                      <w14:alpha w14:val="100000"/>
                    </w14:srgbClr>
                  </w14:solidFill>
                </w14:textFill>
              </w:rPr>
              <w:t>|||</w:t>
            </w:r>
            <w:r w:rsidR="00733FBC" w:rsidRPr="00733FBC">
              <w:rPr>
                <w:iCs/>
                <w:color w:val="000000"/>
                <w:spacing w:val="1"/>
                <w:shd w:val="solid" w:color="000000" w:fill="000000"/>
                <w:fitText w:val="330" w:id="-663572220"/>
                <w14:textFill>
                  <w14:solidFill>
                    <w14:srgbClr w14:val="000000">
                      <w14:alpha w14:val="100000"/>
                    </w14:srgbClr>
                  </w14:solidFill>
                </w14:textFill>
              </w:rPr>
              <w:t>|</w:t>
            </w:r>
          </w:p>
        </w:tc>
        <w:tc>
          <w:tcPr>
            <w:tcW w:w="1075" w:type="pct"/>
            <w:tcBorders>
              <w:top w:val="single" w:sz="4" w:space="0" w:color="auto"/>
              <w:left w:val="single" w:sz="4" w:space="0" w:color="auto"/>
              <w:bottom w:val="single" w:sz="4" w:space="0" w:color="auto"/>
              <w:right w:val="single" w:sz="4" w:space="0" w:color="auto"/>
            </w:tcBorders>
            <w:vAlign w:val="bottom"/>
            <w:hideMark/>
          </w:tcPr>
          <w:p w14:paraId="29F9A30A" w14:textId="77777777" w:rsidR="00EC05C4" w:rsidRPr="003B6D82" w:rsidRDefault="00EC05C4" w:rsidP="005270DE">
            <w:pPr>
              <w:pStyle w:val="TableText0"/>
              <w:widowControl/>
              <w:jc w:val="center"/>
              <w:rPr>
                <w:iCs/>
              </w:rPr>
            </w:pPr>
            <w:r w:rsidRPr="003B6D82">
              <w:rPr>
                <w:iCs/>
              </w:rPr>
              <w:t>$123,903</w:t>
            </w:r>
          </w:p>
        </w:tc>
        <w:tc>
          <w:tcPr>
            <w:tcW w:w="1427" w:type="pct"/>
            <w:tcBorders>
              <w:top w:val="single" w:sz="4" w:space="0" w:color="auto"/>
              <w:left w:val="single" w:sz="4" w:space="0" w:color="auto"/>
              <w:bottom w:val="single" w:sz="4" w:space="0" w:color="auto"/>
              <w:right w:val="single" w:sz="4" w:space="0" w:color="auto"/>
            </w:tcBorders>
            <w:vAlign w:val="center"/>
            <w:hideMark/>
          </w:tcPr>
          <w:p w14:paraId="68F07B0A" w14:textId="21A2A804" w:rsidR="00EC05C4" w:rsidRPr="003B6D82" w:rsidRDefault="00EC05C4" w:rsidP="005270DE">
            <w:pPr>
              <w:pStyle w:val="TableText0"/>
              <w:widowControl/>
              <w:jc w:val="center"/>
              <w:rPr>
                <w:iCs/>
              </w:rPr>
            </w:pPr>
            <w:r w:rsidRPr="003B6D82">
              <w:rPr>
                <w:iCs/>
              </w:rPr>
              <w:t>$</w:t>
            </w:r>
            <w:r w:rsidR="00733FBC" w:rsidRPr="00733FBC">
              <w:rPr>
                <w:iCs/>
                <w:color w:val="000000"/>
                <w:spacing w:val="53"/>
                <w:shd w:val="solid" w:color="000000" w:fill="000000"/>
                <w:fitText w:val="330" w:id="-663572219"/>
                <w14:textFill>
                  <w14:solidFill>
                    <w14:srgbClr w14:val="000000">
                      <w14:alpha w14:val="100000"/>
                    </w14:srgbClr>
                  </w14:solidFill>
                </w14:textFill>
              </w:rPr>
              <w:t>|||</w:t>
            </w:r>
            <w:r w:rsidR="00733FBC" w:rsidRPr="00733FBC">
              <w:rPr>
                <w:iCs/>
                <w:color w:val="000000"/>
                <w:spacing w:val="1"/>
                <w:shd w:val="solid" w:color="000000" w:fill="000000"/>
                <w:fitText w:val="330" w:id="-663572219"/>
                <w14:textFill>
                  <w14:solidFill>
                    <w14:srgbClr w14:val="000000">
                      <w14:alpha w14:val="100000"/>
                    </w14:srgbClr>
                  </w14:solidFill>
                </w14:textFill>
              </w:rPr>
              <w:t>|</w:t>
            </w:r>
          </w:p>
        </w:tc>
      </w:tr>
      <w:tr w:rsidR="00EC05C4" w:rsidRPr="003B6D82" w14:paraId="5DAE1817" w14:textId="77777777" w:rsidTr="00EC05C4">
        <w:tc>
          <w:tcPr>
            <w:tcW w:w="1425" w:type="pct"/>
            <w:tcBorders>
              <w:top w:val="single" w:sz="4" w:space="0" w:color="auto"/>
              <w:left w:val="single" w:sz="4" w:space="0" w:color="auto"/>
              <w:bottom w:val="single" w:sz="4" w:space="0" w:color="auto"/>
              <w:right w:val="single" w:sz="4" w:space="0" w:color="auto"/>
            </w:tcBorders>
            <w:hideMark/>
          </w:tcPr>
          <w:p w14:paraId="49FC0426" w14:textId="77777777" w:rsidR="00EC05C4" w:rsidRPr="003B6D82" w:rsidRDefault="00EC05C4" w:rsidP="005270DE">
            <w:pPr>
              <w:pStyle w:val="TableText0"/>
              <w:widowControl/>
              <w:rPr>
                <w:iCs/>
              </w:rPr>
            </w:pPr>
            <w:r w:rsidRPr="003B6D82">
              <w:rPr>
                <w:iCs/>
              </w:rPr>
              <w:t>QALYs</w:t>
            </w:r>
          </w:p>
        </w:tc>
        <w:tc>
          <w:tcPr>
            <w:tcW w:w="1073" w:type="pct"/>
            <w:tcBorders>
              <w:top w:val="single" w:sz="4" w:space="0" w:color="auto"/>
              <w:left w:val="single" w:sz="4" w:space="0" w:color="auto"/>
              <w:bottom w:val="single" w:sz="4" w:space="0" w:color="auto"/>
              <w:right w:val="single" w:sz="4" w:space="0" w:color="auto"/>
            </w:tcBorders>
            <w:vAlign w:val="bottom"/>
            <w:hideMark/>
          </w:tcPr>
          <w:p w14:paraId="6437FC0C" w14:textId="77777777" w:rsidR="00EC05C4" w:rsidRPr="003B6D82" w:rsidRDefault="00EC05C4" w:rsidP="005270DE">
            <w:pPr>
              <w:pStyle w:val="TableText0"/>
              <w:widowControl/>
              <w:jc w:val="center"/>
              <w:rPr>
                <w:iCs/>
              </w:rPr>
            </w:pPr>
            <w:r w:rsidRPr="003B6D82">
              <w:rPr>
                <w:iCs/>
              </w:rPr>
              <w:t>1.4751</w:t>
            </w:r>
          </w:p>
        </w:tc>
        <w:tc>
          <w:tcPr>
            <w:tcW w:w="1075" w:type="pct"/>
            <w:tcBorders>
              <w:top w:val="single" w:sz="4" w:space="0" w:color="auto"/>
              <w:left w:val="single" w:sz="4" w:space="0" w:color="auto"/>
              <w:bottom w:val="single" w:sz="4" w:space="0" w:color="auto"/>
              <w:right w:val="single" w:sz="4" w:space="0" w:color="auto"/>
            </w:tcBorders>
            <w:vAlign w:val="bottom"/>
            <w:hideMark/>
          </w:tcPr>
          <w:p w14:paraId="52CD34D2" w14:textId="77777777" w:rsidR="00EC05C4" w:rsidRPr="003B6D82" w:rsidRDefault="00EC05C4" w:rsidP="005270DE">
            <w:pPr>
              <w:pStyle w:val="TableText0"/>
              <w:widowControl/>
              <w:jc w:val="center"/>
              <w:rPr>
                <w:iCs/>
              </w:rPr>
            </w:pPr>
            <w:r w:rsidRPr="003B6D82">
              <w:rPr>
                <w:iCs/>
              </w:rPr>
              <w:t>1.3474</w:t>
            </w:r>
          </w:p>
        </w:tc>
        <w:tc>
          <w:tcPr>
            <w:tcW w:w="1427" w:type="pct"/>
            <w:tcBorders>
              <w:top w:val="single" w:sz="4" w:space="0" w:color="auto"/>
              <w:left w:val="single" w:sz="4" w:space="0" w:color="auto"/>
              <w:bottom w:val="single" w:sz="4" w:space="0" w:color="auto"/>
              <w:right w:val="single" w:sz="4" w:space="0" w:color="auto"/>
            </w:tcBorders>
            <w:vAlign w:val="center"/>
            <w:hideMark/>
          </w:tcPr>
          <w:p w14:paraId="25703BAD" w14:textId="77777777" w:rsidR="00EC05C4" w:rsidRPr="003B6D82" w:rsidRDefault="00EC05C4" w:rsidP="005270DE">
            <w:pPr>
              <w:pStyle w:val="TableText0"/>
              <w:widowControl/>
              <w:jc w:val="center"/>
              <w:rPr>
                <w:iCs/>
              </w:rPr>
            </w:pPr>
            <w:r w:rsidRPr="003B6D82">
              <w:rPr>
                <w:iCs/>
              </w:rPr>
              <w:t>0.1278</w:t>
            </w:r>
          </w:p>
        </w:tc>
      </w:tr>
      <w:tr w:rsidR="00EC05C4" w:rsidRPr="003B6D82" w14:paraId="2DD60819" w14:textId="77777777" w:rsidTr="00EC05C4">
        <w:tc>
          <w:tcPr>
            <w:tcW w:w="3573" w:type="pct"/>
            <w:gridSpan w:val="3"/>
            <w:tcBorders>
              <w:top w:val="single" w:sz="4" w:space="0" w:color="auto"/>
              <w:left w:val="single" w:sz="4" w:space="0" w:color="auto"/>
              <w:bottom w:val="single" w:sz="4" w:space="0" w:color="auto"/>
              <w:right w:val="single" w:sz="4" w:space="0" w:color="auto"/>
            </w:tcBorders>
            <w:hideMark/>
          </w:tcPr>
          <w:p w14:paraId="7ADF05B1" w14:textId="77777777" w:rsidR="00EC05C4" w:rsidRPr="003B6D82" w:rsidRDefault="00EC05C4" w:rsidP="005270DE">
            <w:pPr>
              <w:pStyle w:val="TableText0"/>
              <w:widowControl/>
              <w:jc w:val="right"/>
              <w:rPr>
                <w:b/>
                <w:bCs w:val="0"/>
                <w:iCs/>
              </w:rPr>
            </w:pPr>
            <w:r w:rsidRPr="003B6D82">
              <w:rPr>
                <w:b/>
                <w:bCs w:val="0"/>
                <w:iCs/>
              </w:rPr>
              <w:t>Incremental cost per QALY gained</w:t>
            </w:r>
          </w:p>
        </w:tc>
        <w:tc>
          <w:tcPr>
            <w:tcW w:w="1427" w:type="pct"/>
            <w:tcBorders>
              <w:top w:val="single" w:sz="4" w:space="0" w:color="auto"/>
              <w:left w:val="single" w:sz="4" w:space="0" w:color="auto"/>
              <w:bottom w:val="single" w:sz="4" w:space="0" w:color="auto"/>
              <w:right w:val="single" w:sz="4" w:space="0" w:color="auto"/>
            </w:tcBorders>
            <w:vAlign w:val="center"/>
            <w:hideMark/>
          </w:tcPr>
          <w:p w14:paraId="58EA4140" w14:textId="2F960D79" w:rsidR="00EC05C4" w:rsidRPr="003B6D82" w:rsidRDefault="00EC05C4" w:rsidP="005270DE">
            <w:pPr>
              <w:pStyle w:val="TableText0"/>
              <w:widowControl/>
              <w:jc w:val="center"/>
              <w:rPr>
                <w:iCs/>
              </w:rPr>
            </w:pPr>
            <w:r w:rsidRPr="003B6D82">
              <w:rPr>
                <w:iCs/>
              </w:rPr>
              <w:t>$</w:t>
            </w:r>
            <w:r w:rsidR="00733FBC" w:rsidRPr="00733FBC">
              <w:rPr>
                <w:iCs/>
                <w:color w:val="000000"/>
                <w:spacing w:val="53"/>
                <w:shd w:val="solid" w:color="000000" w:fill="000000"/>
                <w:fitText w:val="330" w:id="-663572218"/>
                <w14:textFill>
                  <w14:solidFill>
                    <w14:srgbClr w14:val="000000">
                      <w14:alpha w14:val="100000"/>
                    </w14:srgbClr>
                  </w14:solidFill>
                </w14:textFill>
              </w:rPr>
              <w:t>|||</w:t>
            </w:r>
            <w:r w:rsidR="00733FBC" w:rsidRPr="00733FBC">
              <w:rPr>
                <w:iCs/>
                <w:color w:val="000000"/>
                <w:spacing w:val="1"/>
                <w:shd w:val="solid" w:color="000000" w:fill="000000"/>
                <w:fitText w:val="330" w:id="-663572218"/>
                <w14:textFill>
                  <w14:solidFill>
                    <w14:srgbClr w14:val="000000">
                      <w14:alpha w14:val="100000"/>
                    </w14:srgbClr>
                  </w14:solidFill>
                </w14:textFill>
              </w:rPr>
              <w:t>|</w:t>
            </w:r>
            <w:r w:rsidR="00C13135">
              <w:rPr>
                <w:iCs/>
              </w:rPr>
              <w:t xml:space="preserve"> </w:t>
            </w:r>
            <w:r w:rsidR="00C13135">
              <w:rPr>
                <w:iCs/>
                <w:vertAlign w:val="superscript"/>
              </w:rPr>
              <w:t>1</w:t>
            </w:r>
          </w:p>
        </w:tc>
      </w:tr>
      <w:tr w:rsidR="00EC05C4" w:rsidRPr="003B6D82" w14:paraId="5B7480AE" w14:textId="77777777" w:rsidTr="00EC05C4">
        <w:tc>
          <w:tcPr>
            <w:tcW w:w="5000" w:type="pct"/>
            <w:gridSpan w:val="4"/>
            <w:tcBorders>
              <w:top w:val="single" w:sz="4" w:space="0" w:color="auto"/>
              <w:left w:val="single" w:sz="4" w:space="0" w:color="auto"/>
              <w:bottom w:val="single" w:sz="4" w:space="0" w:color="auto"/>
              <w:right w:val="single" w:sz="4" w:space="0" w:color="auto"/>
            </w:tcBorders>
            <w:hideMark/>
          </w:tcPr>
          <w:p w14:paraId="07016461" w14:textId="77777777" w:rsidR="00EC05C4" w:rsidRPr="003B6D82" w:rsidRDefault="00EC05C4" w:rsidP="005270DE">
            <w:pPr>
              <w:pStyle w:val="TableText0"/>
              <w:widowControl/>
              <w:rPr>
                <w:b/>
                <w:bCs w:val="0"/>
                <w:iCs/>
              </w:rPr>
            </w:pPr>
            <w:r w:rsidRPr="003B6D82">
              <w:rPr>
                <w:b/>
                <w:bCs w:val="0"/>
                <w:iCs/>
              </w:rPr>
              <w:t>Step 3: Include adverse event costs and disutility values</w:t>
            </w:r>
          </w:p>
        </w:tc>
      </w:tr>
      <w:tr w:rsidR="00EC05C4" w:rsidRPr="003B6D82" w14:paraId="70726471" w14:textId="77777777" w:rsidTr="00EC05C4">
        <w:tc>
          <w:tcPr>
            <w:tcW w:w="1425" w:type="pct"/>
            <w:tcBorders>
              <w:top w:val="single" w:sz="4" w:space="0" w:color="auto"/>
              <w:left w:val="single" w:sz="4" w:space="0" w:color="auto"/>
              <w:bottom w:val="single" w:sz="4" w:space="0" w:color="auto"/>
              <w:right w:val="single" w:sz="4" w:space="0" w:color="auto"/>
            </w:tcBorders>
            <w:hideMark/>
          </w:tcPr>
          <w:p w14:paraId="1F7969D5" w14:textId="77777777" w:rsidR="00EC05C4" w:rsidRPr="003B6D82" w:rsidRDefault="00EC05C4" w:rsidP="005270DE">
            <w:pPr>
              <w:pStyle w:val="TableText0"/>
              <w:widowControl/>
              <w:rPr>
                <w:iCs/>
              </w:rPr>
            </w:pPr>
            <w:r w:rsidRPr="003B6D82">
              <w:rPr>
                <w:iCs/>
              </w:rPr>
              <w:t>Costs</w:t>
            </w:r>
          </w:p>
        </w:tc>
        <w:tc>
          <w:tcPr>
            <w:tcW w:w="1073" w:type="pct"/>
            <w:tcBorders>
              <w:top w:val="single" w:sz="4" w:space="0" w:color="auto"/>
              <w:left w:val="single" w:sz="4" w:space="0" w:color="auto"/>
              <w:bottom w:val="single" w:sz="4" w:space="0" w:color="auto"/>
              <w:right w:val="single" w:sz="4" w:space="0" w:color="auto"/>
            </w:tcBorders>
            <w:vAlign w:val="bottom"/>
            <w:hideMark/>
          </w:tcPr>
          <w:p w14:paraId="0FDDC2F5" w14:textId="0B70A8D5" w:rsidR="00EC05C4" w:rsidRPr="003B6D82" w:rsidRDefault="00EC05C4" w:rsidP="005270DE">
            <w:pPr>
              <w:pStyle w:val="TableText0"/>
              <w:widowControl/>
              <w:jc w:val="center"/>
              <w:rPr>
                <w:iCs/>
              </w:rPr>
            </w:pPr>
            <w:r w:rsidRPr="003B6D82">
              <w:rPr>
                <w:iCs/>
              </w:rPr>
              <w:t>$</w:t>
            </w:r>
            <w:r w:rsidR="00733FBC" w:rsidRPr="00733FBC">
              <w:rPr>
                <w:iCs/>
                <w:color w:val="000000"/>
                <w:spacing w:val="53"/>
                <w:shd w:val="solid" w:color="000000" w:fill="000000"/>
                <w:fitText w:val="330" w:id="-663572217"/>
                <w14:textFill>
                  <w14:solidFill>
                    <w14:srgbClr w14:val="000000">
                      <w14:alpha w14:val="100000"/>
                    </w14:srgbClr>
                  </w14:solidFill>
                </w14:textFill>
              </w:rPr>
              <w:t>|||</w:t>
            </w:r>
            <w:r w:rsidR="00733FBC" w:rsidRPr="00733FBC">
              <w:rPr>
                <w:iCs/>
                <w:color w:val="000000"/>
                <w:spacing w:val="1"/>
                <w:shd w:val="solid" w:color="000000" w:fill="000000"/>
                <w:fitText w:val="330" w:id="-663572217"/>
                <w14:textFill>
                  <w14:solidFill>
                    <w14:srgbClr w14:val="000000">
                      <w14:alpha w14:val="100000"/>
                    </w14:srgbClr>
                  </w14:solidFill>
                </w14:textFill>
              </w:rPr>
              <w:t>|</w:t>
            </w:r>
          </w:p>
        </w:tc>
        <w:tc>
          <w:tcPr>
            <w:tcW w:w="1075" w:type="pct"/>
            <w:tcBorders>
              <w:top w:val="single" w:sz="4" w:space="0" w:color="auto"/>
              <w:left w:val="single" w:sz="4" w:space="0" w:color="auto"/>
              <w:bottom w:val="single" w:sz="4" w:space="0" w:color="auto"/>
              <w:right w:val="single" w:sz="4" w:space="0" w:color="auto"/>
            </w:tcBorders>
            <w:vAlign w:val="bottom"/>
            <w:hideMark/>
          </w:tcPr>
          <w:p w14:paraId="498CFBC8" w14:textId="77777777" w:rsidR="00EC05C4" w:rsidRPr="003B6D82" w:rsidRDefault="00EC05C4" w:rsidP="005270DE">
            <w:pPr>
              <w:pStyle w:val="TableText0"/>
              <w:widowControl/>
              <w:jc w:val="center"/>
              <w:rPr>
                <w:iCs/>
              </w:rPr>
            </w:pPr>
            <w:r w:rsidRPr="003B6D82">
              <w:rPr>
                <w:iCs/>
              </w:rPr>
              <w:t>$126,968</w:t>
            </w:r>
          </w:p>
        </w:tc>
        <w:tc>
          <w:tcPr>
            <w:tcW w:w="1427" w:type="pct"/>
            <w:tcBorders>
              <w:top w:val="single" w:sz="4" w:space="0" w:color="auto"/>
              <w:left w:val="single" w:sz="4" w:space="0" w:color="auto"/>
              <w:bottom w:val="single" w:sz="4" w:space="0" w:color="auto"/>
              <w:right w:val="single" w:sz="4" w:space="0" w:color="auto"/>
            </w:tcBorders>
            <w:vAlign w:val="center"/>
            <w:hideMark/>
          </w:tcPr>
          <w:p w14:paraId="40A40C23" w14:textId="3855D461" w:rsidR="00EC05C4" w:rsidRPr="003B6D82" w:rsidRDefault="00EC05C4" w:rsidP="005270DE">
            <w:pPr>
              <w:pStyle w:val="TableText0"/>
              <w:widowControl/>
              <w:jc w:val="center"/>
              <w:rPr>
                <w:iCs/>
              </w:rPr>
            </w:pPr>
            <w:r w:rsidRPr="003B6D82">
              <w:rPr>
                <w:iCs/>
              </w:rPr>
              <w:t>$</w:t>
            </w:r>
            <w:r w:rsidR="00733FBC" w:rsidRPr="00733FBC">
              <w:rPr>
                <w:iCs/>
                <w:color w:val="000000"/>
                <w:spacing w:val="53"/>
                <w:shd w:val="solid" w:color="000000" w:fill="000000"/>
                <w:fitText w:val="330" w:id="-663572216"/>
                <w14:textFill>
                  <w14:solidFill>
                    <w14:srgbClr w14:val="000000">
                      <w14:alpha w14:val="100000"/>
                    </w14:srgbClr>
                  </w14:solidFill>
                </w14:textFill>
              </w:rPr>
              <w:t>|||</w:t>
            </w:r>
            <w:r w:rsidR="00733FBC" w:rsidRPr="00733FBC">
              <w:rPr>
                <w:iCs/>
                <w:color w:val="000000"/>
                <w:spacing w:val="1"/>
                <w:shd w:val="solid" w:color="000000" w:fill="000000"/>
                <w:fitText w:val="330" w:id="-663572216"/>
                <w14:textFill>
                  <w14:solidFill>
                    <w14:srgbClr w14:val="000000">
                      <w14:alpha w14:val="100000"/>
                    </w14:srgbClr>
                  </w14:solidFill>
                </w14:textFill>
              </w:rPr>
              <w:t>|</w:t>
            </w:r>
          </w:p>
        </w:tc>
      </w:tr>
      <w:tr w:rsidR="00EC05C4" w:rsidRPr="003B6D82" w14:paraId="6F1EADAC" w14:textId="77777777" w:rsidTr="00EC05C4">
        <w:tc>
          <w:tcPr>
            <w:tcW w:w="1425" w:type="pct"/>
            <w:tcBorders>
              <w:top w:val="single" w:sz="4" w:space="0" w:color="auto"/>
              <w:left w:val="single" w:sz="4" w:space="0" w:color="auto"/>
              <w:bottom w:val="single" w:sz="4" w:space="0" w:color="auto"/>
              <w:right w:val="single" w:sz="4" w:space="0" w:color="auto"/>
            </w:tcBorders>
            <w:hideMark/>
          </w:tcPr>
          <w:p w14:paraId="6F84390F" w14:textId="77777777" w:rsidR="00EC05C4" w:rsidRPr="003B6D82" w:rsidRDefault="00EC05C4" w:rsidP="005270DE">
            <w:pPr>
              <w:pStyle w:val="TableText0"/>
              <w:widowControl/>
              <w:rPr>
                <w:iCs/>
              </w:rPr>
            </w:pPr>
            <w:r w:rsidRPr="003B6D82">
              <w:rPr>
                <w:iCs/>
              </w:rPr>
              <w:t>QALYs</w:t>
            </w:r>
          </w:p>
        </w:tc>
        <w:tc>
          <w:tcPr>
            <w:tcW w:w="1073" w:type="pct"/>
            <w:tcBorders>
              <w:top w:val="single" w:sz="4" w:space="0" w:color="auto"/>
              <w:left w:val="single" w:sz="4" w:space="0" w:color="auto"/>
              <w:bottom w:val="single" w:sz="4" w:space="0" w:color="auto"/>
              <w:right w:val="single" w:sz="4" w:space="0" w:color="auto"/>
            </w:tcBorders>
            <w:vAlign w:val="bottom"/>
            <w:hideMark/>
          </w:tcPr>
          <w:p w14:paraId="3E8DF7F3" w14:textId="77777777" w:rsidR="00EC05C4" w:rsidRPr="003B6D82" w:rsidRDefault="00EC05C4" w:rsidP="005270DE">
            <w:pPr>
              <w:pStyle w:val="TableText0"/>
              <w:widowControl/>
              <w:jc w:val="center"/>
              <w:rPr>
                <w:iCs/>
              </w:rPr>
            </w:pPr>
            <w:r w:rsidRPr="003B6D82">
              <w:rPr>
                <w:iCs/>
              </w:rPr>
              <w:t>1.4626</w:t>
            </w:r>
          </w:p>
        </w:tc>
        <w:tc>
          <w:tcPr>
            <w:tcW w:w="1075" w:type="pct"/>
            <w:tcBorders>
              <w:top w:val="single" w:sz="4" w:space="0" w:color="auto"/>
              <w:left w:val="single" w:sz="4" w:space="0" w:color="auto"/>
              <w:bottom w:val="single" w:sz="4" w:space="0" w:color="auto"/>
              <w:right w:val="single" w:sz="4" w:space="0" w:color="auto"/>
            </w:tcBorders>
            <w:vAlign w:val="bottom"/>
            <w:hideMark/>
          </w:tcPr>
          <w:p w14:paraId="676DF6B9" w14:textId="77777777" w:rsidR="00EC05C4" w:rsidRPr="003B6D82" w:rsidRDefault="00EC05C4" w:rsidP="005270DE">
            <w:pPr>
              <w:pStyle w:val="TableText0"/>
              <w:widowControl/>
              <w:jc w:val="center"/>
              <w:rPr>
                <w:iCs/>
              </w:rPr>
            </w:pPr>
            <w:r w:rsidRPr="003B6D82">
              <w:rPr>
                <w:iCs/>
              </w:rPr>
              <w:t>1.3415</w:t>
            </w:r>
          </w:p>
        </w:tc>
        <w:tc>
          <w:tcPr>
            <w:tcW w:w="1427" w:type="pct"/>
            <w:tcBorders>
              <w:top w:val="single" w:sz="4" w:space="0" w:color="auto"/>
              <w:left w:val="single" w:sz="4" w:space="0" w:color="auto"/>
              <w:bottom w:val="single" w:sz="4" w:space="0" w:color="auto"/>
              <w:right w:val="single" w:sz="4" w:space="0" w:color="auto"/>
            </w:tcBorders>
            <w:vAlign w:val="center"/>
            <w:hideMark/>
          </w:tcPr>
          <w:p w14:paraId="009F020F" w14:textId="77777777" w:rsidR="00EC05C4" w:rsidRPr="003B6D82" w:rsidRDefault="00EC05C4" w:rsidP="005270DE">
            <w:pPr>
              <w:pStyle w:val="TableText0"/>
              <w:widowControl/>
              <w:jc w:val="center"/>
              <w:rPr>
                <w:iCs/>
              </w:rPr>
            </w:pPr>
            <w:r w:rsidRPr="003B6D82">
              <w:rPr>
                <w:iCs/>
              </w:rPr>
              <w:t>0.1211</w:t>
            </w:r>
          </w:p>
        </w:tc>
      </w:tr>
      <w:tr w:rsidR="00EC05C4" w:rsidRPr="003B6D82" w14:paraId="3EEC9257" w14:textId="77777777" w:rsidTr="00EC05C4">
        <w:tc>
          <w:tcPr>
            <w:tcW w:w="3573" w:type="pct"/>
            <w:gridSpan w:val="3"/>
            <w:tcBorders>
              <w:top w:val="single" w:sz="4" w:space="0" w:color="auto"/>
              <w:left w:val="single" w:sz="4" w:space="0" w:color="auto"/>
              <w:bottom w:val="single" w:sz="4" w:space="0" w:color="auto"/>
              <w:right w:val="single" w:sz="4" w:space="0" w:color="auto"/>
            </w:tcBorders>
            <w:hideMark/>
          </w:tcPr>
          <w:p w14:paraId="06F9907B" w14:textId="77777777" w:rsidR="00EC05C4" w:rsidRPr="003B6D82" w:rsidRDefault="00EC05C4" w:rsidP="005270DE">
            <w:pPr>
              <w:pStyle w:val="TableText0"/>
              <w:widowControl/>
              <w:jc w:val="right"/>
              <w:rPr>
                <w:b/>
                <w:bCs w:val="0"/>
                <w:iCs/>
              </w:rPr>
            </w:pPr>
            <w:r w:rsidRPr="003B6D82">
              <w:rPr>
                <w:b/>
                <w:bCs w:val="0"/>
                <w:iCs/>
              </w:rPr>
              <w:t>Incremental cost per QALY gained</w:t>
            </w:r>
          </w:p>
        </w:tc>
        <w:tc>
          <w:tcPr>
            <w:tcW w:w="1427" w:type="pct"/>
            <w:tcBorders>
              <w:top w:val="single" w:sz="4" w:space="0" w:color="auto"/>
              <w:left w:val="single" w:sz="4" w:space="0" w:color="auto"/>
              <w:bottom w:val="single" w:sz="4" w:space="0" w:color="auto"/>
              <w:right w:val="single" w:sz="4" w:space="0" w:color="auto"/>
            </w:tcBorders>
            <w:vAlign w:val="center"/>
            <w:hideMark/>
          </w:tcPr>
          <w:p w14:paraId="2F287A67" w14:textId="6FF3B898" w:rsidR="00EC05C4" w:rsidRPr="003B6D82" w:rsidRDefault="00EC05C4" w:rsidP="005270DE">
            <w:pPr>
              <w:pStyle w:val="TableText0"/>
              <w:widowControl/>
              <w:jc w:val="center"/>
              <w:rPr>
                <w:iCs/>
              </w:rPr>
            </w:pPr>
            <w:r w:rsidRPr="003B6D82">
              <w:rPr>
                <w:iCs/>
              </w:rPr>
              <w:t>$</w:t>
            </w:r>
            <w:r w:rsidR="00733FBC" w:rsidRPr="00733FBC">
              <w:rPr>
                <w:iCs/>
                <w:color w:val="000000"/>
                <w:spacing w:val="53"/>
                <w:shd w:val="solid" w:color="000000" w:fill="000000"/>
                <w:fitText w:val="330" w:id="-663572215"/>
                <w14:textFill>
                  <w14:solidFill>
                    <w14:srgbClr w14:val="000000">
                      <w14:alpha w14:val="100000"/>
                    </w14:srgbClr>
                  </w14:solidFill>
                </w14:textFill>
              </w:rPr>
              <w:t>|||</w:t>
            </w:r>
            <w:r w:rsidR="00733FBC" w:rsidRPr="00733FBC">
              <w:rPr>
                <w:iCs/>
                <w:color w:val="000000"/>
                <w:spacing w:val="1"/>
                <w:shd w:val="solid" w:color="000000" w:fill="000000"/>
                <w:fitText w:val="330" w:id="-663572215"/>
                <w14:textFill>
                  <w14:solidFill>
                    <w14:srgbClr w14:val="000000">
                      <w14:alpha w14:val="100000"/>
                    </w14:srgbClr>
                  </w14:solidFill>
                </w14:textFill>
              </w:rPr>
              <w:t>|</w:t>
            </w:r>
            <w:r w:rsidR="00C13135">
              <w:rPr>
                <w:iCs/>
              </w:rPr>
              <w:t xml:space="preserve"> </w:t>
            </w:r>
            <w:r w:rsidR="00C13135">
              <w:rPr>
                <w:iCs/>
                <w:vertAlign w:val="superscript"/>
              </w:rPr>
              <w:t>2</w:t>
            </w:r>
          </w:p>
        </w:tc>
      </w:tr>
      <w:tr w:rsidR="00EC05C4" w:rsidRPr="003B6D82" w14:paraId="49BCF4B4" w14:textId="77777777" w:rsidTr="00EC05C4">
        <w:tc>
          <w:tcPr>
            <w:tcW w:w="5000" w:type="pct"/>
            <w:gridSpan w:val="4"/>
            <w:tcBorders>
              <w:top w:val="single" w:sz="4" w:space="0" w:color="auto"/>
              <w:left w:val="single" w:sz="4" w:space="0" w:color="auto"/>
              <w:bottom w:val="single" w:sz="4" w:space="0" w:color="auto"/>
              <w:right w:val="single" w:sz="4" w:space="0" w:color="auto"/>
            </w:tcBorders>
            <w:hideMark/>
          </w:tcPr>
          <w:p w14:paraId="14B6F40B" w14:textId="77777777" w:rsidR="00EC05C4" w:rsidRPr="003B6D82" w:rsidRDefault="00EC05C4" w:rsidP="005270DE">
            <w:pPr>
              <w:pStyle w:val="TableText0"/>
              <w:widowControl/>
              <w:rPr>
                <w:b/>
                <w:bCs w:val="0"/>
                <w:iCs/>
              </w:rPr>
            </w:pPr>
            <w:r w:rsidRPr="003B6D82">
              <w:rPr>
                <w:b/>
                <w:bCs w:val="0"/>
                <w:iCs/>
              </w:rPr>
              <w:t>Step 4: Extrapolate modelled results to 10 years</w:t>
            </w:r>
          </w:p>
        </w:tc>
      </w:tr>
      <w:tr w:rsidR="00EC05C4" w:rsidRPr="003B6D82" w14:paraId="55F8E5F9" w14:textId="77777777" w:rsidTr="00EC05C4">
        <w:tc>
          <w:tcPr>
            <w:tcW w:w="1425" w:type="pct"/>
            <w:tcBorders>
              <w:top w:val="single" w:sz="4" w:space="0" w:color="auto"/>
              <w:left w:val="single" w:sz="4" w:space="0" w:color="auto"/>
              <w:bottom w:val="single" w:sz="4" w:space="0" w:color="auto"/>
              <w:right w:val="single" w:sz="4" w:space="0" w:color="auto"/>
            </w:tcBorders>
            <w:hideMark/>
          </w:tcPr>
          <w:p w14:paraId="71048BC2" w14:textId="77777777" w:rsidR="00EC05C4" w:rsidRPr="003B6D82" w:rsidRDefault="00EC05C4" w:rsidP="005270DE">
            <w:pPr>
              <w:pStyle w:val="TableText0"/>
              <w:widowControl/>
              <w:rPr>
                <w:iCs/>
              </w:rPr>
            </w:pPr>
            <w:r w:rsidRPr="003B6D82">
              <w:rPr>
                <w:iCs/>
              </w:rPr>
              <w:t>Costs</w:t>
            </w:r>
          </w:p>
        </w:tc>
        <w:tc>
          <w:tcPr>
            <w:tcW w:w="1073" w:type="pct"/>
            <w:tcBorders>
              <w:top w:val="single" w:sz="4" w:space="0" w:color="auto"/>
              <w:left w:val="single" w:sz="4" w:space="0" w:color="auto"/>
              <w:bottom w:val="single" w:sz="4" w:space="0" w:color="auto"/>
              <w:right w:val="single" w:sz="4" w:space="0" w:color="auto"/>
            </w:tcBorders>
            <w:vAlign w:val="bottom"/>
            <w:hideMark/>
          </w:tcPr>
          <w:p w14:paraId="567280AB" w14:textId="41E435AB" w:rsidR="00EC05C4" w:rsidRPr="003B6D82" w:rsidRDefault="00EC05C4" w:rsidP="005270DE">
            <w:pPr>
              <w:pStyle w:val="TableText0"/>
              <w:widowControl/>
              <w:jc w:val="center"/>
              <w:rPr>
                <w:iCs/>
              </w:rPr>
            </w:pPr>
            <w:r w:rsidRPr="003B6D82">
              <w:rPr>
                <w:iCs/>
              </w:rPr>
              <w:t>$</w:t>
            </w:r>
            <w:r w:rsidR="00733FBC" w:rsidRPr="00733FBC">
              <w:rPr>
                <w:iCs/>
                <w:color w:val="000000"/>
                <w:spacing w:val="53"/>
                <w:shd w:val="solid" w:color="000000" w:fill="000000"/>
                <w:fitText w:val="330" w:id="-663572214"/>
                <w14:textFill>
                  <w14:solidFill>
                    <w14:srgbClr w14:val="000000">
                      <w14:alpha w14:val="100000"/>
                    </w14:srgbClr>
                  </w14:solidFill>
                </w14:textFill>
              </w:rPr>
              <w:t>|||</w:t>
            </w:r>
            <w:r w:rsidR="00733FBC" w:rsidRPr="00733FBC">
              <w:rPr>
                <w:iCs/>
                <w:color w:val="000000"/>
                <w:spacing w:val="1"/>
                <w:shd w:val="solid" w:color="000000" w:fill="000000"/>
                <w:fitText w:val="330" w:id="-663572214"/>
                <w14:textFill>
                  <w14:solidFill>
                    <w14:srgbClr w14:val="000000">
                      <w14:alpha w14:val="100000"/>
                    </w14:srgbClr>
                  </w14:solidFill>
                </w14:textFill>
              </w:rPr>
              <w:t>|</w:t>
            </w:r>
          </w:p>
        </w:tc>
        <w:tc>
          <w:tcPr>
            <w:tcW w:w="1075" w:type="pct"/>
            <w:tcBorders>
              <w:top w:val="single" w:sz="4" w:space="0" w:color="auto"/>
              <w:left w:val="single" w:sz="4" w:space="0" w:color="auto"/>
              <w:bottom w:val="single" w:sz="4" w:space="0" w:color="auto"/>
              <w:right w:val="single" w:sz="4" w:space="0" w:color="auto"/>
            </w:tcBorders>
            <w:vAlign w:val="bottom"/>
            <w:hideMark/>
          </w:tcPr>
          <w:p w14:paraId="01BF0F3E" w14:textId="77777777" w:rsidR="00EC05C4" w:rsidRPr="003B6D82" w:rsidRDefault="00EC05C4" w:rsidP="005270DE">
            <w:pPr>
              <w:pStyle w:val="TableText0"/>
              <w:widowControl/>
              <w:jc w:val="center"/>
              <w:rPr>
                <w:iCs/>
              </w:rPr>
            </w:pPr>
            <w:r w:rsidRPr="003B6D82">
              <w:rPr>
                <w:iCs/>
              </w:rPr>
              <w:t>$206,392</w:t>
            </w:r>
          </w:p>
        </w:tc>
        <w:tc>
          <w:tcPr>
            <w:tcW w:w="1427" w:type="pct"/>
            <w:tcBorders>
              <w:top w:val="single" w:sz="4" w:space="0" w:color="auto"/>
              <w:left w:val="single" w:sz="4" w:space="0" w:color="auto"/>
              <w:bottom w:val="single" w:sz="4" w:space="0" w:color="auto"/>
              <w:right w:val="single" w:sz="4" w:space="0" w:color="auto"/>
            </w:tcBorders>
            <w:vAlign w:val="center"/>
            <w:hideMark/>
          </w:tcPr>
          <w:p w14:paraId="19B87F50" w14:textId="0CE733D2" w:rsidR="00EC05C4" w:rsidRPr="003B6D82" w:rsidRDefault="00EC05C4" w:rsidP="005270DE">
            <w:pPr>
              <w:pStyle w:val="TableText0"/>
              <w:widowControl/>
              <w:jc w:val="center"/>
              <w:rPr>
                <w:iCs/>
              </w:rPr>
            </w:pPr>
            <w:r w:rsidRPr="003B6D82">
              <w:rPr>
                <w:iCs/>
              </w:rPr>
              <w:t>$</w:t>
            </w:r>
            <w:r w:rsidR="00733FBC" w:rsidRPr="00733FBC">
              <w:rPr>
                <w:iCs/>
                <w:color w:val="000000"/>
                <w:spacing w:val="53"/>
                <w:shd w:val="solid" w:color="000000" w:fill="000000"/>
                <w:fitText w:val="330" w:id="-663572213"/>
                <w14:textFill>
                  <w14:solidFill>
                    <w14:srgbClr w14:val="000000">
                      <w14:alpha w14:val="100000"/>
                    </w14:srgbClr>
                  </w14:solidFill>
                </w14:textFill>
              </w:rPr>
              <w:t>|||</w:t>
            </w:r>
            <w:r w:rsidR="00733FBC" w:rsidRPr="00733FBC">
              <w:rPr>
                <w:iCs/>
                <w:color w:val="000000"/>
                <w:spacing w:val="1"/>
                <w:shd w:val="solid" w:color="000000" w:fill="000000"/>
                <w:fitText w:val="330" w:id="-663572213"/>
                <w14:textFill>
                  <w14:solidFill>
                    <w14:srgbClr w14:val="000000">
                      <w14:alpha w14:val="100000"/>
                    </w14:srgbClr>
                  </w14:solidFill>
                </w14:textFill>
              </w:rPr>
              <w:t>|</w:t>
            </w:r>
          </w:p>
        </w:tc>
      </w:tr>
      <w:tr w:rsidR="00EC05C4" w:rsidRPr="003B6D82" w14:paraId="0703B508" w14:textId="77777777" w:rsidTr="00EC05C4">
        <w:tc>
          <w:tcPr>
            <w:tcW w:w="1425" w:type="pct"/>
            <w:tcBorders>
              <w:top w:val="single" w:sz="4" w:space="0" w:color="auto"/>
              <w:left w:val="single" w:sz="4" w:space="0" w:color="auto"/>
              <w:bottom w:val="single" w:sz="4" w:space="0" w:color="auto"/>
              <w:right w:val="single" w:sz="4" w:space="0" w:color="auto"/>
            </w:tcBorders>
            <w:hideMark/>
          </w:tcPr>
          <w:p w14:paraId="489B5DFE" w14:textId="77777777" w:rsidR="00EC05C4" w:rsidRPr="003B6D82" w:rsidRDefault="00EC05C4" w:rsidP="005270DE">
            <w:pPr>
              <w:pStyle w:val="TableText0"/>
              <w:widowControl/>
              <w:rPr>
                <w:iCs/>
              </w:rPr>
            </w:pPr>
            <w:r w:rsidRPr="003B6D82">
              <w:rPr>
                <w:iCs/>
              </w:rPr>
              <w:t>QALYs</w:t>
            </w:r>
          </w:p>
        </w:tc>
        <w:tc>
          <w:tcPr>
            <w:tcW w:w="1073" w:type="pct"/>
            <w:tcBorders>
              <w:top w:val="single" w:sz="4" w:space="0" w:color="auto"/>
              <w:left w:val="single" w:sz="4" w:space="0" w:color="auto"/>
              <w:bottom w:val="single" w:sz="4" w:space="0" w:color="auto"/>
              <w:right w:val="single" w:sz="4" w:space="0" w:color="auto"/>
            </w:tcBorders>
            <w:vAlign w:val="bottom"/>
            <w:hideMark/>
          </w:tcPr>
          <w:p w14:paraId="0B71BFA1" w14:textId="77777777" w:rsidR="00EC05C4" w:rsidRPr="003B6D82" w:rsidRDefault="00EC05C4" w:rsidP="005270DE">
            <w:pPr>
              <w:pStyle w:val="TableText0"/>
              <w:widowControl/>
              <w:jc w:val="center"/>
              <w:rPr>
                <w:iCs/>
              </w:rPr>
            </w:pPr>
            <w:r w:rsidRPr="003B6D82">
              <w:rPr>
                <w:iCs/>
              </w:rPr>
              <w:t>2.3125</w:t>
            </w:r>
          </w:p>
        </w:tc>
        <w:tc>
          <w:tcPr>
            <w:tcW w:w="1075" w:type="pct"/>
            <w:tcBorders>
              <w:top w:val="single" w:sz="4" w:space="0" w:color="auto"/>
              <w:left w:val="single" w:sz="4" w:space="0" w:color="auto"/>
              <w:bottom w:val="single" w:sz="4" w:space="0" w:color="auto"/>
              <w:right w:val="single" w:sz="4" w:space="0" w:color="auto"/>
            </w:tcBorders>
            <w:vAlign w:val="bottom"/>
            <w:hideMark/>
          </w:tcPr>
          <w:p w14:paraId="25D13B9D" w14:textId="77777777" w:rsidR="00EC05C4" w:rsidRPr="003B6D82" w:rsidRDefault="00EC05C4" w:rsidP="005270DE">
            <w:pPr>
              <w:pStyle w:val="TableText0"/>
              <w:widowControl/>
              <w:jc w:val="center"/>
              <w:rPr>
                <w:iCs/>
              </w:rPr>
            </w:pPr>
            <w:r w:rsidRPr="003B6D82">
              <w:rPr>
                <w:iCs/>
              </w:rPr>
              <w:t>2.1367</w:t>
            </w:r>
          </w:p>
        </w:tc>
        <w:tc>
          <w:tcPr>
            <w:tcW w:w="1427" w:type="pct"/>
            <w:tcBorders>
              <w:top w:val="single" w:sz="4" w:space="0" w:color="auto"/>
              <w:left w:val="single" w:sz="4" w:space="0" w:color="auto"/>
              <w:bottom w:val="single" w:sz="4" w:space="0" w:color="auto"/>
              <w:right w:val="single" w:sz="4" w:space="0" w:color="auto"/>
            </w:tcBorders>
            <w:vAlign w:val="center"/>
            <w:hideMark/>
          </w:tcPr>
          <w:p w14:paraId="66E8AB62" w14:textId="77777777" w:rsidR="00EC05C4" w:rsidRPr="003B6D82" w:rsidRDefault="00EC05C4" w:rsidP="005270DE">
            <w:pPr>
              <w:pStyle w:val="TableText0"/>
              <w:widowControl/>
              <w:jc w:val="center"/>
              <w:rPr>
                <w:iCs/>
              </w:rPr>
            </w:pPr>
            <w:r w:rsidRPr="003B6D82">
              <w:rPr>
                <w:iCs/>
              </w:rPr>
              <w:t>0.1758</w:t>
            </w:r>
          </w:p>
        </w:tc>
      </w:tr>
      <w:tr w:rsidR="00EC05C4" w:rsidRPr="003B6D82" w14:paraId="200F6FE0" w14:textId="77777777" w:rsidTr="00EC05C4">
        <w:tc>
          <w:tcPr>
            <w:tcW w:w="3573" w:type="pct"/>
            <w:gridSpan w:val="3"/>
            <w:tcBorders>
              <w:top w:val="single" w:sz="4" w:space="0" w:color="auto"/>
              <w:left w:val="single" w:sz="4" w:space="0" w:color="auto"/>
              <w:bottom w:val="single" w:sz="4" w:space="0" w:color="auto"/>
              <w:right w:val="single" w:sz="4" w:space="0" w:color="auto"/>
            </w:tcBorders>
            <w:hideMark/>
          </w:tcPr>
          <w:p w14:paraId="3444B2FF" w14:textId="77777777" w:rsidR="00EC05C4" w:rsidRPr="003B6D82" w:rsidRDefault="00EC05C4" w:rsidP="005270DE">
            <w:pPr>
              <w:pStyle w:val="TableText0"/>
              <w:widowControl/>
              <w:jc w:val="right"/>
              <w:rPr>
                <w:b/>
                <w:bCs w:val="0"/>
                <w:iCs/>
              </w:rPr>
            </w:pPr>
            <w:r w:rsidRPr="003B6D82">
              <w:rPr>
                <w:b/>
                <w:bCs w:val="0"/>
                <w:iCs/>
              </w:rPr>
              <w:t>Incremental cost per QALY gained</w:t>
            </w:r>
          </w:p>
        </w:tc>
        <w:tc>
          <w:tcPr>
            <w:tcW w:w="1427" w:type="pct"/>
            <w:tcBorders>
              <w:top w:val="single" w:sz="4" w:space="0" w:color="auto"/>
              <w:left w:val="single" w:sz="4" w:space="0" w:color="auto"/>
              <w:bottom w:val="single" w:sz="4" w:space="0" w:color="auto"/>
              <w:right w:val="single" w:sz="4" w:space="0" w:color="auto"/>
            </w:tcBorders>
            <w:vAlign w:val="center"/>
            <w:hideMark/>
          </w:tcPr>
          <w:p w14:paraId="4A93B83A" w14:textId="2E1F1EBD" w:rsidR="00EC05C4" w:rsidRPr="003B6D82" w:rsidRDefault="00EC05C4" w:rsidP="005270DE">
            <w:pPr>
              <w:pStyle w:val="TableText0"/>
              <w:widowControl/>
              <w:jc w:val="center"/>
              <w:rPr>
                <w:iCs/>
              </w:rPr>
            </w:pPr>
            <w:r w:rsidRPr="003B6D82">
              <w:rPr>
                <w:iCs/>
              </w:rPr>
              <w:t>$</w:t>
            </w:r>
            <w:r w:rsidR="00733FBC" w:rsidRPr="00733FBC">
              <w:rPr>
                <w:iCs/>
                <w:color w:val="000000"/>
                <w:spacing w:val="53"/>
                <w:shd w:val="solid" w:color="000000" w:fill="000000"/>
                <w:fitText w:val="330" w:id="-663572212"/>
                <w14:textFill>
                  <w14:solidFill>
                    <w14:srgbClr w14:val="000000">
                      <w14:alpha w14:val="100000"/>
                    </w14:srgbClr>
                  </w14:solidFill>
                </w14:textFill>
              </w:rPr>
              <w:t>|||</w:t>
            </w:r>
            <w:r w:rsidR="00733FBC" w:rsidRPr="00733FBC">
              <w:rPr>
                <w:iCs/>
                <w:color w:val="000000"/>
                <w:spacing w:val="1"/>
                <w:shd w:val="solid" w:color="000000" w:fill="000000"/>
                <w:fitText w:val="330" w:id="-663572212"/>
                <w14:textFill>
                  <w14:solidFill>
                    <w14:srgbClr w14:val="000000">
                      <w14:alpha w14:val="100000"/>
                    </w14:srgbClr>
                  </w14:solidFill>
                </w14:textFill>
              </w:rPr>
              <w:t>|</w:t>
            </w:r>
            <w:r w:rsidR="00C13135">
              <w:rPr>
                <w:iCs/>
              </w:rPr>
              <w:t xml:space="preserve"> </w:t>
            </w:r>
            <w:r w:rsidR="00C13135">
              <w:rPr>
                <w:iCs/>
                <w:vertAlign w:val="superscript"/>
              </w:rPr>
              <w:t>1</w:t>
            </w:r>
          </w:p>
        </w:tc>
      </w:tr>
      <w:tr w:rsidR="00EC05C4" w:rsidRPr="003B6D82" w14:paraId="3C5BC9E7" w14:textId="77777777" w:rsidTr="00EC05C4">
        <w:tc>
          <w:tcPr>
            <w:tcW w:w="5000" w:type="pct"/>
            <w:gridSpan w:val="4"/>
            <w:tcBorders>
              <w:top w:val="single" w:sz="4" w:space="0" w:color="auto"/>
              <w:left w:val="single" w:sz="4" w:space="0" w:color="auto"/>
              <w:bottom w:val="single" w:sz="4" w:space="0" w:color="auto"/>
              <w:right w:val="single" w:sz="4" w:space="0" w:color="auto"/>
            </w:tcBorders>
            <w:hideMark/>
          </w:tcPr>
          <w:p w14:paraId="0B439FF2" w14:textId="77777777" w:rsidR="00EC05C4" w:rsidRPr="003B6D82" w:rsidRDefault="00EC05C4" w:rsidP="005270DE">
            <w:pPr>
              <w:pStyle w:val="TableText0"/>
              <w:widowControl/>
              <w:rPr>
                <w:b/>
                <w:bCs w:val="0"/>
                <w:iCs/>
              </w:rPr>
            </w:pPr>
            <w:r w:rsidRPr="003B6D82">
              <w:rPr>
                <w:b/>
                <w:bCs w:val="0"/>
                <w:iCs/>
              </w:rPr>
              <w:t>Step 5: Apply discounting to costs and outcomes</w:t>
            </w:r>
          </w:p>
        </w:tc>
      </w:tr>
      <w:tr w:rsidR="00EC05C4" w:rsidRPr="003B6D82" w14:paraId="39D10D37" w14:textId="77777777" w:rsidTr="00EC05C4">
        <w:tc>
          <w:tcPr>
            <w:tcW w:w="1425" w:type="pct"/>
            <w:tcBorders>
              <w:top w:val="single" w:sz="4" w:space="0" w:color="auto"/>
              <w:left w:val="single" w:sz="4" w:space="0" w:color="auto"/>
              <w:bottom w:val="single" w:sz="4" w:space="0" w:color="auto"/>
              <w:right w:val="single" w:sz="4" w:space="0" w:color="auto"/>
            </w:tcBorders>
            <w:hideMark/>
          </w:tcPr>
          <w:p w14:paraId="285D653B" w14:textId="77777777" w:rsidR="00EC05C4" w:rsidRPr="003B6D82" w:rsidRDefault="00EC05C4" w:rsidP="005270DE">
            <w:pPr>
              <w:pStyle w:val="TableText0"/>
              <w:widowControl/>
              <w:rPr>
                <w:iCs/>
              </w:rPr>
            </w:pPr>
            <w:r w:rsidRPr="003B6D82">
              <w:rPr>
                <w:iCs/>
              </w:rPr>
              <w:t>Costs</w:t>
            </w:r>
          </w:p>
        </w:tc>
        <w:tc>
          <w:tcPr>
            <w:tcW w:w="1073" w:type="pct"/>
            <w:tcBorders>
              <w:top w:val="single" w:sz="4" w:space="0" w:color="auto"/>
              <w:left w:val="single" w:sz="4" w:space="0" w:color="auto"/>
              <w:bottom w:val="single" w:sz="4" w:space="0" w:color="auto"/>
              <w:right w:val="single" w:sz="4" w:space="0" w:color="auto"/>
            </w:tcBorders>
            <w:vAlign w:val="bottom"/>
            <w:hideMark/>
          </w:tcPr>
          <w:p w14:paraId="220158C2" w14:textId="38213F03" w:rsidR="00EC05C4" w:rsidRPr="003B6D82" w:rsidRDefault="00EC05C4" w:rsidP="005270DE">
            <w:pPr>
              <w:pStyle w:val="TableText0"/>
              <w:widowControl/>
              <w:jc w:val="center"/>
              <w:rPr>
                <w:iCs/>
              </w:rPr>
            </w:pPr>
            <w:r w:rsidRPr="003B6D82">
              <w:rPr>
                <w:iCs/>
              </w:rPr>
              <w:t>$</w:t>
            </w:r>
            <w:r w:rsidR="00733FBC" w:rsidRPr="00733FBC">
              <w:rPr>
                <w:iCs/>
                <w:color w:val="000000"/>
                <w:spacing w:val="53"/>
                <w:shd w:val="solid" w:color="000000" w:fill="000000"/>
                <w:fitText w:val="330" w:id="-663572211"/>
                <w14:textFill>
                  <w14:solidFill>
                    <w14:srgbClr w14:val="000000">
                      <w14:alpha w14:val="100000"/>
                    </w14:srgbClr>
                  </w14:solidFill>
                </w14:textFill>
              </w:rPr>
              <w:t>|||</w:t>
            </w:r>
            <w:r w:rsidR="00733FBC" w:rsidRPr="00733FBC">
              <w:rPr>
                <w:iCs/>
                <w:color w:val="000000"/>
                <w:spacing w:val="1"/>
                <w:shd w:val="solid" w:color="000000" w:fill="000000"/>
                <w:fitText w:val="330" w:id="-663572211"/>
                <w14:textFill>
                  <w14:solidFill>
                    <w14:srgbClr w14:val="000000">
                      <w14:alpha w14:val="100000"/>
                    </w14:srgbClr>
                  </w14:solidFill>
                </w14:textFill>
              </w:rPr>
              <w:t>|</w:t>
            </w:r>
          </w:p>
        </w:tc>
        <w:tc>
          <w:tcPr>
            <w:tcW w:w="1075" w:type="pct"/>
            <w:tcBorders>
              <w:top w:val="single" w:sz="4" w:space="0" w:color="auto"/>
              <w:left w:val="single" w:sz="4" w:space="0" w:color="auto"/>
              <w:bottom w:val="single" w:sz="4" w:space="0" w:color="auto"/>
              <w:right w:val="single" w:sz="4" w:space="0" w:color="auto"/>
            </w:tcBorders>
            <w:vAlign w:val="bottom"/>
            <w:hideMark/>
          </w:tcPr>
          <w:p w14:paraId="28B6D987" w14:textId="77777777" w:rsidR="00EC05C4" w:rsidRPr="003B6D82" w:rsidRDefault="00EC05C4" w:rsidP="005270DE">
            <w:pPr>
              <w:pStyle w:val="TableText0"/>
              <w:widowControl/>
              <w:jc w:val="center"/>
              <w:rPr>
                <w:iCs/>
              </w:rPr>
            </w:pPr>
            <w:r w:rsidRPr="003B6D82">
              <w:rPr>
                <w:iCs/>
              </w:rPr>
              <w:t>$187,252</w:t>
            </w:r>
          </w:p>
        </w:tc>
        <w:tc>
          <w:tcPr>
            <w:tcW w:w="1427" w:type="pct"/>
            <w:tcBorders>
              <w:top w:val="single" w:sz="4" w:space="0" w:color="auto"/>
              <w:left w:val="single" w:sz="4" w:space="0" w:color="auto"/>
              <w:bottom w:val="single" w:sz="4" w:space="0" w:color="auto"/>
              <w:right w:val="single" w:sz="4" w:space="0" w:color="auto"/>
            </w:tcBorders>
            <w:vAlign w:val="center"/>
            <w:hideMark/>
          </w:tcPr>
          <w:p w14:paraId="09C3DBB9" w14:textId="3165B310" w:rsidR="00EC05C4" w:rsidRPr="003B6D82" w:rsidRDefault="00EC05C4" w:rsidP="005270DE">
            <w:pPr>
              <w:pStyle w:val="TableText0"/>
              <w:widowControl/>
              <w:jc w:val="center"/>
              <w:rPr>
                <w:iCs/>
              </w:rPr>
            </w:pPr>
            <w:r w:rsidRPr="003B6D82">
              <w:rPr>
                <w:iCs/>
              </w:rPr>
              <w:t>$</w:t>
            </w:r>
            <w:r w:rsidR="00733FBC" w:rsidRPr="00733FBC">
              <w:rPr>
                <w:iCs/>
                <w:color w:val="000000"/>
                <w:spacing w:val="53"/>
                <w:shd w:val="solid" w:color="000000" w:fill="000000"/>
                <w:fitText w:val="330" w:id="-663572210"/>
                <w14:textFill>
                  <w14:solidFill>
                    <w14:srgbClr w14:val="000000">
                      <w14:alpha w14:val="100000"/>
                    </w14:srgbClr>
                  </w14:solidFill>
                </w14:textFill>
              </w:rPr>
              <w:t>|||</w:t>
            </w:r>
            <w:r w:rsidR="00733FBC" w:rsidRPr="00733FBC">
              <w:rPr>
                <w:iCs/>
                <w:color w:val="000000"/>
                <w:spacing w:val="1"/>
                <w:shd w:val="solid" w:color="000000" w:fill="000000"/>
                <w:fitText w:val="330" w:id="-663572210"/>
                <w14:textFill>
                  <w14:solidFill>
                    <w14:srgbClr w14:val="000000">
                      <w14:alpha w14:val="100000"/>
                    </w14:srgbClr>
                  </w14:solidFill>
                </w14:textFill>
              </w:rPr>
              <w:t>|</w:t>
            </w:r>
          </w:p>
        </w:tc>
      </w:tr>
      <w:tr w:rsidR="00EC05C4" w:rsidRPr="003B6D82" w14:paraId="0A14A221" w14:textId="77777777" w:rsidTr="00EC05C4">
        <w:tc>
          <w:tcPr>
            <w:tcW w:w="1425" w:type="pct"/>
            <w:tcBorders>
              <w:top w:val="single" w:sz="4" w:space="0" w:color="auto"/>
              <w:left w:val="single" w:sz="4" w:space="0" w:color="auto"/>
              <w:bottom w:val="single" w:sz="4" w:space="0" w:color="auto"/>
              <w:right w:val="single" w:sz="4" w:space="0" w:color="auto"/>
            </w:tcBorders>
            <w:hideMark/>
          </w:tcPr>
          <w:p w14:paraId="23F4DBFC" w14:textId="77777777" w:rsidR="00EC05C4" w:rsidRPr="003B6D82" w:rsidRDefault="00EC05C4" w:rsidP="005270DE">
            <w:pPr>
              <w:pStyle w:val="TableText0"/>
              <w:widowControl/>
              <w:rPr>
                <w:iCs/>
              </w:rPr>
            </w:pPr>
            <w:r w:rsidRPr="003B6D82">
              <w:rPr>
                <w:iCs/>
              </w:rPr>
              <w:t>QALYs</w:t>
            </w:r>
          </w:p>
        </w:tc>
        <w:tc>
          <w:tcPr>
            <w:tcW w:w="1073" w:type="pct"/>
            <w:tcBorders>
              <w:top w:val="single" w:sz="4" w:space="0" w:color="auto"/>
              <w:left w:val="single" w:sz="4" w:space="0" w:color="auto"/>
              <w:bottom w:val="single" w:sz="4" w:space="0" w:color="auto"/>
              <w:right w:val="single" w:sz="4" w:space="0" w:color="auto"/>
            </w:tcBorders>
            <w:vAlign w:val="bottom"/>
            <w:hideMark/>
          </w:tcPr>
          <w:p w14:paraId="03A826B2" w14:textId="77777777" w:rsidR="00EC05C4" w:rsidRPr="003B6D82" w:rsidRDefault="00EC05C4" w:rsidP="005270DE">
            <w:pPr>
              <w:pStyle w:val="TableText0"/>
              <w:widowControl/>
              <w:jc w:val="center"/>
              <w:rPr>
                <w:iCs/>
              </w:rPr>
            </w:pPr>
            <w:r w:rsidRPr="003B6D82">
              <w:rPr>
                <w:iCs/>
              </w:rPr>
              <w:t>2.1057</w:t>
            </w:r>
          </w:p>
        </w:tc>
        <w:tc>
          <w:tcPr>
            <w:tcW w:w="1075" w:type="pct"/>
            <w:tcBorders>
              <w:top w:val="single" w:sz="4" w:space="0" w:color="auto"/>
              <w:left w:val="single" w:sz="4" w:space="0" w:color="auto"/>
              <w:bottom w:val="single" w:sz="4" w:space="0" w:color="auto"/>
              <w:right w:val="single" w:sz="4" w:space="0" w:color="auto"/>
            </w:tcBorders>
            <w:vAlign w:val="bottom"/>
            <w:hideMark/>
          </w:tcPr>
          <w:p w14:paraId="64E12D77" w14:textId="77777777" w:rsidR="00EC05C4" w:rsidRPr="003B6D82" w:rsidRDefault="00EC05C4" w:rsidP="005270DE">
            <w:pPr>
              <w:pStyle w:val="TableText0"/>
              <w:widowControl/>
              <w:jc w:val="center"/>
              <w:rPr>
                <w:iCs/>
              </w:rPr>
            </w:pPr>
            <w:r w:rsidRPr="003B6D82">
              <w:rPr>
                <w:iCs/>
              </w:rPr>
              <w:t>1.9438</w:t>
            </w:r>
          </w:p>
        </w:tc>
        <w:tc>
          <w:tcPr>
            <w:tcW w:w="1427" w:type="pct"/>
            <w:tcBorders>
              <w:top w:val="single" w:sz="4" w:space="0" w:color="auto"/>
              <w:left w:val="single" w:sz="4" w:space="0" w:color="auto"/>
              <w:bottom w:val="single" w:sz="4" w:space="0" w:color="auto"/>
              <w:right w:val="single" w:sz="4" w:space="0" w:color="auto"/>
            </w:tcBorders>
            <w:vAlign w:val="center"/>
            <w:hideMark/>
          </w:tcPr>
          <w:p w14:paraId="2D9A0DEA" w14:textId="77777777" w:rsidR="00EC05C4" w:rsidRPr="003B6D82" w:rsidRDefault="00EC05C4" w:rsidP="005270DE">
            <w:pPr>
              <w:pStyle w:val="TableText0"/>
              <w:widowControl/>
              <w:jc w:val="center"/>
              <w:rPr>
                <w:iCs/>
              </w:rPr>
            </w:pPr>
            <w:r w:rsidRPr="003B6D82">
              <w:rPr>
                <w:iCs/>
              </w:rPr>
              <w:t>0.1620</w:t>
            </w:r>
          </w:p>
        </w:tc>
      </w:tr>
      <w:tr w:rsidR="00EC05C4" w:rsidRPr="003B6D82" w14:paraId="1495C22E" w14:textId="77777777" w:rsidTr="00EC05C4">
        <w:tc>
          <w:tcPr>
            <w:tcW w:w="3573" w:type="pct"/>
            <w:gridSpan w:val="3"/>
            <w:tcBorders>
              <w:top w:val="single" w:sz="4" w:space="0" w:color="auto"/>
              <w:left w:val="single" w:sz="4" w:space="0" w:color="auto"/>
              <w:bottom w:val="single" w:sz="4" w:space="0" w:color="auto"/>
              <w:right w:val="single" w:sz="4" w:space="0" w:color="auto"/>
            </w:tcBorders>
            <w:hideMark/>
          </w:tcPr>
          <w:p w14:paraId="549C707A" w14:textId="77777777" w:rsidR="00EC05C4" w:rsidRPr="003B6D82" w:rsidRDefault="00EC05C4" w:rsidP="005270DE">
            <w:pPr>
              <w:pStyle w:val="TableText0"/>
              <w:widowControl/>
              <w:jc w:val="right"/>
              <w:rPr>
                <w:b/>
                <w:bCs w:val="0"/>
                <w:iCs/>
              </w:rPr>
            </w:pPr>
            <w:r w:rsidRPr="003B6D82">
              <w:rPr>
                <w:b/>
                <w:bCs w:val="0"/>
                <w:iCs/>
              </w:rPr>
              <w:t>Incremental cost per QALY gained</w:t>
            </w:r>
          </w:p>
        </w:tc>
        <w:tc>
          <w:tcPr>
            <w:tcW w:w="1427" w:type="pct"/>
            <w:tcBorders>
              <w:top w:val="single" w:sz="4" w:space="0" w:color="auto"/>
              <w:left w:val="single" w:sz="4" w:space="0" w:color="auto"/>
              <w:bottom w:val="single" w:sz="4" w:space="0" w:color="auto"/>
              <w:right w:val="single" w:sz="4" w:space="0" w:color="auto"/>
            </w:tcBorders>
            <w:vAlign w:val="center"/>
            <w:hideMark/>
          </w:tcPr>
          <w:p w14:paraId="1093E3C5" w14:textId="0FB81D07" w:rsidR="00EC05C4" w:rsidRPr="003B6D82" w:rsidRDefault="00EC05C4" w:rsidP="005270DE">
            <w:pPr>
              <w:pStyle w:val="TableText0"/>
              <w:widowControl/>
              <w:jc w:val="center"/>
              <w:rPr>
                <w:b/>
                <w:bCs w:val="0"/>
                <w:iCs/>
              </w:rPr>
            </w:pPr>
            <w:r w:rsidRPr="003B6D82">
              <w:rPr>
                <w:b/>
                <w:bCs w:val="0"/>
                <w:iCs/>
              </w:rPr>
              <w:t>$</w:t>
            </w:r>
            <w:r w:rsidR="00733FBC" w:rsidRPr="00733FBC">
              <w:rPr>
                <w:b/>
                <w:bCs w:val="0"/>
                <w:iCs/>
                <w:color w:val="000000"/>
                <w:spacing w:val="58"/>
                <w:shd w:val="solid" w:color="000000" w:fill="000000"/>
                <w:fitText w:val="360" w:id="-663572209"/>
                <w14:textFill>
                  <w14:solidFill>
                    <w14:srgbClr w14:val="000000">
                      <w14:alpha w14:val="100000"/>
                    </w14:srgbClr>
                  </w14:solidFill>
                </w14:textFill>
              </w:rPr>
              <w:t>|||</w:t>
            </w:r>
            <w:r w:rsidR="00733FBC" w:rsidRPr="00733FBC">
              <w:rPr>
                <w:b/>
                <w:bCs w:val="0"/>
                <w:iCs/>
                <w:color w:val="000000"/>
                <w:spacing w:val="3"/>
                <w:shd w:val="solid" w:color="000000" w:fill="000000"/>
                <w:fitText w:val="360" w:id="-663572209"/>
                <w14:textFill>
                  <w14:solidFill>
                    <w14:srgbClr w14:val="000000">
                      <w14:alpha w14:val="100000"/>
                    </w14:srgbClr>
                  </w14:solidFill>
                </w14:textFill>
              </w:rPr>
              <w:t>|</w:t>
            </w:r>
            <w:r w:rsidR="00C13135">
              <w:rPr>
                <w:iCs/>
              </w:rPr>
              <w:t xml:space="preserve"> </w:t>
            </w:r>
            <w:r w:rsidR="00C13135">
              <w:rPr>
                <w:iCs/>
                <w:vertAlign w:val="superscript"/>
              </w:rPr>
              <w:t>1</w:t>
            </w:r>
          </w:p>
        </w:tc>
      </w:tr>
    </w:tbl>
    <w:p w14:paraId="5047085F" w14:textId="77777777" w:rsidR="00EC05C4" w:rsidRPr="003B6D82" w:rsidRDefault="00EC05C4" w:rsidP="005270DE">
      <w:pPr>
        <w:pStyle w:val="COMTablefooter"/>
        <w:keepNext/>
        <w:keepLines/>
        <w:rPr>
          <w:iCs/>
        </w:rPr>
      </w:pPr>
      <w:r w:rsidRPr="003B6D82">
        <w:rPr>
          <w:iCs/>
        </w:rPr>
        <w:t>Source: Table 75, p137 of the submission.</w:t>
      </w:r>
    </w:p>
    <w:p w14:paraId="5018FE0D" w14:textId="77777777" w:rsidR="00EC05C4" w:rsidRPr="003B6D82" w:rsidRDefault="00EC05C4" w:rsidP="005270DE">
      <w:pPr>
        <w:pStyle w:val="COMTablefooter"/>
        <w:keepNext/>
        <w:keepLines/>
        <w:rPr>
          <w:iCs/>
        </w:rPr>
      </w:pPr>
      <w:r w:rsidRPr="003B6D82">
        <w:rPr>
          <w:iCs/>
        </w:rPr>
        <w:t>Abbreviations: JAK, Janus kinase; QALY, quality-adjusted life year.</w:t>
      </w:r>
    </w:p>
    <w:p w14:paraId="69D714E2" w14:textId="77777777" w:rsidR="00EC05C4" w:rsidRDefault="00EC05C4" w:rsidP="005270DE">
      <w:pPr>
        <w:pStyle w:val="COMTablefooter"/>
        <w:keepNext/>
        <w:keepLines/>
        <w:spacing w:after="0"/>
        <w:rPr>
          <w:iCs/>
        </w:rPr>
      </w:pPr>
      <w:r w:rsidRPr="003B6D82">
        <w:rPr>
          <w:iCs/>
        </w:rPr>
        <w:t>Note: Some estimates could not be matched between the submission and the Excel model, but differences were minimal.</w:t>
      </w:r>
    </w:p>
    <w:p w14:paraId="22D2ADBA" w14:textId="77777777" w:rsidR="005270DE" w:rsidRPr="009A6D58" w:rsidRDefault="005270DE" w:rsidP="005270DE">
      <w:pPr>
        <w:keepNext/>
        <w:keepLines/>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75F87B3" w14:textId="1A00CCF9" w:rsidR="005270DE" w:rsidRPr="009A6D58" w:rsidRDefault="005270DE" w:rsidP="005270DE">
      <w:pPr>
        <w:keepNext/>
        <w:keepLines/>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CD3628" w:rsidRPr="00CD3628">
        <w:rPr>
          <w:rFonts w:ascii="Arial Narrow" w:hAnsi="Arial Narrow"/>
          <w:i/>
          <w:sz w:val="18"/>
          <w:szCs w:val="18"/>
        </w:rPr>
        <w:t>$55,000 to &lt; $75,000</w:t>
      </w:r>
    </w:p>
    <w:p w14:paraId="76E58A4F" w14:textId="1CC47D2C" w:rsidR="005270DE" w:rsidRPr="009A6D58" w:rsidRDefault="005270DE" w:rsidP="005270DE">
      <w:pPr>
        <w:keepNext/>
        <w:keepLines/>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E96702" w:rsidRPr="00E96702">
        <w:rPr>
          <w:rFonts w:ascii="Arial Narrow" w:hAnsi="Arial Narrow"/>
          <w:i/>
          <w:sz w:val="18"/>
          <w:szCs w:val="18"/>
        </w:rPr>
        <w:t>$75,000 to &lt; $95,000</w:t>
      </w:r>
    </w:p>
    <w:p w14:paraId="72DE03E4" w14:textId="118BD546" w:rsidR="005270DE" w:rsidRPr="0096670B" w:rsidRDefault="005270DE" w:rsidP="0096670B">
      <w:pPr>
        <w:spacing w:after="120"/>
        <w:rPr>
          <w:rFonts w:ascii="Arial Narrow" w:hAnsi="Arial Narrow"/>
          <w:i/>
          <w:sz w:val="18"/>
          <w:szCs w:val="18"/>
        </w:rPr>
      </w:pPr>
      <w:r w:rsidRPr="00833877">
        <w:rPr>
          <w:rFonts w:ascii="Arial Narrow" w:hAnsi="Arial Narrow"/>
          <w:i/>
          <w:sz w:val="18"/>
          <w:szCs w:val="18"/>
          <w:vertAlign w:val="superscript"/>
        </w:rPr>
        <w:t>3</w:t>
      </w:r>
      <w:r w:rsidRPr="0096670B">
        <w:rPr>
          <w:rFonts w:ascii="Arial Narrow" w:hAnsi="Arial Narrow"/>
          <w:i/>
          <w:sz w:val="18"/>
          <w:szCs w:val="18"/>
          <w:vertAlign w:val="superscript"/>
        </w:rPr>
        <w:t xml:space="preserve"> </w:t>
      </w:r>
      <w:r w:rsidR="00833877" w:rsidRPr="0096670B">
        <w:rPr>
          <w:rFonts w:ascii="Arial Narrow" w:hAnsi="Arial Narrow"/>
          <w:i/>
          <w:sz w:val="18"/>
          <w:szCs w:val="18"/>
        </w:rPr>
        <w:t>$155,000 to &lt; $255,000</w:t>
      </w:r>
    </w:p>
    <w:p w14:paraId="15A936D9" w14:textId="005D48C0" w:rsidR="005C7167" w:rsidRPr="00833877" w:rsidRDefault="00EC05C4" w:rsidP="00833877">
      <w:pPr>
        <w:pStyle w:val="COMexecsummnumbered"/>
        <w:numPr>
          <w:ilvl w:val="1"/>
          <w:numId w:val="3"/>
        </w:numPr>
        <w:rPr>
          <w:i/>
          <w:iCs/>
        </w:rPr>
      </w:pPr>
      <w:r w:rsidRPr="003B6D82">
        <w:rPr>
          <w:iCs/>
        </w:rPr>
        <w:t xml:space="preserve">Based on the economic model, treatment with </w:t>
      </w:r>
      <w:proofErr w:type="spellStart"/>
      <w:r w:rsidRPr="003B6D82">
        <w:rPr>
          <w:iCs/>
        </w:rPr>
        <w:t>fedratinib</w:t>
      </w:r>
      <w:proofErr w:type="spellEnd"/>
      <w:r w:rsidRPr="003B6D82">
        <w:rPr>
          <w:iCs/>
        </w:rPr>
        <w:t xml:space="preserve"> was associated with an incremental cost per QALY gained of </w:t>
      </w:r>
      <w:r w:rsidR="00833877" w:rsidRPr="00833877">
        <w:t>$55,000 to &lt; $75,000</w:t>
      </w:r>
      <w:r w:rsidR="00833877">
        <w:rPr>
          <w:i/>
          <w:iCs/>
        </w:rPr>
        <w:t xml:space="preserve"> </w:t>
      </w:r>
      <w:r w:rsidRPr="00833877">
        <w:rPr>
          <w:iCs/>
        </w:rPr>
        <w:t xml:space="preserve">compared to best available therapy in myelofibrosis patients who were relapsed, refractory or intolerant to </w:t>
      </w:r>
      <w:proofErr w:type="spellStart"/>
      <w:r w:rsidRPr="00833877">
        <w:rPr>
          <w:iCs/>
        </w:rPr>
        <w:t>ruxolitinib</w:t>
      </w:r>
      <w:proofErr w:type="spellEnd"/>
      <w:r w:rsidRPr="00833877">
        <w:rPr>
          <w:iCs/>
        </w:rPr>
        <w:t>.</w:t>
      </w:r>
      <w:r w:rsidR="00E16647" w:rsidRPr="00833877">
        <w:rPr>
          <w:iCs/>
        </w:rPr>
        <w:t xml:space="preserve"> </w:t>
      </w:r>
      <w:r w:rsidR="005C7167" w:rsidRPr="00833877">
        <w:rPr>
          <w:iCs/>
        </w:rPr>
        <w:t xml:space="preserve">The ESC noted the corrected costings for </w:t>
      </w:r>
      <w:proofErr w:type="spellStart"/>
      <w:r w:rsidR="005C7167" w:rsidRPr="00833877">
        <w:rPr>
          <w:iCs/>
        </w:rPr>
        <w:t>ruxolitinib</w:t>
      </w:r>
      <w:proofErr w:type="spellEnd"/>
      <w:r w:rsidR="005C7167" w:rsidRPr="00833877">
        <w:rPr>
          <w:iCs/>
        </w:rPr>
        <w:t xml:space="preserve"> treatment and hospital overnight stays resulted in a substantial increase of the incremental costs associated with </w:t>
      </w:r>
      <w:proofErr w:type="spellStart"/>
      <w:r w:rsidR="005C7167" w:rsidRPr="00833877">
        <w:rPr>
          <w:iCs/>
        </w:rPr>
        <w:t>fedratinib</w:t>
      </w:r>
      <w:proofErr w:type="spellEnd"/>
      <w:r w:rsidR="005C7167" w:rsidRPr="00833877">
        <w:rPr>
          <w:iCs/>
        </w:rPr>
        <w:t xml:space="preserve"> treatment. The </w:t>
      </w:r>
      <w:r w:rsidR="001A16CD" w:rsidRPr="00833877">
        <w:rPr>
          <w:iCs/>
        </w:rPr>
        <w:t xml:space="preserve">PSCR </w:t>
      </w:r>
      <w:r w:rsidR="005C7167" w:rsidRPr="00833877">
        <w:rPr>
          <w:iCs/>
        </w:rPr>
        <w:t xml:space="preserve">acknowledged a revised model base case that accounted only for these two issues (based on </w:t>
      </w:r>
      <w:r w:rsidR="00D603E4" w:rsidRPr="00833877">
        <w:rPr>
          <w:iCs/>
        </w:rPr>
        <w:t xml:space="preserve">assumed </w:t>
      </w:r>
      <w:r w:rsidR="00BA69E9" w:rsidRPr="00833877">
        <w:rPr>
          <w:iCs/>
        </w:rPr>
        <w:t xml:space="preserve">effective </w:t>
      </w:r>
      <w:r w:rsidR="005C7167" w:rsidRPr="00833877">
        <w:rPr>
          <w:iCs/>
        </w:rPr>
        <w:t xml:space="preserve">prices) was </w:t>
      </w:r>
      <w:r w:rsidR="007F0FC9" w:rsidRPr="007F0FC9">
        <w:rPr>
          <w:iCs/>
        </w:rPr>
        <w:t>$155,000 to &lt; $255,000</w:t>
      </w:r>
      <w:r w:rsidR="007F0FC9">
        <w:rPr>
          <w:iCs/>
        </w:rPr>
        <w:t xml:space="preserve"> </w:t>
      </w:r>
      <w:r w:rsidR="005C7167" w:rsidRPr="00833877">
        <w:rPr>
          <w:iCs/>
        </w:rPr>
        <w:t>per QALY gained.</w:t>
      </w:r>
    </w:p>
    <w:p w14:paraId="3C5D428C" w14:textId="689523C8" w:rsidR="00EC05C4" w:rsidRPr="00F879D1" w:rsidRDefault="00EC05C4" w:rsidP="00F40844">
      <w:pPr>
        <w:pStyle w:val="COMexecsummnumbered"/>
        <w:numPr>
          <w:ilvl w:val="1"/>
          <w:numId w:val="3"/>
        </w:numPr>
        <w:rPr>
          <w:iCs/>
        </w:rPr>
      </w:pPr>
      <w:r w:rsidRPr="00F879D1">
        <w:rPr>
          <w:iCs/>
        </w:rPr>
        <w:t>The</w:t>
      </w:r>
      <w:r w:rsidR="001A16CD" w:rsidRPr="00F879D1">
        <w:rPr>
          <w:iCs/>
        </w:rPr>
        <w:t xml:space="preserve"> evaluation and ESC considered</w:t>
      </w:r>
      <w:r w:rsidR="008B752E" w:rsidRPr="00F879D1">
        <w:rPr>
          <w:iCs/>
        </w:rPr>
        <w:t xml:space="preserve"> the</w:t>
      </w:r>
      <w:r w:rsidRPr="00F879D1">
        <w:rPr>
          <w:iCs/>
        </w:rPr>
        <w:t xml:space="preserve"> cost-effectiveness estimate should not be considered reliable due to the disconnect between observed and modelled discontinuation patterns, poorly justified assumptions regarding third-line therapy, inadequate modelling of adverse events, as well as inappropriate treatment and disease management costs.</w:t>
      </w:r>
    </w:p>
    <w:p w14:paraId="60CECEB2" w14:textId="279BE25E" w:rsidR="00EC05C4" w:rsidRPr="003B6D82" w:rsidRDefault="00EC05C4" w:rsidP="00F40844">
      <w:pPr>
        <w:pStyle w:val="COMexecsummnumbered"/>
        <w:numPr>
          <w:ilvl w:val="1"/>
          <w:numId w:val="3"/>
        </w:numPr>
        <w:rPr>
          <w:iCs/>
        </w:rPr>
      </w:pPr>
      <w:r w:rsidRPr="00F879D1">
        <w:rPr>
          <w:iCs/>
        </w:rPr>
        <w:lastRenderedPageBreak/>
        <w:t>The results of key sensitivity analyses</w:t>
      </w:r>
      <w:r w:rsidRPr="003B6D82">
        <w:rPr>
          <w:iCs/>
        </w:rPr>
        <w:t xml:space="preserve"> presented in the submission and conducted during the evaluation are </w:t>
      </w:r>
      <w:r w:rsidRPr="003B6D82">
        <w:rPr>
          <w:iCs/>
          <w:szCs w:val="24"/>
        </w:rPr>
        <w:t xml:space="preserve">summarised in </w:t>
      </w:r>
      <w:r w:rsidRPr="003B6D82">
        <w:rPr>
          <w:iCs/>
          <w:szCs w:val="24"/>
        </w:rPr>
        <w:fldChar w:fldCharType="begin" w:fldLock="1"/>
      </w:r>
      <w:r w:rsidRPr="003B6D82">
        <w:rPr>
          <w:iCs/>
          <w:szCs w:val="24"/>
        </w:rPr>
        <w:instrText xml:space="preserve"> REF _Ref191992000 \h </w:instrText>
      </w:r>
      <w:r w:rsidR="0026544A" w:rsidRPr="003B6D82">
        <w:rPr>
          <w:iCs/>
          <w:szCs w:val="24"/>
        </w:rPr>
        <w:instrText xml:space="preserve"> \* MERGEFORMAT </w:instrText>
      </w:r>
      <w:r w:rsidRPr="003B6D82">
        <w:rPr>
          <w:iCs/>
          <w:szCs w:val="24"/>
        </w:rPr>
      </w:r>
      <w:r w:rsidRPr="003B6D82">
        <w:rPr>
          <w:iCs/>
          <w:szCs w:val="24"/>
        </w:rPr>
        <w:fldChar w:fldCharType="separate"/>
      </w:r>
      <w:r w:rsidR="00A072A5" w:rsidRPr="00A072A5">
        <w:rPr>
          <w:iCs/>
          <w:szCs w:val="24"/>
        </w:rPr>
        <w:t xml:space="preserve">Table </w:t>
      </w:r>
      <w:r w:rsidR="00A072A5" w:rsidRPr="00A072A5">
        <w:rPr>
          <w:iCs/>
          <w:noProof/>
          <w:szCs w:val="24"/>
        </w:rPr>
        <w:t>10</w:t>
      </w:r>
      <w:r w:rsidRPr="003B6D82">
        <w:rPr>
          <w:iCs/>
          <w:szCs w:val="24"/>
        </w:rPr>
        <w:fldChar w:fldCharType="end"/>
      </w:r>
      <w:r w:rsidRPr="003B6D82">
        <w:rPr>
          <w:iCs/>
          <w:szCs w:val="24"/>
        </w:rPr>
        <w:t>.</w:t>
      </w:r>
      <w:r w:rsidR="00D4680D" w:rsidRPr="003B6D82">
        <w:rPr>
          <w:iCs/>
          <w:szCs w:val="24"/>
        </w:rPr>
        <w:t xml:space="preserve"> </w:t>
      </w:r>
    </w:p>
    <w:p w14:paraId="78DC7AB2" w14:textId="52C7BDCC" w:rsidR="00EC05C4" w:rsidRPr="003B6D82" w:rsidRDefault="00EC05C4" w:rsidP="00870C64">
      <w:pPr>
        <w:pStyle w:val="COMTableheadingrow"/>
        <w:rPr>
          <w:rStyle w:val="CommentReference"/>
          <w:iCs/>
          <w:sz w:val="20"/>
          <w:szCs w:val="20"/>
          <w:lang w:val="en-AU"/>
        </w:rPr>
      </w:pPr>
      <w:bookmarkStart w:id="35" w:name="_Ref191992000"/>
      <w:r w:rsidRPr="003B6D82">
        <w:rPr>
          <w:iCs/>
          <w:szCs w:val="20"/>
          <w:lang w:val="en-AU"/>
        </w:rPr>
        <w:t xml:space="preserve">Table </w:t>
      </w:r>
      <w:r w:rsidRPr="003B6D82">
        <w:rPr>
          <w:iCs/>
          <w:szCs w:val="20"/>
          <w:lang w:val="en-AU"/>
        </w:rPr>
        <w:fldChar w:fldCharType="begin" w:fldLock="1"/>
      </w:r>
      <w:r w:rsidRPr="003B6D82">
        <w:rPr>
          <w:iCs/>
          <w:szCs w:val="20"/>
          <w:lang w:val="en-AU"/>
        </w:rPr>
        <w:instrText xml:space="preserve"> SEQ Table \* ARABIC </w:instrText>
      </w:r>
      <w:r w:rsidRPr="003B6D82">
        <w:rPr>
          <w:iCs/>
          <w:szCs w:val="20"/>
          <w:lang w:val="en-AU"/>
        </w:rPr>
        <w:fldChar w:fldCharType="separate"/>
      </w:r>
      <w:r w:rsidR="00A072A5">
        <w:rPr>
          <w:iCs/>
          <w:noProof/>
          <w:szCs w:val="20"/>
          <w:lang w:val="en-AU"/>
        </w:rPr>
        <w:t>10</w:t>
      </w:r>
      <w:r w:rsidRPr="003B6D82">
        <w:rPr>
          <w:iCs/>
          <w:szCs w:val="20"/>
          <w:lang w:val="en-AU"/>
        </w:rPr>
        <w:fldChar w:fldCharType="end"/>
      </w:r>
      <w:bookmarkEnd w:id="35"/>
      <w:r w:rsidRPr="003B6D82">
        <w:rPr>
          <w:rStyle w:val="CommentReference"/>
          <w:iCs/>
          <w:sz w:val="20"/>
          <w:szCs w:val="20"/>
          <w:lang w:val="en-AU"/>
        </w:rPr>
        <w:t xml:space="preserve">: Results of key sensitivity analyses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2"/>
        <w:gridCol w:w="1137"/>
        <w:gridCol w:w="1137"/>
        <w:gridCol w:w="1133"/>
        <w:gridCol w:w="1078"/>
      </w:tblGrid>
      <w:tr w:rsidR="00EC05C4" w:rsidRPr="003B6D82" w14:paraId="27D13676" w14:textId="77777777" w:rsidTr="00051085">
        <w:trPr>
          <w:cantSplit/>
          <w:tblHeader/>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5BFE6B" w14:textId="77777777" w:rsidR="00EC05C4" w:rsidRPr="003B6D82" w:rsidRDefault="00EC05C4" w:rsidP="00870C64">
            <w:pPr>
              <w:pStyle w:val="COMTabletext"/>
              <w:keepNext w:val="0"/>
              <w:rPr>
                <w:b/>
                <w:bCs w:val="0"/>
                <w:iCs/>
              </w:rPr>
            </w:pPr>
            <w:r w:rsidRPr="003B6D82">
              <w:rPr>
                <w:b/>
                <w:bCs w:val="0"/>
                <w:iCs/>
              </w:rPr>
              <w:t>Analyses</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3C1D2D" w14:textId="77777777" w:rsidR="00EC05C4" w:rsidRPr="003B6D82" w:rsidRDefault="00EC05C4" w:rsidP="00870C64">
            <w:pPr>
              <w:pStyle w:val="COMTabletext"/>
              <w:keepNext w:val="0"/>
              <w:jc w:val="center"/>
              <w:rPr>
                <w:b/>
                <w:bCs w:val="0"/>
                <w:iCs/>
              </w:rPr>
            </w:pPr>
            <w:r w:rsidRPr="003B6D82">
              <w:rPr>
                <w:b/>
                <w:bCs w:val="0"/>
                <w:iCs/>
              </w:rPr>
              <w:t>Incremental cost</w:t>
            </w:r>
          </w:p>
        </w:tc>
        <w:tc>
          <w:tcPr>
            <w:tcW w:w="1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37F3B4" w14:textId="77777777" w:rsidR="00EC05C4" w:rsidRPr="003B6D82" w:rsidRDefault="00EC05C4" w:rsidP="00870C64">
            <w:pPr>
              <w:pStyle w:val="COMTabletext"/>
              <w:keepNext w:val="0"/>
              <w:jc w:val="center"/>
              <w:rPr>
                <w:b/>
                <w:bCs w:val="0"/>
                <w:iCs/>
              </w:rPr>
            </w:pPr>
            <w:r w:rsidRPr="003B6D82">
              <w:rPr>
                <w:b/>
                <w:bCs w:val="0"/>
                <w:iCs/>
              </w:rPr>
              <w:t>Incremental QALYs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8D2E9C" w14:textId="77777777" w:rsidR="00EC05C4" w:rsidRPr="003B6D82" w:rsidRDefault="00EC05C4" w:rsidP="00870C64">
            <w:pPr>
              <w:pStyle w:val="COMTabletext"/>
              <w:keepNext w:val="0"/>
              <w:jc w:val="center"/>
              <w:rPr>
                <w:b/>
                <w:bCs w:val="0"/>
                <w:iCs/>
              </w:rPr>
            </w:pPr>
            <w:r w:rsidRPr="003B6D82">
              <w:rPr>
                <w:b/>
                <w:bCs w:val="0"/>
                <w:iCs/>
              </w:rPr>
              <w:t>ICER</w:t>
            </w:r>
          </w:p>
        </w:tc>
        <w:tc>
          <w:tcPr>
            <w:tcW w:w="1079" w:type="dxa"/>
            <w:tcBorders>
              <w:top w:val="single" w:sz="4" w:space="0" w:color="auto"/>
              <w:left w:val="single" w:sz="4" w:space="0" w:color="auto"/>
              <w:bottom w:val="single" w:sz="4" w:space="0" w:color="auto"/>
              <w:right w:val="single" w:sz="4" w:space="0" w:color="auto"/>
            </w:tcBorders>
            <w:vAlign w:val="center"/>
            <w:hideMark/>
          </w:tcPr>
          <w:p w14:paraId="3241F7EE" w14:textId="77777777" w:rsidR="00EC05C4" w:rsidRPr="003B6D82" w:rsidRDefault="00EC05C4" w:rsidP="00870C64">
            <w:pPr>
              <w:pStyle w:val="COMTabletext"/>
              <w:keepNext w:val="0"/>
              <w:jc w:val="center"/>
              <w:rPr>
                <w:b/>
                <w:bCs w:val="0"/>
                <w:iCs/>
              </w:rPr>
            </w:pPr>
            <w:r w:rsidRPr="003B6D82">
              <w:rPr>
                <w:b/>
                <w:bCs w:val="0"/>
                <w:iCs/>
              </w:rPr>
              <w:t>Change from base case ICER</w:t>
            </w:r>
          </w:p>
        </w:tc>
      </w:tr>
      <w:tr w:rsidR="00EC05C4" w:rsidRPr="003B6D82" w14:paraId="72AE0851" w14:textId="77777777" w:rsidTr="00051085">
        <w:trPr>
          <w:cantSplit/>
          <w:tblHeader/>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230DE8" w14:textId="77777777" w:rsidR="00EC05C4" w:rsidRPr="003B6D82" w:rsidRDefault="00EC05C4" w:rsidP="00870C64">
            <w:pPr>
              <w:pStyle w:val="COMTabletext"/>
              <w:keepNext w:val="0"/>
              <w:rPr>
                <w:b/>
                <w:bCs w:val="0"/>
                <w:iCs/>
                <w:vertAlign w:val="superscript"/>
              </w:rPr>
            </w:pPr>
            <w:r w:rsidRPr="003B6D82">
              <w:rPr>
                <w:b/>
                <w:bCs w:val="0"/>
                <w:iCs/>
              </w:rPr>
              <w:t>Base case</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D94A3B" w14:textId="69E2542E" w:rsidR="00EC05C4" w:rsidRPr="003B6D82" w:rsidRDefault="00EC05C4" w:rsidP="00870C64">
            <w:pPr>
              <w:pStyle w:val="COMTabletext"/>
              <w:keepNext w:val="0"/>
              <w:jc w:val="center"/>
              <w:rPr>
                <w:b/>
                <w:bCs w:val="0"/>
                <w:iCs/>
              </w:rPr>
            </w:pPr>
            <w:r w:rsidRPr="003B6D82">
              <w:rPr>
                <w:b/>
                <w:bCs w:val="0"/>
                <w:iCs/>
              </w:rPr>
              <w:t>$</w:t>
            </w:r>
            <w:r w:rsidR="00733FBC" w:rsidRPr="00733FBC">
              <w:rPr>
                <w:b/>
                <w:bCs w:val="0"/>
                <w:iCs/>
                <w:color w:val="000000"/>
                <w:spacing w:val="55"/>
                <w:shd w:val="solid" w:color="000000" w:fill="000000"/>
                <w:fitText w:val="350" w:id="-663572208"/>
                <w14:textFill>
                  <w14:solidFill>
                    <w14:srgbClr w14:val="000000">
                      <w14:alpha w14:val="100000"/>
                    </w14:srgbClr>
                  </w14:solidFill>
                </w14:textFill>
              </w:rPr>
              <w:t>|||</w:t>
            </w:r>
            <w:r w:rsidR="00733FBC" w:rsidRPr="00733FBC">
              <w:rPr>
                <w:b/>
                <w:bCs w:val="0"/>
                <w:iCs/>
                <w:color w:val="000000"/>
                <w:spacing w:val="2"/>
                <w:shd w:val="solid" w:color="000000" w:fill="000000"/>
                <w:fitText w:val="350" w:id="-663572208"/>
                <w14:textFill>
                  <w14:solidFill>
                    <w14:srgbClr w14:val="000000">
                      <w14:alpha w14:val="100000"/>
                    </w14:srgbClr>
                  </w14:solidFill>
                </w14:textFill>
              </w:rPr>
              <w:t>|</w:t>
            </w:r>
          </w:p>
        </w:tc>
        <w:tc>
          <w:tcPr>
            <w:tcW w:w="1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01A82D" w14:textId="77777777" w:rsidR="00EC05C4" w:rsidRPr="003B6D82" w:rsidRDefault="00EC05C4" w:rsidP="00870C64">
            <w:pPr>
              <w:pStyle w:val="COMTabletext"/>
              <w:keepNext w:val="0"/>
              <w:jc w:val="center"/>
              <w:rPr>
                <w:b/>
                <w:bCs w:val="0"/>
                <w:iCs/>
              </w:rPr>
            </w:pPr>
            <w:r w:rsidRPr="003B6D82">
              <w:rPr>
                <w:b/>
                <w:bCs w:val="0"/>
                <w:iCs/>
              </w:rPr>
              <w:t>0.1620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9DB22C" w14:textId="594F44D9" w:rsidR="00EC05C4" w:rsidRPr="007F0FC9" w:rsidRDefault="00EC05C4" w:rsidP="00870C64">
            <w:pPr>
              <w:pStyle w:val="COMTabletext"/>
              <w:keepNext w:val="0"/>
              <w:jc w:val="center"/>
              <w:rPr>
                <w:b/>
                <w:bCs w:val="0"/>
                <w:iCs/>
                <w:vertAlign w:val="superscript"/>
              </w:rPr>
            </w:pPr>
            <w:r w:rsidRPr="003B6D82">
              <w:rPr>
                <w:b/>
                <w:bCs w:val="0"/>
                <w:iCs/>
              </w:rPr>
              <w:t>$</w:t>
            </w:r>
            <w:r w:rsidR="00733FBC" w:rsidRPr="00733FBC">
              <w:rPr>
                <w:b/>
                <w:bCs w:val="0"/>
                <w:iCs/>
                <w:color w:val="000000"/>
                <w:spacing w:val="58"/>
                <w:shd w:val="solid" w:color="000000" w:fill="000000"/>
                <w:fitText w:val="360" w:id="-663572224"/>
                <w14:textFill>
                  <w14:solidFill>
                    <w14:srgbClr w14:val="000000">
                      <w14:alpha w14:val="100000"/>
                    </w14:srgbClr>
                  </w14:solidFill>
                </w14:textFill>
              </w:rPr>
              <w:t>|||</w:t>
            </w:r>
            <w:r w:rsidR="00733FBC" w:rsidRPr="00733FBC">
              <w:rPr>
                <w:b/>
                <w:bCs w:val="0"/>
                <w:iCs/>
                <w:color w:val="000000"/>
                <w:spacing w:val="3"/>
                <w:shd w:val="solid" w:color="000000" w:fill="000000"/>
                <w:fitText w:val="360" w:id="-663572224"/>
                <w14:textFill>
                  <w14:solidFill>
                    <w14:srgbClr w14:val="000000">
                      <w14:alpha w14:val="100000"/>
                    </w14:srgbClr>
                  </w14:solidFill>
                </w14:textFill>
              </w:rPr>
              <w:t>|</w:t>
            </w:r>
            <w:r w:rsidR="007F0FC9">
              <w:rPr>
                <w:b/>
                <w:bCs w:val="0"/>
                <w:iCs/>
              </w:rPr>
              <w:t xml:space="preserve"> </w:t>
            </w:r>
            <w:r w:rsidR="007F0FC9">
              <w:rPr>
                <w:b/>
                <w:bCs w:val="0"/>
                <w:iCs/>
                <w:vertAlign w:val="superscript"/>
              </w:rPr>
              <w:t>1</w:t>
            </w:r>
          </w:p>
        </w:tc>
        <w:tc>
          <w:tcPr>
            <w:tcW w:w="1079" w:type="dxa"/>
            <w:tcBorders>
              <w:top w:val="single" w:sz="4" w:space="0" w:color="auto"/>
              <w:left w:val="single" w:sz="4" w:space="0" w:color="auto"/>
              <w:bottom w:val="single" w:sz="4" w:space="0" w:color="auto"/>
              <w:right w:val="single" w:sz="4" w:space="0" w:color="auto"/>
            </w:tcBorders>
            <w:vAlign w:val="center"/>
            <w:hideMark/>
          </w:tcPr>
          <w:p w14:paraId="18C90413" w14:textId="77777777" w:rsidR="00EC05C4" w:rsidRPr="003B6D82" w:rsidRDefault="00EC05C4" w:rsidP="00870C64">
            <w:pPr>
              <w:pStyle w:val="COMTabletext"/>
              <w:keepNext w:val="0"/>
              <w:jc w:val="center"/>
              <w:rPr>
                <w:b/>
                <w:bCs w:val="0"/>
                <w:iCs/>
              </w:rPr>
            </w:pPr>
            <w:r w:rsidRPr="003B6D82">
              <w:rPr>
                <w:b/>
                <w:bCs w:val="0"/>
                <w:iCs/>
              </w:rPr>
              <w:t>-</w:t>
            </w:r>
          </w:p>
        </w:tc>
      </w:tr>
      <w:tr w:rsidR="00EC05C4" w:rsidRPr="003B6D82" w14:paraId="2D414E72" w14:textId="77777777" w:rsidTr="00051085">
        <w:trPr>
          <w:cantSplit/>
        </w:trPr>
        <w:tc>
          <w:tcPr>
            <w:tcW w:w="901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820D34" w14:textId="77777777" w:rsidR="00EC05C4" w:rsidRPr="003B6D82" w:rsidRDefault="00EC05C4" w:rsidP="00870C64">
            <w:pPr>
              <w:pStyle w:val="COMTabletext"/>
              <w:keepNext w:val="0"/>
              <w:rPr>
                <w:b/>
                <w:bCs w:val="0"/>
                <w:iCs/>
              </w:rPr>
            </w:pPr>
            <w:r w:rsidRPr="003B6D82">
              <w:rPr>
                <w:b/>
                <w:bCs w:val="0"/>
                <w:iCs/>
              </w:rPr>
              <w:t>Discount rate (base case: 5% for benefits and costs)</w:t>
            </w:r>
          </w:p>
        </w:tc>
      </w:tr>
      <w:tr w:rsidR="00EC05C4" w:rsidRPr="003B6D82" w14:paraId="54FAFFFF" w14:textId="77777777" w:rsidTr="00051085">
        <w:trPr>
          <w:cantSplit/>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6B3AFD" w14:textId="77777777" w:rsidR="00EC05C4" w:rsidRPr="003B6D82" w:rsidRDefault="00EC05C4" w:rsidP="00870C64">
            <w:pPr>
              <w:pStyle w:val="COMTabletext"/>
              <w:keepNext w:val="0"/>
              <w:rPr>
                <w:iCs/>
              </w:rPr>
            </w:pPr>
            <w:r w:rsidRPr="003B6D82">
              <w:rPr>
                <w:iCs/>
              </w:rPr>
              <w:t>3.5% discount rate</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C2D200" w14:textId="7405BCF9" w:rsidR="00EC05C4" w:rsidRPr="003B6D82" w:rsidRDefault="00EC05C4" w:rsidP="00870C64">
            <w:pPr>
              <w:pStyle w:val="COMTabletext"/>
              <w:keepNext w:val="0"/>
              <w:jc w:val="center"/>
              <w:rPr>
                <w:iCs/>
              </w:rPr>
            </w:pPr>
            <w:r w:rsidRPr="003B6D82">
              <w:rPr>
                <w:iCs/>
              </w:rPr>
              <w:t>$</w:t>
            </w:r>
            <w:r w:rsidR="00733FBC" w:rsidRPr="00733FBC">
              <w:rPr>
                <w:iCs/>
                <w:color w:val="000000"/>
                <w:spacing w:val="49"/>
                <w:shd w:val="solid" w:color="000000" w:fill="000000"/>
                <w:fitText w:val="320" w:id="-663572223"/>
                <w14:textFill>
                  <w14:solidFill>
                    <w14:srgbClr w14:val="000000">
                      <w14:alpha w14:val="100000"/>
                    </w14:srgbClr>
                  </w14:solidFill>
                </w14:textFill>
              </w:rPr>
              <w:t>|||</w:t>
            </w:r>
            <w:r w:rsidR="00733FBC" w:rsidRPr="00733FBC">
              <w:rPr>
                <w:iCs/>
                <w:color w:val="000000"/>
                <w:spacing w:val="3"/>
                <w:shd w:val="solid" w:color="000000" w:fill="000000"/>
                <w:fitText w:val="320" w:id="-663572223"/>
                <w14:textFill>
                  <w14:solidFill>
                    <w14:srgbClr w14:val="000000">
                      <w14:alpha w14:val="100000"/>
                    </w14:srgbClr>
                  </w14:solidFill>
                </w14:textFill>
              </w:rPr>
              <w:t>|</w:t>
            </w:r>
          </w:p>
        </w:tc>
        <w:tc>
          <w:tcPr>
            <w:tcW w:w="1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FF3EE4" w14:textId="77777777" w:rsidR="00EC05C4" w:rsidRPr="003B6D82" w:rsidRDefault="00EC05C4" w:rsidP="00870C64">
            <w:pPr>
              <w:pStyle w:val="COMTabletext"/>
              <w:keepNext w:val="0"/>
              <w:jc w:val="center"/>
              <w:rPr>
                <w:iCs/>
              </w:rPr>
            </w:pPr>
            <w:r w:rsidRPr="003B6D82">
              <w:rPr>
                <w:iCs/>
              </w:rPr>
              <w:t>0.1658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1C7217" w14:textId="561282BC" w:rsidR="00EC05C4" w:rsidRPr="003B6D82" w:rsidRDefault="00EC05C4" w:rsidP="00870C64">
            <w:pPr>
              <w:pStyle w:val="COMTabletext"/>
              <w:keepNext w:val="0"/>
              <w:jc w:val="center"/>
              <w:rPr>
                <w:iCs/>
              </w:rPr>
            </w:pPr>
            <w:r w:rsidRPr="003B6D82">
              <w:rPr>
                <w:iCs/>
              </w:rPr>
              <w:t>$</w:t>
            </w:r>
            <w:r w:rsidR="00733FBC" w:rsidRPr="00733FBC">
              <w:rPr>
                <w:iCs/>
                <w:color w:val="000000"/>
                <w:spacing w:val="53"/>
                <w:shd w:val="solid" w:color="000000" w:fill="000000"/>
                <w:fitText w:val="330" w:id="-663572222"/>
                <w14:textFill>
                  <w14:solidFill>
                    <w14:srgbClr w14:val="000000">
                      <w14:alpha w14:val="100000"/>
                    </w14:srgbClr>
                  </w14:solidFill>
                </w14:textFill>
              </w:rPr>
              <w:t>|||</w:t>
            </w:r>
            <w:r w:rsidR="00733FBC" w:rsidRPr="00733FBC">
              <w:rPr>
                <w:iCs/>
                <w:color w:val="000000"/>
                <w:spacing w:val="1"/>
                <w:shd w:val="solid" w:color="000000" w:fill="000000"/>
                <w:fitText w:val="330" w:id="-663572222"/>
                <w14:textFill>
                  <w14:solidFill>
                    <w14:srgbClr w14:val="000000">
                      <w14:alpha w14:val="100000"/>
                    </w14:srgbClr>
                  </w14:solidFill>
                </w14:textFill>
              </w:rPr>
              <w:t>|</w:t>
            </w:r>
            <w:r w:rsidR="007F0FC9">
              <w:rPr>
                <w:b/>
                <w:bCs w:val="0"/>
                <w:iCs/>
              </w:rPr>
              <w:t xml:space="preserve"> </w:t>
            </w:r>
            <w:r w:rsidR="007F0FC9">
              <w:rPr>
                <w:b/>
                <w:bCs w:val="0"/>
                <w:iCs/>
                <w:vertAlign w:val="superscript"/>
              </w:rPr>
              <w:t>1</w:t>
            </w:r>
          </w:p>
        </w:tc>
        <w:tc>
          <w:tcPr>
            <w:tcW w:w="1079" w:type="dxa"/>
            <w:tcBorders>
              <w:top w:val="single" w:sz="4" w:space="0" w:color="auto"/>
              <w:left w:val="single" w:sz="4" w:space="0" w:color="auto"/>
              <w:bottom w:val="single" w:sz="4" w:space="0" w:color="auto"/>
              <w:right w:val="single" w:sz="4" w:space="0" w:color="auto"/>
            </w:tcBorders>
            <w:vAlign w:val="center"/>
            <w:hideMark/>
          </w:tcPr>
          <w:p w14:paraId="4251BE36" w14:textId="3BC54BD9" w:rsidR="00EC05C4" w:rsidRPr="003B6D82" w:rsidRDefault="00EC05C4" w:rsidP="00870C64">
            <w:pPr>
              <w:pStyle w:val="COMTabletext"/>
              <w:keepNext w:val="0"/>
              <w:jc w:val="center"/>
              <w:rPr>
                <w:iCs/>
              </w:rPr>
            </w:pPr>
            <w:r w:rsidRPr="003B6D82">
              <w:rPr>
                <w:iCs/>
              </w:rPr>
              <w:t>-</w:t>
            </w:r>
            <w:r w:rsidR="00733FBC" w:rsidRPr="00733FBC">
              <w:rPr>
                <w:iCs/>
                <w:color w:val="000000"/>
                <w:spacing w:val="53"/>
                <w:shd w:val="solid" w:color="000000" w:fill="000000"/>
                <w:fitText w:val="330" w:id="-663572221"/>
                <w14:textFill>
                  <w14:solidFill>
                    <w14:srgbClr w14:val="000000">
                      <w14:alpha w14:val="100000"/>
                    </w14:srgbClr>
                  </w14:solidFill>
                </w14:textFill>
              </w:rPr>
              <w:t>|||</w:t>
            </w:r>
            <w:r w:rsidR="00733FBC" w:rsidRPr="00733FBC">
              <w:rPr>
                <w:iCs/>
                <w:color w:val="000000"/>
                <w:spacing w:val="1"/>
                <w:shd w:val="solid" w:color="000000" w:fill="000000"/>
                <w:fitText w:val="330" w:id="-663572221"/>
                <w14:textFill>
                  <w14:solidFill>
                    <w14:srgbClr w14:val="000000">
                      <w14:alpha w14:val="100000"/>
                    </w14:srgbClr>
                  </w14:solidFill>
                </w14:textFill>
              </w:rPr>
              <w:t>|</w:t>
            </w:r>
            <w:r w:rsidRPr="003B6D82">
              <w:rPr>
                <w:iCs/>
              </w:rPr>
              <w:t>%</w:t>
            </w:r>
          </w:p>
        </w:tc>
      </w:tr>
      <w:tr w:rsidR="00EC05C4" w:rsidRPr="003B6D82" w14:paraId="7C6DB426" w14:textId="77777777" w:rsidTr="00051085">
        <w:trPr>
          <w:cantSplit/>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3BC66F" w14:textId="77777777" w:rsidR="00EC05C4" w:rsidRPr="003B6D82" w:rsidRDefault="00EC05C4" w:rsidP="00870C64">
            <w:pPr>
              <w:pStyle w:val="COMTabletext"/>
              <w:keepNext w:val="0"/>
              <w:rPr>
                <w:iCs/>
              </w:rPr>
            </w:pPr>
            <w:r w:rsidRPr="003B6D82">
              <w:rPr>
                <w:iCs/>
              </w:rPr>
              <w:t>0% discount rate</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386045" w14:textId="4B74DA70" w:rsidR="00EC05C4" w:rsidRPr="003B6D82" w:rsidRDefault="00EC05C4" w:rsidP="00870C64">
            <w:pPr>
              <w:pStyle w:val="COMTabletext"/>
              <w:keepNext w:val="0"/>
              <w:jc w:val="center"/>
              <w:rPr>
                <w:iCs/>
              </w:rPr>
            </w:pPr>
            <w:r w:rsidRPr="003B6D82">
              <w:rPr>
                <w:iCs/>
              </w:rPr>
              <w:t>$</w:t>
            </w:r>
            <w:r w:rsidR="00733FBC" w:rsidRPr="00733FBC">
              <w:rPr>
                <w:iCs/>
                <w:color w:val="000000"/>
                <w:spacing w:val="49"/>
                <w:shd w:val="solid" w:color="000000" w:fill="000000"/>
                <w:fitText w:val="320" w:id="-663572220"/>
                <w14:textFill>
                  <w14:solidFill>
                    <w14:srgbClr w14:val="000000">
                      <w14:alpha w14:val="100000"/>
                    </w14:srgbClr>
                  </w14:solidFill>
                </w14:textFill>
              </w:rPr>
              <w:t>|||</w:t>
            </w:r>
            <w:r w:rsidR="00733FBC" w:rsidRPr="00733FBC">
              <w:rPr>
                <w:iCs/>
                <w:color w:val="000000"/>
                <w:spacing w:val="3"/>
                <w:shd w:val="solid" w:color="000000" w:fill="000000"/>
                <w:fitText w:val="320" w:id="-663572220"/>
                <w14:textFill>
                  <w14:solidFill>
                    <w14:srgbClr w14:val="000000">
                      <w14:alpha w14:val="100000"/>
                    </w14:srgbClr>
                  </w14:solidFill>
                </w14:textFill>
              </w:rPr>
              <w:t>|</w:t>
            </w:r>
          </w:p>
        </w:tc>
        <w:tc>
          <w:tcPr>
            <w:tcW w:w="1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D22FFF" w14:textId="77777777" w:rsidR="00EC05C4" w:rsidRPr="003B6D82" w:rsidRDefault="00EC05C4" w:rsidP="00870C64">
            <w:pPr>
              <w:pStyle w:val="COMTabletext"/>
              <w:keepNext w:val="0"/>
              <w:jc w:val="center"/>
              <w:rPr>
                <w:iCs/>
              </w:rPr>
            </w:pPr>
            <w:r w:rsidRPr="003B6D82">
              <w:rPr>
                <w:iCs/>
              </w:rPr>
              <w:t>0.1758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885049" w14:textId="07C44132" w:rsidR="00EC05C4" w:rsidRPr="003B6D82" w:rsidRDefault="00EC05C4" w:rsidP="00870C64">
            <w:pPr>
              <w:pStyle w:val="COMTabletext"/>
              <w:keepNext w:val="0"/>
              <w:jc w:val="center"/>
              <w:rPr>
                <w:iCs/>
              </w:rPr>
            </w:pPr>
            <w:r w:rsidRPr="003B6D82">
              <w:rPr>
                <w:iCs/>
              </w:rPr>
              <w:t>$</w:t>
            </w:r>
            <w:r w:rsidR="00733FBC" w:rsidRPr="00733FBC">
              <w:rPr>
                <w:iCs/>
                <w:color w:val="000000"/>
                <w:spacing w:val="53"/>
                <w:shd w:val="solid" w:color="000000" w:fill="000000"/>
                <w:fitText w:val="330" w:id="-663572219"/>
                <w14:textFill>
                  <w14:solidFill>
                    <w14:srgbClr w14:val="000000">
                      <w14:alpha w14:val="100000"/>
                    </w14:srgbClr>
                  </w14:solidFill>
                </w14:textFill>
              </w:rPr>
              <w:t>|||</w:t>
            </w:r>
            <w:r w:rsidR="00733FBC" w:rsidRPr="00733FBC">
              <w:rPr>
                <w:iCs/>
                <w:color w:val="000000"/>
                <w:spacing w:val="1"/>
                <w:shd w:val="solid" w:color="000000" w:fill="000000"/>
                <w:fitText w:val="330" w:id="-663572219"/>
                <w14:textFill>
                  <w14:solidFill>
                    <w14:srgbClr w14:val="000000">
                      <w14:alpha w14:val="100000"/>
                    </w14:srgbClr>
                  </w14:solidFill>
                </w14:textFill>
              </w:rPr>
              <w:t>|</w:t>
            </w:r>
            <w:r w:rsidR="007F0FC9">
              <w:rPr>
                <w:b/>
                <w:bCs w:val="0"/>
                <w:iCs/>
              </w:rPr>
              <w:t xml:space="preserve"> </w:t>
            </w:r>
            <w:r w:rsidR="007F0FC9">
              <w:rPr>
                <w:b/>
                <w:bCs w:val="0"/>
                <w:iCs/>
                <w:vertAlign w:val="superscript"/>
              </w:rPr>
              <w:t>1</w:t>
            </w:r>
          </w:p>
        </w:tc>
        <w:tc>
          <w:tcPr>
            <w:tcW w:w="1079" w:type="dxa"/>
            <w:tcBorders>
              <w:top w:val="single" w:sz="4" w:space="0" w:color="auto"/>
              <w:left w:val="single" w:sz="4" w:space="0" w:color="auto"/>
              <w:bottom w:val="single" w:sz="4" w:space="0" w:color="auto"/>
              <w:right w:val="single" w:sz="4" w:space="0" w:color="auto"/>
            </w:tcBorders>
            <w:vAlign w:val="center"/>
            <w:hideMark/>
          </w:tcPr>
          <w:p w14:paraId="7B7CC3BA" w14:textId="386D2979" w:rsidR="00EC05C4" w:rsidRPr="003B6D82" w:rsidRDefault="00EC05C4" w:rsidP="00870C64">
            <w:pPr>
              <w:pStyle w:val="COMTabletext"/>
              <w:keepNext w:val="0"/>
              <w:jc w:val="center"/>
              <w:rPr>
                <w:iCs/>
              </w:rPr>
            </w:pPr>
            <w:r w:rsidRPr="003B6D82">
              <w:rPr>
                <w:iCs/>
              </w:rPr>
              <w:t>-</w:t>
            </w:r>
            <w:r w:rsidR="00733FBC" w:rsidRPr="00733FBC">
              <w:rPr>
                <w:iCs/>
                <w:color w:val="000000"/>
                <w:spacing w:val="53"/>
                <w:shd w:val="solid" w:color="000000" w:fill="000000"/>
                <w:fitText w:val="330" w:id="-663572218"/>
                <w14:textFill>
                  <w14:solidFill>
                    <w14:srgbClr w14:val="000000">
                      <w14:alpha w14:val="100000"/>
                    </w14:srgbClr>
                  </w14:solidFill>
                </w14:textFill>
              </w:rPr>
              <w:t>|||</w:t>
            </w:r>
            <w:r w:rsidR="00733FBC" w:rsidRPr="00733FBC">
              <w:rPr>
                <w:iCs/>
                <w:color w:val="000000"/>
                <w:spacing w:val="1"/>
                <w:shd w:val="solid" w:color="000000" w:fill="000000"/>
                <w:fitText w:val="330" w:id="-663572218"/>
                <w14:textFill>
                  <w14:solidFill>
                    <w14:srgbClr w14:val="000000">
                      <w14:alpha w14:val="100000"/>
                    </w14:srgbClr>
                  </w14:solidFill>
                </w14:textFill>
              </w:rPr>
              <w:t>|</w:t>
            </w:r>
            <w:r w:rsidRPr="003B6D82">
              <w:rPr>
                <w:iCs/>
              </w:rPr>
              <w:t>%</w:t>
            </w:r>
          </w:p>
        </w:tc>
      </w:tr>
      <w:tr w:rsidR="00EC05C4" w:rsidRPr="003B6D82" w14:paraId="3002C23D" w14:textId="77777777" w:rsidTr="00051085">
        <w:trPr>
          <w:cantSplit/>
        </w:trPr>
        <w:tc>
          <w:tcPr>
            <w:tcW w:w="901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A50021" w14:textId="77777777" w:rsidR="00EC05C4" w:rsidRPr="003B6D82" w:rsidRDefault="00EC05C4" w:rsidP="00870C64">
            <w:pPr>
              <w:pStyle w:val="COMTabletext"/>
              <w:keepNext w:val="0"/>
              <w:rPr>
                <w:b/>
                <w:bCs w:val="0"/>
                <w:iCs/>
              </w:rPr>
            </w:pPr>
            <w:r w:rsidRPr="003B6D82">
              <w:rPr>
                <w:b/>
                <w:bCs w:val="0"/>
                <w:iCs/>
              </w:rPr>
              <w:t>Time horizon (base case: 10 years)</w:t>
            </w:r>
          </w:p>
        </w:tc>
      </w:tr>
      <w:tr w:rsidR="00EC05C4" w:rsidRPr="003B6D82" w14:paraId="6FC56C61" w14:textId="77777777" w:rsidTr="00051085">
        <w:trPr>
          <w:cantSplit/>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E2663D" w14:textId="77777777" w:rsidR="00EC05C4" w:rsidRPr="003B6D82" w:rsidRDefault="00EC05C4" w:rsidP="00870C64">
            <w:pPr>
              <w:pStyle w:val="COMTabletext"/>
              <w:keepNext w:val="0"/>
              <w:rPr>
                <w:iCs/>
              </w:rPr>
            </w:pPr>
            <w:r w:rsidRPr="003B6D82">
              <w:rPr>
                <w:iCs/>
              </w:rPr>
              <w:t>5 years</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792853" w14:textId="3E068ACA" w:rsidR="00EC05C4" w:rsidRPr="003B6D82" w:rsidRDefault="00EC05C4" w:rsidP="00870C64">
            <w:pPr>
              <w:pStyle w:val="COMTabletext"/>
              <w:keepNext w:val="0"/>
              <w:jc w:val="center"/>
              <w:rPr>
                <w:iCs/>
              </w:rPr>
            </w:pPr>
            <w:r w:rsidRPr="00BD6D35">
              <w:rPr>
                <w:iCs/>
              </w:rPr>
              <w:t>$</w:t>
            </w:r>
            <w:r w:rsidR="00733FBC" w:rsidRPr="00733FBC">
              <w:rPr>
                <w:iCs/>
                <w:color w:val="000000"/>
                <w:spacing w:val="49"/>
                <w:shd w:val="solid" w:color="000000" w:fill="000000"/>
                <w:fitText w:val="320" w:id="-663572217"/>
                <w14:textFill>
                  <w14:solidFill>
                    <w14:srgbClr w14:val="000000">
                      <w14:alpha w14:val="100000"/>
                    </w14:srgbClr>
                  </w14:solidFill>
                </w14:textFill>
              </w:rPr>
              <w:t>|||</w:t>
            </w:r>
            <w:r w:rsidR="00733FBC" w:rsidRPr="00733FBC">
              <w:rPr>
                <w:iCs/>
                <w:color w:val="000000"/>
                <w:spacing w:val="3"/>
                <w:shd w:val="solid" w:color="000000" w:fill="000000"/>
                <w:fitText w:val="320" w:id="-663572217"/>
                <w14:textFill>
                  <w14:solidFill>
                    <w14:srgbClr w14:val="000000">
                      <w14:alpha w14:val="100000"/>
                    </w14:srgbClr>
                  </w14:solidFill>
                </w14:textFill>
              </w:rPr>
              <w:t>|</w:t>
            </w:r>
          </w:p>
        </w:tc>
        <w:tc>
          <w:tcPr>
            <w:tcW w:w="1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0CBCDD" w14:textId="77777777" w:rsidR="00EC05C4" w:rsidRPr="003B6D82" w:rsidRDefault="00EC05C4" w:rsidP="00870C64">
            <w:pPr>
              <w:pStyle w:val="COMTabletext"/>
              <w:keepNext w:val="0"/>
              <w:jc w:val="center"/>
              <w:rPr>
                <w:iCs/>
              </w:rPr>
            </w:pPr>
            <w:r w:rsidRPr="003B6D82">
              <w:rPr>
                <w:iCs/>
              </w:rPr>
              <w:t>0.1476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B6336A" w14:textId="39D5B35C" w:rsidR="00EC05C4" w:rsidRPr="003B6D82" w:rsidRDefault="00EC05C4" w:rsidP="00870C64">
            <w:pPr>
              <w:pStyle w:val="COMTabletext"/>
              <w:keepNext w:val="0"/>
              <w:jc w:val="center"/>
              <w:rPr>
                <w:iCs/>
              </w:rPr>
            </w:pPr>
            <w:r w:rsidRPr="003B6D82">
              <w:rPr>
                <w:iCs/>
              </w:rPr>
              <w:t>$</w:t>
            </w:r>
            <w:r w:rsidR="00733FBC" w:rsidRPr="00733FBC">
              <w:rPr>
                <w:iCs/>
                <w:color w:val="000000"/>
                <w:spacing w:val="53"/>
                <w:shd w:val="solid" w:color="000000" w:fill="000000"/>
                <w:fitText w:val="330" w:id="-663572216"/>
                <w14:textFill>
                  <w14:solidFill>
                    <w14:srgbClr w14:val="000000">
                      <w14:alpha w14:val="100000"/>
                    </w14:srgbClr>
                  </w14:solidFill>
                </w14:textFill>
              </w:rPr>
              <w:t>|||</w:t>
            </w:r>
            <w:r w:rsidR="00733FBC" w:rsidRPr="00733FBC">
              <w:rPr>
                <w:iCs/>
                <w:color w:val="000000"/>
                <w:spacing w:val="1"/>
                <w:shd w:val="solid" w:color="000000" w:fill="000000"/>
                <w:fitText w:val="330" w:id="-663572216"/>
                <w14:textFill>
                  <w14:solidFill>
                    <w14:srgbClr w14:val="000000">
                      <w14:alpha w14:val="100000"/>
                    </w14:srgbClr>
                  </w14:solidFill>
                </w14:textFill>
              </w:rPr>
              <w:t>|</w:t>
            </w:r>
            <w:r w:rsidR="002E70FD">
              <w:rPr>
                <w:b/>
                <w:bCs w:val="0"/>
                <w:iCs/>
              </w:rPr>
              <w:t xml:space="preserve"> </w:t>
            </w:r>
            <w:r w:rsidR="002E70FD">
              <w:rPr>
                <w:b/>
                <w:bCs w:val="0"/>
                <w:iCs/>
                <w:vertAlign w:val="superscript"/>
              </w:rPr>
              <w:t>2</w:t>
            </w:r>
          </w:p>
        </w:tc>
        <w:tc>
          <w:tcPr>
            <w:tcW w:w="1079" w:type="dxa"/>
            <w:tcBorders>
              <w:top w:val="single" w:sz="4" w:space="0" w:color="auto"/>
              <w:left w:val="single" w:sz="4" w:space="0" w:color="auto"/>
              <w:bottom w:val="single" w:sz="4" w:space="0" w:color="auto"/>
              <w:right w:val="single" w:sz="4" w:space="0" w:color="auto"/>
            </w:tcBorders>
            <w:vAlign w:val="center"/>
            <w:hideMark/>
          </w:tcPr>
          <w:p w14:paraId="76DF4E22" w14:textId="638409CA" w:rsidR="00EC05C4" w:rsidRPr="003B6D82" w:rsidRDefault="00EC05C4" w:rsidP="00870C64">
            <w:pPr>
              <w:pStyle w:val="COMTabletext"/>
              <w:keepNext w:val="0"/>
              <w:jc w:val="center"/>
              <w:rPr>
                <w:iCs/>
              </w:rPr>
            </w:pPr>
            <w:r w:rsidRPr="003B6D82">
              <w:rPr>
                <w:iCs/>
              </w:rPr>
              <w:t>+</w:t>
            </w:r>
            <w:r w:rsidR="00733FBC" w:rsidRPr="00733FBC">
              <w:rPr>
                <w:iCs/>
                <w:color w:val="000000"/>
                <w:spacing w:val="53"/>
                <w:shd w:val="solid" w:color="000000" w:fill="000000"/>
                <w:fitText w:val="330" w:id="-663572215"/>
                <w14:textFill>
                  <w14:solidFill>
                    <w14:srgbClr w14:val="000000">
                      <w14:alpha w14:val="100000"/>
                    </w14:srgbClr>
                  </w14:solidFill>
                </w14:textFill>
              </w:rPr>
              <w:t>|||</w:t>
            </w:r>
            <w:r w:rsidR="00733FBC" w:rsidRPr="00733FBC">
              <w:rPr>
                <w:iCs/>
                <w:color w:val="000000"/>
                <w:spacing w:val="1"/>
                <w:shd w:val="solid" w:color="000000" w:fill="000000"/>
                <w:fitText w:val="330" w:id="-663572215"/>
                <w14:textFill>
                  <w14:solidFill>
                    <w14:srgbClr w14:val="000000">
                      <w14:alpha w14:val="100000"/>
                    </w14:srgbClr>
                  </w14:solidFill>
                </w14:textFill>
              </w:rPr>
              <w:t>|</w:t>
            </w:r>
            <w:r w:rsidRPr="003B6D82">
              <w:rPr>
                <w:iCs/>
              </w:rPr>
              <w:t>%</w:t>
            </w:r>
          </w:p>
        </w:tc>
      </w:tr>
      <w:tr w:rsidR="00EC05C4" w:rsidRPr="003B6D82" w14:paraId="3DC7CCD1" w14:textId="77777777" w:rsidTr="00051085">
        <w:trPr>
          <w:cantSplit/>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DBB329" w14:textId="77777777" w:rsidR="00EC05C4" w:rsidRPr="003B6D82" w:rsidRDefault="00EC05C4" w:rsidP="00870C64">
            <w:pPr>
              <w:pStyle w:val="COMTabletext"/>
              <w:keepNext w:val="0"/>
              <w:rPr>
                <w:iCs/>
              </w:rPr>
            </w:pPr>
            <w:r w:rsidRPr="003B6D82">
              <w:rPr>
                <w:iCs/>
              </w:rPr>
              <w:t>15 years</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74F15B" w14:textId="39E5DF4C" w:rsidR="00EC05C4" w:rsidRPr="003B6D82" w:rsidRDefault="00EC05C4" w:rsidP="00870C64">
            <w:pPr>
              <w:pStyle w:val="COMTabletext"/>
              <w:keepNext w:val="0"/>
              <w:jc w:val="center"/>
              <w:rPr>
                <w:iCs/>
              </w:rPr>
            </w:pPr>
            <w:r w:rsidRPr="003B6D82">
              <w:rPr>
                <w:iCs/>
              </w:rPr>
              <w:t>$</w:t>
            </w:r>
            <w:r w:rsidR="00733FBC" w:rsidRPr="00733FBC">
              <w:rPr>
                <w:iCs/>
                <w:color w:val="000000"/>
                <w:spacing w:val="49"/>
                <w:shd w:val="solid" w:color="000000" w:fill="000000"/>
                <w:fitText w:val="320" w:id="-663572214"/>
                <w14:textFill>
                  <w14:solidFill>
                    <w14:srgbClr w14:val="000000">
                      <w14:alpha w14:val="100000"/>
                    </w14:srgbClr>
                  </w14:solidFill>
                </w14:textFill>
              </w:rPr>
              <w:t>|||</w:t>
            </w:r>
            <w:r w:rsidR="00733FBC" w:rsidRPr="00733FBC">
              <w:rPr>
                <w:iCs/>
                <w:color w:val="000000"/>
                <w:spacing w:val="3"/>
                <w:shd w:val="solid" w:color="000000" w:fill="000000"/>
                <w:fitText w:val="320" w:id="-663572214"/>
                <w14:textFill>
                  <w14:solidFill>
                    <w14:srgbClr w14:val="000000">
                      <w14:alpha w14:val="100000"/>
                    </w14:srgbClr>
                  </w14:solidFill>
                </w14:textFill>
              </w:rPr>
              <w:t>|</w:t>
            </w:r>
          </w:p>
        </w:tc>
        <w:tc>
          <w:tcPr>
            <w:tcW w:w="1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5BF226" w14:textId="77777777" w:rsidR="00EC05C4" w:rsidRPr="003B6D82" w:rsidRDefault="00EC05C4" w:rsidP="00870C64">
            <w:pPr>
              <w:pStyle w:val="COMTabletext"/>
              <w:keepNext w:val="0"/>
              <w:jc w:val="center"/>
              <w:rPr>
                <w:iCs/>
              </w:rPr>
            </w:pPr>
            <w:r w:rsidRPr="003B6D82">
              <w:rPr>
                <w:iCs/>
              </w:rPr>
              <w:t>0.1629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655738" w14:textId="27A54DDE" w:rsidR="00EC05C4" w:rsidRPr="003B6D82" w:rsidRDefault="00EC05C4" w:rsidP="00870C64">
            <w:pPr>
              <w:pStyle w:val="COMTabletext"/>
              <w:keepNext w:val="0"/>
              <w:jc w:val="center"/>
              <w:rPr>
                <w:iCs/>
              </w:rPr>
            </w:pPr>
            <w:r w:rsidRPr="003B6D82">
              <w:rPr>
                <w:iCs/>
              </w:rPr>
              <w:t>$</w:t>
            </w:r>
            <w:r w:rsidR="00733FBC" w:rsidRPr="00733FBC">
              <w:rPr>
                <w:iCs/>
                <w:color w:val="000000"/>
                <w:spacing w:val="53"/>
                <w:shd w:val="solid" w:color="000000" w:fill="000000"/>
                <w:fitText w:val="330" w:id="-663572213"/>
                <w14:textFill>
                  <w14:solidFill>
                    <w14:srgbClr w14:val="000000">
                      <w14:alpha w14:val="100000"/>
                    </w14:srgbClr>
                  </w14:solidFill>
                </w14:textFill>
              </w:rPr>
              <w:t>|||</w:t>
            </w:r>
            <w:r w:rsidR="00733FBC" w:rsidRPr="00733FBC">
              <w:rPr>
                <w:iCs/>
                <w:color w:val="000000"/>
                <w:spacing w:val="1"/>
                <w:shd w:val="solid" w:color="000000" w:fill="000000"/>
                <w:fitText w:val="330" w:id="-663572213"/>
                <w14:textFill>
                  <w14:solidFill>
                    <w14:srgbClr w14:val="000000">
                      <w14:alpha w14:val="100000"/>
                    </w14:srgbClr>
                  </w14:solidFill>
                </w14:textFill>
              </w:rPr>
              <w:t>|</w:t>
            </w:r>
            <w:r w:rsidR="007F0FC9">
              <w:rPr>
                <w:b/>
                <w:bCs w:val="0"/>
                <w:iCs/>
              </w:rPr>
              <w:t xml:space="preserve"> </w:t>
            </w:r>
            <w:r w:rsidR="007F0FC9">
              <w:rPr>
                <w:b/>
                <w:bCs w:val="0"/>
                <w:iCs/>
                <w:vertAlign w:val="superscript"/>
              </w:rPr>
              <w:t>1</w:t>
            </w:r>
          </w:p>
        </w:tc>
        <w:tc>
          <w:tcPr>
            <w:tcW w:w="1079" w:type="dxa"/>
            <w:tcBorders>
              <w:top w:val="single" w:sz="4" w:space="0" w:color="auto"/>
              <w:left w:val="single" w:sz="4" w:space="0" w:color="auto"/>
              <w:bottom w:val="single" w:sz="4" w:space="0" w:color="auto"/>
              <w:right w:val="single" w:sz="4" w:space="0" w:color="auto"/>
            </w:tcBorders>
            <w:vAlign w:val="center"/>
            <w:hideMark/>
          </w:tcPr>
          <w:p w14:paraId="63D0011E" w14:textId="5496363C" w:rsidR="00EC05C4" w:rsidRPr="003B6D82" w:rsidRDefault="00EC05C4" w:rsidP="00870C64">
            <w:pPr>
              <w:pStyle w:val="COMTabletext"/>
              <w:keepNext w:val="0"/>
              <w:jc w:val="center"/>
              <w:rPr>
                <w:iCs/>
              </w:rPr>
            </w:pPr>
            <w:r w:rsidRPr="003B6D82">
              <w:rPr>
                <w:iCs/>
              </w:rPr>
              <w:t>-</w:t>
            </w:r>
            <w:r w:rsidR="00733FBC" w:rsidRPr="00733FBC">
              <w:rPr>
                <w:iCs/>
                <w:color w:val="000000"/>
                <w:spacing w:val="53"/>
                <w:shd w:val="solid" w:color="000000" w:fill="000000"/>
                <w:fitText w:val="330" w:id="-663572212"/>
                <w14:textFill>
                  <w14:solidFill>
                    <w14:srgbClr w14:val="000000">
                      <w14:alpha w14:val="100000"/>
                    </w14:srgbClr>
                  </w14:solidFill>
                </w14:textFill>
              </w:rPr>
              <w:t>|||</w:t>
            </w:r>
            <w:r w:rsidR="00733FBC" w:rsidRPr="00733FBC">
              <w:rPr>
                <w:iCs/>
                <w:color w:val="000000"/>
                <w:spacing w:val="1"/>
                <w:shd w:val="solid" w:color="000000" w:fill="000000"/>
                <w:fitText w:val="330" w:id="-663572212"/>
                <w14:textFill>
                  <w14:solidFill>
                    <w14:srgbClr w14:val="000000">
                      <w14:alpha w14:val="100000"/>
                    </w14:srgbClr>
                  </w14:solidFill>
                </w14:textFill>
              </w:rPr>
              <w:t>|</w:t>
            </w:r>
            <w:r w:rsidRPr="003B6D82">
              <w:rPr>
                <w:iCs/>
              </w:rPr>
              <w:t>%</w:t>
            </w:r>
          </w:p>
        </w:tc>
      </w:tr>
      <w:tr w:rsidR="00EC05C4" w:rsidRPr="003B6D82" w14:paraId="3E892D98" w14:textId="77777777" w:rsidTr="00051085">
        <w:trPr>
          <w:cantSplit/>
        </w:trPr>
        <w:tc>
          <w:tcPr>
            <w:tcW w:w="901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093D80" w14:textId="77777777" w:rsidR="00EC05C4" w:rsidRPr="003B6D82" w:rsidRDefault="00EC05C4" w:rsidP="00870C64">
            <w:pPr>
              <w:pStyle w:val="COMTabletext"/>
              <w:keepNext w:val="0"/>
              <w:rPr>
                <w:b/>
                <w:bCs w:val="0"/>
                <w:iCs/>
              </w:rPr>
            </w:pPr>
            <w:r w:rsidRPr="003B6D82">
              <w:rPr>
                <w:b/>
                <w:bCs w:val="0"/>
                <w:iCs/>
              </w:rPr>
              <w:t xml:space="preserve">Circumstances of use (base case: patients previously treated with </w:t>
            </w:r>
            <w:proofErr w:type="spellStart"/>
            <w:r w:rsidRPr="003B6D82">
              <w:rPr>
                <w:b/>
                <w:bCs w:val="0"/>
                <w:iCs/>
              </w:rPr>
              <w:t>fedratinib</w:t>
            </w:r>
            <w:proofErr w:type="spellEnd"/>
            <w:r w:rsidRPr="003B6D82">
              <w:rPr>
                <w:b/>
                <w:bCs w:val="0"/>
                <w:iCs/>
              </w:rPr>
              <w:t xml:space="preserve"> would spend 36% of remaining time using third-line treatment and the rest of the time using supportive care; during third-line treatment only 15% of patients would be treated with hydroxyurea, peginterferon alfa-2a and busulfan and no patients would be treated with </w:t>
            </w:r>
            <w:proofErr w:type="spellStart"/>
            <w:r w:rsidRPr="003B6D82">
              <w:rPr>
                <w:b/>
                <w:bCs w:val="0"/>
                <w:iCs/>
              </w:rPr>
              <w:t>ruxolitinib</w:t>
            </w:r>
            <w:proofErr w:type="spellEnd"/>
            <w:r w:rsidRPr="003B6D82">
              <w:rPr>
                <w:b/>
                <w:bCs w:val="0"/>
                <w:iCs/>
              </w:rPr>
              <w:t>; all patients previously treated with BAT use supportive care)</w:t>
            </w:r>
          </w:p>
        </w:tc>
      </w:tr>
      <w:tr w:rsidR="00EC05C4" w:rsidRPr="003B6D82" w14:paraId="2B750205" w14:textId="77777777" w:rsidTr="00051085">
        <w:trPr>
          <w:cantSplit/>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A6EEBF" w14:textId="77777777" w:rsidR="00EC05C4" w:rsidRPr="003B6D82" w:rsidRDefault="00EC05C4" w:rsidP="00870C64">
            <w:pPr>
              <w:pStyle w:val="COMTabletext"/>
              <w:keepNext w:val="0"/>
              <w:rPr>
                <w:iCs/>
              </w:rPr>
            </w:pPr>
            <w:r w:rsidRPr="003B6D82">
              <w:rPr>
                <w:iCs/>
              </w:rPr>
              <w:t>Increase time spent using third-line treatment by 50%</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21D6A7" w14:textId="75A2D0BB" w:rsidR="00EC05C4" w:rsidRPr="003B6D82" w:rsidRDefault="00EC05C4" w:rsidP="00870C64">
            <w:pPr>
              <w:pStyle w:val="COMTabletext"/>
              <w:keepNext w:val="0"/>
              <w:jc w:val="center"/>
              <w:rPr>
                <w:iCs/>
              </w:rPr>
            </w:pPr>
            <w:r w:rsidRPr="003B6D82">
              <w:rPr>
                <w:iCs/>
              </w:rPr>
              <w:t>$</w:t>
            </w:r>
            <w:r w:rsidR="00733FBC" w:rsidRPr="00733FBC">
              <w:rPr>
                <w:iCs/>
                <w:color w:val="000000"/>
                <w:spacing w:val="49"/>
                <w:shd w:val="solid" w:color="000000" w:fill="000000"/>
                <w:fitText w:val="320" w:id="-663572211"/>
                <w14:textFill>
                  <w14:solidFill>
                    <w14:srgbClr w14:val="000000">
                      <w14:alpha w14:val="100000"/>
                    </w14:srgbClr>
                  </w14:solidFill>
                </w14:textFill>
              </w:rPr>
              <w:t>|||</w:t>
            </w:r>
            <w:r w:rsidR="00733FBC" w:rsidRPr="00733FBC">
              <w:rPr>
                <w:iCs/>
                <w:color w:val="000000"/>
                <w:spacing w:val="3"/>
                <w:shd w:val="solid" w:color="000000" w:fill="000000"/>
                <w:fitText w:val="320" w:id="-663572211"/>
                <w14:textFill>
                  <w14:solidFill>
                    <w14:srgbClr w14:val="000000">
                      <w14:alpha w14:val="100000"/>
                    </w14:srgbClr>
                  </w14:solidFill>
                </w14:textFill>
              </w:rPr>
              <w:t>|</w:t>
            </w:r>
          </w:p>
        </w:tc>
        <w:tc>
          <w:tcPr>
            <w:tcW w:w="1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348029" w14:textId="77777777" w:rsidR="00EC05C4" w:rsidRPr="003B6D82" w:rsidRDefault="00EC05C4" w:rsidP="00870C64">
            <w:pPr>
              <w:pStyle w:val="COMTabletext"/>
              <w:keepNext w:val="0"/>
              <w:jc w:val="center"/>
              <w:rPr>
                <w:iCs/>
              </w:rPr>
            </w:pPr>
            <w:r w:rsidRPr="003B6D82">
              <w:rPr>
                <w:iCs/>
              </w:rPr>
              <w:t>0.2157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258747" w14:textId="532B07A7" w:rsidR="00EC05C4" w:rsidRPr="003B6D82" w:rsidRDefault="00EC05C4" w:rsidP="00870C64">
            <w:pPr>
              <w:pStyle w:val="COMTabletext"/>
              <w:keepNext w:val="0"/>
              <w:jc w:val="center"/>
              <w:rPr>
                <w:iCs/>
              </w:rPr>
            </w:pPr>
            <w:r w:rsidRPr="003B6D82">
              <w:rPr>
                <w:iCs/>
              </w:rPr>
              <w:t>$</w:t>
            </w:r>
            <w:r w:rsidR="00733FBC" w:rsidRPr="00733FBC">
              <w:rPr>
                <w:iCs/>
                <w:color w:val="000000"/>
                <w:spacing w:val="53"/>
                <w:shd w:val="solid" w:color="000000" w:fill="000000"/>
                <w:fitText w:val="330" w:id="-663572210"/>
                <w14:textFill>
                  <w14:solidFill>
                    <w14:srgbClr w14:val="000000">
                      <w14:alpha w14:val="100000"/>
                    </w14:srgbClr>
                  </w14:solidFill>
                </w14:textFill>
              </w:rPr>
              <w:t>|||</w:t>
            </w:r>
            <w:r w:rsidR="00733FBC" w:rsidRPr="00733FBC">
              <w:rPr>
                <w:iCs/>
                <w:color w:val="000000"/>
                <w:spacing w:val="1"/>
                <w:shd w:val="solid" w:color="000000" w:fill="000000"/>
                <w:fitText w:val="330" w:id="-663572210"/>
                <w14:textFill>
                  <w14:solidFill>
                    <w14:srgbClr w14:val="000000">
                      <w14:alpha w14:val="100000"/>
                    </w14:srgbClr>
                  </w14:solidFill>
                </w14:textFill>
              </w:rPr>
              <w:t>|</w:t>
            </w:r>
            <w:r w:rsidR="002E70FD">
              <w:rPr>
                <w:b/>
                <w:bCs w:val="0"/>
                <w:iCs/>
              </w:rPr>
              <w:t xml:space="preserve"> </w:t>
            </w:r>
            <w:r w:rsidR="002E70FD">
              <w:rPr>
                <w:b/>
                <w:bCs w:val="0"/>
                <w:iCs/>
                <w:vertAlign w:val="superscript"/>
              </w:rPr>
              <w:t>1</w:t>
            </w:r>
          </w:p>
        </w:tc>
        <w:tc>
          <w:tcPr>
            <w:tcW w:w="1079" w:type="dxa"/>
            <w:tcBorders>
              <w:top w:val="single" w:sz="4" w:space="0" w:color="auto"/>
              <w:left w:val="single" w:sz="4" w:space="0" w:color="auto"/>
              <w:bottom w:val="single" w:sz="4" w:space="0" w:color="auto"/>
              <w:right w:val="single" w:sz="4" w:space="0" w:color="auto"/>
            </w:tcBorders>
            <w:vAlign w:val="center"/>
            <w:hideMark/>
          </w:tcPr>
          <w:p w14:paraId="7EC37539" w14:textId="5A99D1B6" w:rsidR="00EC05C4" w:rsidRPr="003B6D82" w:rsidRDefault="00EC05C4" w:rsidP="00870C64">
            <w:pPr>
              <w:pStyle w:val="COMTabletext"/>
              <w:keepNext w:val="0"/>
              <w:jc w:val="center"/>
              <w:rPr>
                <w:iCs/>
              </w:rPr>
            </w:pPr>
            <w:r w:rsidRPr="003B6D82">
              <w:rPr>
                <w:iCs/>
              </w:rPr>
              <w:t>-</w:t>
            </w:r>
            <w:r w:rsidR="00733FBC" w:rsidRPr="00733FBC">
              <w:rPr>
                <w:iCs/>
                <w:color w:val="000000"/>
                <w:spacing w:val="53"/>
                <w:shd w:val="solid" w:color="000000" w:fill="000000"/>
                <w:fitText w:val="330" w:id="-663572209"/>
                <w14:textFill>
                  <w14:solidFill>
                    <w14:srgbClr w14:val="000000">
                      <w14:alpha w14:val="100000"/>
                    </w14:srgbClr>
                  </w14:solidFill>
                </w14:textFill>
              </w:rPr>
              <w:t>|||</w:t>
            </w:r>
            <w:r w:rsidR="00733FBC" w:rsidRPr="00733FBC">
              <w:rPr>
                <w:iCs/>
                <w:color w:val="000000"/>
                <w:spacing w:val="1"/>
                <w:shd w:val="solid" w:color="000000" w:fill="000000"/>
                <w:fitText w:val="330" w:id="-663572209"/>
                <w14:textFill>
                  <w14:solidFill>
                    <w14:srgbClr w14:val="000000">
                      <w14:alpha w14:val="100000"/>
                    </w14:srgbClr>
                  </w14:solidFill>
                </w14:textFill>
              </w:rPr>
              <w:t>|</w:t>
            </w:r>
            <w:r w:rsidRPr="003B6D82">
              <w:rPr>
                <w:iCs/>
              </w:rPr>
              <w:t>%</w:t>
            </w:r>
          </w:p>
        </w:tc>
      </w:tr>
      <w:tr w:rsidR="00EC05C4" w:rsidRPr="003B6D82" w14:paraId="1FF51A69" w14:textId="77777777" w:rsidTr="00051085">
        <w:trPr>
          <w:cantSplit/>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DB4C76" w14:textId="77777777" w:rsidR="00EC05C4" w:rsidRPr="003B6D82" w:rsidRDefault="00EC05C4" w:rsidP="00870C64">
            <w:pPr>
              <w:pStyle w:val="COMTabletext"/>
              <w:keepNext w:val="0"/>
              <w:rPr>
                <w:iCs/>
              </w:rPr>
            </w:pPr>
            <w:r w:rsidRPr="003B6D82">
              <w:rPr>
                <w:iCs/>
              </w:rPr>
              <w:t>Decrease time spent using third-line treatment by 50%</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11321E" w14:textId="5BDEDF27" w:rsidR="00EC05C4" w:rsidRPr="003B6D82" w:rsidRDefault="00EC05C4" w:rsidP="00870C64">
            <w:pPr>
              <w:pStyle w:val="COMTabletext"/>
              <w:keepNext w:val="0"/>
              <w:jc w:val="center"/>
              <w:rPr>
                <w:iCs/>
              </w:rPr>
            </w:pPr>
            <w:r w:rsidRPr="003B6D82">
              <w:rPr>
                <w:iCs/>
              </w:rPr>
              <w:t>$</w:t>
            </w:r>
            <w:r w:rsidR="00733FBC" w:rsidRPr="00733FBC">
              <w:rPr>
                <w:iCs/>
                <w:color w:val="000000"/>
                <w:spacing w:val="49"/>
                <w:shd w:val="solid" w:color="000000" w:fill="000000"/>
                <w:fitText w:val="320" w:id="-663572208"/>
                <w14:textFill>
                  <w14:solidFill>
                    <w14:srgbClr w14:val="000000">
                      <w14:alpha w14:val="100000"/>
                    </w14:srgbClr>
                  </w14:solidFill>
                </w14:textFill>
              </w:rPr>
              <w:t>|||</w:t>
            </w:r>
            <w:r w:rsidR="00733FBC" w:rsidRPr="00733FBC">
              <w:rPr>
                <w:iCs/>
                <w:color w:val="000000"/>
                <w:spacing w:val="3"/>
                <w:shd w:val="solid" w:color="000000" w:fill="000000"/>
                <w:fitText w:val="320" w:id="-663572208"/>
                <w14:textFill>
                  <w14:solidFill>
                    <w14:srgbClr w14:val="000000">
                      <w14:alpha w14:val="100000"/>
                    </w14:srgbClr>
                  </w14:solidFill>
                </w14:textFill>
              </w:rPr>
              <w:t>|</w:t>
            </w:r>
          </w:p>
        </w:tc>
        <w:tc>
          <w:tcPr>
            <w:tcW w:w="1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BC8E47" w14:textId="77777777" w:rsidR="00EC05C4" w:rsidRPr="003B6D82" w:rsidRDefault="00EC05C4" w:rsidP="00870C64">
            <w:pPr>
              <w:pStyle w:val="COMTabletext"/>
              <w:keepNext w:val="0"/>
              <w:jc w:val="center"/>
              <w:rPr>
                <w:iCs/>
              </w:rPr>
            </w:pPr>
            <w:r w:rsidRPr="003B6D82">
              <w:rPr>
                <w:iCs/>
              </w:rPr>
              <w:t>0.1082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AB0A7E" w14:textId="09AF5328" w:rsidR="00EC05C4" w:rsidRPr="003B6D82" w:rsidRDefault="00EC05C4" w:rsidP="00870C64">
            <w:pPr>
              <w:pStyle w:val="COMTabletext"/>
              <w:keepNext w:val="0"/>
              <w:jc w:val="center"/>
              <w:rPr>
                <w:iCs/>
              </w:rPr>
            </w:pPr>
            <w:r w:rsidRPr="003B6D82">
              <w:rPr>
                <w:iCs/>
              </w:rPr>
              <w:t>$</w:t>
            </w:r>
            <w:r w:rsidR="00733FBC" w:rsidRPr="00733FBC">
              <w:rPr>
                <w:iCs/>
                <w:color w:val="000000"/>
                <w:spacing w:val="53"/>
                <w:shd w:val="solid" w:color="000000" w:fill="000000"/>
                <w:fitText w:val="330" w:id="-663572224"/>
                <w14:textFill>
                  <w14:solidFill>
                    <w14:srgbClr w14:val="000000">
                      <w14:alpha w14:val="100000"/>
                    </w14:srgbClr>
                  </w14:solidFill>
                </w14:textFill>
              </w:rPr>
              <w:t>|||</w:t>
            </w:r>
            <w:r w:rsidR="00733FBC" w:rsidRPr="00733FBC">
              <w:rPr>
                <w:iCs/>
                <w:color w:val="000000"/>
                <w:spacing w:val="1"/>
                <w:shd w:val="solid" w:color="000000" w:fill="000000"/>
                <w:fitText w:val="330" w:id="-663572224"/>
                <w14:textFill>
                  <w14:solidFill>
                    <w14:srgbClr w14:val="000000">
                      <w14:alpha w14:val="100000"/>
                    </w14:srgbClr>
                  </w14:solidFill>
                </w14:textFill>
              </w:rPr>
              <w:t>|</w:t>
            </w:r>
            <w:r w:rsidR="00E750F5">
              <w:rPr>
                <w:b/>
                <w:bCs w:val="0"/>
                <w:iCs/>
              </w:rPr>
              <w:t xml:space="preserve"> </w:t>
            </w:r>
            <w:r w:rsidR="00E750F5">
              <w:rPr>
                <w:b/>
                <w:bCs w:val="0"/>
                <w:iCs/>
                <w:vertAlign w:val="superscript"/>
              </w:rPr>
              <w:t>3</w:t>
            </w:r>
          </w:p>
        </w:tc>
        <w:tc>
          <w:tcPr>
            <w:tcW w:w="1079" w:type="dxa"/>
            <w:tcBorders>
              <w:top w:val="single" w:sz="4" w:space="0" w:color="auto"/>
              <w:left w:val="single" w:sz="4" w:space="0" w:color="auto"/>
              <w:bottom w:val="single" w:sz="4" w:space="0" w:color="auto"/>
              <w:right w:val="single" w:sz="4" w:space="0" w:color="auto"/>
            </w:tcBorders>
            <w:vAlign w:val="center"/>
            <w:hideMark/>
          </w:tcPr>
          <w:p w14:paraId="00BE4F4E" w14:textId="60590867" w:rsidR="00EC05C4" w:rsidRPr="003B6D82" w:rsidRDefault="00EC05C4" w:rsidP="00870C64">
            <w:pPr>
              <w:pStyle w:val="COMTabletext"/>
              <w:keepNext w:val="0"/>
              <w:jc w:val="center"/>
              <w:rPr>
                <w:iCs/>
              </w:rPr>
            </w:pPr>
            <w:r w:rsidRPr="003B6D82">
              <w:rPr>
                <w:iCs/>
              </w:rPr>
              <w:t>+</w:t>
            </w:r>
            <w:r w:rsidR="00733FBC" w:rsidRPr="00733FBC">
              <w:rPr>
                <w:iCs/>
                <w:color w:val="000000"/>
                <w:spacing w:val="53"/>
                <w:shd w:val="solid" w:color="000000" w:fill="000000"/>
                <w:fitText w:val="330" w:id="-663572223"/>
                <w14:textFill>
                  <w14:solidFill>
                    <w14:srgbClr w14:val="000000">
                      <w14:alpha w14:val="100000"/>
                    </w14:srgbClr>
                  </w14:solidFill>
                </w14:textFill>
              </w:rPr>
              <w:t>|||</w:t>
            </w:r>
            <w:r w:rsidR="00733FBC" w:rsidRPr="00733FBC">
              <w:rPr>
                <w:iCs/>
                <w:color w:val="000000"/>
                <w:spacing w:val="1"/>
                <w:shd w:val="solid" w:color="000000" w:fill="000000"/>
                <w:fitText w:val="330" w:id="-663572223"/>
                <w14:textFill>
                  <w14:solidFill>
                    <w14:srgbClr w14:val="000000">
                      <w14:alpha w14:val="100000"/>
                    </w14:srgbClr>
                  </w14:solidFill>
                </w14:textFill>
              </w:rPr>
              <w:t>|</w:t>
            </w:r>
            <w:r w:rsidRPr="003B6D82">
              <w:rPr>
                <w:iCs/>
              </w:rPr>
              <w:t>%</w:t>
            </w:r>
          </w:p>
        </w:tc>
      </w:tr>
      <w:tr w:rsidR="00EC05C4" w:rsidRPr="003B6D82" w14:paraId="14B06D27" w14:textId="77777777" w:rsidTr="00051085">
        <w:trPr>
          <w:cantSplit/>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02F508" w14:textId="77777777" w:rsidR="00EC05C4" w:rsidRPr="003B6D82" w:rsidRDefault="00EC05C4" w:rsidP="00870C64">
            <w:pPr>
              <w:pStyle w:val="COMTabletext"/>
              <w:keepNext w:val="0"/>
              <w:rPr>
                <w:iCs/>
              </w:rPr>
            </w:pPr>
            <w:r w:rsidRPr="003B6D82">
              <w:rPr>
                <w:iCs/>
              </w:rPr>
              <w:t xml:space="preserve">Assume 82% of patients using third-line treatment switch back to </w:t>
            </w:r>
            <w:proofErr w:type="spellStart"/>
            <w:r w:rsidRPr="003B6D82">
              <w:rPr>
                <w:iCs/>
              </w:rPr>
              <w:t>ruxolitinib</w:t>
            </w:r>
            <w:proofErr w:type="spellEnd"/>
            <w:r w:rsidRPr="003B6D82">
              <w:rPr>
                <w:iCs/>
              </w:rPr>
              <w:t>, consistent with trial data</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7EEC71" w14:textId="0CFC7A82" w:rsidR="00EC05C4" w:rsidRPr="003B6D82" w:rsidRDefault="00EC05C4" w:rsidP="00870C64">
            <w:pPr>
              <w:pStyle w:val="COMTabletext"/>
              <w:keepNext w:val="0"/>
              <w:jc w:val="center"/>
              <w:rPr>
                <w:iCs/>
              </w:rPr>
            </w:pPr>
            <w:r w:rsidRPr="003B6D82">
              <w:rPr>
                <w:iCs/>
              </w:rPr>
              <w:t>$</w:t>
            </w:r>
            <w:r w:rsidR="00733FBC" w:rsidRPr="00733FBC">
              <w:rPr>
                <w:iCs/>
                <w:color w:val="000000"/>
                <w:spacing w:val="49"/>
                <w:shd w:val="solid" w:color="000000" w:fill="000000"/>
                <w:fitText w:val="320" w:id="-663572222"/>
                <w14:textFill>
                  <w14:solidFill>
                    <w14:srgbClr w14:val="000000">
                      <w14:alpha w14:val="100000"/>
                    </w14:srgbClr>
                  </w14:solidFill>
                </w14:textFill>
              </w:rPr>
              <w:t>|||</w:t>
            </w:r>
            <w:r w:rsidR="00733FBC" w:rsidRPr="00733FBC">
              <w:rPr>
                <w:iCs/>
                <w:color w:val="000000"/>
                <w:spacing w:val="3"/>
                <w:shd w:val="solid" w:color="000000" w:fill="000000"/>
                <w:fitText w:val="320" w:id="-663572222"/>
                <w14:textFill>
                  <w14:solidFill>
                    <w14:srgbClr w14:val="000000">
                      <w14:alpha w14:val="100000"/>
                    </w14:srgbClr>
                  </w14:solidFill>
                </w14:textFill>
              </w:rPr>
              <w:t>|</w:t>
            </w:r>
          </w:p>
        </w:tc>
        <w:tc>
          <w:tcPr>
            <w:tcW w:w="1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41738C" w14:textId="77777777" w:rsidR="00EC05C4" w:rsidRPr="003B6D82" w:rsidRDefault="00EC05C4" w:rsidP="00870C64">
            <w:pPr>
              <w:pStyle w:val="COMTabletext"/>
              <w:keepNext w:val="0"/>
              <w:jc w:val="center"/>
              <w:rPr>
                <w:iCs/>
              </w:rPr>
            </w:pPr>
            <w:r w:rsidRPr="003B6D82">
              <w:rPr>
                <w:iCs/>
              </w:rPr>
              <w:t>0.1620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FA7E70" w14:textId="1808FC6B" w:rsidR="00EC05C4" w:rsidRPr="003B6D82" w:rsidRDefault="00EC05C4" w:rsidP="00870C64">
            <w:pPr>
              <w:pStyle w:val="COMTabletext"/>
              <w:keepNext w:val="0"/>
              <w:jc w:val="center"/>
              <w:rPr>
                <w:iCs/>
              </w:rPr>
            </w:pPr>
            <w:r w:rsidRPr="003B6D82">
              <w:rPr>
                <w:iCs/>
              </w:rPr>
              <w:t>$</w:t>
            </w:r>
            <w:r w:rsidR="00733FBC" w:rsidRPr="00733FBC">
              <w:rPr>
                <w:iCs/>
                <w:color w:val="000000"/>
                <w:spacing w:val="53"/>
                <w:shd w:val="solid" w:color="000000" w:fill="000000"/>
                <w:fitText w:val="330" w:id="-663572221"/>
                <w14:textFill>
                  <w14:solidFill>
                    <w14:srgbClr w14:val="000000">
                      <w14:alpha w14:val="100000"/>
                    </w14:srgbClr>
                  </w14:solidFill>
                </w14:textFill>
              </w:rPr>
              <w:t>|||</w:t>
            </w:r>
            <w:r w:rsidR="00733FBC" w:rsidRPr="00733FBC">
              <w:rPr>
                <w:iCs/>
                <w:color w:val="000000"/>
                <w:spacing w:val="1"/>
                <w:shd w:val="solid" w:color="000000" w:fill="000000"/>
                <w:fitText w:val="330" w:id="-663572221"/>
                <w14:textFill>
                  <w14:solidFill>
                    <w14:srgbClr w14:val="000000">
                      <w14:alpha w14:val="100000"/>
                    </w14:srgbClr>
                  </w14:solidFill>
                </w14:textFill>
              </w:rPr>
              <w:t>|</w:t>
            </w:r>
            <w:r w:rsidR="00F3099E">
              <w:rPr>
                <w:b/>
                <w:bCs w:val="0"/>
                <w:iCs/>
              </w:rPr>
              <w:t xml:space="preserve"> </w:t>
            </w:r>
            <w:r w:rsidR="00F3099E">
              <w:rPr>
                <w:b/>
                <w:bCs w:val="0"/>
                <w:iCs/>
                <w:vertAlign w:val="superscript"/>
              </w:rPr>
              <w:t>4</w:t>
            </w:r>
          </w:p>
        </w:tc>
        <w:tc>
          <w:tcPr>
            <w:tcW w:w="1079" w:type="dxa"/>
            <w:tcBorders>
              <w:top w:val="single" w:sz="4" w:space="0" w:color="auto"/>
              <w:left w:val="single" w:sz="4" w:space="0" w:color="auto"/>
              <w:bottom w:val="single" w:sz="4" w:space="0" w:color="auto"/>
              <w:right w:val="single" w:sz="4" w:space="0" w:color="auto"/>
            </w:tcBorders>
            <w:vAlign w:val="center"/>
            <w:hideMark/>
          </w:tcPr>
          <w:p w14:paraId="0ED17634" w14:textId="25A58E8A" w:rsidR="00EC05C4" w:rsidRPr="003B6D82" w:rsidRDefault="00EC05C4" w:rsidP="00870C64">
            <w:pPr>
              <w:pStyle w:val="COMTabletext"/>
              <w:keepNext w:val="0"/>
              <w:jc w:val="center"/>
              <w:rPr>
                <w:iCs/>
              </w:rPr>
            </w:pPr>
            <w:r w:rsidRPr="003B6D82">
              <w:rPr>
                <w:iCs/>
              </w:rPr>
              <w:t>+</w:t>
            </w:r>
            <w:r w:rsidR="00733FBC" w:rsidRPr="00733FBC">
              <w:rPr>
                <w:iCs/>
                <w:color w:val="000000"/>
                <w:spacing w:val="53"/>
                <w:shd w:val="solid" w:color="000000" w:fill="000000"/>
                <w:fitText w:val="330" w:id="-663572220"/>
                <w14:textFill>
                  <w14:solidFill>
                    <w14:srgbClr w14:val="000000">
                      <w14:alpha w14:val="100000"/>
                    </w14:srgbClr>
                  </w14:solidFill>
                </w14:textFill>
              </w:rPr>
              <w:t>|||</w:t>
            </w:r>
            <w:r w:rsidR="00733FBC" w:rsidRPr="00733FBC">
              <w:rPr>
                <w:iCs/>
                <w:color w:val="000000"/>
                <w:spacing w:val="1"/>
                <w:shd w:val="solid" w:color="000000" w:fill="000000"/>
                <w:fitText w:val="330" w:id="-663572220"/>
                <w14:textFill>
                  <w14:solidFill>
                    <w14:srgbClr w14:val="000000">
                      <w14:alpha w14:val="100000"/>
                    </w14:srgbClr>
                  </w14:solidFill>
                </w14:textFill>
              </w:rPr>
              <w:t>|</w:t>
            </w:r>
            <w:r w:rsidRPr="003B6D82">
              <w:rPr>
                <w:iCs/>
              </w:rPr>
              <w:t>%</w:t>
            </w:r>
          </w:p>
        </w:tc>
      </w:tr>
      <w:tr w:rsidR="00EC05C4" w:rsidRPr="003B6D82" w14:paraId="063D2031" w14:textId="77777777" w:rsidTr="00051085">
        <w:trPr>
          <w:cantSplit/>
        </w:trPr>
        <w:tc>
          <w:tcPr>
            <w:tcW w:w="901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5836DA" w14:textId="77777777" w:rsidR="00EC05C4" w:rsidRPr="003B6D82" w:rsidRDefault="00EC05C4" w:rsidP="00870C64">
            <w:pPr>
              <w:pStyle w:val="COMTabletext"/>
              <w:keepNext w:val="0"/>
              <w:rPr>
                <w:b/>
                <w:bCs w:val="0"/>
                <w:iCs/>
                <w:szCs w:val="22"/>
              </w:rPr>
            </w:pPr>
            <w:r w:rsidRPr="003B6D82">
              <w:rPr>
                <w:b/>
                <w:bCs w:val="0"/>
                <w:iCs/>
              </w:rPr>
              <w:t xml:space="preserve">Time to treatment discontinuation (base case: separate KM estimates for responders and non-responders in the </w:t>
            </w:r>
            <w:proofErr w:type="spellStart"/>
            <w:r w:rsidRPr="003B6D82">
              <w:rPr>
                <w:b/>
                <w:bCs w:val="0"/>
                <w:iCs/>
              </w:rPr>
              <w:t>fedratinib</w:t>
            </w:r>
            <w:proofErr w:type="spellEnd"/>
            <w:r w:rsidRPr="003B6D82">
              <w:rPr>
                <w:b/>
                <w:bCs w:val="0"/>
                <w:iCs/>
              </w:rPr>
              <w:t xml:space="preserve"> arm of the FREEDOM-2 applied to both treatment arms to 96 weeks with log-normal extrapolation)</w:t>
            </w:r>
          </w:p>
        </w:tc>
      </w:tr>
      <w:tr w:rsidR="00EC05C4" w:rsidRPr="003B6D82" w14:paraId="12278E76" w14:textId="77777777" w:rsidTr="00051085">
        <w:trPr>
          <w:cantSplit/>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08A6DA" w14:textId="77777777" w:rsidR="00EC05C4" w:rsidRPr="003B6D82" w:rsidRDefault="00EC05C4" w:rsidP="00870C64">
            <w:pPr>
              <w:pStyle w:val="COMTabletext"/>
              <w:keepNext w:val="0"/>
              <w:rPr>
                <w:iCs/>
              </w:rPr>
            </w:pPr>
            <w:r w:rsidRPr="003B6D82">
              <w:rPr>
                <w:iCs/>
              </w:rPr>
              <w:t>Use KM estimates of TTD in the FREEDOM-2 overall population independent of response and treatment arm (log-logistic extrapolation) adjusted for retrospective response assumptions</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F5FC18" w14:textId="60DBF0C3" w:rsidR="00EC05C4" w:rsidRPr="003B6D82" w:rsidRDefault="00EC05C4" w:rsidP="00870C64">
            <w:pPr>
              <w:pStyle w:val="COMTabletext"/>
              <w:keepNext w:val="0"/>
              <w:jc w:val="center"/>
              <w:rPr>
                <w:iCs/>
              </w:rPr>
            </w:pPr>
            <w:r w:rsidRPr="003B6D82">
              <w:rPr>
                <w:iCs/>
              </w:rPr>
              <w:t>$</w:t>
            </w:r>
            <w:r w:rsidR="00733FBC" w:rsidRPr="00733FBC">
              <w:rPr>
                <w:iCs/>
                <w:color w:val="000000"/>
                <w:spacing w:val="49"/>
                <w:shd w:val="solid" w:color="000000" w:fill="000000"/>
                <w:fitText w:val="320" w:id="-663572219"/>
                <w14:textFill>
                  <w14:solidFill>
                    <w14:srgbClr w14:val="000000">
                      <w14:alpha w14:val="100000"/>
                    </w14:srgbClr>
                  </w14:solidFill>
                </w14:textFill>
              </w:rPr>
              <w:t>|||</w:t>
            </w:r>
            <w:r w:rsidR="00733FBC" w:rsidRPr="00733FBC">
              <w:rPr>
                <w:iCs/>
                <w:color w:val="000000"/>
                <w:spacing w:val="3"/>
                <w:shd w:val="solid" w:color="000000" w:fill="000000"/>
                <w:fitText w:val="320" w:id="-663572219"/>
                <w14:textFill>
                  <w14:solidFill>
                    <w14:srgbClr w14:val="000000">
                      <w14:alpha w14:val="100000"/>
                    </w14:srgbClr>
                  </w14:solidFill>
                </w14:textFill>
              </w:rPr>
              <w:t>|</w:t>
            </w:r>
          </w:p>
        </w:tc>
        <w:tc>
          <w:tcPr>
            <w:tcW w:w="1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D50B26" w14:textId="77777777" w:rsidR="00EC05C4" w:rsidRPr="003B6D82" w:rsidRDefault="00EC05C4" w:rsidP="00870C64">
            <w:pPr>
              <w:pStyle w:val="COMTabletext"/>
              <w:keepNext w:val="0"/>
              <w:jc w:val="center"/>
              <w:rPr>
                <w:iCs/>
              </w:rPr>
            </w:pPr>
            <w:r w:rsidRPr="003B6D82">
              <w:rPr>
                <w:iCs/>
              </w:rPr>
              <w:t>0.1279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196FE6" w14:textId="4FE32874" w:rsidR="00EC05C4" w:rsidRPr="003B6D82" w:rsidRDefault="00EC05C4" w:rsidP="00870C64">
            <w:pPr>
              <w:pStyle w:val="COMTabletext"/>
              <w:keepNext w:val="0"/>
              <w:jc w:val="center"/>
              <w:rPr>
                <w:iCs/>
              </w:rPr>
            </w:pPr>
            <w:r w:rsidRPr="003B6D82">
              <w:rPr>
                <w:iCs/>
              </w:rPr>
              <w:t>$</w:t>
            </w:r>
            <w:r w:rsidR="00733FBC" w:rsidRPr="00733FBC">
              <w:rPr>
                <w:iCs/>
                <w:color w:val="000000"/>
                <w:spacing w:val="53"/>
                <w:shd w:val="solid" w:color="000000" w:fill="000000"/>
                <w:fitText w:val="330" w:id="-663572218"/>
                <w14:textFill>
                  <w14:solidFill>
                    <w14:srgbClr w14:val="000000">
                      <w14:alpha w14:val="100000"/>
                    </w14:srgbClr>
                  </w14:solidFill>
                </w14:textFill>
              </w:rPr>
              <w:t>|||</w:t>
            </w:r>
            <w:r w:rsidR="00733FBC" w:rsidRPr="00733FBC">
              <w:rPr>
                <w:iCs/>
                <w:color w:val="000000"/>
                <w:spacing w:val="1"/>
                <w:shd w:val="solid" w:color="000000" w:fill="000000"/>
                <w:fitText w:val="330" w:id="-663572218"/>
                <w14:textFill>
                  <w14:solidFill>
                    <w14:srgbClr w14:val="000000">
                      <w14:alpha w14:val="100000"/>
                    </w14:srgbClr>
                  </w14:solidFill>
                </w14:textFill>
              </w:rPr>
              <w:t>|</w:t>
            </w:r>
            <w:r w:rsidR="002E70FD">
              <w:rPr>
                <w:b/>
                <w:bCs w:val="0"/>
                <w:iCs/>
              </w:rPr>
              <w:t xml:space="preserve"> </w:t>
            </w:r>
            <w:r w:rsidR="002E70FD">
              <w:rPr>
                <w:b/>
                <w:bCs w:val="0"/>
                <w:iCs/>
                <w:vertAlign w:val="superscript"/>
              </w:rPr>
              <w:t>1</w:t>
            </w:r>
          </w:p>
        </w:tc>
        <w:tc>
          <w:tcPr>
            <w:tcW w:w="1079" w:type="dxa"/>
            <w:tcBorders>
              <w:top w:val="single" w:sz="4" w:space="0" w:color="auto"/>
              <w:left w:val="single" w:sz="4" w:space="0" w:color="auto"/>
              <w:bottom w:val="single" w:sz="4" w:space="0" w:color="auto"/>
              <w:right w:val="single" w:sz="4" w:space="0" w:color="auto"/>
            </w:tcBorders>
            <w:vAlign w:val="center"/>
            <w:hideMark/>
          </w:tcPr>
          <w:p w14:paraId="51E67BC8" w14:textId="311951A9" w:rsidR="00EC05C4" w:rsidRPr="003B6D82" w:rsidRDefault="00EC05C4" w:rsidP="00870C64">
            <w:pPr>
              <w:pStyle w:val="COMTabletext"/>
              <w:keepNext w:val="0"/>
              <w:jc w:val="center"/>
              <w:rPr>
                <w:iCs/>
                <w:szCs w:val="22"/>
              </w:rPr>
            </w:pPr>
            <w:r w:rsidRPr="003B6D82">
              <w:rPr>
                <w:iCs/>
              </w:rPr>
              <w:t>-</w:t>
            </w:r>
            <w:r w:rsidR="00733FBC" w:rsidRPr="00733FBC">
              <w:rPr>
                <w:iCs/>
                <w:color w:val="000000"/>
                <w:spacing w:val="53"/>
                <w:shd w:val="solid" w:color="000000" w:fill="000000"/>
                <w:fitText w:val="330" w:id="-663572217"/>
                <w14:textFill>
                  <w14:solidFill>
                    <w14:srgbClr w14:val="000000">
                      <w14:alpha w14:val="100000"/>
                    </w14:srgbClr>
                  </w14:solidFill>
                </w14:textFill>
              </w:rPr>
              <w:t>|||</w:t>
            </w:r>
            <w:r w:rsidR="00733FBC" w:rsidRPr="00733FBC">
              <w:rPr>
                <w:iCs/>
                <w:color w:val="000000"/>
                <w:spacing w:val="1"/>
                <w:shd w:val="solid" w:color="000000" w:fill="000000"/>
                <w:fitText w:val="330" w:id="-663572217"/>
                <w14:textFill>
                  <w14:solidFill>
                    <w14:srgbClr w14:val="000000">
                      <w14:alpha w14:val="100000"/>
                    </w14:srgbClr>
                  </w14:solidFill>
                </w14:textFill>
              </w:rPr>
              <w:t>|</w:t>
            </w:r>
            <w:r w:rsidRPr="003B6D82">
              <w:rPr>
                <w:iCs/>
              </w:rPr>
              <w:t>%</w:t>
            </w:r>
          </w:p>
        </w:tc>
      </w:tr>
      <w:tr w:rsidR="00EC05C4" w:rsidRPr="003B6D82" w14:paraId="32E6B85F" w14:textId="77777777" w:rsidTr="00051085">
        <w:trPr>
          <w:cantSplit/>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910070" w14:textId="77777777" w:rsidR="00EC05C4" w:rsidRPr="003B6D82" w:rsidRDefault="00EC05C4" w:rsidP="00870C64">
            <w:pPr>
              <w:pStyle w:val="COMTabletext"/>
              <w:keepNext w:val="0"/>
              <w:rPr>
                <w:iCs/>
              </w:rPr>
            </w:pPr>
            <w:r w:rsidRPr="003B6D82">
              <w:rPr>
                <w:iCs/>
              </w:rPr>
              <w:t xml:space="preserve">Use KM estimates dependent on response for individual treatment arms (BAT estimates based on BAT treatment arm; </w:t>
            </w:r>
            <w:proofErr w:type="spellStart"/>
            <w:r w:rsidRPr="003B6D82">
              <w:rPr>
                <w:iCs/>
              </w:rPr>
              <w:t>fedratinib</w:t>
            </w:r>
            <w:proofErr w:type="spellEnd"/>
            <w:r w:rsidRPr="003B6D82">
              <w:rPr>
                <w:iCs/>
              </w:rPr>
              <w:t xml:space="preserve"> responders: log-normal, BAT responders: log-normal, </w:t>
            </w:r>
            <w:proofErr w:type="spellStart"/>
            <w:r w:rsidRPr="003B6D82">
              <w:rPr>
                <w:iCs/>
              </w:rPr>
              <w:t>fedratinib</w:t>
            </w:r>
            <w:proofErr w:type="spellEnd"/>
            <w:r w:rsidRPr="003B6D82">
              <w:rPr>
                <w:iCs/>
              </w:rPr>
              <w:t xml:space="preserve"> non-responders: log-logistic, BAT non-responders: exponential)</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CA8BAC" w14:textId="480F862F" w:rsidR="00EC05C4" w:rsidRPr="003B6D82" w:rsidRDefault="00EC05C4" w:rsidP="00870C64">
            <w:pPr>
              <w:pStyle w:val="COMTabletext"/>
              <w:keepNext w:val="0"/>
              <w:jc w:val="center"/>
              <w:rPr>
                <w:iCs/>
              </w:rPr>
            </w:pPr>
            <w:r w:rsidRPr="003B6D82">
              <w:rPr>
                <w:iCs/>
              </w:rPr>
              <w:t>$</w:t>
            </w:r>
            <w:r w:rsidR="00733FBC" w:rsidRPr="00733FBC">
              <w:rPr>
                <w:iCs/>
                <w:color w:val="000000"/>
                <w:spacing w:val="49"/>
                <w:shd w:val="solid" w:color="000000" w:fill="000000"/>
                <w:fitText w:val="320" w:id="-663572216"/>
                <w14:textFill>
                  <w14:solidFill>
                    <w14:srgbClr w14:val="000000">
                      <w14:alpha w14:val="100000"/>
                    </w14:srgbClr>
                  </w14:solidFill>
                </w14:textFill>
              </w:rPr>
              <w:t>|||</w:t>
            </w:r>
            <w:r w:rsidR="00733FBC" w:rsidRPr="00733FBC">
              <w:rPr>
                <w:iCs/>
                <w:color w:val="000000"/>
                <w:spacing w:val="3"/>
                <w:shd w:val="solid" w:color="000000" w:fill="000000"/>
                <w:fitText w:val="320" w:id="-663572216"/>
                <w14:textFill>
                  <w14:solidFill>
                    <w14:srgbClr w14:val="000000">
                      <w14:alpha w14:val="100000"/>
                    </w14:srgbClr>
                  </w14:solidFill>
                </w14:textFill>
              </w:rPr>
              <w:t>|</w:t>
            </w:r>
          </w:p>
        </w:tc>
        <w:tc>
          <w:tcPr>
            <w:tcW w:w="1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5D2E28" w14:textId="77777777" w:rsidR="00EC05C4" w:rsidRPr="003B6D82" w:rsidRDefault="00EC05C4" w:rsidP="00870C64">
            <w:pPr>
              <w:pStyle w:val="COMTabletext"/>
              <w:keepNext w:val="0"/>
              <w:jc w:val="center"/>
              <w:rPr>
                <w:iCs/>
              </w:rPr>
            </w:pPr>
            <w:r w:rsidRPr="003B6D82">
              <w:rPr>
                <w:iCs/>
              </w:rPr>
              <w:t>0.1046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C0AB38" w14:textId="34D63031" w:rsidR="00EC05C4" w:rsidRPr="003B6D82" w:rsidRDefault="00EC05C4" w:rsidP="00870C64">
            <w:pPr>
              <w:pStyle w:val="COMTabletext"/>
              <w:keepNext w:val="0"/>
              <w:jc w:val="center"/>
              <w:rPr>
                <w:iCs/>
              </w:rPr>
            </w:pPr>
            <w:r w:rsidRPr="003B6D82">
              <w:rPr>
                <w:iCs/>
              </w:rPr>
              <w:t>$</w:t>
            </w:r>
            <w:r w:rsidR="00733FBC" w:rsidRPr="00733FBC">
              <w:rPr>
                <w:iCs/>
                <w:color w:val="000000"/>
                <w:spacing w:val="53"/>
                <w:shd w:val="solid" w:color="000000" w:fill="000000"/>
                <w:fitText w:val="330" w:id="-663572215"/>
                <w14:textFill>
                  <w14:solidFill>
                    <w14:srgbClr w14:val="000000">
                      <w14:alpha w14:val="100000"/>
                    </w14:srgbClr>
                  </w14:solidFill>
                </w14:textFill>
              </w:rPr>
              <w:t>|||</w:t>
            </w:r>
            <w:r w:rsidR="00733FBC" w:rsidRPr="00733FBC">
              <w:rPr>
                <w:iCs/>
                <w:color w:val="000000"/>
                <w:spacing w:val="1"/>
                <w:shd w:val="solid" w:color="000000" w:fill="000000"/>
                <w:fitText w:val="330" w:id="-663572215"/>
                <w14:textFill>
                  <w14:solidFill>
                    <w14:srgbClr w14:val="000000">
                      <w14:alpha w14:val="100000"/>
                    </w14:srgbClr>
                  </w14:solidFill>
                </w14:textFill>
              </w:rPr>
              <w:t>|</w:t>
            </w:r>
            <w:r w:rsidR="008A1440">
              <w:rPr>
                <w:b/>
                <w:bCs w:val="0"/>
                <w:iCs/>
              </w:rPr>
              <w:t xml:space="preserve"> </w:t>
            </w:r>
            <w:r w:rsidR="008A1440">
              <w:rPr>
                <w:b/>
                <w:bCs w:val="0"/>
                <w:iCs/>
                <w:vertAlign w:val="superscript"/>
              </w:rPr>
              <w:t>5</w:t>
            </w:r>
          </w:p>
        </w:tc>
        <w:tc>
          <w:tcPr>
            <w:tcW w:w="1079" w:type="dxa"/>
            <w:tcBorders>
              <w:top w:val="single" w:sz="4" w:space="0" w:color="auto"/>
              <w:left w:val="single" w:sz="4" w:space="0" w:color="auto"/>
              <w:bottom w:val="single" w:sz="4" w:space="0" w:color="auto"/>
              <w:right w:val="single" w:sz="4" w:space="0" w:color="auto"/>
            </w:tcBorders>
            <w:vAlign w:val="center"/>
            <w:hideMark/>
          </w:tcPr>
          <w:p w14:paraId="5F755264" w14:textId="288309BC" w:rsidR="00EC05C4" w:rsidRPr="003B6D82" w:rsidRDefault="00EC05C4" w:rsidP="00870C64">
            <w:pPr>
              <w:pStyle w:val="COMTabletext"/>
              <w:keepNext w:val="0"/>
              <w:jc w:val="center"/>
              <w:rPr>
                <w:iCs/>
              </w:rPr>
            </w:pPr>
            <w:r w:rsidRPr="003B6D82">
              <w:rPr>
                <w:iCs/>
              </w:rPr>
              <w:t>-</w:t>
            </w:r>
            <w:r w:rsidR="00733FBC" w:rsidRPr="00733FBC">
              <w:rPr>
                <w:iCs/>
                <w:color w:val="000000"/>
                <w:spacing w:val="53"/>
                <w:shd w:val="solid" w:color="000000" w:fill="000000"/>
                <w:fitText w:val="330" w:id="-663572214"/>
                <w14:textFill>
                  <w14:solidFill>
                    <w14:srgbClr w14:val="000000">
                      <w14:alpha w14:val="100000"/>
                    </w14:srgbClr>
                  </w14:solidFill>
                </w14:textFill>
              </w:rPr>
              <w:t>|||</w:t>
            </w:r>
            <w:r w:rsidR="00733FBC" w:rsidRPr="00733FBC">
              <w:rPr>
                <w:iCs/>
                <w:color w:val="000000"/>
                <w:spacing w:val="1"/>
                <w:shd w:val="solid" w:color="000000" w:fill="000000"/>
                <w:fitText w:val="330" w:id="-663572214"/>
                <w14:textFill>
                  <w14:solidFill>
                    <w14:srgbClr w14:val="000000">
                      <w14:alpha w14:val="100000"/>
                    </w14:srgbClr>
                  </w14:solidFill>
                </w14:textFill>
              </w:rPr>
              <w:t>|</w:t>
            </w:r>
            <w:r w:rsidRPr="003B6D82">
              <w:rPr>
                <w:iCs/>
              </w:rPr>
              <w:t>%</w:t>
            </w:r>
          </w:p>
        </w:tc>
      </w:tr>
      <w:tr w:rsidR="00EC05C4" w:rsidRPr="003B6D82" w14:paraId="0B14A853" w14:textId="77777777" w:rsidTr="00051085">
        <w:trPr>
          <w:cantSplit/>
        </w:trPr>
        <w:tc>
          <w:tcPr>
            <w:tcW w:w="901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3BD985" w14:textId="77777777" w:rsidR="00EC05C4" w:rsidRPr="003B6D82" w:rsidRDefault="00EC05C4" w:rsidP="00870C64">
            <w:pPr>
              <w:pStyle w:val="COMTabletext"/>
              <w:keepNext w:val="0"/>
              <w:rPr>
                <w:b/>
                <w:bCs w:val="0"/>
                <w:iCs/>
                <w:szCs w:val="22"/>
              </w:rPr>
            </w:pPr>
            <w:r w:rsidRPr="003B6D82">
              <w:rPr>
                <w:b/>
                <w:bCs w:val="0"/>
                <w:iCs/>
              </w:rPr>
              <w:t>Adverse events (base case: exposure adjusted incidence rate of severe adverse events in each treatment arm for the FREEDOM-2 trial)</w:t>
            </w:r>
          </w:p>
        </w:tc>
      </w:tr>
      <w:tr w:rsidR="00EC05C4" w:rsidRPr="003B6D82" w14:paraId="17AC01EE" w14:textId="77777777" w:rsidTr="00051085">
        <w:trPr>
          <w:cantSplit/>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8A25EF" w14:textId="77777777" w:rsidR="00EC05C4" w:rsidRPr="003B6D82" w:rsidRDefault="00EC05C4" w:rsidP="00870C64">
            <w:pPr>
              <w:pStyle w:val="COMTabletext"/>
              <w:keepNext w:val="0"/>
              <w:rPr>
                <w:iCs/>
              </w:rPr>
            </w:pPr>
            <w:r w:rsidRPr="003B6D82">
              <w:rPr>
                <w:iCs/>
              </w:rPr>
              <w:t>Increase exposure adjusted incidence rates by 50%</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DE1AFC" w14:textId="0C788A91" w:rsidR="00EC05C4" w:rsidRPr="003B6D82" w:rsidRDefault="00EC05C4" w:rsidP="00870C64">
            <w:pPr>
              <w:pStyle w:val="COMTabletext"/>
              <w:keepNext w:val="0"/>
              <w:jc w:val="center"/>
              <w:rPr>
                <w:iCs/>
              </w:rPr>
            </w:pPr>
            <w:r w:rsidRPr="003B6D82">
              <w:rPr>
                <w:iCs/>
              </w:rPr>
              <w:t>$</w:t>
            </w:r>
            <w:r w:rsidR="00733FBC" w:rsidRPr="00733FBC">
              <w:rPr>
                <w:iCs/>
                <w:color w:val="000000"/>
                <w:spacing w:val="49"/>
                <w:shd w:val="solid" w:color="000000" w:fill="000000"/>
                <w:fitText w:val="320" w:id="-663572213"/>
                <w14:textFill>
                  <w14:solidFill>
                    <w14:srgbClr w14:val="000000">
                      <w14:alpha w14:val="100000"/>
                    </w14:srgbClr>
                  </w14:solidFill>
                </w14:textFill>
              </w:rPr>
              <w:t>|||</w:t>
            </w:r>
            <w:r w:rsidR="00733FBC" w:rsidRPr="00733FBC">
              <w:rPr>
                <w:iCs/>
                <w:color w:val="000000"/>
                <w:spacing w:val="3"/>
                <w:shd w:val="solid" w:color="000000" w:fill="000000"/>
                <w:fitText w:val="320" w:id="-663572213"/>
                <w14:textFill>
                  <w14:solidFill>
                    <w14:srgbClr w14:val="000000">
                      <w14:alpha w14:val="100000"/>
                    </w14:srgbClr>
                  </w14:solidFill>
                </w14:textFill>
              </w:rPr>
              <w:t>|</w:t>
            </w:r>
          </w:p>
        </w:tc>
        <w:tc>
          <w:tcPr>
            <w:tcW w:w="1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BE3B97" w14:textId="77777777" w:rsidR="00EC05C4" w:rsidRPr="003B6D82" w:rsidRDefault="00EC05C4" w:rsidP="00870C64">
            <w:pPr>
              <w:pStyle w:val="COMTabletext"/>
              <w:keepNext w:val="0"/>
              <w:jc w:val="center"/>
              <w:rPr>
                <w:iCs/>
              </w:rPr>
            </w:pPr>
            <w:r w:rsidRPr="003B6D82">
              <w:rPr>
                <w:iCs/>
              </w:rPr>
              <w:t>0.1574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010E69" w14:textId="7C2CE1AF" w:rsidR="00EC05C4" w:rsidRPr="003B6D82" w:rsidRDefault="00EC05C4" w:rsidP="00870C64">
            <w:pPr>
              <w:pStyle w:val="COMTabletext"/>
              <w:keepNext w:val="0"/>
              <w:jc w:val="center"/>
              <w:rPr>
                <w:iCs/>
              </w:rPr>
            </w:pPr>
            <w:r w:rsidRPr="003B6D82">
              <w:rPr>
                <w:iCs/>
              </w:rPr>
              <w:t>$</w:t>
            </w:r>
            <w:r w:rsidR="00733FBC" w:rsidRPr="00733FBC">
              <w:rPr>
                <w:iCs/>
                <w:color w:val="000000"/>
                <w:spacing w:val="53"/>
                <w:shd w:val="solid" w:color="000000" w:fill="000000"/>
                <w:fitText w:val="330" w:id="-663572212"/>
                <w14:textFill>
                  <w14:solidFill>
                    <w14:srgbClr w14:val="000000">
                      <w14:alpha w14:val="100000"/>
                    </w14:srgbClr>
                  </w14:solidFill>
                </w14:textFill>
              </w:rPr>
              <w:t>|||</w:t>
            </w:r>
            <w:r w:rsidR="00733FBC" w:rsidRPr="00733FBC">
              <w:rPr>
                <w:iCs/>
                <w:color w:val="000000"/>
                <w:spacing w:val="1"/>
                <w:shd w:val="solid" w:color="000000" w:fill="000000"/>
                <w:fitText w:val="330" w:id="-663572212"/>
                <w14:textFill>
                  <w14:solidFill>
                    <w14:srgbClr w14:val="000000">
                      <w14:alpha w14:val="100000"/>
                    </w14:srgbClr>
                  </w14:solidFill>
                </w14:textFill>
              </w:rPr>
              <w:t>|</w:t>
            </w:r>
            <w:r w:rsidR="002E70FD">
              <w:rPr>
                <w:b/>
                <w:bCs w:val="0"/>
                <w:iCs/>
              </w:rPr>
              <w:t xml:space="preserve"> </w:t>
            </w:r>
            <w:r w:rsidR="002E70FD">
              <w:rPr>
                <w:b/>
                <w:bCs w:val="0"/>
                <w:iCs/>
                <w:vertAlign w:val="superscript"/>
              </w:rPr>
              <w:t>2</w:t>
            </w:r>
          </w:p>
        </w:tc>
        <w:tc>
          <w:tcPr>
            <w:tcW w:w="1079" w:type="dxa"/>
            <w:tcBorders>
              <w:top w:val="single" w:sz="4" w:space="0" w:color="auto"/>
              <w:left w:val="single" w:sz="4" w:space="0" w:color="auto"/>
              <w:bottom w:val="single" w:sz="4" w:space="0" w:color="auto"/>
              <w:right w:val="single" w:sz="4" w:space="0" w:color="auto"/>
            </w:tcBorders>
            <w:vAlign w:val="center"/>
            <w:hideMark/>
          </w:tcPr>
          <w:p w14:paraId="5F92A40A" w14:textId="2E4E0329" w:rsidR="00EC05C4" w:rsidRPr="003B6D82" w:rsidRDefault="00EC05C4" w:rsidP="00870C64">
            <w:pPr>
              <w:pStyle w:val="COMTabletext"/>
              <w:keepNext w:val="0"/>
              <w:jc w:val="center"/>
              <w:rPr>
                <w:iCs/>
                <w:szCs w:val="22"/>
              </w:rPr>
            </w:pPr>
            <w:r w:rsidRPr="003B6D82">
              <w:rPr>
                <w:iCs/>
              </w:rPr>
              <w:t>+</w:t>
            </w:r>
            <w:r w:rsidR="00733FBC" w:rsidRPr="00733FBC">
              <w:rPr>
                <w:iCs/>
                <w:color w:val="000000"/>
                <w:spacing w:val="53"/>
                <w:shd w:val="solid" w:color="000000" w:fill="000000"/>
                <w:fitText w:val="330" w:id="-663572211"/>
                <w14:textFill>
                  <w14:solidFill>
                    <w14:srgbClr w14:val="000000">
                      <w14:alpha w14:val="100000"/>
                    </w14:srgbClr>
                  </w14:solidFill>
                </w14:textFill>
              </w:rPr>
              <w:t>|||</w:t>
            </w:r>
            <w:r w:rsidR="00733FBC" w:rsidRPr="00733FBC">
              <w:rPr>
                <w:iCs/>
                <w:color w:val="000000"/>
                <w:spacing w:val="1"/>
                <w:shd w:val="solid" w:color="000000" w:fill="000000"/>
                <w:fitText w:val="330" w:id="-663572211"/>
                <w14:textFill>
                  <w14:solidFill>
                    <w14:srgbClr w14:val="000000">
                      <w14:alpha w14:val="100000"/>
                    </w14:srgbClr>
                  </w14:solidFill>
                </w14:textFill>
              </w:rPr>
              <w:t>|</w:t>
            </w:r>
            <w:r w:rsidRPr="003B6D82">
              <w:rPr>
                <w:iCs/>
              </w:rPr>
              <w:t>%</w:t>
            </w:r>
          </w:p>
        </w:tc>
      </w:tr>
      <w:tr w:rsidR="00EC05C4" w:rsidRPr="003B6D82" w14:paraId="27D3DD1F" w14:textId="77777777" w:rsidTr="00051085">
        <w:trPr>
          <w:cantSplit/>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D2C953" w14:textId="77777777" w:rsidR="00EC05C4" w:rsidRPr="003B6D82" w:rsidRDefault="00EC05C4" w:rsidP="00870C64">
            <w:pPr>
              <w:pStyle w:val="COMTabletext"/>
              <w:keepNext w:val="0"/>
              <w:rPr>
                <w:iCs/>
              </w:rPr>
            </w:pPr>
            <w:r w:rsidRPr="003B6D82">
              <w:rPr>
                <w:iCs/>
              </w:rPr>
              <w:t>Decrease exposure adjusted incidence rates by 50%</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824206" w14:textId="6B26E696" w:rsidR="00EC05C4" w:rsidRPr="003B6D82" w:rsidRDefault="00EC05C4" w:rsidP="00870C64">
            <w:pPr>
              <w:pStyle w:val="COMTabletext"/>
              <w:keepNext w:val="0"/>
              <w:jc w:val="center"/>
              <w:rPr>
                <w:iCs/>
              </w:rPr>
            </w:pPr>
            <w:r w:rsidRPr="003B6D82">
              <w:rPr>
                <w:iCs/>
              </w:rPr>
              <w:t>$</w:t>
            </w:r>
            <w:r w:rsidR="00733FBC" w:rsidRPr="00733FBC">
              <w:rPr>
                <w:iCs/>
                <w:color w:val="000000"/>
                <w:spacing w:val="49"/>
                <w:shd w:val="solid" w:color="000000" w:fill="000000"/>
                <w:fitText w:val="320" w:id="-663572210"/>
                <w14:textFill>
                  <w14:solidFill>
                    <w14:srgbClr w14:val="000000">
                      <w14:alpha w14:val="100000"/>
                    </w14:srgbClr>
                  </w14:solidFill>
                </w14:textFill>
              </w:rPr>
              <w:t>|||</w:t>
            </w:r>
            <w:r w:rsidR="00733FBC" w:rsidRPr="00733FBC">
              <w:rPr>
                <w:iCs/>
                <w:color w:val="000000"/>
                <w:spacing w:val="3"/>
                <w:shd w:val="solid" w:color="000000" w:fill="000000"/>
                <w:fitText w:val="320" w:id="-663572210"/>
                <w14:textFill>
                  <w14:solidFill>
                    <w14:srgbClr w14:val="000000">
                      <w14:alpha w14:val="100000"/>
                    </w14:srgbClr>
                  </w14:solidFill>
                </w14:textFill>
              </w:rPr>
              <w:t>|</w:t>
            </w:r>
          </w:p>
        </w:tc>
        <w:tc>
          <w:tcPr>
            <w:tcW w:w="1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2BEE53" w14:textId="77777777" w:rsidR="00EC05C4" w:rsidRPr="003B6D82" w:rsidRDefault="00EC05C4" w:rsidP="00870C64">
            <w:pPr>
              <w:pStyle w:val="COMTabletext"/>
              <w:keepNext w:val="0"/>
              <w:jc w:val="center"/>
              <w:rPr>
                <w:iCs/>
              </w:rPr>
            </w:pPr>
            <w:r w:rsidRPr="003B6D82">
              <w:rPr>
                <w:iCs/>
              </w:rPr>
              <w:t>0.1665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62894A" w14:textId="67317130" w:rsidR="00EC05C4" w:rsidRPr="003B6D82" w:rsidRDefault="00EC05C4" w:rsidP="00870C64">
            <w:pPr>
              <w:pStyle w:val="COMTabletext"/>
              <w:keepNext w:val="0"/>
              <w:jc w:val="center"/>
              <w:rPr>
                <w:iCs/>
              </w:rPr>
            </w:pPr>
            <w:r w:rsidRPr="003B6D82">
              <w:rPr>
                <w:iCs/>
              </w:rPr>
              <w:t>$</w:t>
            </w:r>
            <w:r w:rsidR="00733FBC" w:rsidRPr="00733FBC">
              <w:rPr>
                <w:iCs/>
                <w:color w:val="000000"/>
                <w:spacing w:val="53"/>
                <w:shd w:val="solid" w:color="000000" w:fill="000000"/>
                <w:fitText w:val="330" w:id="-663572209"/>
                <w14:textFill>
                  <w14:solidFill>
                    <w14:srgbClr w14:val="000000">
                      <w14:alpha w14:val="100000"/>
                    </w14:srgbClr>
                  </w14:solidFill>
                </w14:textFill>
              </w:rPr>
              <w:t>|||</w:t>
            </w:r>
            <w:r w:rsidR="00733FBC" w:rsidRPr="00733FBC">
              <w:rPr>
                <w:iCs/>
                <w:color w:val="000000"/>
                <w:spacing w:val="1"/>
                <w:shd w:val="solid" w:color="000000" w:fill="000000"/>
                <w:fitText w:val="330" w:id="-663572209"/>
                <w14:textFill>
                  <w14:solidFill>
                    <w14:srgbClr w14:val="000000">
                      <w14:alpha w14:val="100000"/>
                    </w14:srgbClr>
                  </w14:solidFill>
                </w14:textFill>
              </w:rPr>
              <w:t>|</w:t>
            </w:r>
            <w:r w:rsidR="002E70FD">
              <w:rPr>
                <w:b/>
                <w:bCs w:val="0"/>
                <w:iCs/>
              </w:rPr>
              <w:t xml:space="preserve"> </w:t>
            </w:r>
            <w:r w:rsidR="002E70FD">
              <w:rPr>
                <w:b/>
                <w:bCs w:val="0"/>
                <w:iCs/>
                <w:vertAlign w:val="superscript"/>
              </w:rPr>
              <w:t>1</w:t>
            </w:r>
          </w:p>
        </w:tc>
        <w:tc>
          <w:tcPr>
            <w:tcW w:w="1079" w:type="dxa"/>
            <w:tcBorders>
              <w:top w:val="single" w:sz="4" w:space="0" w:color="auto"/>
              <w:left w:val="single" w:sz="4" w:space="0" w:color="auto"/>
              <w:bottom w:val="single" w:sz="4" w:space="0" w:color="auto"/>
              <w:right w:val="single" w:sz="4" w:space="0" w:color="auto"/>
            </w:tcBorders>
            <w:vAlign w:val="center"/>
            <w:hideMark/>
          </w:tcPr>
          <w:p w14:paraId="6039E35A" w14:textId="7E25CD5D" w:rsidR="00EC05C4" w:rsidRPr="003B6D82" w:rsidRDefault="00EC05C4" w:rsidP="00870C64">
            <w:pPr>
              <w:pStyle w:val="COMTabletext"/>
              <w:keepNext w:val="0"/>
              <w:jc w:val="center"/>
              <w:rPr>
                <w:iCs/>
                <w:szCs w:val="22"/>
              </w:rPr>
            </w:pPr>
            <w:r w:rsidRPr="003B6D82">
              <w:rPr>
                <w:iCs/>
              </w:rPr>
              <w:t>-</w:t>
            </w:r>
            <w:r w:rsidR="00733FBC" w:rsidRPr="00733FBC">
              <w:rPr>
                <w:iCs/>
                <w:color w:val="000000"/>
                <w:spacing w:val="53"/>
                <w:shd w:val="solid" w:color="000000" w:fill="000000"/>
                <w:fitText w:val="330" w:id="-663572208"/>
                <w14:textFill>
                  <w14:solidFill>
                    <w14:srgbClr w14:val="000000">
                      <w14:alpha w14:val="100000"/>
                    </w14:srgbClr>
                  </w14:solidFill>
                </w14:textFill>
              </w:rPr>
              <w:t>|||</w:t>
            </w:r>
            <w:r w:rsidR="00733FBC" w:rsidRPr="00733FBC">
              <w:rPr>
                <w:iCs/>
                <w:color w:val="000000"/>
                <w:spacing w:val="1"/>
                <w:shd w:val="solid" w:color="000000" w:fill="000000"/>
                <w:fitText w:val="330" w:id="-663572208"/>
                <w14:textFill>
                  <w14:solidFill>
                    <w14:srgbClr w14:val="000000">
                      <w14:alpha w14:val="100000"/>
                    </w14:srgbClr>
                  </w14:solidFill>
                </w14:textFill>
              </w:rPr>
              <w:t>|</w:t>
            </w:r>
            <w:r w:rsidRPr="003B6D82">
              <w:rPr>
                <w:iCs/>
              </w:rPr>
              <w:t>%</w:t>
            </w:r>
          </w:p>
        </w:tc>
      </w:tr>
      <w:tr w:rsidR="00EC05C4" w:rsidRPr="003B6D82" w14:paraId="194C1BB3" w14:textId="77777777" w:rsidTr="00051085">
        <w:trPr>
          <w:cantSplit/>
        </w:trPr>
        <w:tc>
          <w:tcPr>
            <w:tcW w:w="901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D6B78C" w14:textId="77777777" w:rsidR="00EC05C4" w:rsidRPr="003B6D82" w:rsidRDefault="00EC05C4" w:rsidP="00870C64">
            <w:pPr>
              <w:pStyle w:val="COMTabletext"/>
              <w:keepNext w:val="0"/>
              <w:rPr>
                <w:b/>
                <w:bCs w:val="0"/>
                <w:iCs/>
              </w:rPr>
            </w:pPr>
            <w:r w:rsidRPr="003B6D82">
              <w:rPr>
                <w:b/>
                <w:bCs w:val="0"/>
                <w:iCs/>
              </w:rPr>
              <w:t xml:space="preserve">Utility values (base case: second-line utility values for response/non-response based on a post hoc analysis of the FREEDOM-2 trial using the MF-8D instrument; third-line utility values following </w:t>
            </w:r>
            <w:proofErr w:type="spellStart"/>
            <w:r w:rsidRPr="003B6D82">
              <w:rPr>
                <w:b/>
                <w:bCs w:val="0"/>
                <w:iCs/>
              </w:rPr>
              <w:t>fedratinib</w:t>
            </w:r>
            <w:proofErr w:type="spellEnd"/>
            <w:r w:rsidRPr="003B6D82">
              <w:rPr>
                <w:b/>
                <w:bCs w:val="0"/>
                <w:iCs/>
              </w:rPr>
              <w:t xml:space="preserve"> assumed to be the same as non-responders; supportive care utility values based on </w:t>
            </w:r>
            <w:proofErr w:type="spellStart"/>
            <w:r w:rsidRPr="003B6D82">
              <w:rPr>
                <w:b/>
                <w:bCs w:val="0"/>
                <w:iCs/>
              </w:rPr>
              <w:t>Färkkilä</w:t>
            </w:r>
            <w:proofErr w:type="spellEnd"/>
            <w:r w:rsidRPr="003B6D82">
              <w:rPr>
                <w:b/>
                <w:bCs w:val="0"/>
                <w:iCs/>
              </w:rPr>
              <w:t xml:space="preserve"> 2014; adverse event disutility based on various published sources)</w:t>
            </w:r>
          </w:p>
        </w:tc>
      </w:tr>
      <w:tr w:rsidR="00EC05C4" w:rsidRPr="003B6D82" w14:paraId="06C65589" w14:textId="77777777" w:rsidTr="00051085">
        <w:trPr>
          <w:cantSplit/>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CF7174" w14:textId="77777777" w:rsidR="00EC05C4" w:rsidRPr="003B6D82" w:rsidRDefault="00EC05C4" w:rsidP="00870C64">
            <w:pPr>
              <w:pStyle w:val="COMTabletext"/>
              <w:keepNext w:val="0"/>
              <w:rPr>
                <w:iCs/>
              </w:rPr>
            </w:pPr>
            <w:r w:rsidRPr="003B6D82">
              <w:rPr>
                <w:iCs/>
              </w:rPr>
              <w:t>Increase baseline utility by 10%</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40374D" w14:textId="577F15D0" w:rsidR="00EC05C4" w:rsidRPr="003B6D82" w:rsidRDefault="00EC05C4" w:rsidP="00870C64">
            <w:pPr>
              <w:pStyle w:val="COMTabletext"/>
              <w:keepNext w:val="0"/>
              <w:jc w:val="center"/>
              <w:rPr>
                <w:iCs/>
              </w:rPr>
            </w:pPr>
            <w:r w:rsidRPr="003B6D82">
              <w:rPr>
                <w:iCs/>
              </w:rPr>
              <w:t>$</w:t>
            </w:r>
            <w:r w:rsidR="00733FBC" w:rsidRPr="00733FBC">
              <w:rPr>
                <w:iCs/>
                <w:color w:val="000000"/>
                <w:spacing w:val="49"/>
                <w:shd w:val="solid" w:color="000000" w:fill="000000"/>
                <w:fitText w:val="320" w:id="-663572224"/>
                <w14:textFill>
                  <w14:solidFill>
                    <w14:srgbClr w14:val="000000">
                      <w14:alpha w14:val="100000"/>
                    </w14:srgbClr>
                  </w14:solidFill>
                </w14:textFill>
              </w:rPr>
              <w:t>|||</w:t>
            </w:r>
            <w:r w:rsidR="00733FBC" w:rsidRPr="00733FBC">
              <w:rPr>
                <w:iCs/>
                <w:color w:val="000000"/>
                <w:spacing w:val="3"/>
                <w:shd w:val="solid" w:color="000000" w:fill="000000"/>
                <w:fitText w:val="320" w:id="-663572224"/>
                <w14:textFill>
                  <w14:solidFill>
                    <w14:srgbClr w14:val="000000">
                      <w14:alpha w14:val="100000"/>
                    </w14:srgbClr>
                  </w14:solidFill>
                </w14:textFill>
              </w:rPr>
              <w:t>|</w:t>
            </w:r>
          </w:p>
        </w:tc>
        <w:tc>
          <w:tcPr>
            <w:tcW w:w="1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963561" w14:textId="77777777" w:rsidR="00EC05C4" w:rsidRPr="003B6D82" w:rsidRDefault="00EC05C4" w:rsidP="00870C64">
            <w:pPr>
              <w:pStyle w:val="COMTabletext"/>
              <w:keepNext w:val="0"/>
              <w:jc w:val="center"/>
              <w:rPr>
                <w:iCs/>
              </w:rPr>
            </w:pPr>
            <w:r w:rsidRPr="003B6D82">
              <w:rPr>
                <w:iCs/>
              </w:rPr>
              <w:t>0.2213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8A8AC1" w14:textId="3376000E" w:rsidR="00EC05C4" w:rsidRPr="003B6D82" w:rsidRDefault="00EC05C4" w:rsidP="00870C64">
            <w:pPr>
              <w:pStyle w:val="COMTabletext"/>
              <w:keepNext w:val="0"/>
              <w:jc w:val="center"/>
              <w:rPr>
                <w:iCs/>
              </w:rPr>
            </w:pPr>
            <w:r w:rsidRPr="003B6D82">
              <w:rPr>
                <w:iCs/>
              </w:rPr>
              <w:t>$</w:t>
            </w:r>
            <w:r w:rsidR="00733FBC" w:rsidRPr="00733FBC">
              <w:rPr>
                <w:iCs/>
                <w:color w:val="000000"/>
                <w:spacing w:val="53"/>
                <w:shd w:val="solid" w:color="000000" w:fill="000000"/>
                <w:fitText w:val="330" w:id="-663572223"/>
                <w14:textFill>
                  <w14:solidFill>
                    <w14:srgbClr w14:val="000000">
                      <w14:alpha w14:val="100000"/>
                    </w14:srgbClr>
                  </w14:solidFill>
                </w14:textFill>
              </w:rPr>
              <w:t>|||</w:t>
            </w:r>
            <w:r w:rsidR="00733FBC" w:rsidRPr="00733FBC">
              <w:rPr>
                <w:iCs/>
                <w:color w:val="000000"/>
                <w:spacing w:val="1"/>
                <w:shd w:val="solid" w:color="000000" w:fill="000000"/>
                <w:fitText w:val="330" w:id="-663572223"/>
                <w14:textFill>
                  <w14:solidFill>
                    <w14:srgbClr w14:val="000000">
                      <w14:alpha w14:val="100000"/>
                    </w14:srgbClr>
                  </w14:solidFill>
                </w14:textFill>
              </w:rPr>
              <w:t>|</w:t>
            </w:r>
            <w:r w:rsidR="00E76995">
              <w:rPr>
                <w:b/>
                <w:bCs w:val="0"/>
                <w:iCs/>
              </w:rPr>
              <w:t xml:space="preserve"> </w:t>
            </w:r>
            <w:r w:rsidR="00E76995">
              <w:rPr>
                <w:b/>
                <w:bCs w:val="0"/>
                <w:iCs/>
                <w:vertAlign w:val="superscript"/>
              </w:rPr>
              <w:t>6</w:t>
            </w:r>
          </w:p>
        </w:tc>
        <w:tc>
          <w:tcPr>
            <w:tcW w:w="1079" w:type="dxa"/>
            <w:tcBorders>
              <w:top w:val="single" w:sz="4" w:space="0" w:color="auto"/>
              <w:left w:val="single" w:sz="4" w:space="0" w:color="auto"/>
              <w:bottom w:val="single" w:sz="4" w:space="0" w:color="auto"/>
              <w:right w:val="single" w:sz="4" w:space="0" w:color="auto"/>
            </w:tcBorders>
            <w:vAlign w:val="center"/>
            <w:hideMark/>
          </w:tcPr>
          <w:p w14:paraId="2CF9D0A7" w14:textId="756C5BD6" w:rsidR="00EC05C4" w:rsidRPr="003B6D82" w:rsidRDefault="00EC05C4" w:rsidP="00870C64">
            <w:pPr>
              <w:pStyle w:val="COMTabletext"/>
              <w:keepNext w:val="0"/>
              <w:jc w:val="center"/>
              <w:rPr>
                <w:iCs/>
                <w:szCs w:val="22"/>
              </w:rPr>
            </w:pPr>
            <w:r w:rsidRPr="003B6D82">
              <w:rPr>
                <w:iCs/>
              </w:rPr>
              <w:t>-</w:t>
            </w:r>
            <w:r w:rsidR="00733FBC" w:rsidRPr="00733FBC">
              <w:rPr>
                <w:iCs/>
                <w:color w:val="000000"/>
                <w:spacing w:val="53"/>
                <w:shd w:val="solid" w:color="000000" w:fill="000000"/>
                <w:fitText w:val="330" w:id="-663572222"/>
                <w14:textFill>
                  <w14:solidFill>
                    <w14:srgbClr w14:val="000000">
                      <w14:alpha w14:val="100000"/>
                    </w14:srgbClr>
                  </w14:solidFill>
                </w14:textFill>
              </w:rPr>
              <w:t>|||</w:t>
            </w:r>
            <w:r w:rsidR="00733FBC" w:rsidRPr="00733FBC">
              <w:rPr>
                <w:iCs/>
                <w:color w:val="000000"/>
                <w:spacing w:val="1"/>
                <w:shd w:val="solid" w:color="000000" w:fill="000000"/>
                <w:fitText w:val="330" w:id="-663572222"/>
                <w14:textFill>
                  <w14:solidFill>
                    <w14:srgbClr w14:val="000000">
                      <w14:alpha w14:val="100000"/>
                    </w14:srgbClr>
                  </w14:solidFill>
                </w14:textFill>
              </w:rPr>
              <w:t>|</w:t>
            </w:r>
            <w:r w:rsidRPr="003B6D82">
              <w:rPr>
                <w:iCs/>
              </w:rPr>
              <w:t>%</w:t>
            </w:r>
          </w:p>
        </w:tc>
      </w:tr>
      <w:tr w:rsidR="00EC05C4" w:rsidRPr="003B6D82" w14:paraId="456A69C5" w14:textId="77777777" w:rsidTr="00051085">
        <w:trPr>
          <w:cantSplit/>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CC2B76" w14:textId="77777777" w:rsidR="00EC05C4" w:rsidRPr="003B6D82" w:rsidRDefault="00EC05C4" w:rsidP="00870C64">
            <w:pPr>
              <w:pStyle w:val="COMTabletext"/>
              <w:keepNext w:val="0"/>
              <w:rPr>
                <w:iCs/>
              </w:rPr>
            </w:pPr>
            <w:r w:rsidRPr="003B6D82">
              <w:rPr>
                <w:iCs/>
              </w:rPr>
              <w:t>Decrease baseline utility by 10%</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ABF44F" w14:textId="3BCA7F11" w:rsidR="00EC05C4" w:rsidRPr="003B6D82" w:rsidRDefault="00EC05C4" w:rsidP="00870C64">
            <w:pPr>
              <w:pStyle w:val="COMTabletext"/>
              <w:keepNext w:val="0"/>
              <w:jc w:val="center"/>
              <w:rPr>
                <w:iCs/>
              </w:rPr>
            </w:pPr>
            <w:r w:rsidRPr="003B6D82">
              <w:rPr>
                <w:iCs/>
              </w:rPr>
              <w:t>$</w:t>
            </w:r>
            <w:r w:rsidR="00733FBC" w:rsidRPr="00733FBC">
              <w:rPr>
                <w:iCs/>
                <w:color w:val="000000"/>
                <w:spacing w:val="49"/>
                <w:shd w:val="solid" w:color="000000" w:fill="000000"/>
                <w:fitText w:val="320" w:id="-663572221"/>
                <w14:textFill>
                  <w14:solidFill>
                    <w14:srgbClr w14:val="000000">
                      <w14:alpha w14:val="100000"/>
                    </w14:srgbClr>
                  </w14:solidFill>
                </w14:textFill>
              </w:rPr>
              <w:t>|||</w:t>
            </w:r>
            <w:r w:rsidR="00733FBC" w:rsidRPr="00733FBC">
              <w:rPr>
                <w:iCs/>
                <w:color w:val="000000"/>
                <w:spacing w:val="3"/>
                <w:shd w:val="solid" w:color="000000" w:fill="000000"/>
                <w:fitText w:val="320" w:id="-663572221"/>
                <w14:textFill>
                  <w14:solidFill>
                    <w14:srgbClr w14:val="000000">
                      <w14:alpha w14:val="100000"/>
                    </w14:srgbClr>
                  </w14:solidFill>
                </w14:textFill>
              </w:rPr>
              <w:t>|</w:t>
            </w:r>
          </w:p>
        </w:tc>
        <w:tc>
          <w:tcPr>
            <w:tcW w:w="1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C83526" w14:textId="77777777" w:rsidR="00EC05C4" w:rsidRPr="003B6D82" w:rsidRDefault="00EC05C4" w:rsidP="00870C64">
            <w:pPr>
              <w:pStyle w:val="COMTabletext"/>
              <w:keepNext w:val="0"/>
              <w:jc w:val="center"/>
              <w:rPr>
                <w:iCs/>
              </w:rPr>
            </w:pPr>
            <w:r w:rsidRPr="003B6D82">
              <w:rPr>
                <w:iCs/>
              </w:rPr>
              <w:t>0.1026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ABB0FF" w14:textId="48938EA4" w:rsidR="00EC05C4" w:rsidRPr="003B6D82" w:rsidRDefault="00EC05C4" w:rsidP="00870C64">
            <w:pPr>
              <w:pStyle w:val="COMTabletext"/>
              <w:keepNext w:val="0"/>
              <w:jc w:val="center"/>
              <w:rPr>
                <w:iCs/>
              </w:rPr>
            </w:pPr>
            <w:r w:rsidRPr="003B6D82">
              <w:rPr>
                <w:iCs/>
              </w:rPr>
              <w:t>$</w:t>
            </w:r>
            <w:r w:rsidR="00733FBC" w:rsidRPr="00733FBC">
              <w:rPr>
                <w:iCs/>
                <w:color w:val="000000"/>
                <w:spacing w:val="53"/>
                <w:shd w:val="solid" w:color="000000" w:fill="000000"/>
                <w:fitText w:val="330" w:id="-663572220"/>
                <w14:textFill>
                  <w14:solidFill>
                    <w14:srgbClr w14:val="000000">
                      <w14:alpha w14:val="100000"/>
                    </w14:srgbClr>
                  </w14:solidFill>
                </w14:textFill>
              </w:rPr>
              <w:t>|||</w:t>
            </w:r>
            <w:r w:rsidR="00733FBC" w:rsidRPr="00733FBC">
              <w:rPr>
                <w:iCs/>
                <w:color w:val="000000"/>
                <w:spacing w:val="1"/>
                <w:shd w:val="solid" w:color="000000" w:fill="000000"/>
                <w:fitText w:val="330" w:id="-663572220"/>
                <w14:textFill>
                  <w14:solidFill>
                    <w14:srgbClr w14:val="000000">
                      <w14:alpha w14:val="100000"/>
                    </w14:srgbClr>
                  </w14:solidFill>
                </w14:textFill>
              </w:rPr>
              <w:t>|</w:t>
            </w:r>
            <w:r w:rsidR="00E76995">
              <w:rPr>
                <w:b/>
                <w:bCs w:val="0"/>
                <w:iCs/>
              </w:rPr>
              <w:t xml:space="preserve"> </w:t>
            </w:r>
            <w:r w:rsidR="00E76995">
              <w:rPr>
                <w:b/>
                <w:bCs w:val="0"/>
                <w:iCs/>
                <w:vertAlign w:val="superscript"/>
              </w:rPr>
              <w:t>7</w:t>
            </w:r>
          </w:p>
        </w:tc>
        <w:tc>
          <w:tcPr>
            <w:tcW w:w="1079" w:type="dxa"/>
            <w:tcBorders>
              <w:top w:val="single" w:sz="4" w:space="0" w:color="auto"/>
              <w:left w:val="single" w:sz="4" w:space="0" w:color="auto"/>
              <w:bottom w:val="single" w:sz="4" w:space="0" w:color="auto"/>
              <w:right w:val="single" w:sz="4" w:space="0" w:color="auto"/>
            </w:tcBorders>
            <w:vAlign w:val="center"/>
            <w:hideMark/>
          </w:tcPr>
          <w:p w14:paraId="0BB1F757" w14:textId="5D406A3A" w:rsidR="00EC05C4" w:rsidRPr="003B6D82" w:rsidRDefault="00EC05C4" w:rsidP="00870C64">
            <w:pPr>
              <w:pStyle w:val="COMTabletext"/>
              <w:keepNext w:val="0"/>
              <w:jc w:val="center"/>
              <w:rPr>
                <w:iCs/>
                <w:szCs w:val="22"/>
              </w:rPr>
            </w:pPr>
            <w:r w:rsidRPr="003B6D82">
              <w:rPr>
                <w:iCs/>
              </w:rPr>
              <w:t>+</w:t>
            </w:r>
            <w:r w:rsidR="00733FBC" w:rsidRPr="00733FBC">
              <w:rPr>
                <w:iCs/>
                <w:color w:val="000000"/>
                <w:spacing w:val="53"/>
                <w:shd w:val="solid" w:color="000000" w:fill="000000"/>
                <w:fitText w:val="330" w:id="-663572219"/>
                <w14:textFill>
                  <w14:solidFill>
                    <w14:srgbClr w14:val="000000">
                      <w14:alpha w14:val="100000"/>
                    </w14:srgbClr>
                  </w14:solidFill>
                </w14:textFill>
              </w:rPr>
              <w:t>|||</w:t>
            </w:r>
            <w:r w:rsidR="00733FBC" w:rsidRPr="00733FBC">
              <w:rPr>
                <w:iCs/>
                <w:color w:val="000000"/>
                <w:spacing w:val="1"/>
                <w:shd w:val="solid" w:color="000000" w:fill="000000"/>
                <w:fitText w:val="330" w:id="-663572219"/>
                <w14:textFill>
                  <w14:solidFill>
                    <w14:srgbClr w14:val="000000">
                      <w14:alpha w14:val="100000"/>
                    </w14:srgbClr>
                  </w14:solidFill>
                </w14:textFill>
              </w:rPr>
              <w:t>|</w:t>
            </w:r>
            <w:r w:rsidRPr="003B6D82">
              <w:rPr>
                <w:iCs/>
              </w:rPr>
              <w:t>%</w:t>
            </w:r>
          </w:p>
        </w:tc>
      </w:tr>
      <w:tr w:rsidR="00EC05C4" w:rsidRPr="003B6D82" w14:paraId="3F3774CC" w14:textId="77777777" w:rsidTr="00051085">
        <w:trPr>
          <w:cantSplit/>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688801" w14:textId="77777777" w:rsidR="00EC05C4" w:rsidRPr="003B6D82" w:rsidRDefault="00EC05C4" w:rsidP="00870C64">
            <w:pPr>
              <w:pStyle w:val="COMTabletext"/>
              <w:keepNext w:val="0"/>
              <w:rPr>
                <w:iCs/>
              </w:rPr>
            </w:pPr>
            <w:r w:rsidRPr="003B6D82">
              <w:rPr>
                <w:iCs/>
              </w:rPr>
              <w:t xml:space="preserve">Assume third-line utility values the same as supportive </w:t>
            </w:r>
            <w:proofErr w:type="spellStart"/>
            <w:r w:rsidRPr="003B6D82">
              <w:rPr>
                <w:iCs/>
              </w:rPr>
              <w:t>care</w:t>
            </w:r>
            <w:r w:rsidRPr="003B6D82">
              <w:rPr>
                <w:iCs/>
                <w:vertAlign w:val="superscript"/>
              </w:rPr>
              <w:t>a</w:t>
            </w:r>
            <w:proofErr w:type="spellEnd"/>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36553F" w14:textId="38C514F9" w:rsidR="00EC05C4" w:rsidRPr="003B6D82" w:rsidRDefault="00EC05C4" w:rsidP="00870C64">
            <w:pPr>
              <w:pStyle w:val="COMTabletext"/>
              <w:keepNext w:val="0"/>
              <w:jc w:val="center"/>
              <w:rPr>
                <w:iCs/>
              </w:rPr>
            </w:pPr>
            <w:r w:rsidRPr="003B6D82">
              <w:rPr>
                <w:iCs/>
              </w:rPr>
              <w:t>$</w:t>
            </w:r>
            <w:r w:rsidR="00733FBC" w:rsidRPr="00733FBC">
              <w:rPr>
                <w:iCs/>
                <w:color w:val="000000"/>
                <w:spacing w:val="49"/>
                <w:shd w:val="solid" w:color="000000" w:fill="000000"/>
                <w:fitText w:val="320" w:id="-663572218"/>
                <w14:textFill>
                  <w14:solidFill>
                    <w14:srgbClr w14:val="000000">
                      <w14:alpha w14:val="100000"/>
                    </w14:srgbClr>
                  </w14:solidFill>
                </w14:textFill>
              </w:rPr>
              <w:t>|||</w:t>
            </w:r>
            <w:r w:rsidR="00733FBC" w:rsidRPr="00733FBC">
              <w:rPr>
                <w:iCs/>
                <w:color w:val="000000"/>
                <w:spacing w:val="3"/>
                <w:shd w:val="solid" w:color="000000" w:fill="000000"/>
                <w:fitText w:val="320" w:id="-663572218"/>
                <w14:textFill>
                  <w14:solidFill>
                    <w14:srgbClr w14:val="000000">
                      <w14:alpha w14:val="100000"/>
                    </w14:srgbClr>
                  </w14:solidFill>
                </w14:textFill>
              </w:rPr>
              <w:t>|</w:t>
            </w:r>
          </w:p>
        </w:tc>
        <w:tc>
          <w:tcPr>
            <w:tcW w:w="1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712548" w14:textId="77777777" w:rsidR="00EC05C4" w:rsidRPr="003B6D82" w:rsidRDefault="00EC05C4" w:rsidP="00870C64">
            <w:pPr>
              <w:pStyle w:val="COMTabletext"/>
              <w:keepNext w:val="0"/>
              <w:jc w:val="center"/>
              <w:rPr>
                <w:iCs/>
              </w:rPr>
            </w:pPr>
            <w:r w:rsidRPr="003B6D82">
              <w:rPr>
                <w:iCs/>
              </w:rPr>
              <w:t>0.0978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B01B5D" w14:textId="64A26468" w:rsidR="00EC05C4" w:rsidRPr="003B6D82" w:rsidRDefault="00EC05C4" w:rsidP="00870C64">
            <w:pPr>
              <w:pStyle w:val="COMTabletext"/>
              <w:keepNext w:val="0"/>
              <w:jc w:val="center"/>
              <w:rPr>
                <w:iCs/>
              </w:rPr>
            </w:pPr>
            <w:r w:rsidRPr="003B6D82">
              <w:rPr>
                <w:iCs/>
              </w:rPr>
              <w:t>$</w:t>
            </w:r>
            <w:r w:rsidR="00733FBC" w:rsidRPr="00733FBC">
              <w:rPr>
                <w:iCs/>
                <w:color w:val="000000"/>
                <w:spacing w:val="53"/>
                <w:shd w:val="solid" w:color="000000" w:fill="000000"/>
                <w:fitText w:val="330" w:id="-663572217"/>
                <w14:textFill>
                  <w14:solidFill>
                    <w14:srgbClr w14:val="000000">
                      <w14:alpha w14:val="100000"/>
                    </w14:srgbClr>
                  </w14:solidFill>
                </w14:textFill>
              </w:rPr>
              <w:t>|||</w:t>
            </w:r>
            <w:r w:rsidR="00733FBC" w:rsidRPr="00733FBC">
              <w:rPr>
                <w:iCs/>
                <w:color w:val="000000"/>
                <w:spacing w:val="1"/>
                <w:shd w:val="solid" w:color="000000" w:fill="000000"/>
                <w:fitText w:val="330" w:id="-663572217"/>
                <w14:textFill>
                  <w14:solidFill>
                    <w14:srgbClr w14:val="000000">
                      <w14:alpha w14:val="100000"/>
                    </w14:srgbClr>
                  </w14:solidFill>
                </w14:textFill>
              </w:rPr>
              <w:t>|</w:t>
            </w:r>
            <w:r w:rsidR="00E76995">
              <w:rPr>
                <w:b/>
                <w:bCs w:val="0"/>
                <w:iCs/>
              </w:rPr>
              <w:t xml:space="preserve"> </w:t>
            </w:r>
            <w:r w:rsidR="00E76995">
              <w:rPr>
                <w:b/>
                <w:bCs w:val="0"/>
                <w:iCs/>
                <w:vertAlign w:val="superscript"/>
              </w:rPr>
              <w:t>7</w:t>
            </w:r>
          </w:p>
        </w:tc>
        <w:tc>
          <w:tcPr>
            <w:tcW w:w="1079" w:type="dxa"/>
            <w:tcBorders>
              <w:top w:val="single" w:sz="4" w:space="0" w:color="auto"/>
              <w:left w:val="single" w:sz="4" w:space="0" w:color="auto"/>
              <w:bottom w:val="single" w:sz="4" w:space="0" w:color="auto"/>
              <w:right w:val="single" w:sz="4" w:space="0" w:color="auto"/>
            </w:tcBorders>
            <w:vAlign w:val="center"/>
            <w:hideMark/>
          </w:tcPr>
          <w:p w14:paraId="4016A151" w14:textId="095F1AA5" w:rsidR="00EC05C4" w:rsidRPr="003B6D82" w:rsidRDefault="00EC05C4" w:rsidP="00870C64">
            <w:pPr>
              <w:pStyle w:val="COMTabletext"/>
              <w:keepNext w:val="0"/>
              <w:jc w:val="center"/>
              <w:rPr>
                <w:iCs/>
                <w:szCs w:val="22"/>
              </w:rPr>
            </w:pPr>
            <w:r w:rsidRPr="003B6D82">
              <w:rPr>
                <w:iCs/>
              </w:rPr>
              <w:t>+</w:t>
            </w:r>
            <w:r w:rsidR="00733FBC" w:rsidRPr="00733FBC">
              <w:rPr>
                <w:iCs/>
                <w:color w:val="000000"/>
                <w:spacing w:val="53"/>
                <w:shd w:val="solid" w:color="000000" w:fill="000000"/>
                <w:fitText w:val="330" w:id="-663572216"/>
                <w14:textFill>
                  <w14:solidFill>
                    <w14:srgbClr w14:val="000000">
                      <w14:alpha w14:val="100000"/>
                    </w14:srgbClr>
                  </w14:solidFill>
                </w14:textFill>
              </w:rPr>
              <w:t>|||</w:t>
            </w:r>
            <w:r w:rsidR="00733FBC" w:rsidRPr="00733FBC">
              <w:rPr>
                <w:iCs/>
                <w:color w:val="000000"/>
                <w:spacing w:val="1"/>
                <w:shd w:val="solid" w:color="000000" w:fill="000000"/>
                <w:fitText w:val="330" w:id="-663572216"/>
                <w14:textFill>
                  <w14:solidFill>
                    <w14:srgbClr w14:val="000000">
                      <w14:alpha w14:val="100000"/>
                    </w14:srgbClr>
                  </w14:solidFill>
                </w14:textFill>
              </w:rPr>
              <w:t>|</w:t>
            </w:r>
            <w:r w:rsidRPr="003B6D82">
              <w:rPr>
                <w:iCs/>
              </w:rPr>
              <w:t>%</w:t>
            </w:r>
          </w:p>
        </w:tc>
      </w:tr>
      <w:tr w:rsidR="00EC05C4" w:rsidRPr="003B6D82" w14:paraId="08042D6E" w14:textId="77777777" w:rsidTr="00051085">
        <w:trPr>
          <w:cantSplit/>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887DD1" w14:textId="77777777" w:rsidR="00EC05C4" w:rsidRPr="003B6D82" w:rsidRDefault="00EC05C4" w:rsidP="00870C64">
            <w:pPr>
              <w:pStyle w:val="COMTabletext"/>
              <w:keepNext w:val="0"/>
              <w:rPr>
                <w:iCs/>
              </w:rPr>
            </w:pPr>
            <w:r w:rsidRPr="003B6D82">
              <w:rPr>
                <w:iCs/>
              </w:rPr>
              <w:t>Increase supportive care utility by 10%</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4F8E40" w14:textId="33763BA0" w:rsidR="00EC05C4" w:rsidRPr="003B6D82" w:rsidRDefault="00EC05C4" w:rsidP="00870C64">
            <w:pPr>
              <w:pStyle w:val="COMTabletext"/>
              <w:keepNext w:val="0"/>
              <w:jc w:val="center"/>
              <w:rPr>
                <w:iCs/>
              </w:rPr>
            </w:pPr>
            <w:r w:rsidRPr="003B6D82">
              <w:rPr>
                <w:iCs/>
              </w:rPr>
              <w:t>$</w:t>
            </w:r>
            <w:r w:rsidR="00733FBC" w:rsidRPr="00733FBC">
              <w:rPr>
                <w:iCs/>
                <w:color w:val="000000"/>
                <w:spacing w:val="49"/>
                <w:shd w:val="solid" w:color="000000" w:fill="000000"/>
                <w:fitText w:val="320" w:id="-663572215"/>
                <w14:textFill>
                  <w14:solidFill>
                    <w14:srgbClr w14:val="000000">
                      <w14:alpha w14:val="100000"/>
                    </w14:srgbClr>
                  </w14:solidFill>
                </w14:textFill>
              </w:rPr>
              <w:t>|||</w:t>
            </w:r>
            <w:r w:rsidR="00733FBC" w:rsidRPr="00733FBC">
              <w:rPr>
                <w:iCs/>
                <w:color w:val="000000"/>
                <w:spacing w:val="3"/>
                <w:shd w:val="solid" w:color="000000" w:fill="000000"/>
                <w:fitText w:val="320" w:id="-663572215"/>
                <w14:textFill>
                  <w14:solidFill>
                    <w14:srgbClr w14:val="000000">
                      <w14:alpha w14:val="100000"/>
                    </w14:srgbClr>
                  </w14:solidFill>
                </w14:textFill>
              </w:rPr>
              <w:t>|</w:t>
            </w:r>
          </w:p>
        </w:tc>
        <w:tc>
          <w:tcPr>
            <w:tcW w:w="1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10E020" w14:textId="77777777" w:rsidR="00EC05C4" w:rsidRPr="003B6D82" w:rsidRDefault="00EC05C4" w:rsidP="00870C64">
            <w:pPr>
              <w:pStyle w:val="COMTabletext"/>
              <w:keepNext w:val="0"/>
              <w:jc w:val="center"/>
              <w:rPr>
                <w:iCs/>
              </w:rPr>
            </w:pPr>
            <w:r w:rsidRPr="003B6D82">
              <w:rPr>
                <w:iCs/>
              </w:rPr>
              <w:t>0.1080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731246" w14:textId="6CB46407" w:rsidR="00EC05C4" w:rsidRPr="003B6D82" w:rsidRDefault="00EC05C4" w:rsidP="00870C64">
            <w:pPr>
              <w:pStyle w:val="COMTabletext"/>
              <w:keepNext w:val="0"/>
              <w:jc w:val="center"/>
              <w:rPr>
                <w:iCs/>
              </w:rPr>
            </w:pPr>
            <w:r w:rsidRPr="003B6D82">
              <w:rPr>
                <w:iCs/>
              </w:rPr>
              <w:t>$</w:t>
            </w:r>
            <w:r w:rsidR="00733FBC" w:rsidRPr="00733FBC">
              <w:rPr>
                <w:iCs/>
                <w:color w:val="000000"/>
                <w:spacing w:val="53"/>
                <w:shd w:val="solid" w:color="000000" w:fill="000000"/>
                <w:fitText w:val="330" w:id="-663572214"/>
                <w14:textFill>
                  <w14:solidFill>
                    <w14:srgbClr w14:val="000000">
                      <w14:alpha w14:val="100000"/>
                    </w14:srgbClr>
                  </w14:solidFill>
                </w14:textFill>
              </w:rPr>
              <w:t>|||</w:t>
            </w:r>
            <w:r w:rsidR="00733FBC" w:rsidRPr="00733FBC">
              <w:rPr>
                <w:iCs/>
                <w:color w:val="000000"/>
                <w:spacing w:val="1"/>
                <w:shd w:val="solid" w:color="000000" w:fill="000000"/>
                <w:fitText w:val="330" w:id="-663572214"/>
                <w14:textFill>
                  <w14:solidFill>
                    <w14:srgbClr w14:val="000000">
                      <w14:alpha w14:val="100000"/>
                    </w14:srgbClr>
                  </w14:solidFill>
                </w14:textFill>
              </w:rPr>
              <w:t>|</w:t>
            </w:r>
            <w:r w:rsidR="00E750F5">
              <w:rPr>
                <w:b/>
                <w:bCs w:val="0"/>
                <w:iCs/>
              </w:rPr>
              <w:t xml:space="preserve"> </w:t>
            </w:r>
            <w:r w:rsidR="00E750F5">
              <w:rPr>
                <w:b/>
                <w:bCs w:val="0"/>
                <w:iCs/>
                <w:vertAlign w:val="superscript"/>
              </w:rPr>
              <w:t>3</w:t>
            </w:r>
          </w:p>
        </w:tc>
        <w:tc>
          <w:tcPr>
            <w:tcW w:w="1079" w:type="dxa"/>
            <w:tcBorders>
              <w:top w:val="single" w:sz="4" w:space="0" w:color="auto"/>
              <w:left w:val="single" w:sz="4" w:space="0" w:color="auto"/>
              <w:bottom w:val="single" w:sz="4" w:space="0" w:color="auto"/>
              <w:right w:val="single" w:sz="4" w:space="0" w:color="auto"/>
            </w:tcBorders>
            <w:vAlign w:val="center"/>
            <w:hideMark/>
          </w:tcPr>
          <w:p w14:paraId="5A9101F0" w14:textId="69118FE0" w:rsidR="00EC05C4" w:rsidRPr="003B6D82" w:rsidRDefault="00EC05C4" w:rsidP="00870C64">
            <w:pPr>
              <w:pStyle w:val="COMTabletext"/>
              <w:keepNext w:val="0"/>
              <w:jc w:val="center"/>
              <w:rPr>
                <w:iCs/>
                <w:szCs w:val="22"/>
              </w:rPr>
            </w:pPr>
            <w:r w:rsidRPr="003B6D82">
              <w:rPr>
                <w:iCs/>
              </w:rPr>
              <w:t>+</w:t>
            </w:r>
            <w:r w:rsidR="00733FBC" w:rsidRPr="00733FBC">
              <w:rPr>
                <w:iCs/>
                <w:color w:val="000000"/>
                <w:spacing w:val="53"/>
                <w:shd w:val="solid" w:color="000000" w:fill="000000"/>
                <w:fitText w:val="330" w:id="-663572213"/>
                <w14:textFill>
                  <w14:solidFill>
                    <w14:srgbClr w14:val="000000">
                      <w14:alpha w14:val="100000"/>
                    </w14:srgbClr>
                  </w14:solidFill>
                </w14:textFill>
              </w:rPr>
              <w:t>|||</w:t>
            </w:r>
            <w:r w:rsidR="00733FBC" w:rsidRPr="00733FBC">
              <w:rPr>
                <w:iCs/>
                <w:color w:val="000000"/>
                <w:spacing w:val="1"/>
                <w:shd w:val="solid" w:color="000000" w:fill="000000"/>
                <w:fitText w:val="330" w:id="-663572213"/>
                <w14:textFill>
                  <w14:solidFill>
                    <w14:srgbClr w14:val="000000">
                      <w14:alpha w14:val="100000"/>
                    </w14:srgbClr>
                  </w14:solidFill>
                </w14:textFill>
              </w:rPr>
              <w:t>|</w:t>
            </w:r>
            <w:r w:rsidRPr="003B6D82">
              <w:rPr>
                <w:iCs/>
              </w:rPr>
              <w:t>%</w:t>
            </w:r>
          </w:p>
        </w:tc>
      </w:tr>
      <w:tr w:rsidR="00EC05C4" w:rsidRPr="003B6D82" w14:paraId="7EA11590" w14:textId="77777777" w:rsidTr="00051085">
        <w:trPr>
          <w:cantSplit/>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4F9540" w14:textId="77777777" w:rsidR="00EC05C4" w:rsidRPr="003B6D82" w:rsidRDefault="00EC05C4" w:rsidP="00870C64">
            <w:pPr>
              <w:pStyle w:val="COMTabletext"/>
              <w:keepNext w:val="0"/>
              <w:rPr>
                <w:iCs/>
              </w:rPr>
            </w:pPr>
            <w:r w:rsidRPr="003B6D82">
              <w:rPr>
                <w:iCs/>
              </w:rPr>
              <w:t>Decrease supportive care utility by 10%</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1D8C3F" w14:textId="784C0319" w:rsidR="00EC05C4" w:rsidRPr="003B6D82" w:rsidRDefault="00EC05C4" w:rsidP="00870C64">
            <w:pPr>
              <w:pStyle w:val="COMTabletext"/>
              <w:keepNext w:val="0"/>
              <w:jc w:val="center"/>
              <w:rPr>
                <w:iCs/>
              </w:rPr>
            </w:pPr>
            <w:r w:rsidRPr="003B6D82">
              <w:rPr>
                <w:iCs/>
              </w:rPr>
              <w:t>$</w:t>
            </w:r>
            <w:r w:rsidR="00733FBC" w:rsidRPr="00733FBC">
              <w:rPr>
                <w:iCs/>
                <w:color w:val="000000"/>
                <w:spacing w:val="49"/>
                <w:shd w:val="solid" w:color="000000" w:fill="000000"/>
                <w:fitText w:val="320" w:id="-663572212"/>
                <w14:textFill>
                  <w14:solidFill>
                    <w14:srgbClr w14:val="000000">
                      <w14:alpha w14:val="100000"/>
                    </w14:srgbClr>
                  </w14:solidFill>
                </w14:textFill>
              </w:rPr>
              <w:t>|||</w:t>
            </w:r>
            <w:r w:rsidR="00733FBC" w:rsidRPr="00733FBC">
              <w:rPr>
                <w:iCs/>
                <w:color w:val="000000"/>
                <w:spacing w:val="3"/>
                <w:shd w:val="solid" w:color="000000" w:fill="000000"/>
                <w:fitText w:val="320" w:id="-663572212"/>
                <w14:textFill>
                  <w14:solidFill>
                    <w14:srgbClr w14:val="000000">
                      <w14:alpha w14:val="100000"/>
                    </w14:srgbClr>
                  </w14:solidFill>
                </w14:textFill>
              </w:rPr>
              <w:t>|</w:t>
            </w:r>
          </w:p>
        </w:tc>
        <w:tc>
          <w:tcPr>
            <w:tcW w:w="1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9A181D" w14:textId="77777777" w:rsidR="00EC05C4" w:rsidRPr="003B6D82" w:rsidRDefault="00EC05C4" w:rsidP="00870C64">
            <w:pPr>
              <w:pStyle w:val="COMTabletext"/>
              <w:keepNext w:val="0"/>
              <w:jc w:val="center"/>
              <w:rPr>
                <w:iCs/>
              </w:rPr>
            </w:pPr>
            <w:r w:rsidRPr="003B6D82">
              <w:rPr>
                <w:iCs/>
              </w:rPr>
              <w:t>0.2159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9BF877" w14:textId="0E105F5B" w:rsidR="00EC05C4" w:rsidRPr="003B6D82" w:rsidRDefault="00EC05C4" w:rsidP="00870C64">
            <w:pPr>
              <w:pStyle w:val="COMTabletext"/>
              <w:keepNext w:val="0"/>
              <w:jc w:val="center"/>
              <w:rPr>
                <w:iCs/>
              </w:rPr>
            </w:pPr>
            <w:r w:rsidRPr="003B6D82">
              <w:rPr>
                <w:iCs/>
              </w:rPr>
              <w:t>$</w:t>
            </w:r>
            <w:r w:rsidR="00733FBC" w:rsidRPr="00733FBC">
              <w:rPr>
                <w:iCs/>
                <w:color w:val="000000"/>
                <w:spacing w:val="53"/>
                <w:shd w:val="solid" w:color="000000" w:fill="000000"/>
                <w:fitText w:val="330" w:id="-663572211"/>
                <w14:textFill>
                  <w14:solidFill>
                    <w14:srgbClr w14:val="000000">
                      <w14:alpha w14:val="100000"/>
                    </w14:srgbClr>
                  </w14:solidFill>
                </w14:textFill>
              </w:rPr>
              <w:t>|||</w:t>
            </w:r>
            <w:r w:rsidR="00733FBC" w:rsidRPr="00733FBC">
              <w:rPr>
                <w:iCs/>
                <w:color w:val="000000"/>
                <w:spacing w:val="1"/>
                <w:shd w:val="solid" w:color="000000" w:fill="000000"/>
                <w:fitText w:val="330" w:id="-663572211"/>
                <w14:textFill>
                  <w14:solidFill>
                    <w14:srgbClr w14:val="000000">
                      <w14:alpha w14:val="100000"/>
                    </w14:srgbClr>
                  </w14:solidFill>
                </w14:textFill>
              </w:rPr>
              <w:t>|</w:t>
            </w:r>
            <w:r w:rsidR="002E70FD">
              <w:rPr>
                <w:b/>
                <w:bCs w:val="0"/>
                <w:iCs/>
              </w:rPr>
              <w:t xml:space="preserve"> </w:t>
            </w:r>
            <w:r w:rsidR="002E70FD">
              <w:rPr>
                <w:b/>
                <w:bCs w:val="0"/>
                <w:iCs/>
                <w:vertAlign w:val="superscript"/>
              </w:rPr>
              <w:t>1</w:t>
            </w:r>
          </w:p>
        </w:tc>
        <w:tc>
          <w:tcPr>
            <w:tcW w:w="1079" w:type="dxa"/>
            <w:tcBorders>
              <w:top w:val="single" w:sz="4" w:space="0" w:color="auto"/>
              <w:left w:val="single" w:sz="4" w:space="0" w:color="auto"/>
              <w:bottom w:val="single" w:sz="4" w:space="0" w:color="auto"/>
              <w:right w:val="single" w:sz="4" w:space="0" w:color="auto"/>
            </w:tcBorders>
            <w:vAlign w:val="center"/>
            <w:hideMark/>
          </w:tcPr>
          <w:p w14:paraId="27979E4F" w14:textId="54A13AD3" w:rsidR="00EC05C4" w:rsidRPr="003B6D82" w:rsidRDefault="00EC05C4" w:rsidP="00870C64">
            <w:pPr>
              <w:pStyle w:val="COMTabletext"/>
              <w:keepNext w:val="0"/>
              <w:jc w:val="center"/>
              <w:rPr>
                <w:iCs/>
                <w:szCs w:val="22"/>
              </w:rPr>
            </w:pPr>
            <w:r w:rsidRPr="003B6D82">
              <w:rPr>
                <w:iCs/>
              </w:rPr>
              <w:t>-</w:t>
            </w:r>
            <w:r w:rsidR="00733FBC" w:rsidRPr="00733FBC">
              <w:rPr>
                <w:iCs/>
                <w:color w:val="000000"/>
                <w:spacing w:val="53"/>
                <w:shd w:val="solid" w:color="000000" w:fill="000000"/>
                <w:fitText w:val="330" w:id="-663572210"/>
                <w14:textFill>
                  <w14:solidFill>
                    <w14:srgbClr w14:val="000000">
                      <w14:alpha w14:val="100000"/>
                    </w14:srgbClr>
                  </w14:solidFill>
                </w14:textFill>
              </w:rPr>
              <w:t>|||</w:t>
            </w:r>
            <w:r w:rsidR="00733FBC" w:rsidRPr="00733FBC">
              <w:rPr>
                <w:iCs/>
                <w:color w:val="000000"/>
                <w:spacing w:val="1"/>
                <w:shd w:val="solid" w:color="000000" w:fill="000000"/>
                <w:fitText w:val="330" w:id="-663572210"/>
                <w14:textFill>
                  <w14:solidFill>
                    <w14:srgbClr w14:val="000000">
                      <w14:alpha w14:val="100000"/>
                    </w14:srgbClr>
                  </w14:solidFill>
                </w14:textFill>
              </w:rPr>
              <w:t>|</w:t>
            </w:r>
            <w:r w:rsidRPr="003B6D82">
              <w:rPr>
                <w:iCs/>
              </w:rPr>
              <w:t>%</w:t>
            </w:r>
          </w:p>
        </w:tc>
      </w:tr>
      <w:tr w:rsidR="00EC05C4" w:rsidRPr="003B6D82" w14:paraId="6023713B" w14:textId="77777777" w:rsidTr="00051085">
        <w:trPr>
          <w:cantSplit/>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C51F7D" w14:textId="77777777" w:rsidR="00EC05C4" w:rsidRPr="003B6D82" w:rsidRDefault="00EC05C4" w:rsidP="00870C64">
            <w:pPr>
              <w:pStyle w:val="COMTabletext"/>
              <w:keepNext w:val="0"/>
              <w:rPr>
                <w:iCs/>
              </w:rPr>
            </w:pPr>
            <w:r w:rsidRPr="003B6D82">
              <w:rPr>
                <w:iCs/>
              </w:rPr>
              <w:t>Double adverse event disutility values</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55C0B9" w14:textId="72828AEB" w:rsidR="00EC05C4" w:rsidRPr="003B6D82" w:rsidRDefault="00EC05C4" w:rsidP="00870C64">
            <w:pPr>
              <w:pStyle w:val="COMTabletext"/>
              <w:keepNext w:val="0"/>
              <w:jc w:val="center"/>
              <w:rPr>
                <w:iCs/>
              </w:rPr>
            </w:pPr>
            <w:r w:rsidRPr="003B6D82">
              <w:rPr>
                <w:iCs/>
              </w:rPr>
              <w:t>$</w:t>
            </w:r>
            <w:r w:rsidR="00733FBC" w:rsidRPr="00733FBC">
              <w:rPr>
                <w:iCs/>
                <w:color w:val="000000"/>
                <w:spacing w:val="49"/>
                <w:shd w:val="solid" w:color="000000" w:fill="000000"/>
                <w:fitText w:val="320" w:id="-663572209"/>
                <w14:textFill>
                  <w14:solidFill>
                    <w14:srgbClr w14:val="000000">
                      <w14:alpha w14:val="100000"/>
                    </w14:srgbClr>
                  </w14:solidFill>
                </w14:textFill>
              </w:rPr>
              <w:t>|||</w:t>
            </w:r>
            <w:r w:rsidR="00733FBC" w:rsidRPr="00733FBC">
              <w:rPr>
                <w:iCs/>
                <w:color w:val="000000"/>
                <w:spacing w:val="3"/>
                <w:shd w:val="solid" w:color="000000" w:fill="000000"/>
                <w:fitText w:val="320" w:id="-663572209"/>
                <w14:textFill>
                  <w14:solidFill>
                    <w14:srgbClr w14:val="000000">
                      <w14:alpha w14:val="100000"/>
                    </w14:srgbClr>
                  </w14:solidFill>
                </w14:textFill>
              </w:rPr>
              <w:t>|</w:t>
            </w:r>
          </w:p>
        </w:tc>
        <w:tc>
          <w:tcPr>
            <w:tcW w:w="1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CF4989" w14:textId="77777777" w:rsidR="00EC05C4" w:rsidRPr="003B6D82" w:rsidRDefault="00EC05C4" w:rsidP="00870C64">
            <w:pPr>
              <w:pStyle w:val="COMTabletext"/>
              <w:keepNext w:val="0"/>
              <w:jc w:val="center"/>
              <w:rPr>
                <w:iCs/>
              </w:rPr>
            </w:pPr>
            <w:r w:rsidRPr="003B6D82">
              <w:rPr>
                <w:iCs/>
              </w:rPr>
              <w:t>0.1529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44B574" w14:textId="60D8193C" w:rsidR="00EC05C4" w:rsidRPr="003B6D82" w:rsidRDefault="00EC05C4" w:rsidP="00870C64">
            <w:pPr>
              <w:pStyle w:val="COMTabletext"/>
              <w:keepNext w:val="0"/>
              <w:jc w:val="center"/>
              <w:rPr>
                <w:iCs/>
              </w:rPr>
            </w:pPr>
            <w:r w:rsidRPr="003B6D82">
              <w:rPr>
                <w:iCs/>
              </w:rPr>
              <w:t>$</w:t>
            </w:r>
            <w:r w:rsidR="00733FBC" w:rsidRPr="00733FBC">
              <w:rPr>
                <w:iCs/>
                <w:color w:val="000000"/>
                <w:spacing w:val="53"/>
                <w:shd w:val="solid" w:color="000000" w:fill="000000"/>
                <w:fitText w:val="330" w:id="-663572208"/>
                <w14:textFill>
                  <w14:solidFill>
                    <w14:srgbClr w14:val="000000">
                      <w14:alpha w14:val="100000"/>
                    </w14:srgbClr>
                  </w14:solidFill>
                </w14:textFill>
              </w:rPr>
              <w:t>|||</w:t>
            </w:r>
            <w:r w:rsidR="00733FBC" w:rsidRPr="00733FBC">
              <w:rPr>
                <w:iCs/>
                <w:color w:val="000000"/>
                <w:spacing w:val="1"/>
                <w:shd w:val="solid" w:color="000000" w:fill="000000"/>
                <w:fitText w:val="330" w:id="-663572208"/>
                <w14:textFill>
                  <w14:solidFill>
                    <w14:srgbClr w14:val="000000">
                      <w14:alpha w14:val="100000"/>
                    </w14:srgbClr>
                  </w14:solidFill>
                </w14:textFill>
              </w:rPr>
              <w:t>|</w:t>
            </w:r>
            <w:r w:rsidR="002E70FD">
              <w:rPr>
                <w:b/>
                <w:bCs w:val="0"/>
                <w:iCs/>
              </w:rPr>
              <w:t xml:space="preserve"> </w:t>
            </w:r>
            <w:r w:rsidR="002E70FD">
              <w:rPr>
                <w:b/>
                <w:bCs w:val="0"/>
                <w:iCs/>
                <w:vertAlign w:val="superscript"/>
              </w:rPr>
              <w:t>2</w:t>
            </w:r>
          </w:p>
        </w:tc>
        <w:tc>
          <w:tcPr>
            <w:tcW w:w="1079" w:type="dxa"/>
            <w:tcBorders>
              <w:top w:val="single" w:sz="4" w:space="0" w:color="auto"/>
              <w:left w:val="single" w:sz="4" w:space="0" w:color="auto"/>
              <w:bottom w:val="single" w:sz="4" w:space="0" w:color="auto"/>
              <w:right w:val="single" w:sz="4" w:space="0" w:color="auto"/>
            </w:tcBorders>
            <w:vAlign w:val="center"/>
            <w:hideMark/>
          </w:tcPr>
          <w:p w14:paraId="16F2152F" w14:textId="1FF61C00" w:rsidR="00EC05C4" w:rsidRPr="003B6D82" w:rsidRDefault="00EC05C4" w:rsidP="00870C64">
            <w:pPr>
              <w:pStyle w:val="COMTabletext"/>
              <w:keepNext w:val="0"/>
              <w:jc w:val="center"/>
              <w:rPr>
                <w:iCs/>
                <w:szCs w:val="22"/>
              </w:rPr>
            </w:pPr>
            <w:r w:rsidRPr="003B6D82">
              <w:rPr>
                <w:iCs/>
              </w:rPr>
              <w:t>+</w:t>
            </w:r>
            <w:r w:rsidR="00733FBC" w:rsidRPr="00733FBC">
              <w:rPr>
                <w:iCs/>
                <w:color w:val="000000"/>
                <w:spacing w:val="53"/>
                <w:shd w:val="solid" w:color="000000" w:fill="000000"/>
                <w:fitText w:val="330" w:id="-663571968"/>
                <w14:textFill>
                  <w14:solidFill>
                    <w14:srgbClr w14:val="000000">
                      <w14:alpha w14:val="100000"/>
                    </w14:srgbClr>
                  </w14:solidFill>
                </w14:textFill>
              </w:rPr>
              <w:t>|||</w:t>
            </w:r>
            <w:r w:rsidR="00733FBC" w:rsidRPr="00733FBC">
              <w:rPr>
                <w:iCs/>
                <w:color w:val="000000"/>
                <w:spacing w:val="1"/>
                <w:shd w:val="solid" w:color="000000" w:fill="000000"/>
                <w:fitText w:val="330" w:id="-663571968"/>
                <w14:textFill>
                  <w14:solidFill>
                    <w14:srgbClr w14:val="000000">
                      <w14:alpha w14:val="100000"/>
                    </w14:srgbClr>
                  </w14:solidFill>
                </w14:textFill>
              </w:rPr>
              <w:t>|</w:t>
            </w:r>
            <w:r w:rsidRPr="003B6D82">
              <w:rPr>
                <w:iCs/>
              </w:rPr>
              <w:t>%</w:t>
            </w:r>
          </w:p>
        </w:tc>
      </w:tr>
      <w:tr w:rsidR="00EC05C4" w:rsidRPr="003B6D82" w14:paraId="444C1178" w14:textId="77777777" w:rsidTr="00051085">
        <w:trPr>
          <w:cantSplit/>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BBD760" w14:textId="77777777" w:rsidR="00EC05C4" w:rsidRPr="003B6D82" w:rsidRDefault="00EC05C4" w:rsidP="00870C64">
            <w:pPr>
              <w:pStyle w:val="COMTabletext"/>
              <w:keepNext w:val="0"/>
              <w:rPr>
                <w:iCs/>
              </w:rPr>
            </w:pPr>
            <w:r w:rsidRPr="003B6D82">
              <w:rPr>
                <w:iCs/>
              </w:rPr>
              <w:t>Halve adverse event disutility values</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4249C8" w14:textId="3980ACDE" w:rsidR="00EC05C4" w:rsidRPr="003B6D82" w:rsidRDefault="00EC05C4" w:rsidP="00870C64">
            <w:pPr>
              <w:pStyle w:val="COMTabletext"/>
              <w:keepNext w:val="0"/>
              <w:jc w:val="center"/>
              <w:rPr>
                <w:iCs/>
              </w:rPr>
            </w:pPr>
            <w:r w:rsidRPr="003B6D82">
              <w:rPr>
                <w:iCs/>
              </w:rPr>
              <w:t>$</w:t>
            </w:r>
            <w:r w:rsidR="00733FBC" w:rsidRPr="00733FBC">
              <w:rPr>
                <w:iCs/>
                <w:color w:val="000000"/>
                <w:spacing w:val="49"/>
                <w:shd w:val="solid" w:color="000000" w:fill="000000"/>
                <w:fitText w:val="320" w:id="-663571967"/>
                <w14:textFill>
                  <w14:solidFill>
                    <w14:srgbClr w14:val="000000">
                      <w14:alpha w14:val="100000"/>
                    </w14:srgbClr>
                  </w14:solidFill>
                </w14:textFill>
              </w:rPr>
              <w:t>|||</w:t>
            </w:r>
            <w:r w:rsidR="00733FBC" w:rsidRPr="00733FBC">
              <w:rPr>
                <w:iCs/>
                <w:color w:val="000000"/>
                <w:spacing w:val="3"/>
                <w:shd w:val="solid" w:color="000000" w:fill="000000"/>
                <w:fitText w:val="320" w:id="-663571967"/>
                <w14:textFill>
                  <w14:solidFill>
                    <w14:srgbClr w14:val="000000">
                      <w14:alpha w14:val="100000"/>
                    </w14:srgbClr>
                  </w14:solidFill>
                </w14:textFill>
              </w:rPr>
              <w:t>|</w:t>
            </w:r>
          </w:p>
        </w:tc>
        <w:tc>
          <w:tcPr>
            <w:tcW w:w="1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153135" w14:textId="77777777" w:rsidR="00EC05C4" w:rsidRPr="003B6D82" w:rsidRDefault="00EC05C4" w:rsidP="00870C64">
            <w:pPr>
              <w:pStyle w:val="COMTabletext"/>
              <w:keepNext w:val="0"/>
              <w:jc w:val="center"/>
              <w:rPr>
                <w:iCs/>
              </w:rPr>
            </w:pPr>
            <w:r w:rsidRPr="003B6D82">
              <w:rPr>
                <w:iCs/>
              </w:rPr>
              <w:t>0.1665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0D96E4" w14:textId="37FA1D49" w:rsidR="00EC05C4" w:rsidRPr="003B6D82" w:rsidRDefault="00EC05C4" w:rsidP="00870C64">
            <w:pPr>
              <w:pStyle w:val="COMTabletext"/>
              <w:keepNext w:val="0"/>
              <w:jc w:val="center"/>
              <w:rPr>
                <w:iCs/>
              </w:rPr>
            </w:pPr>
            <w:r w:rsidRPr="003B6D82">
              <w:rPr>
                <w:iCs/>
              </w:rPr>
              <w:t>$</w:t>
            </w:r>
            <w:r w:rsidR="00733FBC" w:rsidRPr="00733FBC">
              <w:rPr>
                <w:iCs/>
                <w:color w:val="000000"/>
                <w:spacing w:val="53"/>
                <w:shd w:val="solid" w:color="000000" w:fill="000000"/>
                <w:fitText w:val="330" w:id="-663571966"/>
                <w14:textFill>
                  <w14:solidFill>
                    <w14:srgbClr w14:val="000000">
                      <w14:alpha w14:val="100000"/>
                    </w14:srgbClr>
                  </w14:solidFill>
                </w14:textFill>
              </w:rPr>
              <w:t>|||</w:t>
            </w:r>
            <w:r w:rsidR="00733FBC" w:rsidRPr="00733FBC">
              <w:rPr>
                <w:iCs/>
                <w:color w:val="000000"/>
                <w:spacing w:val="1"/>
                <w:shd w:val="solid" w:color="000000" w:fill="000000"/>
                <w:fitText w:val="330" w:id="-663571966"/>
                <w14:textFill>
                  <w14:solidFill>
                    <w14:srgbClr w14:val="000000">
                      <w14:alpha w14:val="100000"/>
                    </w14:srgbClr>
                  </w14:solidFill>
                </w14:textFill>
              </w:rPr>
              <w:t>|</w:t>
            </w:r>
            <w:r w:rsidR="002E70FD">
              <w:rPr>
                <w:b/>
                <w:bCs w:val="0"/>
                <w:iCs/>
              </w:rPr>
              <w:t xml:space="preserve"> </w:t>
            </w:r>
            <w:r w:rsidR="002E70FD">
              <w:rPr>
                <w:b/>
                <w:bCs w:val="0"/>
                <w:iCs/>
                <w:vertAlign w:val="superscript"/>
              </w:rPr>
              <w:t>1</w:t>
            </w:r>
          </w:p>
        </w:tc>
        <w:tc>
          <w:tcPr>
            <w:tcW w:w="1079" w:type="dxa"/>
            <w:tcBorders>
              <w:top w:val="single" w:sz="4" w:space="0" w:color="auto"/>
              <w:left w:val="single" w:sz="4" w:space="0" w:color="auto"/>
              <w:bottom w:val="single" w:sz="4" w:space="0" w:color="auto"/>
              <w:right w:val="single" w:sz="4" w:space="0" w:color="auto"/>
            </w:tcBorders>
            <w:vAlign w:val="center"/>
            <w:hideMark/>
          </w:tcPr>
          <w:p w14:paraId="5562A475" w14:textId="7331EBD8" w:rsidR="00EC05C4" w:rsidRPr="003B6D82" w:rsidRDefault="00EC05C4" w:rsidP="00870C64">
            <w:pPr>
              <w:pStyle w:val="COMTabletext"/>
              <w:keepNext w:val="0"/>
              <w:jc w:val="center"/>
              <w:rPr>
                <w:iCs/>
                <w:szCs w:val="22"/>
              </w:rPr>
            </w:pPr>
            <w:r w:rsidRPr="003B6D82">
              <w:rPr>
                <w:iCs/>
              </w:rPr>
              <w:t>-</w:t>
            </w:r>
            <w:r w:rsidR="00733FBC" w:rsidRPr="00733FBC">
              <w:rPr>
                <w:iCs/>
                <w:color w:val="000000"/>
                <w:spacing w:val="53"/>
                <w:shd w:val="solid" w:color="000000" w:fill="000000"/>
                <w:fitText w:val="330" w:id="-663571965"/>
                <w14:textFill>
                  <w14:solidFill>
                    <w14:srgbClr w14:val="000000">
                      <w14:alpha w14:val="100000"/>
                    </w14:srgbClr>
                  </w14:solidFill>
                </w14:textFill>
              </w:rPr>
              <w:t>|||</w:t>
            </w:r>
            <w:r w:rsidR="00733FBC" w:rsidRPr="00733FBC">
              <w:rPr>
                <w:iCs/>
                <w:color w:val="000000"/>
                <w:spacing w:val="1"/>
                <w:shd w:val="solid" w:color="000000" w:fill="000000"/>
                <w:fitText w:val="330" w:id="-663571965"/>
                <w14:textFill>
                  <w14:solidFill>
                    <w14:srgbClr w14:val="000000">
                      <w14:alpha w14:val="100000"/>
                    </w14:srgbClr>
                  </w14:solidFill>
                </w14:textFill>
              </w:rPr>
              <w:t>|</w:t>
            </w:r>
            <w:r w:rsidRPr="003B6D82">
              <w:rPr>
                <w:iCs/>
              </w:rPr>
              <w:t>%</w:t>
            </w:r>
          </w:p>
        </w:tc>
      </w:tr>
      <w:tr w:rsidR="00EC05C4" w:rsidRPr="003B6D82" w14:paraId="7D91AC62" w14:textId="77777777" w:rsidTr="00051085">
        <w:trPr>
          <w:cantSplit/>
        </w:trPr>
        <w:tc>
          <w:tcPr>
            <w:tcW w:w="901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46F0D3" w14:textId="77777777" w:rsidR="00EC05C4" w:rsidRPr="003B6D82" w:rsidRDefault="00EC05C4" w:rsidP="00870C64">
            <w:pPr>
              <w:pStyle w:val="COMTabletext"/>
              <w:rPr>
                <w:b/>
                <w:bCs w:val="0"/>
                <w:iCs/>
              </w:rPr>
            </w:pPr>
            <w:r w:rsidRPr="003B6D82">
              <w:rPr>
                <w:b/>
                <w:bCs w:val="0"/>
                <w:iCs/>
              </w:rPr>
              <w:t>Costs (base case: based on various sources)</w:t>
            </w:r>
          </w:p>
        </w:tc>
      </w:tr>
      <w:tr w:rsidR="00EC05C4" w:rsidRPr="003B6D82" w14:paraId="46E19352" w14:textId="77777777" w:rsidTr="00051085">
        <w:trPr>
          <w:cantSplit/>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8F34B8" w14:textId="77777777" w:rsidR="00EC05C4" w:rsidRPr="003B6D82" w:rsidRDefault="00EC05C4" w:rsidP="00870C64">
            <w:pPr>
              <w:pStyle w:val="COMTabletext"/>
              <w:keepNext w:val="0"/>
              <w:rPr>
                <w:iCs/>
              </w:rPr>
            </w:pPr>
            <w:r w:rsidRPr="003B6D82">
              <w:rPr>
                <w:iCs/>
              </w:rPr>
              <w:t xml:space="preserve">Assume variable </w:t>
            </w:r>
            <w:proofErr w:type="spellStart"/>
            <w:r w:rsidRPr="003B6D82">
              <w:rPr>
                <w:iCs/>
              </w:rPr>
              <w:t>ruxolitinib</w:t>
            </w:r>
            <w:proofErr w:type="spellEnd"/>
            <w:r w:rsidRPr="003B6D82">
              <w:rPr>
                <w:iCs/>
              </w:rPr>
              <w:t xml:space="preserve"> doses consistent with FREEDOM-2 trial (5 mg twice daily: 32.69%, 10-20 mg twice daily: 63.46%; 25mg twice daily: 3.85%) </w:t>
            </w:r>
            <w:r w:rsidRPr="003B6D82">
              <w:rPr>
                <w:iCs/>
              </w:rPr>
              <w:br/>
              <w:t>(effective DPMQ cost $2,984.58 per cycle)</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E66046" w14:textId="5454D50C" w:rsidR="00EC05C4" w:rsidRPr="003B6D82" w:rsidRDefault="00EC05C4" w:rsidP="00870C64">
            <w:pPr>
              <w:pStyle w:val="COMTabletext"/>
              <w:keepNext w:val="0"/>
              <w:jc w:val="center"/>
              <w:rPr>
                <w:iCs/>
              </w:rPr>
            </w:pPr>
            <w:r w:rsidRPr="003B6D82">
              <w:rPr>
                <w:iCs/>
              </w:rPr>
              <w:t>$</w:t>
            </w:r>
            <w:r w:rsidR="00733FBC" w:rsidRPr="00733FBC">
              <w:rPr>
                <w:iCs/>
                <w:color w:val="000000"/>
                <w:spacing w:val="49"/>
                <w:shd w:val="solid" w:color="000000" w:fill="000000"/>
                <w:fitText w:val="320" w:id="-663571964"/>
                <w14:textFill>
                  <w14:solidFill>
                    <w14:srgbClr w14:val="000000">
                      <w14:alpha w14:val="100000"/>
                    </w14:srgbClr>
                  </w14:solidFill>
                </w14:textFill>
              </w:rPr>
              <w:t>|||</w:t>
            </w:r>
            <w:r w:rsidR="00733FBC" w:rsidRPr="00733FBC">
              <w:rPr>
                <w:iCs/>
                <w:color w:val="000000"/>
                <w:spacing w:val="3"/>
                <w:shd w:val="solid" w:color="000000" w:fill="000000"/>
                <w:fitText w:val="320" w:id="-663571964"/>
                <w14:textFill>
                  <w14:solidFill>
                    <w14:srgbClr w14:val="000000">
                      <w14:alpha w14:val="100000"/>
                    </w14:srgbClr>
                  </w14:solidFill>
                </w14:textFill>
              </w:rPr>
              <w:t>|</w:t>
            </w:r>
          </w:p>
        </w:tc>
        <w:tc>
          <w:tcPr>
            <w:tcW w:w="1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08005A" w14:textId="77777777" w:rsidR="00EC05C4" w:rsidRPr="003B6D82" w:rsidRDefault="00EC05C4" w:rsidP="00870C64">
            <w:pPr>
              <w:pStyle w:val="COMTabletext"/>
              <w:keepNext w:val="0"/>
              <w:jc w:val="center"/>
              <w:rPr>
                <w:iCs/>
              </w:rPr>
            </w:pPr>
            <w:r w:rsidRPr="003B6D82">
              <w:rPr>
                <w:iCs/>
              </w:rPr>
              <w:t>0.1620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02228A" w14:textId="793CB94B" w:rsidR="00EC05C4" w:rsidRPr="003B6D82" w:rsidRDefault="00EC05C4" w:rsidP="00870C64">
            <w:pPr>
              <w:pStyle w:val="COMTabletext"/>
              <w:keepNext w:val="0"/>
              <w:jc w:val="center"/>
              <w:rPr>
                <w:iCs/>
              </w:rPr>
            </w:pPr>
            <w:r w:rsidRPr="003B6D82">
              <w:rPr>
                <w:iCs/>
              </w:rPr>
              <w:t>$</w:t>
            </w:r>
            <w:r w:rsidR="00733FBC" w:rsidRPr="00733FBC">
              <w:rPr>
                <w:iCs/>
                <w:color w:val="000000"/>
                <w:spacing w:val="53"/>
                <w:shd w:val="solid" w:color="000000" w:fill="000000"/>
                <w:fitText w:val="330" w:id="-663571963"/>
                <w14:textFill>
                  <w14:solidFill>
                    <w14:srgbClr w14:val="000000">
                      <w14:alpha w14:val="100000"/>
                    </w14:srgbClr>
                  </w14:solidFill>
                </w14:textFill>
              </w:rPr>
              <w:t>|||</w:t>
            </w:r>
            <w:r w:rsidR="00733FBC" w:rsidRPr="00733FBC">
              <w:rPr>
                <w:iCs/>
                <w:color w:val="000000"/>
                <w:spacing w:val="1"/>
                <w:shd w:val="solid" w:color="000000" w:fill="000000"/>
                <w:fitText w:val="330" w:id="-663571963"/>
                <w14:textFill>
                  <w14:solidFill>
                    <w14:srgbClr w14:val="000000">
                      <w14:alpha w14:val="100000"/>
                    </w14:srgbClr>
                  </w14:solidFill>
                </w14:textFill>
              </w:rPr>
              <w:t>|</w:t>
            </w:r>
            <w:r w:rsidR="00F3099E">
              <w:rPr>
                <w:b/>
                <w:bCs w:val="0"/>
                <w:iCs/>
              </w:rPr>
              <w:t xml:space="preserve"> </w:t>
            </w:r>
            <w:r w:rsidR="00F3099E">
              <w:rPr>
                <w:b/>
                <w:bCs w:val="0"/>
                <w:iCs/>
                <w:vertAlign w:val="superscript"/>
              </w:rPr>
              <w:t>3</w:t>
            </w:r>
          </w:p>
        </w:tc>
        <w:tc>
          <w:tcPr>
            <w:tcW w:w="1079" w:type="dxa"/>
            <w:tcBorders>
              <w:top w:val="single" w:sz="4" w:space="0" w:color="auto"/>
              <w:left w:val="single" w:sz="4" w:space="0" w:color="auto"/>
              <w:bottom w:val="single" w:sz="4" w:space="0" w:color="auto"/>
              <w:right w:val="single" w:sz="4" w:space="0" w:color="auto"/>
            </w:tcBorders>
            <w:vAlign w:val="center"/>
            <w:hideMark/>
          </w:tcPr>
          <w:p w14:paraId="53F3B131" w14:textId="784C46D0" w:rsidR="00EC05C4" w:rsidRPr="003B6D82" w:rsidRDefault="00EC05C4" w:rsidP="00870C64">
            <w:pPr>
              <w:pStyle w:val="COMTabletext"/>
              <w:keepNext w:val="0"/>
              <w:jc w:val="center"/>
              <w:rPr>
                <w:iCs/>
                <w:szCs w:val="22"/>
              </w:rPr>
            </w:pPr>
            <w:r w:rsidRPr="003B6D82">
              <w:rPr>
                <w:iCs/>
              </w:rPr>
              <w:t>+</w:t>
            </w:r>
            <w:r w:rsidR="00733FBC" w:rsidRPr="00733FBC">
              <w:rPr>
                <w:iCs/>
                <w:color w:val="000000"/>
                <w:spacing w:val="53"/>
                <w:shd w:val="solid" w:color="000000" w:fill="000000"/>
                <w:fitText w:val="330" w:id="-663571962"/>
                <w14:textFill>
                  <w14:solidFill>
                    <w14:srgbClr w14:val="000000">
                      <w14:alpha w14:val="100000"/>
                    </w14:srgbClr>
                  </w14:solidFill>
                </w14:textFill>
              </w:rPr>
              <w:t>|||</w:t>
            </w:r>
            <w:r w:rsidR="00733FBC" w:rsidRPr="00733FBC">
              <w:rPr>
                <w:iCs/>
                <w:color w:val="000000"/>
                <w:spacing w:val="1"/>
                <w:shd w:val="solid" w:color="000000" w:fill="000000"/>
                <w:fitText w:val="330" w:id="-663571962"/>
                <w14:textFill>
                  <w14:solidFill>
                    <w14:srgbClr w14:val="000000">
                      <w14:alpha w14:val="100000"/>
                    </w14:srgbClr>
                  </w14:solidFill>
                </w14:textFill>
              </w:rPr>
              <w:t>|</w:t>
            </w:r>
            <w:r w:rsidRPr="003B6D82">
              <w:rPr>
                <w:iCs/>
              </w:rPr>
              <w:t>%</w:t>
            </w:r>
          </w:p>
        </w:tc>
      </w:tr>
      <w:tr w:rsidR="00EC05C4" w:rsidRPr="003B6D82" w14:paraId="7C50E7E4" w14:textId="77777777" w:rsidTr="00051085">
        <w:trPr>
          <w:cantSplit/>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DD878E" w14:textId="77777777" w:rsidR="00EC05C4" w:rsidRPr="003B6D82" w:rsidRDefault="00EC05C4" w:rsidP="00870C64">
            <w:pPr>
              <w:pStyle w:val="COMTabletext"/>
              <w:keepNext w:val="0"/>
              <w:rPr>
                <w:iCs/>
              </w:rPr>
            </w:pPr>
            <w:r w:rsidRPr="003B6D82">
              <w:rPr>
                <w:iCs/>
              </w:rPr>
              <w:lastRenderedPageBreak/>
              <w:t>Double adverse event costs</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A63977" w14:textId="6A4A967A" w:rsidR="00EC05C4" w:rsidRPr="003B6D82" w:rsidRDefault="00EC05C4" w:rsidP="00870C64">
            <w:pPr>
              <w:pStyle w:val="COMTabletext"/>
              <w:keepNext w:val="0"/>
              <w:jc w:val="center"/>
              <w:rPr>
                <w:iCs/>
              </w:rPr>
            </w:pPr>
            <w:r w:rsidRPr="003B6D82">
              <w:rPr>
                <w:iCs/>
              </w:rPr>
              <w:t>$</w:t>
            </w:r>
            <w:r w:rsidR="00733FBC" w:rsidRPr="00733FBC">
              <w:rPr>
                <w:iCs/>
                <w:color w:val="000000"/>
                <w:spacing w:val="49"/>
                <w:shd w:val="solid" w:color="000000" w:fill="000000"/>
                <w:fitText w:val="320" w:id="-663571961"/>
                <w14:textFill>
                  <w14:solidFill>
                    <w14:srgbClr w14:val="000000">
                      <w14:alpha w14:val="100000"/>
                    </w14:srgbClr>
                  </w14:solidFill>
                </w14:textFill>
              </w:rPr>
              <w:t>|||</w:t>
            </w:r>
            <w:r w:rsidR="00733FBC" w:rsidRPr="00733FBC">
              <w:rPr>
                <w:iCs/>
                <w:color w:val="000000"/>
                <w:spacing w:val="3"/>
                <w:shd w:val="solid" w:color="000000" w:fill="000000"/>
                <w:fitText w:val="320" w:id="-663571961"/>
                <w14:textFill>
                  <w14:solidFill>
                    <w14:srgbClr w14:val="000000">
                      <w14:alpha w14:val="100000"/>
                    </w14:srgbClr>
                  </w14:solidFill>
                </w14:textFill>
              </w:rPr>
              <w:t>|</w:t>
            </w:r>
          </w:p>
        </w:tc>
        <w:tc>
          <w:tcPr>
            <w:tcW w:w="1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F74CC5" w14:textId="77777777" w:rsidR="00EC05C4" w:rsidRPr="003B6D82" w:rsidRDefault="00EC05C4" w:rsidP="00870C64">
            <w:pPr>
              <w:pStyle w:val="COMTabletext"/>
              <w:keepNext w:val="0"/>
              <w:jc w:val="center"/>
              <w:rPr>
                <w:iCs/>
              </w:rPr>
            </w:pPr>
            <w:r w:rsidRPr="003B6D82">
              <w:rPr>
                <w:iCs/>
              </w:rPr>
              <w:t>0.1620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48E06E" w14:textId="2B119F91" w:rsidR="00EC05C4" w:rsidRPr="003B6D82" w:rsidRDefault="00EC05C4" w:rsidP="00870C64">
            <w:pPr>
              <w:pStyle w:val="COMTabletext"/>
              <w:keepNext w:val="0"/>
              <w:jc w:val="center"/>
              <w:rPr>
                <w:iCs/>
              </w:rPr>
            </w:pPr>
            <w:r w:rsidRPr="003B6D82">
              <w:rPr>
                <w:iCs/>
              </w:rPr>
              <w:t>$</w:t>
            </w:r>
            <w:r w:rsidR="00733FBC" w:rsidRPr="00733FBC">
              <w:rPr>
                <w:iCs/>
                <w:color w:val="000000"/>
                <w:spacing w:val="53"/>
                <w:shd w:val="solid" w:color="000000" w:fill="000000"/>
                <w:fitText w:val="330" w:id="-663571960"/>
                <w14:textFill>
                  <w14:solidFill>
                    <w14:srgbClr w14:val="000000">
                      <w14:alpha w14:val="100000"/>
                    </w14:srgbClr>
                  </w14:solidFill>
                </w14:textFill>
              </w:rPr>
              <w:t>|||</w:t>
            </w:r>
            <w:r w:rsidR="00733FBC" w:rsidRPr="00733FBC">
              <w:rPr>
                <w:iCs/>
                <w:color w:val="000000"/>
                <w:spacing w:val="1"/>
                <w:shd w:val="solid" w:color="000000" w:fill="000000"/>
                <w:fitText w:val="330" w:id="-663571960"/>
                <w14:textFill>
                  <w14:solidFill>
                    <w14:srgbClr w14:val="000000">
                      <w14:alpha w14:val="100000"/>
                    </w14:srgbClr>
                  </w14:solidFill>
                </w14:textFill>
              </w:rPr>
              <w:t>|</w:t>
            </w:r>
            <w:r w:rsidR="002E70FD">
              <w:rPr>
                <w:b/>
                <w:bCs w:val="0"/>
                <w:iCs/>
              </w:rPr>
              <w:t xml:space="preserve"> </w:t>
            </w:r>
            <w:r w:rsidR="002E70FD">
              <w:rPr>
                <w:b/>
                <w:bCs w:val="0"/>
                <w:iCs/>
                <w:vertAlign w:val="superscript"/>
              </w:rPr>
              <w:t>2</w:t>
            </w:r>
          </w:p>
        </w:tc>
        <w:tc>
          <w:tcPr>
            <w:tcW w:w="1079" w:type="dxa"/>
            <w:tcBorders>
              <w:top w:val="single" w:sz="4" w:space="0" w:color="auto"/>
              <w:left w:val="single" w:sz="4" w:space="0" w:color="auto"/>
              <w:bottom w:val="single" w:sz="4" w:space="0" w:color="auto"/>
              <w:right w:val="single" w:sz="4" w:space="0" w:color="auto"/>
            </w:tcBorders>
            <w:vAlign w:val="center"/>
            <w:hideMark/>
          </w:tcPr>
          <w:p w14:paraId="5AD6C503" w14:textId="7569222F" w:rsidR="00EC05C4" w:rsidRPr="003B6D82" w:rsidRDefault="00EC05C4" w:rsidP="00870C64">
            <w:pPr>
              <w:pStyle w:val="COMTabletext"/>
              <w:keepNext w:val="0"/>
              <w:jc w:val="center"/>
              <w:rPr>
                <w:iCs/>
                <w:szCs w:val="22"/>
              </w:rPr>
            </w:pPr>
            <w:r w:rsidRPr="003B6D82">
              <w:rPr>
                <w:iCs/>
              </w:rPr>
              <w:t>+</w:t>
            </w:r>
            <w:r w:rsidR="00733FBC" w:rsidRPr="00733FBC">
              <w:rPr>
                <w:iCs/>
                <w:color w:val="000000"/>
                <w:spacing w:val="53"/>
                <w:shd w:val="solid" w:color="000000" w:fill="000000"/>
                <w:fitText w:val="330" w:id="-663571959"/>
                <w14:textFill>
                  <w14:solidFill>
                    <w14:srgbClr w14:val="000000">
                      <w14:alpha w14:val="100000"/>
                    </w14:srgbClr>
                  </w14:solidFill>
                </w14:textFill>
              </w:rPr>
              <w:t>|||</w:t>
            </w:r>
            <w:r w:rsidR="00733FBC" w:rsidRPr="00733FBC">
              <w:rPr>
                <w:iCs/>
                <w:color w:val="000000"/>
                <w:spacing w:val="1"/>
                <w:shd w:val="solid" w:color="000000" w:fill="000000"/>
                <w:fitText w:val="330" w:id="-663571959"/>
                <w14:textFill>
                  <w14:solidFill>
                    <w14:srgbClr w14:val="000000">
                      <w14:alpha w14:val="100000"/>
                    </w14:srgbClr>
                  </w14:solidFill>
                </w14:textFill>
              </w:rPr>
              <w:t>|</w:t>
            </w:r>
            <w:r w:rsidRPr="003B6D82">
              <w:rPr>
                <w:iCs/>
              </w:rPr>
              <w:t>%</w:t>
            </w:r>
          </w:p>
        </w:tc>
      </w:tr>
      <w:tr w:rsidR="00EC05C4" w:rsidRPr="003B6D82" w14:paraId="7118C066" w14:textId="77777777" w:rsidTr="00051085">
        <w:trPr>
          <w:cantSplit/>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DD13EF" w14:textId="77777777" w:rsidR="00EC05C4" w:rsidRPr="003B6D82" w:rsidRDefault="00EC05C4" w:rsidP="00870C64">
            <w:pPr>
              <w:pStyle w:val="COMTabletext"/>
              <w:keepNext w:val="0"/>
              <w:rPr>
                <w:iCs/>
              </w:rPr>
            </w:pPr>
            <w:r w:rsidRPr="003B6D82">
              <w:rPr>
                <w:iCs/>
              </w:rPr>
              <w:t>Halve adverse event costs</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528647" w14:textId="28930454" w:rsidR="00EC05C4" w:rsidRPr="003B6D82" w:rsidRDefault="00EC05C4" w:rsidP="00870C64">
            <w:pPr>
              <w:pStyle w:val="COMTabletext"/>
              <w:keepNext w:val="0"/>
              <w:jc w:val="center"/>
              <w:rPr>
                <w:iCs/>
              </w:rPr>
            </w:pPr>
            <w:r w:rsidRPr="003B6D82">
              <w:rPr>
                <w:iCs/>
              </w:rPr>
              <w:t>$</w:t>
            </w:r>
            <w:r w:rsidR="00733FBC" w:rsidRPr="00733FBC">
              <w:rPr>
                <w:iCs/>
                <w:color w:val="000000"/>
                <w:spacing w:val="49"/>
                <w:shd w:val="solid" w:color="000000" w:fill="000000"/>
                <w:fitText w:val="320" w:id="-663571958"/>
                <w14:textFill>
                  <w14:solidFill>
                    <w14:srgbClr w14:val="000000">
                      <w14:alpha w14:val="100000"/>
                    </w14:srgbClr>
                  </w14:solidFill>
                </w14:textFill>
              </w:rPr>
              <w:t>|||</w:t>
            </w:r>
            <w:r w:rsidR="00733FBC" w:rsidRPr="00733FBC">
              <w:rPr>
                <w:iCs/>
                <w:color w:val="000000"/>
                <w:spacing w:val="3"/>
                <w:shd w:val="solid" w:color="000000" w:fill="000000"/>
                <w:fitText w:val="320" w:id="-663571958"/>
                <w14:textFill>
                  <w14:solidFill>
                    <w14:srgbClr w14:val="000000">
                      <w14:alpha w14:val="100000"/>
                    </w14:srgbClr>
                  </w14:solidFill>
                </w14:textFill>
              </w:rPr>
              <w:t>|</w:t>
            </w:r>
          </w:p>
        </w:tc>
        <w:tc>
          <w:tcPr>
            <w:tcW w:w="1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F60C16" w14:textId="77777777" w:rsidR="00EC05C4" w:rsidRPr="003B6D82" w:rsidRDefault="00EC05C4" w:rsidP="00870C64">
            <w:pPr>
              <w:pStyle w:val="COMTabletext"/>
              <w:keepNext w:val="0"/>
              <w:jc w:val="center"/>
              <w:rPr>
                <w:iCs/>
              </w:rPr>
            </w:pPr>
            <w:r w:rsidRPr="003B6D82">
              <w:rPr>
                <w:iCs/>
              </w:rPr>
              <w:t>0.1620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3A8DF9" w14:textId="742C3D57" w:rsidR="00EC05C4" w:rsidRPr="003B6D82" w:rsidRDefault="00EC05C4" w:rsidP="00870C64">
            <w:pPr>
              <w:pStyle w:val="COMTabletext"/>
              <w:keepNext w:val="0"/>
              <w:jc w:val="center"/>
              <w:rPr>
                <w:iCs/>
              </w:rPr>
            </w:pPr>
            <w:r w:rsidRPr="003B6D82">
              <w:rPr>
                <w:iCs/>
              </w:rPr>
              <w:t>$</w:t>
            </w:r>
            <w:r w:rsidR="00733FBC" w:rsidRPr="00733FBC">
              <w:rPr>
                <w:iCs/>
                <w:color w:val="000000"/>
                <w:spacing w:val="53"/>
                <w:shd w:val="solid" w:color="000000" w:fill="000000"/>
                <w:fitText w:val="330" w:id="-663571957"/>
                <w14:textFill>
                  <w14:solidFill>
                    <w14:srgbClr w14:val="000000">
                      <w14:alpha w14:val="100000"/>
                    </w14:srgbClr>
                  </w14:solidFill>
                </w14:textFill>
              </w:rPr>
              <w:t>|||</w:t>
            </w:r>
            <w:r w:rsidR="00733FBC" w:rsidRPr="00733FBC">
              <w:rPr>
                <w:iCs/>
                <w:color w:val="000000"/>
                <w:spacing w:val="1"/>
                <w:shd w:val="solid" w:color="000000" w:fill="000000"/>
                <w:fitText w:val="330" w:id="-663571957"/>
                <w14:textFill>
                  <w14:solidFill>
                    <w14:srgbClr w14:val="000000">
                      <w14:alpha w14:val="100000"/>
                    </w14:srgbClr>
                  </w14:solidFill>
                </w14:textFill>
              </w:rPr>
              <w:t>|</w:t>
            </w:r>
            <w:r w:rsidR="002E70FD">
              <w:rPr>
                <w:b/>
                <w:bCs w:val="0"/>
                <w:iCs/>
              </w:rPr>
              <w:t xml:space="preserve"> </w:t>
            </w:r>
            <w:r w:rsidR="002E70FD">
              <w:rPr>
                <w:b/>
                <w:bCs w:val="0"/>
                <w:iCs/>
                <w:vertAlign w:val="superscript"/>
              </w:rPr>
              <w:t>1</w:t>
            </w:r>
          </w:p>
        </w:tc>
        <w:tc>
          <w:tcPr>
            <w:tcW w:w="1079" w:type="dxa"/>
            <w:tcBorders>
              <w:top w:val="single" w:sz="4" w:space="0" w:color="auto"/>
              <w:left w:val="single" w:sz="4" w:space="0" w:color="auto"/>
              <w:bottom w:val="single" w:sz="4" w:space="0" w:color="auto"/>
              <w:right w:val="single" w:sz="4" w:space="0" w:color="auto"/>
            </w:tcBorders>
            <w:vAlign w:val="center"/>
            <w:hideMark/>
          </w:tcPr>
          <w:p w14:paraId="3D65451A" w14:textId="32F1FA2C" w:rsidR="00EC05C4" w:rsidRPr="003B6D82" w:rsidRDefault="00EC05C4" w:rsidP="00870C64">
            <w:pPr>
              <w:pStyle w:val="COMTabletext"/>
              <w:keepNext w:val="0"/>
              <w:jc w:val="center"/>
              <w:rPr>
                <w:iCs/>
                <w:szCs w:val="22"/>
              </w:rPr>
            </w:pPr>
            <w:r w:rsidRPr="003B6D82">
              <w:rPr>
                <w:iCs/>
              </w:rPr>
              <w:t>-</w:t>
            </w:r>
            <w:r w:rsidR="00733FBC" w:rsidRPr="00733FBC">
              <w:rPr>
                <w:iCs/>
                <w:color w:val="000000"/>
                <w:spacing w:val="53"/>
                <w:shd w:val="solid" w:color="000000" w:fill="000000"/>
                <w:fitText w:val="330" w:id="-663571956"/>
                <w14:textFill>
                  <w14:solidFill>
                    <w14:srgbClr w14:val="000000">
                      <w14:alpha w14:val="100000"/>
                    </w14:srgbClr>
                  </w14:solidFill>
                </w14:textFill>
              </w:rPr>
              <w:t>|||</w:t>
            </w:r>
            <w:r w:rsidR="00733FBC" w:rsidRPr="00733FBC">
              <w:rPr>
                <w:iCs/>
                <w:color w:val="000000"/>
                <w:spacing w:val="1"/>
                <w:shd w:val="solid" w:color="000000" w:fill="000000"/>
                <w:fitText w:val="330" w:id="-663571956"/>
                <w14:textFill>
                  <w14:solidFill>
                    <w14:srgbClr w14:val="000000">
                      <w14:alpha w14:val="100000"/>
                    </w14:srgbClr>
                  </w14:solidFill>
                </w14:textFill>
              </w:rPr>
              <w:t>|</w:t>
            </w:r>
            <w:r w:rsidRPr="003B6D82">
              <w:rPr>
                <w:iCs/>
              </w:rPr>
              <w:t>%</w:t>
            </w:r>
          </w:p>
        </w:tc>
      </w:tr>
      <w:tr w:rsidR="00EC05C4" w:rsidRPr="003B6D82" w14:paraId="0D29BCFE" w14:textId="77777777" w:rsidTr="00051085">
        <w:trPr>
          <w:cantSplit/>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99ED9B" w14:textId="77777777" w:rsidR="00EC05C4" w:rsidRPr="003B6D82" w:rsidRDefault="00EC05C4" w:rsidP="00870C64">
            <w:pPr>
              <w:pStyle w:val="COMTabletext"/>
              <w:keepNext w:val="0"/>
              <w:rPr>
                <w:iCs/>
              </w:rPr>
            </w:pPr>
            <w:r w:rsidRPr="003B6D82">
              <w:rPr>
                <w:iCs/>
              </w:rPr>
              <w:t xml:space="preserve">Correction of hospital overnight stays </w:t>
            </w:r>
          </w:p>
          <w:p w14:paraId="753D4A84" w14:textId="77777777" w:rsidR="00EC05C4" w:rsidRPr="003B6D82" w:rsidRDefault="00EC05C4" w:rsidP="00870C64">
            <w:pPr>
              <w:pStyle w:val="COMTabletext"/>
              <w:keepNext w:val="0"/>
              <w:rPr>
                <w:iCs/>
              </w:rPr>
            </w:pPr>
            <w:r w:rsidRPr="003B6D82">
              <w:rPr>
                <w:iCs/>
              </w:rPr>
              <w:t>($1,527.03 per unit)</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60A9C8" w14:textId="02005F33" w:rsidR="00EC05C4" w:rsidRPr="003B6D82" w:rsidRDefault="00EC05C4" w:rsidP="00870C64">
            <w:pPr>
              <w:pStyle w:val="COMTabletext"/>
              <w:keepNext w:val="0"/>
              <w:jc w:val="center"/>
              <w:rPr>
                <w:iCs/>
              </w:rPr>
            </w:pPr>
            <w:r w:rsidRPr="003B6D82">
              <w:rPr>
                <w:iCs/>
              </w:rPr>
              <w:t>$</w:t>
            </w:r>
            <w:r w:rsidR="00733FBC" w:rsidRPr="00733FBC">
              <w:rPr>
                <w:iCs/>
                <w:color w:val="000000"/>
                <w:spacing w:val="49"/>
                <w:shd w:val="solid" w:color="000000" w:fill="000000"/>
                <w:fitText w:val="320" w:id="-663571955"/>
                <w14:textFill>
                  <w14:solidFill>
                    <w14:srgbClr w14:val="000000">
                      <w14:alpha w14:val="100000"/>
                    </w14:srgbClr>
                  </w14:solidFill>
                </w14:textFill>
              </w:rPr>
              <w:t>|||</w:t>
            </w:r>
            <w:r w:rsidR="00733FBC" w:rsidRPr="00733FBC">
              <w:rPr>
                <w:iCs/>
                <w:color w:val="000000"/>
                <w:spacing w:val="3"/>
                <w:shd w:val="solid" w:color="000000" w:fill="000000"/>
                <w:fitText w:val="320" w:id="-663571955"/>
                <w14:textFill>
                  <w14:solidFill>
                    <w14:srgbClr w14:val="000000">
                      <w14:alpha w14:val="100000"/>
                    </w14:srgbClr>
                  </w14:solidFill>
                </w14:textFill>
              </w:rPr>
              <w:t>|</w:t>
            </w:r>
          </w:p>
        </w:tc>
        <w:tc>
          <w:tcPr>
            <w:tcW w:w="1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5E3300" w14:textId="77777777" w:rsidR="00EC05C4" w:rsidRPr="003B6D82" w:rsidRDefault="00EC05C4" w:rsidP="00870C64">
            <w:pPr>
              <w:pStyle w:val="COMTabletext"/>
              <w:keepNext w:val="0"/>
              <w:jc w:val="center"/>
              <w:rPr>
                <w:iCs/>
              </w:rPr>
            </w:pPr>
            <w:r w:rsidRPr="003B6D82">
              <w:rPr>
                <w:iCs/>
              </w:rPr>
              <w:t>0.1620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D75C91" w14:textId="3375422D" w:rsidR="00EC05C4" w:rsidRPr="003B6D82" w:rsidRDefault="00EC05C4" w:rsidP="00870C64">
            <w:pPr>
              <w:pStyle w:val="COMTabletext"/>
              <w:keepNext w:val="0"/>
              <w:jc w:val="center"/>
              <w:rPr>
                <w:iCs/>
              </w:rPr>
            </w:pPr>
            <w:r w:rsidRPr="003B6D82">
              <w:rPr>
                <w:iCs/>
              </w:rPr>
              <w:t>$</w:t>
            </w:r>
            <w:r w:rsidR="00733FBC" w:rsidRPr="00733FBC">
              <w:rPr>
                <w:iCs/>
                <w:color w:val="000000"/>
                <w:spacing w:val="53"/>
                <w:shd w:val="solid" w:color="000000" w:fill="000000"/>
                <w:fitText w:val="330" w:id="-663571954"/>
                <w14:textFill>
                  <w14:solidFill>
                    <w14:srgbClr w14:val="000000">
                      <w14:alpha w14:val="100000"/>
                    </w14:srgbClr>
                  </w14:solidFill>
                </w14:textFill>
              </w:rPr>
              <w:t>|||</w:t>
            </w:r>
            <w:r w:rsidR="00733FBC" w:rsidRPr="00733FBC">
              <w:rPr>
                <w:iCs/>
                <w:color w:val="000000"/>
                <w:spacing w:val="1"/>
                <w:shd w:val="solid" w:color="000000" w:fill="000000"/>
                <w:fitText w:val="330" w:id="-663571954"/>
                <w14:textFill>
                  <w14:solidFill>
                    <w14:srgbClr w14:val="000000">
                      <w14:alpha w14:val="100000"/>
                    </w14:srgbClr>
                  </w14:solidFill>
                </w14:textFill>
              </w:rPr>
              <w:t>|</w:t>
            </w:r>
            <w:r w:rsidR="00BD6D35">
              <w:rPr>
                <w:b/>
                <w:bCs w:val="0"/>
                <w:iCs/>
              </w:rPr>
              <w:t xml:space="preserve"> </w:t>
            </w:r>
            <w:r w:rsidR="00BD6D35">
              <w:rPr>
                <w:b/>
                <w:bCs w:val="0"/>
                <w:iCs/>
                <w:vertAlign w:val="superscript"/>
              </w:rPr>
              <w:t>8</w:t>
            </w:r>
          </w:p>
        </w:tc>
        <w:tc>
          <w:tcPr>
            <w:tcW w:w="1079" w:type="dxa"/>
            <w:tcBorders>
              <w:top w:val="single" w:sz="4" w:space="0" w:color="auto"/>
              <w:left w:val="single" w:sz="4" w:space="0" w:color="auto"/>
              <w:bottom w:val="single" w:sz="4" w:space="0" w:color="auto"/>
              <w:right w:val="single" w:sz="4" w:space="0" w:color="auto"/>
            </w:tcBorders>
            <w:vAlign w:val="center"/>
            <w:hideMark/>
          </w:tcPr>
          <w:p w14:paraId="3F071126" w14:textId="5E54692A" w:rsidR="00EC05C4" w:rsidRPr="003B6D82" w:rsidRDefault="00EC05C4" w:rsidP="00870C64">
            <w:pPr>
              <w:pStyle w:val="COMTabletext"/>
              <w:keepNext w:val="0"/>
              <w:jc w:val="center"/>
              <w:rPr>
                <w:iCs/>
                <w:szCs w:val="22"/>
              </w:rPr>
            </w:pPr>
            <w:r w:rsidRPr="003B6D82">
              <w:rPr>
                <w:iCs/>
              </w:rPr>
              <w:t>+</w:t>
            </w:r>
            <w:r w:rsidR="00733FBC" w:rsidRPr="00733FBC">
              <w:rPr>
                <w:iCs/>
                <w:color w:val="000000"/>
                <w:spacing w:val="53"/>
                <w:shd w:val="solid" w:color="000000" w:fill="000000"/>
                <w:fitText w:val="330" w:id="-663571953"/>
                <w14:textFill>
                  <w14:solidFill>
                    <w14:srgbClr w14:val="000000">
                      <w14:alpha w14:val="100000"/>
                    </w14:srgbClr>
                  </w14:solidFill>
                </w14:textFill>
              </w:rPr>
              <w:t>|||</w:t>
            </w:r>
            <w:r w:rsidR="00733FBC" w:rsidRPr="00733FBC">
              <w:rPr>
                <w:iCs/>
                <w:color w:val="000000"/>
                <w:spacing w:val="1"/>
                <w:shd w:val="solid" w:color="000000" w:fill="000000"/>
                <w:fitText w:val="330" w:id="-663571953"/>
                <w14:textFill>
                  <w14:solidFill>
                    <w14:srgbClr w14:val="000000">
                      <w14:alpha w14:val="100000"/>
                    </w14:srgbClr>
                  </w14:solidFill>
                </w14:textFill>
              </w:rPr>
              <w:t>|</w:t>
            </w:r>
            <w:r w:rsidRPr="003B6D82">
              <w:rPr>
                <w:iCs/>
              </w:rPr>
              <w:t>%</w:t>
            </w:r>
          </w:p>
        </w:tc>
      </w:tr>
      <w:tr w:rsidR="00EC05C4" w:rsidRPr="003B6D82" w14:paraId="70F75515" w14:textId="77777777" w:rsidTr="00051085">
        <w:trPr>
          <w:cantSplit/>
        </w:trPr>
        <w:tc>
          <w:tcPr>
            <w:tcW w:w="901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441C1E" w14:textId="77777777" w:rsidR="00EC05C4" w:rsidRPr="003B6D82" w:rsidRDefault="00EC05C4" w:rsidP="00870C64">
            <w:pPr>
              <w:pStyle w:val="COMTabletext"/>
              <w:keepNext w:val="0"/>
              <w:rPr>
                <w:b/>
                <w:bCs w:val="0"/>
                <w:iCs/>
              </w:rPr>
            </w:pPr>
            <w:r w:rsidRPr="003B6D82">
              <w:rPr>
                <w:b/>
                <w:bCs w:val="0"/>
                <w:iCs/>
              </w:rPr>
              <w:t>Multivariate sensitivity analyses</w:t>
            </w:r>
          </w:p>
        </w:tc>
      </w:tr>
      <w:tr w:rsidR="00EC05C4" w:rsidRPr="003B6D82" w14:paraId="27C0BB14" w14:textId="77777777" w:rsidTr="00051085">
        <w:trPr>
          <w:cantSplit/>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87EA95" w14:textId="77777777" w:rsidR="00EC05C4" w:rsidRPr="003B6D82" w:rsidRDefault="00EC05C4" w:rsidP="00870C64">
            <w:pPr>
              <w:pStyle w:val="COMTabletext"/>
              <w:keepNext w:val="0"/>
              <w:rPr>
                <w:iCs/>
              </w:rPr>
            </w:pPr>
            <w:r w:rsidRPr="003B6D82">
              <w:rPr>
                <w:iCs/>
              </w:rPr>
              <w:t xml:space="preserve">Scenario 1 (same transition probabilities as base case, allow </w:t>
            </w:r>
            <w:proofErr w:type="spellStart"/>
            <w:r w:rsidRPr="003B6D82">
              <w:rPr>
                <w:iCs/>
              </w:rPr>
              <w:t>ruxolitinib</w:t>
            </w:r>
            <w:proofErr w:type="spellEnd"/>
            <w:r w:rsidRPr="003B6D82">
              <w:rPr>
                <w:iCs/>
              </w:rPr>
              <w:t xml:space="preserve"> switching after </w:t>
            </w:r>
            <w:proofErr w:type="spellStart"/>
            <w:r w:rsidRPr="003B6D82">
              <w:rPr>
                <w:iCs/>
              </w:rPr>
              <w:t>fedratinib</w:t>
            </w:r>
            <w:proofErr w:type="spellEnd"/>
            <w:r w:rsidRPr="003B6D82">
              <w:rPr>
                <w:iCs/>
              </w:rPr>
              <w:t xml:space="preserve">, assume variable </w:t>
            </w:r>
            <w:proofErr w:type="spellStart"/>
            <w:r w:rsidRPr="003B6D82">
              <w:rPr>
                <w:iCs/>
              </w:rPr>
              <w:t>ruxolitinib</w:t>
            </w:r>
            <w:proofErr w:type="spellEnd"/>
            <w:r w:rsidRPr="003B6D82">
              <w:rPr>
                <w:iCs/>
              </w:rPr>
              <w:t xml:space="preserve"> dosing, correction of hospital overnight stays)</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3F3BF6" w14:textId="761A9176" w:rsidR="00EC05C4" w:rsidRPr="003B6D82" w:rsidRDefault="00EC05C4" w:rsidP="00870C64">
            <w:pPr>
              <w:pStyle w:val="COMTabletext"/>
              <w:keepNext w:val="0"/>
              <w:jc w:val="center"/>
              <w:rPr>
                <w:iCs/>
              </w:rPr>
            </w:pPr>
            <w:r w:rsidRPr="003B6D82">
              <w:rPr>
                <w:iCs/>
              </w:rPr>
              <w:t>$</w:t>
            </w:r>
            <w:r w:rsidR="00733FBC" w:rsidRPr="00733FBC">
              <w:rPr>
                <w:iCs/>
                <w:color w:val="000000"/>
                <w:spacing w:val="49"/>
                <w:shd w:val="solid" w:color="000000" w:fill="000000"/>
                <w:fitText w:val="320" w:id="-663571952"/>
                <w14:textFill>
                  <w14:solidFill>
                    <w14:srgbClr w14:val="000000">
                      <w14:alpha w14:val="100000"/>
                    </w14:srgbClr>
                  </w14:solidFill>
                </w14:textFill>
              </w:rPr>
              <w:t>|||</w:t>
            </w:r>
            <w:r w:rsidR="00733FBC" w:rsidRPr="00733FBC">
              <w:rPr>
                <w:iCs/>
                <w:color w:val="000000"/>
                <w:spacing w:val="3"/>
                <w:shd w:val="solid" w:color="000000" w:fill="000000"/>
                <w:fitText w:val="320" w:id="-663571952"/>
                <w14:textFill>
                  <w14:solidFill>
                    <w14:srgbClr w14:val="000000">
                      <w14:alpha w14:val="100000"/>
                    </w14:srgbClr>
                  </w14:solidFill>
                </w14:textFill>
              </w:rPr>
              <w:t>|</w:t>
            </w:r>
          </w:p>
        </w:tc>
        <w:tc>
          <w:tcPr>
            <w:tcW w:w="1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EBFA12" w14:textId="77777777" w:rsidR="00EC05C4" w:rsidRPr="003B6D82" w:rsidRDefault="00EC05C4" w:rsidP="00870C64">
            <w:pPr>
              <w:pStyle w:val="COMTabletext"/>
              <w:keepNext w:val="0"/>
              <w:jc w:val="center"/>
              <w:rPr>
                <w:iCs/>
              </w:rPr>
            </w:pPr>
            <w:r w:rsidRPr="003B6D82">
              <w:rPr>
                <w:iCs/>
              </w:rPr>
              <w:t>0.1620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E57D1A" w14:textId="36E98B1D" w:rsidR="00EC05C4" w:rsidRPr="003B6D82" w:rsidRDefault="00EC05C4" w:rsidP="00870C64">
            <w:pPr>
              <w:pStyle w:val="COMTabletext"/>
              <w:keepNext w:val="0"/>
              <w:jc w:val="center"/>
              <w:rPr>
                <w:iCs/>
              </w:rPr>
            </w:pPr>
            <w:r w:rsidRPr="003B6D82">
              <w:rPr>
                <w:iCs/>
              </w:rPr>
              <w:t>$</w:t>
            </w:r>
            <w:r w:rsidR="00733FBC" w:rsidRPr="00733FBC">
              <w:rPr>
                <w:iCs/>
                <w:color w:val="000000"/>
                <w:spacing w:val="53"/>
                <w:shd w:val="solid" w:color="000000" w:fill="000000"/>
                <w:fitText w:val="330" w:id="-663571968"/>
                <w14:textFill>
                  <w14:solidFill>
                    <w14:srgbClr w14:val="000000">
                      <w14:alpha w14:val="100000"/>
                    </w14:srgbClr>
                  </w14:solidFill>
                </w14:textFill>
              </w:rPr>
              <w:t>|||</w:t>
            </w:r>
            <w:r w:rsidR="00733FBC" w:rsidRPr="00733FBC">
              <w:rPr>
                <w:iCs/>
                <w:color w:val="000000"/>
                <w:spacing w:val="1"/>
                <w:shd w:val="solid" w:color="000000" w:fill="000000"/>
                <w:fitText w:val="330" w:id="-663571968"/>
                <w14:textFill>
                  <w14:solidFill>
                    <w14:srgbClr w14:val="000000">
                      <w14:alpha w14:val="100000"/>
                    </w14:srgbClr>
                  </w14:solidFill>
                </w14:textFill>
              </w:rPr>
              <w:t>|</w:t>
            </w:r>
            <w:r w:rsidR="00BD6D35">
              <w:rPr>
                <w:b/>
                <w:bCs w:val="0"/>
                <w:iCs/>
              </w:rPr>
              <w:t xml:space="preserve"> </w:t>
            </w:r>
            <w:r w:rsidR="00BD6D35">
              <w:rPr>
                <w:b/>
                <w:bCs w:val="0"/>
                <w:iCs/>
                <w:vertAlign w:val="superscript"/>
              </w:rPr>
              <w:t>9</w:t>
            </w:r>
          </w:p>
        </w:tc>
        <w:tc>
          <w:tcPr>
            <w:tcW w:w="1079" w:type="dxa"/>
            <w:tcBorders>
              <w:top w:val="single" w:sz="4" w:space="0" w:color="auto"/>
              <w:left w:val="single" w:sz="4" w:space="0" w:color="auto"/>
              <w:bottom w:val="single" w:sz="4" w:space="0" w:color="auto"/>
              <w:right w:val="single" w:sz="4" w:space="0" w:color="auto"/>
            </w:tcBorders>
            <w:vAlign w:val="center"/>
            <w:hideMark/>
          </w:tcPr>
          <w:p w14:paraId="15FD0BF7" w14:textId="037531B4" w:rsidR="00EC05C4" w:rsidRPr="003B6D82" w:rsidRDefault="00EC05C4" w:rsidP="00870C64">
            <w:pPr>
              <w:pStyle w:val="COMTabletext"/>
              <w:keepNext w:val="0"/>
              <w:jc w:val="center"/>
              <w:rPr>
                <w:iCs/>
                <w:szCs w:val="22"/>
              </w:rPr>
            </w:pPr>
            <w:r w:rsidRPr="003B6D82">
              <w:rPr>
                <w:iCs/>
              </w:rPr>
              <w:t>+</w:t>
            </w:r>
            <w:r w:rsidR="00733FBC" w:rsidRPr="00733FBC">
              <w:rPr>
                <w:iCs/>
                <w:color w:val="000000"/>
                <w:spacing w:val="53"/>
                <w:shd w:val="solid" w:color="000000" w:fill="000000"/>
                <w:fitText w:val="330" w:id="-663571967"/>
                <w14:textFill>
                  <w14:solidFill>
                    <w14:srgbClr w14:val="000000">
                      <w14:alpha w14:val="100000"/>
                    </w14:srgbClr>
                  </w14:solidFill>
                </w14:textFill>
              </w:rPr>
              <w:t>|||</w:t>
            </w:r>
            <w:r w:rsidR="00733FBC" w:rsidRPr="00733FBC">
              <w:rPr>
                <w:iCs/>
                <w:color w:val="000000"/>
                <w:spacing w:val="1"/>
                <w:shd w:val="solid" w:color="000000" w:fill="000000"/>
                <w:fitText w:val="330" w:id="-663571967"/>
                <w14:textFill>
                  <w14:solidFill>
                    <w14:srgbClr w14:val="000000">
                      <w14:alpha w14:val="100000"/>
                    </w14:srgbClr>
                  </w14:solidFill>
                </w14:textFill>
              </w:rPr>
              <w:t>|</w:t>
            </w:r>
            <w:r w:rsidRPr="003B6D82">
              <w:rPr>
                <w:iCs/>
              </w:rPr>
              <w:t>%</w:t>
            </w:r>
          </w:p>
        </w:tc>
      </w:tr>
      <w:tr w:rsidR="00EC05C4" w:rsidRPr="003B6D82" w14:paraId="477DAD76" w14:textId="77777777" w:rsidTr="00051085">
        <w:trPr>
          <w:cantSplit/>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D5B885" w14:textId="77777777" w:rsidR="00EC05C4" w:rsidRPr="003B6D82" w:rsidRDefault="00EC05C4" w:rsidP="00870C64">
            <w:pPr>
              <w:pStyle w:val="COMTabletext"/>
              <w:keepNext w:val="0"/>
              <w:rPr>
                <w:iCs/>
              </w:rPr>
            </w:pPr>
            <w:r w:rsidRPr="003B6D82">
              <w:rPr>
                <w:iCs/>
              </w:rPr>
              <w:t xml:space="preserve">Scenario 2 (same transition probabilities as base case, assume third-line utility the same as supportive care utility, assume variable </w:t>
            </w:r>
            <w:proofErr w:type="spellStart"/>
            <w:r w:rsidRPr="003B6D82">
              <w:rPr>
                <w:iCs/>
              </w:rPr>
              <w:t>ruxolitinib</w:t>
            </w:r>
            <w:proofErr w:type="spellEnd"/>
            <w:r w:rsidRPr="003B6D82">
              <w:rPr>
                <w:iCs/>
              </w:rPr>
              <w:t xml:space="preserve"> dosing, correction of hospital overnight stays)</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14A061" w14:textId="6482B4D6" w:rsidR="00EC05C4" w:rsidRPr="003B6D82" w:rsidRDefault="00EC05C4" w:rsidP="00870C64">
            <w:pPr>
              <w:pStyle w:val="COMTabletext"/>
              <w:keepNext w:val="0"/>
              <w:jc w:val="center"/>
              <w:rPr>
                <w:iCs/>
              </w:rPr>
            </w:pPr>
            <w:r w:rsidRPr="003B6D82">
              <w:rPr>
                <w:iCs/>
              </w:rPr>
              <w:t>$</w:t>
            </w:r>
            <w:r w:rsidR="00733FBC" w:rsidRPr="00733FBC">
              <w:rPr>
                <w:iCs/>
                <w:color w:val="000000"/>
                <w:spacing w:val="49"/>
                <w:shd w:val="solid" w:color="000000" w:fill="000000"/>
                <w:fitText w:val="320" w:id="-663571966"/>
                <w14:textFill>
                  <w14:solidFill>
                    <w14:srgbClr w14:val="000000">
                      <w14:alpha w14:val="100000"/>
                    </w14:srgbClr>
                  </w14:solidFill>
                </w14:textFill>
              </w:rPr>
              <w:t>|||</w:t>
            </w:r>
            <w:r w:rsidR="00733FBC" w:rsidRPr="00733FBC">
              <w:rPr>
                <w:iCs/>
                <w:color w:val="000000"/>
                <w:spacing w:val="3"/>
                <w:shd w:val="solid" w:color="000000" w:fill="000000"/>
                <w:fitText w:val="320" w:id="-663571966"/>
                <w14:textFill>
                  <w14:solidFill>
                    <w14:srgbClr w14:val="000000">
                      <w14:alpha w14:val="100000"/>
                    </w14:srgbClr>
                  </w14:solidFill>
                </w14:textFill>
              </w:rPr>
              <w:t>|</w:t>
            </w:r>
          </w:p>
        </w:tc>
        <w:tc>
          <w:tcPr>
            <w:tcW w:w="1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598FD1" w14:textId="77777777" w:rsidR="00EC05C4" w:rsidRPr="003B6D82" w:rsidRDefault="00EC05C4" w:rsidP="00870C64">
            <w:pPr>
              <w:pStyle w:val="COMTabletext"/>
              <w:keepNext w:val="0"/>
              <w:jc w:val="center"/>
              <w:rPr>
                <w:iCs/>
              </w:rPr>
            </w:pPr>
            <w:r w:rsidRPr="003B6D82">
              <w:rPr>
                <w:iCs/>
              </w:rPr>
              <w:t>0.0978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EF11F4" w14:textId="52864D34" w:rsidR="00EC05C4" w:rsidRPr="003B6D82" w:rsidRDefault="00EC05C4" w:rsidP="00870C64">
            <w:pPr>
              <w:pStyle w:val="COMTabletext"/>
              <w:keepNext w:val="0"/>
              <w:jc w:val="center"/>
              <w:rPr>
                <w:iCs/>
              </w:rPr>
            </w:pPr>
            <w:r w:rsidRPr="003B6D82">
              <w:rPr>
                <w:iCs/>
              </w:rPr>
              <w:t>$</w:t>
            </w:r>
            <w:r w:rsidR="00733FBC" w:rsidRPr="00733FBC">
              <w:rPr>
                <w:iCs/>
                <w:color w:val="000000"/>
                <w:spacing w:val="53"/>
                <w:shd w:val="solid" w:color="000000" w:fill="000000"/>
                <w:fitText w:val="330" w:id="-663571965"/>
                <w14:textFill>
                  <w14:solidFill>
                    <w14:srgbClr w14:val="000000">
                      <w14:alpha w14:val="100000"/>
                    </w14:srgbClr>
                  </w14:solidFill>
                </w14:textFill>
              </w:rPr>
              <w:t>|||</w:t>
            </w:r>
            <w:r w:rsidR="00733FBC" w:rsidRPr="00733FBC">
              <w:rPr>
                <w:iCs/>
                <w:color w:val="000000"/>
                <w:spacing w:val="1"/>
                <w:shd w:val="solid" w:color="000000" w:fill="000000"/>
                <w:fitText w:val="330" w:id="-663571965"/>
                <w14:textFill>
                  <w14:solidFill>
                    <w14:srgbClr w14:val="000000">
                      <w14:alpha w14:val="100000"/>
                    </w14:srgbClr>
                  </w14:solidFill>
                </w14:textFill>
              </w:rPr>
              <w:t>|</w:t>
            </w:r>
            <w:r w:rsidR="00BD6D35">
              <w:rPr>
                <w:b/>
                <w:bCs w:val="0"/>
                <w:iCs/>
              </w:rPr>
              <w:t xml:space="preserve"> </w:t>
            </w:r>
            <w:r w:rsidR="00BD6D35">
              <w:rPr>
                <w:b/>
                <w:bCs w:val="0"/>
                <w:iCs/>
                <w:vertAlign w:val="superscript"/>
              </w:rPr>
              <w:t>9</w:t>
            </w:r>
          </w:p>
        </w:tc>
        <w:tc>
          <w:tcPr>
            <w:tcW w:w="1079" w:type="dxa"/>
            <w:tcBorders>
              <w:top w:val="single" w:sz="4" w:space="0" w:color="auto"/>
              <w:left w:val="single" w:sz="4" w:space="0" w:color="auto"/>
              <w:bottom w:val="single" w:sz="4" w:space="0" w:color="auto"/>
              <w:right w:val="single" w:sz="4" w:space="0" w:color="auto"/>
            </w:tcBorders>
            <w:vAlign w:val="center"/>
            <w:hideMark/>
          </w:tcPr>
          <w:p w14:paraId="5F908CFD" w14:textId="42B965FC" w:rsidR="00EC05C4" w:rsidRPr="003B6D82" w:rsidRDefault="00EC05C4" w:rsidP="00870C64">
            <w:pPr>
              <w:pStyle w:val="COMTabletext"/>
              <w:keepNext w:val="0"/>
              <w:jc w:val="center"/>
              <w:rPr>
                <w:iCs/>
                <w:szCs w:val="22"/>
              </w:rPr>
            </w:pPr>
            <w:r w:rsidRPr="003B6D82">
              <w:rPr>
                <w:iCs/>
              </w:rPr>
              <w:t>+</w:t>
            </w:r>
            <w:r w:rsidR="00733FBC" w:rsidRPr="00733FBC">
              <w:rPr>
                <w:iCs/>
                <w:color w:val="000000"/>
                <w:spacing w:val="53"/>
                <w:shd w:val="solid" w:color="000000" w:fill="000000"/>
                <w:fitText w:val="330" w:id="-663571964"/>
                <w14:textFill>
                  <w14:solidFill>
                    <w14:srgbClr w14:val="000000">
                      <w14:alpha w14:val="100000"/>
                    </w14:srgbClr>
                  </w14:solidFill>
                </w14:textFill>
              </w:rPr>
              <w:t>|||</w:t>
            </w:r>
            <w:r w:rsidR="00733FBC" w:rsidRPr="00733FBC">
              <w:rPr>
                <w:iCs/>
                <w:color w:val="000000"/>
                <w:spacing w:val="1"/>
                <w:shd w:val="solid" w:color="000000" w:fill="000000"/>
                <w:fitText w:val="330" w:id="-663571964"/>
                <w14:textFill>
                  <w14:solidFill>
                    <w14:srgbClr w14:val="000000">
                      <w14:alpha w14:val="100000"/>
                    </w14:srgbClr>
                  </w14:solidFill>
                </w14:textFill>
              </w:rPr>
              <w:t>|</w:t>
            </w:r>
            <w:r w:rsidRPr="003B6D82">
              <w:rPr>
                <w:iCs/>
              </w:rPr>
              <w:t>%</w:t>
            </w:r>
          </w:p>
        </w:tc>
      </w:tr>
      <w:tr w:rsidR="00EC05C4" w:rsidRPr="003B6D82" w14:paraId="21BF6827" w14:textId="77777777" w:rsidTr="00051085">
        <w:trPr>
          <w:cantSplit/>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7462C1" w14:textId="77777777" w:rsidR="00EC05C4" w:rsidRPr="00592A0F" w:rsidRDefault="00EC05C4" w:rsidP="00870C64">
            <w:pPr>
              <w:pStyle w:val="COMTabletext"/>
              <w:keepNext w:val="0"/>
              <w:rPr>
                <w:iCs/>
              </w:rPr>
            </w:pPr>
            <w:r w:rsidRPr="00592A0F">
              <w:rPr>
                <w:iCs/>
              </w:rPr>
              <w:t xml:space="preserve">Scenario 3 (TTD estimates dependent on response for individual treatment arms, allow </w:t>
            </w:r>
            <w:proofErr w:type="spellStart"/>
            <w:r w:rsidRPr="00592A0F">
              <w:rPr>
                <w:iCs/>
              </w:rPr>
              <w:t>ruxolitinib</w:t>
            </w:r>
            <w:proofErr w:type="spellEnd"/>
            <w:r w:rsidRPr="00592A0F">
              <w:rPr>
                <w:iCs/>
              </w:rPr>
              <w:t xml:space="preserve"> switching after </w:t>
            </w:r>
            <w:proofErr w:type="spellStart"/>
            <w:r w:rsidRPr="00592A0F">
              <w:rPr>
                <w:iCs/>
              </w:rPr>
              <w:t>fedratinib</w:t>
            </w:r>
            <w:proofErr w:type="spellEnd"/>
            <w:r w:rsidRPr="00592A0F">
              <w:rPr>
                <w:iCs/>
              </w:rPr>
              <w:t xml:space="preserve">, assume variable </w:t>
            </w:r>
            <w:proofErr w:type="spellStart"/>
            <w:r w:rsidRPr="00592A0F">
              <w:rPr>
                <w:iCs/>
              </w:rPr>
              <w:t>ruxolitinib</w:t>
            </w:r>
            <w:proofErr w:type="spellEnd"/>
            <w:r w:rsidRPr="00592A0F">
              <w:rPr>
                <w:iCs/>
              </w:rPr>
              <w:t xml:space="preserve"> dosing, correction of hospital overnight stays)</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FD6C9D" w14:textId="11C202EA" w:rsidR="00EC05C4" w:rsidRPr="00592A0F" w:rsidRDefault="00EC05C4" w:rsidP="00870C64">
            <w:pPr>
              <w:pStyle w:val="COMTabletext"/>
              <w:keepNext w:val="0"/>
              <w:jc w:val="center"/>
              <w:rPr>
                <w:iCs/>
              </w:rPr>
            </w:pPr>
            <w:r w:rsidRPr="00592A0F">
              <w:rPr>
                <w:iCs/>
              </w:rPr>
              <w:t>$</w:t>
            </w:r>
            <w:r w:rsidR="00733FBC" w:rsidRPr="00733FBC">
              <w:rPr>
                <w:iCs/>
                <w:color w:val="000000"/>
                <w:spacing w:val="49"/>
                <w:shd w:val="solid" w:color="000000" w:fill="000000"/>
                <w:fitText w:val="320" w:id="-663571963"/>
                <w14:textFill>
                  <w14:solidFill>
                    <w14:srgbClr w14:val="000000">
                      <w14:alpha w14:val="100000"/>
                    </w14:srgbClr>
                  </w14:solidFill>
                </w14:textFill>
              </w:rPr>
              <w:t>|||</w:t>
            </w:r>
            <w:r w:rsidR="00733FBC" w:rsidRPr="00733FBC">
              <w:rPr>
                <w:iCs/>
                <w:color w:val="000000"/>
                <w:spacing w:val="3"/>
                <w:shd w:val="solid" w:color="000000" w:fill="000000"/>
                <w:fitText w:val="320" w:id="-663571963"/>
                <w14:textFill>
                  <w14:solidFill>
                    <w14:srgbClr w14:val="000000">
                      <w14:alpha w14:val="100000"/>
                    </w14:srgbClr>
                  </w14:solidFill>
                </w14:textFill>
              </w:rPr>
              <w:t>|</w:t>
            </w:r>
          </w:p>
        </w:tc>
        <w:tc>
          <w:tcPr>
            <w:tcW w:w="1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3CAF74" w14:textId="77777777" w:rsidR="00EC05C4" w:rsidRPr="00592A0F" w:rsidRDefault="00EC05C4" w:rsidP="00870C64">
            <w:pPr>
              <w:pStyle w:val="COMTabletext"/>
              <w:keepNext w:val="0"/>
              <w:jc w:val="center"/>
              <w:rPr>
                <w:iCs/>
              </w:rPr>
            </w:pPr>
            <w:r w:rsidRPr="00592A0F">
              <w:rPr>
                <w:iCs/>
              </w:rPr>
              <w:t>0.1046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23EF0D" w14:textId="0525EC74" w:rsidR="00EC05C4" w:rsidRPr="00592A0F" w:rsidRDefault="00EC05C4" w:rsidP="00870C64">
            <w:pPr>
              <w:pStyle w:val="COMTabletext"/>
              <w:keepNext w:val="0"/>
              <w:jc w:val="center"/>
              <w:rPr>
                <w:iCs/>
              </w:rPr>
            </w:pPr>
            <w:r w:rsidRPr="00592A0F">
              <w:rPr>
                <w:iCs/>
              </w:rPr>
              <w:t>$</w:t>
            </w:r>
            <w:r w:rsidR="00733FBC" w:rsidRPr="00733FBC">
              <w:rPr>
                <w:iCs/>
                <w:color w:val="000000"/>
                <w:spacing w:val="53"/>
                <w:shd w:val="solid" w:color="000000" w:fill="000000"/>
                <w:fitText w:val="330" w:id="-663571962"/>
                <w14:textFill>
                  <w14:solidFill>
                    <w14:srgbClr w14:val="000000">
                      <w14:alpha w14:val="100000"/>
                    </w14:srgbClr>
                  </w14:solidFill>
                </w14:textFill>
              </w:rPr>
              <w:t>|||</w:t>
            </w:r>
            <w:r w:rsidR="00733FBC" w:rsidRPr="00733FBC">
              <w:rPr>
                <w:iCs/>
                <w:color w:val="000000"/>
                <w:spacing w:val="1"/>
                <w:shd w:val="solid" w:color="000000" w:fill="000000"/>
                <w:fitText w:val="330" w:id="-663571962"/>
                <w14:textFill>
                  <w14:solidFill>
                    <w14:srgbClr w14:val="000000">
                      <w14:alpha w14:val="100000"/>
                    </w14:srgbClr>
                  </w14:solidFill>
                </w14:textFill>
              </w:rPr>
              <w:t>|</w:t>
            </w:r>
            <w:r w:rsidR="00BD6D35">
              <w:rPr>
                <w:b/>
                <w:bCs w:val="0"/>
                <w:iCs/>
              </w:rPr>
              <w:t xml:space="preserve"> </w:t>
            </w:r>
            <w:r w:rsidR="00BD6D35">
              <w:rPr>
                <w:b/>
                <w:bCs w:val="0"/>
                <w:iCs/>
                <w:vertAlign w:val="superscript"/>
              </w:rPr>
              <w:t>9</w:t>
            </w:r>
          </w:p>
        </w:tc>
        <w:tc>
          <w:tcPr>
            <w:tcW w:w="1079" w:type="dxa"/>
            <w:tcBorders>
              <w:top w:val="single" w:sz="4" w:space="0" w:color="auto"/>
              <w:left w:val="single" w:sz="4" w:space="0" w:color="auto"/>
              <w:bottom w:val="single" w:sz="4" w:space="0" w:color="auto"/>
              <w:right w:val="single" w:sz="4" w:space="0" w:color="auto"/>
            </w:tcBorders>
            <w:vAlign w:val="center"/>
            <w:hideMark/>
          </w:tcPr>
          <w:p w14:paraId="63968D81" w14:textId="3D0D6BE6" w:rsidR="00EC05C4" w:rsidRPr="00592A0F" w:rsidRDefault="00EC05C4" w:rsidP="00870C64">
            <w:pPr>
              <w:pStyle w:val="COMTabletext"/>
              <w:keepNext w:val="0"/>
              <w:jc w:val="center"/>
              <w:rPr>
                <w:iCs/>
                <w:szCs w:val="22"/>
              </w:rPr>
            </w:pPr>
            <w:r w:rsidRPr="00592A0F">
              <w:rPr>
                <w:iCs/>
              </w:rPr>
              <w:t>+</w:t>
            </w:r>
            <w:r w:rsidR="00733FBC" w:rsidRPr="00733FBC">
              <w:rPr>
                <w:iCs/>
                <w:color w:val="000000"/>
                <w:spacing w:val="53"/>
                <w:shd w:val="solid" w:color="000000" w:fill="000000"/>
                <w:fitText w:val="330" w:id="-663571961"/>
                <w14:textFill>
                  <w14:solidFill>
                    <w14:srgbClr w14:val="000000">
                      <w14:alpha w14:val="100000"/>
                    </w14:srgbClr>
                  </w14:solidFill>
                </w14:textFill>
              </w:rPr>
              <w:t>|||</w:t>
            </w:r>
            <w:r w:rsidR="00733FBC" w:rsidRPr="00733FBC">
              <w:rPr>
                <w:iCs/>
                <w:color w:val="000000"/>
                <w:spacing w:val="1"/>
                <w:shd w:val="solid" w:color="000000" w:fill="000000"/>
                <w:fitText w:val="330" w:id="-663571961"/>
                <w14:textFill>
                  <w14:solidFill>
                    <w14:srgbClr w14:val="000000">
                      <w14:alpha w14:val="100000"/>
                    </w14:srgbClr>
                  </w14:solidFill>
                </w14:textFill>
              </w:rPr>
              <w:t>|</w:t>
            </w:r>
            <w:r w:rsidRPr="00592A0F">
              <w:rPr>
                <w:iCs/>
              </w:rPr>
              <w:t>%</w:t>
            </w:r>
          </w:p>
        </w:tc>
      </w:tr>
      <w:tr w:rsidR="00EC05C4" w:rsidRPr="003B6D82" w14:paraId="2EC6E9C0" w14:textId="77777777" w:rsidTr="00051085">
        <w:trPr>
          <w:cantSplit/>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0B7549" w14:textId="77777777" w:rsidR="00EC05C4" w:rsidRPr="003B6D82" w:rsidRDefault="00EC05C4" w:rsidP="00870C64">
            <w:pPr>
              <w:pStyle w:val="COMTabletext"/>
              <w:keepNext w:val="0"/>
              <w:rPr>
                <w:iCs/>
              </w:rPr>
            </w:pPr>
            <w:r w:rsidRPr="003B6D82">
              <w:rPr>
                <w:iCs/>
              </w:rPr>
              <w:t xml:space="preserve">Scenario 4 (TTD estimates dependent on response for individual treatment arms, assume third-line utility the same as supportive care utility, assume variable </w:t>
            </w:r>
            <w:proofErr w:type="spellStart"/>
            <w:r w:rsidRPr="003B6D82">
              <w:rPr>
                <w:iCs/>
              </w:rPr>
              <w:t>ruxolitinib</w:t>
            </w:r>
            <w:proofErr w:type="spellEnd"/>
            <w:r w:rsidRPr="003B6D82">
              <w:rPr>
                <w:iCs/>
              </w:rPr>
              <w:t xml:space="preserve"> dosing, correction of hospital overnight stays)</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9F588C" w14:textId="3DCA258E" w:rsidR="00EC05C4" w:rsidRPr="003B6D82" w:rsidRDefault="00EC05C4" w:rsidP="00870C64">
            <w:pPr>
              <w:pStyle w:val="COMTabletext"/>
              <w:keepNext w:val="0"/>
              <w:jc w:val="center"/>
              <w:rPr>
                <w:iCs/>
              </w:rPr>
            </w:pPr>
            <w:r w:rsidRPr="003B6D82">
              <w:rPr>
                <w:iCs/>
              </w:rPr>
              <w:t>$</w:t>
            </w:r>
            <w:r w:rsidR="00733FBC" w:rsidRPr="00733FBC">
              <w:rPr>
                <w:iCs/>
                <w:color w:val="000000"/>
                <w:spacing w:val="49"/>
                <w:shd w:val="solid" w:color="000000" w:fill="000000"/>
                <w:fitText w:val="320" w:id="-663571960"/>
                <w14:textFill>
                  <w14:solidFill>
                    <w14:srgbClr w14:val="000000">
                      <w14:alpha w14:val="100000"/>
                    </w14:srgbClr>
                  </w14:solidFill>
                </w14:textFill>
              </w:rPr>
              <w:t>|||</w:t>
            </w:r>
            <w:r w:rsidR="00733FBC" w:rsidRPr="00733FBC">
              <w:rPr>
                <w:iCs/>
                <w:color w:val="000000"/>
                <w:spacing w:val="3"/>
                <w:shd w:val="solid" w:color="000000" w:fill="000000"/>
                <w:fitText w:val="320" w:id="-663571960"/>
                <w14:textFill>
                  <w14:solidFill>
                    <w14:srgbClr w14:val="000000">
                      <w14:alpha w14:val="100000"/>
                    </w14:srgbClr>
                  </w14:solidFill>
                </w14:textFill>
              </w:rPr>
              <w:t>|</w:t>
            </w:r>
          </w:p>
        </w:tc>
        <w:tc>
          <w:tcPr>
            <w:tcW w:w="1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14C356" w14:textId="77777777" w:rsidR="00EC05C4" w:rsidRPr="003B6D82" w:rsidRDefault="00EC05C4" w:rsidP="00870C64">
            <w:pPr>
              <w:pStyle w:val="COMTabletext"/>
              <w:keepNext w:val="0"/>
              <w:jc w:val="center"/>
              <w:rPr>
                <w:iCs/>
              </w:rPr>
            </w:pPr>
            <w:r w:rsidRPr="003B6D82">
              <w:rPr>
                <w:iCs/>
              </w:rPr>
              <w:t>0.0415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9670DE" w14:textId="4654C7C4" w:rsidR="00EC05C4" w:rsidRPr="003B6D82" w:rsidRDefault="00EC05C4" w:rsidP="00870C64">
            <w:pPr>
              <w:pStyle w:val="COMTabletext"/>
              <w:keepNext w:val="0"/>
              <w:jc w:val="center"/>
              <w:rPr>
                <w:iCs/>
              </w:rPr>
            </w:pPr>
            <w:r w:rsidRPr="003B6D82">
              <w:rPr>
                <w:iCs/>
              </w:rPr>
              <w:t>$</w:t>
            </w:r>
            <w:r w:rsidR="00733FBC" w:rsidRPr="00733FBC">
              <w:rPr>
                <w:iCs/>
                <w:color w:val="000000"/>
                <w:spacing w:val="53"/>
                <w:shd w:val="solid" w:color="000000" w:fill="000000"/>
                <w:fitText w:val="330" w:id="-663571959"/>
                <w14:textFill>
                  <w14:solidFill>
                    <w14:srgbClr w14:val="000000">
                      <w14:alpha w14:val="100000"/>
                    </w14:srgbClr>
                  </w14:solidFill>
                </w14:textFill>
              </w:rPr>
              <w:t>|||</w:t>
            </w:r>
            <w:r w:rsidR="00733FBC" w:rsidRPr="00733FBC">
              <w:rPr>
                <w:iCs/>
                <w:color w:val="000000"/>
                <w:spacing w:val="1"/>
                <w:shd w:val="solid" w:color="000000" w:fill="000000"/>
                <w:fitText w:val="330" w:id="-663571959"/>
                <w14:textFill>
                  <w14:solidFill>
                    <w14:srgbClr w14:val="000000">
                      <w14:alpha w14:val="100000"/>
                    </w14:srgbClr>
                  </w14:solidFill>
                </w14:textFill>
              </w:rPr>
              <w:t>|</w:t>
            </w:r>
            <w:r w:rsidR="00BD6D35">
              <w:rPr>
                <w:b/>
                <w:bCs w:val="0"/>
                <w:iCs/>
              </w:rPr>
              <w:t xml:space="preserve"> </w:t>
            </w:r>
            <w:r w:rsidR="00BD6D35">
              <w:rPr>
                <w:b/>
                <w:bCs w:val="0"/>
                <w:iCs/>
                <w:vertAlign w:val="superscript"/>
              </w:rPr>
              <w:t>9</w:t>
            </w:r>
          </w:p>
        </w:tc>
        <w:tc>
          <w:tcPr>
            <w:tcW w:w="1079" w:type="dxa"/>
            <w:tcBorders>
              <w:top w:val="single" w:sz="4" w:space="0" w:color="auto"/>
              <w:left w:val="single" w:sz="4" w:space="0" w:color="auto"/>
              <w:bottom w:val="single" w:sz="4" w:space="0" w:color="auto"/>
              <w:right w:val="single" w:sz="4" w:space="0" w:color="auto"/>
            </w:tcBorders>
            <w:vAlign w:val="center"/>
            <w:hideMark/>
          </w:tcPr>
          <w:p w14:paraId="0E74B816" w14:textId="4CDD1339" w:rsidR="00EC05C4" w:rsidRPr="003B6D82" w:rsidRDefault="00EC05C4" w:rsidP="00870C64">
            <w:pPr>
              <w:pStyle w:val="COMTabletext"/>
              <w:keepNext w:val="0"/>
              <w:jc w:val="center"/>
              <w:rPr>
                <w:iCs/>
                <w:szCs w:val="22"/>
              </w:rPr>
            </w:pPr>
            <w:r w:rsidRPr="003B6D82">
              <w:rPr>
                <w:iCs/>
              </w:rPr>
              <w:t>+</w:t>
            </w:r>
            <w:r w:rsidR="00733FBC" w:rsidRPr="005273DF">
              <w:rPr>
                <w:iCs/>
                <w:color w:val="000000"/>
                <w:spacing w:val="53"/>
                <w:shd w:val="solid" w:color="000000" w:fill="000000"/>
                <w:fitText w:val="330" w:id="-663571958"/>
                <w14:textFill>
                  <w14:solidFill>
                    <w14:srgbClr w14:val="000000">
                      <w14:alpha w14:val="100000"/>
                    </w14:srgbClr>
                  </w14:solidFill>
                </w14:textFill>
              </w:rPr>
              <w:t>|||</w:t>
            </w:r>
            <w:r w:rsidR="00733FBC" w:rsidRPr="005273DF">
              <w:rPr>
                <w:iCs/>
                <w:color w:val="000000"/>
                <w:spacing w:val="1"/>
                <w:shd w:val="solid" w:color="000000" w:fill="000000"/>
                <w:fitText w:val="330" w:id="-663571958"/>
                <w14:textFill>
                  <w14:solidFill>
                    <w14:srgbClr w14:val="000000">
                      <w14:alpha w14:val="100000"/>
                    </w14:srgbClr>
                  </w14:solidFill>
                </w14:textFill>
              </w:rPr>
              <w:t>|</w:t>
            </w:r>
            <w:r w:rsidRPr="003B6D82">
              <w:rPr>
                <w:iCs/>
              </w:rPr>
              <w:t>%</w:t>
            </w:r>
          </w:p>
        </w:tc>
      </w:tr>
    </w:tbl>
    <w:p w14:paraId="200248B6" w14:textId="77777777" w:rsidR="00EC05C4" w:rsidRPr="003B6D82" w:rsidRDefault="00EC05C4" w:rsidP="00E42851">
      <w:pPr>
        <w:pStyle w:val="COMTablefooter"/>
        <w:spacing w:after="0"/>
        <w:rPr>
          <w:iCs/>
        </w:rPr>
      </w:pPr>
      <w:r w:rsidRPr="003B6D82">
        <w:rPr>
          <w:iCs/>
        </w:rPr>
        <w:t xml:space="preserve">Source: Table 82, p146 of the submission; ‘Attachment 11 – </w:t>
      </w:r>
      <w:proofErr w:type="spellStart"/>
      <w:r w:rsidRPr="003B6D82">
        <w:rPr>
          <w:iCs/>
        </w:rPr>
        <w:t>Fedratinib</w:t>
      </w:r>
      <w:proofErr w:type="spellEnd"/>
      <w:r w:rsidRPr="003B6D82">
        <w:rPr>
          <w:iCs/>
        </w:rPr>
        <w:t xml:space="preserve"> economic model’ spreadsheet provided with the submission.</w:t>
      </w:r>
    </w:p>
    <w:p w14:paraId="12AC3F6B" w14:textId="77777777" w:rsidR="00EC05C4" w:rsidRPr="003B6D82" w:rsidRDefault="00EC05C4" w:rsidP="00E42851">
      <w:pPr>
        <w:pStyle w:val="COMTablefooter"/>
        <w:spacing w:after="0"/>
        <w:rPr>
          <w:iCs/>
        </w:rPr>
      </w:pPr>
      <w:r w:rsidRPr="003B6D82">
        <w:rPr>
          <w:iCs/>
        </w:rPr>
        <w:t>Abbreviations: BAT, best available therapy; DPMQ, dispensed price for maximum quantity; ICER, incremental cost-effectiveness ratio; KM, Kaplan-Meier; QALY, quality-adjusted life year; TTD, time to treatment discontinuation.</w:t>
      </w:r>
    </w:p>
    <w:p w14:paraId="3DB1CB2B" w14:textId="77777777" w:rsidR="00E42851" w:rsidRDefault="00EC05C4" w:rsidP="009D515C">
      <w:pPr>
        <w:pStyle w:val="COMTablefooter"/>
        <w:spacing w:after="0"/>
        <w:rPr>
          <w:i/>
          <w:szCs w:val="18"/>
        </w:rPr>
      </w:pPr>
      <w:r w:rsidRPr="00E42851">
        <w:rPr>
          <w:snapToGrid/>
          <w:vertAlign w:val="superscript"/>
        </w:rPr>
        <w:t>a</w:t>
      </w:r>
      <w:r w:rsidRPr="008D5F2E">
        <w:rPr>
          <w:snapToGrid/>
        </w:rPr>
        <w:t xml:space="preserve"> Baseline 0.641; second-line responders 0.810; second-line non-responders 0.693</w:t>
      </w:r>
      <w:r w:rsidRPr="008D0BB5">
        <w:t>.</w:t>
      </w:r>
      <w:r w:rsidR="008D5F2E" w:rsidRPr="008D5F2E">
        <w:rPr>
          <w:i/>
          <w:szCs w:val="18"/>
        </w:rPr>
        <w:t xml:space="preserve"> </w:t>
      </w:r>
    </w:p>
    <w:p w14:paraId="002A7308" w14:textId="3FF1E382" w:rsidR="008D5F2E" w:rsidRPr="009A6D58" w:rsidRDefault="008D5F2E" w:rsidP="008D5F2E">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78B9C25" w14:textId="0E16BB5A" w:rsidR="008D5F2E" w:rsidRPr="009A6D58" w:rsidRDefault="008D5F2E" w:rsidP="008D5F2E">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6322DD" w:rsidRPr="00CD3628">
        <w:rPr>
          <w:rFonts w:ascii="Arial Narrow" w:hAnsi="Arial Narrow"/>
          <w:i/>
          <w:sz w:val="18"/>
          <w:szCs w:val="18"/>
        </w:rPr>
        <w:t>$55,000 to &lt; $75,000</w:t>
      </w:r>
    </w:p>
    <w:p w14:paraId="41F23805" w14:textId="5CA66CA6" w:rsidR="008D5F2E" w:rsidRPr="009A6D58" w:rsidRDefault="008D5F2E" w:rsidP="008D5F2E">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6322DD" w:rsidRPr="00E96702">
        <w:rPr>
          <w:rFonts w:ascii="Arial Narrow" w:hAnsi="Arial Narrow"/>
          <w:i/>
          <w:sz w:val="18"/>
          <w:szCs w:val="18"/>
        </w:rPr>
        <w:t>$75,000 to &lt; $95,000</w:t>
      </w:r>
    </w:p>
    <w:p w14:paraId="045BF45B" w14:textId="7A215E4F" w:rsidR="008D5F2E" w:rsidRDefault="008D5F2E" w:rsidP="008D5F2E">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1E2822" w:rsidRPr="001E2822">
        <w:rPr>
          <w:rFonts w:ascii="Arial Narrow" w:hAnsi="Arial Narrow"/>
          <w:i/>
          <w:sz w:val="18"/>
          <w:szCs w:val="18"/>
        </w:rPr>
        <w:t>$95,000 to &lt; $115,000</w:t>
      </w:r>
    </w:p>
    <w:p w14:paraId="56BA070C" w14:textId="1034734F" w:rsidR="008D5F2E" w:rsidRDefault="008D5F2E" w:rsidP="008D5F2E">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FB5570" w:rsidRPr="00FB5570">
        <w:rPr>
          <w:rFonts w:ascii="Arial Narrow" w:hAnsi="Arial Narrow"/>
          <w:i/>
          <w:sz w:val="18"/>
          <w:szCs w:val="18"/>
        </w:rPr>
        <w:t>$155,000 to &lt; $255,000</w:t>
      </w:r>
    </w:p>
    <w:p w14:paraId="39AD35D8" w14:textId="6020FE0B" w:rsidR="008D5F2E" w:rsidRDefault="008D5F2E" w:rsidP="008D5F2E">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3244BE" w:rsidRPr="003244BE">
        <w:rPr>
          <w:rFonts w:ascii="Arial Narrow" w:hAnsi="Arial Narrow"/>
          <w:i/>
          <w:sz w:val="18"/>
          <w:szCs w:val="18"/>
        </w:rPr>
        <w:t>$25,000 to &lt; $35,000</w:t>
      </w:r>
    </w:p>
    <w:p w14:paraId="44F77B2E" w14:textId="597F60A6" w:rsidR="008D5F2E" w:rsidRDefault="008D5F2E" w:rsidP="008D5F2E">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9074C3" w:rsidRPr="009074C3">
        <w:rPr>
          <w:rFonts w:ascii="Arial Narrow" w:hAnsi="Arial Narrow"/>
          <w:i/>
          <w:sz w:val="18"/>
          <w:szCs w:val="18"/>
        </w:rPr>
        <w:t>$45,000 to &lt; $55,000</w:t>
      </w:r>
    </w:p>
    <w:p w14:paraId="653D7A23" w14:textId="1EB814DF" w:rsidR="008D5F2E" w:rsidRPr="009A6D58" w:rsidRDefault="008D5F2E" w:rsidP="008D5F2E">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40534D" w:rsidRPr="0040534D">
        <w:rPr>
          <w:rFonts w:ascii="Arial Narrow" w:hAnsi="Arial Narrow"/>
          <w:i/>
          <w:sz w:val="18"/>
          <w:szCs w:val="18"/>
        </w:rPr>
        <w:t>$115,000 to &lt; $135,000</w:t>
      </w:r>
    </w:p>
    <w:p w14:paraId="0283762C" w14:textId="2F53D9FE" w:rsidR="008D5F2E" w:rsidRPr="009A6D58" w:rsidRDefault="008D5F2E" w:rsidP="008D5F2E">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0089138B" w:rsidRPr="0089138B">
        <w:rPr>
          <w:rFonts w:ascii="Arial Narrow" w:hAnsi="Arial Narrow"/>
          <w:i/>
          <w:sz w:val="18"/>
          <w:szCs w:val="18"/>
        </w:rPr>
        <w:t>$135,000 to &lt; $155,000</w:t>
      </w:r>
    </w:p>
    <w:p w14:paraId="6DBA2373" w14:textId="466D4232" w:rsidR="008D5F2E" w:rsidRPr="008D5F2E" w:rsidRDefault="008D5F2E" w:rsidP="008D5F2E">
      <w:pPr>
        <w:spacing w:after="120"/>
      </w:pPr>
      <w:r>
        <w:rPr>
          <w:rFonts w:ascii="Arial Narrow" w:hAnsi="Arial Narrow"/>
          <w:i/>
          <w:sz w:val="18"/>
          <w:szCs w:val="18"/>
          <w:vertAlign w:val="superscript"/>
        </w:rPr>
        <w:t>9</w:t>
      </w:r>
      <w:r>
        <w:rPr>
          <w:rFonts w:ascii="Arial Narrow" w:hAnsi="Arial Narrow"/>
          <w:i/>
          <w:sz w:val="18"/>
          <w:szCs w:val="18"/>
        </w:rPr>
        <w:t xml:space="preserve"> </w:t>
      </w:r>
      <w:r w:rsidR="006322DD" w:rsidRPr="006322DD">
        <w:rPr>
          <w:rFonts w:ascii="Arial Narrow" w:hAnsi="Arial Narrow"/>
          <w:i/>
          <w:sz w:val="18"/>
          <w:szCs w:val="18"/>
        </w:rPr>
        <w:t>$255,000 to &lt; $355,000</w:t>
      </w:r>
    </w:p>
    <w:p w14:paraId="77B9BFFB" w14:textId="77777777" w:rsidR="0083726D" w:rsidRPr="005468A2" w:rsidRDefault="00EC05C4" w:rsidP="00D220CE">
      <w:pPr>
        <w:pStyle w:val="COMexecsummnumbered"/>
        <w:numPr>
          <w:ilvl w:val="1"/>
          <w:numId w:val="3"/>
        </w:numPr>
        <w:rPr>
          <w:iCs/>
        </w:rPr>
      </w:pPr>
      <w:r w:rsidRPr="008D0BB5">
        <w:rPr>
          <w:iCs/>
        </w:rPr>
        <w:t xml:space="preserve">The results of the sensitivity analyses indicate that the model is most sensitive to assumptions </w:t>
      </w:r>
      <w:r w:rsidRPr="005468A2">
        <w:rPr>
          <w:iCs/>
        </w:rPr>
        <w:t xml:space="preserve">regarding third-line treatment (including the potential for </w:t>
      </w:r>
      <w:proofErr w:type="spellStart"/>
      <w:r w:rsidRPr="005468A2">
        <w:rPr>
          <w:iCs/>
        </w:rPr>
        <w:t>fedratinib</w:t>
      </w:r>
      <w:proofErr w:type="spellEnd"/>
      <w:r w:rsidRPr="005468A2">
        <w:rPr>
          <w:iCs/>
        </w:rPr>
        <w:t xml:space="preserve"> patients to switch back to </w:t>
      </w:r>
      <w:proofErr w:type="spellStart"/>
      <w:r w:rsidRPr="005468A2">
        <w:rPr>
          <w:iCs/>
        </w:rPr>
        <w:t>ruxolitinib</w:t>
      </w:r>
      <w:proofErr w:type="spellEnd"/>
      <w:r w:rsidRPr="005468A2">
        <w:rPr>
          <w:iCs/>
        </w:rPr>
        <w:t xml:space="preserve">), time to treatment discontinuation, utility values for baseline, third-line therapy and supportive care, </w:t>
      </w:r>
      <w:proofErr w:type="spellStart"/>
      <w:r w:rsidRPr="005468A2">
        <w:rPr>
          <w:iCs/>
        </w:rPr>
        <w:t>ruxolitinib</w:t>
      </w:r>
      <w:proofErr w:type="spellEnd"/>
      <w:r w:rsidRPr="005468A2">
        <w:rPr>
          <w:iCs/>
        </w:rPr>
        <w:t xml:space="preserve"> dosing and the correction of costs associated with a hospital overnight stay.</w:t>
      </w:r>
    </w:p>
    <w:p w14:paraId="2DC7E9A8" w14:textId="15BCA4AD" w:rsidR="004A448E" w:rsidRPr="005468A2" w:rsidRDefault="004A448E" w:rsidP="00DD3A47">
      <w:pPr>
        <w:pStyle w:val="COMexecsummnumbered"/>
        <w:numPr>
          <w:ilvl w:val="1"/>
          <w:numId w:val="3"/>
        </w:numPr>
        <w:rPr>
          <w:iCs/>
        </w:rPr>
      </w:pPr>
      <w:r w:rsidRPr="005468A2">
        <w:rPr>
          <w:iCs/>
        </w:rPr>
        <w:t xml:space="preserve">The ESC noted that while the structure of the economic model may be reasonable, multiple key inputs were uncertain and likely favour </w:t>
      </w:r>
      <w:proofErr w:type="spellStart"/>
      <w:r w:rsidRPr="005468A2">
        <w:rPr>
          <w:iCs/>
        </w:rPr>
        <w:t>fedratinib</w:t>
      </w:r>
      <w:proofErr w:type="spellEnd"/>
      <w:r w:rsidRPr="005468A2">
        <w:rPr>
          <w:iCs/>
        </w:rPr>
        <w:t xml:space="preserve">, and the ICER was sensitive to these inputs. The ESC considered key inputs remained of significant concern, including the disparity between treatment discontinuations in the BAT arm of the clinical trials (16.4% at 24 weeks) and modelled value (50.4% at 24 weeks), use of subsequent line therapies and adverse events. The ESC noted multivariate sensitivity analysis scenario 3 considered TTD estimates dependent on response for individual treatment arms, allowed </w:t>
      </w:r>
      <w:proofErr w:type="spellStart"/>
      <w:r w:rsidRPr="005468A2">
        <w:rPr>
          <w:iCs/>
        </w:rPr>
        <w:t>ruxolitinib</w:t>
      </w:r>
      <w:proofErr w:type="spellEnd"/>
      <w:r w:rsidRPr="005468A2">
        <w:rPr>
          <w:iCs/>
        </w:rPr>
        <w:t xml:space="preserve"> treatment in third line therapy, and </w:t>
      </w:r>
      <w:r w:rsidRPr="005468A2">
        <w:rPr>
          <w:iCs/>
        </w:rPr>
        <w:lastRenderedPageBreak/>
        <w:t xml:space="preserve">included the changes to </w:t>
      </w:r>
      <w:proofErr w:type="spellStart"/>
      <w:r w:rsidRPr="005468A2">
        <w:rPr>
          <w:iCs/>
        </w:rPr>
        <w:t>ruxolitinib</w:t>
      </w:r>
      <w:proofErr w:type="spellEnd"/>
      <w:r w:rsidRPr="005468A2">
        <w:rPr>
          <w:iCs/>
        </w:rPr>
        <w:t xml:space="preserve"> costs/dosing and hospital overnight stay costs, and considered this to be the most reliable scenario for the economic model, with a resultant ICER of </w:t>
      </w:r>
      <w:r w:rsidR="003B420D" w:rsidRPr="003B420D">
        <w:rPr>
          <w:iCs/>
        </w:rPr>
        <w:t>$255,000 to &lt; $355,000</w:t>
      </w:r>
      <w:r w:rsidR="003B420D">
        <w:rPr>
          <w:iCs/>
        </w:rPr>
        <w:t xml:space="preserve"> </w:t>
      </w:r>
      <w:r w:rsidRPr="005468A2">
        <w:rPr>
          <w:iCs/>
        </w:rPr>
        <w:t xml:space="preserve">(based on </w:t>
      </w:r>
      <w:r w:rsidR="00583DA0">
        <w:rPr>
          <w:iCs/>
        </w:rPr>
        <w:t>assumed effective</w:t>
      </w:r>
      <w:r w:rsidR="00BA69E9" w:rsidRPr="005468A2">
        <w:rPr>
          <w:iCs/>
        </w:rPr>
        <w:t xml:space="preserve"> </w:t>
      </w:r>
      <w:r w:rsidRPr="005468A2">
        <w:rPr>
          <w:iCs/>
        </w:rPr>
        <w:t>prices).</w:t>
      </w:r>
    </w:p>
    <w:p w14:paraId="11BF477C" w14:textId="713D9FA9" w:rsidR="00DD3A47" w:rsidRPr="005468A2" w:rsidRDefault="00DD3A47" w:rsidP="00DD3A47">
      <w:pPr>
        <w:pStyle w:val="COMexecsummnumbered"/>
        <w:numPr>
          <w:ilvl w:val="1"/>
          <w:numId w:val="3"/>
        </w:numPr>
        <w:rPr>
          <w:iCs/>
        </w:rPr>
      </w:pPr>
      <w:r w:rsidRPr="005468A2">
        <w:rPr>
          <w:iCs/>
        </w:rPr>
        <w:t>Given the uncertainties with the</w:t>
      </w:r>
      <w:r w:rsidR="00AC6594" w:rsidRPr="005468A2">
        <w:rPr>
          <w:iCs/>
        </w:rPr>
        <w:t xml:space="preserve"> choice of inputs not derived from the clinical trials, as well as other</w:t>
      </w:r>
      <w:r w:rsidRPr="005468A2">
        <w:rPr>
          <w:iCs/>
        </w:rPr>
        <w:t xml:space="preserve"> inputs into the model (as noted above), </w:t>
      </w:r>
      <w:r w:rsidR="0003045F" w:rsidRPr="005468A2">
        <w:rPr>
          <w:iCs/>
        </w:rPr>
        <w:t>the ESC considered it may be difficult to adequately address these uncertainties without further revisions to the inputs.</w:t>
      </w:r>
      <w:r w:rsidRPr="005468A2">
        <w:rPr>
          <w:iCs/>
        </w:rPr>
        <w:t xml:space="preserve"> </w:t>
      </w:r>
    </w:p>
    <w:p w14:paraId="1EB55459" w14:textId="4C402296" w:rsidR="00EC05C4" w:rsidRPr="003B6D82" w:rsidRDefault="00EC05C4" w:rsidP="0037550E">
      <w:pPr>
        <w:pStyle w:val="COMH2-non-numbered"/>
        <w:rPr>
          <w:i w:val="0"/>
          <w:iCs/>
        </w:rPr>
      </w:pPr>
      <w:bookmarkStart w:id="36" w:name="_Toc192437879"/>
      <w:r w:rsidRPr="003B6D82">
        <w:rPr>
          <w:i w:val="0"/>
          <w:iCs/>
        </w:rPr>
        <w:t>Drug cost/patient</w:t>
      </w:r>
      <w:bookmarkEnd w:id="36"/>
    </w:p>
    <w:p w14:paraId="2D719886" w14:textId="0CC7342B" w:rsidR="00EC05C4" w:rsidRPr="003B6D82" w:rsidRDefault="00EC05C4" w:rsidP="00F40844">
      <w:pPr>
        <w:pStyle w:val="COMexecsummnumbered"/>
        <w:numPr>
          <w:ilvl w:val="1"/>
          <w:numId w:val="3"/>
        </w:numPr>
        <w:rPr>
          <w:iCs/>
        </w:rPr>
      </w:pPr>
      <w:r w:rsidRPr="003B6D82">
        <w:rPr>
          <w:iCs/>
        </w:rPr>
        <w:fldChar w:fldCharType="begin" w:fldLock="1"/>
      </w:r>
      <w:r w:rsidRPr="003B6D82">
        <w:rPr>
          <w:iCs/>
        </w:rPr>
        <w:instrText xml:space="preserve"> REF _Ref192083567 \h </w:instrText>
      </w:r>
      <w:r w:rsidR="003B6D82">
        <w:rPr>
          <w:iCs/>
        </w:rPr>
        <w:instrText xml:space="preserve"> \* MERGEFORMAT </w:instrText>
      </w:r>
      <w:r w:rsidRPr="003B6D82">
        <w:rPr>
          <w:iCs/>
        </w:rPr>
      </w:r>
      <w:r w:rsidRPr="003B6D82">
        <w:rPr>
          <w:iCs/>
        </w:rPr>
        <w:fldChar w:fldCharType="separate"/>
      </w:r>
      <w:r w:rsidR="00A072A5" w:rsidRPr="003B6D82">
        <w:rPr>
          <w:iCs/>
        </w:rPr>
        <w:t xml:space="preserve">Table </w:t>
      </w:r>
      <w:r w:rsidR="00A072A5">
        <w:rPr>
          <w:iCs/>
          <w:noProof/>
        </w:rPr>
        <w:t>11</w:t>
      </w:r>
      <w:r w:rsidRPr="003B6D82">
        <w:rPr>
          <w:iCs/>
        </w:rPr>
        <w:fldChar w:fldCharType="end"/>
      </w:r>
      <w:r w:rsidRPr="003B6D82">
        <w:rPr>
          <w:iCs/>
        </w:rPr>
        <w:t xml:space="preserve"> presents a comparison of drug costs for </w:t>
      </w:r>
      <w:proofErr w:type="spellStart"/>
      <w:r w:rsidRPr="003B6D82">
        <w:rPr>
          <w:iCs/>
        </w:rPr>
        <w:t>fedratinib</w:t>
      </w:r>
      <w:proofErr w:type="spellEnd"/>
      <w:r w:rsidRPr="003B6D82">
        <w:rPr>
          <w:iCs/>
        </w:rPr>
        <w:t xml:space="preserve"> and </w:t>
      </w:r>
      <w:proofErr w:type="spellStart"/>
      <w:r w:rsidRPr="003B6D82">
        <w:rPr>
          <w:iCs/>
        </w:rPr>
        <w:t>ruxolitinib</w:t>
      </w:r>
      <w:proofErr w:type="spellEnd"/>
      <w:r w:rsidRPr="003B6D82">
        <w:rPr>
          <w:iCs/>
        </w:rPr>
        <w:t xml:space="preserve"> included in the economic model and financial estimates.</w:t>
      </w:r>
    </w:p>
    <w:p w14:paraId="79F51D60" w14:textId="621FD460" w:rsidR="00EC05C4" w:rsidRPr="003B6D82" w:rsidRDefault="00EC05C4" w:rsidP="003E36C9">
      <w:pPr>
        <w:pStyle w:val="Caption"/>
        <w:keepLines/>
        <w:spacing w:before="120"/>
        <w:rPr>
          <w:iCs/>
        </w:rPr>
      </w:pPr>
      <w:bookmarkStart w:id="37" w:name="_Ref192083567"/>
      <w:r w:rsidRPr="003B6D82">
        <w:rPr>
          <w:iCs/>
        </w:rPr>
        <w:t xml:space="preserve">Table </w:t>
      </w:r>
      <w:r w:rsidR="00B251ED" w:rsidRPr="003B6D82">
        <w:rPr>
          <w:iCs/>
        </w:rPr>
        <w:fldChar w:fldCharType="begin" w:fldLock="1"/>
      </w:r>
      <w:r w:rsidR="00B251ED" w:rsidRPr="003B6D82">
        <w:rPr>
          <w:iCs/>
        </w:rPr>
        <w:instrText xml:space="preserve"> SEQ Table \* ARABIC </w:instrText>
      </w:r>
      <w:r w:rsidR="00B251ED" w:rsidRPr="003B6D82">
        <w:rPr>
          <w:iCs/>
        </w:rPr>
        <w:fldChar w:fldCharType="separate"/>
      </w:r>
      <w:r w:rsidR="00A072A5">
        <w:rPr>
          <w:iCs/>
          <w:noProof/>
        </w:rPr>
        <w:t>11</w:t>
      </w:r>
      <w:r w:rsidR="00B251ED" w:rsidRPr="003B6D82">
        <w:rPr>
          <w:iCs/>
          <w:noProof/>
        </w:rPr>
        <w:fldChar w:fldCharType="end"/>
      </w:r>
      <w:bookmarkEnd w:id="37"/>
      <w:r w:rsidRPr="003B6D82">
        <w:rPr>
          <w:iCs/>
        </w:rPr>
        <w:t xml:space="preserve">: Drug cost per patient for </w:t>
      </w:r>
      <w:proofErr w:type="spellStart"/>
      <w:r w:rsidRPr="003B6D82">
        <w:rPr>
          <w:iCs/>
        </w:rPr>
        <w:t>fedratinib</w:t>
      </w:r>
      <w:proofErr w:type="spellEnd"/>
      <w:r w:rsidRPr="003B6D82">
        <w:rPr>
          <w:iCs/>
        </w:rPr>
        <w:t xml:space="preserve"> and </w:t>
      </w:r>
      <w:proofErr w:type="spellStart"/>
      <w:r w:rsidRPr="003B6D82">
        <w:rPr>
          <w:iCs/>
        </w:rPr>
        <w:t>ruxolitinib</w:t>
      </w:r>
      <w:proofErr w:type="spellEnd"/>
    </w:p>
    <w:tbl>
      <w:tblPr>
        <w:tblW w:w="4993" w:type="pct"/>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66"/>
        <w:gridCol w:w="3868"/>
        <w:gridCol w:w="2570"/>
      </w:tblGrid>
      <w:tr w:rsidR="00EC05C4" w:rsidRPr="003B6D82" w14:paraId="274FAB76" w14:textId="77777777" w:rsidTr="00EC05C4">
        <w:trPr>
          <w:trHeight w:val="182"/>
        </w:trPr>
        <w:tc>
          <w:tcPr>
            <w:tcW w:w="1425" w:type="pct"/>
            <w:vMerge w:val="restart"/>
            <w:tcBorders>
              <w:top w:val="single" w:sz="4" w:space="0" w:color="auto"/>
              <w:left w:val="single" w:sz="4" w:space="0" w:color="auto"/>
              <w:bottom w:val="single" w:sz="4" w:space="0" w:color="auto"/>
              <w:right w:val="single" w:sz="4" w:space="0" w:color="auto"/>
            </w:tcBorders>
            <w:vAlign w:val="center"/>
          </w:tcPr>
          <w:p w14:paraId="4B74DDC4" w14:textId="77777777" w:rsidR="00EC05C4" w:rsidRPr="003B6D82" w:rsidRDefault="00EC05C4" w:rsidP="0037550E">
            <w:pPr>
              <w:keepNext/>
              <w:keepLines/>
              <w:rPr>
                <w:iCs/>
              </w:rPr>
            </w:pPr>
          </w:p>
        </w:tc>
        <w:tc>
          <w:tcPr>
            <w:tcW w:w="3575" w:type="pct"/>
            <w:gridSpan w:val="2"/>
            <w:tcBorders>
              <w:top w:val="single" w:sz="4" w:space="0" w:color="auto"/>
              <w:left w:val="single" w:sz="4" w:space="0" w:color="auto"/>
              <w:bottom w:val="single" w:sz="4" w:space="0" w:color="auto"/>
              <w:right w:val="single" w:sz="4" w:space="0" w:color="auto"/>
            </w:tcBorders>
            <w:vAlign w:val="center"/>
            <w:hideMark/>
          </w:tcPr>
          <w:p w14:paraId="5D6C85A3" w14:textId="77777777" w:rsidR="00EC05C4" w:rsidRPr="003B6D82" w:rsidRDefault="00EC05C4" w:rsidP="0037550E">
            <w:pPr>
              <w:pStyle w:val="TableText0"/>
              <w:jc w:val="center"/>
              <w:rPr>
                <w:b/>
                <w:bCs w:val="0"/>
                <w:iCs/>
              </w:rPr>
            </w:pPr>
            <w:r w:rsidRPr="003B6D82">
              <w:rPr>
                <w:b/>
                <w:bCs w:val="0"/>
                <w:iCs/>
              </w:rPr>
              <w:t>Cost per 28 days (effective DPMQ adjusted for pack size and dose intensity)</w:t>
            </w:r>
          </w:p>
        </w:tc>
      </w:tr>
      <w:tr w:rsidR="00EC05C4" w:rsidRPr="003B6D82" w14:paraId="4BF6F8B2" w14:textId="77777777" w:rsidTr="00EC05C4">
        <w:trPr>
          <w:trHeight w:val="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71A143" w14:textId="77777777" w:rsidR="00EC05C4" w:rsidRPr="003B6D82" w:rsidRDefault="00EC05C4" w:rsidP="0037550E">
            <w:pPr>
              <w:keepNext/>
              <w:keepLines/>
              <w:jc w:val="left"/>
              <w:rPr>
                <w:iCs/>
              </w:rPr>
            </w:pPr>
          </w:p>
        </w:tc>
        <w:tc>
          <w:tcPr>
            <w:tcW w:w="2148" w:type="pct"/>
            <w:tcBorders>
              <w:top w:val="single" w:sz="4" w:space="0" w:color="auto"/>
              <w:left w:val="single" w:sz="4" w:space="0" w:color="auto"/>
              <w:bottom w:val="single" w:sz="4" w:space="0" w:color="auto"/>
              <w:right w:val="single" w:sz="4" w:space="0" w:color="auto"/>
            </w:tcBorders>
            <w:vAlign w:val="center"/>
            <w:hideMark/>
          </w:tcPr>
          <w:p w14:paraId="4044678C" w14:textId="77777777" w:rsidR="00EC05C4" w:rsidRPr="003B6D82" w:rsidRDefault="00EC05C4" w:rsidP="0037550E">
            <w:pPr>
              <w:pStyle w:val="TableText0"/>
              <w:jc w:val="center"/>
              <w:rPr>
                <w:b/>
                <w:bCs w:val="0"/>
                <w:iCs/>
              </w:rPr>
            </w:pPr>
            <w:r w:rsidRPr="003B6D82">
              <w:rPr>
                <w:b/>
                <w:bCs w:val="0"/>
                <w:iCs/>
              </w:rPr>
              <w:t>Economic model</w:t>
            </w:r>
          </w:p>
        </w:tc>
        <w:tc>
          <w:tcPr>
            <w:tcW w:w="1427" w:type="pct"/>
            <w:tcBorders>
              <w:top w:val="single" w:sz="4" w:space="0" w:color="auto"/>
              <w:left w:val="single" w:sz="4" w:space="0" w:color="auto"/>
              <w:bottom w:val="single" w:sz="4" w:space="0" w:color="auto"/>
              <w:right w:val="single" w:sz="4" w:space="0" w:color="auto"/>
            </w:tcBorders>
            <w:hideMark/>
          </w:tcPr>
          <w:p w14:paraId="1B454865" w14:textId="77777777" w:rsidR="00EC05C4" w:rsidRPr="003B6D82" w:rsidRDefault="00EC05C4" w:rsidP="0037550E">
            <w:pPr>
              <w:pStyle w:val="TableText0"/>
              <w:jc w:val="center"/>
              <w:rPr>
                <w:b/>
                <w:bCs w:val="0"/>
                <w:iCs/>
              </w:rPr>
            </w:pPr>
            <w:r w:rsidRPr="003B6D82">
              <w:rPr>
                <w:b/>
                <w:bCs w:val="0"/>
                <w:iCs/>
              </w:rPr>
              <w:t>Financial estimates</w:t>
            </w:r>
          </w:p>
        </w:tc>
      </w:tr>
      <w:tr w:rsidR="00EC05C4" w:rsidRPr="003B6D82" w14:paraId="043FB2DF" w14:textId="77777777" w:rsidTr="00EC05C4">
        <w:tc>
          <w:tcPr>
            <w:tcW w:w="1425" w:type="pct"/>
            <w:tcBorders>
              <w:top w:val="single" w:sz="4" w:space="0" w:color="auto"/>
              <w:left w:val="single" w:sz="4" w:space="0" w:color="auto"/>
              <w:bottom w:val="single" w:sz="4" w:space="0" w:color="auto"/>
              <w:right w:val="single" w:sz="4" w:space="0" w:color="auto"/>
            </w:tcBorders>
            <w:hideMark/>
          </w:tcPr>
          <w:p w14:paraId="5CAFB2BB" w14:textId="77777777" w:rsidR="00EC05C4" w:rsidRPr="003B6D82" w:rsidRDefault="00EC05C4">
            <w:pPr>
              <w:pStyle w:val="TableText0"/>
              <w:rPr>
                <w:iCs/>
              </w:rPr>
            </w:pPr>
            <w:proofErr w:type="spellStart"/>
            <w:r w:rsidRPr="003B6D82">
              <w:rPr>
                <w:iCs/>
              </w:rPr>
              <w:t>Fedratinib</w:t>
            </w:r>
            <w:proofErr w:type="spellEnd"/>
            <w:r w:rsidRPr="003B6D82">
              <w:rPr>
                <w:iCs/>
              </w:rPr>
              <w:t xml:space="preserve"> 100 mg dose strength</w:t>
            </w:r>
          </w:p>
        </w:tc>
        <w:tc>
          <w:tcPr>
            <w:tcW w:w="2148" w:type="pct"/>
            <w:tcBorders>
              <w:top w:val="single" w:sz="4" w:space="0" w:color="auto"/>
              <w:left w:val="single" w:sz="4" w:space="0" w:color="auto"/>
              <w:bottom w:val="single" w:sz="4" w:space="0" w:color="auto"/>
              <w:right w:val="single" w:sz="4" w:space="0" w:color="auto"/>
            </w:tcBorders>
            <w:vAlign w:val="bottom"/>
            <w:hideMark/>
          </w:tcPr>
          <w:p w14:paraId="5B68A99E" w14:textId="2C6CFB5B" w:rsidR="00EC05C4" w:rsidRPr="003B6D82" w:rsidRDefault="00EC05C4">
            <w:pPr>
              <w:pStyle w:val="TableText0"/>
              <w:jc w:val="center"/>
              <w:rPr>
                <w:iCs/>
                <w:vertAlign w:val="superscript"/>
              </w:rPr>
            </w:pPr>
            <w:r w:rsidRPr="003B6D82">
              <w:rPr>
                <w:iCs/>
              </w:rPr>
              <w:t>$</w:t>
            </w:r>
            <w:r w:rsidR="00733FBC" w:rsidRPr="00733FBC">
              <w:rPr>
                <w:iCs/>
                <w:color w:val="000000"/>
                <w:spacing w:val="53"/>
                <w:shd w:val="solid" w:color="000000" w:fill="000000"/>
                <w:fitText w:val="330" w:id="-663571957"/>
                <w14:textFill>
                  <w14:solidFill>
                    <w14:srgbClr w14:val="000000">
                      <w14:alpha w14:val="100000"/>
                    </w14:srgbClr>
                  </w14:solidFill>
                </w14:textFill>
              </w:rPr>
              <w:t>|||</w:t>
            </w:r>
            <w:r w:rsidR="00733FBC" w:rsidRPr="00733FBC">
              <w:rPr>
                <w:iCs/>
                <w:color w:val="000000"/>
                <w:spacing w:val="1"/>
                <w:shd w:val="solid" w:color="000000" w:fill="000000"/>
                <w:fitText w:val="330" w:id="-663571957"/>
                <w14:textFill>
                  <w14:solidFill>
                    <w14:srgbClr w14:val="000000">
                      <w14:alpha w14:val="100000"/>
                    </w14:srgbClr>
                  </w14:solidFill>
                </w14:textFill>
              </w:rPr>
              <w:t>|</w:t>
            </w:r>
            <w:r w:rsidRPr="00A50D32">
              <w:rPr>
                <w:iCs/>
                <w:vertAlign w:val="superscript"/>
              </w:rPr>
              <w:t>a</w:t>
            </w:r>
          </w:p>
        </w:tc>
        <w:tc>
          <w:tcPr>
            <w:tcW w:w="1427" w:type="pct"/>
            <w:tcBorders>
              <w:top w:val="single" w:sz="4" w:space="0" w:color="auto"/>
              <w:left w:val="single" w:sz="4" w:space="0" w:color="auto"/>
              <w:bottom w:val="single" w:sz="4" w:space="0" w:color="auto"/>
              <w:right w:val="single" w:sz="4" w:space="0" w:color="auto"/>
            </w:tcBorders>
            <w:vAlign w:val="center"/>
            <w:hideMark/>
          </w:tcPr>
          <w:p w14:paraId="593FEBA3" w14:textId="21D7AD41" w:rsidR="00EC05C4" w:rsidRPr="003B6D82" w:rsidRDefault="00EC05C4">
            <w:pPr>
              <w:pStyle w:val="TableText0"/>
              <w:jc w:val="center"/>
              <w:rPr>
                <w:iCs/>
                <w:vertAlign w:val="superscript"/>
              </w:rPr>
            </w:pPr>
            <w:r w:rsidRPr="003B6D82">
              <w:rPr>
                <w:iCs/>
              </w:rPr>
              <w:t>$</w:t>
            </w:r>
            <w:r w:rsidR="00733FBC" w:rsidRPr="00733FBC">
              <w:rPr>
                <w:iCs/>
                <w:color w:val="000000"/>
                <w:spacing w:val="53"/>
                <w:shd w:val="solid" w:color="000000" w:fill="000000"/>
                <w:fitText w:val="330" w:id="-663571956"/>
                <w14:textFill>
                  <w14:solidFill>
                    <w14:srgbClr w14:val="000000">
                      <w14:alpha w14:val="100000"/>
                    </w14:srgbClr>
                  </w14:solidFill>
                </w14:textFill>
              </w:rPr>
              <w:t>|||</w:t>
            </w:r>
            <w:r w:rsidR="00733FBC" w:rsidRPr="00733FBC">
              <w:rPr>
                <w:iCs/>
                <w:color w:val="000000"/>
                <w:spacing w:val="1"/>
                <w:shd w:val="solid" w:color="000000" w:fill="000000"/>
                <w:fitText w:val="330" w:id="-663571956"/>
                <w14:textFill>
                  <w14:solidFill>
                    <w14:srgbClr w14:val="000000">
                      <w14:alpha w14:val="100000"/>
                    </w14:srgbClr>
                  </w14:solidFill>
                </w14:textFill>
              </w:rPr>
              <w:t>|</w:t>
            </w:r>
            <w:r w:rsidRPr="003B6D82">
              <w:rPr>
                <w:iCs/>
                <w:vertAlign w:val="superscript"/>
              </w:rPr>
              <w:t>a</w:t>
            </w:r>
          </w:p>
        </w:tc>
      </w:tr>
      <w:tr w:rsidR="00EC05C4" w:rsidRPr="003B6D82" w14:paraId="3A4A5E4D" w14:textId="77777777" w:rsidTr="00EC05C4">
        <w:tc>
          <w:tcPr>
            <w:tcW w:w="1425" w:type="pct"/>
            <w:tcBorders>
              <w:top w:val="single" w:sz="4" w:space="0" w:color="auto"/>
              <w:left w:val="single" w:sz="4" w:space="0" w:color="auto"/>
              <w:bottom w:val="single" w:sz="4" w:space="0" w:color="auto"/>
              <w:right w:val="single" w:sz="4" w:space="0" w:color="auto"/>
            </w:tcBorders>
            <w:hideMark/>
          </w:tcPr>
          <w:p w14:paraId="1ABDC2A5" w14:textId="77777777" w:rsidR="00EC05C4" w:rsidRPr="003B6D82" w:rsidRDefault="00EC05C4">
            <w:pPr>
              <w:pStyle w:val="TableText0"/>
              <w:rPr>
                <w:iCs/>
              </w:rPr>
            </w:pPr>
            <w:proofErr w:type="spellStart"/>
            <w:r w:rsidRPr="003B6D82">
              <w:rPr>
                <w:iCs/>
              </w:rPr>
              <w:t>Ruxolitinib</w:t>
            </w:r>
            <w:proofErr w:type="spellEnd"/>
            <w:r w:rsidRPr="003B6D82">
              <w:rPr>
                <w:iCs/>
              </w:rPr>
              <w:t xml:space="preserve"> 5 mg dose strength</w:t>
            </w:r>
          </w:p>
        </w:tc>
        <w:tc>
          <w:tcPr>
            <w:tcW w:w="2148" w:type="pct"/>
            <w:tcBorders>
              <w:top w:val="single" w:sz="4" w:space="0" w:color="auto"/>
              <w:left w:val="single" w:sz="4" w:space="0" w:color="auto"/>
              <w:bottom w:val="single" w:sz="4" w:space="0" w:color="auto"/>
              <w:right w:val="single" w:sz="4" w:space="0" w:color="auto"/>
            </w:tcBorders>
            <w:vAlign w:val="bottom"/>
            <w:hideMark/>
          </w:tcPr>
          <w:p w14:paraId="7CE0FF2B" w14:textId="64ADE0E7" w:rsidR="00EC05C4" w:rsidRPr="003B6D82" w:rsidRDefault="00EC05C4">
            <w:pPr>
              <w:pStyle w:val="TableText0"/>
              <w:jc w:val="center"/>
              <w:rPr>
                <w:iCs/>
                <w:vertAlign w:val="superscript"/>
              </w:rPr>
            </w:pPr>
            <w:r w:rsidRPr="003B6D82">
              <w:rPr>
                <w:iCs/>
              </w:rPr>
              <w:t>$</w:t>
            </w:r>
            <w:r w:rsidR="00921D5A" w:rsidRPr="003B6D82">
              <w:rPr>
                <w:iCs/>
              </w:rPr>
              <w:t>2,984.58</w:t>
            </w:r>
          </w:p>
        </w:tc>
        <w:tc>
          <w:tcPr>
            <w:tcW w:w="1427" w:type="pct"/>
            <w:tcBorders>
              <w:top w:val="single" w:sz="4" w:space="0" w:color="auto"/>
              <w:left w:val="single" w:sz="4" w:space="0" w:color="auto"/>
              <w:bottom w:val="single" w:sz="4" w:space="0" w:color="auto"/>
              <w:right w:val="single" w:sz="4" w:space="0" w:color="auto"/>
            </w:tcBorders>
            <w:vAlign w:val="center"/>
            <w:hideMark/>
          </w:tcPr>
          <w:p w14:paraId="5EA9FC8C" w14:textId="615BC64D" w:rsidR="00EC05C4" w:rsidRPr="003B6D82" w:rsidRDefault="00EC05C4">
            <w:pPr>
              <w:pStyle w:val="TableText0"/>
              <w:jc w:val="center"/>
              <w:rPr>
                <w:iCs/>
                <w:vertAlign w:val="superscript"/>
              </w:rPr>
            </w:pPr>
            <w:r w:rsidRPr="003B6D82">
              <w:rPr>
                <w:iCs/>
              </w:rPr>
              <w:t>$1,743.80</w:t>
            </w:r>
            <w:proofErr w:type="gramStart"/>
            <w:r w:rsidRPr="003B6D82">
              <w:rPr>
                <w:iCs/>
                <w:vertAlign w:val="superscript"/>
              </w:rPr>
              <w:t>b</w:t>
            </w:r>
            <w:r w:rsidR="0024316A" w:rsidRPr="003B6D82">
              <w:rPr>
                <w:iCs/>
                <w:vertAlign w:val="superscript"/>
              </w:rPr>
              <w:t>,c</w:t>
            </w:r>
            <w:proofErr w:type="gramEnd"/>
          </w:p>
        </w:tc>
      </w:tr>
      <w:tr w:rsidR="0010493D" w:rsidRPr="003B6D82" w14:paraId="07BA5A08" w14:textId="77777777" w:rsidTr="00EC05C4">
        <w:tc>
          <w:tcPr>
            <w:tcW w:w="1425" w:type="pct"/>
            <w:tcBorders>
              <w:top w:val="single" w:sz="4" w:space="0" w:color="auto"/>
              <w:left w:val="single" w:sz="4" w:space="0" w:color="auto"/>
              <w:bottom w:val="single" w:sz="4" w:space="0" w:color="auto"/>
              <w:right w:val="single" w:sz="4" w:space="0" w:color="auto"/>
            </w:tcBorders>
            <w:hideMark/>
          </w:tcPr>
          <w:p w14:paraId="521088D6" w14:textId="77777777" w:rsidR="0010493D" w:rsidRPr="003B6D82" w:rsidRDefault="0010493D" w:rsidP="0010493D">
            <w:pPr>
              <w:pStyle w:val="TableText0"/>
              <w:rPr>
                <w:iCs/>
              </w:rPr>
            </w:pPr>
            <w:proofErr w:type="spellStart"/>
            <w:r w:rsidRPr="003B6D82">
              <w:rPr>
                <w:iCs/>
              </w:rPr>
              <w:t>Ruxolitinib</w:t>
            </w:r>
            <w:proofErr w:type="spellEnd"/>
            <w:r w:rsidRPr="003B6D82">
              <w:rPr>
                <w:iCs/>
              </w:rPr>
              <w:t xml:space="preserve"> 10 mg dose strength</w:t>
            </w:r>
          </w:p>
        </w:tc>
        <w:tc>
          <w:tcPr>
            <w:tcW w:w="2148" w:type="pct"/>
            <w:tcBorders>
              <w:top w:val="single" w:sz="4" w:space="0" w:color="auto"/>
              <w:left w:val="single" w:sz="4" w:space="0" w:color="auto"/>
              <w:bottom w:val="single" w:sz="4" w:space="0" w:color="auto"/>
              <w:right w:val="single" w:sz="4" w:space="0" w:color="auto"/>
            </w:tcBorders>
            <w:vAlign w:val="bottom"/>
            <w:hideMark/>
          </w:tcPr>
          <w:p w14:paraId="5F5E63EA" w14:textId="4DD9EEC8" w:rsidR="0010493D" w:rsidRPr="003B6D82" w:rsidRDefault="0010493D" w:rsidP="0010493D">
            <w:pPr>
              <w:pStyle w:val="TableText0"/>
              <w:jc w:val="center"/>
              <w:rPr>
                <w:iCs/>
                <w:vertAlign w:val="superscript"/>
              </w:rPr>
            </w:pPr>
            <w:r w:rsidRPr="003B6D82">
              <w:rPr>
                <w:iCs/>
              </w:rPr>
              <w:t>$2,984.58</w:t>
            </w:r>
            <w:r w:rsidRPr="003B6D82">
              <w:rPr>
                <w:iCs/>
                <w:vertAlign w:val="superscript"/>
              </w:rPr>
              <w:t>b</w:t>
            </w:r>
          </w:p>
        </w:tc>
        <w:tc>
          <w:tcPr>
            <w:tcW w:w="1427" w:type="pct"/>
            <w:tcBorders>
              <w:top w:val="single" w:sz="4" w:space="0" w:color="auto"/>
              <w:left w:val="single" w:sz="4" w:space="0" w:color="auto"/>
              <w:bottom w:val="single" w:sz="4" w:space="0" w:color="auto"/>
              <w:right w:val="single" w:sz="4" w:space="0" w:color="auto"/>
            </w:tcBorders>
            <w:vAlign w:val="bottom"/>
            <w:hideMark/>
          </w:tcPr>
          <w:p w14:paraId="432BF09C" w14:textId="6E554328" w:rsidR="0010493D" w:rsidRPr="003B6D82" w:rsidRDefault="0010493D" w:rsidP="0010493D">
            <w:pPr>
              <w:pStyle w:val="TableText0"/>
              <w:jc w:val="center"/>
              <w:rPr>
                <w:iCs/>
                <w:vertAlign w:val="superscript"/>
              </w:rPr>
            </w:pPr>
            <w:r w:rsidRPr="003B6D82">
              <w:rPr>
                <w:iCs/>
              </w:rPr>
              <w:t>$2,984.58</w:t>
            </w:r>
          </w:p>
        </w:tc>
      </w:tr>
      <w:tr w:rsidR="0010493D" w:rsidRPr="003B6D82" w14:paraId="1806E379" w14:textId="77777777" w:rsidTr="00EC05C4">
        <w:tc>
          <w:tcPr>
            <w:tcW w:w="1425" w:type="pct"/>
            <w:tcBorders>
              <w:top w:val="single" w:sz="4" w:space="0" w:color="auto"/>
              <w:left w:val="single" w:sz="4" w:space="0" w:color="auto"/>
              <w:bottom w:val="single" w:sz="4" w:space="0" w:color="auto"/>
              <w:right w:val="single" w:sz="4" w:space="0" w:color="auto"/>
            </w:tcBorders>
            <w:hideMark/>
          </w:tcPr>
          <w:p w14:paraId="131C91B7" w14:textId="77777777" w:rsidR="0010493D" w:rsidRPr="003B6D82" w:rsidRDefault="0010493D" w:rsidP="0010493D">
            <w:pPr>
              <w:pStyle w:val="TableText0"/>
              <w:rPr>
                <w:iCs/>
              </w:rPr>
            </w:pPr>
            <w:proofErr w:type="spellStart"/>
            <w:r w:rsidRPr="003B6D82">
              <w:rPr>
                <w:iCs/>
              </w:rPr>
              <w:t>Ruxolitinib</w:t>
            </w:r>
            <w:proofErr w:type="spellEnd"/>
            <w:r w:rsidRPr="003B6D82">
              <w:rPr>
                <w:iCs/>
              </w:rPr>
              <w:t xml:space="preserve"> 15 mg dose strength</w:t>
            </w:r>
          </w:p>
        </w:tc>
        <w:tc>
          <w:tcPr>
            <w:tcW w:w="2148" w:type="pct"/>
            <w:tcBorders>
              <w:top w:val="single" w:sz="4" w:space="0" w:color="auto"/>
              <w:left w:val="single" w:sz="4" w:space="0" w:color="auto"/>
              <w:bottom w:val="single" w:sz="4" w:space="0" w:color="auto"/>
              <w:right w:val="single" w:sz="4" w:space="0" w:color="auto"/>
            </w:tcBorders>
            <w:vAlign w:val="bottom"/>
            <w:hideMark/>
          </w:tcPr>
          <w:p w14:paraId="4A0EE4C8" w14:textId="7641C831" w:rsidR="0010493D" w:rsidRPr="003B6D82" w:rsidRDefault="0010493D" w:rsidP="0010493D">
            <w:pPr>
              <w:pStyle w:val="TableText0"/>
              <w:jc w:val="center"/>
              <w:rPr>
                <w:iCs/>
                <w:vertAlign w:val="superscript"/>
              </w:rPr>
            </w:pPr>
            <w:r w:rsidRPr="003B6D82">
              <w:rPr>
                <w:iCs/>
              </w:rPr>
              <w:t>$2,984.58</w:t>
            </w:r>
            <w:r w:rsidRPr="003B6D82">
              <w:rPr>
                <w:iCs/>
                <w:vertAlign w:val="superscript"/>
              </w:rPr>
              <w:t>b</w:t>
            </w:r>
          </w:p>
        </w:tc>
        <w:tc>
          <w:tcPr>
            <w:tcW w:w="1427" w:type="pct"/>
            <w:tcBorders>
              <w:top w:val="single" w:sz="4" w:space="0" w:color="auto"/>
              <w:left w:val="single" w:sz="4" w:space="0" w:color="auto"/>
              <w:bottom w:val="single" w:sz="4" w:space="0" w:color="auto"/>
              <w:right w:val="single" w:sz="4" w:space="0" w:color="auto"/>
            </w:tcBorders>
            <w:vAlign w:val="bottom"/>
            <w:hideMark/>
          </w:tcPr>
          <w:p w14:paraId="386BBB8D" w14:textId="0BA3A69B" w:rsidR="0010493D" w:rsidRPr="003B6D82" w:rsidRDefault="0010493D" w:rsidP="0010493D">
            <w:pPr>
              <w:pStyle w:val="TableText0"/>
              <w:jc w:val="center"/>
              <w:rPr>
                <w:iCs/>
                <w:vertAlign w:val="superscript"/>
              </w:rPr>
            </w:pPr>
            <w:r w:rsidRPr="003B6D82">
              <w:rPr>
                <w:iCs/>
              </w:rPr>
              <w:t>$2,984.58</w:t>
            </w:r>
            <w:r w:rsidRPr="003B6D82">
              <w:rPr>
                <w:iCs/>
                <w:vertAlign w:val="superscript"/>
              </w:rPr>
              <w:t>b</w:t>
            </w:r>
          </w:p>
        </w:tc>
      </w:tr>
      <w:tr w:rsidR="0010493D" w:rsidRPr="003B6D82" w14:paraId="08DBCD4B" w14:textId="77777777" w:rsidTr="00EC05C4">
        <w:tc>
          <w:tcPr>
            <w:tcW w:w="1425" w:type="pct"/>
            <w:tcBorders>
              <w:top w:val="single" w:sz="4" w:space="0" w:color="auto"/>
              <w:left w:val="single" w:sz="4" w:space="0" w:color="auto"/>
              <w:bottom w:val="single" w:sz="4" w:space="0" w:color="auto"/>
              <w:right w:val="single" w:sz="4" w:space="0" w:color="auto"/>
            </w:tcBorders>
            <w:hideMark/>
          </w:tcPr>
          <w:p w14:paraId="5B5144DD" w14:textId="77777777" w:rsidR="0010493D" w:rsidRPr="003B6D82" w:rsidRDefault="0010493D" w:rsidP="0010493D">
            <w:pPr>
              <w:pStyle w:val="TableText0"/>
              <w:rPr>
                <w:iCs/>
              </w:rPr>
            </w:pPr>
            <w:proofErr w:type="spellStart"/>
            <w:r w:rsidRPr="003B6D82">
              <w:rPr>
                <w:iCs/>
              </w:rPr>
              <w:t>Ruxolitinib</w:t>
            </w:r>
            <w:proofErr w:type="spellEnd"/>
            <w:r w:rsidRPr="003B6D82">
              <w:rPr>
                <w:iCs/>
              </w:rPr>
              <w:t xml:space="preserve"> 20 mg dose strength</w:t>
            </w:r>
          </w:p>
        </w:tc>
        <w:tc>
          <w:tcPr>
            <w:tcW w:w="2148" w:type="pct"/>
            <w:tcBorders>
              <w:top w:val="single" w:sz="4" w:space="0" w:color="auto"/>
              <w:left w:val="single" w:sz="4" w:space="0" w:color="auto"/>
              <w:bottom w:val="single" w:sz="4" w:space="0" w:color="auto"/>
              <w:right w:val="single" w:sz="4" w:space="0" w:color="auto"/>
            </w:tcBorders>
            <w:vAlign w:val="bottom"/>
            <w:hideMark/>
          </w:tcPr>
          <w:p w14:paraId="57CBBD0F" w14:textId="444238DD" w:rsidR="0010493D" w:rsidRPr="003B6D82" w:rsidRDefault="0010493D" w:rsidP="0010493D">
            <w:pPr>
              <w:pStyle w:val="TableText0"/>
              <w:jc w:val="center"/>
              <w:rPr>
                <w:iCs/>
                <w:vertAlign w:val="superscript"/>
              </w:rPr>
            </w:pPr>
            <w:r w:rsidRPr="003B6D82">
              <w:rPr>
                <w:iCs/>
              </w:rPr>
              <w:t>$2,984.58</w:t>
            </w:r>
            <w:r w:rsidRPr="003B6D82">
              <w:rPr>
                <w:iCs/>
                <w:vertAlign w:val="superscript"/>
              </w:rPr>
              <w:t>b</w:t>
            </w:r>
          </w:p>
        </w:tc>
        <w:tc>
          <w:tcPr>
            <w:tcW w:w="1427" w:type="pct"/>
            <w:tcBorders>
              <w:top w:val="single" w:sz="4" w:space="0" w:color="auto"/>
              <w:left w:val="single" w:sz="4" w:space="0" w:color="auto"/>
              <w:bottom w:val="single" w:sz="4" w:space="0" w:color="auto"/>
              <w:right w:val="single" w:sz="4" w:space="0" w:color="auto"/>
            </w:tcBorders>
            <w:vAlign w:val="bottom"/>
            <w:hideMark/>
          </w:tcPr>
          <w:p w14:paraId="3E20BC12" w14:textId="5F2EF39F" w:rsidR="0010493D" w:rsidRPr="003B6D82" w:rsidRDefault="0010493D" w:rsidP="0010493D">
            <w:pPr>
              <w:pStyle w:val="TableText0"/>
              <w:jc w:val="center"/>
              <w:rPr>
                <w:iCs/>
                <w:vertAlign w:val="superscript"/>
              </w:rPr>
            </w:pPr>
            <w:r w:rsidRPr="003B6D82">
              <w:rPr>
                <w:iCs/>
              </w:rPr>
              <w:t>$2,984.58</w:t>
            </w:r>
            <w:r w:rsidRPr="003B6D82">
              <w:rPr>
                <w:iCs/>
                <w:vertAlign w:val="superscript"/>
              </w:rPr>
              <w:t>b</w:t>
            </w:r>
          </w:p>
        </w:tc>
      </w:tr>
    </w:tbl>
    <w:p w14:paraId="62793728" w14:textId="5BF51BB0" w:rsidR="0024316A" w:rsidRPr="003B6D82" w:rsidRDefault="00EC05C4" w:rsidP="00EC05C4">
      <w:pPr>
        <w:pStyle w:val="COMTablefooter"/>
        <w:rPr>
          <w:iCs/>
        </w:rPr>
      </w:pPr>
      <w:r w:rsidRPr="003B6D82">
        <w:rPr>
          <w:iCs/>
        </w:rPr>
        <w:t xml:space="preserve">Source: Constructed during the </w:t>
      </w:r>
      <w:r w:rsidR="000949A5" w:rsidRPr="003B6D82">
        <w:rPr>
          <w:iCs/>
        </w:rPr>
        <w:t xml:space="preserve">evaluation, </w:t>
      </w:r>
      <w:r w:rsidR="00904DBC" w:rsidRPr="003B6D82">
        <w:rPr>
          <w:iCs/>
        </w:rPr>
        <w:t>updated based on values</w:t>
      </w:r>
      <w:r w:rsidR="00403A61" w:rsidRPr="003B6D82">
        <w:rPr>
          <w:iCs/>
        </w:rPr>
        <w:t xml:space="preserve"> accepted</w:t>
      </w:r>
      <w:r w:rsidR="00904DBC" w:rsidRPr="003B6D82">
        <w:rPr>
          <w:iCs/>
        </w:rPr>
        <w:t xml:space="preserve"> in the PSCR (</w:t>
      </w:r>
      <w:proofErr w:type="spellStart"/>
      <w:r w:rsidR="00FA250A" w:rsidRPr="003B6D82">
        <w:rPr>
          <w:iCs/>
        </w:rPr>
        <w:t>pg</w:t>
      </w:r>
      <w:proofErr w:type="spellEnd"/>
      <w:r w:rsidR="00FA250A" w:rsidRPr="003B6D82">
        <w:rPr>
          <w:iCs/>
        </w:rPr>
        <w:t xml:space="preserve"> 2)</w:t>
      </w:r>
      <w:r w:rsidR="00904DBC" w:rsidRPr="003B6D82">
        <w:rPr>
          <w:iCs/>
        </w:rPr>
        <w:t xml:space="preserve"> </w:t>
      </w:r>
    </w:p>
    <w:p w14:paraId="735F660C" w14:textId="2FD95FA1" w:rsidR="00EC05C4" w:rsidRPr="003B6D82" w:rsidRDefault="0024316A" w:rsidP="00EC05C4">
      <w:pPr>
        <w:pStyle w:val="COMTablefooter"/>
        <w:rPr>
          <w:iCs/>
        </w:rPr>
      </w:pPr>
      <w:r w:rsidRPr="003B6D82">
        <w:rPr>
          <w:iCs/>
        </w:rPr>
        <w:t>Abbreviations: AEMP, approved ex-manufacture price</w:t>
      </w:r>
      <w:r w:rsidR="00D20064" w:rsidRPr="003B6D82">
        <w:rPr>
          <w:iCs/>
        </w:rPr>
        <w:t>; DPMQ, dispensed price for maximum quantity</w:t>
      </w:r>
      <w:r w:rsidRPr="003B6D82">
        <w:rPr>
          <w:iCs/>
        </w:rPr>
        <w:t>.</w:t>
      </w:r>
    </w:p>
    <w:p w14:paraId="2DDAD638" w14:textId="77777777" w:rsidR="00EC05C4" w:rsidRPr="003B6D82" w:rsidRDefault="00EC05C4" w:rsidP="00EC05C4">
      <w:pPr>
        <w:pStyle w:val="COMTablefooter"/>
        <w:rPr>
          <w:iCs/>
        </w:rPr>
      </w:pPr>
      <w:proofErr w:type="spellStart"/>
      <w:r w:rsidRPr="003B6D82">
        <w:rPr>
          <w:iCs/>
          <w:vertAlign w:val="superscript"/>
        </w:rPr>
        <w:t>a</w:t>
      </w:r>
      <w:proofErr w:type="spellEnd"/>
      <w:r w:rsidRPr="003B6D82">
        <w:rPr>
          <w:iCs/>
        </w:rPr>
        <w:t xml:space="preserve"> Each script assumed to provide 30 days of treatment which was adjusted to a 28-day equivalent with a median dose intensity of 96.7%.</w:t>
      </w:r>
    </w:p>
    <w:p w14:paraId="45AF5D78" w14:textId="22325368" w:rsidR="0024316A" w:rsidRPr="003B6D82" w:rsidRDefault="0024316A" w:rsidP="00EC05C4">
      <w:pPr>
        <w:pStyle w:val="COMTablefooter"/>
        <w:rPr>
          <w:iCs/>
        </w:rPr>
      </w:pPr>
      <w:r w:rsidRPr="003B6D82">
        <w:rPr>
          <w:iCs/>
          <w:vertAlign w:val="superscript"/>
        </w:rPr>
        <w:t>b</w:t>
      </w:r>
      <w:r w:rsidRPr="003B6D82">
        <w:rPr>
          <w:iCs/>
        </w:rPr>
        <w:t xml:space="preserve"> Estimated effective price for </w:t>
      </w:r>
      <w:proofErr w:type="spellStart"/>
      <w:r w:rsidRPr="003B6D82">
        <w:rPr>
          <w:iCs/>
        </w:rPr>
        <w:t>ruxolitinib</w:t>
      </w:r>
      <w:proofErr w:type="spellEnd"/>
      <w:r w:rsidRPr="003B6D82">
        <w:rPr>
          <w:iCs/>
        </w:rPr>
        <w:t xml:space="preserve"> based on assumption of a 30% rebate to the published AEMP.</w:t>
      </w:r>
    </w:p>
    <w:p w14:paraId="3F58DF8F" w14:textId="16D45BA9" w:rsidR="00EC05C4" w:rsidRPr="003B6D82" w:rsidRDefault="0024316A" w:rsidP="00EC05C4">
      <w:pPr>
        <w:pStyle w:val="COMTablefooter"/>
        <w:rPr>
          <w:iCs/>
        </w:rPr>
      </w:pPr>
      <w:r w:rsidRPr="003B6D82">
        <w:rPr>
          <w:iCs/>
          <w:vertAlign w:val="superscript"/>
        </w:rPr>
        <w:t>c</w:t>
      </w:r>
      <w:r w:rsidR="00EC05C4" w:rsidRPr="003B6D82">
        <w:rPr>
          <w:iCs/>
          <w:vertAlign w:val="superscript"/>
        </w:rPr>
        <w:t xml:space="preserve"> </w:t>
      </w:r>
      <w:r w:rsidR="00EC05C4" w:rsidRPr="003B6D82">
        <w:rPr>
          <w:iCs/>
        </w:rPr>
        <w:t>Each script assumed to provide 56 days of treatment which was adjusted to a 28-day equivalent.</w:t>
      </w:r>
    </w:p>
    <w:p w14:paraId="268768EF" w14:textId="3626F292" w:rsidR="00B60939" w:rsidRPr="003B6D82" w:rsidRDefault="00B60939" w:rsidP="003D5DE7">
      <w:pPr>
        <w:pStyle w:val="COMH2-non-numbered"/>
        <w:rPr>
          <w:i w:val="0"/>
          <w:iCs/>
        </w:rPr>
      </w:pPr>
      <w:bookmarkStart w:id="38" w:name="_Toc22897647"/>
      <w:bookmarkStart w:id="39" w:name="_Toc192437880"/>
      <w:r w:rsidRPr="003B6D82">
        <w:rPr>
          <w:i w:val="0"/>
          <w:iCs/>
        </w:rPr>
        <w:t>Estimated PBS usage &amp; financial implications</w:t>
      </w:r>
      <w:bookmarkEnd w:id="38"/>
      <w:bookmarkEnd w:id="39"/>
    </w:p>
    <w:p w14:paraId="4BF6D47A" w14:textId="6D9FE88B" w:rsidR="008C3DCB" w:rsidRPr="003B6D82" w:rsidRDefault="008C3DCB" w:rsidP="00F40844">
      <w:pPr>
        <w:pStyle w:val="COMexecsummnumbered"/>
        <w:numPr>
          <w:ilvl w:val="1"/>
          <w:numId w:val="3"/>
        </w:numPr>
        <w:rPr>
          <w:iCs/>
          <w:color w:val="0066FF"/>
        </w:rPr>
      </w:pPr>
      <w:r w:rsidRPr="003B6D82">
        <w:rPr>
          <w:iCs/>
        </w:rPr>
        <w:t xml:space="preserve">This submission </w:t>
      </w:r>
      <w:r w:rsidR="002906C1" w:rsidRPr="003B6D82">
        <w:rPr>
          <w:iCs/>
        </w:rPr>
        <w:t>was</w:t>
      </w:r>
      <w:r w:rsidRPr="003B6D82">
        <w:rPr>
          <w:iCs/>
        </w:rPr>
        <w:t xml:space="preserve"> not considered by DUSC</w:t>
      </w:r>
      <w:r w:rsidRPr="003B6D82">
        <w:rPr>
          <w:iCs/>
          <w:color w:val="0070C0"/>
        </w:rPr>
        <w:t>.</w:t>
      </w:r>
    </w:p>
    <w:p w14:paraId="7947FC68" w14:textId="3E692C81" w:rsidR="00037265" w:rsidRPr="003B6D82" w:rsidRDefault="008C3DCB" w:rsidP="00F40844">
      <w:pPr>
        <w:pStyle w:val="COMexecsummnumbered"/>
        <w:numPr>
          <w:ilvl w:val="1"/>
          <w:numId w:val="3"/>
        </w:numPr>
        <w:rPr>
          <w:iCs/>
        </w:rPr>
      </w:pPr>
      <w:r w:rsidRPr="003B6D82">
        <w:rPr>
          <w:iCs/>
        </w:rPr>
        <w:t xml:space="preserve">The submission used a market share approach to estimate the utilisation and financial impact of listing </w:t>
      </w:r>
      <w:proofErr w:type="spellStart"/>
      <w:r w:rsidRPr="003B6D82">
        <w:rPr>
          <w:iCs/>
        </w:rPr>
        <w:t>fedratinib</w:t>
      </w:r>
      <w:proofErr w:type="spellEnd"/>
      <w:r w:rsidRPr="003B6D82">
        <w:rPr>
          <w:iCs/>
        </w:rPr>
        <w:t xml:space="preserve"> on the PBS, for the treatment of patients with intermediate-2 </w:t>
      </w:r>
      <w:r w:rsidR="00BC4F9A">
        <w:rPr>
          <w:iCs/>
        </w:rPr>
        <w:t>and</w:t>
      </w:r>
      <w:r w:rsidRPr="003B6D82">
        <w:rPr>
          <w:iCs/>
        </w:rPr>
        <w:t xml:space="preserve"> </w:t>
      </w:r>
      <w:r w:rsidR="000120D9" w:rsidRPr="003B6D82">
        <w:rPr>
          <w:iCs/>
        </w:rPr>
        <w:t>high-risk</w:t>
      </w:r>
      <w:r w:rsidRPr="003B6D82">
        <w:rPr>
          <w:iCs/>
        </w:rPr>
        <w:t xml:space="preserve"> myelofibrosis, who are </w:t>
      </w:r>
      <w:r w:rsidR="00382470" w:rsidRPr="003B6D82">
        <w:rPr>
          <w:iCs/>
        </w:rPr>
        <w:t>relapsed</w:t>
      </w:r>
      <w:r w:rsidRPr="003B6D82">
        <w:rPr>
          <w:iCs/>
        </w:rPr>
        <w:t xml:space="preserve">, refractory, or intolerant to treatment with </w:t>
      </w:r>
      <w:proofErr w:type="spellStart"/>
      <w:r w:rsidRPr="003B6D82">
        <w:rPr>
          <w:iCs/>
        </w:rPr>
        <w:t>ruxolitinib</w:t>
      </w:r>
      <w:proofErr w:type="spellEnd"/>
      <w:r w:rsidRPr="003B6D82">
        <w:rPr>
          <w:iCs/>
        </w:rPr>
        <w:t>.</w:t>
      </w:r>
      <w:r w:rsidR="00037265" w:rsidRPr="003B6D82">
        <w:rPr>
          <w:iCs/>
        </w:rPr>
        <w:t xml:space="preserve"> The market share approach</w:t>
      </w:r>
      <w:r w:rsidR="00F21042" w:rsidRPr="003B6D82">
        <w:rPr>
          <w:iCs/>
        </w:rPr>
        <w:t xml:space="preserve"> presented in the submission</w:t>
      </w:r>
      <w:r w:rsidR="00037265" w:rsidRPr="003B6D82">
        <w:rPr>
          <w:iCs/>
        </w:rPr>
        <w:t xml:space="preserve"> was not appropriate as it did not account for market expansion in eligible patients receiving non-JAK inhibitor therapies (such as hydroxyurea, peginterferon alfa-2a, busulfan), or the claimed increased duration of JAK inhibitor therapy associated with </w:t>
      </w:r>
      <w:proofErr w:type="spellStart"/>
      <w:r w:rsidR="00037265" w:rsidRPr="003B6D82">
        <w:rPr>
          <w:iCs/>
        </w:rPr>
        <w:t>fedratinib</w:t>
      </w:r>
      <w:proofErr w:type="spellEnd"/>
      <w:r w:rsidR="00037265" w:rsidRPr="003B6D82">
        <w:rPr>
          <w:iCs/>
        </w:rPr>
        <w:t>.</w:t>
      </w:r>
    </w:p>
    <w:p w14:paraId="1D887E0C" w14:textId="0A569007" w:rsidR="008C3DCB" w:rsidRPr="003B6D82" w:rsidRDefault="00D86D10" w:rsidP="00F40844">
      <w:pPr>
        <w:pStyle w:val="COMexecsummnumbered"/>
        <w:numPr>
          <w:ilvl w:val="1"/>
          <w:numId w:val="3"/>
        </w:numPr>
        <w:rPr>
          <w:iCs/>
        </w:rPr>
      </w:pPr>
      <w:r w:rsidRPr="003B6D82">
        <w:rPr>
          <w:iCs/>
        </w:rPr>
        <w:fldChar w:fldCharType="begin" w:fldLock="1"/>
      </w:r>
      <w:r w:rsidRPr="003B6D82">
        <w:rPr>
          <w:iCs/>
        </w:rPr>
        <w:instrText xml:space="preserve"> REF _Ref192154002 \h </w:instrText>
      </w:r>
      <w:r w:rsidR="003B6D82">
        <w:rPr>
          <w:iCs/>
        </w:rPr>
        <w:instrText xml:space="preserve"> \* MERGEFORMAT </w:instrText>
      </w:r>
      <w:r w:rsidRPr="003B6D82">
        <w:rPr>
          <w:iCs/>
        </w:rPr>
      </w:r>
      <w:r w:rsidRPr="003B6D82">
        <w:rPr>
          <w:iCs/>
        </w:rPr>
        <w:fldChar w:fldCharType="separate"/>
      </w:r>
      <w:r w:rsidR="00A072A5" w:rsidRPr="003B6D82">
        <w:rPr>
          <w:iCs/>
        </w:rPr>
        <w:t xml:space="preserve">Table </w:t>
      </w:r>
      <w:r w:rsidR="00A072A5">
        <w:rPr>
          <w:iCs/>
          <w:noProof/>
        </w:rPr>
        <w:t>12</w:t>
      </w:r>
      <w:r w:rsidRPr="003B6D82">
        <w:rPr>
          <w:iCs/>
        </w:rPr>
        <w:fldChar w:fldCharType="end"/>
      </w:r>
      <w:r w:rsidR="008C3DCB" w:rsidRPr="003B6D82">
        <w:rPr>
          <w:iCs/>
        </w:rPr>
        <w:t xml:space="preserve"> presents the key inputs used to derive the financial estimates.</w:t>
      </w:r>
    </w:p>
    <w:p w14:paraId="18584B9B" w14:textId="7E1176AB" w:rsidR="008C3DCB" w:rsidRPr="003B6D82" w:rsidRDefault="008C3DCB" w:rsidP="00F9606A">
      <w:pPr>
        <w:pStyle w:val="COMtablefigcaption"/>
        <w:spacing w:before="120"/>
        <w:rPr>
          <w:iCs/>
        </w:rPr>
      </w:pPr>
      <w:bookmarkStart w:id="40" w:name="_Ref192154002"/>
      <w:bookmarkStart w:id="41" w:name="_Ref192154001"/>
      <w:r w:rsidRPr="003B6D82">
        <w:rPr>
          <w:iCs/>
        </w:rPr>
        <w:lastRenderedPageBreak/>
        <w:t xml:space="preserve">Table </w:t>
      </w:r>
      <w:r w:rsidR="00B251ED" w:rsidRPr="003B6D82">
        <w:rPr>
          <w:iCs/>
        </w:rPr>
        <w:fldChar w:fldCharType="begin" w:fldLock="1"/>
      </w:r>
      <w:r w:rsidR="00B251ED" w:rsidRPr="003B6D82">
        <w:rPr>
          <w:iCs/>
        </w:rPr>
        <w:instrText xml:space="preserve"> SEQ Table \* ARABIC </w:instrText>
      </w:r>
      <w:r w:rsidR="00B251ED" w:rsidRPr="003B6D82">
        <w:rPr>
          <w:iCs/>
        </w:rPr>
        <w:fldChar w:fldCharType="separate"/>
      </w:r>
      <w:r w:rsidR="00A072A5">
        <w:rPr>
          <w:iCs/>
          <w:noProof/>
        </w:rPr>
        <w:t>12</w:t>
      </w:r>
      <w:r w:rsidR="00B251ED" w:rsidRPr="003B6D82">
        <w:rPr>
          <w:iCs/>
          <w:noProof/>
        </w:rPr>
        <w:fldChar w:fldCharType="end"/>
      </w:r>
      <w:bookmarkEnd w:id="40"/>
      <w:r w:rsidRPr="003B6D82">
        <w:rPr>
          <w:iCs/>
        </w:rPr>
        <w:t>: Key inputs for financial estimates</w:t>
      </w:r>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13"/>
        <w:gridCol w:w="3668"/>
        <w:gridCol w:w="3636"/>
      </w:tblGrid>
      <w:tr w:rsidR="008C3DCB" w:rsidRPr="003B6D82" w14:paraId="389F33D2" w14:textId="77777777" w:rsidTr="00CF2FE8">
        <w:trPr>
          <w:tblHeader/>
        </w:trPr>
        <w:tc>
          <w:tcPr>
            <w:tcW w:w="950" w:type="pct"/>
            <w:tcBorders>
              <w:top w:val="single" w:sz="4" w:space="0" w:color="auto"/>
              <w:left w:val="single" w:sz="4" w:space="0" w:color="auto"/>
              <w:bottom w:val="single" w:sz="4" w:space="0" w:color="auto"/>
              <w:right w:val="single" w:sz="4" w:space="0" w:color="auto"/>
            </w:tcBorders>
            <w:vAlign w:val="center"/>
            <w:hideMark/>
          </w:tcPr>
          <w:p w14:paraId="0E594A76" w14:textId="77777777" w:rsidR="008C3DCB" w:rsidRPr="003B6D82" w:rsidRDefault="008C3DCB" w:rsidP="00F9606A">
            <w:pPr>
              <w:pStyle w:val="COMTableheadingrow"/>
              <w:rPr>
                <w:iCs/>
                <w:lang w:val="en-AU"/>
              </w:rPr>
            </w:pPr>
            <w:r w:rsidRPr="003B6D82">
              <w:rPr>
                <w:iCs/>
                <w:lang w:val="en-AU"/>
              </w:rPr>
              <w:t>Parameter</w:t>
            </w:r>
          </w:p>
        </w:tc>
        <w:tc>
          <w:tcPr>
            <w:tcW w:w="2034" w:type="pct"/>
            <w:tcBorders>
              <w:top w:val="single" w:sz="4" w:space="0" w:color="auto"/>
              <w:left w:val="single" w:sz="4" w:space="0" w:color="auto"/>
              <w:bottom w:val="single" w:sz="4" w:space="0" w:color="auto"/>
              <w:right w:val="single" w:sz="4" w:space="0" w:color="auto"/>
            </w:tcBorders>
            <w:vAlign w:val="center"/>
            <w:hideMark/>
          </w:tcPr>
          <w:p w14:paraId="128A397B" w14:textId="77777777" w:rsidR="008C3DCB" w:rsidRPr="003B6D82" w:rsidRDefault="008C3DCB" w:rsidP="00F9606A">
            <w:pPr>
              <w:pStyle w:val="COMTableheadingrow"/>
              <w:jc w:val="center"/>
              <w:rPr>
                <w:iCs/>
                <w:lang w:val="en-AU"/>
              </w:rPr>
            </w:pPr>
            <w:r w:rsidRPr="003B6D82">
              <w:rPr>
                <w:iCs/>
                <w:lang w:val="en-AU"/>
              </w:rPr>
              <w:t>Value applied and source</w:t>
            </w:r>
          </w:p>
        </w:tc>
        <w:tc>
          <w:tcPr>
            <w:tcW w:w="2016" w:type="pct"/>
            <w:tcBorders>
              <w:top w:val="single" w:sz="4" w:space="0" w:color="auto"/>
              <w:left w:val="single" w:sz="4" w:space="0" w:color="auto"/>
              <w:bottom w:val="single" w:sz="4" w:space="0" w:color="auto"/>
              <w:right w:val="single" w:sz="4" w:space="0" w:color="auto"/>
            </w:tcBorders>
            <w:vAlign w:val="center"/>
            <w:hideMark/>
          </w:tcPr>
          <w:p w14:paraId="5BCBE864" w14:textId="77777777" w:rsidR="008C3DCB" w:rsidRPr="003B6D82" w:rsidRDefault="008C3DCB" w:rsidP="00F9606A">
            <w:pPr>
              <w:pStyle w:val="COMTableheadingrow"/>
              <w:jc w:val="center"/>
              <w:rPr>
                <w:iCs/>
                <w:lang w:val="en-AU"/>
              </w:rPr>
            </w:pPr>
            <w:r w:rsidRPr="003B6D82">
              <w:rPr>
                <w:iCs/>
                <w:lang w:val="en-AU"/>
              </w:rPr>
              <w:t>Comment</w:t>
            </w:r>
          </w:p>
        </w:tc>
      </w:tr>
      <w:tr w:rsidR="008C3DCB" w:rsidRPr="003B6D82" w14:paraId="1A9B860A" w14:textId="77777777" w:rsidTr="00E82BC8">
        <w:tc>
          <w:tcPr>
            <w:tcW w:w="5000" w:type="pct"/>
            <w:gridSpan w:val="3"/>
            <w:tcBorders>
              <w:top w:val="single" w:sz="4" w:space="0" w:color="auto"/>
              <w:left w:val="single" w:sz="4" w:space="0" w:color="auto"/>
              <w:bottom w:val="single" w:sz="4" w:space="0" w:color="auto"/>
              <w:right w:val="single" w:sz="4" w:space="0" w:color="auto"/>
            </w:tcBorders>
            <w:hideMark/>
          </w:tcPr>
          <w:p w14:paraId="4E93E3EB" w14:textId="77777777" w:rsidR="008C3DCB" w:rsidRPr="003B6D82" w:rsidRDefault="008C3DCB" w:rsidP="00F9606A">
            <w:pPr>
              <w:pStyle w:val="COMTabletext"/>
              <w:jc w:val="both"/>
              <w:rPr>
                <w:b/>
                <w:bCs w:val="0"/>
                <w:iCs/>
                <w:szCs w:val="20"/>
              </w:rPr>
            </w:pPr>
            <w:r w:rsidRPr="003B6D82">
              <w:rPr>
                <w:b/>
                <w:bCs w:val="0"/>
                <w:iCs/>
                <w:szCs w:val="20"/>
              </w:rPr>
              <w:t>Eligible population</w:t>
            </w:r>
          </w:p>
        </w:tc>
      </w:tr>
      <w:tr w:rsidR="008C3DCB" w:rsidRPr="003B6D82" w14:paraId="5EA3D715" w14:textId="77777777" w:rsidTr="00CF2FE8">
        <w:tc>
          <w:tcPr>
            <w:tcW w:w="950" w:type="pct"/>
            <w:tcBorders>
              <w:top w:val="single" w:sz="4" w:space="0" w:color="auto"/>
              <w:left w:val="single" w:sz="4" w:space="0" w:color="auto"/>
              <w:bottom w:val="single" w:sz="4" w:space="0" w:color="auto"/>
              <w:right w:val="single" w:sz="4" w:space="0" w:color="auto"/>
            </w:tcBorders>
            <w:vAlign w:val="center"/>
            <w:hideMark/>
          </w:tcPr>
          <w:p w14:paraId="5B71F50A" w14:textId="3307ACB0" w:rsidR="008C3DCB" w:rsidRPr="003B6D82" w:rsidRDefault="008C3DCB" w:rsidP="00F9606A">
            <w:pPr>
              <w:pStyle w:val="COMTabletext"/>
              <w:rPr>
                <w:iCs/>
              </w:rPr>
            </w:pPr>
            <w:proofErr w:type="spellStart"/>
            <w:r w:rsidRPr="003B6D82">
              <w:rPr>
                <w:iCs/>
              </w:rPr>
              <w:t>Ruxolitinib</w:t>
            </w:r>
            <w:proofErr w:type="spellEnd"/>
            <w:r w:rsidRPr="003B6D82">
              <w:rPr>
                <w:iCs/>
              </w:rPr>
              <w:t xml:space="preserve"> scripts</w:t>
            </w:r>
          </w:p>
        </w:tc>
        <w:tc>
          <w:tcPr>
            <w:tcW w:w="2034" w:type="pct"/>
            <w:tcBorders>
              <w:top w:val="single" w:sz="4" w:space="0" w:color="auto"/>
              <w:left w:val="single" w:sz="4" w:space="0" w:color="auto"/>
              <w:bottom w:val="single" w:sz="4" w:space="0" w:color="auto"/>
              <w:right w:val="single" w:sz="4" w:space="0" w:color="auto"/>
            </w:tcBorders>
            <w:hideMark/>
          </w:tcPr>
          <w:p w14:paraId="3DD25E72" w14:textId="52FCB933" w:rsidR="008C3DCB" w:rsidRPr="003B6D82" w:rsidRDefault="008C3DCB" w:rsidP="00F9606A">
            <w:pPr>
              <w:pStyle w:val="COMTabletext"/>
              <w:rPr>
                <w:iCs/>
              </w:rPr>
            </w:pPr>
            <w:proofErr w:type="spellStart"/>
            <w:r w:rsidRPr="003B6D82">
              <w:rPr>
                <w:iCs/>
              </w:rPr>
              <w:t>Ruxolitinib</w:t>
            </w:r>
            <w:proofErr w:type="spellEnd"/>
            <w:r w:rsidRPr="003B6D82">
              <w:rPr>
                <w:iCs/>
              </w:rPr>
              <w:t xml:space="preserve"> PBS continuing treatment scripts for intermediate-1, intermediate-2 and </w:t>
            </w:r>
            <w:proofErr w:type="gramStart"/>
            <w:r w:rsidRPr="003B6D82">
              <w:rPr>
                <w:iCs/>
              </w:rPr>
              <w:t>high risk</w:t>
            </w:r>
            <w:proofErr w:type="gramEnd"/>
            <w:r w:rsidRPr="003B6D82">
              <w:rPr>
                <w:iCs/>
              </w:rPr>
              <w:t xml:space="preserve"> MF, dispensed from July 2023 to June 2024</w:t>
            </w:r>
            <w:r w:rsidR="004A3CB5" w:rsidRPr="003B6D82">
              <w:rPr>
                <w:iCs/>
              </w:rPr>
              <w:t>; with an estimated</w:t>
            </w:r>
            <w:r w:rsidR="00A57C72" w:rsidRPr="003B6D82">
              <w:rPr>
                <w:iCs/>
              </w:rPr>
              <w:t xml:space="preserve"> annual growth rate of 7.24% based on </w:t>
            </w:r>
            <w:proofErr w:type="spellStart"/>
            <w:r w:rsidR="00A57C72" w:rsidRPr="003B6D82">
              <w:rPr>
                <w:iCs/>
              </w:rPr>
              <w:t>ruxolitinib</w:t>
            </w:r>
            <w:proofErr w:type="spellEnd"/>
            <w:r w:rsidR="00A57C72" w:rsidRPr="003B6D82">
              <w:rPr>
                <w:iCs/>
              </w:rPr>
              <w:t xml:space="preserve"> scripts between 2020 and 2023.</w:t>
            </w:r>
          </w:p>
        </w:tc>
        <w:tc>
          <w:tcPr>
            <w:tcW w:w="2016" w:type="pct"/>
            <w:tcBorders>
              <w:top w:val="single" w:sz="4" w:space="0" w:color="auto"/>
              <w:left w:val="single" w:sz="4" w:space="0" w:color="auto"/>
              <w:bottom w:val="single" w:sz="4" w:space="0" w:color="auto"/>
              <w:right w:val="single" w:sz="4" w:space="0" w:color="auto"/>
            </w:tcBorders>
            <w:vAlign w:val="center"/>
            <w:hideMark/>
          </w:tcPr>
          <w:p w14:paraId="4A7DFEC6" w14:textId="36535C71" w:rsidR="008C3DCB" w:rsidRPr="003B6D82" w:rsidRDefault="008C3DCB" w:rsidP="00F9606A">
            <w:pPr>
              <w:pStyle w:val="COMTabletext"/>
              <w:rPr>
                <w:iCs/>
              </w:rPr>
            </w:pPr>
            <w:r w:rsidRPr="003B6D82">
              <w:rPr>
                <w:iCs/>
                <w:szCs w:val="20"/>
              </w:rPr>
              <w:t>Th</w:t>
            </w:r>
            <w:r w:rsidR="004D009E">
              <w:rPr>
                <w:iCs/>
                <w:szCs w:val="20"/>
              </w:rPr>
              <w:t>e evaluation considered this</w:t>
            </w:r>
            <w:r w:rsidRPr="003B6D82">
              <w:rPr>
                <w:iCs/>
                <w:szCs w:val="20"/>
              </w:rPr>
              <w:t xml:space="preserve"> appeared reasonable.</w:t>
            </w:r>
          </w:p>
        </w:tc>
      </w:tr>
      <w:tr w:rsidR="008C3DCB" w:rsidRPr="003B6D82" w14:paraId="3EE86608" w14:textId="77777777" w:rsidTr="00CF2FE8">
        <w:tc>
          <w:tcPr>
            <w:tcW w:w="950" w:type="pct"/>
            <w:tcBorders>
              <w:top w:val="single" w:sz="4" w:space="0" w:color="auto"/>
              <w:left w:val="single" w:sz="4" w:space="0" w:color="auto"/>
              <w:bottom w:val="single" w:sz="4" w:space="0" w:color="auto"/>
              <w:right w:val="single" w:sz="4" w:space="0" w:color="auto"/>
            </w:tcBorders>
            <w:vAlign w:val="center"/>
            <w:hideMark/>
          </w:tcPr>
          <w:p w14:paraId="7DDE9D20" w14:textId="55888FD8" w:rsidR="008C3DCB" w:rsidRPr="003B6D82" w:rsidRDefault="008C3DCB">
            <w:pPr>
              <w:pStyle w:val="COMTabletext"/>
              <w:keepNext w:val="0"/>
              <w:rPr>
                <w:iCs/>
              </w:rPr>
            </w:pPr>
            <w:r w:rsidRPr="003B6D82">
              <w:rPr>
                <w:iCs/>
              </w:rPr>
              <w:t>Proportion of patients with intermediate-2</w:t>
            </w:r>
            <w:r w:rsidR="00B644C6">
              <w:rPr>
                <w:iCs/>
              </w:rPr>
              <w:t xml:space="preserve"> or </w:t>
            </w:r>
            <w:proofErr w:type="gramStart"/>
            <w:r w:rsidRPr="003B6D82">
              <w:rPr>
                <w:iCs/>
              </w:rPr>
              <w:t>high risk</w:t>
            </w:r>
            <w:proofErr w:type="gramEnd"/>
            <w:r w:rsidRPr="003B6D82">
              <w:rPr>
                <w:iCs/>
              </w:rPr>
              <w:t xml:space="preserve"> MF</w:t>
            </w:r>
          </w:p>
        </w:tc>
        <w:tc>
          <w:tcPr>
            <w:tcW w:w="2034" w:type="pct"/>
            <w:tcBorders>
              <w:top w:val="single" w:sz="4" w:space="0" w:color="auto"/>
              <w:left w:val="single" w:sz="4" w:space="0" w:color="auto"/>
              <w:bottom w:val="single" w:sz="4" w:space="0" w:color="auto"/>
              <w:right w:val="single" w:sz="4" w:space="0" w:color="auto"/>
            </w:tcBorders>
            <w:vAlign w:val="center"/>
            <w:hideMark/>
          </w:tcPr>
          <w:p w14:paraId="603EBFB2" w14:textId="2BC78999" w:rsidR="008C3DCB" w:rsidRPr="003B6D82" w:rsidRDefault="008C3DCB">
            <w:pPr>
              <w:pStyle w:val="COMTabletext"/>
              <w:keepNext w:val="0"/>
              <w:rPr>
                <w:iCs/>
              </w:rPr>
            </w:pPr>
            <w:r w:rsidRPr="003B6D82">
              <w:rPr>
                <w:iCs/>
              </w:rPr>
              <w:t xml:space="preserve">78.43%; based on </w:t>
            </w:r>
            <w:proofErr w:type="spellStart"/>
            <w:r w:rsidRPr="003B6D82">
              <w:rPr>
                <w:iCs/>
              </w:rPr>
              <w:t>ruxolitinib</w:t>
            </w:r>
            <w:proofErr w:type="spellEnd"/>
            <w:r w:rsidRPr="003B6D82">
              <w:rPr>
                <w:iCs/>
              </w:rPr>
              <w:t xml:space="preserve"> script data</w:t>
            </w:r>
            <w:r w:rsidR="00065BD1" w:rsidRPr="003B6D82">
              <w:rPr>
                <w:iCs/>
              </w:rPr>
              <w:t xml:space="preserve"> (informed by the DHS authority approvals database)</w:t>
            </w:r>
            <w:r w:rsidRPr="003B6D82">
              <w:rPr>
                <w:iCs/>
              </w:rPr>
              <w:t xml:space="preserve"> reported in the 2018 DUSC </w:t>
            </w:r>
            <w:proofErr w:type="spellStart"/>
            <w:r w:rsidRPr="003B6D82">
              <w:rPr>
                <w:iCs/>
              </w:rPr>
              <w:t>ruxolitinib</w:t>
            </w:r>
            <w:proofErr w:type="spellEnd"/>
            <w:r w:rsidRPr="003B6D82">
              <w:rPr>
                <w:iCs/>
              </w:rPr>
              <w:t xml:space="preserve"> utilisation report. The assumed proportion of </w:t>
            </w:r>
            <w:proofErr w:type="spellStart"/>
            <w:r w:rsidRPr="003B6D82">
              <w:rPr>
                <w:iCs/>
              </w:rPr>
              <w:t>ruxolitinib</w:t>
            </w:r>
            <w:proofErr w:type="spellEnd"/>
            <w:r w:rsidRPr="003B6D82">
              <w:rPr>
                <w:iCs/>
              </w:rPr>
              <w:t xml:space="preserve"> intermediate-2</w:t>
            </w:r>
            <w:r w:rsidR="00611E4F">
              <w:rPr>
                <w:iCs/>
              </w:rPr>
              <w:t xml:space="preserve"> or </w:t>
            </w:r>
            <w:proofErr w:type="gramStart"/>
            <w:r w:rsidRPr="003B6D82">
              <w:rPr>
                <w:iCs/>
              </w:rPr>
              <w:t>high risk</w:t>
            </w:r>
            <w:proofErr w:type="gramEnd"/>
            <w:r w:rsidRPr="003B6D82">
              <w:rPr>
                <w:iCs/>
              </w:rPr>
              <w:t xml:space="preserve"> MF scripts was derived from the reported number of </w:t>
            </w:r>
            <w:proofErr w:type="spellStart"/>
            <w:r w:rsidRPr="003B6D82">
              <w:rPr>
                <w:iCs/>
              </w:rPr>
              <w:t>ruxolitinib</w:t>
            </w:r>
            <w:proofErr w:type="spellEnd"/>
            <w:r w:rsidRPr="003B6D82">
              <w:rPr>
                <w:iCs/>
              </w:rPr>
              <w:t xml:space="preserve"> MF scripts in the second year of </w:t>
            </w:r>
            <w:proofErr w:type="spellStart"/>
            <w:r w:rsidRPr="003B6D82">
              <w:rPr>
                <w:iCs/>
              </w:rPr>
              <w:t>ruxolitinib</w:t>
            </w:r>
            <w:proofErr w:type="spellEnd"/>
            <w:r w:rsidRPr="003B6D82">
              <w:rPr>
                <w:iCs/>
              </w:rPr>
              <w:t xml:space="preserve"> listing (7,557÷ [2078 + 7557]).</w:t>
            </w:r>
          </w:p>
        </w:tc>
        <w:tc>
          <w:tcPr>
            <w:tcW w:w="2016" w:type="pct"/>
            <w:tcBorders>
              <w:top w:val="single" w:sz="4" w:space="0" w:color="auto"/>
              <w:left w:val="single" w:sz="4" w:space="0" w:color="auto"/>
              <w:bottom w:val="single" w:sz="4" w:space="0" w:color="auto"/>
              <w:right w:val="single" w:sz="4" w:space="0" w:color="auto"/>
            </w:tcBorders>
            <w:vAlign w:val="center"/>
            <w:hideMark/>
          </w:tcPr>
          <w:p w14:paraId="624CFF3B" w14:textId="7E6842BA" w:rsidR="008C3DCB" w:rsidRPr="003B6D82" w:rsidRDefault="004D009E">
            <w:pPr>
              <w:pStyle w:val="COMTabletext"/>
              <w:keepNext w:val="0"/>
              <w:rPr>
                <w:iCs/>
              </w:rPr>
            </w:pPr>
            <w:r>
              <w:rPr>
                <w:iCs/>
              </w:rPr>
              <w:t>The evaluation considered that i</w:t>
            </w:r>
            <w:r w:rsidR="008C3DCB" w:rsidRPr="003B6D82">
              <w:rPr>
                <w:iCs/>
              </w:rPr>
              <w:t>n the absence of more recent data, this may be a reasonable estimate.</w:t>
            </w:r>
          </w:p>
        </w:tc>
      </w:tr>
      <w:tr w:rsidR="003C212C" w:rsidRPr="003B6D82" w14:paraId="5496680A" w14:textId="77777777" w:rsidTr="00CF2FE8">
        <w:tc>
          <w:tcPr>
            <w:tcW w:w="950" w:type="pct"/>
            <w:tcBorders>
              <w:top w:val="single" w:sz="4" w:space="0" w:color="auto"/>
              <w:left w:val="single" w:sz="4" w:space="0" w:color="auto"/>
              <w:bottom w:val="single" w:sz="4" w:space="0" w:color="auto"/>
              <w:right w:val="single" w:sz="4" w:space="0" w:color="auto"/>
            </w:tcBorders>
            <w:vAlign w:val="center"/>
            <w:hideMark/>
          </w:tcPr>
          <w:p w14:paraId="749F1473" w14:textId="77777777" w:rsidR="003C212C" w:rsidRPr="003B6D82" w:rsidRDefault="003C212C" w:rsidP="003C212C">
            <w:pPr>
              <w:pStyle w:val="COMTabletext"/>
              <w:keepNext w:val="0"/>
              <w:rPr>
                <w:iCs/>
              </w:rPr>
            </w:pPr>
            <w:r w:rsidRPr="003B6D82">
              <w:rPr>
                <w:iCs/>
              </w:rPr>
              <w:t xml:space="preserve">Proportion of patients with loss of </w:t>
            </w:r>
            <w:proofErr w:type="spellStart"/>
            <w:r w:rsidRPr="003B6D82">
              <w:rPr>
                <w:iCs/>
              </w:rPr>
              <w:t>ruxolitinib</w:t>
            </w:r>
            <w:proofErr w:type="spellEnd"/>
            <w:r w:rsidRPr="003B6D82">
              <w:rPr>
                <w:iCs/>
              </w:rPr>
              <w:t xml:space="preserve"> response or who are intolerant to </w:t>
            </w:r>
            <w:proofErr w:type="spellStart"/>
            <w:r w:rsidRPr="003B6D82">
              <w:rPr>
                <w:iCs/>
              </w:rPr>
              <w:t>ruxolitinib</w:t>
            </w:r>
            <w:proofErr w:type="spellEnd"/>
          </w:p>
        </w:tc>
        <w:tc>
          <w:tcPr>
            <w:tcW w:w="2034" w:type="pct"/>
            <w:tcBorders>
              <w:top w:val="single" w:sz="4" w:space="0" w:color="auto"/>
              <w:left w:val="single" w:sz="4" w:space="0" w:color="auto"/>
              <w:bottom w:val="single" w:sz="4" w:space="0" w:color="auto"/>
              <w:right w:val="single" w:sz="4" w:space="0" w:color="auto"/>
            </w:tcBorders>
            <w:vAlign w:val="center"/>
            <w:hideMark/>
          </w:tcPr>
          <w:p w14:paraId="15E06DED" w14:textId="20F66F20" w:rsidR="003C212C" w:rsidRPr="003B6D82" w:rsidRDefault="003C212C" w:rsidP="003C212C">
            <w:pPr>
              <w:pStyle w:val="COMTabletext"/>
              <w:keepNext w:val="0"/>
              <w:rPr>
                <w:iCs/>
              </w:rPr>
            </w:pPr>
            <w:r w:rsidRPr="003B6D82">
              <w:rPr>
                <w:iCs/>
              </w:rPr>
              <w:t xml:space="preserve">51%; based on the proportion of patients who had discontinued </w:t>
            </w:r>
            <w:proofErr w:type="spellStart"/>
            <w:r w:rsidRPr="003B6D82">
              <w:rPr>
                <w:iCs/>
              </w:rPr>
              <w:t>ruxolitinib</w:t>
            </w:r>
            <w:proofErr w:type="spellEnd"/>
            <w:r w:rsidRPr="003B6D82">
              <w:rPr>
                <w:iCs/>
              </w:rPr>
              <w:t xml:space="preserve"> treatment at 3 years in the COMFORT-1 trial, which compared treatment with </w:t>
            </w:r>
            <w:proofErr w:type="spellStart"/>
            <w:r w:rsidRPr="003B6D82">
              <w:rPr>
                <w:iCs/>
              </w:rPr>
              <w:t>ruxolitinib</w:t>
            </w:r>
            <w:proofErr w:type="spellEnd"/>
            <w:r w:rsidRPr="003B6D82">
              <w:rPr>
                <w:iCs/>
              </w:rPr>
              <w:t xml:space="preserve"> versus placebo in patients with intermediate-2 or </w:t>
            </w:r>
            <w:r w:rsidR="003C3278" w:rsidRPr="003B6D82">
              <w:rPr>
                <w:iCs/>
              </w:rPr>
              <w:t>high-risk</w:t>
            </w:r>
            <w:r w:rsidRPr="003B6D82">
              <w:rPr>
                <w:iCs/>
              </w:rPr>
              <w:t xml:space="preserve"> myelofibrosis (</w:t>
            </w:r>
            <w:proofErr w:type="spellStart"/>
            <w:r w:rsidRPr="003B6D82">
              <w:rPr>
                <w:iCs/>
              </w:rPr>
              <w:t>Verstovsek</w:t>
            </w:r>
            <w:proofErr w:type="spellEnd"/>
            <w:r w:rsidRPr="003B6D82">
              <w:rPr>
                <w:iCs/>
              </w:rPr>
              <w:t xml:space="preserve"> et al., 2015).</w:t>
            </w:r>
          </w:p>
        </w:tc>
        <w:tc>
          <w:tcPr>
            <w:tcW w:w="2016" w:type="pct"/>
            <w:tcBorders>
              <w:top w:val="single" w:sz="4" w:space="0" w:color="auto"/>
              <w:left w:val="single" w:sz="4" w:space="0" w:color="auto"/>
              <w:bottom w:val="single" w:sz="4" w:space="0" w:color="auto"/>
              <w:right w:val="single" w:sz="4" w:space="0" w:color="auto"/>
            </w:tcBorders>
            <w:vAlign w:val="center"/>
            <w:hideMark/>
          </w:tcPr>
          <w:p w14:paraId="5DE5D12C" w14:textId="272C51C0" w:rsidR="003C212C" w:rsidRPr="003B6D82" w:rsidRDefault="003C212C" w:rsidP="003C212C">
            <w:pPr>
              <w:pStyle w:val="TableText0"/>
              <w:keepNext w:val="0"/>
              <w:rPr>
                <w:iCs/>
              </w:rPr>
            </w:pPr>
            <w:r w:rsidRPr="003B6D82">
              <w:rPr>
                <w:iCs/>
                <w:szCs w:val="20"/>
              </w:rPr>
              <w:t xml:space="preserve">The 3-year discontinuation rate in the COMFORT-1 trial is not a reasonable proxy for the proportion of patients who will be eligible for </w:t>
            </w:r>
            <w:proofErr w:type="spellStart"/>
            <w:r w:rsidRPr="003B6D82">
              <w:rPr>
                <w:iCs/>
                <w:szCs w:val="20"/>
              </w:rPr>
              <w:t>fedratinib</w:t>
            </w:r>
            <w:proofErr w:type="spellEnd"/>
            <w:r w:rsidRPr="003B6D82">
              <w:rPr>
                <w:iCs/>
                <w:szCs w:val="20"/>
              </w:rPr>
              <w:t xml:space="preserve"> treatment (based on the proposed PBS restriction). Reported reasons for treatment discontinuation in the COMFORT-1 trial included disease progression (23.1%), death (19.2%) adverse events (19.2%), withdrawal of consent (15.4%), non-compliance with medications (1.3%), non-compliance with study (1.3%), and other (23.1%). </w:t>
            </w:r>
          </w:p>
        </w:tc>
      </w:tr>
      <w:tr w:rsidR="008C3DCB" w:rsidRPr="003B6D82" w14:paraId="1E28A819" w14:textId="77777777" w:rsidTr="00E82BC8">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922266B" w14:textId="77777777" w:rsidR="008C3DCB" w:rsidRPr="003B6D82" w:rsidRDefault="008C3DCB" w:rsidP="00382470">
            <w:pPr>
              <w:pStyle w:val="TableText0"/>
              <w:jc w:val="both"/>
              <w:rPr>
                <w:iCs/>
              </w:rPr>
            </w:pPr>
            <w:r w:rsidRPr="003B6D82">
              <w:rPr>
                <w:b/>
                <w:bCs w:val="0"/>
                <w:iCs/>
              </w:rPr>
              <w:t>Treatment utilisation</w:t>
            </w:r>
          </w:p>
        </w:tc>
      </w:tr>
      <w:tr w:rsidR="008C3DCB" w:rsidRPr="003B6D82" w14:paraId="76912741" w14:textId="77777777" w:rsidTr="00CF2FE8">
        <w:tc>
          <w:tcPr>
            <w:tcW w:w="950" w:type="pct"/>
            <w:tcBorders>
              <w:top w:val="single" w:sz="4" w:space="0" w:color="auto"/>
              <w:left w:val="single" w:sz="4" w:space="0" w:color="auto"/>
              <w:bottom w:val="single" w:sz="4" w:space="0" w:color="auto"/>
              <w:right w:val="single" w:sz="4" w:space="0" w:color="auto"/>
            </w:tcBorders>
            <w:vAlign w:val="center"/>
          </w:tcPr>
          <w:p w14:paraId="6A661858" w14:textId="4AFEE08A" w:rsidR="008C3DCB" w:rsidRPr="003B6D82" w:rsidRDefault="008C3DCB">
            <w:pPr>
              <w:pStyle w:val="COMTabletext"/>
              <w:keepNext w:val="0"/>
              <w:rPr>
                <w:iCs/>
              </w:rPr>
            </w:pPr>
            <w:r w:rsidRPr="003B6D82">
              <w:rPr>
                <w:iCs/>
              </w:rPr>
              <w:t xml:space="preserve">Uptake rate for </w:t>
            </w:r>
            <w:proofErr w:type="spellStart"/>
            <w:r w:rsidRPr="003B6D82">
              <w:rPr>
                <w:iCs/>
              </w:rPr>
              <w:t>fedratinib</w:t>
            </w:r>
            <w:proofErr w:type="spellEnd"/>
            <w:r w:rsidR="005D0194">
              <w:rPr>
                <w:iCs/>
              </w:rPr>
              <w:t xml:space="preserve"> </w:t>
            </w:r>
            <w:r w:rsidR="00733FBC" w:rsidRPr="00733FBC">
              <w:rPr>
                <w:iCs/>
                <w:color w:val="000000"/>
                <w:spacing w:val="53"/>
                <w:shd w:val="solid" w:color="000000" w:fill="000000"/>
                <w:fitText w:val="330" w:id="-663571955"/>
                <w14:textFill>
                  <w14:solidFill>
                    <w14:srgbClr w14:val="000000">
                      <w14:alpha w14:val="100000"/>
                    </w14:srgbClr>
                  </w14:solidFill>
                </w14:textFill>
              </w:rPr>
              <w:t>|||</w:t>
            </w:r>
            <w:r w:rsidR="00733FBC" w:rsidRPr="00733FBC">
              <w:rPr>
                <w:iCs/>
                <w:color w:val="000000"/>
                <w:spacing w:val="1"/>
                <w:shd w:val="solid" w:color="000000" w:fill="000000"/>
                <w:fitText w:val="330" w:id="-663571955"/>
                <w14:textFill>
                  <w14:solidFill>
                    <w14:srgbClr w14:val="000000">
                      <w14:alpha w14:val="100000"/>
                    </w14:srgbClr>
                  </w14:solidFill>
                </w14:textFill>
              </w:rPr>
              <w:t>|</w:t>
            </w:r>
            <w:r w:rsidRPr="003B6D82">
              <w:rPr>
                <w:iCs/>
              </w:rPr>
              <w:t>%</w:t>
            </w:r>
          </w:p>
        </w:tc>
        <w:tc>
          <w:tcPr>
            <w:tcW w:w="2034" w:type="pct"/>
            <w:tcBorders>
              <w:top w:val="single" w:sz="4" w:space="0" w:color="auto"/>
              <w:left w:val="single" w:sz="4" w:space="0" w:color="auto"/>
              <w:bottom w:val="single" w:sz="4" w:space="0" w:color="auto"/>
              <w:right w:val="single" w:sz="4" w:space="0" w:color="auto"/>
            </w:tcBorders>
            <w:vAlign w:val="center"/>
            <w:hideMark/>
          </w:tcPr>
          <w:p w14:paraId="69C0D7D6" w14:textId="264037AB" w:rsidR="008C3DCB" w:rsidRPr="003B6D82" w:rsidRDefault="00733FBC">
            <w:pPr>
              <w:pStyle w:val="TableText0"/>
              <w:keepNext w:val="0"/>
              <w:rPr>
                <w:iCs/>
              </w:rPr>
            </w:pPr>
            <w:r w:rsidRPr="00733FBC">
              <w:rPr>
                <w:iCs/>
                <w:color w:val="000000"/>
                <w:spacing w:val="53"/>
                <w:shd w:val="solid" w:color="000000" w:fill="000000"/>
                <w:fitText w:val="330" w:id="-663571954"/>
                <w14:textFill>
                  <w14:solidFill>
                    <w14:srgbClr w14:val="000000">
                      <w14:alpha w14:val="100000"/>
                    </w14:srgbClr>
                  </w14:solidFill>
                </w14:textFill>
              </w:rPr>
              <w:t>|||</w:t>
            </w:r>
            <w:r w:rsidRPr="00733FBC">
              <w:rPr>
                <w:iCs/>
                <w:color w:val="000000"/>
                <w:spacing w:val="1"/>
                <w:shd w:val="solid" w:color="000000" w:fill="000000"/>
                <w:fitText w:val="330" w:id="-663571954"/>
                <w14:textFill>
                  <w14:solidFill>
                    <w14:srgbClr w14:val="000000">
                      <w14:alpha w14:val="100000"/>
                    </w14:srgbClr>
                  </w14:solidFill>
                </w14:textFill>
              </w:rPr>
              <w:t>|</w:t>
            </w:r>
            <w:r w:rsidR="008C3DCB" w:rsidRPr="003B6D82">
              <w:rPr>
                <w:iCs/>
              </w:rPr>
              <w:t xml:space="preserve">%; based on the </w:t>
            </w:r>
            <w:r w:rsidR="00336822" w:rsidRPr="003B6D82">
              <w:rPr>
                <w:iCs/>
              </w:rPr>
              <w:t>average uptake rates estimated in a sponsor-commissioned survey</w:t>
            </w:r>
            <w:r w:rsidR="008C3DCB" w:rsidRPr="003B6D82">
              <w:rPr>
                <w:iCs/>
              </w:rPr>
              <w:t xml:space="preserve"> of 11 haematologists conducted in September to October 2024. Respondents were asked to indicate the proportion of intermediate-2/high risk MF patients currently receiving </w:t>
            </w:r>
            <w:proofErr w:type="spellStart"/>
            <w:r w:rsidR="008C3DCB" w:rsidRPr="003B6D82">
              <w:rPr>
                <w:iCs/>
              </w:rPr>
              <w:t>ruxolitinib</w:t>
            </w:r>
            <w:proofErr w:type="spellEnd"/>
            <w:r w:rsidR="008C3DCB" w:rsidRPr="003B6D82">
              <w:rPr>
                <w:iCs/>
              </w:rPr>
              <w:t xml:space="preserve"> and experiencing suboptimal efficacy or intolerances that they would switch to </w:t>
            </w:r>
            <w:proofErr w:type="spellStart"/>
            <w:r w:rsidR="008C3DCB" w:rsidRPr="003B6D82">
              <w:rPr>
                <w:iCs/>
              </w:rPr>
              <w:t>fedratinib</w:t>
            </w:r>
            <w:proofErr w:type="spellEnd"/>
            <w:r w:rsidR="008C3DCB" w:rsidRPr="003B6D82">
              <w:rPr>
                <w:iCs/>
              </w:rPr>
              <w:t xml:space="preserve"> if it was available on the PBS.</w:t>
            </w:r>
          </w:p>
        </w:tc>
        <w:tc>
          <w:tcPr>
            <w:tcW w:w="2016" w:type="pct"/>
            <w:tcBorders>
              <w:top w:val="single" w:sz="4" w:space="0" w:color="auto"/>
              <w:left w:val="single" w:sz="4" w:space="0" w:color="auto"/>
              <w:bottom w:val="single" w:sz="4" w:space="0" w:color="auto"/>
              <w:right w:val="single" w:sz="4" w:space="0" w:color="auto"/>
            </w:tcBorders>
            <w:vAlign w:val="center"/>
            <w:hideMark/>
          </w:tcPr>
          <w:p w14:paraId="26250DDA" w14:textId="2CFE35C5" w:rsidR="008C3DCB" w:rsidRPr="003B6D82" w:rsidRDefault="008C3DCB">
            <w:pPr>
              <w:pStyle w:val="TableText0"/>
              <w:keepNext w:val="0"/>
              <w:rPr>
                <w:iCs/>
              </w:rPr>
            </w:pPr>
            <w:r w:rsidRPr="003B6D82">
              <w:rPr>
                <w:iCs/>
              </w:rPr>
              <w:t xml:space="preserve">A wide range of uptake estimates were reported across the surveyed haematologists (33% to 100%). </w:t>
            </w:r>
            <w:r w:rsidR="009B5D18" w:rsidRPr="003B6D82">
              <w:rPr>
                <w:iCs/>
              </w:rPr>
              <w:t>T</w:t>
            </w:r>
            <w:r w:rsidRPr="003B6D82">
              <w:rPr>
                <w:iCs/>
              </w:rPr>
              <w:t xml:space="preserve">he uptake estimates did not </w:t>
            </w:r>
            <w:r w:rsidR="00EE5A56" w:rsidRPr="003B6D82">
              <w:rPr>
                <w:iCs/>
              </w:rPr>
              <w:t>consider</w:t>
            </w:r>
            <w:r w:rsidRPr="003B6D82">
              <w:rPr>
                <w:iCs/>
              </w:rPr>
              <w:t xml:space="preserve"> the </w:t>
            </w:r>
            <w:r w:rsidR="003B3EF1">
              <w:rPr>
                <w:iCs/>
              </w:rPr>
              <w:t>PBS</w:t>
            </w:r>
            <w:r w:rsidRPr="003B6D82">
              <w:rPr>
                <w:iCs/>
              </w:rPr>
              <w:t xml:space="preserve"> listing of </w:t>
            </w:r>
            <w:proofErr w:type="spellStart"/>
            <w:r w:rsidRPr="003B6D82">
              <w:rPr>
                <w:iCs/>
              </w:rPr>
              <w:t>momelotinib</w:t>
            </w:r>
            <w:proofErr w:type="spellEnd"/>
            <w:r w:rsidR="003B3EF1">
              <w:rPr>
                <w:iCs/>
              </w:rPr>
              <w:t xml:space="preserve"> (1 April 2025)</w:t>
            </w:r>
            <w:r w:rsidRPr="003B6D82">
              <w:rPr>
                <w:iCs/>
              </w:rPr>
              <w:t>. The assumption of constant uptake over the initial 6 years of listing may not be reasonable.</w:t>
            </w:r>
          </w:p>
        </w:tc>
      </w:tr>
      <w:tr w:rsidR="008C3DCB" w:rsidRPr="003B6D82" w14:paraId="780AA6A6" w14:textId="77777777" w:rsidTr="00CF2FE8">
        <w:tc>
          <w:tcPr>
            <w:tcW w:w="950" w:type="pct"/>
            <w:tcBorders>
              <w:top w:val="single" w:sz="4" w:space="0" w:color="auto"/>
              <w:left w:val="single" w:sz="4" w:space="0" w:color="auto"/>
              <w:bottom w:val="single" w:sz="4" w:space="0" w:color="auto"/>
              <w:right w:val="single" w:sz="4" w:space="0" w:color="auto"/>
            </w:tcBorders>
            <w:vAlign w:val="center"/>
            <w:hideMark/>
          </w:tcPr>
          <w:p w14:paraId="399BD842" w14:textId="77777777" w:rsidR="008C3DCB" w:rsidRPr="003B6D82" w:rsidRDefault="008C3DCB">
            <w:pPr>
              <w:pStyle w:val="COMTabletext"/>
              <w:keepNext w:val="0"/>
              <w:rPr>
                <w:iCs/>
              </w:rPr>
            </w:pPr>
            <w:proofErr w:type="spellStart"/>
            <w:r w:rsidRPr="003B6D82">
              <w:rPr>
                <w:iCs/>
              </w:rPr>
              <w:t>Fedratinib</w:t>
            </w:r>
            <w:proofErr w:type="spellEnd"/>
            <w:r w:rsidRPr="003B6D82">
              <w:rPr>
                <w:iCs/>
              </w:rPr>
              <w:t xml:space="preserve"> treatment adherence</w:t>
            </w:r>
          </w:p>
        </w:tc>
        <w:tc>
          <w:tcPr>
            <w:tcW w:w="2034" w:type="pct"/>
            <w:tcBorders>
              <w:top w:val="single" w:sz="4" w:space="0" w:color="auto"/>
              <w:left w:val="single" w:sz="4" w:space="0" w:color="auto"/>
              <w:bottom w:val="single" w:sz="4" w:space="0" w:color="auto"/>
              <w:right w:val="single" w:sz="4" w:space="0" w:color="auto"/>
            </w:tcBorders>
            <w:vAlign w:val="center"/>
            <w:hideMark/>
          </w:tcPr>
          <w:p w14:paraId="2AC42855" w14:textId="0C2CFB36" w:rsidR="008C3DCB" w:rsidRPr="003B6D82" w:rsidRDefault="008C3DCB">
            <w:pPr>
              <w:pStyle w:val="TableText0"/>
              <w:keepNext w:val="0"/>
              <w:rPr>
                <w:iCs/>
              </w:rPr>
            </w:pPr>
            <w:r w:rsidRPr="003B6D82">
              <w:rPr>
                <w:iCs/>
              </w:rPr>
              <w:t xml:space="preserve">0.967; based on the median </w:t>
            </w:r>
            <w:r w:rsidR="00505BD8" w:rsidRPr="003B6D82">
              <w:rPr>
                <w:iCs/>
              </w:rPr>
              <w:t>dose intensity</w:t>
            </w:r>
            <w:r w:rsidRPr="003B6D82">
              <w:rPr>
                <w:iCs/>
              </w:rPr>
              <w:t xml:space="preserve"> reported for the </w:t>
            </w:r>
            <w:proofErr w:type="spellStart"/>
            <w:r w:rsidRPr="003B6D82">
              <w:rPr>
                <w:iCs/>
              </w:rPr>
              <w:t>fedratinib</w:t>
            </w:r>
            <w:proofErr w:type="spellEnd"/>
            <w:r w:rsidRPr="003B6D82">
              <w:rPr>
                <w:iCs/>
              </w:rPr>
              <w:t xml:space="preserve"> arm of the FREEDOM-2 trial.</w:t>
            </w:r>
          </w:p>
        </w:tc>
        <w:tc>
          <w:tcPr>
            <w:tcW w:w="2016" w:type="pct"/>
            <w:tcBorders>
              <w:top w:val="single" w:sz="4" w:space="0" w:color="auto"/>
              <w:left w:val="single" w:sz="4" w:space="0" w:color="auto"/>
              <w:bottom w:val="single" w:sz="4" w:space="0" w:color="auto"/>
              <w:right w:val="single" w:sz="4" w:space="0" w:color="auto"/>
            </w:tcBorders>
            <w:vAlign w:val="center"/>
            <w:hideMark/>
          </w:tcPr>
          <w:p w14:paraId="424BFBE0" w14:textId="67BD572B" w:rsidR="008C3DCB" w:rsidRPr="003B6D82" w:rsidRDefault="008C3DCB">
            <w:pPr>
              <w:pStyle w:val="TableText0"/>
              <w:rPr>
                <w:iCs/>
              </w:rPr>
            </w:pPr>
            <w:r w:rsidRPr="003B6D82">
              <w:rPr>
                <w:iCs/>
              </w:rPr>
              <w:t xml:space="preserve">The median dose intensity reported for </w:t>
            </w:r>
            <w:proofErr w:type="spellStart"/>
            <w:r w:rsidRPr="003B6D82">
              <w:rPr>
                <w:iCs/>
              </w:rPr>
              <w:t>fedratinib</w:t>
            </w:r>
            <w:proofErr w:type="spellEnd"/>
            <w:r w:rsidRPr="003B6D82">
              <w:rPr>
                <w:iCs/>
              </w:rPr>
              <w:t xml:space="preserve"> in the FREEDOM-2 trial may not reflect treatment </w:t>
            </w:r>
            <w:r w:rsidR="00717943" w:rsidRPr="003B6D82">
              <w:rPr>
                <w:iCs/>
              </w:rPr>
              <w:t>patterns</w:t>
            </w:r>
            <w:r w:rsidRPr="003B6D82">
              <w:rPr>
                <w:iCs/>
              </w:rPr>
              <w:t xml:space="preserve"> in clinical practice. Additionally, the relative treatment adherence for </w:t>
            </w:r>
            <w:proofErr w:type="spellStart"/>
            <w:r w:rsidRPr="003B6D82">
              <w:rPr>
                <w:iCs/>
              </w:rPr>
              <w:t>ruxolitinib</w:t>
            </w:r>
            <w:proofErr w:type="spellEnd"/>
            <w:r w:rsidRPr="003B6D82">
              <w:rPr>
                <w:iCs/>
              </w:rPr>
              <w:t xml:space="preserve"> and </w:t>
            </w:r>
            <w:proofErr w:type="spellStart"/>
            <w:r w:rsidRPr="003B6D82">
              <w:rPr>
                <w:iCs/>
              </w:rPr>
              <w:t>fedratinib</w:t>
            </w:r>
            <w:proofErr w:type="spellEnd"/>
            <w:r w:rsidRPr="003B6D82">
              <w:rPr>
                <w:iCs/>
              </w:rPr>
              <w:t xml:space="preserve"> implied by the market share approach may not reflect the relative treatment adherence for </w:t>
            </w:r>
            <w:proofErr w:type="spellStart"/>
            <w:r w:rsidRPr="003B6D82">
              <w:rPr>
                <w:iCs/>
              </w:rPr>
              <w:t>ruxolitinib</w:t>
            </w:r>
            <w:proofErr w:type="spellEnd"/>
            <w:r w:rsidRPr="003B6D82">
              <w:rPr>
                <w:iCs/>
              </w:rPr>
              <w:t xml:space="preserve"> and </w:t>
            </w:r>
            <w:proofErr w:type="spellStart"/>
            <w:r w:rsidRPr="003B6D82">
              <w:rPr>
                <w:iCs/>
              </w:rPr>
              <w:t>fedratinib</w:t>
            </w:r>
            <w:proofErr w:type="spellEnd"/>
            <w:r w:rsidRPr="003B6D82">
              <w:rPr>
                <w:iCs/>
              </w:rPr>
              <w:t xml:space="preserve"> in clinical practice.</w:t>
            </w:r>
          </w:p>
        </w:tc>
      </w:tr>
      <w:tr w:rsidR="008C3DCB" w:rsidRPr="003B6D82" w14:paraId="0F0FEE29" w14:textId="77777777" w:rsidTr="005E011A">
        <w:trPr>
          <w:trHeight w:val="1644"/>
        </w:trPr>
        <w:tc>
          <w:tcPr>
            <w:tcW w:w="950" w:type="pct"/>
            <w:tcBorders>
              <w:top w:val="single" w:sz="4" w:space="0" w:color="auto"/>
              <w:left w:val="single" w:sz="4" w:space="0" w:color="auto"/>
              <w:bottom w:val="single" w:sz="4" w:space="0" w:color="auto"/>
              <w:right w:val="single" w:sz="4" w:space="0" w:color="auto"/>
            </w:tcBorders>
            <w:vAlign w:val="center"/>
            <w:hideMark/>
          </w:tcPr>
          <w:p w14:paraId="4BA82C2F" w14:textId="77777777" w:rsidR="008C3DCB" w:rsidRPr="003B6D82" w:rsidRDefault="008C3DCB">
            <w:pPr>
              <w:pStyle w:val="COMTabletext"/>
              <w:keepNext w:val="0"/>
              <w:rPr>
                <w:iCs/>
              </w:rPr>
            </w:pPr>
            <w:proofErr w:type="spellStart"/>
            <w:r w:rsidRPr="003B6D82">
              <w:rPr>
                <w:iCs/>
              </w:rPr>
              <w:t>Fedratinib</w:t>
            </w:r>
            <w:proofErr w:type="spellEnd"/>
            <w:r w:rsidRPr="003B6D82">
              <w:rPr>
                <w:iCs/>
              </w:rPr>
              <w:t xml:space="preserve"> script equivalence - </w:t>
            </w:r>
            <w:proofErr w:type="spellStart"/>
            <w:r w:rsidRPr="003B6D82">
              <w:rPr>
                <w:iCs/>
              </w:rPr>
              <w:t>ruxolitinib</w:t>
            </w:r>
            <w:proofErr w:type="spellEnd"/>
            <w:r w:rsidRPr="003B6D82">
              <w:rPr>
                <w:iCs/>
              </w:rPr>
              <w:t xml:space="preserve"> 5 mg scripts</w:t>
            </w:r>
          </w:p>
        </w:tc>
        <w:tc>
          <w:tcPr>
            <w:tcW w:w="2034" w:type="pct"/>
            <w:tcBorders>
              <w:top w:val="single" w:sz="4" w:space="0" w:color="auto"/>
              <w:left w:val="single" w:sz="4" w:space="0" w:color="auto"/>
              <w:bottom w:val="single" w:sz="4" w:space="0" w:color="auto"/>
              <w:right w:val="single" w:sz="4" w:space="0" w:color="auto"/>
            </w:tcBorders>
            <w:vAlign w:val="center"/>
            <w:hideMark/>
          </w:tcPr>
          <w:p w14:paraId="0DB3E6E9" w14:textId="77777777" w:rsidR="008C3DCB" w:rsidRPr="003B6D82" w:rsidRDefault="008C3DCB">
            <w:pPr>
              <w:pStyle w:val="TableText0"/>
              <w:keepNext w:val="0"/>
              <w:rPr>
                <w:iCs/>
              </w:rPr>
            </w:pPr>
            <w:r w:rsidRPr="003B6D82">
              <w:rPr>
                <w:iCs/>
              </w:rPr>
              <w:t xml:space="preserve">1.81; based on the assumption that the maximum quantity of 112 </w:t>
            </w:r>
            <w:proofErr w:type="spellStart"/>
            <w:r w:rsidRPr="003B6D82">
              <w:rPr>
                <w:iCs/>
              </w:rPr>
              <w:t>ruxolitinib</w:t>
            </w:r>
            <w:proofErr w:type="spellEnd"/>
            <w:r w:rsidRPr="003B6D82">
              <w:rPr>
                <w:iCs/>
              </w:rPr>
              <w:t xml:space="preserve"> 5 mg tablets provides 56 days of treatment, and each pack of 120 </w:t>
            </w:r>
            <w:proofErr w:type="spellStart"/>
            <w:r w:rsidRPr="003B6D82">
              <w:rPr>
                <w:iCs/>
              </w:rPr>
              <w:t>fedratinib</w:t>
            </w:r>
            <w:proofErr w:type="spellEnd"/>
            <w:r w:rsidRPr="003B6D82">
              <w:rPr>
                <w:iCs/>
              </w:rPr>
              <w:t xml:space="preserve"> 100 mg capsules provides 31 days of treatment (after adjustment for treatment adherence of 0.967 reported in the FREEDOM-2 trial; 30 days ÷ 0.967 = 31.0).</w:t>
            </w:r>
          </w:p>
        </w:tc>
        <w:tc>
          <w:tcPr>
            <w:tcW w:w="2016" w:type="pct"/>
            <w:vMerge w:val="restart"/>
            <w:tcBorders>
              <w:top w:val="single" w:sz="4" w:space="0" w:color="auto"/>
              <w:left w:val="single" w:sz="4" w:space="0" w:color="auto"/>
              <w:bottom w:val="single" w:sz="4" w:space="0" w:color="auto"/>
              <w:right w:val="single" w:sz="4" w:space="0" w:color="auto"/>
            </w:tcBorders>
            <w:vAlign w:val="center"/>
            <w:hideMark/>
          </w:tcPr>
          <w:p w14:paraId="49AE3855" w14:textId="77777777" w:rsidR="008C3DCB" w:rsidRPr="003B6D82" w:rsidRDefault="008C3DCB">
            <w:pPr>
              <w:pStyle w:val="TableText0"/>
              <w:keepNext w:val="0"/>
              <w:spacing w:after="120"/>
              <w:rPr>
                <w:iCs/>
              </w:rPr>
            </w:pPr>
            <w:r w:rsidRPr="003B6D82">
              <w:rPr>
                <w:iCs/>
              </w:rPr>
              <w:t xml:space="preserve">The market share approach adopted in the submission did not account for eligible patients who have discontinued </w:t>
            </w:r>
            <w:proofErr w:type="spellStart"/>
            <w:r w:rsidRPr="003B6D82">
              <w:rPr>
                <w:iCs/>
              </w:rPr>
              <w:t>ruxolitinib</w:t>
            </w:r>
            <w:proofErr w:type="spellEnd"/>
            <w:r w:rsidRPr="003B6D82">
              <w:rPr>
                <w:iCs/>
              </w:rPr>
              <w:t xml:space="preserve"> treatment, which will underestimate the cost of </w:t>
            </w:r>
            <w:proofErr w:type="spellStart"/>
            <w:r w:rsidRPr="003B6D82">
              <w:rPr>
                <w:iCs/>
              </w:rPr>
              <w:t>fedratinib</w:t>
            </w:r>
            <w:proofErr w:type="spellEnd"/>
            <w:r w:rsidRPr="003B6D82">
              <w:rPr>
                <w:iCs/>
              </w:rPr>
              <w:t xml:space="preserve"> to the PBS.</w:t>
            </w:r>
          </w:p>
          <w:p w14:paraId="3BB3FDDB" w14:textId="77777777" w:rsidR="008C3DCB" w:rsidRPr="003B6D82" w:rsidRDefault="008C3DCB">
            <w:pPr>
              <w:pStyle w:val="TableText0"/>
              <w:keepNext w:val="0"/>
              <w:spacing w:after="120"/>
              <w:rPr>
                <w:iCs/>
              </w:rPr>
            </w:pPr>
            <w:r w:rsidRPr="003B6D82">
              <w:rPr>
                <w:iCs/>
              </w:rPr>
              <w:lastRenderedPageBreak/>
              <w:t xml:space="preserve">The script equivalence did not account for differences in treatment persistence between </w:t>
            </w:r>
            <w:proofErr w:type="spellStart"/>
            <w:r w:rsidRPr="003B6D82">
              <w:rPr>
                <w:iCs/>
              </w:rPr>
              <w:t>ruxolitinib</w:t>
            </w:r>
            <w:proofErr w:type="spellEnd"/>
            <w:r w:rsidRPr="003B6D82">
              <w:rPr>
                <w:iCs/>
              </w:rPr>
              <w:t xml:space="preserve"> and </w:t>
            </w:r>
            <w:proofErr w:type="spellStart"/>
            <w:r w:rsidRPr="003B6D82">
              <w:rPr>
                <w:iCs/>
              </w:rPr>
              <w:t>fedratinib</w:t>
            </w:r>
            <w:proofErr w:type="spellEnd"/>
            <w:r w:rsidRPr="003B6D82">
              <w:rPr>
                <w:iCs/>
              </w:rPr>
              <w:t xml:space="preserve">. The submission argued that the availability of </w:t>
            </w:r>
            <w:proofErr w:type="spellStart"/>
            <w:r w:rsidRPr="003B6D82">
              <w:rPr>
                <w:iCs/>
              </w:rPr>
              <w:t>fedratinib</w:t>
            </w:r>
            <w:proofErr w:type="spellEnd"/>
            <w:r w:rsidRPr="003B6D82">
              <w:rPr>
                <w:iCs/>
              </w:rPr>
              <w:t xml:space="preserve"> would allow patients to remain on JAK inhibitor therapy for longer, which will result in additional cost to the PBS.</w:t>
            </w:r>
          </w:p>
          <w:p w14:paraId="031E8065" w14:textId="77777777" w:rsidR="008C3DCB" w:rsidRPr="003B6D82" w:rsidRDefault="008C3DCB">
            <w:pPr>
              <w:pStyle w:val="TableText0"/>
              <w:keepNext w:val="0"/>
              <w:spacing w:after="120"/>
              <w:rPr>
                <w:iCs/>
              </w:rPr>
            </w:pPr>
            <w:r w:rsidRPr="003B6D82">
              <w:rPr>
                <w:iCs/>
              </w:rPr>
              <w:t xml:space="preserve">The script equivalence for </w:t>
            </w:r>
            <w:proofErr w:type="spellStart"/>
            <w:r w:rsidRPr="003B6D82">
              <w:rPr>
                <w:iCs/>
              </w:rPr>
              <w:t>ruxolitinib</w:t>
            </w:r>
            <w:proofErr w:type="spellEnd"/>
            <w:r w:rsidRPr="003B6D82">
              <w:rPr>
                <w:iCs/>
              </w:rPr>
              <w:t xml:space="preserve"> 5 mg </w:t>
            </w:r>
            <w:proofErr w:type="gramStart"/>
            <w:r w:rsidRPr="003B6D82">
              <w:rPr>
                <w:iCs/>
              </w:rPr>
              <w:t>was based on the assumption</w:t>
            </w:r>
            <w:proofErr w:type="gramEnd"/>
            <w:r w:rsidRPr="003B6D82">
              <w:rPr>
                <w:iCs/>
              </w:rPr>
              <w:t xml:space="preserve"> that all patients would receive the maximum quantity of 2 packs per dispensing, however, some patients may only be prescribed 1 pack per script. </w:t>
            </w:r>
          </w:p>
          <w:p w14:paraId="44306142" w14:textId="77777777" w:rsidR="008C3DCB" w:rsidRPr="003B6D82" w:rsidRDefault="008C3DCB">
            <w:pPr>
              <w:pStyle w:val="TableText0"/>
              <w:keepNext w:val="0"/>
              <w:rPr>
                <w:iCs/>
              </w:rPr>
            </w:pPr>
            <w:r w:rsidRPr="003B6D82">
              <w:rPr>
                <w:iCs/>
              </w:rPr>
              <w:t xml:space="preserve">The assumed equivalence does not account for patients receiving the maximum </w:t>
            </w:r>
            <w:proofErr w:type="spellStart"/>
            <w:r w:rsidRPr="003B6D82">
              <w:rPr>
                <w:iCs/>
              </w:rPr>
              <w:t>ruxolitinib</w:t>
            </w:r>
            <w:proofErr w:type="spellEnd"/>
            <w:r w:rsidRPr="003B6D82">
              <w:rPr>
                <w:iCs/>
              </w:rPr>
              <w:t xml:space="preserve"> dose of 25 mg twice daily, who would require 2 scripts to make the required dose. </w:t>
            </w:r>
          </w:p>
        </w:tc>
      </w:tr>
      <w:tr w:rsidR="008C3DCB" w:rsidRPr="003B6D82" w14:paraId="49430B16" w14:textId="77777777" w:rsidTr="00CF2FE8">
        <w:trPr>
          <w:trHeight w:val="2585"/>
        </w:trPr>
        <w:tc>
          <w:tcPr>
            <w:tcW w:w="950" w:type="pct"/>
            <w:tcBorders>
              <w:top w:val="single" w:sz="4" w:space="0" w:color="auto"/>
              <w:left w:val="single" w:sz="4" w:space="0" w:color="auto"/>
              <w:bottom w:val="single" w:sz="4" w:space="0" w:color="auto"/>
              <w:right w:val="single" w:sz="4" w:space="0" w:color="auto"/>
            </w:tcBorders>
            <w:vAlign w:val="center"/>
            <w:hideMark/>
          </w:tcPr>
          <w:p w14:paraId="71304274" w14:textId="77777777" w:rsidR="008C3DCB" w:rsidRPr="003B6D82" w:rsidRDefault="008C3DCB">
            <w:pPr>
              <w:pStyle w:val="COMTabletext"/>
              <w:keepNext w:val="0"/>
              <w:rPr>
                <w:iCs/>
              </w:rPr>
            </w:pPr>
            <w:proofErr w:type="spellStart"/>
            <w:r w:rsidRPr="003B6D82">
              <w:rPr>
                <w:iCs/>
              </w:rPr>
              <w:lastRenderedPageBreak/>
              <w:t>Fedratinib</w:t>
            </w:r>
            <w:proofErr w:type="spellEnd"/>
            <w:r w:rsidRPr="003B6D82">
              <w:rPr>
                <w:iCs/>
              </w:rPr>
              <w:t xml:space="preserve"> script equivalence - </w:t>
            </w:r>
            <w:proofErr w:type="spellStart"/>
            <w:r w:rsidRPr="003B6D82">
              <w:rPr>
                <w:iCs/>
              </w:rPr>
              <w:t>ruxolitinib</w:t>
            </w:r>
            <w:proofErr w:type="spellEnd"/>
            <w:r w:rsidRPr="003B6D82">
              <w:rPr>
                <w:iCs/>
              </w:rPr>
              <w:t xml:space="preserve"> 10 mg, 15 mg and 20 mg scripts</w:t>
            </w:r>
          </w:p>
        </w:tc>
        <w:tc>
          <w:tcPr>
            <w:tcW w:w="2034" w:type="pct"/>
            <w:tcBorders>
              <w:top w:val="single" w:sz="4" w:space="0" w:color="auto"/>
              <w:left w:val="single" w:sz="4" w:space="0" w:color="auto"/>
              <w:bottom w:val="single" w:sz="4" w:space="0" w:color="auto"/>
              <w:right w:val="single" w:sz="4" w:space="0" w:color="auto"/>
            </w:tcBorders>
            <w:vAlign w:val="center"/>
            <w:hideMark/>
          </w:tcPr>
          <w:p w14:paraId="637258BF" w14:textId="77777777" w:rsidR="008C3DCB" w:rsidRPr="003B6D82" w:rsidRDefault="008C3DCB">
            <w:pPr>
              <w:pStyle w:val="TableText0"/>
              <w:keepNext w:val="0"/>
              <w:rPr>
                <w:iCs/>
              </w:rPr>
            </w:pPr>
            <w:r w:rsidRPr="003B6D82">
              <w:rPr>
                <w:iCs/>
              </w:rPr>
              <w:t xml:space="preserve">0.90; based on the assumption that each pack of 56 </w:t>
            </w:r>
            <w:proofErr w:type="spellStart"/>
            <w:r w:rsidRPr="003B6D82">
              <w:rPr>
                <w:iCs/>
              </w:rPr>
              <w:t>ruxolitinib</w:t>
            </w:r>
            <w:proofErr w:type="spellEnd"/>
            <w:r w:rsidRPr="003B6D82">
              <w:rPr>
                <w:iCs/>
              </w:rPr>
              <w:t xml:space="preserve"> 10 mg, 15 mg and 20 mg tablets provides 28 days of treatment, and each pack of 120 </w:t>
            </w:r>
            <w:proofErr w:type="spellStart"/>
            <w:r w:rsidRPr="003B6D82">
              <w:rPr>
                <w:iCs/>
              </w:rPr>
              <w:t>fedratinib</w:t>
            </w:r>
            <w:proofErr w:type="spellEnd"/>
            <w:r w:rsidRPr="003B6D82">
              <w:rPr>
                <w:iCs/>
              </w:rPr>
              <w:t xml:space="preserve"> 100 mg capsules provides 31 days of treatment.</w:t>
            </w:r>
          </w:p>
        </w:tc>
        <w:tc>
          <w:tcPr>
            <w:tcW w:w="2016" w:type="pct"/>
            <w:vMerge/>
            <w:tcBorders>
              <w:top w:val="single" w:sz="4" w:space="0" w:color="auto"/>
              <w:left w:val="single" w:sz="4" w:space="0" w:color="auto"/>
              <w:bottom w:val="single" w:sz="4" w:space="0" w:color="auto"/>
              <w:right w:val="single" w:sz="4" w:space="0" w:color="auto"/>
            </w:tcBorders>
            <w:vAlign w:val="center"/>
            <w:hideMark/>
          </w:tcPr>
          <w:p w14:paraId="34C373ED" w14:textId="77777777" w:rsidR="008C3DCB" w:rsidRPr="003B6D82" w:rsidRDefault="008C3DCB">
            <w:pPr>
              <w:jc w:val="left"/>
              <w:rPr>
                <w:rFonts w:ascii="Arial Narrow" w:eastAsiaTheme="majorEastAsia" w:hAnsi="Arial Narrow" w:cstheme="majorBidi"/>
                <w:bCs/>
                <w:iCs/>
                <w:sz w:val="20"/>
              </w:rPr>
            </w:pPr>
          </w:p>
        </w:tc>
      </w:tr>
    </w:tbl>
    <w:p w14:paraId="2C0D297A" w14:textId="77777777" w:rsidR="008C3DCB" w:rsidRPr="003B6D82" w:rsidRDefault="008C3DCB" w:rsidP="008C3DCB">
      <w:pPr>
        <w:pStyle w:val="COMTablefooter"/>
        <w:rPr>
          <w:iCs/>
        </w:rPr>
      </w:pPr>
      <w:r w:rsidRPr="003B6D82">
        <w:rPr>
          <w:iCs/>
        </w:rPr>
        <w:t>Source: Section 4, pp151-168 of the submission; Section 4 financial implications Excel workbook, Attachment 12 of the submission.</w:t>
      </w:r>
    </w:p>
    <w:p w14:paraId="0FFD0909" w14:textId="77777777" w:rsidR="008C3DCB" w:rsidRPr="003B6D82" w:rsidRDefault="008C3DCB" w:rsidP="008C3DCB">
      <w:pPr>
        <w:pStyle w:val="COMTablefooter"/>
        <w:rPr>
          <w:iCs/>
        </w:rPr>
      </w:pPr>
      <w:r w:rsidRPr="003B6D82">
        <w:rPr>
          <w:iCs/>
        </w:rPr>
        <w:t>Abbreviations: DUSC, Drug Utilisation Sub Committee; JAK, Janus kinase; MF, myelofibrosis; PBAC, Pharmaceutical Benefits Advisory Committee; PBS, Pharmaceutical Benefits Scheme.</w:t>
      </w:r>
    </w:p>
    <w:p w14:paraId="79505E54" w14:textId="44987A65" w:rsidR="008C3DCB" w:rsidRPr="003B6D82" w:rsidRDefault="00D86D10" w:rsidP="00F40844">
      <w:pPr>
        <w:pStyle w:val="COMexecsummnumbered"/>
        <w:numPr>
          <w:ilvl w:val="1"/>
          <w:numId w:val="3"/>
        </w:numPr>
        <w:rPr>
          <w:iCs/>
        </w:rPr>
      </w:pPr>
      <w:r w:rsidRPr="003B6D82">
        <w:rPr>
          <w:iCs/>
        </w:rPr>
        <w:fldChar w:fldCharType="begin" w:fldLock="1"/>
      </w:r>
      <w:r w:rsidRPr="003B6D82">
        <w:rPr>
          <w:iCs/>
        </w:rPr>
        <w:instrText xml:space="preserve"> REF _Ref192154018 \h </w:instrText>
      </w:r>
      <w:r w:rsidR="003B6D82">
        <w:rPr>
          <w:iCs/>
        </w:rPr>
        <w:instrText xml:space="preserve"> \* MERGEFORMAT </w:instrText>
      </w:r>
      <w:r w:rsidRPr="003B6D82">
        <w:rPr>
          <w:iCs/>
        </w:rPr>
      </w:r>
      <w:r w:rsidRPr="003B6D82">
        <w:rPr>
          <w:iCs/>
        </w:rPr>
        <w:fldChar w:fldCharType="separate"/>
      </w:r>
      <w:r w:rsidR="00A072A5" w:rsidRPr="003B6D82">
        <w:rPr>
          <w:iCs/>
        </w:rPr>
        <w:t xml:space="preserve">Table </w:t>
      </w:r>
      <w:r w:rsidR="00A072A5">
        <w:rPr>
          <w:iCs/>
          <w:noProof/>
        </w:rPr>
        <w:t>13</w:t>
      </w:r>
      <w:r w:rsidRPr="003B6D82">
        <w:rPr>
          <w:iCs/>
        </w:rPr>
        <w:fldChar w:fldCharType="end"/>
      </w:r>
      <w:r w:rsidR="008C3DCB" w:rsidRPr="003B6D82">
        <w:rPr>
          <w:iCs/>
        </w:rPr>
        <w:t xml:space="preserve"> presents the estimated use and financial implications of listing </w:t>
      </w:r>
      <w:proofErr w:type="spellStart"/>
      <w:r w:rsidR="008C3DCB" w:rsidRPr="003B6D82">
        <w:rPr>
          <w:iCs/>
        </w:rPr>
        <w:t>fedratinib</w:t>
      </w:r>
      <w:proofErr w:type="spellEnd"/>
      <w:r w:rsidR="008C3DCB" w:rsidRPr="003B6D82">
        <w:rPr>
          <w:iCs/>
        </w:rPr>
        <w:t xml:space="preserve"> on the PBS. </w:t>
      </w:r>
    </w:p>
    <w:p w14:paraId="1B3FC856" w14:textId="014398DD" w:rsidR="008C3DCB" w:rsidRPr="003B6D82" w:rsidRDefault="008C3DCB" w:rsidP="003E36C9">
      <w:pPr>
        <w:pStyle w:val="COMtablefigcaption"/>
        <w:spacing w:before="120"/>
        <w:rPr>
          <w:iCs/>
        </w:rPr>
      </w:pPr>
      <w:bookmarkStart w:id="42" w:name="_Ref192154018"/>
      <w:r w:rsidRPr="003B6D82">
        <w:rPr>
          <w:iCs/>
        </w:rPr>
        <w:t xml:space="preserve">Table </w:t>
      </w:r>
      <w:r w:rsidR="00B251ED" w:rsidRPr="003B6D82">
        <w:rPr>
          <w:iCs/>
        </w:rPr>
        <w:fldChar w:fldCharType="begin" w:fldLock="1"/>
      </w:r>
      <w:r w:rsidR="00B251ED" w:rsidRPr="003B6D82">
        <w:rPr>
          <w:iCs/>
        </w:rPr>
        <w:instrText xml:space="preserve"> SEQ Table \* ARABIC </w:instrText>
      </w:r>
      <w:r w:rsidR="00B251ED" w:rsidRPr="003B6D82">
        <w:rPr>
          <w:iCs/>
        </w:rPr>
        <w:fldChar w:fldCharType="separate"/>
      </w:r>
      <w:r w:rsidR="00A072A5">
        <w:rPr>
          <w:iCs/>
          <w:noProof/>
        </w:rPr>
        <w:t>13</w:t>
      </w:r>
      <w:r w:rsidR="00B251ED" w:rsidRPr="003B6D82">
        <w:rPr>
          <w:iCs/>
          <w:noProof/>
        </w:rPr>
        <w:fldChar w:fldCharType="end"/>
      </w:r>
      <w:bookmarkEnd w:id="42"/>
      <w:r w:rsidRPr="003B6D82">
        <w:rPr>
          <w:iCs/>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8C3DCB" w:rsidRPr="003B6D82" w14:paraId="2A1F8DD6" w14:textId="77777777" w:rsidTr="008C3DCB">
        <w:trPr>
          <w:tblHeader/>
        </w:trPr>
        <w:tc>
          <w:tcPr>
            <w:tcW w:w="1334" w:type="pct"/>
            <w:tcBorders>
              <w:top w:val="single" w:sz="4" w:space="0" w:color="auto"/>
              <w:left w:val="single" w:sz="4" w:space="0" w:color="auto"/>
              <w:bottom w:val="single" w:sz="4" w:space="0" w:color="auto"/>
              <w:right w:val="single" w:sz="4" w:space="0" w:color="auto"/>
            </w:tcBorders>
            <w:vAlign w:val="center"/>
          </w:tcPr>
          <w:p w14:paraId="78F53C9E" w14:textId="77777777" w:rsidR="008C3DCB" w:rsidRPr="003B6D82" w:rsidRDefault="008C3DCB">
            <w:pPr>
              <w:pStyle w:val="In-tableHeading"/>
              <w:jc w:val="center"/>
              <w:rPr>
                <w:iCs/>
                <w:lang w:val="en-AU"/>
              </w:rPr>
            </w:pPr>
          </w:p>
        </w:tc>
        <w:tc>
          <w:tcPr>
            <w:tcW w:w="611" w:type="pct"/>
            <w:tcBorders>
              <w:top w:val="single" w:sz="4" w:space="0" w:color="auto"/>
              <w:left w:val="single" w:sz="4" w:space="0" w:color="auto"/>
              <w:bottom w:val="single" w:sz="4" w:space="0" w:color="auto"/>
              <w:right w:val="single" w:sz="4" w:space="0" w:color="auto"/>
            </w:tcBorders>
            <w:vAlign w:val="center"/>
            <w:hideMark/>
          </w:tcPr>
          <w:p w14:paraId="73236E22" w14:textId="77777777" w:rsidR="008C3DCB" w:rsidRPr="003B6D82" w:rsidRDefault="008C3DCB">
            <w:pPr>
              <w:pStyle w:val="COMTableheadingrow"/>
              <w:jc w:val="center"/>
              <w:rPr>
                <w:iCs/>
                <w:lang w:val="en-AU"/>
              </w:rPr>
            </w:pPr>
            <w:r w:rsidRPr="003B6D82">
              <w:rPr>
                <w:iCs/>
                <w:lang w:val="en-AU"/>
              </w:rPr>
              <w:t>Year 1</w:t>
            </w:r>
          </w:p>
        </w:tc>
        <w:tc>
          <w:tcPr>
            <w:tcW w:w="611" w:type="pct"/>
            <w:tcBorders>
              <w:top w:val="single" w:sz="4" w:space="0" w:color="auto"/>
              <w:left w:val="single" w:sz="4" w:space="0" w:color="auto"/>
              <w:bottom w:val="single" w:sz="4" w:space="0" w:color="auto"/>
              <w:right w:val="single" w:sz="4" w:space="0" w:color="auto"/>
            </w:tcBorders>
            <w:vAlign w:val="center"/>
            <w:hideMark/>
          </w:tcPr>
          <w:p w14:paraId="31450E8E" w14:textId="77777777" w:rsidR="008C3DCB" w:rsidRPr="003B6D82" w:rsidRDefault="008C3DCB">
            <w:pPr>
              <w:pStyle w:val="COMTableheadingrow"/>
              <w:jc w:val="center"/>
              <w:rPr>
                <w:iCs/>
                <w:lang w:val="en-AU"/>
              </w:rPr>
            </w:pPr>
            <w:r w:rsidRPr="003B6D82">
              <w:rPr>
                <w:iCs/>
                <w:lang w:val="en-AU"/>
              </w:rPr>
              <w:t>Year 2</w:t>
            </w:r>
          </w:p>
        </w:tc>
        <w:tc>
          <w:tcPr>
            <w:tcW w:w="611" w:type="pct"/>
            <w:tcBorders>
              <w:top w:val="single" w:sz="4" w:space="0" w:color="auto"/>
              <w:left w:val="single" w:sz="4" w:space="0" w:color="auto"/>
              <w:bottom w:val="single" w:sz="4" w:space="0" w:color="auto"/>
              <w:right w:val="single" w:sz="4" w:space="0" w:color="auto"/>
            </w:tcBorders>
            <w:vAlign w:val="center"/>
            <w:hideMark/>
          </w:tcPr>
          <w:p w14:paraId="414C2F55" w14:textId="77777777" w:rsidR="008C3DCB" w:rsidRPr="003B6D82" w:rsidRDefault="008C3DCB">
            <w:pPr>
              <w:pStyle w:val="COMTableheadingrow"/>
              <w:jc w:val="center"/>
              <w:rPr>
                <w:iCs/>
                <w:lang w:val="en-AU"/>
              </w:rPr>
            </w:pPr>
            <w:r w:rsidRPr="003B6D82">
              <w:rPr>
                <w:iCs/>
                <w:lang w:val="en-AU"/>
              </w:rPr>
              <w:t>Year 3</w:t>
            </w:r>
          </w:p>
        </w:tc>
        <w:tc>
          <w:tcPr>
            <w:tcW w:w="611" w:type="pct"/>
            <w:tcBorders>
              <w:top w:val="single" w:sz="4" w:space="0" w:color="auto"/>
              <w:left w:val="single" w:sz="4" w:space="0" w:color="auto"/>
              <w:bottom w:val="single" w:sz="4" w:space="0" w:color="auto"/>
              <w:right w:val="single" w:sz="4" w:space="0" w:color="auto"/>
            </w:tcBorders>
            <w:vAlign w:val="center"/>
            <w:hideMark/>
          </w:tcPr>
          <w:p w14:paraId="22C0B03D" w14:textId="77777777" w:rsidR="008C3DCB" w:rsidRPr="003B6D82" w:rsidRDefault="008C3DCB">
            <w:pPr>
              <w:pStyle w:val="COMTableheadingrow"/>
              <w:jc w:val="center"/>
              <w:rPr>
                <w:iCs/>
                <w:lang w:val="en-AU"/>
              </w:rPr>
            </w:pPr>
            <w:r w:rsidRPr="003B6D82">
              <w:rPr>
                <w:iCs/>
                <w:lang w:val="en-AU"/>
              </w:rPr>
              <w:t>Year 4</w:t>
            </w:r>
          </w:p>
        </w:tc>
        <w:tc>
          <w:tcPr>
            <w:tcW w:w="611" w:type="pct"/>
            <w:tcBorders>
              <w:top w:val="single" w:sz="4" w:space="0" w:color="auto"/>
              <w:left w:val="single" w:sz="4" w:space="0" w:color="auto"/>
              <w:bottom w:val="single" w:sz="4" w:space="0" w:color="auto"/>
              <w:right w:val="single" w:sz="4" w:space="0" w:color="auto"/>
            </w:tcBorders>
            <w:vAlign w:val="center"/>
            <w:hideMark/>
          </w:tcPr>
          <w:p w14:paraId="5535DE43" w14:textId="77777777" w:rsidR="008C3DCB" w:rsidRPr="003B6D82" w:rsidRDefault="008C3DCB">
            <w:pPr>
              <w:pStyle w:val="COMTableheadingrow"/>
              <w:jc w:val="center"/>
              <w:rPr>
                <w:iCs/>
                <w:lang w:val="en-AU"/>
              </w:rPr>
            </w:pPr>
            <w:r w:rsidRPr="003B6D82">
              <w:rPr>
                <w:iCs/>
                <w:lang w:val="en-AU"/>
              </w:rPr>
              <w:t>Year 5</w:t>
            </w:r>
          </w:p>
        </w:tc>
        <w:tc>
          <w:tcPr>
            <w:tcW w:w="611" w:type="pct"/>
            <w:tcBorders>
              <w:top w:val="single" w:sz="4" w:space="0" w:color="auto"/>
              <w:left w:val="single" w:sz="4" w:space="0" w:color="auto"/>
              <w:bottom w:val="single" w:sz="4" w:space="0" w:color="auto"/>
              <w:right w:val="single" w:sz="4" w:space="0" w:color="auto"/>
            </w:tcBorders>
            <w:hideMark/>
          </w:tcPr>
          <w:p w14:paraId="0E9CA2D5" w14:textId="77777777" w:rsidR="008C3DCB" w:rsidRPr="003B6D82" w:rsidRDefault="008C3DCB">
            <w:pPr>
              <w:pStyle w:val="COMTableheadingrow"/>
              <w:jc w:val="center"/>
              <w:rPr>
                <w:iCs/>
                <w:lang w:val="en-AU"/>
              </w:rPr>
            </w:pPr>
            <w:r w:rsidRPr="003B6D82">
              <w:rPr>
                <w:iCs/>
                <w:lang w:val="en-AU"/>
              </w:rPr>
              <w:t>Year 6</w:t>
            </w:r>
          </w:p>
        </w:tc>
      </w:tr>
      <w:tr w:rsidR="008C3DCB" w:rsidRPr="003B6D82" w14:paraId="342CF136" w14:textId="77777777" w:rsidTr="008C3DCB">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17911706" w14:textId="77777777" w:rsidR="008C3DCB" w:rsidRPr="003B6D82" w:rsidRDefault="008C3DCB">
            <w:pPr>
              <w:pStyle w:val="COMTableheadingrow"/>
              <w:rPr>
                <w:iCs/>
                <w:lang w:val="en-AU"/>
              </w:rPr>
            </w:pPr>
            <w:r w:rsidRPr="003B6D82">
              <w:rPr>
                <w:iCs/>
                <w:lang w:val="en-AU"/>
              </w:rPr>
              <w:t>Estimated extent of use</w:t>
            </w:r>
          </w:p>
        </w:tc>
      </w:tr>
      <w:tr w:rsidR="008C3DCB" w:rsidRPr="003B6D82" w14:paraId="3FB6C61E" w14:textId="77777777" w:rsidTr="008C3DCB">
        <w:tc>
          <w:tcPr>
            <w:tcW w:w="1334" w:type="pct"/>
            <w:tcBorders>
              <w:top w:val="single" w:sz="4" w:space="0" w:color="auto"/>
              <w:left w:val="single" w:sz="4" w:space="0" w:color="auto"/>
              <w:bottom w:val="single" w:sz="4" w:space="0" w:color="auto"/>
              <w:right w:val="single" w:sz="4" w:space="0" w:color="auto"/>
            </w:tcBorders>
            <w:vAlign w:val="center"/>
            <w:hideMark/>
          </w:tcPr>
          <w:p w14:paraId="3B2E68A7" w14:textId="77777777" w:rsidR="008C3DCB" w:rsidRPr="003B6D82" w:rsidRDefault="008C3DCB">
            <w:pPr>
              <w:pStyle w:val="COMTabletext"/>
              <w:rPr>
                <w:rFonts w:ascii="Times" w:hAnsi="Times"/>
                <w:iCs/>
              </w:rPr>
            </w:pPr>
            <w:proofErr w:type="spellStart"/>
            <w:r w:rsidRPr="003B6D82">
              <w:rPr>
                <w:iCs/>
              </w:rPr>
              <w:t>Fedratinib</w:t>
            </w:r>
            <w:proofErr w:type="spellEnd"/>
            <w:r w:rsidRPr="003B6D82">
              <w:rPr>
                <w:iCs/>
              </w:rPr>
              <w:t xml:space="preserve"> scripts dispensed</w:t>
            </w:r>
          </w:p>
        </w:tc>
        <w:tc>
          <w:tcPr>
            <w:tcW w:w="611" w:type="pct"/>
            <w:tcBorders>
              <w:top w:val="single" w:sz="4" w:space="0" w:color="auto"/>
              <w:left w:val="single" w:sz="4" w:space="0" w:color="auto"/>
              <w:bottom w:val="single" w:sz="4" w:space="0" w:color="auto"/>
              <w:right w:val="single" w:sz="4" w:space="0" w:color="auto"/>
            </w:tcBorders>
            <w:hideMark/>
          </w:tcPr>
          <w:p w14:paraId="7E71A5CE" w14:textId="3602053F" w:rsidR="008C3DCB" w:rsidRPr="00F9606A" w:rsidRDefault="00733FBC">
            <w:pPr>
              <w:pStyle w:val="TableText0"/>
              <w:jc w:val="center"/>
              <w:rPr>
                <w:iCs/>
                <w:vertAlign w:val="superscript"/>
              </w:rPr>
            </w:pPr>
            <w:r w:rsidRPr="00733FBC">
              <w:rPr>
                <w:iCs/>
                <w:color w:val="000000"/>
                <w:spacing w:val="53"/>
                <w:shd w:val="solid" w:color="000000" w:fill="000000"/>
                <w:fitText w:val="330" w:id="-663571953"/>
                <w14:textFill>
                  <w14:solidFill>
                    <w14:srgbClr w14:val="000000">
                      <w14:alpha w14:val="100000"/>
                    </w14:srgbClr>
                  </w14:solidFill>
                </w14:textFill>
              </w:rPr>
              <w:t>|||</w:t>
            </w:r>
            <w:r w:rsidRPr="00733FBC">
              <w:rPr>
                <w:iCs/>
                <w:color w:val="000000"/>
                <w:spacing w:val="1"/>
                <w:shd w:val="solid" w:color="000000" w:fill="000000"/>
                <w:fitText w:val="330" w:id="-663571953"/>
                <w14:textFill>
                  <w14:solidFill>
                    <w14:srgbClr w14:val="000000">
                      <w14:alpha w14:val="100000"/>
                    </w14:srgbClr>
                  </w14:solidFill>
                </w14:textFill>
              </w:rPr>
              <w:t>|</w:t>
            </w:r>
            <w:r w:rsidR="00F9606A">
              <w:rPr>
                <w:iCs/>
              </w:rPr>
              <w:t xml:space="preserve"> </w:t>
            </w:r>
            <w:r w:rsidR="00F9606A">
              <w:rPr>
                <w:iCs/>
                <w:vertAlign w:val="superscript"/>
              </w:rPr>
              <w:t>1</w:t>
            </w:r>
          </w:p>
        </w:tc>
        <w:tc>
          <w:tcPr>
            <w:tcW w:w="611" w:type="pct"/>
            <w:tcBorders>
              <w:top w:val="single" w:sz="4" w:space="0" w:color="auto"/>
              <w:left w:val="single" w:sz="4" w:space="0" w:color="auto"/>
              <w:bottom w:val="single" w:sz="4" w:space="0" w:color="auto"/>
              <w:right w:val="single" w:sz="4" w:space="0" w:color="auto"/>
            </w:tcBorders>
            <w:hideMark/>
          </w:tcPr>
          <w:p w14:paraId="68F2D98D" w14:textId="0073B2DC" w:rsidR="008C3DCB" w:rsidRPr="003B6D82" w:rsidRDefault="00733FBC">
            <w:pPr>
              <w:pStyle w:val="TableText0"/>
              <w:jc w:val="center"/>
              <w:rPr>
                <w:iCs/>
              </w:rPr>
            </w:pPr>
            <w:r w:rsidRPr="00733FBC">
              <w:rPr>
                <w:iCs/>
                <w:color w:val="000000"/>
                <w:spacing w:val="53"/>
                <w:shd w:val="solid" w:color="000000" w:fill="000000"/>
                <w:fitText w:val="330" w:id="-663571952"/>
                <w14:textFill>
                  <w14:solidFill>
                    <w14:srgbClr w14:val="000000">
                      <w14:alpha w14:val="100000"/>
                    </w14:srgbClr>
                  </w14:solidFill>
                </w14:textFill>
              </w:rPr>
              <w:t>|||</w:t>
            </w:r>
            <w:r w:rsidRPr="00733FBC">
              <w:rPr>
                <w:iCs/>
                <w:color w:val="000000"/>
                <w:spacing w:val="1"/>
                <w:shd w:val="solid" w:color="000000" w:fill="000000"/>
                <w:fitText w:val="330" w:id="-663571952"/>
                <w14:textFill>
                  <w14:solidFill>
                    <w14:srgbClr w14:val="000000">
                      <w14:alpha w14:val="100000"/>
                    </w14:srgbClr>
                  </w14:solidFill>
                </w14:textFill>
              </w:rPr>
              <w:t>|</w:t>
            </w:r>
            <w:r w:rsidR="00F9606A">
              <w:rPr>
                <w:iCs/>
              </w:rPr>
              <w:t xml:space="preserve"> </w:t>
            </w:r>
            <w:r w:rsidR="00F9606A">
              <w:rPr>
                <w:iCs/>
                <w:vertAlign w:val="superscript"/>
              </w:rPr>
              <w:t>1</w:t>
            </w:r>
          </w:p>
        </w:tc>
        <w:tc>
          <w:tcPr>
            <w:tcW w:w="611" w:type="pct"/>
            <w:tcBorders>
              <w:top w:val="single" w:sz="4" w:space="0" w:color="auto"/>
              <w:left w:val="single" w:sz="4" w:space="0" w:color="auto"/>
              <w:bottom w:val="single" w:sz="4" w:space="0" w:color="auto"/>
              <w:right w:val="single" w:sz="4" w:space="0" w:color="auto"/>
            </w:tcBorders>
            <w:hideMark/>
          </w:tcPr>
          <w:p w14:paraId="4790F108" w14:textId="6FCF380F" w:rsidR="008C3DCB" w:rsidRPr="003B6D82" w:rsidRDefault="00733FBC">
            <w:pPr>
              <w:pStyle w:val="TableText0"/>
              <w:jc w:val="center"/>
              <w:rPr>
                <w:iCs/>
              </w:rPr>
            </w:pPr>
            <w:r w:rsidRPr="00733FBC">
              <w:rPr>
                <w:iCs/>
                <w:color w:val="000000"/>
                <w:spacing w:val="53"/>
                <w:shd w:val="solid" w:color="000000" w:fill="000000"/>
                <w:fitText w:val="330" w:id="-663571968"/>
                <w14:textFill>
                  <w14:solidFill>
                    <w14:srgbClr w14:val="000000">
                      <w14:alpha w14:val="100000"/>
                    </w14:srgbClr>
                  </w14:solidFill>
                </w14:textFill>
              </w:rPr>
              <w:t>|||</w:t>
            </w:r>
            <w:r w:rsidRPr="00733FBC">
              <w:rPr>
                <w:iCs/>
                <w:color w:val="000000"/>
                <w:spacing w:val="1"/>
                <w:shd w:val="solid" w:color="000000" w:fill="000000"/>
                <w:fitText w:val="330" w:id="-663571968"/>
                <w14:textFill>
                  <w14:solidFill>
                    <w14:srgbClr w14:val="000000">
                      <w14:alpha w14:val="100000"/>
                    </w14:srgbClr>
                  </w14:solidFill>
                </w14:textFill>
              </w:rPr>
              <w:t>|</w:t>
            </w:r>
            <w:r w:rsidR="00F9606A">
              <w:rPr>
                <w:iCs/>
              </w:rPr>
              <w:t xml:space="preserve"> </w:t>
            </w:r>
            <w:r w:rsidR="00F9606A">
              <w:rPr>
                <w:iCs/>
                <w:vertAlign w:val="superscript"/>
              </w:rPr>
              <w:t>1</w:t>
            </w:r>
          </w:p>
        </w:tc>
        <w:tc>
          <w:tcPr>
            <w:tcW w:w="611" w:type="pct"/>
            <w:tcBorders>
              <w:top w:val="single" w:sz="4" w:space="0" w:color="auto"/>
              <w:left w:val="single" w:sz="4" w:space="0" w:color="auto"/>
              <w:bottom w:val="single" w:sz="4" w:space="0" w:color="auto"/>
              <w:right w:val="single" w:sz="4" w:space="0" w:color="auto"/>
            </w:tcBorders>
            <w:hideMark/>
          </w:tcPr>
          <w:p w14:paraId="1E7B8E95" w14:textId="144AD82D" w:rsidR="008C3DCB" w:rsidRPr="003B6D82" w:rsidRDefault="00733FBC">
            <w:pPr>
              <w:pStyle w:val="TableText0"/>
              <w:jc w:val="center"/>
              <w:rPr>
                <w:iCs/>
              </w:rPr>
            </w:pPr>
            <w:r w:rsidRPr="00733FBC">
              <w:rPr>
                <w:iCs/>
                <w:color w:val="000000"/>
                <w:spacing w:val="53"/>
                <w:shd w:val="solid" w:color="000000" w:fill="000000"/>
                <w:fitText w:val="330" w:id="-663571967"/>
                <w14:textFill>
                  <w14:solidFill>
                    <w14:srgbClr w14:val="000000">
                      <w14:alpha w14:val="100000"/>
                    </w14:srgbClr>
                  </w14:solidFill>
                </w14:textFill>
              </w:rPr>
              <w:t>|||</w:t>
            </w:r>
            <w:r w:rsidRPr="00733FBC">
              <w:rPr>
                <w:iCs/>
                <w:color w:val="000000"/>
                <w:spacing w:val="1"/>
                <w:shd w:val="solid" w:color="000000" w:fill="000000"/>
                <w:fitText w:val="330" w:id="-663571967"/>
                <w14:textFill>
                  <w14:solidFill>
                    <w14:srgbClr w14:val="000000">
                      <w14:alpha w14:val="100000"/>
                    </w14:srgbClr>
                  </w14:solidFill>
                </w14:textFill>
              </w:rPr>
              <w:t>|</w:t>
            </w:r>
            <w:r w:rsidR="00F9606A">
              <w:rPr>
                <w:iCs/>
              </w:rPr>
              <w:t xml:space="preserve"> </w:t>
            </w:r>
            <w:r w:rsidR="00F9606A">
              <w:rPr>
                <w:iCs/>
                <w:vertAlign w:val="superscript"/>
              </w:rPr>
              <w:t>1</w:t>
            </w:r>
          </w:p>
        </w:tc>
        <w:tc>
          <w:tcPr>
            <w:tcW w:w="611" w:type="pct"/>
            <w:tcBorders>
              <w:top w:val="single" w:sz="4" w:space="0" w:color="auto"/>
              <w:left w:val="single" w:sz="4" w:space="0" w:color="auto"/>
              <w:bottom w:val="single" w:sz="4" w:space="0" w:color="auto"/>
              <w:right w:val="single" w:sz="4" w:space="0" w:color="auto"/>
            </w:tcBorders>
            <w:hideMark/>
          </w:tcPr>
          <w:p w14:paraId="0519B955" w14:textId="3F74D523" w:rsidR="008C3DCB" w:rsidRPr="003B6D82" w:rsidRDefault="00733FBC">
            <w:pPr>
              <w:pStyle w:val="TableText0"/>
              <w:jc w:val="center"/>
              <w:rPr>
                <w:iCs/>
              </w:rPr>
            </w:pPr>
            <w:r w:rsidRPr="00733FBC">
              <w:rPr>
                <w:iCs/>
                <w:color w:val="000000"/>
                <w:spacing w:val="53"/>
                <w:shd w:val="solid" w:color="000000" w:fill="000000"/>
                <w:fitText w:val="330" w:id="-663571966"/>
                <w14:textFill>
                  <w14:solidFill>
                    <w14:srgbClr w14:val="000000">
                      <w14:alpha w14:val="100000"/>
                    </w14:srgbClr>
                  </w14:solidFill>
                </w14:textFill>
              </w:rPr>
              <w:t>|||</w:t>
            </w:r>
            <w:r w:rsidRPr="00733FBC">
              <w:rPr>
                <w:iCs/>
                <w:color w:val="000000"/>
                <w:spacing w:val="1"/>
                <w:shd w:val="solid" w:color="000000" w:fill="000000"/>
                <w:fitText w:val="330" w:id="-663571966"/>
                <w14:textFill>
                  <w14:solidFill>
                    <w14:srgbClr w14:val="000000">
                      <w14:alpha w14:val="100000"/>
                    </w14:srgbClr>
                  </w14:solidFill>
                </w14:textFill>
              </w:rPr>
              <w:t>|</w:t>
            </w:r>
            <w:r w:rsidR="00F9606A">
              <w:rPr>
                <w:iCs/>
              </w:rPr>
              <w:t xml:space="preserve"> </w:t>
            </w:r>
            <w:r w:rsidR="00F9606A">
              <w:rPr>
                <w:iCs/>
                <w:vertAlign w:val="superscript"/>
              </w:rPr>
              <w:t>1</w:t>
            </w:r>
          </w:p>
        </w:tc>
        <w:tc>
          <w:tcPr>
            <w:tcW w:w="611" w:type="pct"/>
            <w:tcBorders>
              <w:top w:val="single" w:sz="4" w:space="0" w:color="auto"/>
              <w:left w:val="single" w:sz="4" w:space="0" w:color="auto"/>
              <w:bottom w:val="single" w:sz="4" w:space="0" w:color="auto"/>
              <w:right w:val="single" w:sz="4" w:space="0" w:color="auto"/>
            </w:tcBorders>
            <w:hideMark/>
          </w:tcPr>
          <w:p w14:paraId="46E7A521" w14:textId="6BD11F62" w:rsidR="008C3DCB" w:rsidRPr="003B6D82" w:rsidRDefault="00733FBC">
            <w:pPr>
              <w:pStyle w:val="TableText0"/>
              <w:jc w:val="center"/>
              <w:rPr>
                <w:iCs/>
              </w:rPr>
            </w:pPr>
            <w:r w:rsidRPr="00733FBC">
              <w:rPr>
                <w:iCs/>
                <w:color w:val="000000"/>
                <w:spacing w:val="53"/>
                <w:shd w:val="solid" w:color="000000" w:fill="000000"/>
                <w:fitText w:val="330" w:id="-663571965"/>
                <w14:textFill>
                  <w14:solidFill>
                    <w14:srgbClr w14:val="000000">
                      <w14:alpha w14:val="100000"/>
                    </w14:srgbClr>
                  </w14:solidFill>
                </w14:textFill>
              </w:rPr>
              <w:t>|||</w:t>
            </w:r>
            <w:r w:rsidRPr="00733FBC">
              <w:rPr>
                <w:iCs/>
                <w:color w:val="000000"/>
                <w:spacing w:val="1"/>
                <w:shd w:val="solid" w:color="000000" w:fill="000000"/>
                <w:fitText w:val="330" w:id="-663571965"/>
                <w14:textFill>
                  <w14:solidFill>
                    <w14:srgbClr w14:val="000000">
                      <w14:alpha w14:val="100000"/>
                    </w14:srgbClr>
                  </w14:solidFill>
                </w14:textFill>
              </w:rPr>
              <w:t>|</w:t>
            </w:r>
            <w:r w:rsidR="00F9606A">
              <w:rPr>
                <w:iCs/>
              </w:rPr>
              <w:t xml:space="preserve"> </w:t>
            </w:r>
            <w:r w:rsidR="00F9606A">
              <w:rPr>
                <w:iCs/>
                <w:vertAlign w:val="superscript"/>
              </w:rPr>
              <w:t>1</w:t>
            </w:r>
          </w:p>
        </w:tc>
      </w:tr>
      <w:tr w:rsidR="008C3DCB" w:rsidRPr="003B6D82" w14:paraId="35FE9DC5" w14:textId="77777777" w:rsidTr="008C3DCB">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61DB52A6" w14:textId="77777777" w:rsidR="008C3DCB" w:rsidRPr="003B6D82" w:rsidRDefault="008C3DCB">
            <w:pPr>
              <w:pStyle w:val="COMTableheadingrow"/>
              <w:rPr>
                <w:iCs/>
                <w:lang w:val="en-AU"/>
              </w:rPr>
            </w:pPr>
            <w:r w:rsidRPr="003B6D82">
              <w:rPr>
                <w:iCs/>
                <w:lang w:val="en-AU"/>
              </w:rPr>
              <w:t xml:space="preserve">Estimated financial implications of </w:t>
            </w:r>
            <w:proofErr w:type="spellStart"/>
            <w:r w:rsidRPr="003B6D82">
              <w:rPr>
                <w:iCs/>
                <w:lang w:val="en-AU"/>
              </w:rPr>
              <w:t>fedratinib</w:t>
            </w:r>
            <w:proofErr w:type="spellEnd"/>
          </w:p>
        </w:tc>
      </w:tr>
      <w:tr w:rsidR="008C3DCB" w:rsidRPr="003B6D82" w14:paraId="1A93168E" w14:textId="77777777" w:rsidTr="008C3DCB">
        <w:tc>
          <w:tcPr>
            <w:tcW w:w="1334" w:type="pct"/>
            <w:tcBorders>
              <w:top w:val="single" w:sz="4" w:space="0" w:color="auto"/>
              <w:left w:val="single" w:sz="4" w:space="0" w:color="auto"/>
              <w:bottom w:val="single" w:sz="4" w:space="0" w:color="auto"/>
              <w:right w:val="single" w:sz="4" w:space="0" w:color="auto"/>
            </w:tcBorders>
            <w:vAlign w:val="center"/>
            <w:hideMark/>
          </w:tcPr>
          <w:p w14:paraId="03F764E3" w14:textId="77777777" w:rsidR="008C3DCB" w:rsidRPr="003B6D82" w:rsidRDefault="008C3DCB">
            <w:pPr>
              <w:pStyle w:val="COMTabletext"/>
              <w:rPr>
                <w:iCs/>
              </w:rPr>
            </w:pPr>
            <w:r w:rsidRPr="003B6D82">
              <w:rPr>
                <w:iCs/>
              </w:rPr>
              <w:t>Cost to PBS/RPBS less copayments</w:t>
            </w:r>
          </w:p>
        </w:tc>
        <w:tc>
          <w:tcPr>
            <w:tcW w:w="611" w:type="pct"/>
            <w:tcBorders>
              <w:top w:val="single" w:sz="4" w:space="0" w:color="auto"/>
              <w:left w:val="single" w:sz="4" w:space="0" w:color="auto"/>
              <w:bottom w:val="single" w:sz="4" w:space="0" w:color="auto"/>
              <w:right w:val="single" w:sz="4" w:space="0" w:color="auto"/>
            </w:tcBorders>
            <w:vAlign w:val="center"/>
            <w:hideMark/>
          </w:tcPr>
          <w:p w14:paraId="44E61588" w14:textId="3E56E9A5" w:rsidR="008C3DCB" w:rsidRPr="003B6D82" w:rsidRDefault="008C3DCB">
            <w:pPr>
              <w:pStyle w:val="TableText0"/>
              <w:jc w:val="center"/>
              <w:rPr>
                <w:iCs/>
              </w:rPr>
            </w:pPr>
            <w:r w:rsidRPr="003B6D82">
              <w:rPr>
                <w:iCs/>
              </w:rPr>
              <w:t>$</w:t>
            </w:r>
            <w:r w:rsidR="00733FBC" w:rsidRPr="00733FBC">
              <w:rPr>
                <w:iCs/>
                <w:color w:val="000000"/>
                <w:spacing w:val="49"/>
                <w:shd w:val="solid" w:color="000000" w:fill="000000"/>
                <w:fitText w:val="320" w:id="-663571964"/>
                <w14:textFill>
                  <w14:solidFill>
                    <w14:srgbClr w14:val="000000">
                      <w14:alpha w14:val="100000"/>
                    </w14:srgbClr>
                  </w14:solidFill>
                </w14:textFill>
              </w:rPr>
              <w:t>|||</w:t>
            </w:r>
            <w:r w:rsidR="00733FBC" w:rsidRPr="00733FBC">
              <w:rPr>
                <w:iCs/>
                <w:color w:val="000000"/>
                <w:spacing w:val="3"/>
                <w:shd w:val="solid" w:color="000000" w:fill="000000"/>
                <w:fitText w:val="320" w:id="-663571964"/>
                <w14:textFill>
                  <w14:solidFill>
                    <w14:srgbClr w14:val="000000">
                      <w14:alpha w14:val="100000"/>
                    </w14:srgbClr>
                  </w14:solidFill>
                </w14:textFill>
              </w:rPr>
              <w:t>|</w:t>
            </w:r>
            <w:r w:rsidR="00F9606A">
              <w:rPr>
                <w:iCs/>
              </w:rPr>
              <w:t xml:space="preserve"> </w:t>
            </w:r>
            <w:r w:rsidR="00F9606A">
              <w:rPr>
                <w:iCs/>
                <w:vertAlign w:val="superscript"/>
              </w:rPr>
              <w:t>2</w:t>
            </w:r>
          </w:p>
        </w:tc>
        <w:tc>
          <w:tcPr>
            <w:tcW w:w="611" w:type="pct"/>
            <w:tcBorders>
              <w:top w:val="single" w:sz="4" w:space="0" w:color="auto"/>
              <w:left w:val="single" w:sz="4" w:space="0" w:color="auto"/>
              <w:bottom w:val="single" w:sz="4" w:space="0" w:color="auto"/>
              <w:right w:val="single" w:sz="4" w:space="0" w:color="auto"/>
            </w:tcBorders>
            <w:vAlign w:val="center"/>
            <w:hideMark/>
          </w:tcPr>
          <w:p w14:paraId="49D4DDAB" w14:textId="03B80398" w:rsidR="008C3DCB" w:rsidRPr="003B6D82" w:rsidRDefault="008C3DCB">
            <w:pPr>
              <w:pStyle w:val="TableText0"/>
              <w:jc w:val="center"/>
              <w:rPr>
                <w:iCs/>
              </w:rPr>
            </w:pPr>
            <w:r w:rsidRPr="003B6D82">
              <w:rPr>
                <w:iCs/>
              </w:rPr>
              <w:t>$</w:t>
            </w:r>
            <w:r w:rsidR="00733FBC" w:rsidRPr="00733FBC">
              <w:rPr>
                <w:iCs/>
                <w:color w:val="000000"/>
                <w:spacing w:val="49"/>
                <w:shd w:val="solid" w:color="000000" w:fill="000000"/>
                <w:fitText w:val="320" w:id="-663571963"/>
                <w14:textFill>
                  <w14:solidFill>
                    <w14:srgbClr w14:val="000000">
                      <w14:alpha w14:val="100000"/>
                    </w14:srgbClr>
                  </w14:solidFill>
                </w14:textFill>
              </w:rPr>
              <w:t>|||</w:t>
            </w:r>
            <w:r w:rsidR="00733FBC" w:rsidRPr="00733FBC">
              <w:rPr>
                <w:iCs/>
                <w:color w:val="000000"/>
                <w:spacing w:val="3"/>
                <w:shd w:val="solid" w:color="000000" w:fill="000000"/>
                <w:fitText w:val="320" w:id="-663571963"/>
                <w14:textFill>
                  <w14:solidFill>
                    <w14:srgbClr w14:val="000000">
                      <w14:alpha w14:val="100000"/>
                    </w14:srgbClr>
                  </w14:solidFill>
                </w14:textFill>
              </w:rPr>
              <w:t>|</w:t>
            </w:r>
            <w:r w:rsidR="00F9606A">
              <w:rPr>
                <w:iCs/>
              </w:rPr>
              <w:t xml:space="preserve"> </w:t>
            </w:r>
            <w:r w:rsidR="00F9606A">
              <w:rPr>
                <w:iCs/>
                <w:vertAlign w:val="superscript"/>
              </w:rPr>
              <w:t>2</w:t>
            </w:r>
          </w:p>
        </w:tc>
        <w:tc>
          <w:tcPr>
            <w:tcW w:w="611" w:type="pct"/>
            <w:tcBorders>
              <w:top w:val="single" w:sz="4" w:space="0" w:color="auto"/>
              <w:left w:val="single" w:sz="4" w:space="0" w:color="auto"/>
              <w:bottom w:val="single" w:sz="4" w:space="0" w:color="auto"/>
              <w:right w:val="single" w:sz="4" w:space="0" w:color="auto"/>
            </w:tcBorders>
            <w:vAlign w:val="center"/>
            <w:hideMark/>
          </w:tcPr>
          <w:p w14:paraId="0648CC1B" w14:textId="59619406" w:rsidR="008C3DCB" w:rsidRPr="003B6D82" w:rsidRDefault="008C3DCB">
            <w:pPr>
              <w:pStyle w:val="TableText0"/>
              <w:jc w:val="center"/>
              <w:rPr>
                <w:iCs/>
              </w:rPr>
            </w:pPr>
            <w:r w:rsidRPr="003B6D82">
              <w:rPr>
                <w:iCs/>
              </w:rPr>
              <w:t>$</w:t>
            </w:r>
            <w:r w:rsidR="00733FBC" w:rsidRPr="00733FBC">
              <w:rPr>
                <w:iCs/>
                <w:color w:val="000000"/>
                <w:spacing w:val="49"/>
                <w:shd w:val="solid" w:color="000000" w:fill="000000"/>
                <w:fitText w:val="320" w:id="-663571962"/>
                <w14:textFill>
                  <w14:solidFill>
                    <w14:srgbClr w14:val="000000">
                      <w14:alpha w14:val="100000"/>
                    </w14:srgbClr>
                  </w14:solidFill>
                </w14:textFill>
              </w:rPr>
              <w:t>|||</w:t>
            </w:r>
            <w:r w:rsidR="00733FBC" w:rsidRPr="00733FBC">
              <w:rPr>
                <w:iCs/>
                <w:color w:val="000000"/>
                <w:spacing w:val="3"/>
                <w:shd w:val="solid" w:color="000000" w:fill="000000"/>
                <w:fitText w:val="320" w:id="-663571962"/>
                <w14:textFill>
                  <w14:solidFill>
                    <w14:srgbClr w14:val="000000">
                      <w14:alpha w14:val="100000"/>
                    </w14:srgbClr>
                  </w14:solidFill>
                </w14:textFill>
              </w:rPr>
              <w:t>|</w:t>
            </w:r>
            <w:r w:rsidR="00F9606A">
              <w:rPr>
                <w:iCs/>
              </w:rPr>
              <w:t xml:space="preserve"> </w:t>
            </w:r>
            <w:r w:rsidR="00F9606A">
              <w:rPr>
                <w:iCs/>
                <w:vertAlign w:val="superscript"/>
              </w:rPr>
              <w:t>2</w:t>
            </w:r>
          </w:p>
        </w:tc>
        <w:tc>
          <w:tcPr>
            <w:tcW w:w="611" w:type="pct"/>
            <w:tcBorders>
              <w:top w:val="single" w:sz="4" w:space="0" w:color="auto"/>
              <w:left w:val="single" w:sz="4" w:space="0" w:color="auto"/>
              <w:bottom w:val="single" w:sz="4" w:space="0" w:color="auto"/>
              <w:right w:val="single" w:sz="4" w:space="0" w:color="auto"/>
            </w:tcBorders>
            <w:vAlign w:val="center"/>
            <w:hideMark/>
          </w:tcPr>
          <w:p w14:paraId="31CAD943" w14:textId="1612FC97" w:rsidR="008C3DCB" w:rsidRPr="003B6D82" w:rsidRDefault="008C3DCB">
            <w:pPr>
              <w:pStyle w:val="TableText0"/>
              <w:jc w:val="center"/>
              <w:rPr>
                <w:iCs/>
              </w:rPr>
            </w:pPr>
            <w:r w:rsidRPr="003B6D82">
              <w:rPr>
                <w:iCs/>
              </w:rPr>
              <w:t>$</w:t>
            </w:r>
            <w:r w:rsidR="00733FBC" w:rsidRPr="00733FBC">
              <w:rPr>
                <w:iCs/>
                <w:color w:val="000000"/>
                <w:spacing w:val="49"/>
                <w:shd w:val="solid" w:color="000000" w:fill="000000"/>
                <w:fitText w:val="320" w:id="-663571961"/>
                <w14:textFill>
                  <w14:solidFill>
                    <w14:srgbClr w14:val="000000">
                      <w14:alpha w14:val="100000"/>
                    </w14:srgbClr>
                  </w14:solidFill>
                </w14:textFill>
              </w:rPr>
              <w:t>|||</w:t>
            </w:r>
            <w:r w:rsidR="00733FBC" w:rsidRPr="00733FBC">
              <w:rPr>
                <w:iCs/>
                <w:color w:val="000000"/>
                <w:spacing w:val="3"/>
                <w:shd w:val="solid" w:color="000000" w:fill="000000"/>
                <w:fitText w:val="320" w:id="-663571961"/>
                <w14:textFill>
                  <w14:solidFill>
                    <w14:srgbClr w14:val="000000">
                      <w14:alpha w14:val="100000"/>
                    </w14:srgbClr>
                  </w14:solidFill>
                </w14:textFill>
              </w:rPr>
              <w:t>|</w:t>
            </w:r>
            <w:r w:rsidR="00F9606A">
              <w:rPr>
                <w:iCs/>
              </w:rPr>
              <w:t xml:space="preserve"> </w:t>
            </w:r>
            <w:r w:rsidR="00F9606A">
              <w:rPr>
                <w:iCs/>
                <w:vertAlign w:val="superscript"/>
              </w:rPr>
              <w:t>2</w:t>
            </w:r>
          </w:p>
        </w:tc>
        <w:tc>
          <w:tcPr>
            <w:tcW w:w="611" w:type="pct"/>
            <w:tcBorders>
              <w:top w:val="single" w:sz="4" w:space="0" w:color="auto"/>
              <w:left w:val="single" w:sz="4" w:space="0" w:color="auto"/>
              <w:bottom w:val="single" w:sz="4" w:space="0" w:color="auto"/>
              <w:right w:val="single" w:sz="4" w:space="0" w:color="auto"/>
            </w:tcBorders>
            <w:vAlign w:val="center"/>
            <w:hideMark/>
          </w:tcPr>
          <w:p w14:paraId="4DFDB4AF" w14:textId="47AFE2B4" w:rsidR="008C3DCB" w:rsidRPr="003B6D82" w:rsidRDefault="008C3DCB">
            <w:pPr>
              <w:pStyle w:val="TableText0"/>
              <w:jc w:val="center"/>
              <w:rPr>
                <w:iCs/>
              </w:rPr>
            </w:pPr>
            <w:r w:rsidRPr="003B6D82">
              <w:rPr>
                <w:iCs/>
              </w:rPr>
              <w:t>$</w:t>
            </w:r>
            <w:r w:rsidR="00733FBC" w:rsidRPr="00733FBC">
              <w:rPr>
                <w:iCs/>
                <w:color w:val="000000"/>
                <w:spacing w:val="49"/>
                <w:shd w:val="solid" w:color="000000" w:fill="000000"/>
                <w:fitText w:val="320" w:id="-663571960"/>
                <w14:textFill>
                  <w14:solidFill>
                    <w14:srgbClr w14:val="000000">
                      <w14:alpha w14:val="100000"/>
                    </w14:srgbClr>
                  </w14:solidFill>
                </w14:textFill>
              </w:rPr>
              <w:t>|||</w:t>
            </w:r>
            <w:r w:rsidR="00733FBC" w:rsidRPr="00733FBC">
              <w:rPr>
                <w:iCs/>
                <w:color w:val="000000"/>
                <w:spacing w:val="3"/>
                <w:shd w:val="solid" w:color="000000" w:fill="000000"/>
                <w:fitText w:val="320" w:id="-663571960"/>
                <w14:textFill>
                  <w14:solidFill>
                    <w14:srgbClr w14:val="000000">
                      <w14:alpha w14:val="100000"/>
                    </w14:srgbClr>
                  </w14:solidFill>
                </w14:textFill>
              </w:rPr>
              <w:t>|</w:t>
            </w:r>
            <w:r w:rsidR="00F9606A">
              <w:rPr>
                <w:iCs/>
              </w:rPr>
              <w:t xml:space="preserve"> </w:t>
            </w:r>
            <w:r w:rsidR="00F9606A">
              <w:rPr>
                <w:iCs/>
                <w:vertAlign w:val="superscript"/>
              </w:rPr>
              <w:t>2</w:t>
            </w:r>
          </w:p>
        </w:tc>
        <w:tc>
          <w:tcPr>
            <w:tcW w:w="611" w:type="pct"/>
            <w:tcBorders>
              <w:top w:val="single" w:sz="4" w:space="0" w:color="auto"/>
              <w:left w:val="single" w:sz="4" w:space="0" w:color="auto"/>
              <w:bottom w:val="single" w:sz="4" w:space="0" w:color="auto"/>
              <w:right w:val="single" w:sz="4" w:space="0" w:color="auto"/>
            </w:tcBorders>
            <w:vAlign w:val="center"/>
            <w:hideMark/>
          </w:tcPr>
          <w:p w14:paraId="19097325" w14:textId="3225B1D0" w:rsidR="008C3DCB" w:rsidRPr="003B6D82" w:rsidRDefault="008C3DCB">
            <w:pPr>
              <w:pStyle w:val="TableText0"/>
              <w:jc w:val="center"/>
              <w:rPr>
                <w:iCs/>
              </w:rPr>
            </w:pPr>
            <w:r w:rsidRPr="003B6D82">
              <w:rPr>
                <w:iCs/>
              </w:rPr>
              <w:t>$</w:t>
            </w:r>
            <w:r w:rsidR="00733FBC" w:rsidRPr="00733FBC">
              <w:rPr>
                <w:iCs/>
                <w:color w:val="000000"/>
                <w:spacing w:val="49"/>
                <w:shd w:val="solid" w:color="000000" w:fill="000000"/>
                <w:fitText w:val="320" w:id="-663571959"/>
                <w14:textFill>
                  <w14:solidFill>
                    <w14:srgbClr w14:val="000000">
                      <w14:alpha w14:val="100000"/>
                    </w14:srgbClr>
                  </w14:solidFill>
                </w14:textFill>
              </w:rPr>
              <w:t>|||</w:t>
            </w:r>
            <w:r w:rsidR="00733FBC" w:rsidRPr="00733FBC">
              <w:rPr>
                <w:iCs/>
                <w:color w:val="000000"/>
                <w:spacing w:val="3"/>
                <w:shd w:val="solid" w:color="000000" w:fill="000000"/>
                <w:fitText w:val="320" w:id="-663571959"/>
                <w14:textFill>
                  <w14:solidFill>
                    <w14:srgbClr w14:val="000000">
                      <w14:alpha w14:val="100000"/>
                    </w14:srgbClr>
                  </w14:solidFill>
                </w14:textFill>
              </w:rPr>
              <w:t>|</w:t>
            </w:r>
            <w:r w:rsidR="00F9606A">
              <w:rPr>
                <w:iCs/>
              </w:rPr>
              <w:t xml:space="preserve"> </w:t>
            </w:r>
            <w:r w:rsidR="00F9606A">
              <w:rPr>
                <w:iCs/>
                <w:vertAlign w:val="superscript"/>
              </w:rPr>
              <w:t>2</w:t>
            </w:r>
          </w:p>
        </w:tc>
      </w:tr>
      <w:tr w:rsidR="008C3DCB" w:rsidRPr="003B6D82" w14:paraId="6107851C" w14:textId="77777777" w:rsidTr="008C3DCB">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17D4FD56" w14:textId="77777777" w:rsidR="008C3DCB" w:rsidRPr="003B6D82" w:rsidRDefault="008C3DCB">
            <w:pPr>
              <w:pStyle w:val="COMTabletext"/>
              <w:rPr>
                <w:b/>
                <w:bCs w:val="0"/>
                <w:iCs/>
              </w:rPr>
            </w:pPr>
            <w:r w:rsidRPr="003B6D82">
              <w:rPr>
                <w:b/>
                <w:bCs w:val="0"/>
                <w:iCs/>
              </w:rPr>
              <w:t xml:space="preserve">Estimated financial implications for </w:t>
            </w:r>
            <w:proofErr w:type="spellStart"/>
            <w:r w:rsidRPr="003B6D82">
              <w:rPr>
                <w:b/>
                <w:bCs w:val="0"/>
                <w:iCs/>
              </w:rPr>
              <w:t>ruxolitinib</w:t>
            </w:r>
            <w:proofErr w:type="spellEnd"/>
          </w:p>
        </w:tc>
      </w:tr>
      <w:tr w:rsidR="008C3DCB" w:rsidRPr="003B6D82" w14:paraId="1FA512DD" w14:textId="77777777" w:rsidTr="008C3DCB">
        <w:tc>
          <w:tcPr>
            <w:tcW w:w="1334" w:type="pct"/>
            <w:tcBorders>
              <w:top w:val="single" w:sz="4" w:space="0" w:color="auto"/>
              <w:left w:val="single" w:sz="4" w:space="0" w:color="auto"/>
              <w:bottom w:val="single" w:sz="4" w:space="0" w:color="auto"/>
              <w:right w:val="single" w:sz="4" w:space="0" w:color="auto"/>
            </w:tcBorders>
            <w:vAlign w:val="center"/>
            <w:hideMark/>
          </w:tcPr>
          <w:p w14:paraId="788A7E33" w14:textId="77777777" w:rsidR="008C3DCB" w:rsidRPr="003B6D82" w:rsidRDefault="008C3DCB">
            <w:pPr>
              <w:pStyle w:val="COMTabletext"/>
              <w:rPr>
                <w:iCs/>
              </w:rPr>
            </w:pPr>
            <w:r w:rsidRPr="003B6D82">
              <w:rPr>
                <w:iCs/>
              </w:rPr>
              <w:t>Cost to PBS/RPBS less copayments</w:t>
            </w:r>
          </w:p>
        </w:tc>
        <w:tc>
          <w:tcPr>
            <w:tcW w:w="611" w:type="pct"/>
            <w:tcBorders>
              <w:top w:val="single" w:sz="4" w:space="0" w:color="auto"/>
              <w:left w:val="single" w:sz="4" w:space="0" w:color="auto"/>
              <w:bottom w:val="single" w:sz="4" w:space="0" w:color="auto"/>
              <w:right w:val="single" w:sz="4" w:space="0" w:color="auto"/>
            </w:tcBorders>
            <w:vAlign w:val="center"/>
            <w:hideMark/>
          </w:tcPr>
          <w:p w14:paraId="74187478" w14:textId="7BF3EA31" w:rsidR="008C3DCB" w:rsidRPr="003B6D82" w:rsidRDefault="008C3DCB">
            <w:pPr>
              <w:pStyle w:val="TableText0"/>
              <w:jc w:val="center"/>
              <w:rPr>
                <w:iCs/>
              </w:rPr>
            </w:pPr>
            <w:r w:rsidRPr="003B6D82">
              <w:rPr>
                <w:iCs/>
              </w:rPr>
              <w:t>$</w:t>
            </w:r>
            <w:r w:rsidR="00733FBC" w:rsidRPr="00733FBC">
              <w:rPr>
                <w:iCs/>
                <w:color w:val="000000"/>
                <w:spacing w:val="49"/>
                <w:shd w:val="solid" w:color="000000" w:fill="000000"/>
                <w:fitText w:val="320" w:id="-663571958"/>
                <w14:textFill>
                  <w14:solidFill>
                    <w14:srgbClr w14:val="000000">
                      <w14:alpha w14:val="100000"/>
                    </w14:srgbClr>
                  </w14:solidFill>
                </w14:textFill>
              </w:rPr>
              <w:t>|||</w:t>
            </w:r>
            <w:r w:rsidR="00733FBC" w:rsidRPr="00733FBC">
              <w:rPr>
                <w:iCs/>
                <w:color w:val="000000"/>
                <w:spacing w:val="3"/>
                <w:shd w:val="solid" w:color="000000" w:fill="000000"/>
                <w:fitText w:val="320" w:id="-663571958"/>
                <w14:textFill>
                  <w14:solidFill>
                    <w14:srgbClr w14:val="000000">
                      <w14:alpha w14:val="100000"/>
                    </w14:srgbClr>
                  </w14:solidFill>
                </w14:textFill>
              </w:rPr>
              <w:t>|</w:t>
            </w:r>
            <w:r w:rsidR="000F326D">
              <w:rPr>
                <w:iCs/>
              </w:rPr>
              <w:t xml:space="preserve"> </w:t>
            </w:r>
            <w:r w:rsidR="000F326D">
              <w:rPr>
                <w:iCs/>
                <w:vertAlign w:val="superscript"/>
              </w:rPr>
              <w:t>3</w:t>
            </w:r>
          </w:p>
        </w:tc>
        <w:tc>
          <w:tcPr>
            <w:tcW w:w="611" w:type="pct"/>
            <w:tcBorders>
              <w:top w:val="single" w:sz="4" w:space="0" w:color="auto"/>
              <w:left w:val="single" w:sz="4" w:space="0" w:color="auto"/>
              <w:bottom w:val="single" w:sz="4" w:space="0" w:color="auto"/>
              <w:right w:val="single" w:sz="4" w:space="0" w:color="auto"/>
            </w:tcBorders>
            <w:vAlign w:val="center"/>
            <w:hideMark/>
          </w:tcPr>
          <w:p w14:paraId="693908DE" w14:textId="495CC708" w:rsidR="008C3DCB" w:rsidRPr="003B6D82" w:rsidRDefault="008C3DCB">
            <w:pPr>
              <w:pStyle w:val="TableText0"/>
              <w:jc w:val="center"/>
              <w:rPr>
                <w:iCs/>
              </w:rPr>
            </w:pPr>
            <w:r w:rsidRPr="003B6D82">
              <w:rPr>
                <w:iCs/>
              </w:rPr>
              <w:t>$</w:t>
            </w:r>
            <w:r w:rsidR="00733FBC" w:rsidRPr="00733FBC">
              <w:rPr>
                <w:iCs/>
                <w:color w:val="000000"/>
                <w:spacing w:val="49"/>
                <w:shd w:val="solid" w:color="000000" w:fill="000000"/>
                <w:fitText w:val="320" w:id="-663571957"/>
                <w14:textFill>
                  <w14:solidFill>
                    <w14:srgbClr w14:val="000000">
                      <w14:alpha w14:val="100000"/>
                    </w14:srgbClr>
                  </w14:solidFill>
                </w14:textFill>
              </w:rPr>
              <w:t>|||</w:t>
            </w:r>
            <w:r w:rsidR="00733FBC" w:rsidRPr="00733FBC">
              <w:rPr>
                <w:iCs/>
                <w:color w:val="000000"/>
                <w:spacing w:val="3"/>
                <w:shd w:val="solid" w:color="000000" w:fill="000000"/>
                <w:fitText w:val="320" w:id="-663571957"/>
                <w14:textFill>
                  <w14:solidFill>
                    <w14:srgbClr w14:val="000000">
                      <w14:alpha w14:val="100000"/>
                    </w14:srgbClr>
                  </w14:solidFill>
                </w14:textFill>
              </w:rPr>
              <w:t>|</w:t>
            </w:r>
            <w:r w:rsidR="000F326D">
              <w:rPr>
                <w:iCs/>
              </w:rPr>
              <w:t xml:space="preserve"> </w:t>
            </w:r>
            <w:r w:rsidR="000F326D">
              <w:rPr>
                <w:iCs/>
                <w:vertAlign w:val="superscript"/>
              </w:rPr>
              <w:t>3</w:t>
            </w:r>
          </w:p>
        </w:tc>
        <w:tc>
          <w:tcPr>
            <w:tcW w:w="611" w:type="pct"/>
            <w:tcBorders>
              <w:top w:val="single" w:sz="4" w:space="0" w:color="auto"/>
              <w:left w:val="single" w:sz="4" w:space="0" w:color="auto"/>
              <w:bottom w:val="single" w:sz="4" w:space="0" w:color="auto"/>
              <w:right w:val="single" w:sz="4" w:space="0" w:color="auto"/>
            </w:tcBorders>
            <w:vAlign w:val="center"/>
            <w:hideMark/>
          </w:tcPr>
          <w:p w14:paraId="4C160E6E" w14:textId="5C3FABE0" w:rsidR="008C3DCB" w:rsidRPr="003B6D82" w:rsidRDefault="008C3DCB">
            <w:pPr>
              <w:pStyle w:val="TableText0"/>
              <w:jc w:val="center"/>
              <w:rPr>
                <w:iCs/>
              </w:rPr>
            </w:pPr>
            <w:r w:rsidRPr="003B6D82">
              <w:rPr>
                <w:iCs/>
              </w:rPr>
              <w:t>$</w:t>
            </w:r>
            <w:r w:rsidR="00733FBC" w:rsidRPr="00733FBC">
              <w:rPr>
                <w:iCs/>
                <w:color w:val="000000"/>
                <w:spacing w:val="49"/>
                <w:shd w:val="solid" w:color="000000" w:fill="000000"/>
                <w:fitText w:val="320" w:id="-663571956"/>
                <w14:textFill>
                  <w14:solidFill>
                    <w14:srgbClr w14:val="000000">
                      <w14:alpha w14:val="100000"/>
                    </w14:srgbClr>
                  </w14:solidFill>
                </w14:textFill>
              </w:rPr>
              <w:t>|||</w:t>
            </w:r>
            <w:r w:rsidR="00733FBC" w:rsidRPr="00733FBC">
              <w:rPr>
                <w:iCs/>
                <w:color w:val="000000"/>
                <w:spacing w:val="3"/>
                <w:shd w:val="solid" w:color="000000" w:fill="000000"/>
                <w:fitText w:val="320" w:id="-663571956"/>
                <w14:textFill>
                  <w14:solidFill>
                    <w14:srgbClr w14:val="000000">
                      <w14:alpha w14:val="100000"/>
                    </w14:srgbClr>
                  </w14:solidFill>
                </w14:textFill>
              </w:rPr>
              <w:t>|</w:t>
            </w:r>
            <w:r w:rsidR="00F9606A">
              <w:rPr>
                <w:iCs/>
              </w:rPr>
              <w:t xml:space="preserve"> </w:t>
            </w:r>
            <w:r w:rsidR="00F9606A">
              <w:rPr>
                <w:iCs/>
                <w:vertAlign w:val="superscript"/>
              </w:rPr>
              <w:t>2</w:t>
            </w:r>
          </w:p>
        </w:tc>
        <w:tc>
          <w:tcPr>
            <w:tcW w:w="611" w:type="pct"/>
            <w:tcBorders>
              <w:top w:val="single" w:sz="4" w:space="0" w:color="auto"/>
              <w:left w:val="single" w:sz="4" w:space="0" w:color="auto"/>
              <w:bottom w:val="single" w:sz="4" w:space="0" w:color="auto"/>
              <w:right w:val="single" w:sz="4" w:space="0" w:color="auto"/>
            </w:tcBorders>
            <w:vAlign w:val="center"/>
            <w:hideMark/>
          </w:tcPr>
          <w:p w14:paraId="05346D61" w14:textId="64E9FEEC" w:rsidR="008C3DCB" w:rsidRPr="003B6D82" w:rsidRDefault="008C3DCB">
            <w:pPr>
              <w:pStyle w:val="TableText0"/>
              <w:jc w:val="center"/>
              <w:rPr>
                <w:iCs/>
              </w:rPr>
            </w:pPr>
            <w:r w:rsidRPr="003B6D82">
              <w:rPr>
                <w:iCs/>
              </w:rPr>
              <w:t>$</w:t>
            </w:r>
            <w:r w:rsidR="00733FBC" w:rsidRPr="00733FBC">
              <w:rPr>
                <w:iCs/>
                <w:color w:val="000000"/>
                <w:spacing w:val="49"/>
                <w:shd w:val="solid" w:color="000000" w:fill="000000"/>
                <w:fitText w:val="320" w:id="-663571955"/>
                <w14:textFill>
                  <w14:solidFill>
                    <w14:srgbClr w14:val="000000">
                      <w14:alpha w14:val="100000"/>
                    </w14:srgbClr>
                  </w14:solidFill>
                </w14:textFill>
              </w:rPr>
              <w:t>|||</w:t>
            </w:r>
            <w:r w:rsidR="00733FBC" w:rsidRPr="00733FBC">
              <w:rPr>
                <w:iCs/>
                <w:color w:val="000000"/>
                <w:spacing w:val="3"/>
                <w:shd w:val="solid" w:color="000000" w:fill="000000"/>
                <w:fitText w:val="320" w:id="-663571955"/>
                <w14:textFill>
                  <w14:solidFill>
                    <w14:srgbClr w14:val="000000">
                      <w14:alpha w14:val="100000"/>
                    </w14:srgbClr>
                  </w14:solidFill>
                </w14:textFill>
              </w:rPr>
              <w:t>|</w:t>
            </w:r>
            <w:r w:rsidR="00F9606A">
              <w:rPr>
                <w:iCs/>
              </w:rPr>
              <w:t xml:space="preserve"> </w:t>
            </w:r>
            <w:r w:rsidR="00F9606A">
              <w:rPr>
                <w:iCs/>
                <w:vertAlign w:val="superscript"/>
              </w:rPr>
              <w:t>2</w:t>
            </w:r>
          </w:p>
        </w:tc>
        <w:tc>
          <w:tcPr>
            <w:tcW w:w="611" w:type="pct"/>
            <w:tcBorders>
              <w:top w:val="single" w:sz="4" w:space="0" w:color="auto"/>
              <w:left w:val="single" w:sz="4" w:space="0" w:color="auto"/>
              <w:bottom w:val="single" w:sz="4" w:space="0" w:color="auto"/>
              <w:right w:val="single" w:sz="4" w:space="0" w:color="auto"/>
            </w:tcBorders>
            <w:vAlign w:val="center"/>
            <w:hideMark/>
          </w:tcPr>
          <w:p w14:paraId="4754C66E" w14:textId="7766C675" w:rsidR="008C3DCB" w:rsidRPr="003B6D82" w:rsidRDefault="008C3DCB">
            <w:pPr>
              <w:pStyle w:val="TableText0"/>
              <w:jc w:val="center"/>
              <w:rPr>
                <w:iCs/>
              </w:rPr>
            </w:pPr>
            <w:r w:rsidRPr="003B6D82">
              <w:rPr>
                <w:iCs/>
              </w:rPr>
              <w:t>$</w:t>
            </w:r>
            <w:r w:rsidR="00733FBC" w:rsidRPr="00733FBC">
              <w:rPr>
                <w:iCs/>
                <w:color w:val="000000"/>
                <w:spacing w:val="49"/>
                <w:shd w:val="solid" w:color="000000" w:fill="000000"/>
                <w:fitText w:val="320" w:id="-663571954"/>
                <w14:textFill>
                  <w14:solidFill>
                    <w14:srgbClr w14:val="000000">
                      <w14:alpha w14:val="100000"/>
                    </w14:srgbClr>
                  </w14:solidFill>
                </w14:textFill>
              </w:rPr>
              <w:t>|||</w:t>
            </w:r>
            <w:r w:rsidR="00733FBC" w:rsidRPr="00733FBC">
              <w:rPr>
                <w:iCs/>
                <w:color w:val="000000"/>
                <w:spacing w:val="3"/>
                <w:shd w:val="solid" w:color="000000" w:fill="000000"/>
                <w:fitText w:val="320" w:id="-663571954"/>
                <w14:textFill>
                  <w14:solidFill>
                    <w14:srgbClr w14:val="000000">
                      <w14:alpha w14:val="100000"/>
                    </w14:srgbClr>
                  </w14:solidFill>
                </w14:textFill>
              </w:rPr>
              <w:t>|</w:t>
            </w:r>
            <w:r w:rsidR="00F9606A">
              <w:rPr>
                <w:iCs/>
              </w:rPr>
              <w:t xml:space="preserve"> </w:t>
            </w:r>
            <w:r w:rsidR="00F9606A">
              <w:rPr>
                <w:iCs/>
                <w:vertAlign w:val="superscript"/>
              </w:rPr>
              <w:t>2</w:t>
            </w:r>
          </w:p>
        </w:tc>
        <w:tc>
          <w:tcPr>
            <w:tcW w:w="611" w:type="pct"/>
            <w:tcBorders>
              <w:top w:val="single" w:sz="4" w:space="0" w:color="auto"/>
              <w:left w:val="single" w:sz="4" w:space="0" w:color="auto"/>
              <w:bottom w:val="single" w:sz="4" w:space="0" w:color="auto"/>
              <w:right w:val="single" w:sz="4" w:space="0" w:color="auto"/>
            </w:tcBorders>
            <w:vAlign w:val="center"/>
            <w:hideMark/>
          </w:tcPr>
          <w:p w14:paraId="1A4D398A" w14:textId="7A1B12E5" w:rsidR="008C3DCB" w:rsidRPr="003B6D82" w:rsidRDefault="008C3DCB">
            <w:pPr>
              <w:pStyle w:val="TableText0"/>
              <w:jc w:val="center"/>
              <w:rPr>
                <w:iCs/>
              </w:rPr>
            </w:pPr>
            <w:r w:rsidRPr="003B6D82">
              <w:rPr>
                <w:iCs/>
              </w:rPr>
              <w:t>$</w:t>
            </w:r>
            <w:r w:rsidR="00733FBC" w:rsidRPr="00733FBC">
              <w:rPr>
                <w:iCs/>
                <w:color w:val="000000"/>
                <w:spacing w:val="49"/>
                <w:shd w:val="solid" w:color="000000" w:fill="000000"/>
                <w:fitText w:val="320" w:id="-663571953"/>
                <w14:textFill>
                  <w14:solidFill>
                    <w14:srgbClr w14:val="000000">
                      <w14:alpha w14:val="100000"/>
                    </w14:srgbClr>
                  </w14:solidFill>
                </w14:textFill>
              </w:rPr>
              <w:t>|||</w:t>
            </w:r>
            <w:r w:rsidR="00733FBC" w:rsidRPr="00733FBC">
              <w:rPr>
                <w:iCs/>
                <w:color w:val="000000"/>
                <w:spacing w:val="3"/>
                <w:shd w:val="solid" w:color="000000" w:fill="000000"/>
                <w:fitText w:val="320" w:id="-663571953"/>
                <w14:textFill>
                  <w14:solidFill>
                    <w14:srgbClr w14:val="000000">
                      <w14:alpha w14:val="100000"/>
                    </w14:srgbClr>
                  </w14:solidFill>
                </w14:textFill>
              </w:rPr>
              <w:t>|</w:t>
            </w:r>
            <w:r w:rsidR="000F326D">
              <w:rPr>
                <w:iCs/>
              </w:rPr>
              <w:t xml:space="preserve"> </w:t>
            </w:r>
            <w:r w:rsidR="000F326D">
              <w:rPr>
                <w:iCs/>
                <w:vertAlign w:val="superscript"/>
              </w:rPr>
              <w:t>2</w:t>
            </w:r>
          </w:p>
        </w:tc>
      </w:tr>
      <w:tr w:rsidR="008C3DCB" w:rsidRPr="003B6D82" w14:paraId="70C7CAD3" w14:textId="77777777" w:rsidTr="008C3DCB">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1AD176D0" w14:textId="77777777" w:rsidR="008C3DCB" w:rsidRPr="003B6D82" w:rsidRDefault="008C3DCB">
            <w:pPr>
              <w:pStyle w:val="COMTableheadingrow"/>
              <w:rPr>
                <w:iCs/>
                <w:lang w:val="en-AU"/>
              </w:rPr>
            </w:pPr>
            <w:r w:rsidRPr="003B6D82">
              <w:rPr>
                <w:iCs/>
                <w:lang w:val="en-AU"/>
              </w:rPr>
              <w:t>Net financial implications</w:t>
            </w:r>
          </w:p>
        </w:tc>
      </w:tr>
      <w:tr w:rsidR="008C3DCB" w:rsidRPr="003B6D82" w14:paraId="4A91C2D3" w14:textId="77777777" w:rsidTr="008C3DCB">
        <w:tc>
          <w:tcPr>
            <w:tcW w:w="1334" w:type="pct"/>
            <w:tcBorders>
              <w:top w:val="single" w:sz="4" w:space="0" w:color="auto"/>
              <w:left w:val="single" w:sz="4" w:space="0" w:color="auto"/>
              <w:bottom w:val="single" w:sz="4" w:space="0" w:color="auto"/>
              <w:right w:val="single" w:sz="4" w:space="0" w:color="auto"/>
            </w:tcBorders>
            <w:vAlign w:val="center"/>
            <w:hideMark/>
          </w:tcPr>
          <w:p w14:paraId="3BBCE282" w14:textId="77777777" w:rsidR="008C3DCB" w:rsidRPr="003B6D82" w:rsidRDefault="008C3DCB">
            <w:pPr>
              <w:pStyle w:val="COMTabletext"/>
              <w:rPr>
                <w:iCs/>
              </w:rPr>
            </w:pPr>
            <w:r w:rsidRPr="003B6D82">
              <w:rPr>
                <w:iCs/>
              </w:rPr>
              <w:t>Net cost to PBS/RPBS</w:t>
            </w:r>
          </w:p>
        </w:tc>
        <w:tc>
          <w:tcPr>
            <w:tcW w:w="611" w:type="pct"/>
            <w:tcBorders>
              <w:top w:val="single" w:sz="4" w:space="0" w:color="auto"/>
              <w:left w:val="single" w:sz="4" w:space="0" w:color="auto"/>
              <w:bottom w:val="single" w:sz="4" w:space="0" w:color="auto"/>
              <w:right w:val="single" w:sz="4" w:space="0" w:color="auto"/>
            </w:tcBorders>
            <w:hideMark/>
          </w:tcPr>
          <w:p w14:paraId="584A77C2" w14:textId="3DE5B060" w:rsidR="008C3DCB" w:rsidRPr="003B6D82" w:rsidRDefault="008C3DCB">
            <w:pPr>
              <w:pStyle w:val="TableText0"/>
              <w:jc w:val="center"/>
              <w:rPr>
                <w:iCs/>
              </w:rPr>
            </w:pPr>
            <w:r w:rsidRPr="003B6D82">
              <w:rPr>
                <w:iCs/>
              </w:rPr>
              <w:t>$</w:t>
            </w:r>
            <w:r w:rsidR="00733FBC" w:rsidRPr="00733FBC">
              <w:rPr>
                <w:iCs/>
                <w:color w:val="000000"/>
                <w:spacing w:val="49"/>
                <w:shd w:val="solid" w:color="000000" w:fill="000000"/>
                <w:fitText w:val="320" w:id="-663571952"/>
                <w14:textFill>
                  <w14:solidFill>
                    <w14:srgbClr w14:val="000000">
                      <w14:alpha w14:val="100000"/>
                    </w14:srgbClr>
                  </w14:solidFill>
                </w14:textFill>
              </w:rPr>
              <w:t>|||</w:t>
            </w:r>
            <w:r w:rsidR="00733FBC" w:rsidRPr="00733FBC">
              <w:rPr>
                <w:iCs/>
                <w:color w:val="000000"/>
                <w:spacing w:val="3"/>
                <w:shd w:val="solid" w:color="000000" w:fill="000000"/>
                <w:fitText w:val="320" w:id="-663571952"/>
                <w14:textFill>
                  <w14:solidFill>
                    <w14:srgbClr w14:val="000000">
                      <w14:alpha w14:val="100000"/>
                    </w14:srgbClr>
                  </w14:solidFill>
                </w14:textFill>
              </w:rPr>
              <w:t>|</w:t>
            </w:r>
            <w:r w:rsidR="000F326D">
              <w:rPr>
                <w:iCs/>
              </w:rPr>
              <w:t xml:space="preserve"> </w:t>
            </w:r>
            <w:r w:rsidR="000F326D">
              <w:rPr>
                <w:iCs/>
                <w:vertAlign w:val="superscript"/>
              </w:rPr>
              <w:t>4</w:t>
            </w:r>
          </w:p>
        </w:tc>
        <w:tc>
          <w:tcPr>
            <w:tcW w:w="611" w:type="pct"/>
            <w:tcBorders>
              <w:top w:val="single" w:sz="4" w:space="0" w:color="auto"/>
              <w:left w:val="single" w:sz="4" w:space="0" w:color="auto"/>
              <w:bottom w:val="single" w:sz="4" w:space="0" w:color="auto"/>
              <w:right w:val="single" w:sz="4" w:space="0" w:color="auto"/>
            </w:tcBorders>
            <w:hideMark/>
          </w:tcPr>
          <w:p w14:paraId="3BE121D9" w14:textId="53BA4DB6" w:rsidR="008C3DCB" w:rsidRPr="003B6D82" w:rsidRDefault="008C3DCB">
            <w:pPr>
              <w:pStyle w:val="TableText0"/>
              <w:jc w:val="center"/>
              <w:rPr>
                <w:iCs/>
              </w:rPr>
            </w:pPr>
            <w:r w:rsidRPr="003B6D82">
              <w:rPr>
                <w:iCs/>
              </w:rPr>
              <w:t>$</w:t>
            </w:r>
            <w:r w:rsidR="00733FBC" w:rsidRPr="00733FBC">
              <w:rPr>
                <w:iCs/>
                <w:color w:val="000000"/>
                <w:spacing w:val="49"/>
                <w:shd w:val="solid" w:color="000000" w:fill="000000"/>
                <w:fitText w:val="320" w:id="-663571968"/>
                <w14:textFill>
                  <w14:solidFill>
                    <w14:srgbClr w14:val="000000">
                      <w14:alpha w14:val="100000"/>
                    </w14:srgbClr>
                  </w14:solidFill>
                </w14:textFill>
              </w:rPr>
              <w:t>|||</w:t>
            </w:r>
            <w:r w:rsidR="00733FBC" w:rsidRPr="00733FBC">
              <w:rPr>
                <w:iCs/>
                <w:color w:val="000000"/>
                <w:spacing w:val="3"/>
                <w:shd w:val="solid" w:color="000000" w:fill="000000"/>
                <w:fitText w:val="320" w:id="-663571968"/>
                <w14:textFill>
                  <w14:solidFill>
                    <w14:srgbClr w14:val="000000">
                      <w14:alpha w14:val="100000"/>
                    </w14:srgbClr>
                  </w14:solidFill>
                </w14:textFill>
              </w:rPr>
              <w:t>|</w:t>
            </w:r>
            <w:r w:rsidR="000F326D">
              <w:rPr>
                <w:iCs/>
              </w:rPr>
              <w:t xml:space="preserve"> </w:t>
            </w:r>
            <w:r w:rsidR="000F326D">
              <w:rPr>
                <w:iCs/>
                <w:vertAlign w:val="superscript"/>
              </w:rPr>
              <w:t>4</w:t>
            </w:r>
          </w:p>
        </w:tc>
        <w:tc>
          <w:tcPr>
            <w:tcW w:w="611" w:type="pct"/>
            <w:tcBorders>
              <w:top w:val="single" w:sz="4" w:space="0" w:color="auto"/>
              <w:left w:val="single" w:sz="4" w:space="0" w:color="auto"/>
              <w:bottom w:val="single" w:sz="4" w:space="0" w:color="auto"/>
              <w:right w:val="single" w:sz="4" w:space="0" w:color="auto"/>
            </w:tcBorders>
            <w:hideMark/>
          </w:tcPr>
          <w:p w14:paraId="46DC498A" w14:textId="79ECECA5" w:rsidR="008C3DCB" w:rsidRPr="003B6D82" w:rsidRDefault="008C3DCB">
            <w:pPr>
              <w:pStyle w:val="TableText0"/>
              <w:jc w:val="center"/>
              <w:rPr>
                <w:iCs/>
              </w:rPr>
            </w:pPr>
            <w:r w:rsidRPr="003B6D82">
              <w:rPr>
                <w:iCs/>
              </w:rPr>
              <w:t>$</w:t>
            </w:r>
            <w:r w:rsidR="00733FBC" w:rsidRPr="00733FBC">
              <w:rPr>
                <w:iCs/>
                <w:color w:val="000000"/>
                <w:spacing w:val="49"/>
                <w:shd w:val="solid" w:color="000000" w:fill="000000"/>
                <w:fitText w:val="320" w:id="-663571967"/>
                <w14:textFill>
                  <w14:solidFill>
                    <w14:srgbClr w14:val="000000">
                      <w14:alpha w14:val="100000"/>
                    </w14:srgbClr>
                  </w14:solidFill>
                </w14:textFill>
              </w:rPr>
              <w:t>|||</w:t>
            </w:r>
            <w:r w:rsidR="00733FBC" w:rsidRPr="00733FBC">
              <w:rPr>
                <w:iCs/>
                <w:color w:val="000000"/>
                <w:spacing w:val="3"/>
                <w:shd w:val="solid" w:color="000000" w:fill="000000"/>
                <w:fitText w:val="320" w:id="-663571967"/>
                <w14:textFill>
                  <w14:solidFill>
                    <w14:srgbClr w14:val="000000">
                      <w14:alpha w14:val="100000"/>
                    </w14:srgbClr>
                  </w14:solidFill>
                </w14:textFill>
              </w:rPr>
              <w:t>|</w:t>
            </w:r>
            <w:r w:rsidR="000F326D">
              <w:rPr>
                <w:iCs/>
              </w:rPr>
              <w:t xml:space="preserve"> </w:t>
            </w:r>
            <w:r w:rsidR="000F326D">
              <w:rPr>
                <w:iCs/>
                <w:vertAlign w:val="superscript"/>
              </w:rPr>
              <w:t>4</w:t>
            </w:r>
          </w:p>
        </w:tc>
        <w:tc>
          <w:tcPr>
            <w:tcW w:w="611" w:type="pct"/>
            <w:tcBorders>
              <w:top w:val="single" w:sz="4" w:space="0" w:color="auto"/>
              <w:left w:val="single" w:sz="4" w:space="0" w:color="auto"/>
              <w:bottom w:val="single" w:sz="4" w:space="0" w:color="auto"/>
              <w:right w:val="single" w:sz="4" w:space="0" w:color="auto"/>
            </w:tcBorders>
            <w:hideMark/>
          </w:tcPr>
          <w:p w14:paraId="0BFE0675" w14:textId="555884B1" w:rsidR="008C3DCB" w:rsidRPr="003B6D82" w:rsidRDefault="008C3DCB">
            <w:pPr>
              <w:pStyle w:val="TableText0"/>
              <w:jc w:val="center"/>
              <w:rPr>
                <w:iCs/>
              </w:rPr>
            </w:pPr>
            <w:r w:rsidRPr="003B6D82">
              <w:rPr>
                <w:iCs/>
              </w:rPr>
              <w:t>$</w:t>
            </w:r>
            <w:r w:rsidR="00733FBC" w:rsidRPr="00733FBC">
              <w:rPr>
                <w:iCs/>
                <w:color w:val="000000"/>
                <w:spacing w:val="49"/>
                <w:shd w:val="solid" w:color="000000" w:fill="000000"/>
                <w:fitText w:val="320" w:id="-663571966"/>
                <w14:textFill>
                  <w14:solidFill>
                    <w14:srgbClr w14:val="000000">
                      <w14:alpha w14:val="100000"/>
                    </w14:srgbClr>
                  </w14:solidFill>
                </w14:textFill>
              </w:rPr>
              <w:t>|||</w:t>
            </w:r>
            <w:r w:rsidR="00733FBC" w:rsidRPr="00733FBC">
              <w:rPr>
                <w:iCs/>
                <w:color w:val="000000"/>
                <w:spacing w:val="3"/>
                <w:shd w:val="solid" w:color="000000" w:fill="000000"/>
                <w:fitText w:val="320" w:id="-663571966"/>
                <w14:textFill>
                  <w14:solidFill>
                    <w14:srgbClr w14:val="000000">
                      <w14:alpha w14:val="100000"/>
                    </w14:srgbClr>
                  </w14:solidFill>
                </w14:textFill>
              </w:rPr>
              <w:t>|</w:t>
            </w:r>
            <w:r w:rsidR="000F326D">
              <w:rPr>
                <w:iCs/>
              </w:rPr>
              <w:t xml:space="preserve"> </w:t>
            </w:r>
            <w:r w:rsidR="000F326D">
              <w:rPr>
                <w:iCs/>
                <w:vertAlign w:val="superscript"/>
              </w:rPr>
              <w:t>4</w:t>
            </w:r>
          </w:p>
        </w:tc>
        <w:tc>
          <w:tcPr>
            <w:tcW w:w="611" w:type="pct"/>
            <w:tcBorders>
              <w:top w:val="single" w:sz="4" w:space="0" w:color="auto"/>
              <w:left w:val="single" w:sz="4" w:space="0" w:color="auto"/>
              <w:bottom w:val="single" w:sz="4" w:space="0" w:color="auto"/>
              <w:right w:val="single" w:sz="4" w:space="0" w:color="auto"/>
            </w:tcBorders>
            <w:hideMark/>
          </w:tcPr>
          <w:p w14:paraId="2B4A6962" w14:textId="15FA130E" w:rsidR="008C3DCB" w:rsidRPr="003B6D82" w:rsidRDefault="008C3DCB">
            <w:pPr>
              <w:pStyle w:val="TableText0"/>
              <w:jc w:val="center"/>
              <w:rPr>
                <w:iCs/>
              </w:rPr>
            </w:pPr>
            <w:r w:rsidRPr="003B6D82">
              <w:rPr>
                <w:iCs/>
              </w:rPr>
              <w:t>$</w:t>
            </w:r>
            <w:r w:rsidR="00733FBC" w:rsidRPr="00733FBC">
              <w:rPr>
                <w:iCs/>
                <w:color w:val="000000"/>
                <w:spacing w:val="49"/>
                <w:shd w:val="solid" w:color="000000" w:fill="000000"/>
                <w:fitText w:val="320" w:id="-663571965"/>
                <w14:textFill>
                  <w14:solidFill>
                    <w14:srgbClr w14:val="000000">
                      <w14:alpha w14:val="100000"/>
                    </w14:srgbClr>
                  </w14:solidFill>
                </w14:textFill>
              </w:rPr>
              <w:t>|||</w:t>
            </w:r>
            <w:r w:rsidR="00733FBC" w:rsidRPr="00733FBC">
              <w:rPr>
                <w:iCs/>
                <w:color w:val="000000"/>
                <w:spacing w:val="3"/>
                <w:shd w:val="solid" w:color="000000" w:fill="000000"/>
                <w:fitText w:val="320" w:id="-663571965"/>
                <w14:textFill>
                  <w14:solidFill>
                    <w14:srgbClr w14:val="000000">
                      <w14:alpha w14:val="100000"/>
                    </w14:srgbClr>
                  </w14:solidFill>
                </w14:textFill>
              </w:rPr>
              <w:t>|</w:t>
            </w:r>
            <w:r w:rsidR="000F326D">
              <w:rPr>
                <w:iCs/>
              </w:rPr>
              <w:t xml:space="preserve"> </w:t>
            </w:r>
            <w:r w:rsidR="000F326D">
              <w:rPr>
                <w:iCs/>
                <w:vertAlign w:val="superscript"/>
              </w:rPr>
              <w:t>4</w:t>
            </w:r>
          </w:p>
        </w:tc>
        <w:tc>
          <w:tcPr>
            <w:tcW w:w="611" w:type="pct"/>
            <w:tcBorders>
              <w:top w:val="single" w:sz="4" w:space="0" w:color="auto"/>
              <w:left w:val="single" w:sz="4" w:space="0" w:color="auto"/>
              <w:bottom w:val="single" w:sz="4" w:space="0" w:color="auto"/>
              <w:right w:val="single" w:sz="4" w:space="0" w:color="auto"/>
            </w:tcBorders>
            <w:hideMark/>
          </w:tcPr>
          <w:p w14:paraId="60B994E3" w14:textId="61871C81" w:rsidR="008C3DCB" w:rsidRPr="003B6D82" w:rsidRDefault="008C3DCB">
            <w:pPr>
              <w:pStyle w:val="TableText0"/>
              <w:jc w:val="center"/>
              <w:rPr>
                <w:iCs/>
              </w:rPr>
            </w:pPr>
            <w:r w:rsidRPr="003B6D82">
              <w:rPr>
                <w:iCs/>
              </w:rPr>
              <w:t>$</w:t>
            </w:r>
            <w:r w:rsidR="00733FBC" w:rsidRPr="00733FBC">
              <w:rPr>
                <w:iCs/>
                <w:color w:val="000000"/>
                <w:spacing w:val="49"/>
                <w:shd w:val="solid" w:color="000000" w:fill="000000"/>
                <w:fitText w:val="320" w:id="-663571964"/>
                <w14:textFill>
                  <w14:solidFill>
                    <w14:srgbClr w14:val="000000">
                      <w14:alpha w14:val="100000"/>
                    </w14:srgbClr>
                  </w14:solidFill>
                </w14:textFill>
              </w:rPr>
              <w:t>|||</w:t>
            </w:r>
            <w:r w:rsidR="00733FBC" w:rsidRPr="00733FBC">
              <w:rPr>
                <w:iCs/>
                <w:color w:val="000000"/>
                <w:spacing w:val="3"/>
                <w:shd w:val="solid" w:color="000000" w:fill="000000"/>
                <w:fitText w:val="320" w:id="-663571964"/>
                <w14:textFill>
                  <w14:solidFill>
                    <w14:srgbClr w14:val="000000">
                      <w14:alpha w14:val="100000"/>
                    </w14:srgbClr>
                  </w14:solidFill>
                </w14:textFill>
              </w:rPr>
              <w:t>|</w:t>
            </w:r>
            <w:r w:rsidR="000F326D">
              <w:rPr>
                <w:iCs/>
              </w:rPr>
              <w:t xml:space="preserve"> </w:t>
            </w:r>
            <w:r w:rsidR="000F326D">
              <w:rPr>
                <w:iCs/>
                <w:vertAlign w:val="superscript"/>
              </w:rPr>
              <w:t>4</w:t>
            </w:r>
          </w:p>
        </w:tc>
      </w:tr>
      <w:tr w:rsidR="008C3DCB" w:rsidRPr="003B6D82" w14:paraId="6E70EA79" w14:textId="77777777" w:rsidTr="008C3DCB">
        <w:tc>
          <w:tcPr>
            <w:tcW w:w="1334" w:type="pct"/>
            <w:tcBorders>
              <w:top w:val="single" w:sz="4" w:space="0" w:color="auto"/>
              <w:left w:val="single" w:sz="4" w:space="0" w:color="auto"/>
              <w:bottom w:val="single" w:sz="4" w:space="0" w:color="auto"/>
              <w:right w:val="single" w:sz="4" w:space="0" w:color="auto"/>
            </w:tcBorders>
            <w:vAlign w:val="center"/>
            <w:hideMark/>
          </w:tcPr>
          <w:p w14:paraId="54EBE3E1" w14:textId="73A4D473" w:rsidR="008C3DCB" w:rsidRPr="003B6D82" w:rsidRDefault="008C3DCB">
            <w:pPr>
              <w:pStyle w:val="COMTabletext"/>
              <w:rPr>
                <w:rFonts w:ascii="Times" w:hAnsi="Times"/>
                <w:iCs/>
              </w:rPr>
            </w:pPr>
            <w:r w:rsidRPr="003B6D82">
              <w:rPr>
                <w:iCs/>
              </w:rPr>
              <w:t xml:space="preserve">Net cost to </w:t>
            </w:r>
            <w:proofErr w:type="spellStart"/>
            <w:r w:rsidRPr="003B6D82">
              <w:rPr>
                <w:iCs/>
              </w:rPr>
              <w:t>MBS</w:t>
            </w:r>
            <w:r w:rsidR="002E04CE" w:rsidRPr="003B6D82">
              <w:rPr>
                <w:iCs/>
                <w:vertAlign w:val="superscript"/>
              </w:rPr>
              <w:t>a</w:t>
            </w:r>
            <w:proofErr w:type="spellEnd"/>
          </w:p>
        </w:tc>
        <w:tc>
          <w:tcPr>
            <w:tcW w:w="611" w:type="pct"/>
            <w:tcBorders>
              <w:top w:val="single" w:sz="4" w:space="0" w:color="auto"/>
              <w:left w:val="single" w:sz="4" w:space="0" w:color="auto"/>
              <w:bottom w:val="single" w:sz="4" w:space="0" w:color="auto"/>
              <w:right w:val="single" w:sz="4" w:space="0" w:color="auto"/>
            </w:tcBorders>
            <w:hideMark/>
          </w:tcPr>
          <w:p w14:paraId="789216A9" w14:textId="78D165C7" w:rsidR="008C3DCB" w:rsidRPr="003B6D82" w:rsidRDefault="008C3DCB">
            <w:pPr>
              <w:pStyle w:val="TableText0"/>
              <w:jc w:val="center"/>
              <w:rPr>
                <w:iCs/>
              </w:rPr>
            </w:pPr>
            <w:r w:rsidRPr="003B6D82">
              <w:rPr>
                <w:iCs/>
              </w:rPr>
              <w:t>$</w:t>
            </w:r>
            <w:r w:rsidR="00733FBC" w:rsidRPr="00733FBC">
              <w:rPr>
                <w:iCs/>
                <w:color w:val="000000"/>
                <w:spacing w:val="49"/>
                <w:shd w:val="solid" w:color="000000" w:fill="000000"/>
                <w:fitText w:val="320" w:id="-663571963"/>
                <w14:textFill>
                  <w14:solidFill>
                    <w14:srgbClr w14:val="000000">
                      <w14:alpha w14:val="100000"/>
                    </w14:srgbClr>
                  </w14:solidFill>
                </w14:textFill>
              </w:rPr>
              <w:t>|||</w:t>
            </w:r>
            <w:r w:rsidR="00733FBC" w:rsidRPr="00733FBC">
              <w:rPr>
                <w:iCs/>
                <w:color w:val="000000"/>
                <w:spacing w:val="3"/>
                <w:shd w:val="solid" w:color="000000" w:fill="000000"/>
                <w:fitText w:val="320" w:id="-663571963"/>
                <w14:textFill>
                  <w14:solidFill>
                    <w14:srgbClr w14:val="000000">
                      <w14:alpha w14:val="100000"/>
                    </w14:srgbClr>
                  </w14:solidFill>
                </w14:textFill>
              </w:rPr>
              <w:t>|</w:t>
            </w:r>
            <w:r w:rsidR="000F326D">
              <w:rPr>
                <w:iCs/>
              </w:rPr>
              <w:t xml:space="preserve"> </w:t>
            </w:r>
            <w:r w:rsidR="000F326D">
              <w:rPr>
                <w:iCs/>
                <w:vertAlign w:val="superscript"/>
              </w:rPr>
              <w:t>4</w:t>
            </w:r>
          </w:p>
        </w:tc>
        <w:tc>
          <w:tcPr>
            <w:tcW w:w="611" w:type="pct"/>
            <w:tcBorders>
              <w:top w:val="single" w:sz="4" w:space="0" w:color="auto"/>
              <w:left w:val="single" w:sz="4" w:space="0" w:color="auto"/>
              <w:bottom w:val="single" w:sz="4" w:space="0" w:color="auto"/>
              <w:right w:val="single" w:sz="4" w:space="0" w:color="auto"/>
            </w:tcBorders>
            <w:hideMark/>
          </w:tcPr>
          <w:p w14:paraId="177C4F21" w14:textId="263580FD" w:rsidR="008C3DCB" w:rsidRPr="003B6D82" w:rsidRDefault="008C3DCB">
            <w:pPr>
              <w:pStyle w:val="TableText0"/>
              <w:jc w:val="center"/>
              <w:rPr>
                <w:iCs/>
              </w:rPr>
            </w:pPr>
            <w:r w:rsidRPr="003B6D82">
              <w:rPr>
                <w:iCs/>
              </w:rPr>
              <w:t>$</w:t>
            </w:r>
            <w:r w:rsidR="00733FBC" w:rsidRPr="00733FBC">
              <w:rPr>
                <w:iCs/>
                <w:color w:val="000000"/>
                <w:spacing w:val="49"/>
                <w:shd w:val="solid" w:color="000000" w:fill="000000"/>
                <w:fitText w:val="320" w:id="-663571962"/>
                <w14:textFill>
                  <w14:solidFill>
                    <w14:srgbClr w14:val="000000">
                      <w14:alpha w14:val="100000"/>
                    </w14:srgbClr>
                  </w14:solidFill>
                </w14:textFill>
              </w:rPr>
              <w:t>|||</w:t>
            </w:r>
            <w:r w:rsidR="00733FBC" w:rsidRPr="00733FBC">
              <w:rPr>
                <w:iCs/>
                <w:color w:val="000000"/>
                <w:spacing w:val="3"/>
                <w:shd w:val="solid" w:color="000000" w:fill="000000"/>
                <w:fitText w:val="320" w:id="-663571962"/>
                <w14:textFill>
                  <w14:solidFill>
                    <w14:srgbClr w14:val="000000">
                      <w14:alpha w14:val="100000"/>
                    </w14:srgbClr>
                  </w14:solidFill>
                </w14:textFill>
              </w:rPr>
              <w:t>|</w:t>
            </w:r>
            <w:r w:rsidR="000F326D">
              <w:rPr>
                <w:iCs/>
              </w:rPr>
              <w:t xml:space="preserve"> </w:t>
            </w:r>
            <w:r w:rsidR="000F326D">
              <w:rPr>
                <w:iCs/>
                <w:vertAlign w:val="superscript"/>
              </w:rPr>
              <w:t>4</w:t>
            </w:r>
          </w:p>
        </w:tc>
        <w:tc>
          <w:tcPr>
            <w:tcW w:w="611" w:type="pct"/>
            <w:tcBorders>
              <w:top w:val="single" w:sz="4" w:space="0" w:color="auto"/>
              <w:left w:val="single" w:sz="4" w:space="0" w:color="auto"/>
              <w:bottom w:val="single" w:sz="4" w:space="0" w:color="auto"/>
              <w:right w:val="single" w:sz="4" w:space="0" w:color="auto"/>
            </w:tcBorders>
            <w:hideMark/>
          </w:tcPr>
          <w:p w14:paraId="16F450AD" w14:textId="61769FC6" w:rsidR="008C3DCB" w:rsidRPr="003B6D82" w:rsidRDefault="008C3DCB">
            <w:pPr>
              <w:pStyle w:val="TableText0"/>
              <w:jc w:val="center"/>
              <w:rPr>
                <w:iCs/>
              </w:rPr>
            </w:pPr>
            <w:r w:rsidRPr="003B6D82">
              <w:rPr>
                <w:iCs/>
              </w:rPr>
              <w:t>$</w:t>
            </w:r>
            <w:r w:rsidR="00733FBC" w:rsidRPr="00733FBC">
              <w:rPr>
                <w:iCs/>
                <w:color w:val="000000"/>
                <w:spacing w:val="49"/>
                <w:shd w:val="solid" w:color="000000" w:fill="000000"/>
                <w:fitText w:val="320" w:id="-663571961"/>
                <w14:textFill>
                  <w14:solidFill>
                    <w14:srgbClr w14:val="000000">
                      <w14:alpha w14:val="100000"/>
                    </w14:srgbClr>
                  </w14:solidFill>
                </w14:textFill>
              </w:rPr>
              <w:t>|||</w:t>
            </w:r>
            <w:r w:rsidR="00733FBC" w:rsidRPr="00733FBC">
              <w:rPr>
                <w:iCs/>
                <w:color w:val="000000"/>
                <w:spacing w:val="3"/>
                <w:shd w:val="solid" w:color="000000" w:fill="000000"/>
                <w:fitText w:val="320" w:id="-663571961"/>
                <w14:textFill>
                  <w14:solidFill>
                    <w14:srgbClr w14:val="000000">
                      <w14:alpha w14:val="100000"/>
                    </w14:srgbClr>
                  </w14:solidFill>
                </w14:textFill>
              </w:rPr>
              <w:t>|</w:t>
            </w:r>
            <w:r w:rsidR="000F326D">
              <w:rPr>
                <w:iCs/>
              </w:rPr>
              <w:t xml:space="preserve"> </w:t>
            </w:r>
            <w:r w:rsidR="000F326D">
              <w:rPr>
                <w:iCs/>
                <w:vertAlign w:val="superscript"/>
              </w:rPr>
              <w:t>4</w:t>
            </w:r>
          </w:p>
        </w:tc>
        <w:tc>
          <w:tcPr>
            <w:tcW w:w="611" w:type="pct"/>
            <w:tcBorders>
              <w:top w:val="single" w:sz="4" w:space="0" w:color="auto"/>
              <w:left w:val="single" w:sz="4" w:space="0" w:color="auto"/>
              <w:bottom w:val="single" w:sz="4" w:space="0" w:color="auto"/>
              <w:right w:val="single" w:sz="4" w:space="0" w:color="auto"/>
            </w:tcBorders>
            <w:hideMark/>
          </w:tcPr>
          <w:p w14:paraId="35C7AC5A" w14:textId="5E036804" w:rsidR="008C3DCB" w:rsidRPr="003B6D82" w:rsidRDefault="008C3DCB">
            <w:pPr>
              <w:pStyle w:val="TableText0"/>
              <w:jc w:val="center"/>
              <w:rPr>
                <w:iCs/>
              </w:rPr>
            </w:pPr>
            <w:r w:rsidRPr="003B6D82">
              <w:rPr>
                <w:iCs/>
              </w:rPr>
              <w:t>$</w:t>
            </w:r>
            <w:r w:rsidR="00733FBC" w:rsidRPr="00733FBC">
              <w:rPr>
                <w:iCs/>
                <w:color w:val="000000"/>
                <w:spacing w:val="49"/>
                <w:shd w:val="solid" w:color="000000" w:fill="000000"/>
                <w:fitText w:val="320" w:id="-663571960"/>
                <w14:textFill>
                  <w14:solidFill>
                    <w14:srgbClr w14:val="000000">
                      <w14:alpha w14:val="100000"/>
                    </w14:srgbClr>
                  </w14:solidFill>
                </w14:textFill>
              </w:rPr>
              <w:t>|||</w:t>
            </w:r>
            <w:r w:rsidR="00733FBC" w:rsidRPr="00733FBC">
              <w:rPr>
                <w:iCs/>
                <w:color w:val="000000"/>
                <w:spacing w:val="3"/>
                <w:shd w:val="solid" w:color="000000" w:fill="000000"/>
                <w:fitText w:val="320" w:id="-663571960"/>
                <w14:textFill>
                  <w14:solidFill>
                    <w14:srgbClr w14:val="000000">
                      <w14:alpha w14:val="100000"/>
                    </w14:srgbClr>
                  </w14:solidFill>
                </w14:textFill>
              </w:rPr>
              <w:t>|</w:t>
            </w:r>
            <w:r w:rsidR="000F326D">
              <w:rPr>
                <w:iCs/>
              </w:rPr>
              <w:t xml:space="preserve"> </w:t>
            </w:r>
            <w:r w:rsidR="000F326D">
              <w:rPr>
                <w:iCs/>
                <w:vertAlign w:val="superscript"/>
              </w:rPr>
              <w:t>4</w:t>
            </w:r>
          </w:p>
        </w:tc>
        <w:tc>
          <w:tcPr>
            <w:tcW w:w="611" w:type="pct"/>
            <w:tcBorders>
              <w:top w:val="single" w:sz="4" w:space="0" w:color="auto"/>
              <w:left w:val="single" w:sz="4" w:space="0" w:color="auto"/>
              <w:bottom w:val="single" w:sz="4" w:space="0" w:color="auto"/>
              <w:right w:val="single" w:sz="4" w:space="0" w:color="auto"/>
            </w:tcBorders>
            <w:hideMark/>
          </w:tcPr>
          <w:p w14:paraId="482BD8AE" w14:textId="304E163F" w:rsidR="008C3DCB" w:rsidRPr="003B6D82" w:rsidRDefault="008C3DCB">
            <w:pPr>
              <w:pStyle w:val="TableText0"/>
              <w:jc w:val="center"/>
              <w:rPr>
                <w:iCs/>
              </w:rPr>
            </w:pPr>
            <w:r w:rsidRPr="003B6D82">
              <w:rPr>
                <w:iCs/>
              </w:rPr>
              <w:t>$</w:t>
            </w:r>
            <w:r w:rsidR="00733FBC" w:rsidRPr="00733FBC">
              <w:rPr>
                <w:iCs/>
                <w:color w:val="000000"/>
                <w:spacing w:val="49"/>
                <w:shd w:val="solid" w:color="000000" w:fill="000000"/>
                <w:fitText w:val="320" w:id="-663571959"/>
                <w14:textFill>
                  <w14:solidFill>
                    <w14:srgbClr w14:val="000000">
                      <w14:alpha w14:val="100000"/>
                    </w14:srgbClr>
                  </w14:solidFill>
                </w14:textFill>
              </w:rPr>
              <w:t>|||</w:t>
            </w:r>
            <w:r w:rsidR="00733FBC" w:rsidRPr="00733FBC">
              <w:rPr>
                <w:iCs/>
                <w:color w:val="000000"/>
                <w:spacing w:val="3"/>
                <w:shd w:val="solid" w:color="000000" w:fill="000000"/>
                <w:fitText w:val="320" w:id="-663571959"/>
                <w14:textFill>
                  <w14:solidFill>
                    <w14:srgbClr w14:val="000000">
                      <w14:alpha w14:val="100000"/>
                    </w14:srgbClr>
                  </w14:solidFill>
                </w14:textFill>
              </w:rPr>
              <w:t>|</w:t>
            </w:r>
            <w:r w:rsidR="000F326D">
              <w:rPr>
                <w:iCs/>
              </w:rPr>
              <w:t xml:space="preserve"> </w:t>
            </w:r>
            <w:r w:rsidR="000F326D">
              <w:rPr>
                <w:iCs/>
                <w:vertAlign w:val="superscript"/>
              </w:rPr>
              <w:t>4</w:t>
            </w:r>
          </w:p>
        </w:tc>
        <w:tc>
          <w:tcPr>
            <w:tcW w:w="611" w:type="pct"/>
            <w:tcBorders>
              <w:top w:val="single" w:sz="4" w:space="0" w:color="auto"/>
              <w:left w:val="single" w:sz="4" w:space="0" w:color="auto"/>
              <w:bottom w:val="single" w:sz="4" w:space="0" w:color="auto"/>
              <w:right w:val="single" w:sz="4" w:space="0" w:color="auto"/>
            </w:tcBorders>
            <w:hideMark/>
          </w:tcPr>
          <w:p w14:paraId="552458D6" w14:textId="32463EAC" w:rsidR="008C3DCB" w:rsidRPr="003B6D82" w:rsidRDefault="008C3DCB">
            <w:pPr>
              <w:pStyle w:val="TableText0"/>
              <w:jc w:val="center"/>
              <w:rPr>
                <w:iCs/>
              </w:rPr>
            </w:pPr>
            <w:r w:rsidRPr="003B6D82">
              <w:rPr>
                <w:iCs/>
              </w:rPr>
              <w:t>$</w:t>
            </w:r>
            <w:r w:rsidR="00733FBC" w:rsidRPr="00733FBC">
              <w:rPr>
                <w:iCs/>
                <w:color w:val="000000"/>
                <w:spacing w:val="49"/>
                <w:shd w:val="solid" w:color="000000" w:fill="000000"/>
                <w:fitText w:val="320" w:id="-663571958"/>
                <w14:textFill>
                  <w14:solidFill>
                    <w14:srgbClr w14:val="000000">
                      <w14:alpha w14:val="100000"/>
                    </w14:srgbClr>
                  </w14:solidFill>
                </w14:textFill>
              </w:rPr>
              <w:t>|||</w:t>
            </w:r>
            <w:r w:rsidR="00733FBC" w:rsidRPr="00733FBC">
              <w:rPr>
                <w:iCs/>
                <w:color w:val="000000"/>
                <w:spacing w:val="3"/>
                <w:shd w:val="solid" w:color="000000" w:fill="000000"/>
                <w:fitText w:val="320" w:id="-663571958"/>
                <w14:textFill>
                  <w14:solidFill>
                    <w14:srgbClr w14:val="000000">
                      <w14:alpha w14:val="100000"/>
                    </w14:srgbClr>
                  </w14:solidFill>
                </w14:textFill>
              </w:rPr>
              <w:t>|</w:t>
            </w:r>
            <w:r w:rsidR="000F326D">
              <w:rPr>
                <w:iCs/>
              </w:rPr>
              <w:t xml:space="preserve"> </w:t>
            </w:r>
            <w:r w:rsidR="000F326D">
              <w:rPr>
                <w:iCs/>
                <w:vertAlign w:val="superscript"/>
              </w:rPr>
              <w:t>4</w:t>
            </w:r>
          </w:p>
        </w:tc>
      </w:tr>
      <w:tr w:rsidR="008C3DCB" w:rsidRPr="003B6D82" w14:paraId="5367A1C4" w14:textId="77777777" w:rsidTr="008C3DCB">
        <w:tc>
          <w:tcPr>
            <w:tcW w:w="1334" w:type="pct"/>
            <w:tcBorders>
              <w:top w:val="single" w:sz="4" w:space="0" w:color="auto"/>
              <w:left w:val="single" w:sz="4" w:space="0" w:color="auto"/>
              <w:bottom w:val="single" w:sz="4" w:space="0" w:color="auto"/>
              <w:right w:val="single" w:sz="4" w:space="0" w:color="auto"/>
            </w:tcBorders>
            <w:vAlign w:val="center"/>
            <w:hideMark/>
          </w:tcPr>
          <w:p w14:paraId="7CE010E6" w14:textId="77777777" w:rsidR="008C3DCB" w:rsidRPr="003B6D82" w:rsidRDefault="008C3DCB">
            <w:pPr>
              <w:pStyle w:val="COMTabletext"/>
              <w:rPr>
                <w:b/>
                <w:bCs w:val="0"/>
                <w:iCs/>
              </w:rPr>
            </w:pPr>
            <w:r w:rsidRPr="003B6D82">
              <w:rPr>
                <w:b/>
                <w:bCs w:val="0"/>
                <w:iCs/>
              </w:rPr>
              <w:t>Net cost to PBS/RPBS/MBS</w:t>
            </w:r>
          </w:p>
        </w:tc>
        <w:tc>
          <w:tcPr>
            <w:tcW w:w="611" w:type="pct"/>
            <w:tcBorders>
              <w:top w:val="single" w:sz="4" w:space="0" w:color="auto"/>
              <w:left w:val="single" w:sz="4" w:space="0" w:color="auto"/>
              <w:bottom w:val="single" w:sz="4" w:space="0" w:color="auto"/>
              <w:right w:val="single" w:sz="4" w:space="0" w:color="auto"/>
            </w:tcBorders>
            <w:hideMark/>
          </w:tcPr>
          <w:p w14:paraId="3AF54BF4" w14:textId="29AF864A" w:rsidR="008C3DCB" w:rsidRPr="003B6D82" w:rsidRDefault="008C3DCB">
            <w:pPr>
              <w:pStyle w:val="TableText0"/>
              <w:jc w:val="center"/>
              <w:rPr>
                <w:b/>
                <w:bCs w:val="0"/>
                <w:iCs/>
              </w:rPr>
            </w:pPr>
            <w:r w:rsidRPr="003B6D82">
              <w:rPr>
                <w:b/>
                <w:bCs w:val="0"/>
                <w:iCs/>
              </w:rPr>
              <w:t>$</w:t>
            </w:r>
            <w:r w:rsidR="00733FBC" w:rsidRPr="00733FBC">
              <w:rPr>
                <w:b/>
                <w:bCs w:val="0"/>
                <w:iCs/>
                <w:color w:val="000000"/>
                <w:spacing w:val="55"/>
                <w:shd w:val="solid" w:color="000000" w:fill="000000"/>
                <w:fitText w:val="350" w:id="-663571957"/>
                <w14:textFill>
                  <w14:solidFill>
                    <w14:srgbClr w14:val="000000">
                      <w14:alpha w14:val="100000"/>
                    </w14:srgbClr>
                  </w14:solidFill>
                </w14:textFill>
              </w:rPr>
              <w:t>|||</w:t>
            </w:r>
            <w:r w:rsidR="00733FBC" w:rsidRPr="00733FBC">
              <w:rPr>
                <w:b/>
                <w:bCs w:val="0"/>
                <w:iCs/>
                <w:color w:val="000000"/>
                <w:spacing w:val="2"/>
                <w:shd w:val="solid" w:color="000000" w:fill="000000"/>
                <w:fitText w:val="350" w:id="-663571957"/>
                <w14:textFill>
                  <w14:solidFill>
                    <w14:srgbClr w14:val="000000">
                      <w14:alpha w14:val="100000"/>
                    </w14:srgbClr>
                  </w14:solidFill>
                </w14:textFill>
              </w:rPr>
              <w:t>|</w:t>
            </w:r>
            <w:r w:rsidR="000F326D">
              <w:rPr>
                <w:iCs/>
              </w:rPr>
              <w:t xml:space="preserve"> </w:t>
            </w:r>
            <w:r w:rsidR="000F326D">
              <w:rPr>
                <w:iCs/>
                <w:vertAlign w:val="superscript"/>
              </w:rPr>
              <w:t>4</w:t>
            </w:r>
          </w:p>
        </w:tc>
        <w:tc>
          <w:tcPr>
            <w:tcW w:w="611" w:type="pct"/>
            <w:tcBorders>
              <w:top w:val="single" w:sz="4" w:space="0" w:color="auto"/>
              <w:left w:val="single" w:sz="4" w:space="0" w:color="auto"/>
              <w:bottom w:val="single" w:sz="4" w:space="0" w:color="auto"/>
              <w:right w:val="single" w:sz="4" w:space="0" w:color="auto"/>
            </w:tcBorders>
            <w:hideMark/>
          </w:tcPr>
          <w:p w14:paraId="6F6FA7FA" w14:textId="2D85F6F1" w:rsidR="008C3DCB" w:rsidRPr="003B6D82" w:rsidRDefault="008C3DCB">
            <w:pPr>
              <w:pStyle w:val="TableText0"/>
              <w:jc w:val="center"/>
              <w:rPr>
                <w:b/>
                <w:bCs w:val="0"/>
                <w:iCs/>
              </w:rPr>
            </w:pPr>
            <w:r w:rsidRPr="003B6D82">
              <w:rPr>
                <w:b/>
                <w:bCs w:val="0"/>
                <w:iCs/>
              </w:rPr>
              <w:t>$</w:t>
            </w:r>
            <w:r w:rsidR="00733FBC" w:rsidRPr="00733FBC">
              <w:rPr>
                <w:b/>
                <w:bCs w:val="0"/>
                <w:iCs/>
                <w:color w:val="000000"/>
                <w:spacing w:val="55"/>
                <w:shd w:val="solid" w:color="000000" w:fill="000000"/>
                <w:fitText w:val="350" w:id="-663571956"/>
                <w14:textFill>
                  <w14:solidFill>
                    <w14:srgbClr w14:val="000000">
                      <w14:alpha w14:val="100000"/>
                    </w14:srgbClr>
                  </w14:solidFill>
                </w14:textFill>
              </w:rPr>
              <w:t>|||</w:t>
            </w:r>
            <w:r w:rsidR="00733FBC" w:rsidRPr="00733FBC">
              <w:rPr>
                <w:b/>
                <w:bCs w:val="0"/>
                <w:iCs/>
                <w:color w:val="000000"/>
                <w:spacing w:val="2"/>
                <w:shd w:val="solid" w:color="000000" w:fill="000000"/>
                <w:fitText w:val="350" w:id="-663571956"/>
                <w14:textFill>
                  <w14:solidFill>
                    <w14:srgbClr w14:val="000000">
                      <w14:alpha w14:val="100000"/>
                    </w14:srgbClr>
                  </w14:solidFill>
                </w14:textFill>
              </w:rPr>
              <w:t>|</w:t>
            </w:r>
            <w:r w:rsidR="000F326D">
              <w:rPr>
                <w:iCs/>
              </w:rPr>
              <w:t xml:space="preserve"> </w:t>
            </w:r>
            <w:r w:rsidR="000F326D">
              <w:rPr>
                <w:iCs/>
                <w:vertAlign w:val="superscript"/>
              </w:rPr>
              <w:t>4</w:t>
            </w:r>
          </w:p>
        </w:tc>
        <w:tc>
          <w:tcPr>
            <w:tcW w:w="611" w:type="pct"/>
            <w:tcBorders>
              <w:top w:val="single" w:sz="4" w:space="0" w:color="auto"/>
              <w:left w:val="single" w:sz="4" w:space="0" w:color="auto"/>
              <w:bottom w:val="single" w:sz="4" w:space="0" w:color="auto"/>
              <w:right w:val="single" w:sz="4" w:space="0" w:color="auto"/>
            </w:tcBorders>
            <w:hideMark/>
          </w:tcPr>
          <w:p w14:paraId="298C27F2" w14:textId="2146A2D0" w:rsidR="008C3DCB" w:rsidRPr="003B6D82" w:rsidRDefault="008C3DCB">
            <w:pPr>
              <w:pStyle w:val="TableText0"/>
              <w:jc w:val="center"/>
              <w:rPr>
                <w:b/>
                <w:bCs w:val="0"/>
                <w:iCs/>
              </w:rPr>
            </w:pPr>
            <w:r w:rsidRPr="003B6D82">
              <w:rPr>
                <w:b/>
                <w:bCs w:val="0"/>
                <w:iCs/>
              </w:rPr>
              <w:t>$</w:t>
            </w:r>
            <w:r w:rsidR="00733FBC" w:rsidRPr="00733FBC">
              <w:rPr>
                <w:b/>
                <w:bCs w:val="0"/>
                <w:iCs/>
                <w:color w:val="000000"/>
                <w:spacing w:val="55"/>
                <w:shd w:val="solid" w:color="000000" w:fill="000000"/>
                <w:fitText w:val="350" w:id="-663571955"/>
                <w14:textFill>
                  <w14:solidFill>
                    <w14:srgbClr w14:val="000000">
                      <w14:alpha w14:val="100000"/>
                    </w14:srgbClr>
                  </w14:solidFill>
                </w14:textFill>
              </w:rPr>
              <w:t>|||</w:t>
            </w:r>
            <w:r w:rsidR="00733FBC" w:rsidRPr="00733FBC">
              <w:rPr>
                <w:b/>
                <w:bCs w:val="0"/>
                <w:iCs/>
                <w:color w:val="000000"/>
                <w:spacing w:val="2"/>
                <w:shd w:val="solid" w:color="000000" w:fill="000000"/>
                <w:fitText w:val="350" w:id="-663571955"/>
                <w14:textFill>
                  <w14:solidFill>
                    <w14:srgbClr w14:val="000000">
                      <w14:alpha w14:val="100000"/>
                    </w14:srgbClr>
                  </w14:solidFill>
                </w14:textFill>
              </w:rPr>
              <w:t>|</w:t>
            </w:r>
            <w:r w:rsidR="000F326D">
              <w:rPr>
                <w:iCs/>
              </w:rPr>
              <w:t xml:space="preserve"> </w:t>
            </w:r>
            <w:r w:rsidR="000F326D">
              <w:rPr>
                <w:iCs/>
                <w:vertAlign w:val="superscript"/>
              </w:rPr>
              <w:t>4</w:t>
            </w:r>
          </w:p>
        </w:tc>
        <w:tc>
          <w:tcPr>
            <w:tcW w:w="611" w:type="pct"/>
            <w:tcBorders>
              <w:top w:val="single" w:sz="4" w:space="0" w:color="auto"/>
              <w:left w:val="single" w:sz="4" w:space="0" w:color="auto"/>
              <w:bottom w:val="single" w:sz="4" w:space="0" w:color="auto"/>
              <w:right w:val="single" w:sz="4" w:space="0" w:color="auto"/>
            </w:tcBorders>
            <w:hideMark/>
          </w:tcPr>
          <w:p w14:paraId="00E527CA" w14:textId="4DD5188E" w:rsidR="008C3DCB" w:rsidRPr="003B6D82" w:rsidRDefault="008C3DCB">
            <w:pPr>
              <w:pStyle w:val="TableText0"/>
              <w:jc w:val="center"/>
              <w:rPr>
                <w:b/>
                <w:bCs w:val="0"/>
                <w:iCs/>
              </w:rPr>
            </w:pPr>
            <w:r w:rsidRPr="003B6D82">
              <w:rPr>
                <w:b/>
                <w:bCs w:val="0"/>
                <w:iCs/>
              </w:rPr>
              <w:t>$</w:t>
            </w:r>
            <w:r w:rsidR="00733FBC" w:rsidRPr="00733FBC">
              <w:rPr>
                <w:b/>
                <w:bCs w:val="0"/>
                <w:iCs/>
                <w:color w:val="000000"/>
                <w:spacing w:val="55"/>
                <w:shd w:val="solid" w:color="000000" w:fill="000000"/>
                <w:fitText w:val="350" w:id="-663571954"/>
                <w14:textFill>
                  <w14:solidFill>
                    <w14:srgbClr w14:val="000000">
                      <w14:alpha w14:val="100000"/>
                    </w14:srgbClr>
                  </w14:solidFill>
                </w14:textFill>
              </w:rPr>
              <w:t>|||</w:t>
            </w:r>
            <w:r w:rsidR="00733FBC" w:rsidRPr="00733FBC">
              <w:rPr>
                <w:b/>
                <w:bCs w:val="0"/>
                <w:iCs/>
                <w:color w:val="000000"/>
                <w:spacing w:val="2"/>
                <w:shd w:val="solid" w:color="000000" w:fill="000000"/>
                <w:fitText w:val="350" w:id="-663571954"/>
                <w14:textFill>
                  <w14:solidFill>
                    <w14:srgbClr w14:val="000000">
                      <w14:alpha w14:val="100000"/>
                    </w14:srgbClr>
                  </w14:solidFill>
                </w14:textFill>
              </w:rPr>
              <w:t>|</w:t>
            </w:r>
            <w:r w:rsidR="000F326D">
              <w:rPr>
                <w:iCs/>
              </w:rPr>
              <w:t xml:space="preserve"> </w:t>
            </w:r>
            <w:r w:rsidR="000F326D">
              <w:rPr>
                <w:iCs/>
                <w:vertAlign w:val="superscript"/>
              </w:rPr>
              <w:t>4</w:t>
            </w:r>
          </w:p>
        </w:tc>
        <w:tc>
          <w:tcPr>
            <w:tcW w:w="611" w:type="pct"/>
            <w:tcBorders>
              <w:top w:val="single" w:sz="4" w:space="0" w:color="auto"/>
              <w:left w:val="single" w:sz="4" w:space="0" w:color="auto"/>
              <w:bottom w:val="single" w:sz="4" w:space="0" w:color="auto"/>
              <w:right w:val="single" w:sz="4" w:space="0" w:color="auto"/>
            </w:tcBorders>
            <w:hideMark/>
          </w:tcPr>
          <w:p w14:paraId="72341EB0" w14:textId="71AB8417" w:rsidR="008C3DCB" w:rsidRPr="003B6D82" w:rsidRDefault="008C3DCB">
            <w:pPr>
              <w:pStyle w:val="TableText0"/>
              <w:jc w:val="center"/>
              <w:rPr>
                <w:b/>
                <w:bCs w:val="0"/>
                <w:iCs/>
              </w:rPr>
            </w:pPr>
            <w:r w:rsidRPr="003B6D82">
              <w:rPr>
                <w:b/>
                <w:bCs w:val="0"/>
                <w:iCs/>
              </w:rPr>
              <w:t>$</w:t>
            </w:r>
            <w:r w:rsidR="00733FBC" w:rsidRPr="00733FBC">
              <w:rPr>
                <w:b/>
                <w:bCs w:val="0"/>
                <w:iCs/>
                <w:color w:val="000000"/>
                <w:spacing w:val="55"/>
                <w:shd w:val="solid" w:color="000000" w:fill="000000"/>
                <w:fitText w:val="350" w:id="-663571953"/>
                <w14:textFill>
                  <w14:solidFill>
                    <w14:srgbClr w14:val="000000">
                      <w14:alpha w14:val="100000"/>
                    </w14:srgbClr>
                  </w14:solidFill>
                </w14:textFill>
              </w:rPr>
              <w:t>|||</w:t>
            </w:r>
            <w:r w:rsidR="00733FBC" w:rsidRPr="00733FBC">
              <w:rPr>
                <w:b/>
                <w:bCs w:val="0"/>
                <w:iCs/>
                <w:color w:val="000000"/>
                <w:spacing w:val="2"/>
                <w:shd w:val="solid" w:color="000000" w:fill="000000"/>
                <w:fitText w:val="350" w:id="-663571953"/>
                <w14:textFill>
                  <w14:solidFill>
                    <w14:srgbClr w14:val="000000">
                      <w14:alpha w14:val="100000"/>
                    </w14:srgbClr>
                  </w14:solidFill>
                </w14:textFill>
              </w:rPr>
              <w:t>|</w:t>
            </w:r>
            <w:r w:rsidR="000F326D">
              <w:rPr>
                <w:iCs/>
              </w:rPr>
              <w:t xml:space="preserve"> </w:t>
            </w:r>
            <w:r w:rsidR="000F326D">
              <w:rPr>
                <w:iCs/>
                <w:vertAlign w:val="superscript"/>
              </w:rPr>
              <w:t>4</w:t>
            </w:r>
          </w:p>
        </w:tc>
        <w:tc>
          <w:tcPr>
            <w:tcW w:w="611" w:type="pct"/>
            <w:tcBorders>
              <w:top w:val="single" w:sz="4" w:space="0" w:color="auto"/>
              <w:left w:val="single" w:sz="4" w:space="0" w:color="auto"/>
              <w:bottom w:val="single" w:sz="4" w:space="0" w:color="auto"/>
              <w:right w:val="single" w:sz="4" w:space="0" w:color="auto"/>
            </w:tcBorders>
            <w:hideMark/>
          </w:tcPr>
          <w:p w14:paraId="548A2984" w14:textId="25442ED7" w:rsidR="008C3DCB" w:rsidRPr="003B6D82" w:rsidRDefault="008C3DCB">
            <w:pPr>
              <w:pStyle w:val="TableText0"/>
              <w:jc w:val="center"/>
              <w:rPr>
                <w:b/>
                <w:bCs w:val="0"/>
                <w:iCs/>
              </w:rPr>
            </w:pPr>
            <w:r w:rsidRPr="003B6D82">
              <w:rPr>
                <w:b/>
                <w:bCs w:val="0"/>
                <w:iCs/>
              </w:rPr>
              <w:t>$</w:t>
            </w:r>
            <w:r w:rsidR="00733FBC" w:rsidRPr="00520E8F">
              <w:rPr>
                <w:b/>
                <w:bCs w:val="0"/>
                <w:iCs/>
                <w:color w:val="000000"/>
                <w:spacing w:val="55"/>
                <w:shd w:val="solid" w:color="000000" w:fill="000000"/>
                <w:fitText w:val="350" w:id="-663571952"/>
                <w14:textFill>
                  <w14:solidFill>
                    <w14:srgbClr w14:val="000000">
                      <w14:alpha w14:val="100000"/>
                    </w14:srgbClr>
                  </w14:solidFill>
                </w14:textFill>
              </w:rPr>
              <w:t>|||</w:t>
            </w:r>
            <w:r w:rsidR="00733FBC" w:rsidRPr="00520E8F">
              <w:rPr>
                <w:b/>
                <w:bCs w:val="0"/>
                <w:iCs/>
                <w:color w:val="000000"/>
                <w:spacing w:val="2"/>
                <w:shd w:val="solid" w:color="000000" w:fill="000000"/>
                <w:fitText w:val="350" w:id="-663571952"/>
                <w14:textFill>
                  <w14:solidFill>
                    <w14:srgbClr w14:val="000000">
                      <w14:alpha w14:val="100000"/>
                    </w14:srgbClr>
                  </w14:solidFill>
                </w14:textFill>
              </w:rPr>
              <w:t>|</w:t>
            </w:r>
            <w:r w:rsidR="000F326D">
              <w:rPr>
                <w:iCs/>
              </w:rPr>
              <w:t xml:space="preserve"> </w:t>
            </w:r>
            <w:r w:rsidR="000F326D">
              <w:rPr>
                <w:iCs/>
                <w:vertAlign w:val="superscript"/>
              </w:rPr>
              <w:t>4</w:t>
            </w:r>
          </w:p>
        </w:tc>
      </w:tr>
    </w:tbl>
    <w:p w14:paraId="49B5BCDC" w14:textId="77777777" w:rsidR="008C3DCB" w:rsidRPr="003B6D82" w:rsidRDefault="008C3DCB" w:rsidP="008C3DCB">
      <w:pPr>
        <w:pStyle w:val="COMTablefooter"/>
        <w:rPr>
          <w:iCs/>
        </w:rPr>
      </w:pPr>
      <w:r w:rsidRPr="003B6D82">
        <w:rPr>
          <w:iCs/>
        </w:rPr>
        <w:t>Source: Section 4 financial implications Excel workbook, Attachment 12 of the submission.</w:t>
      </w:r>
    </w:p>
    <w:p w14:paraId="5C1B29E6" w14:textId="77777777" w:rsidR="008C3DCB" w:rsidRPr="003B6D82" w:rsidRDefault="008C3DCB" w:rsidP="008C3DCB">
      <w:pPr>
        <w:pStyle w:val="COMTablefooter"/>
        <w:rPr>
          <w:iCs/>
        </w:rPr>
      </w:pPr>
      <w:r w:rsidRPr="003B6D82">
        <w:rPr>
          <w:iCs/>
        </w:rPr>
        <w:t>Abbreviations: MBS, Medicare Benefits Schedule; PBS, Pharmaceutical Benefits Scheme; RPBS, Repatriation Pharmaceutical Benefits Scheme.</w:t>
      </w:r>
    </w:p>
    <w:p w14:paraId="1796F7B2" w14:textId="128EE34C" w:rsidR="002E04CE" w:rsidRDefault="002E04CE" w:rsidP="0097660E">
      <w:pPr>
        <w:pStyle w:val="COMTablefooter"/>
        <w:spacing w:after="0"/>
        <w:rPr>
          <w:rFonts w:eastAsiaTheme="majorEastAsia"/>
          <w:iCs/>
        </w:rPr>
      </w:pPr>
      <w:proofErr w:type="spellStart"/>
      <w:r w:rsidRPr="003B6D82">
        <w:rPr>
          <w:rFonts w:eastAsiaTheme="majorEastAsia"/>
          <w:iCs/>
          <w:vertAlign w:val="superscript"/>
        </w:rPr>
        <w:t>a</w:t>
      </w:r>
      <w:proofErr w:type="spellEnd"/>
      <w:r w:rsidRPr="003B6D82">
        <w:rPr>
          <w:rFonts w:eastAsiaTheme="majorEastAsia"/>
          <w:iCs/>
          <w:vertAlign w:val="superscript"/>
        </w:rPr>
        <w:t xml:space="preserve"> </w:t>
      </w:r>
      <w:proofErr w:type="gramStart"/>
      <w:r w:rsidRPr="003B6D82">
        <w:rPr>
          <w:rFonts w:eastAsiaTheme="majorEastAsia"/>
          <w:iCs/>
        </w:rPr>
        <w:t>The</w:t>
      </w:r>
      <w:proofErr w:type="gramEnd"/>
      <w:r w:rsidRPr="003B6D82">
        <w:rPr>
          <w:rFonts w:eastAsiaTheme="majorEastAsia"/>
          <w:iCs/>
        </w:rPr>
        <w:t xml:space="preserve"> submission assumed 1 thiamine level test (MBS item 66605, quantitation of vitamins; </w:t>
      </w:r>
      <w:r w:rsidR="00930857" w:rsidRPr="003B6D82">
        <w:rPr>
          <w:rFonts w:eastAsiaTheme="majorEastAsia"/>
          <w:iCs/>
        </w:rPr>
        <w:t xml:space="preserve">80% of the Schedule fee; $24.48) per patient per treatment course (with patient numbers derived from script numbers based on the mean </w:t>
      </w:r>
      <w:proofErr w:type="spellStart"/>
      <w:r w:rsidR="00930857" w:rsidRPr="003B6D82">
        <w:rPr>
          <w:rFonts w:eastAsiaTheme="majorEastAsia"/>
          <w:iCs/>
        </w:rPr>
        <w:t>fedrati</w:t>
      </w:r>
      <w:r w:rsidR="000A657A" w:rsidRPr="003B6D82">
        <w:rPr>
          <w:rFonts w:eastAsiaTheme="majorEastAsia"/>
          <w:iCs/>
        </w:rPr>
        <w:t>nib</w:t>
      </w:r>
      <w:proofErr w:type="spellEnd"/>
      <w:r w:rsidR="00930857" w:rsidRPr="003B6D82">
        <w:rPr>
          <w:rFonts w:eastAsiaTheme="majorEastAsia"/>
          <w:iCs/>
        </w:rPr>
        <w:t xml:space="preserve"> treatment duration </w:t>
      </w:r>
      <w:r w:rsidR="0089787B" w:rsidRPr="003B6D82">
        <w:rPr>
          <w:rFonts w:eastAsiaTheme="majorEastAsia"/>
          <w:iCs/>
        </w:rPr>
        <w:t>of 52.5 weeks reported in the FREEDOM-2 trial).</w:t>
      </w:r>
    </w:p>
    <w:p w14:paraId="49689A65" w14:textId="77777777" w:rsidR="0097660E" w:rsidRPr="009A6D58" w:rsidRDefault="0097660E" w:rsidP="0097660E">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4CF7FCD7" w14:textId="01CF99B2" w:rsidR="0097660E" w:rsidRPr="009A6D58" w:rsidRDefault="0097660E" w:rsidP="0097660E">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7B2DEE" w:rsidRPr="007B2DEE">
        <w:rPr>
          <w:rFonts w:ascii="Arial Narrow" w:hAnsi="Arial Narrow"/>
          <w:i/>
          <w:sz w:val="18"/>
          <w:szCs w:val="18"/>
        </w:rPr>
        <w:t>5,000 to &lt; 10,000</w:t>
      </w:r>
    </w:p>
    <w:p w14:paraId="60ABB060" w14:textId="34F36F3C" w:rsidR="0097660E" w:rsidRPr="009A6D58" w:rsidRDefault="0097660E" w:rsidP="0097660E">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B3383B" w:rsidRPr="00B3383B">
        <w:rPr>
          <w:rFonts w:ascii="Arial Narrow" w:hAnsi="Arial Narrow"/>
          <w:i/>
          <w:sz w:val="18"/>
          <w:szCs w:val="18"/>
        </w:rPr>
        <w:t>$20 million to &lt; $30 million</w:t>
      </w:r>
    </w:p>
    <w:p w14:paraId="359A3EC6" w14:textId="2A7C7BED" w:rsidR="0097660E" w:rsidRDefault="0097660E" w:rsidP="0097660E">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8C0AFA" w:rsidRPr="008C0AFA">
        <w:rPr>
          <w:rFonts w:ascii="Arial Narrow" w:hAnsi="Arial Narrow"/>
          <w:i/>
          <w:sz w:val="18"/>
          <w:szCs w:val="18"/>
        </w:rPr>
        <w:t>$10 million to &lt; $20 million</w:t>
      </w:r>
    </w:p>
    <w:p w14:paraId="34B09D13" w14:textId="2831FF4D" w:rsidR="000F326D" w:rsidRPr="0097660E" w:rsidRDefault="0097660E" w:rsidP="0097660E">
      <w:pPr>
        <w:spacing w:after="120"/>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3917E5" w:rsidRPr="003917E5">
        <w:rPr>
          <w:rFonts w:ascii="Arial Narrow" w:hAnsi="Arial Narrow"/>
          <w:i/>
          <w:sz w:val="18"/>
          <w:szCs w:val="18"/>
        </w:rPr>
        <w:t>$0 to &lt; $10 million</w:t>
      </w:r>
    </w:p>
    <w:p w14:paraId="19233E90" w14:textId="1E243F85" w:rsidR="008C3DCB" w:rsidRPr="003B6D82" w:rsidRDefault="008C3DCB" w:rsidP="00F40844">
      <w:pPr>
        <w:pStyle w:val="COMexecsummnumbered"/>
        <w:numPr>
          <w:ilvl w:val="1"/>
          <w:numId w:val="3"/>
        </w:numPr>
        <w:rPr>
          <w:iCs/>
        </w:rPr>
      </w:pPr>
      <w:r w:rsidRPr="003B6D82">
        <w:rPr>
          <w:iCs/>
        </w:rPr>
        <w:t xml:space="preserve">The estimated net cost to the PBS/RPBS was </w:t>
      </w:r>
      <w:r w:rsidR="003917E5" w:rsidRPr="003917E5">
        <w:rPr>
          <w:iCs/>
        </w:rPr>
        <w:t>$0 to &lt; $10 million</w:t>
      </w:r>
      <w:r w:rsidR="003917E5" w:rsidRPr="003917E5" w:rsidDel="003917E5">
        <w:rPr>
          <w:iCs/>
        </w:rPr>
        <w:t xml:space="preserve"> </w:t>
      </w:r>
      <w:r w:rsidRPr="003B6D82">
        <w:rPr>
          <w:iCs/>
        </w:rPr>
        <w:t xml:space="preserve">in Year 1, increasing to </w:t>
      </w:r>
      <w:r w:rsidR="003917E5" w:rsidRPr="003917E5">
        <w:rPr>
          <w:iCs/>
        </w:rPr>
        <w:t>$0 to &lt; $10 million</w:t>
      </w:r>
      <w:r w:rsidR="003917E5" w:rsidRPr="003917E5" w:rsidDel="003917E5">
        <w:rPr>
          <w:iCs/>
        </w:rPr>
        <w:t xml:space="preserve"> </w:t>
      </w:r>
      <w:r w:rsidRPr="003B6D82">
        <w:rPr>
          <w:iCs/>
        </w:rPr>
        <w:t xml:space="preserve">in Year 6, a total cost of </w:t>
      </w:r>
      <w:r w:rsidR="00AA494B" w:rsidRPr="00AA494B">
        <w:rPr>
          <w:iCs/>
        </w:rPr>
        <w:t>$10 million to &lt; $20 million</w:t>
      </w:r>
      <w:r w:rsidR="00AA494B" w:rsidRPr="00AA494B" w:rsidDel="00AA494B">
        <w:rPr>
          <w:iCs/>
        </w:rPr>
        <w:t xml:space="preserve"> </w:t>
      </w:r>
      <w:r w:rsidRPr="003B6D82">
        <w:rPr>
          <w:iCs/>
        </w:rPr>
        <w:t xml:space="preserve">over the first 6 years of listing. </w:t>
      </w:r>
    </w:p>
    <w:p w14:paraId="7823E443" w14:textId="77777777" w:rsidR="008C3DCB" w:rsidRPr="003B6D82" w:rsidRDefault="008C3DCB" w:rsidP="00F40844">
      <w:pPr>
        <w:pStyle w:val="COMexecsummnumbered"/>
        <w:numPr>
          <w:ilvl w:val="1"/>
          <w:numId w:val="3"/>
        </w:numPr>
        <w:rPr>
          <w:iCs/>
        </w:rPr>
      </w:pPr>
      <w:bookmarkStart w:id="43" w:name="_Ref199884027"/>
      <w:r w:rsidRPr="003B6D82">
        <w:rPr>
          <w:iCs/>
        </w:rPr>
        <w:lastRenderedPageBreak/>
        <w:t xml:space="preserve">The estimated cost of </w:t>
      </w:r>
      <w:proofErr w:type="spellStart"/>
      <w:r w:rsidRPr="003B6D82">
        <w:rPr>
          <w:iCs/>
        </w:rPr>
        <w:t>fedratinib</w:t>
      </w:r>
      <w:proofErr w:type="spellEnd"/>
      <w:r w:rsidRPr="003B6D82">
        <w:rPr>
          <w:iCs/>
        </w:rPr>
        <w:t xml:space="preserve"> to the PBS/RPBS/MBS was considered uncertain due to the following reasons:</w:t>
      </w:r>
      <w:bookmarkEnd w:id="43"/>
    </w:p>
    <w:p w14:paraId="13F8E943" w14:textId="446023EF" w:rsidR="008C3DCB" w:rsidRPr="003B6D82" w:rsidRDefault="008C3DCB" w:rsidP="00C04D1C">
      <w:pPr>
        <w:pStyle w:val="COMexecsummbulletlist"/>
        <w:numPr>
          <w:ilvl w:val="0"/>
          <w:numId w:val="8"/>
        </w:numPr>
        <w:snapToGrid w:val="0"/>
        <w:ind w:left="1134" w:hanging="357"/>
        <w:rPr>
          <w:iCs/>
        </w:rPr>
      </w:pPr>
      <w:r w:rsidRPr="003B6D82">
        <w:rPr>
          <w:iCs/>
        </w:rPr>
        <w:t xml:space="preserve">The market share approach adopted in the submission did not account for eligible patients who have discontinued </w:t>
      </w:r>
      <w:proofErr w:type="spellStart"/>
      <w:r w:rsidRPr="003B6D82">
        <w:rPr>
          <w:iCs/>
        </w:rPr>
        <w:t>ruxolitinib</w:t>
      </w:r>
      <w:proofErr w:type="spellEnd"/>
      <w:r w:rsidRPr="003B6D82">
        <w:rPr>
          <w:iCs/>
        </w:rPr>
        <w:t xml:space="preserve"> treatment, which will underestimate the cost of </w:t>
      </w:r>
      <w:proofErr w:type="spellStart"/>
      <w:r w:rsidRPr="003B6D82">
        <w:rPr>
          <w:iCs/>
        </w:rPr>
        <w:t>fedratinib</w:t>
      </w:r>
      <w:proofErr w:type="spellEnd"/>
      <w:r w:rsidRPr="003B6D82">
        <w:rPr>
          <w:iCs/>
        </w:rPr>
        <w:t xml:space="preserve"> to the PBS.</w:t>
      </w:r>
      <w:r w:rsidR="003B473F" w:rsidRPr="003B6D82">
        <w:rPr>
          <w:iCs/>
        </w:rPr>
        <w:t xml:space="preserve"> </w:t>
      </w:r>
    </w:p>
    <w:p w14:paraId="4F1959D3" w14:textId="77777777" w:rsidR="008C3DCB" w:rsidRPr="003B6D82" w:rsidRDefault="008C3DCB" w:rsidP="00C04D1C">
      <w:pPr>
        <w:pStyle w:val="COMexecsummbulletlist"/>
        <w:numPr>
          <w:ilvl w:val="0"/>
          <w:numId w:val="8"/>
        </w:numPr>
        <w:snapToGrid w:val="0"/>
        <w:ind w:left="1134" w:hanging="357"/>
        <w:rPr>
          <w:iCs/>
        </w:rPr>
      </w:pPr>
      <w:r w:rsidRPr="003B6D82">
        <w:rPr>
          <w:iCs/>
        </w:rPr>
        <w:t xml:space="preserve">The script equivalence applied in the submission did not account for differences in treatment persistence between </w:t>
      </w:r>
      <w:proofErr w:type="spellStart"/>
      <w:r w:rsidRPr="003B6D82">
        <w:rPr>
          <w:iCs/>
        </w:rPr>
        <w:t>ruxolitinib</w:t>
      </w:r>
      <w:proofErr w:type="spellEnd"/>
      <w:r w:rsidRPr="003B6D82">
        <w:rPr>
          <w:iCs/>
        </w:rPr>
        <w:t xml:space="preserve"> and </w:t>
      </w:r>
      <w:proofErr w:type="spellStart"/>
      <w:r w:rsidRPr="003B6D82">
        <w:rPr>
          <w:iCs/>
        </w:rPr>
        <w:t>fedratinib</w:t>
      </w:r>
      <w:proofErr w:type="spellEnd"/>
      <w:r w:rsidRPr="003B6D82">
        <w:rPr>
          <w:iCs/>
        </w:rPr>
        <w:t xml:space="preserve">. The submission argued that the availability of </w:t>
      </w:r>
      <w:proofErr w:type="spellStart"/>
      <w:r w:rsidRPr="003B6D82">
        <w:rPr>
          <w:iCs/>
        </w:rPr>
        <w:t>fedratinib</w:t>
      </w:r>
      <w:proofErr w:type="spellEnd"/>
      <w:r w:rsidRPr="003B6D82">
        <w:rPr>
          <w:iCs/>
        </w:rPr>
        <w:t xml:space="preserve"> would allow patients to remain on JAK inhibitor therapy for longer, which will result in additional cost to the PBS.</w:t>
      </w:r>
    </w:p>
    <w:p w14:paraId="47E8FFFA" w14:textId="05421A8B" w:rsidR="00E5584E" w:rsidRPr="003B6D82" w:rsidRDefault="008C3DCB" w:rsidP="00C04D1C">
      <w:pPr>
        <w:pStyle w:val="COMexecsummbulletlist"/>
        <w:numPr>
          <w:ilvl w:val="0"/>
          <w:numId w:val="8"/>
        </w:numPr>
        <w:snapToGrid w:val="0"/>
        <w:ind w:left="1134" w:hanging="357"/>
        <w:rPr>
          <w:iCs/>
        </w:rPr>
      </w:pPr>
      <w:r w:rsidRPr="003B6D82">
        <w:rPr>
          <w:iCs/>
        </w:rPr>
        <w:t xml:space="preserve">The proportion of </w:t>
      </w:r>
      <w:proofErr w:type="spellStart"/>
      <w:r w:rsidRPr="003B6D82">
        <w:rPr>
          <w:iCs/>
        </w:rPr>
        <w:t>ruxolitinib</w:t>
      </w:r>
      <w:proofErr w:type="spellEnd"/>
      <w:r w:rsidRPr="003B6D82">
        <w:rPr>
          <w:iCs/>
        </w:rPr>
        <w:t xml:space="preserve">-treated patients who will be eligible for </w:t>
      </w:r>
      <w:proofErr w:type="spellStart"/>
      <w:r w:rsidRPr="003B6D82">
        <w:rPr>
          <w:iCs/>
        </w:rPr>
        <w:t>fedratinib</w:t>
      </w:r>
      <w:proofErr w:type="spellEnd"/>
      <w:r w:rsidRPr="003B6D82">
        <w:rPr>
          <w:iCs/>
        </w:rPr>
        <w:t xml:space="preserve"> is considered uncertain. The 3-year discontinuation rate in the COMFORT-1 trial was not a reasonable proxy for the proportion of patients in the PBS population with prior </w:t>
      </w:r>
      <w:proofErr w:type="spellStart"/>
      <w:r w:rsidRPr="003B6D82">
        <w:rPr>
          <w:iCs/>
        </w:rPr>
        <w:t>ruxolitinib</w:t>
      </w:r>
      <w:proofErr w:type="spellEnd"/>
      <w:r w:rsidRPr="003B6D82">
        <w:rPr>
          <w:iCs/>
        </w:rPr>
        <w:t xml:space="preserve"> exposure who are eligible for </w:t>
      </w:r>
      <w:proofErr w:type="spellStart"/>
      <w:r w:rsidRPr="003B6D82">
        <w:rPr>
          <w:iCs/>
        </w:rPr>
        <w:t>fedratinib</w:t>
      </w:r>
      <w:proofErr w:type="spellEnd"/>
      <w:r w:rsidRPr="003B6D82">
        <w:rPr>
          <w:iCs/>
        </w:rPr>
        <w:t xml:space="preserve">. </w:t>
      </w:r>
    </w:p>
    <w:p w14:paraId="4CA4CD17" w14:textId="46D72D13" w:rsidR="008C3DCB" w:rsidRPr="003B6D82" w:rsidRDefault="008C3DCB" w:rsidP="00C04D1C">
      <w:pPr>
        <w:pStyle w:val="COMexecsummbulletlist"/>
        <w:numPr>
          <w:ilvl w:val="0"/>
          <w:numId w:val="8"/>
        </w:numPr>
        <w:snapToGrid w:val="0"/>
        <w:ind w:left="1134" w:hanging="357"/>
        <w:rPr>
          <w:iCs/>
        </w:rPr>
      </w:pPr>
      <w:r w:rsidRPr="003B6D82">
        <w:rPr>
          <w:iCs/>
        </w:rPr>
        <w:t xml:space="preserve">The median relative dose intensity reported for </w:t>
      </w:r>
      <w:proofErr w:type="spellStart"/>
      <w:r w:rsidRPr="003B6D82">
        <w:rPr>
          <w:iCs/>
        </w:rPr>
        <w:t>fedratinib</w:t>
      </w:r>
      <w:proofErr w:type="spellEnd"/>
      <w:r w:rsidRPr="003B6D82">
        <w:rPr>
          <w:iCs/>
        </w:rPr>
        <w:t xml:space="preserve"> in the FREEDOM-2 trial may not reflect treatment adherence for </w:t>
      </w:r>
      <w:proofErr w:type="spellStart"/>
      <w:r w:rsidRPr="003B6D82">
        <w:rPr>
          <w:iCs/>
        </w:rPr>
        <w:t>fedratinib</w:t>
      </w:r>
      <w:proofErr w:type="spellEnd"/>
      <w:r w:rsidRPr="003B6D82">
        <w:rPr>
          <w:iCs/>
        </w:rPr>
        <w:t xml:space="preserve"> in clinical practice. Additionally, the relative treatment adherence for </w:t>
      </w:r>
      <w:proofErr w:type="spellStart"/>
      <w:r w:rsidRPr="003B6D82">
        <w:rPr>
          <w:iCs/>
        </w:rPr>
        <w:t>ruxolitinib</w:t>
      </w:r>
      <w:proofErr w:type="spellEnd"/>
      <w:r w:rsidRPr="003B6D82">
        <w:rPr>
          <w:iCs/>
        </w:rPr>
        <w:t xml:space="preserve"> and </w:t>
      </w:r>
      <w:proofErr w:type="spellStart"/>
      <w:r w:rsidRPr="003B6D82">
        <w:rPr>
          <w:iCs/>
        </w:rPr>
        <w:t>fedratinib</w:t>
      </w:r>
      <w:proofErr w:type="spellEnd"/>
      <w:r w:rsidRPr="003B6D82">
        <w:rPr>
          <w:iCs/>
        </w:rPr>
        <w:t xml:space="preserve"> implied by the market share approach may not reflect the relative treatment adherence for </w:t>
      </w:r>
      <w:proofErr w:type="spellStart"/>
      <w:r w:rsidRPr="003B6D82">
        <w:rPr>
          <w:iCs/>
        </w:rPr>
        <w:t>ruxolitinib</w:t>
      </w:r>
      <w:proofErr w:type="spellEnd"/>
      <w:r w:rsidRPr="003B6D82">
        <w:rPr>
          <w:iCs/>
        </w:rPr>
        <w:t xml:space="preserve"> and </w:t>
      </w:r>
      <w:proofErr w:type="spellStart"/>
      <w:r w:rsidRPr="003B6D82">
        <w:rPr>
          <w:iCs/>
        </w:rPr>
        <w:t>fedratinib</w:t>
      </w:r>
      <w:proofErr w:type="spellEnd"/>
      <w:r w:rsidRPr="003B6D82">
        <w:rPr>
          <w:iCs/>
        </w:rPr>
        <w:t xml:space="preserve"> in clinical practice.</w:t>
      </w:r>
    </w:p>
    <w:p w14:paraId="695CD959" w14:textId="1DE63840" w:rsidR="008C3DCB" w:rsidRPr="003B6D82" w:rsidRDefault="008C3DCB" w:rsidP="00C04D1C">
      <w:pPr>
        <w:pStyle w:val="COMexecsummbulletlist"/>
        <w:numPr>
          <w:ilvl w:val="0"/>
          <w:numId w:val="8"/>
        </w:numPr>
        <w:snapToGrid w:val="0"/>
        <w:ind w:left="1134" w:hanging="357"/>
        <w:rPr>
          <w:iCs/>
        </w:rPr>
      </w:pPr>
      <w:r w:rsidRPr="003B6D82">
        <w:rPr>
          <w:iCs/>
        </w:rPr>
        <w:t xml:space="preserve">The uptake estimates did not account for the </w:t>
      </w:r>
      <w:r w:rsidR="00E11801">
        <w:rPr>
          <w:iCs/>
        </w:rPr>
        <w:t>PBS</w:t>
      </w:r>
      <w:r w:rsidRPr="003B6D82">
        <w:rPr>
          <w:iCs/>
        </w:rPr>
        <w:t xml:space="preserve"> listing of </w:t>
      </w:r>
      <w:proofErr w:type="spellStart"/>
      <w:r w:rsidRPr="003B6D82">
        <w:rPr>
          <w:iCs/>
        </w:rPr>
        <w:t>momelotinib</w:t>
      </w:r>
      <w:proofErr w:type="spellEnd"/>
      <w:r w:rsidR="00E11801">
        <w:rPr>
          <w:iCs/>
        </w:rPr>
        <w:t xml:space="preserve"> (</w:t>
      </w:r>
      <w:r w:rsidR="00FF3D18">
        <w:rPr>
          <w:iCs/>
        </w:rPr>
        <w:t xml:space="preserve">PBS listed </w:t>
      </w:r>
      <w:r w:rsidR="00E11801">
        <w:rPr>
          <w:iCs/>
        </w:rPr>
        <w:t>1 April 2025).</w:t>
      </w:r>
    </w:p>
    <w:p w14:paraId="2A0B1E0D" w14:textId="77777777" w:rsidR="008C3DCB" w:rsidRPr="003B6D82" w:rsidRDefault="008C3DCB" w:rsidP="00C04D1C">
      <w:pPr>
        <w:pStyle w:val="COMexecsummbulletlist"/>
        <w:numPr>
          <w:ilvl w:val="0"/>
          <w:numId w:val="8"/>
        </w:numPr>
        <w:snapToGrid w:val="0"/>
        <w:ind w:left="1134" w:hanging="357"/>
        <w:rPr>
          <w:iCs/>
        </w:rPr>
      </w:pPr>
      <w:r w:rsidRPr="003B6D82">
        <w:rPr>
          <w:iCs/>
        </w:rPr>
        <w:t xml:space="preserve">The submission assumed that </w:t>
      </w:r>
      <w:proofErr w:type="spellStart"/>
      <w:r w:rsidRPr="003B6D82">
        <w:rPr>
          <w:iCs/>
        </w:rPr>
        <w:t>fedratinib</w:t>
      </w:r>
      <w:proofErr w:type="spellEnd"/>
      <w:r w:rsidRPr="003B6D82">
        <w:rPr>
          <w:iCs/>
        </w:rPr>
        <w:t xml:space="preserve"> would only substitute for </w:t>
      </w:r>
      <w:proofErr w:type="spellStart"/>
      <w:r w:rsidRPr="003B6D82">
        <w:rPr>
          <w:iCs/>
        </w:rPr>
        <w:t>ruxolitinib</w:t>
      </w:r>
      <w:proofErr w:type="spellEnd"/>
      <w:r w:rsidRPr="003B6D82">
        <w:rPr>
          <w:iCs/>
        </w:rPr>
        <w:t xml:space="preserve">. However, some patients who are eligible for </w:t>
      </w:r>
      <w:proofErr w:type="spellStart"/>
      <w:r w:rsidRPr="003B6D82">
        <w:rPr>
          <w:iCs/>
        </w:rPr>
        <w:t>fedratinib</w:t>
      </w:r>
      <w:proofErr w:type="spellEnd"/>
      <w:r w:rsidRPr="003B6D82">
        <w:rPr>
          <w:iCs/>
        </w:rPr>
        <w:t xml:space="preserve"> may be receiving other therapies, such as hydroxyurea, peginterferon alfa-2a, busulfan and prednisone; or receiving treatment with other therapies in combination with </w:t>
      </w:r>
      <w:proofErr w:type="spellStart"/>
      <w:r w:rsidRPr="003B6D82">
        <w:rPr>
          <w:iCs/>
        </w:rPr>
        <w:t>ruxolitinib</w:t>
      </w:r>
      <w:proofErr w:type="spellEnd"/>
      <w:r w:rsidRPr="003B6D82">
        <w:rPr>
          <w:iCs/>
        </w:rPr>
        <w:t>.</w:t>
      </w:r>
    </w:p>
    <w:p w14:paraId="078C8FB9" w14:textId="77777777" w:rsidR="008C3DCB" w:rsidRPr="003B6D82" w:rsidRDefault="008C3DCB" w:rsidP="00C04D1C">
      <w:pPr>
        <w:pStyle w:val="COMexecsummbulletlist"/>
        <w:numPr>
          <w:ilvl w:val="0"/>
          <w:numId w:val="8"/>
        </w:numPr>
        <w:snapToGrid w:val="0"/>
        <w:ind w:left="1134" w:hanging="357"/>
        <w:rPr>
          <w:iCs/>
        </w:rPr>
      </w:pPr>
      <w:r w:rsidRPr="003B6D82">
        <w:rPr>
          <w:iCs/>
        </w:rPr>
        <w:t xml:space="preserve">The assumed script equivalence did not account for patients receiving the maximum </w:t>
      </w:r>
      <w:proofErr w:type="spellStart"/>
      <w:r w:rsidRPr="003B6D82">
        <w:rPr>
          <w:iCs/>
        </w:rPr>
        <w:t>ruxolitinib</w:t>
      </w:r>
      <w:proofErr w:type="spellEnd"/>
      <w:r w:rsidRPr="003B6D82">
        <w:rPr>
          <w:iCs/>
        </w:rPr>
        <w:t xml:space="preserve"> dose of 25 mg twice daily, who would require 2 </w:t>
      </w:r>
      <w:proofErr w:type="spellStart"/>
      <w:r w:rsidRPr="003B6D82">
        <w:rPr>
          <w:iCs/>
        </w:rPr>
        <w:t>ruxolitinib</w:t>
      </w:r>
      <w:proofErr w:type="spellEnd"/>
      <w:r w:rsidRPr="003B6D82">
        <w:rPr>
          <w:iCs/>
        </w:rPr>
        <w:t xml:space="preserve"> scripts to make the required dose.</w:t>
      </w:r>
    </w:p>
    <w:p w14:paraId="36726C1F" w14:textId="77777777" w:rsidR="008C3DCB" w:rsidRPr="003B6D82" w:rsidRDefault="008C3DCB" w:rsidP="00C04D1C">
      <w:pPr>
        <w:pStyle w:val="COMexecsummbulletlist"/>
        <w:numPr>
          <w:ilvl w:val="0"/>
          <w:numId w:val="8"/>
        </w:numPr>
        <w:snapToGrid w:val="0"/>
        <w:ind w:left="1134" w:hanging="357"/>
        <w:rPr>
          <w:iCs/>
        </w:rPr>
      </w:pPr>
      <w:r w:rsidRPr="003B6D82">
        <w:rPr>
          <w:iCs/>
        </w:rPr>
        <w:t xml:space="preserve">The submission assumed that all patients dispensed </w:t>
      </w:r>
      <w:proofErr w:type="spellStart"/>
      <w:r w:rsidRPr="003B6D82">
        <w:rPr>
          <w:iCs/>
        </w:rPr>
        <w:t>ruxolitinib</w:t>
      </w:r>
      <w:proofErr w:type="spellEnd"/>
      <w:r w:rsidRPr="003B6D82">
        <w:rPr>
          <w:iCs/>
        </w:rPr>
        <w:t xml:space="preserve"> 5 mg would receive the maximum quantity of 2 packs per dispensing, however some patients may only be prescribed 1 pack per script.</w:t>
      </w:r>
    </w:p>
    <w:p w14:paraId="5EAAB8C7" w14:textId="77777777" w:rsidR="008C3DCB" w:rsidRPr="003B6D82" w:rsidRDefault="008C3DCB" w:rsidP="00C04D1C">
      <w:pPr>
        <w:pStyle w:val="COMexecsummbulletlist"/>
        <w:numPr>
          <w:ilvl w:val="0"/>
          <w:numId w:val="8"/>
        </w:numPr>
        <w:snapToGrid w:val="0"/>
        <w:ind w:left="1134" w:hanging="357"/>
        <w:rPr>
          <w:iCs/>
        </w:rPr>
      </w:pPr>
      <w:r w:rsidRPr="003B6D82">
        <w:rPr>
          <w:iCs/>
        </w:rPr>
        <w:t xml:space="preserve">There may be additional costs to the PBS due to costs associated with the prophylaxis and treatment of gastrointestinal adverse events associated with </w:t>
      </w:r>
      <w:proofErr w:type="spellStart"/>
      <w:r w:rsidRPr="003B6D82">
        <w:rPr>
          <w:iCs/>
        </w:rPr>
        <w:t>fedratinib</w:t>
      </w:r>
      <w:proofErr w:type="spellEnd"/>
      <w:r w:rsidRPr="003B6D82">
        <w:rPr>
          <w:iCs/>
        </w:rPr>
        <w:t xml:space="preserve"> treatment (e.g., antiemetics or anti-diarrhoeal medications).</w:t>
      </w:r>
    </w:p>
    <w:p w14:paraId="6330E1C3" w14:textId="0223061F" w:rsidR="00A634EC" w:rsidRPr="003B6D82" w:rsidRDefault="008C3DCB" w:rsidP="00C04D1C">
      <w:pPr>
        <w:pStyle w:val="COMexecsummbulletlist"/>
        <w:numPr>
          <w:ilvl w:val="0"/>
          <w:numId w:val="8"/>
        </w:numPr>
        <w:snapToGrid w:val="0"/>
        <w:ind w:left="1134"/>
        <w:rPr>
          <w:iCs/>
        </w:rPr>
      </w:pPr>
      <w:r w:rsidRPr="003B6D82">
        <w:rPr>
          <w:iCs/>
        </w:rPr>
        <w:t xml:space="preserve">The assumption of one </w:t>
      </w:r>
      <w:r w:rsidR="00295C8E" w:rsidRPr="003B6D82">
        <w:rPr>
          <w:iCs/>
        </w:rPr>
        <w:t xml:space="preserve">thiamine level </w:t>
      </w:r>
      <w:r w:rsidRPr="003B6D82">
        <w:rPr>
          <w:iCs/>
        </w:rPr>
        <w:t xml:space="preserve">test per patient per course was inconsistent with the economic model, which assumed that all patients would receive thiamine level testing every 6 months. The product information for </w:t>
      </w:r>
      <w:proofErr w:type="spellStart"/>
      <w:r w:rsidRPr="003B6D82">
        <w:rPr>
          <w:iCs/>
        </w:rPr>
        <w:t>fedratinib</w:t>
      </w:r>
      <w:proofErr w:type="spellEnd"/>
      <w:r w:rsidRPr="003B6D82">
        <w:rPr>
          <w:iCs/>
        </w:rPr>
        <w:t xml:space="preserve"> states that all patients should have their thiamine level checked prior to initiating </w:t>
      </w:r>
      <w:proofErr w:type="spellStart"/>
      <w:r w:rsidRPr="003B6D82">
        <w:rPr>
          <w:iCs/>
        </w:rPr>
        <w:t>fedratinib</w:t>
      </w:r>
      <w:proofErr w:type="spellEnd"/>
      <w:r w:rsidRPr="003B6D82">
        <w:rPr>
          <w:iCs/>
        </w:rPr>
        <w:t>, and subsequently as clinically indicated.</w:t>
      </w:r>
      <w:r w:rsidR="00A634EC" w:rsidRPr="003B6D82">
        <w:rPr>
          <w:iCs/>
        </w:rPr>
        <w:t xml:space="preserve"> </w:t>
      </w:r>
    </w:p>
    <w:p w14:paraId="557858F2" w14:textId="3D769F50" w:rsidR="00B32B4A" w:rsidRPr="003B6D82" w:rsidRDefault="00C94A64" w:rsidP="00B32B4A">
      <w:pPr>
        <w:pStyle w:val="COMexecsummnumbered"/>
        <w:numPr>
          <w:ilvl w:val="1"/>
          <w:numId w:val="3"/>
        </w:numPr>
        <w:rPr>
          <w:iCs/>
        </w:rPr>
      </w:pPr>
      <w:r w:rsidRPr="003B6D82">
        <w:rPr>
          <w:iCs/>
        </w:rPr>
        <w:lastRenderedPageBreak/>
        <w:t xml:space="preserve">The PSCR argued the market share approach to be appropriate and argued that </w:t>
      </w:r>
      <w:proofErr w:type="spellStart"/>
      <w:r w:rsidRPr="003B6D82">
        <w:rPr>
          <w:iCs/>
        </w:rPr>
        <w:t>fedratinib</w:t>
      </w:r>
      <w:proofErr w:type="spellEnd"/>
      <w:r w:rsidRPr="003B6D82">
        <w:rPr>
          <w:iCs/>
        </w:rPr>
        <w:t xml:space="preserve"> would substitute suboptimal treatment with </w:t>
      </w:r>
      <w:proofErr w:type="spellStart"/>
      <w:r w:rsidRPr="003B6D82">
        <w:rPr>
          <w:iCs/>
        </w:rPr>
        <w:t>ruxolitinib</w:t>
      </w:r>
      <w:proofErr w:type="spellEnd"/>
      <w:r w:rsidRPr="003B6D82">
        <w:rPr>
          <w:iCs/>
        </w:rPr>
        <w:t xml:space="preserve"> in greater than 90% of patients. The PSCR also acknowledged uncertainty associated with the estimated proportion of patients who are resistant, refractory or intolerant to </w:t>
      </w:r>
      <w:proofErr w:type="spellStart"/>
      <w:r w:rsidRPr="003B6D82">
        <w:rPr>
          <w:iCs/>
        </w:rPr>
        <w:t>ruxolitinib</w:t>
      </w:r>
      <w:proofErr w:type="spellEnd"/>
      <w:r w:rsidRPr="003B6D82">
        <w:rPr>
          <w:iCs/>
        </w:rPr>
        <w:t>, but noted that this uncertainty was explored in a sensitivity analysis presented in the submission.</w:t>
      </w:r>
    </w:p>
    <w:p w14:paraId="2E6557F4" w14:textId="29ACC776" w:rsidR="00A634EC" w:rsidRPr="00D13806" w:rsidRDefault="00B32B4A" w:rsidP="00D13806">
      <w:pPr>
        <w:pStyle w:val="COMexecsummnumbered"/>
        <w:numPr>
          <w:ilvl w:val="1"/>
          <w:numId w:val="3"/>
        </w:numPr>
        <w:rPr>
          <w:iCs/>
        </w:rPr>
      </w:pPr>
      <w:r w:rsidRPr="003B6D82">
        <w:rPr>
          <w:iCs/>
        </w:rPr>
        <w:t xml:space="preserve">The ESC agreed with the evaluation and was concerned the market share approach does not account for non-JAK inhibitor therapies and considered sensitivity analyses conducted in isolation (without correction of other issues) were of limited additional value. The ESC further agreed with the evaluation and considered the estimates include assumptions about the proportion of patients who are resistant, refractory or intolerant to </w:t>
      </w:r>
      <w:proofErr w:type="spellStart"/>
      <w:r w:rsidRPr="003B6D82">
        <w:rPr>
          <w:iCs/>
        </w:rPr>
        <w:t>ruxolitinib</w:t>
      </w:r>
      <w:proofErr w:type="spellEnd"/>
      <w:r w:rsidRPr="003B6D82">
        <w:rPr>
          <w:iCs/>
        </w:rPr>
        <w:t xml:space="preserve"> to be uncertain and further noted that as </w:t>
      </w:r>
      <w:proofErr w:type="spellStart"/>
      <w:r w:rsidRPr="003B6D82">
        <w:rPr>
          <w:iCs/>
        </w:rPr>
        <w:t>momelotinib</w:t>
      </w:r>
      <w:proofErr w:type="spellEnd"/>
      <w:r w:rsidRPr="003B6D82">
        <w:rPr>
          <w:iCs/>
        </w:rPr>
        <w:t xml:space="preserve"> is now listed on the PBS, additional market uncertainty exists where the eligible populations overlap. </w:t>
      </w:r>
    </w:p>
    <w:p w14:paraId="75E2D3AD" w14:textId="77777777" w:rsidR="008C3DCB" w:rsidRPr="003B6D82" w:rsidRDefault="008C3DCB" w:rsidP="008C3DCB">
      <w:pPr>
        <w:pStyle w:val="COMH2-non-numbered"/>
        <w:rPr>
          <w:i w:val="0"/>
          <w:iCs/>
        </w:rPr>
      </w:pPr>
      <w:bookmarkStart w:id="44" w:name="_Toc192437881"/>
      <w:r w:rsidRPr="003B6D82">
        <w:rPr>
          <w:i w:val="0"/>
          <w:iCs/>
        </w:rPr>
        <w:t>Quality Use of Medicines</w:t>
      </w:r>
      <w:bookmarkEnd w:id="44"/>
    </w:p>
    <w:p w14:paraId="13C29010" w14:textId="77777777" w:rsidR="00AF10FC" w:rsidRDefault="008C3DCB" w:rsidP="00F40844">
      <w:pPr>
        <w:pStyle w:val="COMexecsummnumbered"/>
        <w:numPr>
          <w:ilvl w:val="1"/>
          <w:numId w:val="3"/>
        </w:numPr>
        <w:rPr>
          <w:iCs/>
        </w:rPr>
      </w:pPr>
      <w:r w:rsidRPr="003B6D82">
        <w:rPr>
          <w:iCs/>
        </w:rPr>
        <w:t xml:space="preserve">The submission noted that the current Risk Management Plan for </w:t>
      </w:r>
      <w:proofErr w:type="spellStart"/>
      <w:r w:rsidRPr="003B6D82">
        <w:rPr>
          <w:iCs/>
        </w:rPr>
        <w:t>fedratinib</w:t>
      </w:r>
      <w:proofErr w:type="spellEnd"/>
      <w:r w:rsidRPr="003B6D82">
        <w:rPr>
          <w:iCs/>
        </w:rPr>
        <w:t xml:space="preserve"> contains five important identified risks (anaemia; thrombocytopenia/bleeding; encephalopathy, including Wernicke’s encephalopathy; gastrointestinal toxicities; and low thiamine levels). The submission argued that the routine risk minimisation measures included in the Product Information and Consumer Medicines Information are sufficient to minimise the potential risks associated with </w:t>
      </w:r>
      <w:proofErr w:type="spellStart"/>
      <w:r w:rsidRPr="003B6D82">
        <w:rPr>
          <w:iCs/>
        </w:rPr>
        <w:t>fedratinib</w:t>
      </w:r>
      <w:proofErr w:type="spellEnd"/>
      <w:r w:rsidRPr="003B6D82">
        <w:rPr>
          <w:iCs/>
        </w:rPr>
        <w:t xml:space="preserve">. No additional activities to support the quality use of medicines were proposed in the submission. </w:t>
      </w:r>
      <w:bookmarkStart w:id="45" w:name="_Hlk103934877"/>
    </w:p>
    <w:p w14:paraId="6D58F027" w14:textId="624600DE" w:rsidR="00020CEA" w:rsidRPr="003B6D82" w:rsidRDefault="00020CEA" w:rsidP="00805365">
      <w:pPr>
        <w:spacing w:before="60" w:after="60"/>
        <w:ind w:firstLine="720"/>
      </w:pPr>
      <w:r w:rsidRPr="00020CEA">
        <w:rPr>
          <w:rFonts w:eastAsiaTheme="minorHAnsi"/>
          <w:i/>
          <w:iCs/>
        </w:rPr>
        <w:t>For more detail on PBAC’s view, see section 7 PBAC outcome.</w:t>
      </w:r>
    </w:p>
    <w:p w14:paraId="659D4569" w14:textId="77777777" w:rsidR="00663684" w:rsidRDefault="00663684" w:rsidP="00663684">
      <w:pPr>
        <w:keepNext/>
        <w:numPr>
          <w:ilvl w:val="0"/>
          <w:numId w:val="1"/>
        </w:numPr>
        <w:spacing w:before="240" w:after="120"/>
        <w:jc w:val="left"/>
        <w:outlineLvl w:val="0"/>
        <w:rPr>
          <w:rFonts w:asciiTheme="minorHAnsi" w:hAnsiTheme="minorHAnsi"/>
          <w:b/>
          <w:snapToGrid w:val="0"/>
          <w:sz w:val="32"/>
          <w:szCs w:val="32"/>
        </w:rPr>
      </w:pPr>
      <w:bookmarkStart w:id="46" w:name="_Hlk76381249"/>
      <w:r w:rsidRPr="00CB7461">
        <w:rPr>
          <w:rFonts w:asciiTheme="minorHAnsi" w:hAnsiTheme="minorHAnsi"/>
          <w:b/>
          <w:snapToGrid w:val="0"/>
          <w:sz w:val="32"/>
          <w:szCs w:val="32"/>
        </w:rPr>
        <w:t>PBAC Outcome</w:t>
      </w:r>
    </w:p>
    <w:p w14:paraId="613A1D85" w14:textId="3E5BB46B" w:rsidR="00B42941" w:rsidRPr="00B42941" w:rsidRDefault="00ED0EF4" w:rsidP="00E27D20">
      <w:pPr>
        <w:widowControl w:val="0"/>
        <w:numPr>
          <w:ilvl w:val="1"/>
          <w:numId w:val="1"/>
        </w:numPr>
        <w:spacing w:after="120"/>
        <w:rPr>
          <w:snapToGrid w:val="0"/>
          <w:lang w:val="en-GB"/>
        </w:rPr>
      </w:pPr>
      <w:r w:rsidRPr="00B42941">
        <w:rPr>
          <w:snapToGrid w:val="0"/>
          <w:lang w:val="en-GB"/>
        </w:rPr>
        <w:t>The PBAC did not recommend</w:t>
      </w:r>
      <w:r w:rsidR="0099194F" w:rsidRPr="00B42941">
        <w:rPr>
          <w:iCs/>
        </w:rPr>
        <w:t xml:space="preserve"> </w:t>
      </w:r>
      <w:r w:rsidR="00FD39A3" w:rsidRPr="00B42941">
        <w:rPr>
          <w:iCs/>
        </w:rPr>
        <w:t>the PBS listing of</w:t>
      </w:r>
      <w:r w:rsidR="0099194F" w:rsidRPr="00B42941">
        <w:rPr>
          <w:iCs/>
        </w:rPr>
        <w:t xml:space="preserve"> </w:t>
      </w:r>
      <w:proofErr w:type="spellStart"/>
      <w:r w:rsidR="0099194F" w:rsidRPr="00B42941">
        <w:rPr>
          <w:iCs/>
        </w:rPr>
        <w:t>fedratinib</w:t>
      </w:r>
      <w:proofErr w:type="spellEnd"/>
      <w:r w:rsidR="0099194F" w:rsidRPr="00B42941">
        <w:rPr>
          <w:iCs/>
        </w:rPr>
        <w:t xml:space="preserve"> for the treatment of patients with intermediate-2</w:t>
      </w:r>
      <w:r w:rsidR="00371783" w:rsidRPr="00B42941">
        <w:rPr>
          <w:iCs/>
        </w:rPr>
        <w:t xml:space="preserve"> </w:t>
      </w:r>
      <w:r w:rsidR="00D062B9" w:rsidRPr="00B42941">
        <w:rPr>
          <w:iCs/>
        </w:rPr>
        <w:t>and</w:t>
      </w:r>
      <w:r w:rsidR="00C96441" w:rsidRPr="00B42941">
        <w:rPr>
          <w:iCs/>
        </w:rPr>
        <w:t xml:space="preserve"> </w:t>
      </w:r>
      <w:r w:rsidR="00F13590" w:rsidRPr="00B42941">
        <w:rPr>
          <w:iCs/>
        </w:rPr>
        <w:t>high-risk</w:t>
      </w:r>
      <w:r w:rsidR="0099194F" w:rsidRPr="00B42941">
        <w:rPr>
          <w:iCs/>
        </w:rPr>
        <w:t xml:space="preserve"> myelofibrosis</w:t>
      </w:r>
      <w:r w:rsidR="00C96441" w:rsidRPr="00B42941">
        <w:rPr>
          <w:iCs/>
        </w:rPr>
        <w:t xml:space="preserve">, post-polycythaemia vera myelofibrosis, or post-essential </w:t>
      </w:r>
      <w:proofErr w:type="spellStart"/>
      <w:r w:rsidR="00C96441" w:rsidRPr="00B42941">
        <w:rPr>
          <w:iCs/>
        </w:rPr>
        <w:t>thrombocythaemia</w:t>
      </w:r>
      <w:proofErr w:type="spellEnd"/>
      <w:r w:rsidR="00C96441" w:rsidRPr="00B42941">
        <w:rPr>
          <w:iCs/>
        </w:rPr>
        <w:t xml:space="preserve"> myelofibrosis who have had prior </w:t>
      </w:r>
      <w:proofErr w:type="spellStart"/>
      <w:r w:rsidR="00C96441" w:rsidRPr="00B42941">
        <w:rPr>
          <w:iCs/>
        </w:rPr>
        <w:t>ruxolitinib</w:t>
      </w:r>
      <w:proofErr w:type="spellEnd"/>
      <w:r w:rsidR="00C96441" w:rsidRPr="00B42941">
        <w:rPr>
          <w:iCs/>
        </w:rPr>
        <w:t xml:space="preserve"> treatment.</w:t>
      </w:r>
      <w:r w:rsidR="00102AC0" w:rsidRPr="00B42941">
        <w:rPr>
          <w:iCs/>
        </w:rPr>
        <w:t xml:space="preserve"> While the Committee considered there was a clinical place for </w:t>
      </w:r>
      <w:proofErr w:type="spellStart"/>
      <w:r w:rsidR="00102AC0" w:rsidRPr="00B42941">
        <w:rPr>
          <w:iCs/>
        </w:rPr>
        <w:t>fedratinib</w:t>
      </w:r>
      <w:proofErr w:type="spellEnd"/>
      <w:r w:rsidR="00102AC0" w:rsidRPr="00B42941">
        <w:rPr>
          <w:iCs/>
        </w:rPr>
        <w:t xml:space="preserve"> as an alternative</w:t>
      </w:r>
      <w:r w:rsidR="00C32EC9" w:rsidRPr="00B42941">
        <w:rPr>
          <w:iCs/>
        </w:rPr>
        <w:t xml:space="preserve"> or additional</w:t>
      </w:r>
      <w:r w:rsidR="00102AC0" w:rsidRPr="00B42941">
        <w:rPr>
          <w:iCs/>
        </w:rPr>
        <w:t xml:space="preserve"> treatment option to</w:t>
      </w:r>
      <w:r w:rsidR="00B704B0">
        <w:rPr>
          <w:iCs/>
        </w:rPr>
        <w:t xml:space="preserve"> or after</w:t>
      </w:r>
      <w:r w:rsidR="00102AC0" w:rsidRPr="00B42941">
        <w:rPr>
          <w:iCs/>
        </w:rPr>
        <w:t xml:space="preserve"> </w:t>
      </w:r>
      <w:proofErr w:type="spellStart"/>
      <w:r w:rsidR="00102AC0" w:rsidRPr="00B42941">
        <w:rPr>
          <w:iCs/>
        </w:rPr>
        <w:t>ruxolitinib</w:t>
      </w:r>
      <w:proofErr w:type="spellEnd"/>
      <w:r w:rsidR="00102AC0" w:rsidRPr="00B42941">
        <w:rPr>
          <w:iCs/>
        </w:rPr>
        <w:t xml:space="preserve"> (and to a lesser extent </w:t>
      </w:r>
      <w:proofErr w:type="spellStart"/>
      <w:r w:rsidR="00102AC0" w:rsidRPr="00B42941">
        <w:rPr>
          <w:iCs/>
        </w:rPr>
        <w:t>momelotinib</w:t>
      </w:r>
      <w:proofErr w:type="spellEnd"/>
      <w:r w:rsidR="00102AC0" w:rsidRPr="00B42941">
        <w:rPr>
          <w:iCs/>
        </w:rPr>
        <w:t>)</w:t>
      </w:r>
      <w:r w:rsidR="004377EA" w:rsidRPr="00B42941">
        <w:rPr>
          <w:iCs/>
        </w:rPr>
        <w:t xml:space="preserve">, the </w:t>
      </w:r>
      <w:r w:rsidR="00DE2F29" w:rsidRPr="00B42941">
        <w:rPr>
          <w:iCs/>
        </w:rPr>
        <w:t>PBAC considered</w:t>
      </w:r>
      <w:r w:rsidR="00D4128A" w:rsidRPr="00B42941">
        <w:rPr>
          <w:iCs/>
        </w:rPr>
        <w:t xml:space="preserve"> the</w:t>
      </w:r>
      <w:r w:rsidR="00DE2F29" w:rsidRPr="00B42941">
        <w:rPr>
          <w:iCs/>
        </w:rPr>
        <w:t xml:space="preserve"> </w:t>
      </w:r>
      <w:r w:rsidR="00AA3D1B" w:rsidRPr="00B42941">
        <w:rPr>
          <w:iCs/>
        </w:rPr>
        <w:t xml:space="preserve">incremental cost effectiveness ratio (ICER) to be unacceptably </w:t>
      </w:r>
      <w:proofErr w:type="gramStart"/>
      <w:r w:rsidR="00AA3D1B" w:rsidRPr="00B42941">
        <w:rPr>
          <w:iCs/>
        </w:rPr>
        <w:t>high</w:t>
      </w:r>
      <w:proofErr w:type="gramEnd"/>
      <w:r w:rsidR="00AA3D1B" w:rsidRPr="00B42941">
        <w:rPr>
          <w:iCs/>
        </w:rPr>
        <w:t xml:space="preserve"> and the listing would likely not be cost effective at the requested price.</w:t>
      </w:r>
      <w:r w:rsidR="00655BB0" w:rsidRPr="00B42941">
        <w:rPr>
          <w:iCs/>
        </w:rPr>
        <w:t xml:space="preserve"> The PBAC also considered the submission base case economic model was based on optimistic or incorrect</w:t>
      </w:r>
      <w:r w:rsidR="00D8551A" w:rsidRPr="00B42941">
        <w:rPr>
          <w:iCs/>
        </w:rPr>
        <w:t>ly determined</w:t>
      </w:r>
      <w:r w:rsidR="00655BB0" w:rsidRPr="00B42941">
        <w:rPr>
          <w:iCs/>
        </w:rPr>
        <w:t xml:space="preserve"> inputs and assumptions and noted the sensitivity of the ICER </w:t>
      </w:r>
      <w:r w:rsidR="00BE4119" w:rsidRPr="00B42941">
        <w:rPr>
          <w:iCs/>
        </w:rPr>
        <w:t xml:space="preserve">to these parameters </w:t>
      </w:r>
      <w:r w:rsidR="00655BB0" w:rsidRPr="00B42941">
        <w:rPr>
          <w:iCs/>
        </w:rPr>
        <w:t>when more realistic inputs were used</w:t>
      </w:r>
      <w:r w:rsidR="00BE4119" w:rsidRPr="00B42941">
        <w:rPr>
          <w:iCs/>
        </w:rPr>
        <w:t>.</w:t>
      </w:r>
      <w:r w:rsidR="00AA3D1B" w:rsidRPr="00B42941">
        <w:rPr>
          <w:iCs/>
        </w:rPr>
        <w:t xml:space="preserve"> </w:t>
      </w:r>
    </w:p>
    <w:p w14:paraId="5A1749B0" w14:textId="42AC25FC" w:rsidR="00445272" w:rsidRPr="00B42941" w:rsidRDefault="00445272" w:rsidP="00E27D20">
      <w:pPr>
        <w:widowControl w:val="0"/>
        <w:numPr>
          <w:ilvl w:val="1"/>
          <w:numId w:val="1"/>
        </w:numPr>
        <w:spacing w:after="120"/>
        <w:rPr>
          <w:snapToGrid w:val="0"/>
          <w:lang w:val="en-GB"/>
        </w:rPr>
      </w:pPr>
      <w:r w:rsidRPr="00B42941">
        <w:rPr>
          <w:snapToGrid w:val="0"/>
          <w:lang w:eastAsia="en-US"/>
        </w:rPr>
        <w:t xml:space="preserve">The primary reason for this outcome was due to the economic analysis provided in the submission. </w:t>
      </w:r>
    </w:p>
    <w:p w14:paraId="63BB7CFA" w14:textId="2D23874F" w:rsidR="007300EF" w:rsidRDefault="007300EF" w:rsidP="006C649F">
      <w:pPr>
        <w:widowControl w:val="0"/>
        <w:numPr>
          <w:ilvl w:val="1"/>
          <w:numId w:val="1"/>
        </w:numPr>
        <w:spacing w:after="120"/>
        <w:rPr>
          <w:rFonts w:asciiTheme="minorHAnsi" w:hAnsiTheme="minorHAnsi"/>
          <w:snapToGrid w:val="0"/>
          <w:lang w:val="en-GB" w:eastAsia="en-US"/>
        </w:rPr>
      </w:pPr>
      <w:r w:rsidRPr="007300EF">
        <w:rPr>
          <w:rFonts w:asciiTheme="minorHAnsi" w:hAnsiTheme="minorHAnsi"/>
          <w:snapToGrid w:val="0"/>
          <w:lang w:val="en-GB" w:eastAsia="en-US"/>
        </w:rPr>
        <w:t xml:space="preserve">PBAC noted the advice of the ESC and Pre-PBAC Response that noted the available evidence for </w:t>
      </w:r>
      <w:proofErr w:type="spellStart"/>
      <w:r w:rsidRPr="007300EF">
        <w:rPr>
          <w:rFonts w:asciiTheme="minorHAnsi" w:hAnsiTheme="minorHAnsi"/>
          <w:snapToGrid w:val="0"/>
          <w:lang w:val="en-GB" w:eastAsia="en-US"/>
        </w:rPr>
        <w:t>fedratinib</w:t>
      </w:r>
      <w:proofErr w:type="spellEnd"/>
      <w:r w:rsidRPr="007300EF">
        <w:rPr>
          <w:rFonts w:asciiTheme="minorHAnsi" w:hAnsiTheme="minorHAnsi"/>
          <w:snapToGrid w:val="0"/>
          <w:lang w:val="en-GB" w:eastAsia="en-US"/>
        </w:rPr>
        <w:t xml:space="preserve"> in a first</w:t>
      </w:r>
      <w:r w:rsidR="007468A2">
        <w:rPr>
          <w:rFonts w:asciiTheme="minorHAnsi" w:hAnsiTheme="minorHAnsi"/>
          <w:snapToGrid w:val="0"/>
          <w:lang w:val="en-GB" w:eastAsia="en-US"/>
        </w:rPr>
        <w:t>-</w:t>
      </w:r>
      <w:r w:rsidRPr="007300EF">
        <w:rPr>
          <w:rFonts w:asciiTheme="minorHAnsi" w:hAnsiTheme="minorHAnsi"/>
          <w:snapToGrid w:val="0"/>
          <w:lang w:val="en-GB" w:eastAsia="en-US"/>
        </w:rPr>
        <w:t>line setting</w:t>
      </w:r>
      <w:r>
        <w:rPr>
          <w:rFonts w:asciiTheme="minorHAnsi" w:hAnsiTheme="minorHAnsi"/>
          <w:snapToGrid w:val="0"/>
          <w:lang w:val="en-GB" w:eastAsia="en-US"/>
        </w:rPr>
        <w:t xml:space="preserve"> (the JAKARTA trial)</w:t>
      </w:r>
      <w:r w:rsidRPr="007300EF">
        <w:rPr>
          <w:rFonts w:asciiTheme="minorHAnsi" w:hAnsiTheme="minorHAnsi"/>
          <w:snapToGrid w:val="0"/>
          <w:lang w:val="en-GB" w:eastAsia="en-US"/>
        </w:rPr>
        <w:t xml:space="preserve"> and agreed with the </w:t>
      </w:r>
      <w:r w:rsidRPr="007300EF">
        <w:rPr>
          <w:rFonts w:asciiTheme="minorHAnsi" w:hAnsiTheme="minorHAnsi"/>
          <w:snapToGrid w:val="0"/>
          <w:lang w:val="en-GB" w:eastAsia="en-US"/>
        </w:rPr>
        <w:lastRenderedPageBreak/>
        <w:t xml:space="preserve">ESC that it would be simpler for patients and clinicians if a potential future listing for </w:t>
      </w:r>
      <w:proofErr w:type="spellStart"/>
      <w:r w:rsidRPr="007300EF">
        <w:rPr>
          <w:rFonts w:asciiTheme="minorHAnsi" w:hAnsiTheme="minorHAnsi"/>
          <w:snapToGrid w:val="0"/>
          <w:lang w:val="en-GB" w:eastAsia="en-US"/>
        </w:rPr>
        <w:t>fedratinib</w:t>
      </w:r>
      <w:proofErr w:type="spellEnd"/>
      <w:r w:rsidRPr="007300EF">
        <w:rPr>
          <w:rFonts w:asciiTheme="minorHAnsi" w:hAnsiTheme="minorHAnsi"/>
          <w:snapToGrid w:val="0"/>
          <w:lang w:val="en-GB" w:eastAsia="en-US"/>
        </w:rPr>
        <w:t xml:space="preserve"> was line agnostic </w:t>
      </w:r>
      <w:r w:rsidR="00CA4423" w:rsidRPr="007300EF">
        <w:rPr>
          <w:rFonts w:asciiTheme="minorHAnsi" w:hAnsiTheme="minorHAnsi"/>
          <w:snapToGrid w:val="0"/>
          <w:lang w:val="en-GB" w:eastAsia="en-US"/>
        </w:rPr>
        <w:t>alongside</w:t>
      </w:r>
      <w:r w:rsidRPr="007300EF">
        <w:rPr>
          <w:rFonts w:asciiTheme="minorHAnsi" w:hAnsiTheme="minorHAnsi"/>
          <w:snapToGrid w:val="0"/>
          <w:lang w:val="en-GB" w:eastAsia="en-US"/>
        </w:rPr>
        <w:t xml:space="preserve"> </w:t>
      </w:r>
      <w:proofErr w:type="spellStart"/>
      <w:r w:rsidRPr="007300EF">
        <w:rPr>
          <w:rFonts w:asciiTheme="minorHAnsi" w:hAnsiTheme="minorHAnsi"/>
          <w:snapToGrid w:val="0"/>
          <w:lang w:val="en-GB" w:eastAsia="en-US"/>
        </w:rPr>
        <w:t>ruxolitinib</w:t>
      </w:r>
      <w:proofErr w:type="spellEnd"/>
      <w:r w:rsidRPr="007300EF">
        <w:rPr>
          <w:rFonts w:asciiTheme="minorHAnsi" w:hAnsiTheme="minorHAnsi"/>
          <w:snapToGrid w:val="0"/>
          <w:lang w:val="en-GB" w:eastAsia="en-US"/>
        </w:rPr>
        <w:t xml:space="preserve"> and </w:t>
      </w:r>
      <w:proofErr w:type="spellStart"/>
      <w:r w:rsidRPr="007300EF">
        <w:rPr>
          <w:rFonts w:asciiTheme="minorHAnsi" w:hAnsiTheme="minorHAnsi"/>
          <w:snapToGrid w:val="0"/>
          <w:lang w:val="en-GB" w:eastAsia="en-US"/>
        </w:rPr>
        <w:t>momelotinib</w:t>
      </w:r>
      <w:proofErr w:type="spellEnd"/>
      <w:r w:rsidRPr="007300EF">
        <w:rPr>
          <w:rFonts w:asciiTheme="minorHAnsi" w:hAnsiTheme="minorHAnsi"/>
          <w:snapToGrid w:val="0"/>
          <w:lang w:val="en-GB" w:eastAsia="en-US"/>
        </w:rPr>
        <w:t xml:space="preserve"> (</w:t>
      </w:r>
      <w:r w:rsidR="00ED38CC">
        <w:rPr>
          <w:rFonts w:asciiTheme="minorHAnsi" w:hAnsiTheme="minorHAnsi"/>
          <w:snapToGrid w:val="0"/>
          <w:lang w:val="en-GB" w:eastAsia="en-US"/>
        </w:rPr>
        <w:t xml:space="preserve">paragraph </w:t>
      </w:r>
      <w:r w:rsidR="00ED38CC">
        <w:rPr>
          <w:rFonts w:asciiTheme="minorHAnsi" w:hAnsiTheme="minorHAnsi"/>
          <w:snapToGrid w:val="0"/>
          <w:lang w:val="en-GB" w:eastAsia="en-US"/>
        </w:rPr>
        <w:fldChar w:fldCharType="begin" w:fldLock="1"/>
      </w:r>
      <w:r w:rsidR="00ED38CC">
        <w:rPr>
          <w:rFonts w:asciiTheme="minorHAnsi" w:hAnsiTheme="minorHAnsi"/>
          <w:snapToGrid w:val="0"/>
          <w:lang w:val="en-GB" w:eastAsia="en-US"/>
        </w:rPr>
        <w:instrText xml:space="preserve"> REF _Ref195693637 \r \h </w:instrText>
      </w:r>
      <w:r w:rsidR="006C649F">
        <w:rPr>
          <w:rFonts w:asciiTheme="minorHAnsi" w:hAnsiTheme="minorHAnsi"/>
          <w:snapToGrid w:val="0"/>
          <w:lang w:val="en-GB" w:eastAsia="en-US"/>
        </w:rPr>
        <w:instrText xml:space="preserve"> \* MERGEFORMAT </w:instrText>
      </w:r>
      <w:r w:rsidR="00ED38CC">
        <w:rPr>
          <w:rFonts w:asciiTheme="minorHAnsi" w:hAnsiTheme="minorHAnsi"/>
          <w:snapToGrid w:val="0"/>
          <w:lang w:val="en-GB" w:eastAsia="en-US"/>
        </w:rPr>
      </w:r>
      <w:r w:rsidR="00ED38CC">
        <w:rPr>
          <w:rFonts w:asciiTheme="minorHAnsi" w:hAnsiTheme="minorHAnsi"/>
          <w:snapToGrid w:val="0"/>
          <w:lang w:val="en-GB" w:eastAsia="en-US"/>
        </w:rPr>
        <w:fldChar w:fldCharType="separate"/>
      </w:r>
      <w:r w:rsidR="00A072A5">
        <w:rPr>
          <w:rFonts w:asciiTheme="minorHAnsi" w:hAnsiTheme="minorHAnsi"/>
          <w:snapToGrid w:val="0"/>
          <w:lang w:val="en-GB" w:eastAsia="en-US"/>
        </w:rPr>
        <w:t>4.10</w:t>
      </w:r>
      <w:r w:rsidR="00ED38CC">
        <w:rPr>
          <w:rFonts w:asciiTheme="minorHAnsi" w:hAnsiTheme="minorHAnsi"/>
          <w:snapToGrid w:val="0"/>
          <w:lang w:val="en-GB" w:eastAsia="en-US"/>
        </w:rPr>
        <w:fldChar w:fldCharType="end"/>
      </w:r>
      <w:r w:rsidR="00ED38CC">
        <w:rPr>
          <w:rFonts w:asciiTheme="minorHAnsi" w:hAnsiTheme="minorHAnsi"/>
          <w:snapToGrid w:val="0"/>
          <w:lang w:val="en-GB" w:eastAsia="en-US"/>
        </w:rPr>
        <w:t xml:space="preserve"> refers) </w:t>
      </w:r>
      <w:r w:rsidR="001203E8">
        <w:rPr>
          <w:rFonts w:asciiTheme="minorHAnsi" w:hAnsiTheme="minorHAnsi"/>
          <w:snapToGrid w:val="0"/>
          <w:lang w:val="en-GB" w:eastAsia="en-US"/>
        </w:rPr>
        <w:t>and expressed a preference for such an approach</w:t>
      </w:r>
      <w:r w:rsidRPr="007300EF">
        <w:rPr>
          <w:rFonts w:asciiTheme="minorHAnsi" w:hAnsiTheme="minorHAnsi"/>
          <w:snapToGrid w:val="0"/>
          <w:lang w:val="en-GB" w:eastAsia="en-US"/>
        </w:rPr>
        <w:t>.</w:t>
      </w:r>
      <w:r w:rsidR="004C3A92">
        <w:rPr>
          <w:rFonts w:asciiTheme="minorHAnsi" w:hAnsiTheme="minorHAnsi"/>
          <w:snapToGrid w:val="0"/>
          <w:lang w:val="en-GB" w:eastAsia="en-US"/>
        </w:rPr>
        <w:t xml:space="preserve"> Overall, the Committee considered the approach of a line agnostic listing on a cost minimisation basis with </w:t>
      </w:r>
      <w:proofErr w:type="spellStart"/>
      <w:r w:rsidR="004C3A92">
        <w:rPr>
          <w:rFonts w:asciiTheme="minorHAnsi" w:hAnsiTheme="minorHAnsi"/>
          <w:snapToGrid w:val="0"/>
          <w:lang w:val="en-GB" w:eastAsia="en-US"/>
        </w:rPr>
        <w:t>ruxolitinib</w:t>
      </w:r>
      <w:proofErr w:type="spellEnd"/>
      <w:r w:rsidR="004C3A92">
        <w:rPr>
          <w:rFonts w:asciiTheme="minorHAnsi" w:hAnsiTheme="minorHAnsi"/>
          <w:snapToGrid w:val="0"/>
          <w:lang w:val="en-GB" w:eastAsia="en-US"/>
        </w:rPr>
        <w:t xml:space="preserve"> may be reasonable.</w:t>
      </w:r>
      <w:r w:rsidRPr="007300EF">
        <w:rPr>
          <w:rFonts w:asciiTheme="minorHAnsi" w:hAnsiTheme="minorHAnsi"/>
          <w:snapToGrid w:val="0"/>
          <w:lang w:val="en-GB" w:eastAsia="en-US"/>
        </w:rPr>
        <w:t xml:space="preserve"> However, the PBAC considered that as the evidence for </w:t>
      </w:r>
      <w:proofErr w:type="spellStart"/>
      <w:r w:rsidRPr="007300EF">
        <w:rPr>
          <w:rFonts w:asciiTheme="minorHAnsi" w:hAnsiTheme="minorHAnsi"/>
          <w:snapToGrid w:val="0"/>
          <w:lang w:val="en-GB" w:eastAsia="en-US"/>
        </w:rPr>
        <w:t>fedratinib</w:t>
      </w:r>
      <w:proofErr w:type="spellEnd"/>
      <w:r w:rsidRPr="007300EF">
        <w:rPr>
          <w:rFonts w:asciiTheme="minorHAnsi" w:hAnsiTheme="minorHAnsi"/>
          <w:snapToGrid w:val="0"/>
          <w:lang w:val="en-GB" w:eastAsia="en-US"/>
        </w:rPr>
        <w:t xml:space="preserve"> in a first</w:t>
      </w:r>
      <w:r w:rsidR="007468A2">
        <w:rPr>
          <w:rFonts w:asciiTheme="minorHAnsi" w:hAnsiTheme="minorHAnsi"/>
          <w:snapToGrid w:val="0"/>
          <w:lang w:val="en-GB" w:eastAsia="en-US"/>
        </w:rPr>
        <w:t>-</w:t>
      </w:r>
      <w:r w:rsidRPr="007300EF">
        <w:rPr>
          <w:rFonts w:asciiTheme="minorHAnsi" w:hAnsiTheme="minorHAnsi"/>
          <w:snapToGrid w:val="0"/>
          <w:lang w:val="en-GB" w:eastAsia="en-US"/>
        </w:rPr>
        <w:t>line setting and an economic evaluation for such a listing had not been evaluated</w:t>
      </w:r>
      <w:r>
        <w:rPr>
          <w:rFonts w:asciiTheme="minorHAnsi" w:hAnsiTheme="minorHAnsi"/>
          <w:snapToGrid w:val="0"/>
          <w:lang w:val="en-GB" w:eastAsia="en-US"/>
        </w:rPr>
        <w:t xml:space="preserve"> (</w:t>
      </w:r>
      <w:r w:rsidR="000611F0">
        <w:rPr>
          <w:rFonts w:asciiTheme="minorHAnsi" w:hAnsiTheme="minorHAnsi"/>
          <w:snapToGrid w:val="0"/>
          <w:lang w:val="en-GB" w:eastAsia="en-US"/>
        </w:rPr>
        <w:t>noting</w:t>
      </w:r>
      <w:r>
        <w:rPr>
          <w:rFonts w:asciiTheme="minorHAnsi" w:hAnsiTheme="minorHAnsi"/>
          <w:snapToGrid w:val="0"/>
          <w:lang w:val="en-GB" w:eastAsia="en-US"/>
        </w:rPr>
        <w:t xml:space="preserve"> </w:t>
      </w:r>
      <w:r w:rsidR="000611F0">
        <w:rPr>
          <w:rFonts w:asciiTheme="minorHAnsi" w:hAnsiTheme="minorHAnsi"/>
          <w:snapToGrid w:val="0"/>
          <w:lang w:val="en-GB" w:eastAsia="en-US"/>
        </w:rPr>
        <w:t>a cost minimisation proposal was made in the Pre-PBAC Response)</w:t>
      </w:r>
      <w:r w:rsidRPr="007300EF">
        <w:rPr>
          <w:rFonts w:asciiTheme="minorHAnsi" w:hAnsiTheme="minorHAnsi"/>
          <w:snapToGrid w:val="0"/>
          <w:lang w:val="en-GB" w:eastAsia="en-US"/>
        </w:rPr>
        <w:t xml:space="preserve">, it was appropriate for a new submission to be made to allow for a fulsome evaluation of the evidence if such a listing were sought. The PBAC's advice that follows is based on the particulars of the submission made by the Sponsor, which sought a listing in a </w:t>
      </w:r>
      <w:r w:rsidR="007468A2">
        <w:rPr>
          <w:rFonts w:asciiTheme="minorHAnsi" w:hAnsiTheme="minorHAnsi"/>
          <w:snapToGrid w:val="0"/>
          <w:lang w:val="en-GB" w:eastAsia="en-US"/>
        </w:rPr>
        <w:t>second-</w:t>
      </w:r>
      <w:r w:rsidRPr="007300EF">
        <w:rPr>
          <w:rFonts w:asciiTheme="minorHAnsi" w:hAnsiTheme="minorHAnsi"/>
          <w:snapToGrid w:val="0"/>
          <w:lang w:val="en-GB" w:eastAsia="en-US"/>
        </w:rPr>
        <w:t xml:space="preserve">line setting following intolerance to, or inadequate/lost response to </w:t>
      </w:r>
      <w:proofErr w:type="spellStart"/>
      <w:r w:rsidRPr="007300EF">
        <w:rPr>
          <w:rFonts w:asciiTheme="minorHAnsi" w:hAnsiTheme="minorHAnsi"/>
          <w:snapToGrid w:val="0"/>
          <w:lang w:val="en-GB" w:eastAsia="en-US"/>
        </w:rPr>
        <w:t>ruxolitinib</w:t>
      </w:r>
      <w:proofErr w:type="spellEnd"/>
      <w:r w:rsidRPr="007300EF">
        <w:rPr>
          <w:rFonts w:asciiTheme="minorHAnsi" w:hAnsiTheme="minorHAnsi"/>
          <w:snapToGrid w:val="0"/>
          <w:lang w:val="en-GB" w:eastAsia="en-US"/>
        </w:rPr>
        <w:t>.</w:t>
      </w:r>
      <w:r w:rsidR="00F67F24">
        <w:rPr>
          <w:rFonts w:asciiTheme="minorHAnsi" w:hAnsiTheme="minorHAnsi"/>
          <w:snapToGrid w:val="0"/>
          <w:lang w:val="en-GB" w:eastAsia="en-US"/>
        </w:rPr>
        <w:t xml:space="preserve"> </w:t>
      </w:r>
    </w:p>
    <w:p w14:paraId="551FC47F" w14:textId="5F253999" w:rsidR="00A8083F" w:rsidRPr="00C22585" w:rsidRDefault="00BD2255" w:rsidP="002C5AE5">
      <w:pPr>
        <w:pStyle w:val="COMexecsummnumbered"/>
        <w:rPr>
          <w:snapToGrid w:val="0"/>
          <w:lang w:val="en-GB"/>
        </w:rPr>
      </w:pPr>
      <w:r w:rsidRPr="00DC009F">
        <w:rPr>
          <w:snapToGrid w:val="0"/>
          <w:lang w:eastAsia="en-US"/>
        </w:rPr>
        <w:t>The PBAC considered there was a moderate need for</w:t>
      </w:r>
      <w:r w:rsidRPr="00C22585">
        <w:rPr>
          <w:snapToGrid w:val="0"/>
          <w:lang w:eastAsia="en-US"/>
        </w:rPr>
        <w:t xml:space="preserve"> a new JAK inhibitor in this disease</w:t>
      </w:r>
      <w:r w:rsidR="006A2297" w:rsidRPr="00C22585">
        <w:rPr>
          <w:snapToGrid w:val="0"/>
          <w:lang w:eastAsia="en-US"/>
        </w:rPr>
        <w:t xml:space="preserve"> area</w:t>
      </w:r>
      <w:r w:rsidR="00C32EC9">
        <w:rPr>
          <w:snapToGrid w:val="0"/>
          <w:lang w:eastAsia="en-US"/>
        </w:rPr>
        <w:t xml:space="preserve"> </w:t>
      </w:r>
      <w:r w:rsidR="00C32EC9">
        <w:rPr>
          <w:iCs/>
        </w:rPr>
        <w:t xml:space="preserve">and noted the evidence suggested </w:t>
      </w:r>
      <w:proofErr w:type="spellStart"/>
      <w:r w:rsidR="00C32EC9">
        <w:rPr>
          <w:iCs/>
        </w:rPr>
        <w:t>fedratinib</w:t>
      </w:r>
      <w:proofErr w:type="spellEnd"/>
      <w:r w:rsidR="00C32EC9">
        <w:rPr>
          <w:iCs/>
        </w:rPr>
        <w:t xml:space="preserve"> could be effective in patients who had lost response to </w:t>
      </w:r>
      <w:proofErr w:type="spellStart"/>
      <w:r w:rsidR="00C32EC9">
        <w:rPr>
          <w:iCs/>
        </w:rPr>
        <w:t>ruxolitinib</w:t>
      </w:r>
      <w:proofErr w:type="spellEnd"/>
      <w:r w:rsidR="00C32EC9">
        <w:rPr>
          <w:iCs/>
        </w:rPr>
        <w:t xml:space="preserve"> over time</w:t>
      </w:r>
      <w:r w:rsidR="006A2297" w:rsidRPr="00C22585">
        <w:rPr>
          <w:snapToGrid w:val="0"/>
          <w:lang w:eastAsia="en-US"/>
        </w:rPr>
        <w:t>.</w:t>
      </w:r>
      <w:r w:rsidR="00C32EC9">
        <w:rPr>
          <w:snapToGrid w:val="0"/>
          <w:lang w:eastAsia="en-US"/>
        </w:rPr>
        <w:t xml:space="preserve"> </w:t>
      </w:r>
      <w:r w:rsidR="006A2297" w:rsidRPr="00C22585">
        <w:rPr>
          <w:rFonts w:cstheme="minorHAnsi"/>
          <w:lang w:val="en-GB"/>
        </w:rPr>
        <w:t>The PBAC noted the consumer support for an a</w:t>
      </w:r>
      <w:r w:rsidR="00DD3D18">
        <w:rPr>
          <w:rFonts w:cstheme="minorHAnsi"/>
          <w:lang w:val="en-GB"/>
        </w:rPr>
        <w:t>dditional</w:t>
      </w:r>
      <w:r w:rsidR="006A2297" w:rsidRPr="00C22585">
        <w:rPr>
          <w:rFonts w:cstheme="minorHAnsi"/>
          <w:lang w:val="en-GB"/>
        </w:rPr>
        <w:t xml:space="preserve"> treatment option,</w:t>
      </w:r>
      <w:r w:rsidR="00BD7C5A" w:rsidRPr="00C22585">
        <w:rPr>
          <w:rFonts w:cstheme="minorHAnsi"/>
          <w:lang w:val="en-GB"/>
        </w:rPr>
        <w:t xml:space="preserve"> </w:t>
      </w:r>
      <w:r w:rsidR="00553125" w:rsidRPr="00C22585">
        <w:rPr>
          <w:rFonts w:cstheme="minorHAnsi"/>
          <w:lang w:val="en-GB"/>
        </w:rPr>
        <w:t xml:space="preserve">noting </w:t>
      </w:r>
      <w:r w:rsidR="00F85277" w:rsidRPr="00C22585">
        <w:rPr>
          <w:rFonts w:cstheme="minorHAnsi"/>
          <w:lang w:val="en-GB"/>
        </w:rPr>
        <w:t xml:space="preserve">the impact of the disease on individual quality of life, </w:t>
      </w:r>
      <w:r w:rsidR="00553125" w:rsidRPr="00C22585">
        <w:rPr>
          <w:rFonts w:cstheme="minorHAnsi"/>
          <w:lang w:val="en-GB"/>
        </w:rPr>
        <w:t xml:space="preserve">limited treatment options available to </w:t>
      </w:r>
      <w:r w:rsidR="008F1332" w:rsidRPr="00C22585">
        <w:rPr>
          <w:rFonts w:cstheme="minorHAnsi"/>
          <w:lang w:val="en-GB"/>
        </w:rPr>
        <w:t>treat myelofibrosis</w:t>
      </w:r>
      <w:r w:rsidR="005942A7" w:rsidRPr="00C22585">
        <w:rPr>
          <w:rFonts w:cstheme="minorHAnsi"/>
          <w:lang w:val="en-GB"/>
        </w:rPr>
        <w:t xml:space="preserve"> and the </w:t>
      </w:r>
      <w:r w:rsidR="00E07006" w:rsidRPr="00C22585">
        <w:rPr>
          <w:rFonts w:cstheme="minorHAnsi"/>
          <w:lang w:val="en-GB"/>
        </w:rPr>
        <w:t xml:space="preserve">need for additional options when current options stop being effective after prolonged use. </w:t>
      </w:r>
      <w:r w:rsidR="005E2E96" w:rsidRPr="00C22585">
        <w:rPr>
          <w:rFonts w:cstheme="minorHAnsi"/>
          <w:lang w:val="en-GB"/>
        </w:rPr>
        <w:t xml:space="preserve">PBAC noted the </w:t>
      </w:r>
      <w:r w:rsidR="0072648E">
        <w:rPr>
          <w:rFonts w:cstheme="minorHAnsi"/>
          <w:lang w:val="en-GB"/>
        </w:rPr>
        <w:t>input</w:t>
      </w:r>
      <w:r w:rsidR="00A3407E" w:rsidRPr="00C22585">
        <w:rPr>
          <w:rFonts w:cstheme="minorHAnsi"/>
          <w:lang w:val="en-GB"/>
        </w:rPr>
        <w:t xml:space="preserve"> from the MPN Alliance </w:t>
      </w:r>
      <w:r w:rsidR="00B4663A" w:rsidRPr="00C22585">
        <w:rPr>
          <w:rFonts w:cstheme="minorHAnsi"/>
          <w:lang w:val="en-GB"/>
        </w:rPr>
        <w:t xml:space="preserve">that included patient stories and </w:t>
      </w:r>
      <w:r w:rsidR="00DF251F" w:rsidRPr="00C22585">
        <w:rPr>
          <w:rFonts w:cstheme="minorHAnsi"/>
          <w:lang w:val="en-GB"/>
        </w:rPr>
        <w:t>noted without further treatment op</w:t>
      </w:r>
      <w:r w:rsidR="000F5954" w:rsidRPr="00C22585">
        <w:rPr>
          <w:rFonts w:cstheme="minorHAnsi"/>
          <w:lang w:val="en-GB"/>
        </w:rPr>
        <w:t>t</w:t>
      </w:r>
      <w:r w:rsidR="00DF251F" w:rsidRPr="00C22585">
        <w:rPr>
          <w:rFonts w:cstheme="minorHAnsi"/>
          <w:lang w:val="en-GB"/>
        </w:rPr>
        <w:t xml:space="preserve">ions many patients with the disease are likely to experience clinical </w:t>
      </w:r>
      <w:r w:rsidR="0014469B" w:rsidRPr="00C22585">
        <w:rPr>
          <w:rFonts w:cstheme="minorHAnsi"/>
          <w:lang w:val="en-GB"/>
        </w:rPr>
        <w:t xml:space="preserve">deterioration. </w:t>
      </w:r>
    </w:p>
    <w:p w14:paraId="3FA30621" w14:textId="329C303F" w:rsidR="006632A2" w:rsidRPr="00F84328" w:rsidRDefault="006632A2" w:rsidP="006632A2">
      <w:pPr>
        <w:pStyle w:val="COMexecsummnumbered"/>
        <w:rPr>
          <w:snapToGrid w:val="0"/>
          <w:lang w:val="en-GB"/>
        </w:rPr>
      </w:pPr>
      <w:r>
        <w:t xml:space="preserve">The PBAC noted the </w:t>
      </w:r>
      <w:r>
        <w:rPr>
          <w:snapToGrid w:val="0"/>
        </w:rPr>
        <w:t xml:space="preserve">National Comprehensive Cancer Network (NCCN guidelines </w:t>
      </w:r>
      <w:r w:rsidRPr="00F84328">
        <w:t>(</w:t>
      </w:r>
      <w:r>
        <w:t>V</w:t>
      </w:r>
      <w:r w:rsidRPr="00F84328">
        <w:t xml:space="preserve">ersion 1.2025; February 2025) recommend the use of </w:t>
      </w:r>
      <w:proofErr w:type="spellStart"/>
      <w:r w:rsidRPr="00F84328">
        <w:t>ruxolitinib</w:t>
      </w:r>
      <w:proofErr w:type="spellEnd"/>
      <w:r w:rsidRPr="00F84328">
        <w:t xml:space="preserve">, </w:t>
      </w:r>
      <w:proofErr w:type="spellStart"/>
      <w:r w:rsidRPr="00F84328">
        <w:t>momelotinib</w:t>
      </w:r>
      <w:proofErr w:type="spellEnd"/>
      <w:r w:rsidRPr="00F84328">
        <w:t xml:space="preserve"> and </w:t>
      </w:r>
      <w:proofErr w:type="spellStart"/>
      <w:r w:rsidRPr="00F84328">
        <w:t>fedratinib</w:t>
      </w:r>
      <w:proofErr w:type="spellEnd"/>
      <w:r w:rsidRPr="00F84328">
        <w:t xml:space="preserve"> </w:t>
      </w:r>
      <w:r w:rsidR="00DD3D18">
        <w:t>as first</w:t>
      </w:r>
      <w:r w:rsidR="007468A2">
        <w:t>-</w:t>
      </w:r>
      <w:r w:rsidR="00DD3D18">
        <w:t>line treatment options in</w:t>
      </w:r>
      <w:r w:rsidRPr="00F84328">
        <w:t xml:space="preserve"> myelofibrosis. </w:t>
      </w:r>
      <w:r w:rsidR="00821C1F">
        <w:t>The Committee</w:t>
      </w:r>
      <w:r>
        <w:t xml:space="preserve"> further noted the guidelines made no specific recommendations for </w:t>
      </w:r>
      <w:r w:rsidRPr="003B6D82">
        <w:t>subsequent-line treatment setting</w:t>
      </w:r>
      <w:r>
        <w:t>, recommending</w:t>
      </w:r>
      <w:r w:rsidRPr="003B6D82">
        <w:t xml:space="preserve"> the use of a </w:t>
      </w:r>
      <w:r w:rsidR="00444863" w:rsidRPr="003B6D82">
        <w:t>JAK</w:t>
      </w:r>
      <w:r w:rsidR="00444863">
        <w:t xml:space="preserve"> </w:t>
      </w:r>
      <w:r w:rsidRPr="003B6D82">
        <w:t>inhibitor that has not previously been used</w:t>
      </w:r>
      <w:r>
        <w:t xml:space="preserve">. </w:t>
      </w:r>
    </w:p>
    <w:p w14:paraId="6CC9E787" w14:textId="303F3AAB" w:rsidR="00722C6C" w:rsidRPr="00294CF8" w:rsidRDefault="00722C6C" w:rsidP="00CC0348">
      <w:pPr>
        <w:widowControl w:val="0"/>
        <w:numPr>
          <w:ilvl w:val="1"/>
          <w:numId w:val="1"/>
        </w:numPr>
        <w:spacing w:after="120"/>
        <w:rPr>
          <w:rFonts w:asciiTheme="minorHAnsi" w:hAnsiTheme="minorHAnsi"/>
          <w:snapToGrid w:val="0"/>
          <w:lang w:val="en-GB"/>
        </w:rPr>
      </w:pPr>
      <w:bookmarkStart w:id="47" w:name="_Ref199935056"/>
      <w:r w:rsidRPr="00294CF8">
        <w:rPr>
          <w:snapToGrid w:val="0"/>
          <w:lang w:val="en-GB"/>
        </w:rPr>
        <w:t>The PBAC noted the</w:t>
      </w:r>
      <w:r w:rsidR="00846278">
        <w:rPr>
          <w:snapToGrid w:val="0"/>
          <w:lang w:val="en-GB"/>
        </w:rPr>
        <w:t xml:space="preserve"> listing requested in the submission was for second (or later) line only, following intolerance </w:t>
      </w:r>
      <w:r w:rsidR="00CC0348">
        <w:rPr>
          <w:snapToGrid w:val="0"/>
          <w:lang w:val="en-GB"/>
        </w:rPr>
        <w:t xml:space="preserve">or lack of/loss of response to </w:t>
      </w:r>
      <w:proofErr w:type="spellStart"/>
      <w:r w:rsidR="00CC0348">
        <w:rPr>
          <w:snapToGrid w:val="0"/>
          <w:lang w:val="en-GB"/>
        </w:rPr>
        <w:t>ruxolitinib</w:t>
      </w:r>
      <w:proofErr w:type="spellEnd"/>
      <w:r w:rsidR="00CC0348">
        <w:rPr>
          <w:snapToGrid w:val="0"/>
          <w:lang w:val="en-GB"/>
        </w:rPr>
        <w:t xml:space="preserve"> and considered that</w:t>
      </w:r>
      <w:r w:rsidR="0012292F">
        <w:rPr>
          <w:snapToGrid w:val="0"/>
          <w:lang w:val="en-GB"/>
        </w:rPr>
        <w:t xml:space="preserve"> whilst its preference was for a line agnostic listing, </w:t>
      </w:r>
      <w:r w:rsidR="00E252A7">
        <w:rPr>
          <w:snapToGrid w:val="0"/>
          <w:lang w:val="en-GB"/>
        </w:rPr>
        <w:t xml:space="preserve">the restrictions for </w:t>
      </w:r>
      <w:proofErr w:type="spellStart"/>
      <w:r w:rsidR="00E252A7">
        <w:rPr>
          <w:snapToGrid w:val="0"/>
          <w:lang w:val="en-GB"/>
        </w:rPr>
        <w:t>fedratinib</w:t>
      </w:r>
      <w:proofErr w:type="spellEnd"/>
      <w:r w:rsidR="00E252A7">
        <w:rPr>
          <w:snapToGrid w:val="0"/>
          <w:lang w:val="en-GB"/>
        </w:rPr>
        <w:t xml:space="preserve"> should</w:t>
      </w:r>
      <w:r w:rsidR="008F4D30">
        <w:rPr>
          <w:snapToGrid w:val="0"/>
          <w:lang w:val="en-GB"/>
        </w:rPr>
        <w:t xml:space="preserve"> consider</w:t>
      </w:r>
      <w:r w:rsidR="00E252A7">
        <w:rPr>
          <w:snapToGrid w:val="0"/>
          <w:lang w:val="en-GB"/>
        </w:rPr>
        <w:t xml:space="preserve"> the following, irrespective of the line of therapy proposed</w:t>
      </w:r>
      <w:r w:rsidR="007F6A70">
        <w:rPr>
          <w:snapToGrid w:val="0"/>
          <w:lang w:val="en-GB"/>
        </w:rPr>
        <w:t xml:space="preserve"> in any re-submission</w:t>
      </w:r>
      <w:r w:rsidR="00E252A7">
        <w:rPr>
          <w:snapToGrid w:val="0"/>
          <w:lang w:val="en-GB"/>
        </w:rPr>
        <w:t>:</w:t>
      </w:r>
      <w:bookmarkEnd w:id="47"/>
      <w:r w:rsidR="00E252A7">
        <w:rPr>
          <w:snapToGrid w:val="0"/>
          <w:lang w:val="en-GB"/>
        </w:rPr>
        <w:t xml:space="preserve"> </w:t>
      </w:r>
    </w:p>
    <w:p w14:paraId="48D48BE5" w14:textId="3871B3A9" w:rsidR="00782289" w:rsidRPr="00DB1E64" w:rsidRDefault="00F13590" w:rsidP="00444863">
      <w:pPr>
        <w:pStyle w:val="ListParagraph"/>
        <w:widowControl w:val="0"/>
        <w:numPr>
          <w:ilvl w:val="0"/>
          <w:numId w:val="36"/>
        </w:numPr>
        <w:spacing w:after="120"/>
        <w:ind w:left="1134" w:hanging="357"/>
        <w:contextualSpacing w:val="0"/>
        <w:rPr>
          <w:lang w:val="en-GB"/>
        </w:rPr>
      </w:pPr>
      <w:r w:rsidRPr="00DB1E64">
        <w:rPr>
          <w:lang w:val="en-GB"/>
        </w:rPr>
        <w:t xml:space="preserve">inclusion of both an </w:t>
      </w:r>
      <w:r w:rsidR="008F4D30" w:rsidRPr="00DB1E64">
        <w:rPr>
          <w:lang w:val="en-GB"/>
        </w:rPr>
        <w:t>initial</w:t>
      </w:r>
      <w:r w:rsidRPr="00DB1E64">
        <w:rPr>
          <w:lang w:val="en-GB"/>
        </w:rPr>
        <w:t xml:space="preserve"> and continu</w:t>
      </w:r>
      <w:r w:rsidR="008F4D30">
        <w:rPr>
          <w:lang w:val="en-GB"/>
        </w:rPr>
        <w:t>ing</w:t>
      </w:r>
      <w:r w:rsidRPr="00DB1E64">
        <w:rPr>
          <w:lang w:val="en-GB"/>
        </w:rPr>
        <w:t xml:space="preserve"> treatment phase, </w:t>
      </w:r>
      <w:proofErr w:type="gramStart"/>
      <w:r w:rsidRPr="00DB1E64">
        <w:rPr>
          <w:lang w:val="en-GB"/>
        </w:rPr>
        <w:t>similar to</w:t>
      </w:r>
      <w:proofErr w:type="gramEnd"/>
      <w:r w:rsidRPr="00DB1E64">
        <w:rPr>
          <w:lang w:val="en-GB"/>
        </w:rPr>
        <w:t xml:space="preserve"> the current PBS restriction structure for </w:t>
      </w:r>
      <w:proofErr w:type="spellStart"/>
      <w:r w:rsidRPr="00DB1E64">
        <w:rPr>
          <w:bCs/>
          <w:iCs/>
          <w:snapToGrid w:val="0"/>
          <w:lang w:eastAsia="en-US"/>
        </w:rPr>
        <w:t>ruxolitinib</w:t>
      </w:r>
      <w:proofErr w:type="spellEnd"/>
      <w:r w:rsidRPr="00DB1E64">
        <w:rPr>
          <w:bCs/>
          <w:iCs/>
          <w:snapToGrid w:val="0"/>
          <w:lang w:eastAsia="en-US"/>
        </w:rPr>
        <w:t xml:space="preserve"> </w:t>
      </w:r>
      <w:r w:rsidRPr="00DB1E64">
        <w:rPr>
          <w:lang w:val="en-GB"/>
        </w:rPr>
        <w:t xml:space="preserve">and </w:t>
      </w:r>
      <w:proofErr w:type="spellStart"/>
      <w:proofErr w:type="gramStart"/>
      <w:r w:rsidRPr="00DB1E64">
        <w:rPr>
          <w:bCs/>
          <w:iCs/>
          <w:snapToGrid w:val="0"/>
          <w:lang w:eastAsia="en-US"/>
        </w:rPr>
        <w:t>momelotinib</w:t>
      </w:r>
      <w:proofErr w:type="spellEnd"/>
      <w:r w:rsidRPr="00DB1E64">
        <w:rPr>
          <w:bCs/>
          <w:iCs/>
          <w:snapToGrid w:val="0"/>
          <w:lang w:eastAsia="en-US"/>
        </w:rPr>
        <w:t>;</w:t>
      </w:r>
      <w:proofErr w:type="gramEnd"/>
    </w:p>
    <w:p w14:paraId="6E9A6C0E" w14:textId="68DFB62F" w:rsidR="00782289" w:rsidRPr="00DB1E64" w:rsidRDefault="00782289" w:rsidP="00444863">
      <w:pPr>
        <w:pStyle w:val="ListParagraph"/>
        <w:widowControl w:val="0"/>
        <w:numPr>
          <w:ilvl w:val="0"/>
          <w:numId w:val="36"/>
        </w:numPr>
        <w:spacing w:after="120"/>
        <w:ind w:left="1134" w:hanging="357"/>
        <w:contextualSpacing w:val="0"/>
        <w:rPr>
          <w:lang w:val="en-GB"/>
        </w:rPr>
      </w:pPr>
      <w:r w:rsidRPr="00DB1E64">
        <w:rPr>
          <w:lang w:val="en-GB"/>
        </w:rPr>
        <w:t>inclu</w:t>
      </w:r>
      <w:r w:rsidR="007F6A70" w:rsidRPr="00DB1E64">
        <w:rPr>
          <w:lang w:val="en-GB"/>
        </w:rPr>
        <w:t>de</w:t>
      </w:r>
      <w:r w:rsidR="00E252A7" w:rsidRPr="00DB1E64">
        <w:rPr>
          <w:lang w:val="en-GB"/>
        </w:rPr>
        <w:t xml:space="preserve"> a criterion that</w:t>
      </w:r>
      <w:r w:rsidRPr="00DB1E64">
        <w:rPr>
          <w:lang w:val="en-GB"/>
        </w:rPr>
        <w:t xml:space="preserve"> the treatment must be sole PBS subsidised JAK inhibitor for the </w:t>
      </w:r>
      <w:proofErr w:type="gramStart"/>
      <w:r w:rsidRPr="00DB1E64">
        <w:rPr>
          <w:lang w:val="en-GB"/>
        </w:rPr>
        <w:t>condition;</w:t>
      </w:r>
      <w:proofErr w:type="gramEnd"/>
    </w:p>
    <w:p w14:paraId="354928EC" w14:textId="74DD3EAF" w:rsidR="00782289" w:rsidRPr="00DB1E64" w:rsidRDefault="00782289" w:rsidP="00444863">
      <w:pPr>
        <w:pStyle w:val="ListParagraph"/>
        <w:widowControl w:val="0"/>
        <w:numPr>
          <w:ilvl w:val="0"/>
          <w:numId w:val="36"/>
        </w:numPr>
        <w:spacing w:after="120"/>
        <w:ind w:left="1134" w:hanging="357"/>
        <w:contextualSpacing w:val="0"/>
        <w:rPr>
          <w:lang w:val="en-GB"/>
        </w:rPr>
      </w:pPr>
      <w:r w:rsidRPr="00DB1E64">
        <w:rPr>
          <w:lang w:val="en-GB"/>
        </w:rPr>
        <w:t xml:space="preserve">include prescribing instructions to document the details of the </w:t>
      </w:r>
      <w:proofErr w:type="gramStart"/>
      <w:r w:rsidRPr="00DB1E64">
        <w:rPr>
          <w:lang w:val="en-GB"/>
        </w:rPr>
        <w:t>patients</w:t>
      </w:r>
      <w:proofErr w:type="gramEnd"/>
      <w:r w:rsidRPr="00DB1E64">
        <w:rPr>
          <w:lang w:val="en-GB"/>
        </w:rPr>
        <w:t xml:space="preserve"> medical records</w:t>
      </w:r>
      <w:r w:rsidR="00A77675">
        <w:rPr>
          <w:lang w:val="en-GB"/>
        </w:rPr>
        <w:t xml:space="preserve"> for the bone marrow biopsy report</w:t>
      </w:r>
      <w:r w:rsidR="00293458">
        <w:rPr>
          <w:lang w:val="en-GB"/>
        </w:rPr>
        <w:t xml:space="preserve"> confirming diagnosis of myelofibrosis and risk classification based on IPSS, DIPSS or age-adjusted DIPSS (consistent with the listings of </w:t>
      </w:r>
      <w:proofErr w:type="spellStart"/>
      <w:r w:rsidR="00293458">
        <w:rPr>
          <w:lang w:val="en-GB"/>
        </w:rPr>
        <w:t>ruxolitinib</w:t>
      </w:r>
      <w:proofErr w:type="spellEnd"/>
      <w:r w:rsidR="00293458">
        <w:rPr>
          <w:lang w:val="en-GB"/>
        </w:rPr>
        <w:t xml:space="preserve"> and </w:t>
      </w:r>
      <w:proofErr w:type="spellStart"/>
      <w:r w:rsidR="00293458">
        <w:rPr>
          <w:lang w:val="en-GB"/>
        </w:rPr>
        <w:t>momelotinib</w:t>
      </w:r>
      <w:proofErr w:type="spellEnd"/>
      <w:r w:rsidR="00293458">
        <w:rPr>
          <w:lang w:val="en-GB"/>
        </w:rPr>
        <w:t>)</w:t>
      </w:r>
      <w:r w:rsidRPr="00DB1E64">
        <w:rPr>
          <w:lang w:val="en-GB"/>
        </w:rPr>
        <w:t>;</w:t>
      </w:r>
      <w:r w:rsidR="00293458">
        <w:rPr>
          <w:lang w:val="en-GB"/>
        </w:rPr>
        <w:t xml:space="preserve"> and</w:t>
      </w:r>
      <w:r w:rsidRPr="00DB1E64">
        <w:rPr>
          <w:lang w:val="en-GB"/>
        </w:rPr>
        <w:t xml:space="preserve"> </w:t>
      </w:r>
    </w:p>
    <w:p w14:paraId="2E5F0E91" w14:textId="54D28EAD" w:rsidR="00343273" w:rsidRPr="00DB1E64" w:rsidRDefault="00DB1E64" w:rsidP="00444863">
      <w:pPr>
        <w:pStyle w:val="ListParagraph"/>
        <w:widowControl w:val="0"/>
        <w:numPr>
          <w:ilvl w:val="0"/>
          <w:numId w:val="36"/>
        </w:numPr>
        <w:spacing w:after="120"/>
        <w:ind w:left="1134" w:hanging="357"/>
        <w:contextualSpacing w:val="0"/>
        <w:rPr>
          <w:lang w:val="en-GB"/>
        </w:rPr>
      </w:pPr>
      <w:r w:rsidRPr="00DB1E64">
        <w:rPr>
          <w:lang w:val="en-GB"/>
        </w:rPr>
        <w:lastRenderedPageBreak/>
        <w:t xml:space="preserve">include a </w:t>
      </w:r>
      <w:r w:rsidR="00343273" w:rsidRPr="00DB1E64">
        <w:rPr>
          <w:lang w:val="en-GB"/>
        </w:rPr>
        <w:t xml:space="preserve">caution </w:t>
      </w:r>
      <w:r w:rsidRPr="00DB1E64">
        <w:rPr>
          <w:lang w:val="en-GB"/>
        </w:rPr>
        <w:t>that</w:t>
      </w:r>
      <w:r w:rsidR="00343273" w:rsidRPr="00DB1E64">
        <w:rPr>
          <w:lang w:val="en-GB"/>
        </w:rPr>
        <w:t xml:space="preserve"> thiamine levels </w:t>
      </w:r>
      <w:r w:rsidRPr="00DB1E64">
        <w:rPr>
          <w:lang w:val="en-GB"/>
        </w:rPr>
        <w:t>must be monitored whilst on treatment,</w:t>
      </w:r>
      <w:r w:rsidR="00343273" w:rsidRPr="00DB1E64">
        <w:rPr>
          <w:lang w:val="en-GB"/>
        </w:rPr>
        <w:t xml:space="preserve"> as per the approved TGA boxed warning.</w:t>
      </w:r>
    </w:p>
    <w:p w14:paraId="73440C18" w14:textId="16C76E1D" w:rsidR="001C34ED" w:rsidRDefault="002615BE" w:rsidP="002615BE">
      <w:pPr>
        <w:pStyle w:val="COMexecsummnumbered"/>
        <w:numPr>
          <w:ilvl w:val="1"/>
          <w:numId w:val="3"/>
        </w:numPr>
        <w:rPr>
          <w:iCs/>
        </w:rPr>
      </w:pPr>
      <w:r w:rsidRPr="002615BE">
        <w:rPr>
          <w:iCs/>
        </w:rPr>
        <w:t xml:space="preserve">The PBAC considered that the submission’s nomination of </w:t>
      </w:r>
      <w:r w:rsidR="00BD2255" w:rsidRPr="003B6D82">
        <w:rPr>
          <w:iCs/>
        </w:rPr>
        <w:t xml:space="preserve">best available therapy </w:t>
      </w:r>
      <w:r w:rsidR="00BC178A">
        <w:rPr>
          <w:iCs/>
        </w:rPr>
        <w:t xml:space="preserve">(BAT) </w:t>
      </w:r>
      <w:r w:rsidR="005F32E5">
        <w:rPr>
          <w:iCs/>
        </w:rPr>
        <w:t>was</w:t>
      </w:r>
      <w:r w:rsidR="00BD2255" w:rsidRPr="003B6D82">
        <w:rPr>
          <w:iCs/>
        </w:rPr>
        <w:t xml:space="preserve"> appropriate </w:t>
      </w:r>
      <w:r w:rsidR="005F32E5">
        <w:rPr>
          <w:iCs/>
        </w:rPr>
        <w:t>for the requested listing for</w:t>
      </w:r>
      <w:r w:rsidR="00BD2255">
        <w:rPr>
          <w:iCs/>
        </w:rPr>
        <w:t xml:space="preserve"> patients with intermediate-2 </w:t>
      </w:r>
      <w:r w:rsidR="00D062B9">
        <w:rPr>
          <w:iCs/>
        </w:rPr>
        <w:t>and</w:t>
      </w:r>
      <w:r w:rsidR="00BD2255">
        <w:rPr>
          <w:iCs/>
        </w:rPr>
        <w:t xml:space="preserve"> high-risk myelofibrosis who</w:t>
      </w:r>
      <w:r w:rsidR="005F32E5">
        <w:rPr>
          <w:iCs/>
        </w:rPr>
        <w:t xml:space="preserve"> have</w:t>
      </w:r>
      <w:r w:rsidR="00BD2255">
        <w:rPr>
          <w:iCs/>
        </w:rPr>
        <w:t xml:space="preserve"> had prior </w:t>
      </w:r>
      <w:proofErr w:type="spellStart"/>
      <w:r w:rsidR="00BD2255">
        <w:rPr>
          <w:iCs/>
        </w:rPr>
        <w:t>ruxolitinib</w:t>
      </w:r>
      <w:proofErr w:type="spellEnd"/>
      <w:r w:rsidR="00BD2255">
        <w:rPr>
          <w:iCs/>
        </w:rPr>
        <w:t xml:space="preserve"> treatment. </w:t>
      </w:r>
    </w:p>
    <w:p w14:paraId="3FB13CC5" w14:textId="0E24893D" w:rsidR="0062074E" w:rsidRPr="00492DAE" w:rsidRDefault="00582DA2" w:rsidP="00492DAE">
      <w:pPr>
        <w:pStyle w:val="COMexecsummnumbered"/>
        <w:numPr>
          <w:ilvl w:val="1"/>
          <w:numId w:val="3"/>
        </w:numPr>
        <w:rPr>
          <w:iCs/>
        </w:rPr>
      </w:pPr>
      <w:r w:rsidRPr="00C8343C">
        <w:rPr>
          <w:iCs/>
        </w:rPr>
        <w:t xml:space="preserve">The PBAC noted the clinical evidence for </w:t>
      </w:r>
      <w:proofErr w:type="spellStart"/>
      <w:r w:rsidRPr="00C8343C">
        <w:rPr>
          <w:iCs/>
        </w:rPr>
        <w:t>fedratinib</w:t>
      </w:r>
      <w:proofErr w:type="spellEnd"/>
      <w:r w:rsidRPr="00C8343C">
        <w:rPr>
          <w:iCs/>
        </w:rPr>
        <w:t xml:space="preserve"> was based on </w:t>
      </w:r>
      <w:r w:rsidR="00837531" w:rsidRPr="00C8343C">
        <w:rPr>
          <w:iCs/>
        </w:rPr>
        <w:t>the FREEDOM-2 trial</w:t>
      </w:r>
      <w:r w:rsidR="0022447C">
        <w:rPr>
          <w:iCs/>
        </w:rPr>
        <w:t xml:space="preserve"> (n=201)</w:t>
      </w:r>
      <w:r w:rsidR="00837531" w:rsidRPr="00C8343C">
        <w:rPr>
          <w:iCs/>
        </w:rPr>
        <w:t xml:space="preserve">, which was a </w:t>
      </w:r>
      <w:r w:rsidRPr="00C8343C">
        <w:rPr>
          <w:iCs/>
        </w:rPr>
        <w:t xml:space="preserve">head-to-head trial comparing </w:t>
      </w:r>
      <w:proofErr w:type="spellStart"/>
      <w:r w:rsidRPr="00C8343C">
        <w:rPr>
          <w:iCs/>
        </w:rPr>
        <w:t>fedratinib</w:t>
      </w:r>
      <w:proofErr w:type="spellEnd"/>
      <w:r w:rsidRPr="00C8343C">
        <w:rPr>
          <w:iCs/>
        </w:rPr>
        <w:t xml:space="preserve"> to best available therapy (predominantly </w:t>
      </w:r>
      <w:proofErr w:type="spellStart"/>
      <w:r w:rsidRPr="00C8343C">
        <w:rPr>
          <w:iCs/>
        </w:rPr>
        <w:t>ruxolitinib</w:t>
      </w:r>
      <w:proofErr w:type="spellEnd"/>
      <w:r w:rsidRPr="00C8343C">
        <w:rPr>
          <w:iCs/>
        </w:rPr>
        <w:t xml:space="preserve">) in adults with intermediate-2 </w:t>
      </w:r>
      <w:r w:rsidR="00D062B9">
        <w:rPr>
          <w:iCs/>
        </w:rPr>
        <w:t>and</w:t>
      </w:r>
      <w:r w:rsidRPr="00C8343C">
        <w:rPr>
          <w:iCs/>
        </w:rPr>
        <w:t xml:space="preserve"> high</w:t>
      </w:r>
      <w:r w:rsidR="00A8447A" w:rsidRPr="00C8343C">
        <w:rPr>
          <w:iCs/>
        </w:rPr>
        <w:t>-</w:t>
      </w:r>
      <w:r w:rsidRPr="00C8343C">
        <w:rPr>
          <w:iCs/>
        </w:rPr>
        <w:t xml:space="preserve">risk primary myelofibrosis, post-polycythaemia </w:t>
      </w:r>
      <w:r w:rsidRPr="004A69C6">
        <w:rPr>
          <w:iCs/>
        </w:rPr>
        <w:t xml:space="preserve">vera myelofibrosis or post-essential </w:t>
      </w:r>
      <w:proofErr w:type="spellStart"/>
      <w:r w:rsidRPr="004A69C6">
        <w:rPr>
          <w:iCs/>
        </w:rPr>
        <w:t>thrombocythaemia</w:t>
      </w:r>
      <w:proofErr w:type="spellEnd"/>
      <w:r w:rsidRPr="004A69C6">
        <w:rPr>
          <w:iCs/>
        </w:rPr>
        <w:t xml:space="preserve"> myelofibrosis and who were refractory, relapsed or intolerant to </w:t>
      </w:r>
      <w:proofErr w:type="spellStart"/>
      <w:r w:rsidRPr="004A69C6">
        <w:rPr>
          <w:iCs/>
        </w:rPr>
        <w:t>ruxolitinib</w:t>
      </w:r>
      <w:proofErr w:type="spellEnd"/>
      <w:r w:rsidR="004A64E2" w:rsidRPr="004A69C6">
        <w:rPr>
          <w:iCs/>
        </w:rPr>
        <w:t xml:space="preserve">. </w:t>
      </w:r>
      <w:r w:rsidR="00795AB6" w:rsidRPr="004A69C6">
        <w:rPr>
          <w:iCs/>
        </w:rPr>
        <w:t xml:space="preserve">The PBAC noted there was a statistically significantly greater proportion of responders </w:t>
      </w:r>
      <w:r w:rsidR="00625278" w:rsidRPr="004A69C6">
        <w:rPr>
          <w:iCs/>
        </w:rPr>
        <w:t xml:space="preserve">for </w:t>
      </w:r>
      <w:proofErr w:type="spellStart"/>
      <w:r w:rsidR="00625278" w:rsidRPr="004A69C6">
        <w:rPr>
          <w:iCs/>
        </w:rPr>
        <w:t>fedratinib</w:t>
      </w:r>
      <w:proofErr w:type="spellEnd"/>
      <w:r w:rsidR="00625278" w:rsidRPr="004A69C6">
        <w:rPr>
          <w:iCs/>
        </w:rPr>
        <w:t xml:space="preserve"> </w:t>
      </w:r>
      <w:r w:rsidR="00795AB6" w:rsidRPr="004A69C6">
        <w:rPr>
          <w:iCs/>
        </w:rPr>
        <w:t>compared to best available therapy for the primary and key secondary spleen response outcomes</w:t>
      </w:r>
      <w:r w:rsidR="0065713B">
        <w:rPr>
          <w:iCs/>
        </w:rPr>
        <w:t xml:space="preserve"> </w:t>
      </w:r>
      <w:r w:rsidR="0065713B" w:rsidRPr="0065713B">
        <w:rPr>
          <w:iCs/>
        </w:rPr>
        <w:t>(splenic response rate difference in proportion 19.9%, 95% CI 10.0 - 29.7</w:t>
      </w:r>
      <w:proofErr w:type="gramStart"/>
      <w:r w:rsidR="0065713B" w:rsidRPr="0065713B">
        <w:rPr>
          <w:iCs/>
        </w:rPr>
        <w:t>)</w:t>
      </w:r>
      <w:r w:rsidR="0034610C">
        <w:rPr>
          <w:iCs/>
        </w:rPr>
        <w:t>, but</w:t>
      </w:r>
      <w:proofErr w:type="gramEnd"/>
      <w:r w:rsidR="00990BF6" w:rsidRPr="004A69C6">
        <w:rPr>
          <w:iCs/>
        </w:rPr>
        <w:t xml:space="preserve"> noted </w:t>
      </w:r>
      <w:r w:rsidR="00234D25" w:rsidRPr="004A69C6">
        <w:rPr>
          <w:iCs/>
        </w:rPr>
        <w:t xml:space="preserve">there </w:t>
      </w:r>
      <w:r w:rsidR="00990BF6" w:rsidRPr="004A69C6">
        <w:rPr>
          <w:iCs/>
        </w:rPr>
        <w:t>was</w:t>
      </w:r>
      <w:r w:rsidR="00234D25" w:rsidRPr="004A69C6">
        <w:rPr>
          <w:iCs/>
        </w:rPr>
        <w:t xml:space="preserve"> insufficient evidence to support an improvement in quality of life or survival outcomes</w:t>
      </w:r>
      <w:r w:rsidR="00990BF6" w:rsidRPr="004A69C6">
        <w:rPr>
          <w:iCs/>
        </w:rPr>
        <w:t>. The PBAC agreed with ESC</w:t>
      </w:r>
      <w:r w:rsidR="00054D2A" w:rsidRPr="004A69C6">
        <w:rPr>
          <w:iCs/>
        </w:rPr>
        <w:t xml:space="preserve"> </w:t>
      </w:r>
      <w:r w:rsidR="00B766C2">
        <w:rPr>
          <w:iCs/>
        </w:rPr>
        <w:t xml:space="preserve">that </w:t>
      </w:r>
      <w:r w:rsidR="00B766C2" w:rsidRPr="0093725D">
        <w:rPr>
          <w:iCs/>
        </w:rPr>
        <w:t xml:space="preserve">the </w:t>
      </w:r>
      <w:r w:rsidR="00054D2A" w:rsidRPr="0093725D">
        <w:rPr>
          <w:iCs/>
        </w:rPr>
        <w:t xml:space="preserve">claimed quality of life benefit was not clearly established or well </w:t>
      </w:r>
      <w:proofErr w:type="gramStart"/>
      <w:r w:rsidR="00054D2A" w:rsidRPr="0093725D">
        <w:rPr>
          <w:iCs/>
        </w:rPr>
        <w:t>supported</w:t>
      </w:r>
      <w:r w:rsidR="0034610C">
        <w:rPr>
          <w:iCs/>
        </w:rPr>
        <w:t>, but</w:t>
      </w:r>
      <w:proofErr w:type="gramEnd"/>
      <w:r w:rsidR="0034610C">
        <w:rPr>
          <w:iCs/>
        </w:rPr>
        <w:t xml:space="preserve"> considered overall the evidence supports a conclusion that </w:t>
      </w:r>
      <w:proofErr w:type="spellStart"/>
      <w:r w:rsidR="0034610C">
        <w:rPr>
          <w:iCs/>
        </w:rPr>
        <w:t>fedratinib</w:t>
      </w:r>
      <w:proofErr w:type="spellEnd"/>
      <w:r w:rsidR="0034610C">
        <w:rPr>
          <w:iCs/>
        </w:rPr>
        <w:t xml:space="preserve"> is effective</w:t>
      </w:r>
      <w:r w:rsidR="00492DAE">
        <w:rPr>
          <w:iCs/>
        </w:rPr>
        <w:t xml:space="preserve"> in myelofibrosis in the requested population</w:t>
      </w:r>
      <w:r w:rsidR="004F1F33" w:rsidRPr="0093725D">
        <w:rPr>
          <w:iCs/>
        </w:rPr>
        <w:t xml:space="preserve">. </w:t>
      </w:r>
      <w:r w:rsidR="00492DAE">
        <w:rPr>
          <w:iCs/>
        </w:rPr>
        <w:t xml:space="preserve">However, </w:t>
      </w:r>
      <w:r w:rsidR="00492DAE" w:rsidRPr="00492DAE">
        <w:rPr>
          <w:iCs/>
        </w:rPr>
        <w:t>t</w:t>
      </w:r>
      <w:r w:rsidR="0062074E" w:rsidRPr="00492DAE">
        <w:rPr>
          <w:iCs/>
        </w:rPr>
        <w:t xml:space="preserve">he PBAC considered there is a lack of long-term comparative efficacy and safety data for </w:t>
      </w:r>
      <w:proofErr w:type="spellStart"/>
      <w:r w:rsidR="0062074E" w:rsidRPr="00492DAE">
        <w:rPr>
          <w:iCs/>
        </w:rPr>
        <w:t>fedratinib</w:t>
      </w:r>
      <w:proofErr w:type="spellEnd"/>
      <w:r w:rsidR="00492DAE">
        <w:rPr>
          <w:iCs/>
        </w:rPr>
        <w:t xml:space="preserve"> in this setting.</w:t>
      </w:r>
    </w:p>
    <w:p w14:paraId="38A6E37D" w14:textId="7F5F6A9B" w:rsidR="007E46C4" w:rsidRPr="00D2543D" w:rsidRDefault="00A00547" w:rsidP="00D96CFB">
      <w:pPr>
        <w:pStyle w:val="COMexecsummnumbered"/>
        <w:numPr>
          <w:ilvl w:val="1"/>
          <w:numId w:val="3"/>
        </w:numPr>
        <w:rPr>
          <w:iCs/>
        </w:rPr>
      </w:pPr>
      <w:r w:rsidRPr="0093725D">
        <w:rPr>
          <w:iCs/>
        </w:rPr>
        <w:t xml:space="preserve">The PBAC </w:t>
      </w:r>
      <w:r w:rsidR="00D96CFB" w:rsidRPr="0093725D">
        <w:rPr>
          <w:iCs/>
        </w:rPr>
        <w:t>considered</w:t>
      </w:r>
      <w:r w:rsidR="00C702E8">
        <w:rPr>
          <w:iCs/>
        </w:rPr>
        <w:t xml:space="preserve"> the safety profile of </w:t>
      </w:r>
      <w:proofErr w:type="spellStart"/>
      <w:r w:rsidR="00C702E8">
        <w:rPr>
          <w:iCs/>
        </w:rPr>
        <w:t>fedratinib</w:t>
      </w:r>
      <w:proofErr w:type="spellEnd"/>
      <w:r w:rsidR="00C702E8">
        <w:rPr>
          <w:iCs/>
        </w:rPr>
        <w:t xml:space="preserve"> raised concerns, particularly given</w:t>
      </w:r>
      <w:r w:rsidR="00BF7234" w:rsidRPr="0093725D">
        <w:rPr>
          <w:iCs/>
        </w:rPr>
        <w:t xml:space="preserve"> </w:t>
      </w:r>
      <w:r w:rsidR="007E46C4" w:rsidRPr="0093725D">
        <w:rPr>
          <w:iCs/>
        </w:rPr>
        <w:t xml:space="preserve">the observed rate of </w:t>
      </w:r>
      <w:r w:rsidRPr="0093725D">
        <w:rPr>
          <w:iCs/>
        </w:rPr>
        <w:t>encephalopathy</w:t>
      </w:r>
      <w:r w:rsidR="00C702E8">
        <w:rPr>
          <w:iCs/>
        </w:rPr>
        <w:t>,</w:t>
      </w:r>
      <w:r w:rsidR="007F3A77" w:rsidRPr="0093725D">
        <w:rPr>
          <w:iCs/>
        </w:rPr>
        <w:t xml:space="preserve"> including W</w:t>
      </w:r>
      <w:r w:rsidRPr="0093725D">
        <w:rPr>
          <w:iCs/>
        </w:rPr>
        <w:t>ernicke’s (or suspected cases associated with thiamine levels below normal range</w:t>
      </w:r>
      <w:r w:rsidR="00074587">
        <w:rPr>
          <w:iCs/>
        </w:rPr>
        <w:t>). The Committee noted the TGA registration</w:t>
      </w:r>
      <w:r w:rsidR="00BD5EF0" w:rsidRPr="0093725D">
        <w:rPr>
          <w:iCs/>
        </w:rPr>
        <w:t xml:space="preserve"> </w:t>
      </w:r>
      <w:r w:rsidR="00DF2045" w:rsidRPr="0093725D">
        <w:rPr>
          <w:iCs/>
        </w:rPr>
        <w:t>includes a</w:t>
      </w:r>
      <w:r w:rsidR="00074587">
        <w:rPr>
          <w:iCs/>
        </w:rPr>
        <w:t xml:space="preserve"> </w:t>
      </w:r>
      <w:r w:rsidR="00DF2045" w:rsidRPr="0093725D">
        <w:rPr>
          <w:iCs/>
        </w:rPr>
        <w:t xml:space="preserve">box warning and </w:t>
      </w:r>
      <w:r w:rsidR="00BD5EF0" w:rsidRPr="00D2543D">
        <w:rPr>
          <w:iCs/>
        </w:rPr>
        <w:t xml:space="preserve">states that all patients should receive prophylaxis </w:t>
      </w:r>
      <w:r w:rsidR="00F07C53" w:rsidRPr="00D2543D">
        <w:rPr>
          <w:iCs/>
        </w:rPr>
        <w:t xml:space="preserve">with oral thiamine whilst on treatment with </w:t>
      </w:r>
      <w:proofErr w:type="spellStart"/>
      <w:proofErr w:type="gramStart"/>
      <w:r w:rsidR="00F07C53" w:rsidRPr="00D2543D">
        <w:rPr>
          <w:iCs/>
        </w:rPr>
        <w:t>fedratinib</w:t>
      </w:r>
      <w:proofErr w:type="spellEnd"/>
      <w:r w:rsidR="007907DC">
        <w:rPr>
          <w:iCs/>
        </w:rPr>
        <w:t>, and</w:t>
      </w:r>
      <w:proofErr w:type="gramEnd"/>
      <w:r w:rsidR="007907DC">
        <w:rPr>
          <w:iCs/>
        </w:rPr>
        <w:t xml:space="preserve"> reiterated this </w:t>
      </w:r>
      <w:r w:rsidR="003B701D">
        <w:rPr>
          <w:iCs/>
        </w:rPr>
        <w:t xml:space="preserve">should be reflected in the PBS listing (paragraph </w:t>
      </w:r>
      <w:r w:rsidR="003B701D">
        <w:rPr>
          <w:iCs/>
        </w:rPr>
        <w:fldChar w:fldCharType="begin" w:fldLock="1"/>
      </w:r>
      <w:r w:rsidR="003B701D">
        <w:rPr>
          <w:iCs/>
        </w:rPr>
        <w:instrText xml:space="preserve"> REF _Ref199935056 \r \h </w:instrText>
      </w:r>
      <w:r w:rsidR="003B701D">
        <w:rPr>
          <w:iCs/>
        </w:rPr>
      </w:r>
      <w:r w:rsidR="003B701D">
        <w:rPr>
          <w:iCs/>
        </w:rPr>
        <w:fldChar w:fldCharType="separate"/>
      </w:r>
      <w:r w:rsidR="00A072A5">
        <w:rPr>
          <w:iCs/>
        </w:rPr>
        <w:t>7.6</w:t>
      </w:r>
      <w:r w:rsidR="003B701D">
        <w:rPr>
          <w:iCs/>
        </w:rPr>
        <w:fldChar w:fldCharType="end"/>
      </w:r>
      <w:r w:rsidR="003B701D">
        <w:rPr>
          <w:iCs/>
        </w:rPr>
        <w:t xml:space="preserve"> refers). The PBAC also noted the submission made a claim of inferior comparative safety and considered th</w:t>
      </w:r>
      <w:r w:rsidR="00104A8A">
        <w:rPr>
          <w:iCs/>
        </w:rPr>
        <w:t>e evidence supported such a conclusion.</w:t>
      </w:r>
    </w:p>
    <w:p w14:paraId="12F093C8" w14:textId="631CB7EB" w:rsidR="00481AD1" w:rsidRPr="00A30B6D" w:rsidRDefault="00DA4140" w:rsidP="00951A7F">
      <w:pPr>
        <w:pStyle w:val="COMexecsummnumbered"/>
        <w:numPr>
          <w:ilvl w:val="1"/>
          <w:numId w:val="3"/>
        </w:numPr>
        <w:rPr>
          <w:iCs/>
        </w:rPr>
      </w:pPr>
      <w:bookmarkStart w:id="48" w:name="_Ref199925810"/>
      <w:r w:rsidRPr="00787ACE">
        <w:rPr>
          <w:iCs/>
        </w:rPr>
        <w:t>The</w:t>
      </w:r>
      <w:r w:rsidR="00104A8A" w:rsidRPr="00787ACE">
        <w:rPr>
          <w:iCs/>
        </w:rPr>
        <w:t xml:space="preserve"> PBAC noted the</w:t>
      </w:r>
      <w:r w:rsidRPr="00787ACE">
        <w:rPr>
          <w:iCs/>
        </w:rPr>
        <w:t xml:space="preserve"> submission presented a</w:t>
      </w:r>
      <w:r w:rsidR="00104A8A" w:rsidRPr="00787ACE">
        <w:rPr>
          <w:iCs/>
        </w:rPr>
        <w:t xml:space="preserve"> modelled</w:t>
      </w:r>
      <w:r w:rsidRPr="00787ACE">
        <w:rPr>
          <w:iCs/>
        </w:rPr>
        <w:t xml:space="preserve"> cost</w:t>
      </w:r>
      <w:r w:rsidR="00104A8A" w:rsidRPr="00787ACE">
        <w:rPr>
          <w:iCs/>
        </w:rPr>
        <w:t xml:space="preserve"> utility</w:t>
      </w:r>
      <w:r w:rsidRPr="00787ACE">
        <w:rPr>
          <w:iCs/>
        </w:rPr>
        <w:t xml:space="preserve"> analysis </w:t>
      </w:r>
      <w:r w:rsidR="009F5EED" w:rsidRPr="00787ACE">
        <w:rPr>
          <w:iCs/>
        </w:rPr>
        <w:t xml:space="preserve">based </w:t>
      </w:r>
      <w:r w:rsidR="002772C2" w:rsidRPr="00787ACE">
        <w:rPr>
          <w:iCs/>
        </w:rPr>
        <w:t>on the results of</w:t>
      </w:r>
      <w:r w:rsidR="00104A8A" w:rsidRPr="00787ACE">
        <w:rPr>
          <w:iCs/>
        </w:rPr>
        <w:t xml:space="preserve"> the</w:t>
      </w:r>
      <w:r w:rsidR="002772C2" w:rsidRPr="00787ACE">
        <w:rPr>
          <w:iCs/>
        </w:rPr>
        <w:t xml:space="preserve"> FREEDOM-2</w:t>
      </w:r>
      <w:r w:rsidR="00104A8A" w:rsidRPr="00787ACE">
        <w:rPr>
          <w:iCs/>
        </w:rPr>
        <w:t xml:space="preserve"> trial</w:t>
      </w:r>
      <w:r w:rsidR="002772C2" w:rsidRPr="00787ACE">
        <w:rPr>
          <w:iCs/>
        </w:rPr>
        <w:t xml:space="preserve">. The PBAC </w:t>
      </w:r>
      <w:r w:rsidR="00D071DC" w:rsidRPr="00787ACE">
        <w:rPr>
          <w:iCs/>
        </w:rPr>
        <w:t xml:space="preserve">agreed with the evaluation and ESC that </w:t>
      </w:r>
      <w:r w:rsidR="00171230" w:rsidRPr="00787ACE">
        <w:rPr>
          <w:iCs/>
        </w:rPr>
        <w:t>while the structure of the model may be reasonable,</w:t>
      </w:r>
      <w:r w:rsidR="00941F55" w:rsidRPr="00787ACE">
        <w:t xml:space="preserve"> </w:t>
      </w:r>
      <w:r w:rsidR="00787ACE" w:rsidRPr="00787ACE">
        <w:rPr>
          <w:iCs/>
        </w:rPr>
        <w:t xml:space="preserve">it included </w:t>
      </w:r>
      <w:r w:rsidR="00941F55" w:rsidRPr="00787ACE">
        <w:rPr>
          <w:iCs/>
        </w:rPr>
        <w:t xml:space="preserve">incorrectly determined </w:t>
      </w:r>
      <w:proofErr w:type="spellStart"/>
      <w:r w:rsidR="00941F55" w:rsidRPr="00787ACE">
        <w:rPr>
          <w:iCs/>
        </w:rPr>
        <w:t>ruxolitinib</w:t>
      </w:r>
      <w:proofErr w:type="spellEnd"/>
      <w:r w:rsidR="00941F55" w:rsidRPr="00787ACE">
        <w:rPr>
          <w:iCs/>
        </w:rPr>
        <w:t xml:space="preserve"> drug and overnight hospital stay costs, treatment discontinuation assumptions in the BAT arm that were inconsistent with the trials, and unrealistic third-line therapy assumptions (</w:t>
      </w:r>
      <w:r w:rsidR="00787ACE">
        <w:rPr>
          <w:iCs/>
        </w:rPr>
        <w:fldChar w:fldCharType="begin" w:fldLock="1"/>
      </w:r>
      <w:r w:rsidR="00787ACE">
        <w:rPr>
          <w:iCs/>
        </w:rPr>
        <w:instrText xml:space="preserve"> REF _Ref191991849 \h </w:instrText>
      </w:r>
      <w:r w:rsidR="00787ACE">
        <w:rPr>
          <w:iCs/>
        </w:rPr>
      </w:r>
      <w:r w:rsidR="00787ACE">
        <w:rPr>
          <w:iCs/>
        </w:rPr>
        <w:fldChar w:fldCharType="separate"/>
      </w:r>
      <w:r w:rsidR="00A072A5" w:rsidRPr="003B6D82">
        <w:rPr>
          <w:iCs/>
        </w:rPr>
        <w:t xml:space="preserve">Table </w:t>
      </w:r>
      <w:r w:rsidR="00A072A5">
        <w:rPr>
          <w:iCs/>
          <w:noProof/>
        </w:rPr>
        <w:t>8</w:t>
      </w:r>
      <w:r w:rsidR="00787ACE">
        <w:rPr>
          <w:iCs/>
        </w:rPr>
        <w:fldChar w:fldCharType="end"/>
      </w:r>
      <w:r w:rsidR="00787ACE">
        <w:rPr>
          <w:iCs/>
        </w:rPr>
        <w:t xml:space="preserve"> </w:t>
      </w:r>
      <w:r w:rsidR="00941F55" w:rsidRPr="00787ACE">
        <w:rPr>
          <w:iCs/>
        </w:rPr>
        <w:t>refers). The Committee noted the Sponsor had agreed to evaluation-proposed</w:t>
      </w:r>
      <w:r w:rsidR="00941F55" w:rsidRPr="00941F55">
        <w:rPr>
          <w:iCs/>
        </w:rPr>
        <w:t xml:space="preserve"> changes to two of these (</w:t>
      </w:r>
      <w:proofErr w:type="spellStart"/>
      <w:r w:rsidR="00941F55" w:rsidRPr="00941F55">
        <w:rPr>
          <w:iCs/>
        </w:rPr>
        <w:t>ruxolitinib</w:t>
      </w:r>
      <w:proofErr w:type="spellEnd"/>
      <w:r w:rsidR="00941F55" w:rsidRPr="00941F55">
        <w:rPr>
          <w:iCs/>
        </w:rPr>
        <w:t xml:space="preserve"> and hospital costs), with a resultant base case ICER</w:t>
      </w:r>
      <w:r w:rsidR="00796476" w:rsidRPr="00D2543D">
        <w:rPr>
          <w:iCs/>
        </w:rPr>
        <w:t xml:space="preserve"> of </w:t>
      </w:r>
      <w:r w:rsidR="006D3ECB" w:rsidRPr="006D3ECB">
        <w:rPr>
          <w:iCs/>
        </w:rPr>
        <w:t>$155,000 to &lt; $255,000</w:t>
      </w:r>
      <w:r w:rsidR="00C41BD3" w:rsidRPr="00D2543D">
        <w:rPr>
          <w:iCs/>
        </w:rPr>
        <w:t xml:space="preserve"> per quality adjusted life year (QALY) gained</w:t>
      </w:r>
      <w:r w:rsidR="006D3C89">
        <w:rPr>
          <w:iCs/>
        </w:rPr>
        <w:t xml:space="preserve"> (b</w:t>
      </w:r>
      <w:r w:rsidR="006D3C89" w:rsidRPr="006D3C89">
        <w:rPr>
          <w:iCs/>
        </w:rPr>
        <w:t xml:space="preserve">ased on an assumed effective price of </w:t>
      </w:r>
      <w:proofErr w:type="spellStart"/>
      <w:r w:rsidR="006D3C89" w:rsidRPr="006D3C89">
        <w:rPr>
          <w:iCs/>
        </w:rPr>
        <w:t>ruxolitinib</w:t>
      </w:r>
      <w:proofErr w:type="spellEnd"/>
      <w:r w:rsidR="006D3C89" w:rsidRPr="006D3C89">
        <w:rPr>
          <w:iCs/>
        </w:rPr>
        <w:t>)</w:t>
      </w:r>
      <w:r w:rsidR="00871051" w:rsidRPr="00D2543D">
        <w:rPr>
          <w:iCs/>
        </w:rPr>
        <w:t>.</w:t>
      </w:r>
      <w:r w:rsidR="00714EDD" w:rsidRPr="00D2543D">
        <w:rPr>
          <w:iCs/>
        </w:rPr>
        <w:t xml:space="preserve"> </w:t>
      </w:r>
      <w:r w:rsidR="006C5F11" w:rsidRPr="00D2543D">
        <w:rPr>
          <w:iCs/>
        </w:rPr>
        <w:t xml:space="preserve">The PBAC considered there was uncertainty in the </w:t>
      </w:r>
      <w:r w:rsidR="00917E63" w:rsidRPr="00D2543D">
        <w:rPr>
          <w:iCs/>
        </w:rPr>
        <w:t>translation of the clinical trial results</w:t>
      </w:r>
      <w:r w:rsidR="00BF4991" w:rsidRPr="00D2543D">
        <w:rPr>
          <w:iCs/>
        </w:rPr>
        <w:t xml:space="preserve"> </w:t>
      </w:r>
      <w:r w:rsidR="009C6A02" w:rsidRPr="00D2543D">
        <w:rPr>
          <w:iCs/>
        </w:rPr>
        <w:t>due to</w:t>
      </w:r>
      <w:r w:rsidR="00BF4991" w:rsidRPr="00D2543D">
        <w:rPr>
          <w:iCs/>
        </w:rPr>
        <w:t xml:space="preserve"> the </w:t>
      </w:r>
      <w:r w:rsidR="00FF3274" w:rsidRPr="00D2543D">
        <w:rPr>
          <w:iCs/>
        </w:rPr>
        <w:t>substantial differences in the modelled treatment discontinuation</w:t>
      </w:r>
      <w:r w:rsidR="00D0181B" w:rsidRPr="00D2543D">
        <w:rPr>
          <w:iCs/>
        </w:rPr>
        <w:t xml:space="preserve"> compared to what was observed in the clinical trial</w:t>
      </w:r>
      <w:r w:rsidR="000039AC" w:rsidRPr="00D2543D">
        <w:rPr>
          <w:iCs/>
        </w:rPr>
        <w:t xml:space="preserve"> and </w:t>
      </w:r>
      <w:r w:rsidR="006F3E45" w:rsidRPr="00D2543D">
        <w:rPr>
          <w:iCs/>
        </w:rPr>
        <w:t xml:space="preserve">did not consider it appropriate to </w:t>
      </w:r>
      <w:r w:rsidR="00B9478C" w:rsidRPr="00D2543D">
        <w:rPr>
          <w:iCs/>
        </w:rPr>
        <w:t xml:space="preserve">assume only patients treated with </w:t>
      </w:r>
      <w:proofErr w:type="spellStart"/>
      <w:r w:rsidR="00B9478C" w:rsidRPr="00D2543D">
        <w:rPr>
          <w:iCs/>
        </w:rPr>
        <w:t>fedratinib</w:t>
      </w:r>
      <w:proofErr w:type="spellEnd"/>
      <w:r w:rsidR="00B9478C" w:rsidRPr="00D2543D">
        <w:rPr>
          <w:iCs/>
        </w:rPr>
        <w:t xml:space="preserve"> would receive third-line active treatment. </w:t>
      </w:r>
      <w:r w:rsidR="003E457F" w:rsidRPr="00D2543D">
        <w:rPr>
          <w:iCs/>
        </w:rPr>
        <w:t>The PBAC agreed with the ESC that the</w:t>
      </w:r>
      <w:r w:rsidR="000039AC" w:rsidRPr="00D2543D">
        <w:rPr>
          <w:iCs/>
        </w:rPr>
        <w:t xml:space="preserve"> </w:t>
      </w:r>
      <w:r w:rsidR="00714EDD" w:rsidRPr="00D2543D">
        <w:rPr>
          <w:iCs/>
        </w:rPr>
        <w:t xml:space="preserve">inadequate </w:t>
      </w:r>
      <w:r w:rsidR="00714EDD" w:rsidRPr="00A30B6D">
        <w:rPr>
          <w:iCs/>
        </w:rPr>
        <w:t xml:space="preserve">modelling of adverse </w:t>
      </w:r>
      <w:r w:rsidR="00714EDD" w:rsidRPr="00A30B6D">
        <w:rPr>
          <w:iCs/>
        </w:rPr>
        <w:lastRenderedPageBreak/>
        <w:t>events, as well as inappropriate treatment and disease management costs</w:t>
      </w:r>
      <w:r w:rsidR="00066A57" w:rsidRPr="00A30B6D">
        <w:rPr>
          <w:iCs/>
        </w:rPr>
        <w:t xml:space="preserve"> further increased the uncertainty in the modelled results.</w:t>
      </w:r>
      <w:bookmarkEnd w:id="48"/>
      <w:r w:rsidR="00066A57" w:rsidRPr="00A30B6D">
        <w:rPr>
          <w:iCs/>
        </w:rPr>
        <w:t xml:space="preserve"> </w:t>
      </w:r>
    </w:p>
    <w:p w14:paraId="0155F900" w14:textId="1C5DCE1C" w:rsidR="00DD030E" w:rsidRPr="00A30B6D" w:rsidRDefault="001907DC" w:rsidP="00592A0F">
      <w:pPr>
        <w:pStyle w:val="COMexecsummnumbered"/>
        <w:numPr>
          <w:ilvl w:val="1"/>
          <w:numId w:val="3"/>
        </w:numPr>
        <w:rPr>
          <w:iCs/>
        </w:rPr>
      </w:pPr>
      <w:r w:rsidRPr="00A30B6D">
        <w:rPr>
          <w:iCs/>
        </w:rPr>
        <w:t>The PBAC</w:t>
      </w:r>
      <w:r w:rsidR="003B4F77">
        <w:rPr>
          <w:iCs/>
        </w:rPr>
        <w:t xml:space="preserve"> agreed with the ESC and</w:t>
      </w:r>
      <w:r w:rsidRPr="00A30B6D">
        <w:rPr>
          <w:iCs/>
        </w:rPr>
        <w:t xml:space="preserve"> considered</w:t>
      </w:r>
      <w:r w:rsidR="00481AD1" w:rsidRPr="00A30B6D">
        <w:rPr>
          <w:iCs/>
        </w:rPr>
        <w:t xml:space="preserve"> </w:t>
      </w:r>
      <w:r w:rsidR="00481AD1" w:rsidRPr="00A30B6D">
        <w:rPr>
          <w:iCs/>
          <w:color w:val="000000" w:themeColor="text1"/>
        </w:rPr>
        <w:t>multivariate sensitivity analysis</w:t>
      </w:r>
      <w:r w:rsidR="008F389A" w:rsidRPr="00A30B6D">
        <w:rPr>
          <w:iCs/>
          <w:color w:val="000000" w:themeColor="text1"/>
        </w:rPr>
        <w:t xml:space="preserve"> 3</w:t>
      </w:r>
      <w:r w:rsidR="00E77FCA" w:rsidRPr="00A30B6D">
        <w:rPr>
          <w:iCs/>
          <w:color w:val="000000" w:themeColor="text1"/>
        </w:rPr>
        <w:t xml:space="preserve">, equating </w:t>
      </w:r>
      <w:r w:rsidR="00E77FCA" w:rsidRPr="00A30B6D">
        <w:rPr>
          <w:iCs/>
        </w:rPr>
        <w:t xml:space="preserve">to an ICER of </w:t>
      </w:r>
      <w:r w:rsidR="00EE1382" w:rsidRPr="00EE1382">
        <w:rPr>
          <w:iCs/>
        </w:rPr>
        <w:t>$255,000 to &lt; $355,000</w:t>
      </w:r>
      <w:r w:rsidR="00EE1382">
        <w:rPr>
          <w:iCs/>
        </w:rPr>
        <w:t xml:space="preserve"> </w:t>
      </w:r>
      <w:r w:rsidR="00E77FCA" w:rsidRPr="00A30B6D">
        <w:rPr>
          <w:iCs/>
        </w:rPr>
        <w:t xml:space="preserve">per QALY gained, </w:t>
      </w:r>
      <w:r w:rsidR="003B4F77">
        <w:rPr>
          <w:iCs/>
        </w:rPr>
        <w:t>to be the most</w:t>
      </w:r>
      <w:r w:rsidR="005E2E92">
        <w:rPr>
          <w:iCs/>
        </w:rPr>
        <w:t xml:space="preserve"> reliable</w:t>
      </w:r>
      <w:r w:rsidR="003A06ED" w:rsidRPr="00A30B6D">
        <w:rPr>
          <w:iCs/>
        </w:rPr>
        <w:t xml:space="preserve"> basis for assessing</w:t>
      </w:r>
      <w:r w:rsidR="005E2E92">
        <w:rPr>
          <w:iCs/>
        </w:rPr>
        <w:t xml:space="preserve"> the</w:t>
      </w:r>
      <w:r w:rsidR="003A06ED" w:rsidRPr="00A30B6D">
        <w:rPr>
          <w:iCs/>
        </w:rPr>
        <w:t xml:space="preserve"> cost-effectiveness of </w:t>
      </w:r>
      <w:proofErr w:type="spellStart"/>
      <w:r w:rsidR="00D5098D" w:rsidRPr="00A30B6D">
        <w:rPr>
          <w:iCs/>
        </w:rPr>
        <w:t>fedratinib</w:t>
      </w:r>
      <w:proofErr w:type="spellEnd"/>
      <w:r w:rsidR="00D5098D" w:rsidRPr="00A30B6D">
        <w:rPr>
          <w:iCs/>
        </w:rPr>
        <w:t xml:space="preserve"> compared to best available therapy</w:t>
      </w:r>
      <w:r w:rsidR="005E2E92">
        <w:rPr>
          <w:iCs/>
        </w:rPr>
        <w:t xml:space="preserve"> in for the proposed listing</w:t>
      </w:r>
      <w:r w:rsidR="00D5098D" w:rsidRPr="00A30B6D">
        <w:rPr>
          <w:iCs/>
        </w:rPr>
        <w:t xml:space="preserve">. </w:t>
      </w:r>
      <w:r w:rsidR="005E2E92">
        <w:rPr>
          <w:snapToGrid w:val="0"/>
        </w:rPr>
        <w:t xml:space="preserve">The Committee noted the Pre-PBAC Response </w:t>
      </w:r>
      <w:r w:rsidR="008D6671">
        <w:rPr>
          <w:snapToGrid w:val="0"/>
        </w:rPr>
        <w:t>disagreed wit</w:t>
      </w:r>
      <w:r w:rsidR="00D23B06">
        <w:rPr>
          <w:snapToGrid w:val="0"/>
        </w:rPr>
        <w:t>h</w:t>
      </w:r>
      <w:r w:rsidR="008D6671">
        <w:rPr>
          <w:snapToGrid w:val="0"/>
        </w:rPr>
        <w:t xml:space="preserve"> the ESC but provided no further alternative approaches, and considered that based on the available information, the </w:t>
      </w:r>
      <w:r w:rsidR="00DC71F2">
        <w:rPr>
          <w:snapToGrid w:val="0"/>
        </w:rPr>
        <w:t xml:space="preserve">listing of </w:t>
      </w:r>
      <w:proofErr w:type="spellStart"/>
      <w:r w:rsidR="00DC71F2">
        <w:rPr>
          <w:snapToGrid w:val="0"/>
        </w:rPr>
        <w:t>fedratinib</w:t>
      </w:r>
      <w:proofErr w:type="spellEnd"/>
      <w:r w:rsidR="00DC71F2">
        <w:rPr>
          <w:snapToGrid w:val="0"/>
        </w:rPr>
        <w:t xml:space="preserve"> would be unacceptably cost effective at the requested price, and that i</w:t>
      </w:r>
      <w:r w:rsidR="00672968">
        <w:rPr>
          <w:snapToGrid w:val="0"/>
        </w:rPr>
        <w:t>f a re-submission pursued a second</w:t>
      </w:r>
      <w:r w:rsidR="00487FBD">
        <w:rPr>
          <w:snapToGrid w:val="0"/>
        </w:rPr>
        <w:t>-</w:t>
      </w:r>
      <w:r w:rsidR="00672968">
        <w:rPr>
          <w:snapToGrid w:val="0"/>
        </w:rPr>
        <w:t>line listing, a substantial price reduction would be required for the listing to be cost effective.</w:t>
      </w:r>
      <w:r w:rsidR="00BF2244" w:rsidRPr="00A30B6D">
        <w:rPr>
          <w:iCs/>
        </w:rPr>
        <w:t xml:space="preserve"> </w:t>
      </w:r>
    </w:p>
    <w:p w14:paraId="7A5C2917" w14:textId="2DC8AD7F" w:rsidR="004F36A7" w:rsidRPr="00A30B6D" w:rsidRDefault="00E726D6" w:rsidP="008E2C4E">
      <w:pPr>
        <w:pStyle w:val="COMexecsummnumbered"/>
        <w:numPr>
          <w:ilvl w:val="1"/>
          <w:numId w:val="3"/>
        </w:numPr>
        <w:rPr>
          <w:iCs/>
        </w:rPr>
      </w:pPr>
      <w:bookmarkStart w:id="49" w:name="_Ref199884965"/>
      <w:r w:rsidRPr="00A30B6D">
        <w:rPr>
          <w:iCs/>
        </w:rPr>
        <w:t xml:space="preserve">The PBAC noted the </w:t>
      </w:r>
      <w:r w:rsidR="004F36A7" w:rsidRPr="00A30B6D">
        <w:rPr>
          <w:iCs/>
        </w:rPr>
        <w:t xml:space="preserve">submission used a market share approach to estimate the utilisation and financial impact of listing </w:t>
      </w:r>
      <w:proofErr w:type="spellStart"/>
      <w:r w:rsidR="004F36A7" w:rsidRPr="00A30B6D">
        <w:rPr>
          <w:iCs/>
        </w:rPr>
        <w:t>fedratinib</w:t>
      </w:r>
      <w:proofErr w:type="spellEnd"/>
      <w:r w:rsidR="004F36A7" w:rsidRPr="00A30B6D">
        <w:rPr>
          <w:iCs/>
        </w:rPr>
        <w:t xml:space="preserve"> on the PBS</w:t>
      </w:r>
      <w:r w:rsidR="006F3408" w:rsidRPr="00A30B6D">
        <w:rPr>
          <w:iCs/>
        </w:rPr>
        <w:t>. The PBAC consider</w:t>
      </w:r>
      <w:r w:rsidR="00C23D52">
        <w:rPr>
          <w:iCs/>
        </w:rPr>
        <w:t>ed</w:t>
      </w:r>
      <w:r w:rsidR="006F3408" w:rsidRPr="00A30B6D">
        <w:rPr>
          <w:iCs/>
        </w:rPr>
        <w:t xml:space="preserve"> </w:t>
      </w:r>
      <w:r w:rsidR="0097580F" w:rsidRPr="00A30B6D">
        <w:rPr>
          <w:iCs/>
        </w:rPr>
        <w:t xml:space="preserve">the approach </w:t>
      </w:r>
      <w:r w:rsidR="00761586" w:rsidRPr="00A30B6D">
        <w:rPr>
          <w:iCs/>
        </w:rPr>
        <w:t>underestimated</w:t>
      </w:r>
      <w:r w:rsidR="00D14FC5" w:rsidRPr="00A30B6D">
        <w:rPr>
          <w:iCs/>
        </w:rPr>
        <w:t xml:space="preserve"> the market</w:t>
      </w:r>
      <w:r w:rsidR="006F205A" w:rsidRPr="00A30B6D">
        <w:rPr>
          <w:iCs/>
        </w:rPr>
        <w:t xml:space="preserve">, as it failed to account for market expansion with the </w:t>
      </w:r>
      <w:r w:rsidR="0024347C">
        <w:rPr>
          <w:iCs/>
        </w:rPr>
        <w:t xml:space="preserve">recent </w:t>
      </w:r>
      <w:r w:rsidR="006F205A" w:rsidRPr="00A30B6D">
        <w:rPr>
          <w:iCs/>
        </w:rPr>
        <w:t xml:space="preserve">PBS listing of </w:t>
      </w:r>
      <w:proofErr w:type="spellStart"/>
      <w:r w:rsidR="00303B70" w:rsidRPr="00A30B6D">
        <w:rPr>
          <w:bCs/>
          <w:iCs/>
          <w:snapToGrid w:val="0"/>
          <w:lang w:eastAsia="en-US"/>
        </w:rPr>
        <w:t>momelotinib</w:t>
      </w:r>
      <w:proofErr w:type="spellEnd"/>
      <w:r w:rsidR="001F6169" w:rsidRPr="00A30B6D">
        <w:rPr>
          <w:bCs/>
          <w:iCs/>
          <w:snapToGrid w:val="0"/>
          <w:lang w:eastAsia="en-US"/>
        </w:rPr>
        <w:t xml:space="preserve"> and </w:t>
      </w:r>
      <w:r w:rsidR="00AB2046" w:rsidRPr="00A30B6D">
        <w:rPr>
          <w:bCs/>
          <w:iCs/>
          <w:snapToGrid w:val="0"/>
          <w:lang w:eastAsia="en-US"/>
        </w:rPr>
        <w:t xml:space="preserve">utilisation of </w:t>
      </w:r>
      <w:r w:rsidR="00C80A11" w:rsidRPr="00A30B6D">
        <w:rPr>
          <w:bCs/>
          <w:iCs/>
          <w:snapToGrid w:val="0"/>
          <w:lang w:eastAsia="en-US"/>
        </w:rPr>
        <w:t>non-JAK</w:t>
      </w:r>
      <w:r w:rsidR="001F6169" w:rsidRPr="00A30B6D">
        <w:rPr>
          <w:bCs/>
          <w:iCs/>
          <w:snapToGrid w:val="0"/>
          <w:lang w:eastAsia="en-US"/>
        </w:rPr>
        <w:t>-</w:t>
      </w:r>
      <w:r w:rsidR="0077707E" w:rsidRPr="00A30B6D">
        <w:rPr>
          <w:bCs/>
          <w:iCs/>
          <w:snapToGrid w:val="0"/>
          <w:lang w:eastAsia="en-US"/>
        </w:rPr>
        <w:t>inhibitor</w:t>
      </w:r>
      <w:r w:rsidR="001F6169" w:rsidRPr="00A30B6D">
        <w:rPr>
          <w:bCs/>
          <w:iCs/>
          <w:snapToGrid w:val="0"/>
          <w:lang w:eastAsia="en-US"/>
        </w:rPr>
        <w:t xml:space="preserve"> </w:t>
      </w:r>
      <w:r w:rsidR="0077707E" w:rsidRPr="00A30B6D">
        <w:rPr>
          <w:bCs/>
          <w:iCs/>
          <w:snapToGrid w:val="0"/>
          <w:lang w:eastAsia="en-US"/>
        </w:rPr>
        <w:t xml:space="preserve">therapies. It also failed to include the </w:t>
      </w:r>
      <w:r w:rsidR="001F6169" w:rsidRPr="00A30B6D">
        <w:rPr>
          <w:iCs/>
        </w:rPr>
        <w:t xml:space="preserve">claimed increased duration of JAK inhibitor therapy associated with </w:t>
      </w:r>
      <w:proofErr w:type="spellStart"/>
      <w:r w:rsidR="001F6169" w:rsidRPr="00A30B6D">
        <w:rPr>
          <w:iCs/>
        </w:rPr>
        <w:t>fedratinib</w:t>
      </w:r>
      <w:proofErr w:type="spellEnd"/>
      <w:r w:rsidR="0091306D" w:rsidRPr="00A30B6D">
        <w:rPr>
          <w:iCs/>
        </w:rPr>
        <w:t xml:space="preserve"> and includes un</w:t>
      </w:r>
      <w:r w:rsidR="007F4B8F" w:rsidRPr="00A30B6D">
        <w:rPr>
          <w:iCs/>
        </w:rPr>
        <w:t xml:space="preserve">certain assumptions about the </w:t>
      </w:r>
      <w:r w:rsidR="00717D96" w:rsidRPr="00A30B6D">
        <w:rPr>
          <w:iCs/>
        </w:rPr>
        <w:t>proportion</w:t>
      </w:r>
      <w:r w:rsidR="007F4B8F" w:rsidRPr="00A30B6D">
        <w:rPr>
          <w:iCs/>
        </w:rPr>
        <w:t xml:space="preserve"> of patients who are resistant, refractory or intolerant to </w:t>
      </w:r>
      <w:proofErr w:type="spellStart"/>
      <w:r w:rsidR="007F4B8F" w:rsidRPr="00A30B6D">
        <w:rPr>
          <w:iCs/>
        </w:rPr>
        <w:t>ruxolitinib</w:t>
      </w:r>
      <w:proofErr w:type="spellEnd"/>
      <w:r w:rsidR="001F6169" w:rsidRPr="00A30B6D">
        <w:rPr>
          <w:iCs/>
        </w:rPr>
        <w:t>.</w:t>
      </w:r>
      <w:r w:rsidR="00F10C90" w:rsidRPr="00A30B6D">
        <w:t xml:space="preserve"> The PBAC considered th</w:t>
      </w:r>
      <w:r w:rsidR="00AA7B9C">
        <w:t>at if a re-submission requested listing in a second</w:t>
      </w:r>
      <w:r w:rsidR="00487FBD">
        <w:t>-</w:t>
      </w:r>
      <w:r w:rsidR="00AA7B9C">
        <w:t>line setting, the</w:t>
      </w:r>
      <w:r w:rsidR="00F10C90" w:rsidRPr="00A30B6D">
        <w:t xml:space="preserve"> financial estimates would require revision </w:t>
      </w:r>
      <w:r w:rsidR="007B6DF8" w:rsidRPr="00A30B6D">
        <w:t>consistent with the issues outlined</w:t>
      </w:r>
      <w:r w:rsidR="00F10C90" w:rsidRPr="00A30B6D">
        <w:t xml:space="preserve"> in paragraph </w:t>
      </w:r>
      <w:r w:rsidR="00F10C90" w:rsidRPr="00A30B6D">
        <w:fldChar w:fldCharType="begin" w:fldLock="1"/>
      </w:r>
      <w:r w:rsidR="00F10C90" w:rsidRPr="00A30B6D">
        <w:instrText xml:space="preserve"> REF _Ref199884027 \r \h </w:instrText>
      </w:r>
      <w:r w:rsidR="00A30B6D">
        <w:instrText xml:space="preserve"> \* MERGEFORMAT </w:instrText>
      </w:r>
      <w:r w:rsidR="00F10C90" w:rsidRPr="00A30B6D">
        <w:fldChar w:fldCharType="separate"/>
      </w:r>
      <w:r w:rsidR="00A072A5">
        <w:t>6.61</w:t>
      </w:r>
      <w:r w:rsidR="00F10C90" w:rsidRPr="00A30B6D">
        <w:fldChar w:fldCharType="end"/>
      </w:r>
      <w:r w:rsidR="007B6DF8" w:rsidRPr="00A30B6D">
        <w:t>.</w:t>
      </w:r>
      <w:bookmarkEnd w:id="49"/>
      <w:r w:rsidR="007B6DF8" w:rsidRPr="00A30B6D">
        <w:t xml:space="preserve"> </w:t>
      </w:r>
    </w:p>
    <w:p w14:paraId="73D7A7FC" w14:textId="2B0278A6" w:rsidR="00651F51" w:rsidRPr="00A30B6D" w:rsidRDefault="00651F51" w:rsidP="008E2C4E">
      <w:pPr>
        <w:pStyle w:val="COMexecsummnumbered"/>
        <w:numPr>
          <w:ilvl w:val="1"/>
          <w:numId w:val="3"/>
        </w:numPr>
        <w:rPr>
          <w:iCs/>
        </w:rPr>
      </w:pPr>
      <w:r w:rsidRPr="00A30B6D">
        <w:t xml:space="preserve">The PBAC considered a resubmission for </w:t>
      </w:r>
      <w:proofErr w:type="spellStart"/>
      <w:r w:rsidRPr="00A30B6D">
        <w:t>fedratinib</w:t>
      </w:r>
      <w:proofErr w:type="spellEnd"/>
      <w:r w:rsidRPr="00A30B6D">
        <w:t xml:space="preserve"> should address the following issues:</w:t>
      </w:r>
    </w:p>
    <w:p w14:paraId="54D4632A" w14:textId="7BA76B7C" w:rsidR="00C163FA" w:rsidRDefault="00C163FA" w:rsidP="0022400A">
      <w:pPr>
        <w:pStyle w:val="COMexecsummnumbered"/>
        <w:numPr>
          <w:ilvl w:val="0"/>
          <w:numId w:val="35"/>
        </w:numPr>
        <w:ind w:left="1134"/>
        <w:rPr>
          <w:iCs/>
        </w:rPr>
      </w:pPr>
      <w:r>
        <w:rPr>
          <w:iCs/>
        </w:rPr>
        <w:t>If a first</w:t>
      </w:r>
      <w:r w:rsidR="007468A2">
        <w:rPr>
          <w:iCs/>
        </w:rPr>
        <w:t>-</w:t>
      </w:r>
      <w:r>
        <w:rPr>
          <w:iCs/>
        </w:rPr>
        <w:t>line or line agnostic listing is sought (noting the PBAC’s preference for this option), a new submission</w:t>
      </w:r>
      <w:r w:rsidR="007E441E">
        <w:rPr>
          <w:iCs/>
        </w:rPr>
        <w:t xml:space="preserve"> based primarily on the 1</w:t>
      </w:r>
      <w:r w:rsidR="007E441E" w:rsidRPr="007E441E">
        <w:rPr>
          <w:iCs/>
          <w:vertAlign w:val="superscript"/>
        </w:rPr>
        <w:t>st</w:t>
      </w:r>
      <w:r w:rsidR="007E441E">
        <w:rPr>
          <w:iCs/>
        </w:rPr>
        <w:t xml:space="preserve"> line evidence from the JAKARTA trial (with the FREEDOM-2 evidence supportive of use in later line therapy and in patients who are intolerant or do not respond/lose response to </w:t>
      </w:r>
      <w:proofErr w:type="spellStart"/>
      <w:r w:rsidR="007E441E">
        <w:rPr>
          <w:iCs/>
        </w:rPr>
        <w:t>ruxolitinib</w:t>
      </w:r>
      <w:proofErr w:type="spellEnd"/>
      <w:proofErr w:type="gramStart"/>
      <w:r w:rsidR="007E441E">
        <w:rPr>
          <w:iCs/>
        </w:rPr>
        <w:t>)</w:t>
      </w:r>
      <w:r w:rsidR="00CD4456">
        <w:rPr>
          <w:iCs/>
        </w:rPr>
        <w:t>;</w:t>
      </w:r>
      <w:proofErr w:type="gramEnd"/>
    </w:p>
    <w:p w14:paraId="79D99051" w14:textId="60D36603" w:rsidR="00CD4456" w:rsidRDefault="00CD4456" w:rsidP="0022400A">
      <w:pPr>
        <w:pStyle w:val="COMexecsummnumbered"/>
        <w:numPr>
          <w:ilvl w:val="0"/>
          <w:numId w:val="35"/>
        </w:numPr>
        <w:ind w:left="1134"/>
        <w:rPr>
          <w:iCs/>
        </w:rPr>
      </w:pPr>
      <w:r>
        <w:rPr>
          <w:iCs/>
        </w:rPr>
        <w:t>If a second</w:t>
      </w:r>
      <w:r w:rsidR="00487FBD">
        <w:rPr>
          <w:iCs/>
        </w:rPr>
        <w:t>-</w:t>
      </w:r>
      <w:r>
        <w:rPr>
          <w:iCs/>
        </w:rPr>
        <w:t>line listing is sought:</w:t>
      </w:r>
    </w:p>
    <w:p w14:paraId="7A795250" w14:textId="52BC1FB0" w:rsidR="00DD48EC" w:rsidRPr="00A30B6D" w:rsidRDefault="00DD48EC" w:rsidP="0022400A">
      <w:pPr>
        <w:pStyle w:val="COMexecsummnumbered"/>
        <w:numPr>
          <w:ilvl w:val="1"/>
          <w:numId w:val="35"/>
        </w:numPr>
        <w:ind w:left="1560"/>
        <w:rPr>
          <w:iCs/>
        </w:rPr>
      </w:pPr>
      <w:r>
        <w:rPr>
          <w:iCs/>
        </w:rPr>
        <w:t xml:space="preserve">Revised </w:t>
      </w:r>
      <w:r w:rsidR="00FA0BC0">
        <w:rPr>
          <w:iCs/>
        </w:rPr>
        <w:t>PBS population</w:t>
      </w:r>
      <w:r w:rsidR="00AA6E6C">
        <w:rPr>
          <w:iCs/>
        </w:rPr>
        <w:t xml:space="preserve"> to include </w:t>
      </w:r>
      <w:r w:rsidR="00FA0BC0">
        <w:t xml:space="preserve">a line-agnostic PBS listing </w:t>
      </w:r>
      <w:r w:rsidR="00AA6E6C">
        <w:t xml:space="preserve">as outlined in </w:t>
      </w:r>
      <w:r w:rsidR="00E66BAF">
        <w:t xml:space="preserve">paragraph </w:t>
      </w:r>
      <w:r w:rsidR="00E66BAF">
        <w:fldChar w:fldCharType="begin" w:fldLock="1"/>
      </w:r>
      <w:r w:rsidR="00E66BAF">
        <w:instrText xml:space="preserve"> REF _Ref199935056 \r \h </w:instrText>
      </w:r>
      <w:r w:rsidR="00E66BAF">
        <w:fldChar w:fldCharType="separate"/>
      </w:r>
      <w:r w:rsidR="00E66BAF">
        <w:t>7.6</w:t>
      </w:r>
      <w:r w:rsidR="00E66BAF">
        <w:fldChar w:fldCharType="end"/>
      </w:r>
      <w:r w:rsidR="00CD4456">
        <w:t>;</w:t>
      </w:r>
    </w:p>
    <w:p w14:paraId="24FED1D7" w14:textId="07B072EE" w:rsidR="00A30B6D" w:rsidRDefault="00A30B6D" w:rsidP="0022400A">
      <w:pPr>
        <w:pStyle w:val="COMexecsummnumbered"/>
        <w:numPr>
          <w:ilvl w:val="1"/>
          <w:numId w:val="35"/>
        </w:numPr>
        <w:ind w:left="1560"/>
        <w:rPr>
          <w:iCs/>
        </w:rPr>
      </w:pPr>
      <w:r>
        <w:t xml:space="preserve">Revised economic analysis </w:t>
      </w:r>
      <w:r w:rsidR="007C60DD">
        <w:t xml:space="preserve">determining a cost-effective price </w:t>
      </w:r>
      <w:r w:rsidR="00E4752F">
        <w:t xml:space="preserve">on a comparable basis to </w:t>
      </w:r>
      <w:proofErr w:type="spellStart"/>
      <w:r w:rsidR="00717D96" w:rsidRPr="00A30B6D">
        <w:rPr>
          <w:iCs/>
        </w:rPr>
        <w:t>ruxolitinib</w:t>
      </w:r>
      <w:proofErr w:type="spellEnd"/>
      <w:r w:rsidR="00717D96">
        <w:t xml:space="preserve"> </w:t>
      </w:r>
      <w:r w:rsidR="00DC5595">
        <w:t>as outline</w:t>
      </w:r>
      <w:r w:rsidR="00CD4456">
        <w:t>d</w:t>
      </w:r>
      <w:r w:rsidR="00DC5595">
        <w:t xml:space="preserve"> in paragraphs </w:t>
      </w:r>
      <w:r w:rsidR="00DF55C9">
        <w:fldChar w:fldCharType="begin" w:fldLock="1"/>
      </w:r>
      <w:r w:rsidR="00DF55C9">
        <w:instrText xml:space="preserve"> REF _Ref199925810 \r \h </w:instrText>
      </w:r>
      <w:r w:rsidR="00DF55C9">
        <w:fldChar w:fldCharType="separate"/>
      </w:r>
      <w:r w:rsidR="00A072A5">
        <w:t>7.10</w:t>
      </w:r>
      <w:r w:rsidR="00DF55C9">
        <w:fldChar w:fldCharType="end"/>
      </w:r>
      <w:r w:rsidR="00DF55C9">
        <w:t xml:space="preserve"> to</w:t>
      </w:r>
      <w:r w:rsidR="007C27C9">
        <w:t xml:space="preserve"> </w:t>
      </w:r>
      <w:r w:rsidR="007C27C9">
        <w:fldChar w:fldCharType="begin" w:fldLock="1"/>
      </w:r>
      <w:r w:rsidR="007C27C9">
        <w:instrText xml:space="preserve"> REF _Ref199884965 \r \h </w:instrText>
      </w:r>
      <w:r w:rsidR="007C27C9">
        <w:fldChar w:fldCharType="separate"/>
      </w:r>
      <w:r w:rsidR="00A072A5">
        <w:t>7.12</w:t>
      </w:r>
      <w:r w:rsidR="007C27C9">
        <w:fldChar w:fldCharType="end"/>
      </w:r>
      <w:r w:rsidR="00CD4456">
        <w:t>; and</w:t>
      </w:r>
    </w:p>
    <w:p w14:paraId="6BB9B2FF" w14:textId="02B4B15A" w:rsidR="00763347" w:rsidRPr="004A69C6" w:rsidRDefault="004A69C6" w:rsidP="0022400A">
      <w:pPr>
        <w:pStyle w:val="COMexecsummnumbered"/>
        <w:numPr>
          <w:ilvl w:val="1"/>
          <w:numId w:val="35"/>
        </w:numPr>
        <w:ind w:left="1560"/>
        <w:rPr>
          <w:iCs/>
        </w:rPr>
      </w:pPr>
      <w:r w:rsidRPr="004A69C6">
        <w:rPr>
          <w:iCs/>
        </w:rPr>
        <w:t>Revision of the financial estimates as outlined in</w:t>
      </w:r>
      <w:r w:rsidR="00CD4456">
        <w:rPr>
          <w:iCs/>
        </w:rPr>
        <w:t xml:space="preserve"> paragraph</w:t>
      </w:r>
      <w:r w:rsidRPr="004A69C6">
        <w:rPr>
          <w:iCs/>
        </w:rPr>
        <w:t xml:space="preserve"> </w:t>
      </w:r>
      <w:r w:rsidR="00DF55C9">
        <w:rPr>
          <w:iCs/>
        </w:rPr>
        <w:fldChar w:fldCharType="begin" w:fldLock="1"/>
      </w:r>
      <w:r w:rsidR="00DF55C9">
        <w:rPr>
          <w:iCs/>
        </w:rPr>
        <w:instrText xml:space="preserve"> REF _Ref199884965 \r \h </w:instrText>
      </w:r>
      <w:r w:rsidR="00DF55C9">
        <w:rPr>
          <w:iCs/>
        </w:rPr>
      </w:r>
      <w:r w:rsidR="00DF55C9">
        <w:rPr>
          <w:iCs/>
        </w:rPr>
        <w:fldChar w:fldCharType="separate"/>
      </w:r>
      <w:r w:rsidR="00A072A5">
        <w:rPr>
          <w:iCs/>
        </w:rPr>
        <w:t>7.12</w:t>
      </w:r>
      <w:r w:rsidR="00DF55C9">
        <w:rPr>
          <w:iCs/>
        </w:rPr>
        <w:fldChar w:fldCharType="end"/>
      </w:r>
    </w:p>
    <w:p w14:paraId="09FC4C64" w14:textId="57885C3A" w:rsidR="00763347" w:rsidRPr="00651F51" w:rsidRDefault="00763347" w:rsidP="00763347">
      <w:pPr>
        <w:pStyle w:val="COMexecsummnumbered"/>
        <w:numPr>
          <w:ilvl w:val="0"/>
          <w:numId w:val="0"/>
        </w:numPr>
        <w:ind w:left="720"/>
        <w:rPr>
          <w:iCs/>
        </w:rPr>
      </w:pPr>
      <w:r>
        <w:t xml:space="preserve">The resubmission may be lodged at any future standard due date for PBAC submission using the standard re-entry pathway. </w:t>
      </w:r>
    </w:p>
    <w:p w14:paraId="5627D268" w14:textId="35C507FA" w:rsidR="00A6055D" w:rsidRPr="00817E9D" w:rsidRDefault="00482102" w:rsidP="00D26F8F">
      <w:pPr>
        <w:pStyle w:val="COMexecsummnumbered"/>
        <w:numPr>
          <w:ilvl w:val="1"/>
          <w:numId w:val="3"/>
        </w:numPr>
        <w:rPr>
          <w:snapToGrid w:val="0"/>
          <w:lang w:val="en-GB"/>
        </w:rPr>
      </w:pPr>
      <w:r w:rsidRPr="00C76AA4">
        <w:t>The PBAC noted that this submission is eligible for an Independent Review</w:t>
      </w:r>
      <w:r w:rsidR="001277AB">
        <w:t>.</w:t>
      </w:r>
    </w:p>
    <w:p w14:paraId="4C4C096A" w14:textId="77777777" w:rsidR="00663684" w:rsidRPr="00E2094C" w:rsidRDefault="00663684" w:rsidP="00735987">
      <w:pPr>
        <w:keepNext/>
        <w:spacing w:before="240"/>
        <w:rPr>
          <w:rFonts w:asciiTheme="minorHAnsi" w:hAnsiTheme="minorHAnsi"/>
          <w:b/>
          <w:bCs/>
          <w:snapToGrid w:val="0"/>
          <w:lang w:val="en-GB" w:eastAsia="en-US"/>
        </w:rPr>
      </w:pPr>
      <w:r w:rsidRPr="00E2094C">
        <w:rPr>
          <w:rFonts w:asciiTheme="minorHAnsi" w:hAnsiTheme="minorHAnsi"/>
          <w:b/>
          <w:bCs/>
          <w:snapToGrid w:val="0"/>
          <w:lang w:val="en-GB" w:eastAsia="en-US"/>
        </w:rPr>
        <w:lastRenderedPageBreak/>
        <w:t>Outcome:</w:t>
      </w:r>
    </w:p>
    <w:p w14:paraId="1C121355" w14:textId="65BB1642" w:rsidR="00663684" w:rsidRPr="00E2094C" w:rsidRDefault="00663684" w:rsidP="00663684">
      <w:pPr>
        <w:spacing w:after="120"/>
        <w:rPr>
          <w:rFonts w:asciiTheme="minorHAnsi" w:hAnsiTheme="minorHAnsi"/>
          <w:bCs/>
          <w:snapToGrid w:val="0"/>
          <w:lang w:val="en-GB" w:eastAsia="en-US"/>
        </w:rPr>
      </w:pPr>
      <w:r w:rsidRPr="00E2094C">
        <w:rPr>
          <w:rFonts w:asciiTheme="minorHAnsi" w:hAnsiTheme="minorHAnsi"/>
          <w:bCs/>
          <w:snapToGrid w:val="0"/>
          <w:lang w:val="en-GB" w:eastAsia="en-US"/>
        </w:rPr>
        <w:t xml:space="preserve">Not recommended </w:t>
      </w:r>
    </w:p>
    <w:p w14:paraId="1FF76E52" w14:textId="77777777" w:rsidR="00D96B00" w:rsidRPr="00D96B00" w:rsidRDefault="00D96B00" w:rsidP="00817E9D">
      <w:pPr>
        <w:keepNext/>
        <w:numPr>
          <w:ilvl w:val="0"/>
          <w:numId w:val="1"/>
        </w:numPr>
        <w:spacing w:before="240" w:after="120"/>
        <w:jc w:val="left"/>
        <w:outlineLvl w:val="0"/>
        <w:rPr>
          <w:rFonts w:asciiTheme="minorHAnsi" w:hAnsiTheme="minorHAnsi"/>
          <w:b/>
          <w:snapToGrid w:val="0"/>
          <w:sz w:val="32"/>
          <w:szCs w:val="32"/>
        </w:rPr>
      </w:pPr>
      <w:r w:rsidRPr="00D96B00">
        <w:rPr>
          <w:rFonts w:asciiTheme="minorHAnsi" w:hAnsiTheme="minorHAnsi"/>
          <w:b/>
          <w:snapToGrid w:val="0"/>
          <w:sz w:val="32"/>
          <w:szCs w:val="32"/>
        </w:rPr>
        <w:t>Context for Decision</w:t>
      </w:r>
    </w:p>
    <w:p w14:paraId="7250053F" w14:textId="77777777" w:rsidR="00D96B00" w:rsidRPr="00D96B00" w:rsidRDefault="00D96B00" w:rsidP="00D96B00">
      <w:pPr>
        <w:spacing w:after="120"/>
        <w:ind w:left="720"/>
        <w:rPr>
          <w:rFonts w:cs="Calibri"/>
          <w:bCs/>
          <w:szCs w:val="22"/>
          <w:lang w:val="en-GB"/>
        </w:rPr>
      </w:pPr>
      <w:r w:rsidRPr="00D96B00">
        <w:rPr>
          <w:rFonts w:cs="Calibri"/>
          <w:bCs/>
          <w:szCs w:val="22"/>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2E62A57" w14:textId="73B54962" w:rsidR="00D96B00" w:rsidRPr="00D96B00" w:rsidRDefault="00D96B00" w:rsidP="00817E9D">
      <w:pPr>
        <w:keepNext/>
        <w:numPr>
          <w:ilvl w:val="0"/>
          <w:numId w:val="1"/>
        </w:numPr>
        <w:spacing w:before="240" w:after="120"/>
        <w:jc w:val="left"/>
        <w:outlineLvl w:val="0"/>
        <w:rPr>
          <w:rFonts w:asciiTheme="minorHAnsi" w:hAnsiTheme="minorHAnsi"/>
          <w:b/>
          <w:snapToGrid w:val="0"/>
          <w:sz w:val="32"/>
          <w:szCs w:val="32"/>
        </w:rPr>
      </w:pPr>
      <w:r w:rsidRPr="00D96B00">
        <w:rPr>
          <w:rFonts w:asciiTheme="minorHAnsi" w:hAnsiTheme="minorHAnsi"/>
          <w:b/>
          <w:snapToGrid w:val="0"/>
          <w:sz w:val="32"/>
          <w:szCs w:val="32"/>
        </w:rPr>
        <w:t>Sponsor’s Comment</w:t>
      </w:r>
    </w:p>
    <w:p w14:paraId="7C7C65F6" w14:textId="6B52CE98" w:rsidR="00663684" w:rsidRPr="003E0794" w:rsidRDefault="00D96B00" w:rsidP="009E0A15">
      <w:pPr>
        <w:spacing w:after="120"/>
        <w:ind w:firstLine="720"/>
        <w:rPr>
          <w:rFonts w:asciiTheme="minorHAnsi" w:hAnsiTheme="minorHAnsi"/>
          <w:b/>
          <w:bCs/>
          <w:snapToGrid w:val="0"/>
          <w:highlight w:val="yellow"/>
          <w:lang w:eastAsia="en-US"/>
        </w:rPr>
      </w:pPr>
      <w:r w:rsidRPr="00D96B00">
        <w:rPr>
          <w:rFonts w:cs="Calibri"/>
          <w:bCs/>
          <w:szCs w:val="22"/>
          <w:lang w:eastAsia="en-US"/>
        </w:rPr>
        <w:t>The sponsor had no comment</w:t>
      </w:r>
      <w:bookmarkEnd w:id="45"/>
      <w:bookmarkEnd w:id="46"/>
      <w:r w:rsidR="005273DF">
        <w:rPr>
          <w:rFonts w:cs="Calibri"/>
          <w:bCs/>
          <w:szCs w:val="22"/>
          <w:lang w:eastAsia="en-US"/>
        </w:rPr>
        <w:t>.</w:t>
      </w:r>
    </w:p>
    <w:sectPr w:rsidR="00663684" w:rsidRPr="003E0794" w:rsidSect="00E01D1E">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917C7" w14:textId="77777777" w:rsidR="00DD2AEE" w:rsidRDefault="00DD2AEE" w:rsidP="00124A51">
      <w:r>
        <w:separator/>
      </w:r>
    </w:p>
    <w:p w14:paraId="2B620C61" w14:textId="77777777" w:rsidR="00DD2AEE" w:rsidRDefault="00DD2AEE"/>
    <w:p w14:paraId="6B81ABF8" w14:textId="77777777" w:rsidR="00DD2AEE" w:rsidRDefault="00DD2AEE"/>
    <w:p w14:paraId="68AF34EA" w14:textId="77777777" w:rsidR="00DD2AEE" w:rsidRDefault="00DD2AEE"/>
  </w:endnote>
  <w:endnote w:type="continuationSeparator" w:id="0">
    <w:p w14:paraId="71789327" w14:textId="77777777" w:rsidR="00DD2AEE" w:rsidRDefault="00DD2AEE" w:rsidP="00124A51">
      <w:r>
        <w:continuationSeparator/>
      </w:r>
    </w:p>
    <w:p w14:paraId="39B23CD3" w14:textId="77777777" w:rsidR="00DD2AEE" w:rsidRDefault="00DD2AEE"/>
    <w:p w14:paraId="05D435A9" w14:textId="77777777" w:rsidR="00DD2AEE" w:rsidRDefault="00DD2AEE"/>
    <w:p w14:paraId="391B410D" w14:textId="77777777" w:rsidR="00DD2AEE" w:rsidRDefault="00DD2AEE"/>
  </w:endnote>
  <w:endnote w:type="continuationNotice" w:id="1">
    <w:p w14:paraId="17A8F9EB" w14:textId="77777777" w:rsidR="00DD2AEE" w:rsidRDefault="00DD2A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9B594" w14:textId="7B76F93C" w:rsidR="00733FBC" w:rsidRDefault="00520E8F">
    <w:pPr>
      <w:pStyle w:val="Footer"/>
    </w:pPr>
    <w:r>
      <w:rPr>
        <w:noProof/>
      </w:rPr>
      <mc:AlternateContent>
        <mc:Choice Requires="wps">
          <w:drawing>
            <wp:anchor distT="0" distB="0" distL="0" distR="0" simplePos="0" relativeHeight="251674624" behindDoc="0" locked="0" layoutInCell="1" allowOverlap="1" wp14:anchorId="1E446644" wp14:editId="207B4765">
              <wp:simplePos x="635" y="635"/>
              <wp:positionH relativeFrom="page">
                <wp:align>center</wp:align>
              </wp:positionH>
              <wp:positionV relativeFrom="page">
                <wp:align>bottom</wp:align>
              </wp:positionV>
              <wp:extent cx="551815" cy="376555"/>
              <wp:effectExtent l="0" t="0" r="635" b="0"/>
              <wp:wrapNone/>
              <wp:docPr id="139490730"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4BA6655" w14:textId="6DF4A205" w:rsidR="00520E8F" w:rsidRPr="00520E8F" w:rsidRDefault="00520E8F" w:rsidP="00520E8F">
                          <w:pPr>
                            <w:rPr>
                              <w:rFonts w:eastAsia="Calibri" w:cs="Calibri"/>
                              <w:noProof/>
                              <w:color w:val="FF0000"/>
                            </w:rPr>
                          </w:pPr>
                          <w:r w:rsidRPr="00520E8F">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446644" id="_x0000_t202" coordsize="21600,21600" o:spt="202" path="m,l,21600r21600,l21600,xe">
              <v:stroke joinstyle="miter"/>
              <v:path gradientshapeok="t" o:connecttype="rect"/>
            </v:shapetype>
            <v:shape id="Text Box 17" o:spid="_x0000_s1028" type="#_x0000_t202" alt="OFFICIAL" style="position:absolute;left:0;text-align:left;margin-left:0;margin-top:0;width:43.45pt;height:29.6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34BA6655" w14:textId="6DF4A205" w:rsidR="00520E8F" w:rsidRPr="00520E8F" w:rsidRDefault="00520E8F" w:rsidP="00520E8F">
                    <w:pPr>
                      <w:rPr>
                        <w:rFonts w:eastAsia="Calibri" w:cs="Calibri"/>
                        <w:noProof/>
                        <w:color w:val="FF0000"/>
                      </w:rPr>
                    </w:pPr>
                    <w:r w:rsidRPr="00520E8F">
                      <w:rPr>
                        <w:rFonts w:eastAsia="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F31E2" w14:textId="14F2CBBC" w:rsidR="00531015" w:rsidRDefault="00520E8F" w:rsidP="00753B29">
    <w:pPr>
      <w:jc w:val="center"/>
    </w:pPr>
    <w:r>
      <w:rPr>
        <w:noProof/>
      </w:rPr>
      <mc:AlternateContent>
        <mc:Choice Requires="wps">
          <w:drawing>
            <wp:anchor distT="0" distB="0" distL="0" distR="0" simplePos="0" relativeHeight="251675648" behindDoc="0" locked="0" layoutInCell="1" allowOverlap="1" wp14:anchorId="417E9B40" wp14:editId="3EDEE103">
              <wp:simplePos x="635" y="635"/>
              <wp:positionH relativeFrom="page">
                <wp:align>center</wp:align>
              </wp:positionH>
              <wp:positionV relativeFrom="page">
                <wp:align>bottom</wp:align>
              </wp:positionV>
              <wp:extent cx="551815" cy="376555"/>
              <wp:effectExtent l="0" t="0" r="635" b="0"/>
              <wp:wrapNone/>
              <wp:docPr id="70253707"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243F379" w14:textId="13E04BF1" w:rsidR="00520E8F" w:rsidRPr="00520E8F" w:rsidRDefault="00520E8F" w:rsidP="00520E8F">
                          <w:pPr>
                            <w:rPr>
                              <w:rFonts w:eastAsia="Calibri" w:cs="Calibri"/>
                              <w:noProof/>
                              <w:color w:val="FF0000"/>
                            </w:rPr>
                          </w:pPr>
                          <w:r w:rsidRPr="00520E8F">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7E9B40" id="_x0000_t202" coordsize="21600,21600" o:spt="202" path="m,l,21600r21600,l21600,xe">
              <v:stroke joinstyle="miter"/>
              <v:path gradientshapeok="t" o:connecttype="rect"/>
            </v:shapetype>
            <v:shape id="Text Box 18" o:spid="_x0000_s1029" type="#_x0000_t202" alt="OFFICIAL" style="position:absolute;left:0;text-align:left;margin-left:0;margin-top:0;width:43.45pt;height:29.6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5243F379" w14:textId="13E04BF1" w:rsidR="00520E8F" w:rsidRPr="00520E8F" w:rsidRDefault="00520E8F" w:rsidP="00520E8F">
                    <w:pPr>
                      <w:rPr>
                        <w:rFonts w:eastAsia="Calibri" w:cs="Calibri"/>
                        <w:noProof/>
                        <w:color w:val="FF0000"/>
                      </w:rPr>
                    </w:pPr>
                    <w:r w:rsidRPr="00520E8F">
                      <w:rPr>
                        <w:rFonts w:eastAsia="Calibri" w:cs="Calibri"/>
                        <w:noProof/>
                        <w:color w:val="FF0000"/>
                      </w:rPr>
                      <w:t>OFFICIAL</w:t>
                    </w:r>
                  </w:p>
                </w:txbxContent>
              </v:textbox>
              <w10:wrap anchorx="page" anchory="page"/>
            </v:shape>
          </w:pict>
        </mc:Fallback>
      </mc:AlternateContent>
    </w:r>
  </w:p>
  <w:p w14:paraId="30DE82FE" w14:textId="744E77F7" w:rsidR="003D0D24" w:rsidRDefault="00000000" w:rsidP="00B67C92">
    <w:pPr>
      <w:pStyle w:val="PageFooter"/>
    </w:pPr>
    <w:sdt>
      <w:sdtPr>
        <w:id w:val="-1068960149"/>
        <w:docPartObj>
          <w:docPartGallery w:val="Page Numbers (Bottom of Page)"/>
          <w:docPartUnique/>
        </w:docPartObj>
      </w:sdtPr>
      <w:sdtContent>
        <w:r w:rsidR="00531015">
          <w:fldChar w:fldCharType="begin"/>
        </w:r>
        <w:r w:rsidR="00531015">
          <w:instrText xml:space="preserve"> PAGE  \* Arabic  \* MERGEFORMAT </w:instrText>
        </w:r>
        <w:r w:rsidR="00531015">
          <w:fldChar w:fldCharType="separate"/>
        </w:r>
        <w:r w:rsidR="00531015">
          <w:rPr>
            <w:noProof/>
          </w:rPr>
          <w:t>1</w:t>
        </w:r>
        <w:r w:rsidR="00531015">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EAE72" w14:textId="34F37657" w:rsidR="00733FBC" w:rsidRDefault="00520E8F">
    <w:pPr>
      <w:pStyle w:val="Footer"/>
    </w:pPr>
    <w:r>
      <w:rPr>
        <w:noProof/>
      </w:rPr>
      <mc:AlternateContent>
        <mc:Choice Requires="wps">
          <w:drawing>
            <wp:anchor distT="0" distB="0" distL="0" distR="0" simplePos="0" relativeHeight="251673600" behindDoc="0" locked="0" layoutInCell="1" allowOverlap="1" wp14:anchorId="7B0FB634" wp14:editId="6447AA07">
              <wp:simplePos x="635" y="635"/>
              <wp:positionH relativeFrom="page">
                <wp:align>center</wp:align>
              </wp:positionH>
              <wp:positionV relativeFrom="page">
                <wp:align>bottom</wp:align>
              </wp:positionV>
              <wp:extent cx="551815" cy="376555"/>
              <wp:effectExtent l="0" t="0" r="635" b="0"/>
              <wp:wrapNone/>
              <wp:docPr id="1553315851"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7D08DC9" w14:textId="66DC1469" w:rsidR="00520E8F" w:rsidRPr="00520E8F" w:rsidRDefault="00520E8F" w:rsidP="00520E8F">
                          <w:pPr>
                            <w:rPr>
                              <w:rFonts w:eastAsia="Calibri" w:cs="Calibri"/>
                              <w:noProof/>
                              <w:color w:val="FF0000"/>
                            </w:rPr>
                          </w:pPr>
                          <w:r w:rsidRPr="00520E8F">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0FB634" id="_x0000_t202" coordsize="21600,21600" o:spt="202" path="m,l,21600r21600,l21600,xe">
              <v:stroke joinstyle="miter"/>
              <v:path gradientshapeok="t" o:connecttype="rect"/>
            </v:shapetype>
            <v:shape id="Text Box 16" o:spid="_x0000_s1031" type="#_x0000_t202" alt="OFFICIAL" style="position:absolute;left:0;text-align:left;margin-left:0;margin-top:0;width:43.45pt;height:29.6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07D08DC9" w14:textId="66DC1469" w:rsidR="00520E8F" w:rsidRPr="00520E8F" w:rsidRDefault="00520E8F" w:rsidP="00520E8F">
                    <w:pPr>
                      <w:rPr>
                        <w:rFonts w:eastAsia="Calibri" w:cs="Calibri"/>
                        <w:noProof/>
                        <w:color w:val="FF0000"/>
                      </w:rPr>
                    </w:pPr>
                    <w:r w:rsidRPr="00520E8F">
                      <w:rPr>
                        <w:rFonts w:eastAsia="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C6E0D" w14:textId="77777777" w:rsidR="00DD2AEE" w:rsidRDefault="00DD2AEE" w:rsidP="00124A51">
      <w:r>
        <w:separator/>
      </w:r>
    </w:p>
    <w:p w14:paraId="26D6A4AB" w14:textId="77777777" w:rsidR="00DD2AEE" w:rsidRDefault="00DD2AEE"/>
    <w:p w14:paraId="1377F397" w14:textId="77777777" w:rsidR="00DD2AEE" w:rsidRDefault="00DD2AEE"/>
    <w:p w14:paraId="7BC8958F" w14:textId="77777777" w:rsidR="00DD2AEE" w:rsidRDefault="00DD2AEE"/>
  </w:footnote>
  <w:footnote w:type="continuationSeparator" w:id="0">
    <w:p w14:paraId="03416A1C" w14:textId="77777777" w:rsidR="00DD2AEE" w:rsidRDefault="00DD2AEE" w:rsidP="00124A51">
      <w:r>
        <w:continuationSeparator/>
      </w:r>
    </w:p>
    <w:p w14:paraId="7F906C84" w14:textId="77777777" w:rsidR="00DD2AEE" w:rsidRDefault="00DD2AEE"/>
    <w:p w14:paraId="629FF492" w14:textId="77777777" w:rsidR="00DD2AEE" w:rsidRDefault="00DD2AEE"/>
    <w:p w14:paraId="2D76761B" w14:textId="77777777" w:rsidR="00DD2AEE" w:rsidRDefault="00DD2AEE"/>
  </w:footnote>
  <w:footnote w:type="continuationNotice" w:id="1">
    <w:p w14:paraId="23F462A4" w14:textId="77777777" w:rsidR="00DD2AEE" w:rsidRDefault="00DD2AEE"/>
  </w:footnote>
  <w:footnote w:id="2">
    <w:p w14:paraId="159F4253" w14:textId="01E931C8" w:rsidR="006621F6" w:rsidRDefault="006621F6">
      <w:pPr>
        <w:pStyle w:val="FootnoteText"/>
      </w:pPr>
      <w:r>
        <w:rPr>
          <w:rStyle w:val="FootnoteReference"/>
        </w:rPr>
        <w:footnoteRef/>
      </w:r>
      <w:r>
        <w:t xml:space="preserve"> </w:t>
      </w:r>
      <w:r w:rsidRPr="006621F6">
        <w:t>Passamonti F et al. Real-world treatment patterns and health outcomes for patients with myelofibrosis treated with fedratinib. Future Oncology 2025; 5:579-591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9EDB1" w14:textId="15AE3224" w:rsidR="00733FBC" w:rsidRDefault="00520E8F">
    <w:pPr>
      <w:pStyle w:val="Header"/>
    </w:pPr>
    <w:r>
      <w:rPr>
        <w:noProof/>
      </w:rPr>
      <mc:AlternateContent>
        <mc:Choice Requires="wps">
          <w:drawing>
            <wp:anchor distT="0" distB="0" distL="0" distR="0" simplePos="0" relativeHeight="251671552" behindDoc="0" locked="0" layoutInCell="1" allowOverlap="1" wp14:anchorId="56C6488C" wp14:editId="645EC148">
              <wp:simplePos x="635" y="635"/>
              <wp:positionH relativeFrom="page">
                <wp:align>center</wp:align>
              </wp:positionH>
              <wp:positionV relativeFrom="page">
                <wp:align>top</wp:align>
              </wp:positionV>
              <wp:extent cx="551815" cy="376555"/>
              <wp:effectExtent l="0" t="0" r="635" b="4445"/>
              <wp:wrapNone/>
              <wp:docPr id="695632930"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A94BB9F" w14:textId="76EE8898" w:rsidR="00520E8F" w:rsidRPr="00520E8F" w:rsidRDefault="00520E8F" w:rsidP="00520E8F">
                          <w:pPr>
                            <w:rPr>
                              <w:rFonts w:eastAsia="Calibri" w:cs="Calibri"/>
                              <w:noProof/>
                              <w:color w:val="FF0000"/>
                            </w:rPr>
                          </w:pPr>
                          <w:r w:rsidRPr="00520E8F">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C6488C" id="_x0000_t202" coordsize="21600,21600" o:spt="202" path="m,l,21600r21600,l21600,xe">
              <v:stroke joinstyle="miter"/>
              <v:path gradientshapeok="t" o:connecttype="rect"/>
            </v:shapetype>
            <v:shape id="Text Box 14" o:spid="_x0000_s1026" type="#_x0000_t202" alt="OFFICIAL" style="position:absolute;left:0;text-align:left;margin-left:0;margin-top:0;width:43.45pt;height:29.6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3A94BB9F" w14:textId="76EE8898" w:rsidR="00520E8F" w:rsidRPr="00520E8F" w:rsidRDefault="00520E8F" w:rsidP="00520E8F">
                    <w:pPr>
                      <w:rPr>
                        <w:rFonts w:eastAsia="Calibri" w:cs="Calibri"/>
                        <w:noProof/>
                        <w:color w:val="FF0000"/>
                      </w:rPr>
                    </w:pPr>
                    <w:r w:rsidRPr="00520E8F">
                      <w:rPr>
                        <w:rFonts w:eastAsia="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42FB1" w14:textId="3B44959D" w:rsidR="007D3766" w:rsidRDefault="00520E8F">
    <w:pPr>
      <w:pStyle w:val="Header"/>
    </w:pPr>
    <w:r>
      <w:rPr>
        <w:noProof/>
      </w:rPr>
      <mc:AlternateContent>
        <mc:Choice Requires="wps">
          <w:drawing>
            <wp:anchor distT="0" distB="0" distL="0" distR="0" simplePos="0" relativeHeight="251672576" behindDoc="0" locked="0" layoutInCell="1" allowOverlap="1" wp14:anchorId="512C7D3A" wp14:editId="02C896C3">
              <wp:simplePos x="635" y="635"/>
              <wp:positionH relativeFrom="page">
                <wp:align>center</wp:align>
              </wp:positionH>
              <wp:positionV relativeFrom="page">
                <wp:align>top</wp:align>
              </wp:positionV>
              <wp:extent cx="551815" cy="376555"/>
              <wp:effectExtent l="0" t="0" r="635" b="4445"/>
              <wp:wrapNone/>
              <wp:docPr id="151289436"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EBB4086" w14:textId="70A75867" w:rsidR="00520E8F" w:rsidRPr="00520E8F" w:rsidRDefault="00520E8F" w:rsidP="00520E8F">
                          <w:pPr>
                            <w:rPr>
                              <w:rFonts w:eastAsia="Calibri" w:cs="Calibri"/>
                              <w:noProof/>
                              <w:color w:val="FF0000"/>
                            </w:rPr>
                          </w:pPr>
                          <w:r w:rsidRPr="00520E8F">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2C7D3A" id="_x0000_t202" coordsize="21600,21600" o:spt="202" path="m,l,21600r21600,l21600,xe">
              <v:stroke joinstyle="miter"/>
              <v:path gradientshapeok="t" o:connecttype="rect"/>
            </v:shapetype>
            <v:shape id="Text Box 15" o:spid="_x0000_s1027" type="#_x0000_t202" alt="OFFICIAL" style="position:absolute;left:0;text-align:left;margin-left:0;margin-top:0;width:43.45pt;height:29.6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7EBB4086" w14:textId="70A75867" w:rsidR="00520E8F" w:rsidRPr="00520E8F" w:rsidRDefault="00520E8F" w:rsidP="00520E8F">
                    <w:pPr>
                      <w:rPr>
                        <w:rFonts w:eastAsia="Calibri" w:cs="Calibri"/>
                        <w:noProof/>
                        <w:color w:val="FF0000"/>
                      </w:rPr>
                    </w:pPr>
                    <w:r w:rsidRPr="00520E8F">
                      <w:rPr>
                        <w:rFonts w:eastAsia="Calibri" w:cs="Calibri"/>
                        <w:noProof/>
                        <w:color w:val="FF0000"/>
                      </w:rPr>
                      <w:t>OFFICIAL</w:t>
                    </w:r>
                  </w:p>
                </w:txbxContent>
              </v:textbox>
              <w10:wrap anchorx="page" anchory="page"/>
            </v:shape>
          </w:pict>
        </mc:Fallback>
      </mc:AlternateContent>
    </w:r>
    <w:r w:rsidR="0051060D">
      <w:t>Public Summary Document</w:t>
    </w:r>
    <w:r w:rsidR="00B67C92">
      <w:t xml:space="preserve"> – May 2025 PBAC Meeting</w:t>
    </w:r>
  </w:p>
  <w:p w14:paraId="78FC2C94" w14:textId="77777777" w:rsidR="003C5B00" w:rsidRDefault="003C5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7E9E6" w14:textId="7CCDC392" w:rsidR="00733FBC" w:rsidRDefault="00520E8F">
    <w:pPr>
      <w:pStyle w:val="Header"/>
    </w:pPr>
    <w:r>
      <w:rPr>
        <w:noProof/>
      </w:rPr>
      <mc:AlternateContent>
        <mc:Choice Requires="wps">
          <w:drawing>
            <wp:anchor distT="0" distB="0" distL="0" distR="0" simplePos="0" relativeHeight="251670528" behindDoc="0" locked="0" layoutInCell="1" allowOverlap="1" wp14:anchorId="7CD4BC22" wp14:editId="1369BC35">
              <wp:simplePos x="635" y="635"/>
              <wp:positionH relativeFrom="page">
                <wp:align>center</wp:align>
              </wp:positionH>
              <wp:positionV relativeFrom="page">
                <wp:align>top</wp:align>
              </wp:positionV>
              <wp:extent cx="551815" cy="376555"/>
              <wp:effectExtent l="0" t="0" r="635" b="4445"/>
              <wp:wrapNone/>
              <wp:docPr id="1125488677"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7715DCF" w14:textId="5328D91E" w:rsidR="00520E8F" w:rsidRPr="00520E8F" w:rsidRDefault="00520E8F" w:rsidP="00520E8F">
                          <w:pPr>
                            <w:rPr>
                              <w:rFonts w:eastAsia="Calibri" w:cs="Calibri"/>
                              <w:noProof/>
                              <w:color w:val="FF0000"/>
                            </w:rPr>
                          </w:pPr>
                          <w:r w:rsidRPr="00520E8F">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D4BC22" id="_x0000_t202" coordsize="21600,21600" o:spt="202" path="m,l,21600r21600,l21600,xe">
              <v:stroke joinstyle="miter"/>
              <v:path gradientshapeok="t" o:connecttype="rect"/>
            </v:shapetype>
            <v:shape id="Text Box 13" o:spid="_x0000_s1030" type="#_x0000_t202" alt="OFFICIAL" style="position:absolute;left:0;text-align:left;margin-left:0;margin-top:0;width:43.45pt;height:29.6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77715DCF" w14:textId="5328D91E" w:rsidR="00520E8F" w:rsidRPr="00520E8F" w:rsidRDefault="00520E8F" w:rsidP="00520E8F">
                    <w:pPr>
                      <w:rPr>
                        <w:rFonts w:eastAsia="Calibri" w:cs="Calibri"/>
                        <w:noProof/>
                        <w:color w:val="FF0000"/>
                      </w:rPr>
                    </w:pPr>
                    <w:r w:rsidRPr="00520E8F">
                      <w:rPr>
                        <w:rFonts w:eastAsia="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73EC6F2"/>
    <w:lvl w:ilvl="0">
      <w:start w:val="1"/>
      <w:numFmt w:val="bullet"/>
      <w:pStyle w:val="COMbodybulletlis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232C5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561183"/>
    <w:multiLevelType w:val="multilevel"/>
    <w:tmpl w:val="ED1C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20339"/>
    <w:multiLevelType w:val="hybridMultilevel"/>
    <w:tmpl w:val="6C4281A0"/>
    <w:lvl w:ilvl="0" w:tplc="CE540C34">
      <w:start w:val="1"/>
      <w:numFmt w:val="lowerLetter"/>
      <w:lvlText w:val="(%1)"/>
      <w:lvlJc w:val="left"/>
      <w:pPr>
        <w:ind w:left="720" w:hanging="360"/>
      </w:pPr>
      <w:rPr>
        <w:rFonts w:hint="default"/>
        <w:color w:val="33333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AA6B65"/>
    <w:multiLevelType w:val="hybridMultilevel"/>
    <w:tmpl w:val="65DCFE3A"/>
    <w:lvl w:ilvl="0" w:tplc="3AAA169E">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B219F8"/>
    <w:multiLevelType w:val="hybridMultilevel"/>
    <w:tmpl w:val="B9BC12E2"/>
    <w:lvl w:ilvl="0" w:tplc="E462291A">
      <w:start w:val="1"/>
      <w:numFmt w:val="bullet"/>
      <w:pStyle w:val="COMexecsummmainissuesbullets"/>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B25B1C"/>
    <w:multiLevelType w:val="hybridMultilevel"/>
    <w:tmpl w:val="3B28F382"/>
    <w:lvl w:ilvl="0" w:tplc="5D144CA2">
      <w:start w:val="1"/>
      <w:numFmt w:val="bullet"/>
      <w:lvlText w:val=""/>
      <w:lvlJc w:val="left"/>
      <w:pPr>
        <w:ind w:left="720" w:hanging="360"/>
      </w:pPr>
      <w:rPr>
        <w:rFonts w:ascii="Symbol" w:hAnsi="Symbol"/>
      </w:rPr>
    </w:lvl>
    <w:lvl w:ilvl="1" w:tplc="7C08DD8E">
      <w:start w:val="1"/>
      <w:numFmt w:val="bullet"/>
      <w:lvlText w:val=""/>
      <w:lvlJc w:val="left"/>
      <w:pPr>
        <w:ind w:left="720" w:hanging="360"/>
      </w:pPr>
      <w:rPr>
        <w:rFonts w:ascii="Symbol" w:hAnsi="Symbol"/>
      </w:rPr>
    </w:lvl>
    <w:lvl w:ilvl="2" w:tplc="51CC7F2C">
      <w:start w:val="1"/>
      <w:numFmt w:val="bullet"/>
      <w:lvlText w:val=""/>
      <w:lvlJc w:val="left"/>
      <w:pPr>
        <w:ind w:left="720" w:hanging="360"/>
      </w:pPr>
      <w:rPr>
        <w:rFonts w:ascii="Symbol" w:hAnsi="Symbol"/>
      </w:rPr>
    </w:lvl>
    <w:lvl w:ilvl="3" w:tplc="51163866">
      <w:start w:val="1"/>
      <w:numFmt w:val="bullet"/>
      <w:lvlText w:val=""/>
      <w:lvlJc w:val="left"/>
      <w:pPr>
        <w:ind w:left="720" w:hanging="360"/>
      </w:pPr>
      <w:rPr>
        <w:rFonts w:ascii="Symbol" w:hAnsi="Symbol"/>
      </w:rPr>
    </w:lvl>
    <w:lvl w:ilvl="4" w:tplc="28583C80">
      <w:start w:val="1"/>
      <w:numFmt w:val="bullet"/>
      <w:lvlText w:val=""/>
      <w:lvlJc w:val="left"/>
      <w:pPr>
        <w:ind w:left="720" w:hanging="360"/>
      </w:pPr>
      <w:rPr>
        <w:rFonts w:ascii="Symbol" w:hAnsi="Symbol"/>
      </w:rPr>
    </w:lvl>
    <w:lvl w:ilvl="5" w:tplc="8B2231E4">
      <w:start w:val="1"/>
      <w:numFmt w:val="bullet"/>
      <w:lvlText w:val=""/>
      <w:lvlJc w:val="left"/>
      <w:pPr>
        <w:ind w:left="720" w:hanging="360"/>
      </w:pPr>
      <w:rPr>
        <w:rFonts w:ascii="Symbol" w:hAnsi="Symbol"/>
      </w:rPr>
    </w:lvl>
    <w:lvl w:ilvl="6" w:tplc="85BE4C32">
      <w:start w:val="1"/>
      <w:numFmt w:val="bullet"/>
      <w:lvlText w:val=""/>
      <w:lvlJc w:val="left"/>
      <w:pPr>
        <w:ind w:left="720" w:hanging="360"/>
      </w:pPr>
      <w:rPr>
        <w:rFonts w:ascii="Symbol" w:hAnsi="Symbol"/>
      </w:rPr>
    </w:lvl>
    <w:lvl w:ilvl="7" w:tplc="A3D242BC">
      <w:start w:val="1"/>
      <w:numFmt w:val="bullet"/>
      <w:lvlText w:val=""/>
      <w:lvlJc w:val="left"/>
      <w:pPr>
        <w:ind w:left="720" w:hanging="360"/>
      </w:pPr>
      <w:rPr>
        <w:rFonts w:ascii="Symbol" w:hAnsi="Symbol"/>
      </w:rPr>
    </w:lvl>
    <w:lvl w:ilvl="8" w:tplc="B22CB0F2">
      <w:start w:val="1"/>
      <w:numFmt w:val="bullet"/>
      <w:lvlText w:val=""/>
      <w:lvlJc w:val="left"/>
      <w:pPr>
        <w:ind w:left="720" w:hanging="360"/>
      </w:pPr>
      <w:rPr>
        <w:rFonts w:ascii="Symbol" w:hAnsi="Symbol"/>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C351E3"/>
    <w:multiLevelType w:val="hybridMultilevel"/>
    <w:tmpl w:val="812AA22A"/>
    <w:lvl w:ilvl="0" w:tplc="A2029ED0">
      <w:start w:val="1"/>
      <w:numFmt w:val="bullet"/>
      <w:lvlText w:val=""/>
      <w:lvlJc w:val="left"/>
      <w:pPr>
        <w:ind w:left="720" w:hanging="360"/>
      </w:pPr>
      <w:rPr>
        <w:rFonts w:ascii="Symbol" w:hAnsi="Symbol"/>
      </w:rPr>
    </w:lvl>
    <w:lvl w:ilvl="1" w:tplc="2D86F57A">
      <w:start w:val="1"/>
      <w:numFmt w:val="bullet"/>
      <w:lvlText w:val=""/>
      <w:lvlJc w:val="left"/>
      <w:pPr>
        <w:ind w:left="720" w:hanging="360"/>
      </w:pPr>
      <w:rPr>
        <w:rFonts w:ascii="Symbol" w:hAnsi="Symbol"/>
      </w:rPr>
    </w:lvl>
    <w:lvl w:ilvl="2" w:tplc="E8C0CAE4">
      <w:start w:val="1"/>
      <w:numFmt w:val="bullet"/>
      <w:lvlText w:val=""/>
      <w:lvlJc w:val="left"/>
      <w:pPr>
        <w:ind w:left="720" w:hanging="360"/>
      </w:pPr>
      <w:rPr>
        <w:rFonts w:ascii="Symbol" w:hAnsi="Symbol"/>
      </w:rPr>
    </w:lvl>
    <w:lvl w:ilvl="3" w:tplc="3C3A0424">
      <w:start w:val="1"/>
      <w:numFmt w:val="bullet"/>
      <w:lvlText w:val=""/>
      <w:lvlJc w:val="left"/>
      <w:pPr>
        <w:ind w:left="720" w:hanging="360"/>
      </w:pPr>
      <w:rPr>
        <w:rFonts w:ascii="Symbol" w:hAnsi="Symbol"/>
      </w:rPr>
    </w:lvl>
    <w:lvl w:ilvl="4" w:tplc="34A04864">
      <w:start w:val="1"/>
      <w:numFmt w:val="bullet"/>
      <w:lvlText w:val=""/>
      <w:lvlJc w:val="left"/>
      <w:pPr>
        <w:ind w:left="720" w:hanging="360"/>
      </w:pPr>
      <w:rPr>
        <w:rFonts w:ascii="Symbol" w:hAnsi="Symbol"/>
      </w:rPr>
    </w:lvl>
    <w:lvl w:ilvl="5" w:tplc="A6AA68A6">
      <w:start w:val="1"/>
      <w:numFmt w:val="bullet"/>
      <w:lvlText w:val=""/>
      <w:lvlJc w:val="left"/>
      <w:pPr>
        <w:ind w:left="720" w:hanging="360"/>
      </w:pPr>
      <w:rPr>
        <w:rFonts w:ascii="Symbol" w:hAnsi="Symbol"/>
      </w:rPr>
    </w:lvl>
    <w:lvl w:ilvl="6" w:tplc="0A62C0BE">
      <w:start w:val="1"/>
      <w:numFmt w:val="bullet"/>
      <w:lvlText w:val=""/>
      <w:lvlJc w:val="left"/>
      <w:pPr>
        <w:ind w:left="720" w:hanging="360"/>
      </w:pPr>
      <w:rPr>
        <w:rFonts w:ascii="Symbol" w:hAnsi="Symbol"/>
      </w:rPr>
    </w:lvl>
    <w:lvl w:ilvl="7" w:tplc="C1C05354">
      <w:start w:val="1"/>
      <w:numFmt w:val="bullet"/>
      <w:lvlText w:val=""/>
      <w:lvlJc w:val="left"/>
      <w:pPr>
        <w:ind w:left="720" w:hanging="360"/>
      </w:pPr>
      <w:rPr>
        <w:rFonts w:ascii="Symbol" w:hAnsi="Symbol"/>
      </w:rPr>
    </w:lvl>
    <w:lvl w:ilvl="8" w:tplc="57082E52">
      <w:start w:val="1"/>
      <w:numFmt w:val="bullet"/>
      <w:lvlText w:val=""/>
      <w:lvlJc w:val="left"/>
      <w:pPr>
        <w:ind w:left="720" w:hanging="360"/>
      </w:pPr>
      <w:rPr>
        <w:rFonts w:ascii="Symbol" w:hAnsi="Symbol"/>
      </w:rPr>
    </w:lvl>
  </w:abstractNum>
  <w:abstractNum w:abstractNumId="12" w15:restartNumberingAfterBreak="0">
    <w:nsid w:val="272C0D53"/>
    <w:multiLevelType w:val="hybridMultilevel"/>
    <w:tmpl w:val="9188B83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967100"/>
    <w:multiLevelType w:val="hybridMultilevel"/>
    <w:tmpl w:val="6C4281A0"/>
    <w:lvl w:ilvl="0" w:tplc="FFFFFFFF">
      <w:start w:val="1"/>
      <w:numFmt w:val="lowerLetter"/>
      <w:lvlText w:val="(%1)"/>
      <w:lvlJc w:val="left"/>
      <w:pPr>
        <w:ind w:left="720" w:hanging="360"/>
      </w:pPr>
      <w:rPr>
        <w:rFonts w:hint="default"/>
        <w:color w:val="33333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D67A6"/>
    <w:multiLevelType w:val="hybridMultilevel"/>
    <w:tmpl w:val="FAB8EED8"/>
    <w:lvl w:ilvl="0" w:tplc="8708BECA">
      <w:start w:val="1"/>
      <w:numFmt w:val="bullet"/>
      <w:pStyle w:val="COMexecsumm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1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2056B4"/>
    <w:multiLevelType w:val="hybridMultilevel"/>
    <w:tmpl w:val="DD78FA46"/>
    <w:lvl w:ilvl="0" w:tplc="D1007C3C">
      <w:start w:val="1"/>
      <w:numFmt w:val="bullet"/>
      <w:lvlText w:val=""/>
      <w:lvlJc w:val="left"/>
      <w:pPr>
        <w:ind w:left="720" w:hanging="360"/>
      </w:pPr>
      <w:rPr>
        <w:rFonts w:ascii="Symbol" w:hAnsi="Symbol"/>
      </w:rPr>
    </w:lvl>
    <w:lvl w:ilvl="1" w:tplc="78EA3B24">
      <w:start w:val="1"/>
      <w:numFmt w:val="bullet"/>
      <w:lvlText w:val=""/>
      <w:lvlJc w:val="left"/>
      <w:pPr>
        <w:ind w:left="720" w:hanging="360"/>
      </w:pPr>
      <w:rPr>
        <w:rFonts w:ascii="Symbol" w:hAnsi="Symbol"/>
      </w:rPr>
    </w:lvl>
    <w:lvl w:ilvl="2" w:tplc="387EB0C8">
      <w:start w:val="1"/>
      <w:numFmt w:val="bullet"/>
      <w:lvlText w:val=""/>
      <w:lvlJc w:val="left"/>
      <w:pPr>
        <w:ind w:left="720" w:hanging="360"/>
      </w:pPr>
      <w:rPr>
        <w:rFonts w:ascii="Symbol" w:hAnsi="Symbol"/>
      </w:rPr>
    </w:lvl>
    <w:lvl w:ilvl="3" w:tplc="97C4E8DC">
      <w:start w:val="1"/>
      <w:numFmt w:val="bullet"/>
      <w:lvlText w:val=""/>
      <w:lvlJc w:val="left"/>
      <w:pPr>
        <w:ind w:left="720" w:hanging="360"/>
      </w:pPr>
      <w:rPr>
        <w:rFonts w:ascii="Symbol" w:hAnsi="Symbol"/>
      </w:rPr>
    </w:lvl>
    <w:lvl w:ilvl="4" w:tplc="02C0E4E6">
      <w:start w:val="1"/>
      <w:numFmt w:val="bullet"/>
      <w:lvlText w:val=""/>
      <w:lvlJc w:val="left"/>
      <w:pPr>
        <w:ind w:left="720" w:hanging="360"/>
      </w:pPr>
      <w:rPr>
        <w:rFonts w:ascii="Symbol" w:hAnsi="Symbol"/>
      </w:rPr>
    </w:lvl>
    <w:lvl w:ilvl="5" w:tplc="0DC49C56">
      <w:start w:val="1"/>
      <w:numFmt w:val="bullet"/>
      <w:lvlText w:val=""/>
      <w:lvlJc w:val="left"/>
      <w:pPr>
        <w:ind w:left="720" w:hanging="360"/>
      </w:pPr>
      <w:rPr>
        <w:rFonts w:ascii="Symbol" w:hAnsi="Symbol"/>
      </w:rPr>
    </w:lvl>
    <w:lvl w:ilvl="6" w:tplc="142C3FFC">
      <w:start w:val="1"/>
      <w:numFmt w:val="bullet"/>
      <w:lvlText w:val=""/>
      <w:lvlJc w:val="left"/>
      <w:pPr>
        <w:ind w:left="720" w:hanging="360"/>
      </w:pPr>
      <w:rPr>
        <w:rFonts w:ascii="Symbol" w:hAnsi="Symbol"/>
      </w:rPr>
    </w:lvl>
    <w:lvl w:ilvl="7" w:tplc="22A8E882">
      <w:start w:val="1"/>
      <w:numFmt w:val="bullet"/>
      <w:lvlText w:val=""/>
      <w:lvlJc w:val="left"/>
      <w:pPr>
        <w:ind w:left="720" w:hanging="360"/>
      </w:pPr>
      <w:rPr>
        <w:rFonts w:ascii="Symbol" w:hAnsi="Symbol"/>
      </w:rPr>
    </w:lvl>
    <w:lvl w:ilvl="8" w:tplc="62469C3E">
      <w:start w:val="1"/>
      <w:numFmt w:val="bullet"/>
      <w:lvlText w:val=""/>
      <w:lvlJc w:val="left"/>
      <w:pPr>
        <w:ind w:left="720" w:hanging="360"/>
      </w:pPr>
      <w:rPr>
        <w:rFonts w:ascii="Symbol" w:hAnsi="Symbol"/>
      </w:rPr>
    </w:lvl>
  </w:abstractNum>
  <w:abstractNum w:abstractNumId="22" w15:restartNumberingAfterBreak="0">
    <w:nsid w:val="635B7478"/>
    <w:multiLevelType w:val="hybridMultilevel"/>
    <w:tmpl w:val="C6763DD0"/>
    <w:lvl w:ilvl="0" w:tplc="D6D660EE">
      <w:start w:val="1"/>
      <w:numFmt w:val="bullet"/>
      <w:lvlText w:val="•"/>
      <w:lvlJc w:val="left"/>
      <w:pPr>
        <w:tabs>
          <w:tab w:val="num" w:pos="720"/>
        </w:tabs>
        <w:ind w:left="720" w:hanging="360"/>
      </w:pPr>
      <w:rPr>
        <w:rFonts w:ascii="Arial" w:hAnsi="Arial" w:hint="default"/>
      </w:rPr>
    </w:lvl>
    <w:lvl w:ilvl="1" w:tplc="F8E64954" w:tentative="1">
      <w:start w:val="1"/>
      <w:numFmt w:val="bullet"/>
      <w:lvlText w:val="•"/>
      <w:lvlJc w:val="left"/>
      <w:pPr>
        <w:tabs>
          <w:tab w:val="num" w:pos="1440"/>
        </w:tabs>
        <w:ind w:left="1440" w:hanging="360"/>
      </w:pPr>
      <w:rPr>
        <w:rFonts w:ascii="Arial" w:hAnsi="Arial" w:hint="default"/>
      </w:rPr>
    </w:lvl>
    <w:lvl w:ilvl="2" w:tplc="8B0A963C" w:tentative="1">
      <w:start w:val="1"/>
      <w:numFmt w:val="bullet"/>
      <w:lvlText w:val="•"/>
      <w:lvlJc w:val="left"/>
      <w:pPr>
        <w:tabs>
          <w:tab w:val="num" w:pos="2160"/>
        </w:tabs>
        <w:ind w:left="2160" w:hanging="360"/>
      </w:pPr>
      <w:rPr>
        <w:rFonts w:ascii="Arial" w:hAnsi="Arial" w:hint="default"/>
      </w:rPr>
    </w:lvl>
    <w:lvl w:ilvl="3" w:tplc="19C4CF1A" w:tentative="1">
      <w:start w:val="1"/>
      <w:numFmt w:val="bullet"/>
      <w:lvlText w:val="•"/>
      <w:lvlJc w:val="left"/>
      <w:pPr>
        <w:tabs>
          <w:tab w:val="num" w:pos="2880"/>
        </w:tabs>
        <w:ind w:left="2880" w:hanging="360"/>
      </w:pPr>
      <w:rPr>
        <w:rFonts w:ascii="Arial" w:hAnsi="Arial" w:hint="default"/>
      </w:rPr>
    </w:lvl>
    <w:lvl w:ilvl="4" w:tplc="BC0A551C" w:tentative="1">
      <w:start w:val="1"/>
      <w:numFmt w:val="bullet"/>
      <w:lvlText w:val="•"/>
      <w:lvlJc w:val="left"/>
      <w:pPr>
        <w:tabs>
          <w:tab w:val="num" w:pos="3600"/>
        </w:tabs>
        <w:ind w:left="3600" w:hanging="360"/>
      </w:pPr>
      <w:rPr>
        <w:rFonts w:ascii="Arial" w:hAnsi="Arial" w:hint="default"/>
      </w:rPr>
    </w:lvl>
    <w:lvl w:ilvl="5" w:tplc="68F29E52" w:tentative="1">
      <w:start w:val="1"/>
      <w:numFmt w:val="bullet"/>
      <w:lvlText w:val="•"/>
      <w:lvlJc w:val="left"/>
      <w:pPr>
        <w:tabs>
          <w:tab w:val="num" w:pos="4320"/>
        </w:tabs>
        <w:ind w:left="4320" w:hanging="360"/>
      </w:pPr>
      <w:rPr>
        <w:rFonts w:ascii="Arial" w:hAnsi="Arial" w:hint="default"/>
      </w:rPr>
    </w:lvl>
    <w:lvl w:ilvl="6" w:tplc="60BC95FE" w:tentative="1">
      <w:start w:val="1"/>
      <w:numFmt w:val="bullet"/>
      <w:lvlText w:val="•"/>
      <w:lvlJc w:val="left"/>
      <w:pPr>
        <w:tabs>
          <w:tab w:val="num" w:pos="5040"/>
        </w:tabs>
        <w:ind w:left="5040" w:hanging="360"/>
      </w:pPr>
      <w:rPr>
        <w:rFonts w:ascii="Arial" w:hAnsi="Arial" w:hint="default"/>
      </w:rPr>
    </w:lvl>
    <w:lvl w:ilvl="7" w:tplc="C20CCCDE" w:tentative="1">
      <w:start w:val="1"/>
      <w:numFmt w:val="bullet"/>
      <w:lvlText w:val="•"/>
      <w:lvlJc w:val="left"/>
      <w:pPr>
        <w:tabs>
          <w:tab w:val="num" w:pos="5760"/>
        </w:tabs>
        <w:ind w:left="5760" w:hanging="360"/>
      </w:pPr>
      <w:rPr>
        <w:rFonts w:ascii="Arial" w:hAnsi="Arial" w:hint="default"/>
      </w:rPr>
    </w:lvl>
    <w:lvl w:ilvl="8" w:tplc="1584ADD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4375E9C"/>
    <w:multiLevelType w:val="hybridMultilevel"/>
    <w:tmpl w:val="82A8DEF8"/>
    <w:lvl w:ilvl="0" w:tplc="8ACEA3A6">
      <w:start w:val="1"/>
      <w:numFmt w:val="bullet"/>
      <w:lvlText w:val=""/>
      <w:lvlJc w:val="left"/>
      <w:pPr>
        <w:ind w:left="720" w:hanging="360"/>
      </w:pPr>
      <w:rPr>
        <w:rFonts w:ascii="Symbol" w:hAnsi="Symbol"/>
      </w:rPr>
    </w:lvl>
    <w:lvl w:ilvl="1" w:tplc="C04E0A6C">
      <w:start w:val="1"/>
      <w:numFmt w:val="bullet"/>
      <w:lvlText w:val=""/>
      <w:lvlJc w:val="left"/>
      <w:pPr>
        <w:ind w:left="720" w:hanging="360"/>
      </w:pPr>
      <w:rPr>
        <w:rFonts w:ascii="Symbol" w:hAnsi="Symbol"/>
      </w:rPr>
    </w:lvl>
    <w:lvl w:ilvl="2" w:tplc="1C78B208">
      <w:start w:val="1"/>
      <w:numFmt w:val="bullet"/>
      <w:lvlText w:val=""/>
      <w:lvlJc w:val="left"/>
      <w:pPr>
        <w:ind w:left="720" w:hanging="360"/>
      </w:pPr>
      <w:rPr>
        <w:rFonts w:ascii="Symbol" w:hAnsi="Symbol"/>
      </w:rPr>
    </w:lvl>
    <w:lvl w:ilvl="3" w:tplc="4E547B86">
      <w:start w:val="1"/>
      <w:numFmt w:val="bullet"/>
      <w:lvlText w:val=""/>
      <w:lvlJc w:val="left"/>
      <w:pPr>
        <w:ind w:left="720" w:hanging="360"/>
      </w:pPr>
      <w:rPr>
        <w:rFonts w:ascii="Symbol" w:hAnsi="Symbol"/>
      </w:rPr>
    </w:lvl>
    <w:lvl w:ilvl="4" w:tplc="33BCFB3A">
      <w:start w:val="1"/>
      <w:numFmt w:val="bullet"/>
      <w:lvlText w:val=""/>
      <w:lvlJc w:val="left"/>
      <w:pPr>
        <w:ind w:left="720" w:hanging="360"/>
      </w:pPr>
      <w:rPr>
        <w:rFonts w:ascii="Symbol" w:hAnsi="Symbol"/>
      </w:rPr>
    </w:lvl>
    <w:lvl w:ilvl="5" w:tplc="6EA8C49A">
      <w:start w:val="1"/>
      <w:numFmt w:val="bullet"/>
      <w:lvlText w:val=""/>
      <w:lvlJc w:val="left"/>
      <w:pPr>
        <w:ind w:left="720" w:hanging="360"/>
      </w:pPr>
      <w:rPr>
        <w:rFonts w:ascii="Symbol" w:hAnsi="Symbol"/>
      </w:rPr>
    </w:lvl>
    <w:lvl w:ilvl="6" w:tplc="004CDE14">
      <w:start w:val="1"/>
      <w:numFmt w:val="bullet"/>
      <w:lvlText w:val=""/>
      <w:lvlJc w:val="left"/>
      <w:pPr>
        <w:ind w:left="720" w:hanging="360"/>
      </w:pPr>
      <w:rPr>
        <w:rFonts w:ascii="Symbol" w:hAnsi="Symbol"/>
      </w:rPr>
    </w:lvl>
    <w:lvl w:ilvl="7" w:tplc="20DE49E2">
      <w:start w:val="1"/>
      <w:numFmt w:val="bullet"/>
      <w:lvlText w:val=""/>
      <w:lvlJc w:val="left"/>
      <w:pPr>
        <w:ind w:left="720" w:hanging="360"/>
      </w:pPr>
      <w:rPr>
        <w:rFonts w:ascii="Symbol" w:hAnsi="Symbol"/>
      </w:rPr>
    </w:lvl>
    <w:lvl w:ilvl="8" w:tplc="C1D0E00C">
      <w:start w:val="1"/>
      <w:numFmt w:val="bullet"/>
      <w:lvlText w:val=""/>
      <w:lvlJc w:val="left"/>
      <w:pPr>
        <w:ind w:left="720" w:hanging="360"/>
      </w:pPr>
      <w:rPr>
        <w:rFonts w:ascii="Symbol" w:hAnsi="Symbol"/>
      </w:rPr>
    </w:lvl>
  </w:abstractNum>
  <w:abstractNum w:abstractNumId="24" w15:restartNumberingAfterBreak="0">
    <w:nsid w:val="66551631"/>
    <w:multiLevelType w:val="hybridMultilevel"/>
    <w:tmpl w:val="0B74D0E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7BC6CDC"/>
    <w:multiLevelType w:val="hybridMultilevel"/>
    <w:tmpl w:val="0ADCF4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C972ED6"/>
    <w:multiLevelType w:val="hybridMultilevel"/>
    <w:tmpl w:val="0BFE7F24"/>
    <w:lvl w:ilvl="0" w:tplc="0BB6CB34">
      <w:start w:val="1"/>
      <w:numFmt w:val="decimal"/>
      <w:lvlText w:val="%1."/>
      <w:lvlJc w:val="left"/>
      <w:pPr>
        <w:ind w:left="360" w:hanging="360"/>
      </w:pPr>
      <w:rPr>
        <w:rFonts w:hint="default"/>
        <w:i/>
        <w:iCs w:val="0"/>
        <w:color w:val="auto"/>
      </w:rPr>
    </w:lvl>
    <w:lvl w:ilvl="1" w:tplc="0C090019">
      <w:start w:val="1"/>
      <w:numFmt w:val="lowerLetter"/>
      <w:lvlText w:val="%2."/>
      <w:lvlJc w:val="left"/>
      <w:pPr>
        <w:ind w:left="-690" w:hanging="360"/>
      </w:pPr>
    </w:lvl>
    <w:lvl w:ilvl="2" w:tplc="0C09001B">
      <w:start w:val="1"/>
      <w:numFmt w:val="lowerRoman"/>
      <w:lvlText w:val="%3."/>
      <w:lvlJc w:val="right"/>
      <w:pPr>
        <w:ind w:left="30" w:hanging="180"/>
      </w:pPr>
    </w:lvl>
    <w:lvl w:ilvl="3" w:tplc="0C09000F">
      <w:start w:val="1"/>
      <w:numFmt w:val="decimal"/>
      <w:lvlText w:val="%4."/>
      <w:lvlJc w:val="left"/>
      <w:pPr>
        <w:ind w:left="750" w:hanging="360"/>
      </w:pPr>
    </w:lvl>
    <w:lvl w:ilvl="4" w:tplc="0C090019" w:tentative="1">
      <w:start w:val="1"/>
      <w:numFmt w:val="lowerLetter"/>
      <w:lvlText w:val="%5."/>
      <w:lvlJc w:val="left"/>
      <w:pPr>
        <w:ind w:left="1470" w:hanging="360"/>
      </w:pPr>
    </w:lvl>
    <w:lvl w:ilvl="5" w:tplc="0C09001B" w:tentative="1">
      <w:start w:val="1"/>
      <w:numFmt w:val="lowerRoman"/>
      <w:lvlText w:val="%6."/>
      <w:lvlJc w:val="right"/>
      <w:pPr>
        <w:ind w:left="2190" w:hanging="180"/>
      </w:pPr>
    </w:lvl>
    <w:lvl w:ilvl="6" w:tplc="0C09000F" w:tentative="1">
      <w:start w:val="1"/>
      <w:numFmt w:val="decimal"/>
      <w:lvlText w:val="%7."/>
      <w:lvlJc w:val="left"/>
      <w:pPr>
        <w:ind w:left="2910" w:hanging="360"/>
      </w:pPr>
    </w:lvl>
    <w:lvl w:ilvl="7" w:tplc="0C090019" w:tentative="1">
      <w:start w:val="1"/>
      <w:numFmt w:val="lowerLetter"/>
      <w:lvlText w:val="%8."/>
      <w:lvlJc w:val="left"/>
      <w:pPr>
        <w:ind w:left="3630" w:hanging="360"/>
      </w:pPr>
    </w:lvl>
    <w:lvl w:ilvl="8" w:tplc="0C09001B" w:tentative="1">
      <w:start w:val="1"/>
      <w:numFmt w:val="lowerRoman"/>
      <w:lvlText w:val="%9."/>
      <w:lvlJc w:val="right"/>
      <w:pPr>
        <w:ind w:left="4350" w:hanging="180"/>
      </w:pPr>
    </w:lvl>
  </w:abstractNum>
  <w:abstractNum w:abstractNumId="2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FB94D4A"/>
    <w:multiLevelType w:val="hybridMultilevel"/>
    <w:tmpl w:val="9BEA08F2"/>
    <w:lvl w:ilvl="0" w:tplc="AF26E246">
      <w:start w:val="1"/>
      <w:numFmt w:val="bullet"/>
      <w:lvlText w:val="•"/>
      <w:lvlJc w:val="left"/>
      <w:pPr>
        <w:tabs>
          <w:tab w:val="num" w:pos="720"/>
        </w:tabs>
        <w:ind w:left="720" w:hanging="360"/>
      </w:pPr>
      <w:rPr>
        <w:rFonts w:ascii="Arial" w:hAnsi="Arial" w:hint="default"/>
      </w:rPr>
    </w:lvl>
    <w:lvl w:ilvl="1" w:tplc="43580574" w:tentative="1">
      <w:start w:val="1"/>
      <w:numFmt w:val="bullet"/>
      <w:lvlText w:val="•"/>
      <w:lvlJc w:val="left"/>
      <w:pPr>
        <w:tabs>
          <w:tab w:val="num" w:pos="1440"/>
        </w:tabs>
        <w:ind w:left="1440" w:hanging="360"/>
      </w:pPr>
      <w:rPr>
        <w:rFonts w:ascii="Arial" w:hAnsi="Arial" w:hint="default"/>
      </w:rPr>
    </w:lvl>
    <w:lvl w:ilvl="2" w:tplc="A0E4E1EC" w:tentative="1">
      <w:start w:val="1"/>
      <w:numFmt w:val="bullet"/>
      <w:lvlText w:val="•"/>
      <w:lvlJc w:val="left"/>
      <w:pPr>
        <w:tabs>
          <w:tab w:val="num" w:pos="2160"/>
        </w:tabs>
        <w:ind w:left="2160" w:hanging="360"/>
      </w:pPr>
      <w:rPr>
        <w:rFonts w:ascii="Arial" w:hAnsi="Arial" w:hint="default"/>
      </w:rPr>
    </w:lvl>
    <w:lvl w:ilvl="3" w:tplc="A0B81CA4" w:tentative="1">
      <w:start w:val="1"/>
      <w:numFmt w:val="bullet"/>
      <w:lvlText w:val="•"/>
      <w:lvlJc w:val="left"/>
      <w:pPr>
        <w:tabs>
          <w:tab w:val="num" w:pos="2880"/>
        </w:tabs>
        <w:ind w:left="2880" w:hanging="360"/>
      </w:pPr>
      <w:rPr>
        <w:rFonts w:ascii="Arial" w:hAnsi="Arial" w:hint="default"/>
      </w:rPr>
    </w:lvl>
    <w:lvl w:ilvl="4" w:tplc="1438191E" w:tentative="1">
      <w:start w:val="1"/>
      <w:numFmt w:val="bullet"/>
      <w:lvlText w:val="•"/>
      <w:lvlJc w:val="left"/>
      <w:pPr>
        <w:tabs>
          <w:tab w:val="num" w:pos="3600"/>
        </w:tabs>
        <w:ind w:left="3600" w:hanging="360"/>
      </w:pPr>
      <w:rPr>
        <w:rFonts w:ascii="Arial" w:hAnsi="Arial" w:hint="default"/>
      </w:rPr>
    </w:lvl>
    <w:lvl w:ilvl="5" w:tplc="03B6C076" w:tentative="1">
      <w:start w:val="1"/>
      <w:numFmt w:val="bullet"/>
      <w:lvlText w:val="•"/>
      <w:lvlJc w:val="left"/>
      <w:pPr>
        <w:tabs>
          <w:tab w:val="num" w:pos="4320"/>
        </w:tabs>
        <w:ind w:left="4320" w:hanging="360"/>
      </w:pPr>
      <w:rPr>
        <w:rFonts w:ascii="Arial" w:hAnsi="Arial" w:hint="default"/>
      </w:rPr>
    </w:lvl>
    <w:lvl w:ilvl="6" w:tplc="E1C6FF62" w:tentative="1">
      <w:start w:val="1"/>
      <w:numFmt w:val="bullet"/>
      <w:lvlText w:val="•"/>
      <w:lvlJc w:val="left"/>
      <w:pPr>
        <w:tabs>
          <w:tab w:val="num" w:pos="5040"/>
        </w:tabs>
        <w:ind w:left="5040" w:hanging="360"/>
      </w:pPr>
      <w:rPr>
        <w:rFonts w:ascii="Arial" w:hAnsi="Arial" w:hint="default"/>
      </w:rPr>
    </w:lvl>
    <w:lvl w:ilvl="7" w:tplc="21426BF4" w:tentative="1">
      <w:start w:val="1"/>
      <w:numFmt w:val="bullet"/>
      <w:lvlText w:val="•"/>
      <w:lvlJc w:val="left"/>
      <w:pPr>
        <w:tabs>
          <w:tab w:val="num" w:pos="5760"/>
        </w:tabs>
        <w:ind w:left="5760" w:hanging="360"/>
      </w:pPr>
      <w:rPr>
        <w:rFonts w:ascii="Arial" w:hAnsi="Arial" w:hint="default"/>
      </w:rPr>
    </w:lvl>
    <w:lvl w:ilvl="8" w:tplc="DAEC222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3A71A49"/>
    <w:multiLevelType w:val="hybridMultilevel"/>
    <w:tmpl w:val="2FA8C4EE"/>
    <w:lvl w:ilvl="0" w:tplc="5D6C51A0">
      <w:start w:val="1"/>
      <w:numFmt w:val="bullet"/>
      <w:lvlText w:val=""/>
      <w:lvlJc w:val="left"/>
      <w:pPr>
        <w:ind w:left="720" w:hanging="360"/>
      </w:pPr>
      <w:rPr>
        <w:rFonts w:ascii="Symbol" w:hAnsi="Symbol"/>
      </w:rPr>
    </w:lvl>
    <w:lvl w:ilvl="1" w:tplc="F84074C2">
      <w:start w:val="1"/>
      <w:numFmt w:val="bullet"/>
      <w:lvlText w:val=""/>
      <w:lvlJc w:val="left"/>
      <w:pPr>
        <w:ind w:left="720" w:hanging="360"/>
      </w:pPr>
      <w:rPr>
        <w:rFonts w:ascii="Symbol" w:hAnsi="Symbol"/>
      </w:rPr>
    </w:lvl>
    <w:lvl w:ilvl="2" w:tplc="97F4D2FE">
      <w:start w:val="1"/>
      <w:numFmt w:val="bullet"/>
      <w:lvlText w:val=""/>
      <w:lvlJc w:val="left"/>
      <w:pPr>
        <w:ind w:left="720" w:hanging="360"/>
      </w:pPr>
      <w:rPr>
        <w:rFonts w:ascii="Symbol" w:hAnsi="Symbol"/>
      </w:rPr>
    </w:lvl>
    <w:lvl w:ilvl="3" w:tplc="F27AF6D6">
      <w:start w:val="1"/>
      <w:numFmt w:val="bullet"/>
      <w:lvlText w:val=""/>
      <w:lvlJc w:val="left"/>
      <w:pPr>
        <w:ind w:left="720" w:hanging="360"/>
      </w:pPr>
      <w:rPr>
        <w:rFonts w:ascii="Symbol" w:hAnsi="Symbol"/>
      </w:rPr>
    </w:lvl>
    <w:lvl w:ilvl="4" w:tplc="0C547662">
      <w:start w:val="1"/>
      <w:numFmt w:val="bullet"/>
      <w:lvlText w:val=""/>
      <w:lvlJc w:val="left"/>
      <w:pPr>
        <w:ind w:left="720" w:hanging="360"/>
      </w:pPr>
      <w:rPr>
        <w:rFonts w:ascii="Symbol" w:hAnsi="Symbol"/>
      </w:rPr>
    </w:lvl>
    <w:lvl w:ilvl="5" w:tplc="24261982">
      <w:start w:val="1"/>
      <w:numFmt w:val="bullet"/>
      <w:lvlText w:val=""/>
      <w:lvlJc w:val="left"/>
      <w:pPr>
        <w:ind w:left="720" w:hanging="360"/>
      </w:pPr>
      <w:rPr>
        <w:rFonts w:ascii="Symbol" w:hAnsi="Symbol"/>
      </w:rPr>
    </w:lvl>
    <w:lvl w:ilvl="6" w:tplc="F8EE8C7C">
      <w:start w:val="1"/>
      <w:numFmt w:val="bullet"/>
      <w:lvlText w:val=""/>
      <w:lvlJc w:val="left"/>
      <w:pPr>
        <w:ind w:left="720" w:hanging="360"/>
      </w:pPr>
      <w:rPr>
        <w:rFonts w:ascii="Symbol" w:hAnsi="Symbol"/>
      </w:rPr>
    </w:lvl>
    <w:lvl w:ilvl="7" w:tplc="EB50E55A">
      <w:start w:val="1"/>
      <w:numFmt w:val="bullet"/>
      <w:lvlText w:val=""/>
      <w:lvlJc w:val="left"/>
      <w:pPr>
        <w:ind w:left="720" w:hanging="360"/>
      </w:pPr>
      <w:rPr>
        <w:rFonts w:ascii="Symbol" w:hAnsi="Symbol"/>
      </w:rPr>
    </w:lvl>
    <w:lvl w:ilvl="8" w:tplc="2B5256FE">
      <w:start w:val="1"/>
      <w:numFmt w:val="bullet"/>
      <w:lvlText w:val=""/>
      <w:lvlJc w:val="left"/>
      <w:pPr>
        <w:ind w:left="720" w:hanging="360"/>
      </w:pPr>
      <w:rPr>
        <w:rFonts w:ascii="Symbol" w:hAnsi="Symbol"/>
      </w:rPr>
    </w:lvl>
  </w:abstractNum>
  <w:abstractNum w:abstractNumId="30" w15:restartNumberingAfterBreak="0">
    <w:nsid w:val="73B95E94"/>
    <w:multiLevelType w:val="hybridMultilevel"/>
    <w:tmpl w:val="2EDC2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4D033C"/>
    <w:multiLevelType w:val="multilevel"/>
    <w:tmpl w:val="5B3EC938"/>
    <w:lvl w:ilvl="0">
      <w:start w:val="1"/>
      <w:numFmt w:val="decimal"/>
      <w:pStyle w:val="COMH1-numbered"/>
      <w:lvlText w:val="%1"/>
      <w:lvlJc w:val="left"/>
      <w:pPr>
        <w:ind w:left="720" w:hanging="720"/>
      </w:pPr>
      <w:rPr>
        <w:rFonts w:hint="default"/>
        <w:b/>
      </w:rPr>
    </w:lvl>
    <w:lvl w:ilvl="1">
      <w:start w:val="1"/>
      <w:numFmt w:val="decimal"/>
      <w:pStyle w:val="COMexecsummnumbered"/>
      <w:lvlText w:val="%1.%2"/>
      <w:lvlJc w:val="left"/>
      <w:pPr>
        <w:ind w:left="720" w:hanging="720"/>
      </w:pPr>
      <w:rPr>
        <w:rFonts w:asciiTheme="minorHAnsi" w:hAnsiTheme="minorHAnsi" w:cstheme="minorHAnsi"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C01244"/>
    <w:multiLevelType w:val="hybridMultilevel"/>
    <w:tmpl w:val="CBAC2492"/>
    <w:lvl w:ilvl="0" w:tplc="44560692">
      <w:start w:val="1"/>
      <w:numFmt w:val="bullet"/>
      <w:lvlText w:val=""/>
      <w:lvlJc w:val="left"/>
      <w:pPr>
        <w:ind w:left="720" w:hanging="360"/>
      </w:pPr>
      <w:rPr>
        <w:rFonts w:ascii="Symbol" w:hAnsi="Symbol"/>
      </w:rPr>
    </w:lvl>
    <w:lvl w:ilvl="1" w:tplc="7DF46CA8">
      <w:start w:val="1"/>
      <w:numFmt w:val="bullet"/>
      <w:lvlText w:val=""/>
      <w:lvlJc w:val="left"/>
      <w:pPr>
        <w:ind w:left="720" w:hanging="360"/>
      </w:pPr>
      <w:rPr>
        <w:rFonts w:ascii="Symbol" w:hAnsi="Symbol"/>
      </w:rPr>
    </w:lvl>
    <w:lvl w:ilvl="2" w:tplc="0336B0BC">
      <w:start w:val="1"/>
      <w:numFmt w:val="bullet"/>
      <w:lvlText w:val=""/>
      <w:lvlJc w:val="left"/>
      <w:pPr>
        <w:ind w:left="720" w:hanging="360"/>
      </w:pPr>
      <w:rPr>
        <w:rFonts w:ascii="Symbol" w:hAnsi="Symbol"/>
      </w:rPr>
    </w:lvl>
    <w:lvl w:ilvl="3" w:tplc="8E10986A">
      <w:start w:val="1"/>
      <w:numFmt w:val="bullet"/>
      <w:lvlText w:val=""/>
      <w:lvlJc w:val="left"/>
      <w:pPr>
        <w:ind w:left="720" w:hanging="360"/>
      </w:pPr>
      <w:rPr>
        <w:rFonts w:ascii="Symbol" w:hAnsi="Symbol"/>
      </w:rPr>
    </w:lvl>
    <w:lvl w:ilvl="4" w:tplc="C78E3C08">
      <w:start w:val="1"/>
      <w:numFmt w:val="bullet"/>
      <w:lvlText w:val=""/>
      <w:lvlJc w:val="left"/>
      <w:pPr>
        <w:ind w:left="720" w:hanging="360"/>
      </w:pPr>
      <w:rPr>
        <w:rFonts w:ascii="Symbol" w:hAnsi="Symbol"/>
      </w:rPr>
    </w:lvl>
    <w:lvl w:ilvl="5" w:tplc="5A8E59C0">
      <w:start w:val="1"/>
      <w:numFmt w:val="bullet"/>
      <w:lvlText w:val=""/>
      <w:lvlJc w:val="left"/>
      <w:pPr>
        <w:ind w:left="720" w:hanging="360"/>
      </w:pPr>
      <w:rPr>
        <w:rFonts w:ascii="Symbol" w:hAnsi="Symbol"/>
      </w:rPr>
    </w:lvl>
    <w:lvl w:ilvl="6" w:tplc="A01A9750">
      <w:start w:val="1"/>
      <w:numFmt w:val="bullet"/>
      <w:lvlText w:val=""/>
      <w:lvlJc w:val="left"/>
      <w:pPr>
        <w:ind w:left="720" w:hanging="360"/>
      </w:pPr>
      <w:rPr>
        <w:rFonts w:ascii="Symbol" w:hAnsi="Symbol"/>
      </w:rPr>
    </w:lvl>
    <w:lvl w:ilvl="7" w:tplc="720CA226">
      <w:start w:val="1"/>
      <w:numFmt w:val="bullet"/>
      <w:lvlText w:val=""/>
      <w:lvlJc w:val="left"/>
      <w:pPr>
        <w:ind w:left="720" w:hanging="360"/>
      </w:pPr>
      <w:rPr>
        <w:rFonts w:ascii="Symbol" w:hAnsi="Symbol"/>
      </w:rPr>
    </w:lvl>
    <w:lvl w:ilvl="8" w:tplc="393290BC">
      <w:start w:val="1"/>
      <w:numFmt w:val="bullet"/>
      <w:lvlText w:val=""/>
      <w:lvlJc w:val="left"/>
      <w:pPr>
        <w:ind w:left="720" w:hanging="360"/>
      </w:pPr>
      <w:rPr>
        <w:rFonts w:ascii="Symbol" w:hAnsi="Symbol"/>
      </w:rPr>
    </w:lvl>
  </w:abstractNum>
  <w:abstractNum w:abstractNumId="33" w15:restartNumberingAfterBreak="0">
    <w:nsid w:val="7E5313A9"/>
    <w:multiLevelType w:val="hybridMultilevel"/>
    <w:tmpl w:val="EC1ED3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9255427">
    <w:abstractNumId w:val="31"/>
  </w:num>
  <w:num w:numId="2" w16cid:durableId="1415202300">
    <w:abstractNumId w:val="15"/>
  </w:num>
  <w:num w:numId="3" w16cid:durableId="5269879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8999087">
    <w:abstractNumId w:val="0"/>
  </w:num>
  <w:num w:numId="5" w16cid:durableId="1813980871">
    <w:abstractNumId w:val="16"/>
  </w:num>
  <w:num w:numId="6" w16cid:durableId="1845121618">
    <w:abstractNumId w:val="7"/>
  </w:num>
  <w:num w:numId="7" w16cid:durableId="1124732071">
    <w:abstractNumId w:val="17"/>
  </w:num>
  <w:num w:numId="8" w16cid:durableId="1650282687">
    <w:abstractNumId w:val="16"/>
  </w:num>
  <w:num w:numId="9" w16cid:durableId="247160048">
    <w:abstractNumId w:val="26"/>
  </w:num>
  <w:num w:numId="10" w16cid:durableId="1712148981">
    <w:abstractNumId w:val="30"/>
  </w:num>
  <w:num w:numId="11" w16cid:durableId="248925091">
    <w:abstractNumId w:val="5"/>
  </w:num>
  <w:num w:numId="12" w16cid:durableId="1654138763">
    <w:abstractNumId w:val="14"/>
  </w:num>
  <w:num w:numId="13" w16cid:durableId="532160128">
    <w:abstractNumId w:val="18"/>
  </w:num>
  <w:num w:numId="14" w16cid:durableId="15623639">
    <w:abstractNumId w:val="19"/>
  </w:num>
  <w:num w:numId="15" w16cid:durableId="1178353526">
    <w:abstractNumId w:val="2"/>
  </w:num>
  <w:num w:numId="16" w16cid:durableId="908033887">
    <w:abstractNumId w:val="1"/>
  </w:num>
  <w:num w:numId="17" w16cid:durableId="2110077772">
    <w:abstractNumId w:val="10"/>
  </w:num>
  <w:num w:numId="18" w16cid:durableId="263461851">
    <w:abstractNumId w:val="13"/>
  </w:num>
  <w:num w:numId="19" w16cid:durableId="113594706">
    <w:abstractNumId w:val="9"/>
  </w:num>
  <w:num w:numId="20" w16cid:durableId="73177991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2025367">
    <w:abstractNumId w:val="27"/>
  </w:num>
  <w:num w:numId="22" w16cid:durableId="1141002170">
    <w:abstractNumId w:val="33"/>
  </w:num>
  <w:num w:numId="23" w16cid:durableId="648554106">
    <w:abstractNumId w:val="24"/>
  </w:num>
  <w:num w:numId="24" w16cid:durableId="1641836001">
    <w:abstractNumId w:val="22"/>
  </w:num>
  <w:num w:numId="25" w16cid:durableId="107820270">
    <w:abstractNumId w:val="11"/>
  </w:num>
  <w:num w:numId="26" w16cid:durableId="966543843">
    <w:abstractNumId w:val="23"/>
  </w:num>
  <w:num w:numId="27" w16cid:durableId="123282647">
    <w:abstractNumId w:val="32"/>
  </w:num>
  <w:num w:numId="28" w16cid:durableId="1828784707">
    <w:abstractNumId w:val="29"/>
  </w:num>
  <w:num w:numId="29" w16cid:durableId="1393043728">
    <w:abstractNumId w:val="21"/>
  </w:num>
  <w:num w:numId="30" w16cid:durableId="2122065857">
    <w:abstractNumId w:val="3"/>
  </w:num>
  <w:num w:numId="31" w16cid:durableId="1562910179">
    <w:abstractNumId w:val="28"/>
  </w:num>
  <w:num w:numId="32" w16cid:durableId="582833669">
    <w:abstractNumId w:val="6"/>
  </w:num>
  <w:num w:numId="33" w16cid:durableId="526407658">
    <w:abstractNumId w:val="8"/>
  </w:num>
  <w:num w:numId="34" w16cid:durableId="2007246473">
    <w:abstractNumId w:val="4"/>
  </w:num>
  <w:num w:numId="35" w16cid:durableId="1437748934">
    <w:abstractNumId w:val="12"/>
  </w:num>
  <w:num w:numId="36" w16cid:durableId="932667838">
    <w:abstractNumId w:val="25"/>
  </w:num>
  <w:num w:numId="37" w16cid:durableId="1530025961">
    <w:abstractNumId w:val="31"/>
    <w:lvlOverride w:ilvl="0">
      <w:startOverride w:val="3"/>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04C"/>
    <w:rsid w:val="00000790"/>
    <w:rsid w:val="0000110B"/>
    <w:rsid w:val="000025EE"/>
    <w:rsid w:val="00003499"/>
    <w:rsid w:val="000039AC"/>
    <w:rsid w:val="000039B7"/>
    <w:rsid w:val="00003EF0"/>
    <w:rsid w:val="00003FCE"/>
    <w:rsid w:val="00004D85"/>
    <w:rsid w:val="00005550"/>
    <w:rsid w:val="000056B9"/>
    <w:rsid w:val="0000639A"/>
    <w:rsid w:val="00006454"/>
    <w:rsid w:val="0001015B"/>
    <w:rsid w:val="0001039C"/>
    <w:rsid w:val="0001041C"/>
    <w:rsid w:val="00010F60"/>
    <w:rsid w:val="00011271"/>
    <w:rsid w:val="000119EA"/>
    <w:rsid w:val="00011AF0"/>
    <w:rsid w:val="00011BD5"/>
    <w:rsid w:val="000120D9"/>
    <w:rsid w:val="00013247"/>
    <w:rsid w:val="00013CF3"/>
    <w:rsid w:val="000144DF"/>
    <w:rsid w:val="00014714"/>
    <w:rsid w:val="00014726"/>
    <w:rsid w:val="00015307"/>
    <w:rsid w:val="00015886"/>
    <w:rsid w:val="00015B99"/>
    <w:rsid w:val="000162EF"/>
    <w:rsid w:val="0001657D"/>
    <w:rsid w:val="00016CFB"/>
    <w:rsid w:val="00016D2B"/>
    <w:rsid w:val="00016E95"/>
    <w:rsid w:val="000200BD"/>
    <w:rsid w:val="000204F2"/>
    <w:rsid w:val="000207C9"/>
    <w:rsid w:val="00020CEA"/>
    <w:rsid w:val="00021126"/>
    <w:rsid w:val="00022151"/>
    <w:rsid w:val="0002225F"/>
    <w:rsid w:val="00022324"/>
    <w:rsid w:val="0002254C"/>
    <w:rsid w:val="00022EBD"/>
    <w:rsid w:val="000230DB"/>
    <w:rsid w:val="00023763"/>
    <w:rsid w:val="00023E34"/>
    <w:rsid w:val="00023E8D"/>
    <w:rsid w:val="000244DF"/>
    <w:rsid w:val="00024DB6"/>
    <w:rsid w:val="00024EB5"/>
    <w:rsid w:val="00025D9B"/>
    <w:rsid w:val="00027487"/>
    <w:rsid w:val="000274B8"/>
    <w:rsid w:val="00030382"/>
    <w:rsid w:val="0003045F"/>
    <w:rsid w:val="000308E9"/>
    <w:rsid w:val="00030915"/>
    <w:rsid w:val="00030F10"/>
    <w:rsid w:val="00030F21"/>
    <w:rsid w:val="00030FF4"/>
    <w:rsid w:val="000317C8"/>
    <w:rsid w:val="00031B2C"/>
    <w:rsid w:val="000326BF"/>
    <w:rsid w:val="00032D74"/>
    <w:rsid w:val="00033015"/>
    <w:rsid w:val="0003360D"/>
    <w:rsid w:val="00033863"/>
    <w:rsid w:val="000339F6"/>
    <w:rsid w:val="00033AA5"/>
    <w:rsid w:val="0003484D"/>
    <w:rsid w:val="00035284"/>
    <w:rsid w:val="0003576F"/>
    <w:rsid w:val="000357CE"/>
    <w:rsid w:val="00035DC0"/>
    <w:rsid w:val="00036829"/>
    <w:rsid w:val="00036BE0"/>
    <w:rsid w:val="00037265"/>
    <w:rsid w:val="000373BB"/>
    <w:rsid w:val="0003749F"/>
    <w:rsid w:val="000378EF"/>
    <w:rsid w:val="00040895"/>
    <w:rsid w:val="000408ED"/>
    <w:rsid w:val="000410A0"/>
    <w:rsid w:val="00041ACB"/>
    <w:rsid w:val="00041B2D"/>
    <w:rsid w:val="000428B8"/>
    <w:rsid w:val="00042EC3"/>
    <w:rsid w:val="00043189"/>
    <w:rsid w:val="000435EE"/>
    <w:rsid w:val="00043C37"/>
    <w:rsid w:val="00044C58"/>
    <w:rsid w:val="00044F52"/>
    <w:rsid w:val="00045017"/>
    <w:rsid w:val="00045409"/>
    <w:rsid w:val="00045A2B"/>
    <w:rsid w:val="0004698F"/>
    <w:rsid w:val="00046AF7"/>
    <w:rsid w:val="00046D64"/>
    <w:rsid w:val="00047FF4"/>
    <w:rsid w:val="00050398"/>
    <w:rsid w:val="0005055E"/>
    <w:rsid w:val="000508C2"/>
    <w:rsid w:val="00050D80"/>
    <w:rsid w:val="0005107E"/>
    <w:rsid w:val="00051085"/>
    <w:rsid w:val="00051293"/>
    <w:rsid w:val="000522FD"/>
    <w:rsid w:val="00052726"/>
    <w:rsid w:val="000527B9"/>
    <w:rsid w:val="00052EDC"/>
    <w:rsid w:val="0005349A"/>
    <w:rsid w:val="0005352E"/>
    <w:rsid w:val="000539D0"/>
    <w:rsid w:val="000542E3"/>
    <w:rsid w:val="00054621"/>
    <w:rsid w:val="000546D7"/>
    <w:rsid w:val="000548A3"/>
    <w:rsid w:val="00054A8D"/>
    <w:rsid w:val="00054D2A"/>
    <w:rsid w:val="000552F6"/>
    <w:rsid w:val="0005534D"/>
    <w:rsid w:val="00055710"/>
    <w:rsid w:val="00056ECF"/>
    <w:rsid w:val="0005703B"/>
    <w:rsid w:val="000576FD"/>
    <w:rsid w:val="0005794A"/>
    <w:rsid w:val="00057D52"/>
    <w:rsid w:val="000604DF"/>
    <w:rsid w:val="0006065A"/>
    <w:rsid w:val="00060B33"/>
    <w:rsid w:val="00061058"/>
    <w:rsid w:val="000611F0"/>
    <w:rsid w:val="00062289"/>
    <w:rsid w:val="00062324"/>
    <w:rsid w:val="00062D48"/>
    <w:rsid w:val="000632EB"/>
    <w:rsid w:val="00064240"/>
    <w:rsid w:val="0006435E"/>
    <w:rsid w:val="00064699"/>
    <w:rsid w:val="00064E9D"/>
    <w:rsid w:val="000653B5"/>
    <w:rsid w:val="00065BD1"/>
    <w:rsid w:val="00066360"/>
    <w:rsid w:val="00066A57"/>
    <w:rsid w:val="00066AF8"/>
    <w:rsid w:val="00066F9A"/>
    <w:rsid w:val="000671A1"/>
    <w:rsid w:val="000679F7"/>
    <w:rsid w:val="00067E32"/>
    <w:rsid w:val="0007009F"/>
    <w:rsid w:val="00070750"/>
    <w:rsid w:val="00070D18"/>
    <w:rsid w:val="00070DED"/>
    <w:rsid w:val="00071248"/>
    <w:rsid w:val="00071532"/>
    <w:rsid w:val="00071C74"/>
    <w:rsid w:val="00071F10"/>
    <w:rsid w:val="000720B9"/>
    <w:rsid w:val="00072D62"/>
    <w:rsid w:val="00073683"/>
    <w:rsid w:val="000737F7"/>
    <w:rsid w:val="00073A9C"/>
    <w:rsid w:val="00073ACB"/>
    <w:rsid w:val="00073CBB"/>
    <w:rsid w:val="00073E04"/>
    <w:rsid w:val="00074230"/>
    <w:rsid w:val="00074458"/>
    <w:rsid w:val="00074587"/>
    <w:rsid w:val="00074816"/>
    <w:rsid w:val="0007495E"/>
    <w:rsid w:val="0007519D"/>
    <w:rsid w:val="00075D51"/>
    <w:rsid w:val="0007605D"/>
    <w:rsid w:val="0007672F"/>
    <w:rsid w:val="00076B54"/>
    <w:rsid w:val="00076D4A"/>
    <w:rsid w:val="00076FEE"/>
    <w:rsid w:val="0007716A"/>
    <w:rsid w:val="000774F0"/>
    <w:rsid w:val="00077E61"/>
    <w:rsid w:val="000805FA"/>
    <w:rsid w:val="00080741"/>
    <w:rsid w:val="00080909"/>
    <w:rsid w:val="00080FFD"/>
    <w:rsid w:val="00081086"/>
    <w:rsid w:val="0008117D"/>
    <w:rsid w:val="000812CA"/>
    <w:rsid w:val="00081303"/>
    <w:rsid w:val="0008158D"/>
    <w:rsid w:val="00081E40"/>
    <w:rsid w:val="00081E63"/>
    <w:rsid w:val="000822BF"/>
    <w:rsid w:val="0008258D"/>
    <w:rsid w:val="00082B78"/>
    <w:rsid w:val="00082E7D"/>
    <w:rsid w:val="00083279"/>
    <w:rsid w:val="00083475"/>
    <w:rsid w:val="000836D9"/>
    <w:rsid w:val="00083E99"/>
    <w:rsid w:val="0008468A"/>
    <w:rsid w:val="00084732"/>
    <w:rsid w:val="00084B16"/>
    <w:rsid w:val="00084C88"/>
    <w:rsid w:val="00084FA8"/>
    <w:rsid w:val="0008500D"/>
    <w:rsid w:val="000855AB"/>
    <w:rsid w:val="000856C5"/>
    <w:rsid w:val="00085A7F"/>
    <w:rsid w:val="00085B28"/>
    <w:rsid w:val="00085C31"/>
    <w:rsid w:val="00085F0E"/>
    <w:rsid w:val="00086688"/>
    <w:rsid w:val="0008677D"/>
    <w:rsid w:val="00086EF4"/>
    <w:rsid w:val="000873BE"/>
    <w:rsid w:val="0008749F"/>
    <w:rsid w:val="00087834"/>
    <w:rsid w:val="00087F63"/>
    <w:rsid w:val="000902D9"/>
    <w:rsid w:val="00090C28"/>
    <w:rsid w:val="00090C3D"/>
    <w:rsid w:val="00090C7E"/>
    <w:rsid w:val="000911A9"/>
    <w:rsid w:val="000911AC"/>
    <w:rsid w:val="000923FE"/>
    <w:rsid w:val="00092600"/>
    <w:rsid w:val="0009262B"/>
    <w:rsid w:val="000929A6"/>
    <w:rsid w:val="000929FA"/>
    <w:rsid w:val="00092FF4"/>
    <w:rsid w:val="00093310"/>
    <w:rsid w:val="00093DB4"/>
    <w:rsid w:val="0009445C"/>
    <w:rsid w:val="000944C4"/>
    <w:rsid w:val="00094995"/>
    <w:rsid w:val="000949A5"/>
    <w:rsid w:val="00094C32"/>
    <w:rsid w:val="00095066"/>
    <w:rsid w:val="0009517D"/>
    <w:rsid w:val="00095200"/>
    <w:rsid w:val="0009526B"/>
    <w:rsid w:val="000959C6"/>
    <w:rsid w:val="00095FE5"/>
    <w:rsid w:val="00096284"/>
    <w:rsid w:val="00096775"/>
    <w:rsid w:val="00096884"/>
    <w:rsid w:val="00096C54"/>
    <w:rsid w:val="000A034F"/>
    <w:rsid w:val="000A0905"/>
    <w:rsid w:val="000A0D72"/>
    <w:rsid w:val="000A0DC8"/>
    <w:rsid w:val="000A1261"/>
    <w:rsid w:val="000A170B"/>
    <w:rsid w:val="000A1AB1"/>
    <w:rsid w:val="000A1BC0"/>
    <w:rsid w:val="000A21F6"/>
    <w:rsid w:val="000A2336"/>
    <w:rsid w:val="000A259E"/>
    <w:rsid w:val="000A272E"/>
    <w:rsid w:val="000A2E9A"/>
    <w:rsid w:val="000A2F9E"/>
    <w:rsid w:val="000A305E"/>
    <w:rsid w:val="000A3AD7"/>
    <w:rsid w:val="000A3E47"/>
    <w:rsid w:val="000A4071"/>
    <w:rsid w:val="000A5092"/>
    <w:rsid w:val="000A5160"/>
    <w:rsid w:val="000A522B"/>
    <w:rsid w:val="000A5275"/>
    <w:rsid w:val="000A554A"/>
    <w:rsid w:val="000A591E"/>
    <w:rsid w:val="000A59DF"/>
    <w:rsid w:val="000A5B45"/>
    <w:rsid w:val="000A6039"/>
    <w:rsid w:val="000A6365"/>
    <w:rsid w:val="000A657A"/>
    <w:rsid w:val="000A7453"/>
    <w:rsid w:val="000A7758"/>
    <w:rsid w:val="000A79D2"/>
    <w:rsid w:val="000A7BE4"/>
    <w:rsid w:val="000A7D08"/>
    <w:rsid w:val="000B0121"/>
    <w:rsid w:val="000B0670"/>
    <w:rsid w:val="000B0E75"/>
    <w:rsid w:val="000B0FD7"/>
    <w:rsid w:val="000B1116"/>
    <w:rsid w:val="000B11C3"/>
    <w:rsid w:val="000B1619"/>
    <w:rsid w:val="000B183D"/>
    <w:rsid w:val="000B1F6B"/>
    <w:rsid w:val="000B2838"/>
    <w:rsid w:val="000B2DCB"/>
    <w:rsid w:val="000B3A11"/>
    <w:rsid w:val="000B4793"/>
    <w:rsid w:val="000B4CE5"/>
    <w:rsid w:val="000B4F27"/>
    <w:rsid w:val="000B5216"/>
    <w:rsid w:val="000B527A"/>
    <w:rsid w:val="000B5578"/>
    <w:rsid w:val="000B5CE0"/>
    <w:rsid w:val="000B644D"/>
    <w:rsid w:val="000B6822"/>
    <w:rsid w:val="000B6927"/>
    <w:rsid w:val="000B699E"/>
    <w:rsid w:val="000B6BC2"/>
    <w:rsid w:val="000B6CAC"/>
    <w:rsid w:val="000B6DF9"/>
    <w:rsid w:val="000B7113"/>
    <w:rsid w:val="000B7612"/>
    <w:rsid w:val="000B78AE"/>
    <w:rsid w:val="000B7D78"/>
    <w:rsid w:val="000C0D27"/>
    <w:rsid w:val="000C1482"/>
    <w:rsid w:val="000C1800"/>
    <w:rsid w:val="000C3DF9"/>
    <w:rsid w:val="000C45B9"/>
    <w:rsid w:val="000C4991"/>
    <w:rsid w:val="000C4CF2"/>
    <w:rsid w:val="000C52F9"/>
    <w:rsid w:val="000C56CD"/>
    <w:rsid w:val="000C6418"/>
    <w:rsid w:val="000C6713"/>
    <w:rsid w:val="000C67E5"/>
    <w:rsid w:val="000C69B8"/>
    <w:rsid w:val="000C7676"/>
    <w:rsid w:val="000C7A94"/>
    <w:rsid w:val="000D0106"/>
    <w:rsid w:val="000D0C90"/>
    <w:rsid w:val="000D1BFC"/>
    <w:rsid w:val="000D1D5D"/>
    <w:rsid w:val="000D20BE"/>
    <w:rsid w:val="000D2222"/>
    <w:rsid w:val="000D2554"/>
    <w:rsid w:val="000D26DA"/>
    <w:rsid w:val="000D281A"/>
    <w:rsid w:val="000D2848"/>
    <w:rsid w:val="000D29F9"/>
    <w:rsid w:val="000D326A"/>
    <w:rsid w:val="000D34CD"/>
    <w:rsid w:val="000D354F"/>
    <w:rsid w:val="000D39E5"/>
    <w:rsid w:val="000D3D4D"/>
    <w:rsid w:val="000D4E0D"/>
    <w:rsid w:val="000D4F41"/>
    <w:rsid w:val="000D51C0"/>
    <w:rsid w:val="000D51FB"/>
    <w:rsid w:val="000D5625"/>
    <w:rsid w:val="000D58FE"/>
    <w:rsid w:val="000D614E"/>
    <w:rsid w:val="000D6A19"/>
    <w:rsid w:val="000D7D89"/>
    <w:rsid w:val="000E02F4"/>
    <w:rsid w:val="000E0640"/>
    <w:rsid w:val="000E09C9"/>
    <w:rsid w:val="000E0A60"/>
    <w:rsid w:val="000E135D"/>
    <w:rsid w:val="000E18D8"/>
    <w:rsid w:val="000E18F9"/>
    <w:rsid w:val="000E27FE"/>
    <w:rsid w:val="000E2EA4"/>
    <w:rsid w:val="000E3103"/>
    <w:rsid w:val="000E3AC3"/>
    <w:rsid w:val="000E4494"/>
    <w:rsid w:val="000E48E9"/>
    <w:rsid w:val="000E50F1"/>
    <w:rsid w:val="000E59B1"/>
    <w:rsid w:val="000E5ABC"/>
    <w:rsid w:val="000E5DAE"/>
    <w:rsid w:val="000E5DC4"/>
    <w:rsid w:val="000E6BCB"/>
    <w:rsid w:val="000E7464"/>
    <w:rsid w:val="000E7658"/>
    <w:rsid w:val="000E797B"/>
    <w:rsid w:val="000E7C18"/>
    <w:rsid w:val="000F00BA"/>
    <w:rsid w:val="000F0644"/>
    <w:rsid w:val="000F0675"/>
    <w:rsid w:val="000F07EE"/>
    <w:rsid w:val="000F0CC9"/>
    <w:rsid w:val="000F0DC3"/>
    <w:rsid w:val="000F0F77"/>
    <w:rsid w:val="000F1652"/>
    <w:rsid w:val="000F1EC8"/>
    <w:rsid w:val="000F27D6"/>
    <w:rsid w:val="000F316A"/>
    <w:rsid w:val="000F326D"/>
    <w:rsid w:val="000F3C74"/>
    <w:rsid w:val="000F3FD0"/>
    <w:rsid w:val="000F46DD"/>
    <w:rsid w:val="000F4B49"/>
    <w:rsid w:val="000F4BB8"/>
    <w:rsid w:val="000F4F09"/>
    <w:rsid w:val="000F4FA9"/>
    <w:rsid w:val="000F5264"/>
    <w:rsid w:val="000F53FB"/>
    <w:rsid w:val="000F5954"/>
    <w:rsid w:val="000F5D72"/>
    <w:rsid w:val="000F6425"/>
    <w:rsid w:val="000F6A3A"/>
    <w:rsid w:val="000F7127"/>
    <w:rsid w:val="000F7B54"/>
    <w:rsid w:val="001000B3"/>
    <w:rsid w:val="0010043E"/>
    <w:rsid w:val="00100F8A"/>
    <w:rsid w:val="00101A76"/>
    <w:rsid w:val="00101C41"/>
    <w:rsid w:val="00101DB0"/>
    <w:rsid w:val="0010229C"/>
    <w:rsid w:val="001024C0"/>
    <w:rsid w:val="00102AC0"/>
    <w:rsid w:val="00103320"/>
    <w:rsid w:val="00103400"/>
    <w:rsid w:val="00103B04"/>
    <w:rsid w:val="0010410C"/>
    <w:rsid w:val="0010425B"/>
    <w:rsid w:val="0010452E"/>
    <w:rsid w:val="00104603"/>
    <w:rsid w:val="001048B1"/>
    <w:rsid w:val="0010493D"/>
    <w:rsid w:val="00104A8A"/>
    <w:rsid w:val="001054B3"/>
    <w:rsid w:val="001059FB"/>
    <w:rsid w:val="00105AE2"/>
    <w:rsid w:val="0010604C"/>
    <w:rsid w:val="0010604E"/>
    <w:rsid w:val="001060C6"/>
    <w:rsid w:val="001066F6"/>
    <w:rsid w:val="00106B80"/>
    <w:rsid w:val="00107220"/>
    <w:rsid w:val="00107358"/>
    <w:rsid w:val="001074AD"/>
    <w:rsid w:val="001075D9"/>
    <w:rsid w:val="00107766"/>
    <w:rsid w:val="00107794"/>
    <w:rsid w:val="00107A8A"/>
    <w:rsid w:val="0011032E"/>
    <w:rsid w:val="001106E0"/>
    <w:rsid w:val="00110803"/>
    <w:rsid w:val="00111E36"/>
    <w:rsid w:val="00112CF0"/>
    <w:rsid w:val="00113045"/>
    <w:rsid w:val="001131EB"/>
    <w:rsid w:val="001133A9"/>
    <w:rsid w:val="0011348B"/>
    <w:rsid w:val="001136C0"/>
    <w:rsid w:val="00114076"/>
    <w:rsid w:val="001145DD"/>
    <w:rsid w:val="00114CBA"/>
    <w:rsid w:val="0011595A"/>
    <w:rsid w:val="00115982"/>
    <w:rsid w:val="0011663A"/>
    <w:rsid w:val="0011682C"/>
    <w:rsid w:val="0011691C"/>
    <w:rsid w:val="00116978"/>
    <w:rsid w:val="0011697E"/>
    <w:rsid w:val="00116C53"/>
    <w:rsid w:val="00117286"/>
    <w:rsid w:val="001175D4"/>
    <w:rsid w:val="001175FC"/>
    <w:rsid w:val="00117615"/>
    <w:rsid w:val="00117FD6"/>
    <w:rsid w:val="00120078"/>
    <w:rsid w:val="001203E8"/>
    <w:rsid w:val="00120434"/>
    <w:rsid w:val="001207FC"/>
    <w:rsid w:val="00121148"/>
    <w:rsid w:val="001211A9"/>
    <w:rsid w:val="00121799"/>
    <w:rsid w:val="00121BBD"/>
    <w:rsid w:val="00122044"/>
    <w:rsid w:val="001222FC"/>
    <w:rsid w:val="001225F6"/>
    <w:rsid w:val="0012292F"/>
    <w:rsid w:val="00122B1A"/>
    <w:rsid w:val="00122B9A"/>
    <w:rsid w:val="00123511"/>
    <w:rsid w:val="00123902"/>
    <w:rsid w:val="001244FE"/>
    <w:rsid w:val="00124613"/>
    <w:rsid w:val="0012476F"/>
    <w:rsid w:val="001247B2"/>
    <w:rsid w:val="00124A3B"/>
    <w:rsid w:val="00124A51"/>
    <w:rsid w:val="00124B7F"/>
    <w:rsid w:val="00124F01"/>
    <w:rsid w:val="001259B5"/>
    <w:rsid w:val="00126621"/>
    <w:rsid w:val="00126858"/>
    <w:rsid w:val="00126B1D"/>
    <w:rsid w:val="001277AB"/>
    <w:rsid w:val="00127832"/>
    <w:rsid w:val="001301E9"/>
    <w:rsid w:val="00130497"/>
    <w:rsid w:val="001308E0"/>
    <w:rsid w:val="0013095B"/>
    <w:rsid w:val="00130D11"/>
    <w:rsid w:val="00131D82"/>
    <w:rsid w:val="00132003"/>
    <w:rsid w:val="0013278D"/>
    <w:rsid w:val="00132B22"/>
    <w:rsid w:val="00132F54"/>
    <w:rsid w:val="00133545"/>
    <w:rsid w:val="00133D36"/>
    <w:rsid w:val="00133E2D"/>
    <w:rsid w:val="00134C61"/>
    <w:rsid w:val="001362B5"/>
    <w:rsid w:val="00136528"/>
    <w:rsid w:val="00136DCE"/>
    <w:rsid w:val="00137014"/>
    <w:rsid w:val="00137645"/>
    <w:rsid w:val="0014015A"/>
    <w:rsid w:val="00140724"/>
    <w:rsid w:val="00140E99"/>
    <w:rsid w:val="0014239F"/>
    <w:rsid w:val="00142CDC"/>
    <w:rsid w:val="001438CA"/>
    <w:rsid w:val="00143F67"/>
    <w:rsid w:val="0014469B"/>
    <w:rsid w:val="001446A3"/>
    <w:rsid w:val="00145234"/>
    <w:rsid w:val="00145540"/>
    <w:rsid w:val="001455B2"/>
    <w:rsid w:val="001456B0"/>
    <w:rsid w:val="00145706"/>
    <w:rsid w:val="00145DC4"/>
    <w:rsid w:val="00146523"/>
    <w:rsid w:val="00146B3F"/>
    <w:rsid w:val="00146CA1"/>
    <w:rsid w:val="001474A8"/>
    <w:rsid w:val="00147828"/>
    <w:rsid w:val="00147D2F"/>
    <w:rsid w:val="00147F77"/>
    <w:rsid w:val="00150394"/>
    <w:rsid w:val="00150A39"/>
    <w:rsid w:val="00150F83"/>
    <w:rsid w:val="00151831"/>
    <w:rsid w:val="00151AB1"/>
    <w:rsid w:val="0015200B"/>
    <w:rsid w:val="00152030"/>
    <w:rsid w:val="001528F2"/>
    <w:rsid w:val="00152A0A"/>
    <w:rsid w:val="001547AB"/>
    <w:rsid w:val="001548C7"/>
    <w:rsid w:val="0015561C"/>
    <w:rsid w:val="00155898"/>
    <w:rsid w:val="00156BED"/>
    <w:rsid w:val="00156F8F"/>
    <w:rsid w:val="00156FF0"/>
    <w:rsid w:val="00157130"/>
    <w:rsid w:val="001576B1"/>
    <w:rsid w:val="00157964"/>
    <w:rsid w:val="001601CF"/>
    <w:rsid w:val="0016047B"/>
    <w:rsid w:val="0016065B"/>
    <w:rsid w:val="00160A4C"/>
    <w:rsid w:val="0016137C"/>
    <w:rsid w:val="0016152D"/>
    <w:rsid w:val="00161888"/>
    <w:rsid w:val="00161D10"/>
    <w:rsid w:val="0016208B"/>
    <w:rsid w:val="001624AE"/>
    <w:rsid w:val="00162913"/>
    <w:rsid w:val="00163310"/>
    <w:rsid w:val="00163EFF"/>
    <w:rsid w:val="00163F66"/>
    <w:rsid w:val="00163FFA"/>
    <w:rsid w:val="00164082"/>
    <w:rsid w:val="001641CD"/>
    <w:rsid w:val="0016478E"/>
    <w:rsid w:val="001647B6"/>
    <w:rsid w:val="001649E6"/>
    <w:rsid w:val="00165484"/>
    <w:rsid w:val="00165779"/>
    <w:rsid w:val="00165EC4"/>
    <w:rsid w:val="001661FB"/>
    <w:rsid w:val="00166E24"/>
    <w:rsid w:val="001671A0"/>
    <w:rsid w:val="00167258"/>
    <w:rsid w:val="0016767F"/>
    <w:rsid w:val="0016780A"/>
    <w:rsid w:val="00167842"/>
    <w:rsid w:val="00170097"/>
    <w:rsid w:val="0017027B"/>
    <w:rsid w:val="00170BF3"/>
    <w:rsid w:val="00171230"/>
    <w:rsid w:val="001713E4"/>
    <w:rsid w:val="00171A1C"/>
    <w:rsid w:val="00171F80"/>
    <w:rsid w:val="001723B4"/>
    <w:rsid w:val="00173389"/>
    <w:rsid w:val="00173565"/>
    <w:rsid w:val="00173B07"/>
    <w:rsid w:val="001745D1"/>
    <w:rsid w:val="00174E1F"/>
    <w:rsid w:val="001751FA"/>
    <w:rsid w:val="001752CD"/>
    <w:rsid w:val="001753CF"/>
    <w:rsid w:val="00175524"/>
    <w:rsid w:val="00175736"/>
    <w:rsid w:val="00175B4A"/>
    <w:rsid w:val="00177E42"/>
    <w:rsid w:val="00177E4A"/>
    <w:rsid w:val="00177E6E"/>
    <w:rsid w:val="001810C5"/>
    <w:rsid w:val="00181360"/>
    <w:rsid w:val="00181C10"/>
    <w:rsid w:val="00181D9C"/>
    <w:rsid w:val="00183763"/>
    <w:rsid w:val="001837FF"/>
    <w:rsid w:val="00183F33"/>
    <w:rsid w:val="00184B0E"/>
    <w:rsid w:val="00185D6E"/>
    <w:rsid w:val="00186ACC"/>
    <w:rsid w:val="00187331"/>
    <w:rsid w:val="0018752F"/>
    <w:rsid w:val="00187C98"/>
    <w:rsid w:val="00190489"/>
    <w:rsid w:val="001907DC"/>
    <w:rsid w:val="001909D7"/>
    <w:rsid w:val="00191CE8"/>
    <w:rsid w:val="0019237B"/>
    <w:rsid w:val="00192B85"/>
    <w:rsid w:val="00192CA5"/>
    <w:rsid w:val="001932B7"/>
    <w:rsid w:val="00193838"/>
    <w:rsid w:val="00193987"/>
    <w:rsid w:val="00193BD9"/>
    <w:rsid w:val="00194531"/>
    <w:rsid w:val="001949B4"/>
    <w:rsid w:val="00194AD8"/>
    <w:rsid w:val="00195222"/>
    <w:rsid w:val="0019542F"/>
    <w:rsid w:val="00195452"/>
    <w:rsid w:val="00195731"/>
    <w:rsid w:val="0019595B"/>
    <w:rsid w:val="00195D68"/>
    <w:rsid w:val="00196FC8"/>
    <w:rsid w:val="001973B5"/>
    <w:rsid w:val="001975D8"/>
    <w:rsid w:val="00197F9B"/>
    <w:rsid w:val="001A080E"/>
    <w:rsid w:val="001A08DB"/>
    <w:rsid w:val="001A1112"/>
    <w:rsid w:val="001A16CD"/>
    <w:rsid w:val="001A178E"/>
    <w:rsid w:val="001A2554"/>
    <w:rsid w:val="001A2D92"/>
    <w:rsid w:val="001A3073"/>
    <w:rsid w:val="001A35B4"/>
    <w:rsid w:val="001A3BA7"/>
    <w:rsid w:val="001A3CB6"/>
    <w:rsid w:val="001A3FC9"/>
    <w:rsid w:val="001A43FA"/>
    <w:rsid w:val="001A47C5"/>
    <w:rsid w:val="001A4FDB"/>
    <w:rsid w:val="001A59FB"/>
    <w:rsid w:val="001A5E9E"/>
    <w:rsid w:val="001A632D"/>
    <w:rsid w:val="001A6354"/>
    <w:rsid w:val="001A6366"/>
    <w:rsid w:val="001A6655"/>
    <w:rsid w:val="001A6B92"/>
    <w:rsid w:val="001A715B"/>
    <w:rsid w:val="001A79BF"/>
    <w:rsid w:val="001A7AE8"/>
    <w:rsid w:val="001A7B6F"/>
    <w:rsid w:val="001A7DCB"/>
    <w:rsid w:val="001B16AF"/>
    <w:rsid w:val="001B204E"/>
    <w:rsid w:val="001B21E0"/>
    <w:rsid w:val="001B2372"/>
    <w:rsid w:val="001B26C7"/>
    <w:rsid w:val="001B3443"/>
    <w:rsid w:val="001B3951"/>
    <w:rsid w:val="001B41BC"/>
    <w:rsid w:val="001B44D8"/>
    <w:rsid w:val="001B4D20"/>
    <w:rsid w:val="001B51A9"/>
    <w:rsid w:val="001B6099"/>
    <w:rsid w:val="001B6B60"/>
    <w:rsid w:val="001B7100"/>
    <w:rsid w:val="001B7A50"/>
    <w:rsid w:val="001B7EB8"/>
    <w:rsid w:val="001B7F84"/>
    <w:rsid w:val="001C002E"/>
    <w:rsid w:val="001C0262"/>
    <w:rsid w:val="001C0686"/>
    <w:rsid w:val="001C08AA"/>
    <w:rsid w:val="001C08B5"/>
    <w:rsid w:val="001C1426"/>
    <w:rsid w:val="001C21D7"/>
    <w:rsid w:val="001C2514"/>
    <w:rsid w:val="001C2A9B"/>
    <w:rsid w:val="001C2C3D"/>
    <w:rsid w:val="001C2ED1"/>
    <w:rsid w:val="001C2F2A"/>
    <w:rsid w:val="001C34ED"/>
    <w:rsid w:val="001C3DD6"/>
    <w:rsid w:val="001C3E37"/>
    <w:rsid w:val="001C4299"/>
    <w:rsid w:val="001C4874"/>
    <w:rsid w:val="001C48C7"/>
    <w:rsid w:val="001C4D95"/>
    <w:rsid w:val="001C4F61"/>
    <w:rsid w:val="001C5436"/>
    <w:rsid w:val="001C5F94"/>
    <w:rsid w:val="001C69C9"/>
    <w:rsid w:val="001C6D86"/>
    <w:rsid w:val="001C6E66"/>
    <w:rsid w:val="001C7134"/>
    <w:rsid w:val="001C7C76"/>
    <w:rsid w:val="001C7D9D"/>
    <w:rsid w:val="001D0E7C"/>
    <w:rsid w:val="001D1100"/>
    <w:rsid w:val="001D1391"/>
    <w:rsid w:val="001D20F0"/>
    <w:rsid w:val="001D25D7"/>
    <w:rsid w:val="001D2BA9"/>
    <w:rsid w:val="001D30DD"/>
    <w:rsid w:val="001D44E4"/>
    <w:rsid w:val="001D453A"/>
    <w:rsid w:val="001D50B2"/>
    <w:rsid w:val="001D51D7"/>
    <w:rsid w:val="001D6AC7"/>
    <w:rsid w:val="001D71F4"/>
    <w:rsid w:val="001D7645"/>
    <w:rsid w:val="001D776B"/>
    <w:rsid w:val="001D7789"/>
    <w:rsid w:val="001E0130"/>
    <w:rsid w:val="001E0423"/>
    <w:rsid w:val="001E10FC"/>
    <w:rsid w:val="001E13DE"/>
    <w:rsid w:val="001E141A"/>
    <w:rsid w:val="001E19FA"/>
    <w:rsid w:val="001E1E68"/>
    <w:rsid w:val="001E1E86"/>
    <w:rsid w:val="001E238E"/>
    <w:rsid w:val="001E2483"/>
    <w:rsid w:val="001E2678"/>
    <w:rsid w:val="001E2822"/>
    <w:rsid w:val="001E2B06"/>
    <w:rsid w:val="001E2B1E"/>
    <w:rsid w:val="001E2CFF"/>
    <w:rsid w:val="001E2F24"/>
    <w:rsid w:val="001E30A0"/>
    <w:rsid w:val="001E30D4"/>
    <w:rsid w:val="001E3334"/>
    <w:rsid w:val="001E3395"/>
    <w:rsid w:val="001E34DF"/>
    <w:rsid w:val="001E3FBC"/>
    <w:rsid w:val="001E4264"/>
    <w:rsid w:val="001E4574"/>
    <w:rsid w:val="001E4BEF"/>
    <w:rsid w:val="001E4EFA"/>
    <w:rsid w:val="001E4F2D"/>
    <w:rsid w:val="001E51B6"/>
    <w:rsid w:val="001E52EB"/>
    <w:rsid w:val="001E61D2"/>
    <w:rsid w:val="001E63FD"/>
    <w:rsid w:val="001E6606"/>
    <w:rsid w:val="001E6A2F"/>
    <w:rsid w:val="001E6FC2"/>
    <w:rsid w:val="001E740C"/>
    <w:rsid w:val="001F033D"/>
    <w:rsid w:val="001F0AC8"/>
    <w:rsid w:val="001F0C9B"/>
    <w:rsid w:val="001F1235"/>
    <w:rsid w:val="001F1323"/>
    <w:rsid w:val="001F1AE9"/>
    <w:rsid w:val="001F1CB3"/>
    <w:rsid w:val="001F1F9D"/>
    <w:rsid w:val="001F31E8"/>
    <w:rsid w:val="001F38B5"/>
    <w:rsid w:val="001F4081"/>
    <w:rsid w:val="001F4627"/>
    <w:rsid w:val="001F52F3"/>
    <w:rsid w:val="001F5A6A"/>
    <w:rsid w:val="001F5BAA"/>
    <w:rsid w:val="001F5E9D"/>
    <w:rsid w:val="001F6169"/>
    <w:rsid w:val="001F6278"/>
    <w:rsid w:val="001F64C1"/>
    <w:rsid w:val="001F6513"/>
    <w:rsid w:val="001F70B5"/>
    <w:rsid w:val="001F7361"/>
    <w:rsid w:val="00200468"/>
    <w:rsid w:val="002011B0"/>
    <w:rsid w:val="002014CF"/>
    <w:rsid w:val="002023AA"/>
    <w:rsid w:val="00202BCE"/>
    <w:rsid w:val="00202FA2"/>
    <w:rsid w:val="00203181"/>
    <w:rsid w:val="00203783"/>
    <w:rsid w:val="002037E9"/>
    <w:rsid w:val="0020385F"/>
    <w:rsid w:val="00203FC4"/>
    <w:rsid w:val="002048F5"/>
    <w:rsid w:val="002052CB"/>
    <w:rsid w:val="00205C21"/>
    <w:rsid w:val="00206023"/>
    <w:rsid w:val="0020616E"/>
    <w:rsid w:val="0020680C"/>
    <w:rsid w:val="00206892"/>
    <w:rsid w:val="002068A0"/>
    <w:rsid w:val="00207021"/>
    <w:rsid w:val="0020731B"/>
    <w:rsid w:val="0020732F"/>
    <w:rsid w:val="0020733E"/>
    <w:rsid w:val="002075C4"/>
    <w:rsid w:val="00207C48"/>
    <w:rsid w:val="00207D00"/>
    <w:rsid w:val="002105C1"/>
    <w:rsid w:val="00210945"/>
    <w:rsid w:val="002116FD"/>
    <w:rsid w:val="00211BB8"/>
    <w:rsid w:val="002121A8"/>
    <w:rsid w:val="002122CF"/>
    <w:rsid w:val="00213134"/>
    <w:rsid w:val="0021326F"/>
    <w:rsid w:val="00213EF5"/>
    <w:rsid w:val="00213F7F"/>
    <w:rsid w:val="0021565C"/>
    <w:rsid w:val="0021580B"/>
    <w:rsid w:val="0021692C"/>
    <w:rsid w:val="0021695E"/>
    <w:rsid w:val="00216BF5"/>
    <w:rsid w:val="0021754F"/>
    <w:rsid w:val="00220C62"/>
    <w:rsid w:val="002224F9"/>
    <w:rsid w:val="00222955"/>
    <w:rsid w:val="00222F8F"/>
    <w:rsid w:val="00223376"/>
    <w:rsid w:val="00223628"/>
    <w:rsid w:val="0022392B"/>
    <w:rsid w:val="00223B49"/>
    <w:rsid w:val="00223D5A"/>
    <w:rsid w:val="0022400A"/>
    <w:rsid w:val="0022400B"/>
    <w:rsid w:val="002243C0"/>
    <w:rsid w:val="0022447C"/>
    <w:rsid w:val="0022469A"/>
    <w:rsid w:val="0022499D"/>
    <w:rsid w:val="00224D2B"/>
    <w:rsid w:val="00224DD4"/>
    <w:rsid w:val="0022521B"/>
    <w:rsid w:val="00225518"/>
    <w:rsid w:val="00226165"/>
    <w:rsid w:val="00226262"/>
    <w:rsid w:val="00226627"/>
    <w:rsid w:val="00226A2B"/>
    <w:rsid w:val="00226F21"/>
    <w:rsid w:val="00227849"/>
    <w:rsid w:val="0022784A"/>
    <w:rsid w:val="002278A0"/>
    <w:rsid w:val="00227C70"/>
    <w:rsid w:val="00227E7A"/>
    <w:rsid w:val="00227FA3"/>
    <w:rsid w:val="002309CC"/>
    <w:rsid w:val="002310D7"/>
    <w:rsid w:val="0023153E"/>
    <w:rsid w:val="00231BA9"/>
    <w:rsid w:val="0023209F"/>
    <w:rsid w:val="00232140"/>
    <w:rsid w:val="0023231E"/>
    <w:rsid w:val="00232369"/>
    <w:rsid w:val="00232C54"/>
    <w:rsid w:val="002332E8"/>
    <w:rsid w:val="00233C01"/>
    <w:rsid w:val="0023413C"/>
    <w:rsid w:val="002346F0"/>
    <w:rsid w:val="00234914"/>
    <w:rsid w:val="002349E9"/>
    <w:rsid w:val="00234D25"/>
    <w:rsid w:val="0023578C"/>
    <w:rsid w:val="002358FE"/>
    <w:rsid w:val="00235A47"/>
    <w:rsid w:val="0023629D"/>
    <w:rsid w:val="0023672F"/>
    <w:rsid w:val="00236F89"/>
    <w:rsid w:val="00236FE1"/>
    <w:rsid w:val="00237255"/>
    <w:rsid w:val="002375E8"/>
    <w:rsid w:val="002379AA"/>
    <w:rsid w:val="00237DE3"/>
    <w:rsid w:val="002402C3"/>
    <w:rsid w:val="00240555"/>
    <w:rsid w:val="0024072F"/>
    <w:rsid w:val="002408B6"/>
    <w:rsid w:val="00240D8D"/>
    <w:rsid w:val="002412DB"/>
    <w:rsid w:val="002416A5"/>
    <w:rsid w:val="002416C5"/>
    <w:rsid w:val="0024198E"/>
    <w:rsid w:val="00241C8F"/>
    <w:rsid w:val="00241DD5"/>
    <w:rsid w:val="00241DDD"/>
    <w:rsid w:val="00241FA2"/>
    <w:rsid w:val="002424AF"/>
    <w:rsid w:val="0024316A"/>
    <w:rsid w:val="002433BD"/>
    <w:rsid w:val="0024347C"/>
    <w:rsid w:val="002439DC"/>
    <w:rsid w:val="00243D7B"/>
    <w:rsid w:val="00244147"/>
    <w:rsid w:val="002441D2"/>
    <w:rsid w:val="002443A1"/>
    <w:rsid w:val="002443B9"/>
    <w:rsid w:val="002444B8"/>
    <w:rsid w:val="00244567"/>
    <w:rsid w:val="0024497E"/>
    <w:rsid w:val="00244CD1"/>
    <w:rsid w:val="00244DC8"/>
    <w:rsid w:val="00244FF3"/>
    <w:rsid w:val="00245062"/>
    <w:rsid w:val="002458A4"/>
    <w:rsid w:val="002458BA"/>
    <w:rsid w:val="00245CE9"/>
    <w:rsid w:val="0024636C"/>
    <w:rsid w:val="00247925"/>
    <w:rsid w:val="00247E84"/>
    <w:rsid w:val="002502CC"/>
    <w:rsid w:val="00250382"/>
    <w:rsid w:val="002505AB"/>
    <w:rsid w:val="00250F67"/>
    <w:rsid w:val="00251006"/>
    <w:rsid w:val="00251153"/>
    <w:rsid w:val="00251724"/>
    <w:rsid w:val="002517B2"/>
    <w:rsid w:val="00251AB1"/>
    <w:rsid w:val="00251C1A"/>
    <w:rsid w:val="002524D5"/>
    <w:rsid w:val="00252ADD"/>
    <w:rsid w:val="002531C2"/>
    <w:rsid w:val="00253722"/>
    <w:rsid w:val="00253755"/>
    <w:rsid w:val="00253B1D"/>
    <w:rsid w:val="0025471C"/>
    <w:rsid w:val="00254DCF"/>
    <w:rsid w:val="0025534B"/>
    <w:rsid w:val="00255923"/>
    <w:rsid w:val="002559E0"/>
    <w:rsid w:val="00255AD3"/>
    <w:rsid w:val="00255BB7"/>
    <w:rsid w:val="00256655"/>
    <w:rsid w:val="00256B58"/>
    <w:rsid w:val="00257541"/>
    <w:rsid w:val="00257955"/>
    <w:rsid w:val="00257A39"/>
    <w:rsid w:val="00257AC4"/>
    <w:rsid w:val="00257BBE"/>
    <w:rsid w:val="00257C2D"/>
    <w:rsid w:val="00257CB2"/>
    <w:rsid w:val="00257D90"/>
    <w:rsid w:val="00260274"/>
    <w:rsid w:val="00260366"/>
    <w:rsid w:val="00261558"/>
    <w:rsid w:val="002615BE"/>
    <w:rsid w:val="0026183D"/>
    <w:rsid w:val="00261898"/>
    <w:rsid w:val="00261EEF"/>
    <w:rsid w:val="002621C5"/>
    <w:rsid w:val="002626DF"/>
    <w:rsid w:val="00262A1A"/>
    <w:rsid w:val="00262A87"/>
    <w:rsid w:val="00264647"/>
    <w:rsid w:val="00264D26"/>
    <w:rsid w:val="0026544A"/>
    <w:rsid w:val="0026559A"/>
    <w:rsid w:val="00265C94"/>
    <w:rsid w:val="00266838"/>
    <w:rsid w:val="00266DBB"/>
    <w:rsid w:val="002675F6"/>
    <w:rsid w:val="00267642"/>
    <w:rsid w:val="00267687"/>
    <w:rsid w:val="00267AEA"/>
    <w:rsid w:val="002700E6"/>
    <w:rsid w:val="002701C1"/>
    <w:rsid w:val="00270521"/>
    <w:rsid w:val="00270680"/>
    <w:rsid w:val="00271EE7"/>
    <w:rsid w:val="0027294B"/>
    <w:rsid w:val="00273C0D"/>
    <w:rsid w:val="00273EB4"/>
    <w:rsid w:val="002743D2"/>
    <w:rsid w:val="00274579"/>
    <w:rsid w:val="00274625"/>
    <w:rsid w:val="0027462F"/>
    <w:rsid w:val="00274682"/>
    <w:rsid w:val="00274E5F"/>
    <w:rsid w:val="00275158"/>
    <w:rsid w:val="00275C5A"/>
    <w:rsid w:val="00276895"/>
    <w:rsid w:val="002768BE"/>
    <w:rsid w:val="00276ADC"/>
    <w:rsid w:val="00276E12"/>
    <w:rsid w:val="002772C2"/>
    <w:rsid w:val="00277A38"/>
    <w:rsid w:val="00277B4C"/>
    <w:rsid w:val="00281014"/>
    <w:rsid w:val="002812CE"/>
    <w:rsid w:val="002812EB"/>
    <w:rsid w:val="00281D99"/>
    <w:rsid w:val="00281E39"/>
    <w:rsid w:val="00281E9D"/>
    <w:rsid w:val="0028381B"/>
    <w:rsid w:val="00283C83"/>
    <w:rsid w:val="00284374"/>
    <w:rsid w:val="00284B64"/>
    <w:rsid w:val="00285BCE"/>
    <w:rsid w:val="00286226"/>
    <w:rsid w:val="0028634C"/>
    <w:rsid w:val="002863A6"/>
    <w:rsid w:val="0028665D"/>
    <w:rsid w:val="00286BDD"/>
    <w:rsid w:val="002872CB"/>
    <w:rsid w:val="00287338"/>
    <w:rsid w:val="002906C1"/>
    <w:rsid w:val="002911F7"/>
    <w:rsid w:val="00291534"/>
    <w:rsid w:val="00291A3B"/>
    <w:rsid w:val="00292028"/>
    <w:rsid w:val="0029248D"/>
    <w:rsid w:val="002925C7"/>
    <w:rsid w:val="00292931"/>
    <w:rsid w:val="00292AED"/>
    <w:rsid w:val="00293166"/>
    <w:rsid w:val="00293458"/>
    <w:rsid w:val="0029372B"/>
    <w:rsid w:val="00293ADD"/>
    <w:rsid w:val="00293F2E"/>
    <w:rsid w:val="0029489B"/>
    <w:rsid w:val="0029495D"/>
    <w:rsid w:val="00294CF8"/>
    <w:rsid w:val="00294DC1"/>
    <w:rsid w:val="002959CF"/>
    <w:rsid w:val="00295C8E"/>
    <w:rsid w:val="00296514"/>
    <w:rsid w:val="00296A5A"/>
    <w:rsid w:val="0029766B"/>
    <w:rsid w:val="0029777E"/>
    <w:rsid w:val="00297ECF"/>
    <w:rsid w:val="002A051C"/>
    <w:rsid w:val="002A0B74"/>
    <w:rsid w:val="002A14AB"/>
    <w:rsid w:val="002A1F09"/>
    <w:rsid w:val="002A26E1"/>
    <w:rsid w:val="002A2809"/>
    <w:rsid w:val="002A2ADE"/>
    <w:rsid w:val="002A2F50"/>
    <w:rsid w:val="002A355B"/>
    <w:rsid w:val="002A3C44"/>
    <w:rsid w:val="002A4CB1"/>
    <w:rsid w:val="002A566F"/>
    <w:rsid w:val="002A5EB1"/>
    <w:rsid w:val="002A5F64"/>
    <w:rsid w:val="002A6702"/>
    <w:rsid w:val="002A6E2C"/>
    <w:rsid w:val="002A7943"/>
    <w:rsid w:val="002A7B33"/>
    <w:rsid w:val="002A7CE9"/>
    <w:rsid w:val="002B00E9"/>
    <w:rsid w:val="002B05A1"/>
    <w:rsid w:val="002B09A4"/>
    <w:rsid w:val="002B1368"/>
    <w:rsid w:val="002B1561"/>
    <w:rsid w:val="002B1C1F"/>
    <w:rsid w:val="002B260B"/>
    <w:rsid w:val="002B261A"/>
    <w:rsid w:val="002B29AB"/>
    <w:rsid w:val="002B3003"/>
    <w:rsid w:val="002B432F"/>
    <w:rsid w:val="002B46A4"/>
    <w:rsid w:val="002B4E92"/>
    <w:rsid w:val="002B53F8"/>
    <w:rsid w:val="002B624C"/>
    <w:rsid w:val="002B62B3"/>
    <w:rsid w:val="002B62FB"/>
    <w:rsid w:val="002B633E"/>
    <w:rsid w:val="002B6348"/>
    <w:rsid w:val="002B6661"/>
    <w:rsid w:val="002B66EE"/>
    <w:rsid w:val="002B6754"/>
    <w:rsid w:val="002B6CCE"/>
    <w:rsid w:val="002B74E6"/>
    <w:rsid w:val="002B7BC7"/>
    <w:rsid w:val="002C05C9"/>
    <w:rsid w:val="002C07B7"/>
    <w:rsid w:val="002C0B8F"/>
    <w:rsid w:val="002C0EDF"/>
    <w:rsid w:val="002C1390"/>
    <w:rsid w:val="002C14B6"/>
    <w:rsid w:val="002C16D6"/>
    <w:rsid w:val="002C17DA"/>
    <w:rsid w:val="002C1FF5"/>
    <w:rsid w:val="002C2510"/>
    <w:rsid w:val="002C2775"/>
    <w:rsid w:val="002C27C1"/>
    <w:rsid w:val="002C2BBA"/>
    <w:rsid w:val="002C2EB0"/>
    <w:rsid w:val="002C32E1"/>
    <w:rsid w:val="002C36E3"/>
    <w:rsid w:val="002C37DF"/>
    <w:rsid w:val="002C3F90"/>
    <w:rsid w:val="002C4945"/>
    <w:rsid w:val="002C4D87"/>
    <w:rsid w:val="002C4E99"/>
    <w:rsid w:val="002C5099"/>
    <w:rsid w:val="002C511B"/>
    <w:rsid w:val="002C5165"/>
    <w:rsid w:val="002C5889"/>
    <w:rsid w:val="002C5936"/>
    <w:rsid w:val="002C5948"/>
    <w:rsid w:val="002C670D"/>
    <w:rsid w:val="002C6DB6"/>
    <w:rsid w:val="002C710E"/>
    <w:rsid w:val="002C71CE"/>
    <w:rsid w:val="002C76F7"/>
    <w:rsid w:val="002D007F"/>
    <w:rsid w:val="002D08F8"/>
    <w:rsid w:val="002D1843"/>
    <w:rsid w:val="002D2244"/>
    <w:rsid w:val="002D2362"/>
    <w:rsid w:val="002D2A02"/>
    <w:rsid w:val="002D2BC0"/>
    <w:rsid w:val="002D2C98"/>
    <w:rsid w:val="002D2FFB"/>
    <w:rsid w:val="002D31BC"/>
    <w:rsid w:val="002D3AED"/>
    <w:rsid w:val="002D3B97"/>
    <w:rsid w:val="002D4A93"/>
    <w:rsid w:val="002D4C73"/>
    <w:rsid w:val="002D577C"/>
    <w:rsid w:val="002D5966"/>
    <w:rsid w:val="002D6530"/>
    <w:rsid w:val="002D6C62"/>
    <w:rsid w:val="002D7832"/>
    <w:rsid w:val="002D79B0"/>
    <w:rsid w:val="002D7BF9"/>
    <w:rsid w:val="002E04CE"/>
    <w:rsid w:val="002E09C2"/>
    <w:rsid w:val="002E1071"/>
    <w:rsid w:val="002E123B"/>
    <w:rsid w:val="002E15B9"/>
    <w:rsid w:val="002E1A1E"/>
    <w:rsid w:val="002E2158"/>
    <w:rsid w:val="002E243F"/>
    <w:rsid w:val="002E24AB"/>
    <w:rsid w:val="002E28C9"/>
    <w:rsid w:val="002E2DF4"/>
    <w:rsid w:val="002E430B"/>
    <w:rsid w:val="002E4440"/>
    <w:rsid w:val="002E461B"/>
    <w:rsid w:val="002E4F02"/>
    <w:rsid w:val="002E5311"/>
    <w:rsid w:val="002E5B1D"/>
    <w:rsid w:val="002E61A9"/>
    <w:rsid w:val="002E6A4F"/>
    <w:rsid w:val="002E6FFA"/>
    <w:rsid w:val="002E7072"/>
    <w:rsid w:val="002E70FD"/>
    <w:rsid w:val="002E72AC"/>
    <w:rsid w:val="002E7722"/>
    <w:rsid w:val="002F0523"/>
    <w:rsid w:val="002F06EF"/>
    <w:rsid w:val="002F0748"/>
    <w:rsid w:val="002F07BA"/>
    <w:rsid w:val="002F083C"/>
    <w:rsid w:val="002F0DA9"/>
    <w:rsid w:val="002F1014"/>
    <w:rsid w:val="002F13C3"/>
    <w:rsid w:val="002F1522"/>
    <w:rsid w:val="002F1CA3"/>
    <w:rsid w:val="002F1E3B"/>
    <w:rsid w:val="002F42DD"/>
    <w:rsid w:val="002F44DE"/>
    <w:rsid w:val="002F5490"/>
    <w:rsid w:val="002F5BE4"/>
    <w:rsid w:val="002F5C21"/>
    <w:rsid w:val="002F643C"/>
    <w:rsid w:val="002F670C"/>
    <w:rsid w:val="002F71C0"/>
    <w:rsid w:val="002F7470"/>
    <w:rsid w:val="002F74F1"/>
    <w:rsid w:val="002F7A85"/>
    <w:rsid w:val="002F7CBD"/>
    <w:rsid w:val="003007BE"/>
    <w:rsid w:val="0030091F"/>
    <w:rsid w:val="00300F2C"/>
    <w:rsid w:val="00301017"/>
    <w:rsid w:val="0030155F"/>
    <w:rsid w:val="00301C14"/>
    <w:rsid w:val="0030230D"/>
    <w:rsid w:val="00302C50"/>
    <w:rsid w:val="00302FDD"/>
    <w:rsid w:val="00303058"/>
    <w:rsid w:val="00303A70"/>
    <w:rsid w:val="00303B70"/>
    <w:rsid w:val="00303BBE"/>
    <w:rsid w:val="0030400C"/>
    <w:rsid w:val="0030451E"/>
    <w:rsid w:val="0030587B"/>
    <w:rsid w:val="00305E5D"/>
    <w:rsid w:val="0030691B"/>
    <w:rsid w:val="00306D98"/>
    <w:rsid w:val="00306F5E"/>
    <w:rsid w:val="003077D2"/>
    <w:rsid w:val="0030786C"/>
    <w:rsid w:val="00307C9D"/>
    <w:rsid w:val="0031031A"/>
    <w:rsid w:val="003103E4"/>
    <w:rsid w:val="00310981"/>
    <w:rsid w:val="00310992"/>
    <w:rsid w:val="003109A3"/>
    <w:rsid w:val="00310EDE"/>
    <w:rsid w:val="0031185B"/>
    <w:rsid w:val="00311D9B"/>
    <w:rsid w:val="003124D9"/>
    <w:rsid w:val="00312594"/>
    <w:rsid w:val="00312716"/>
    <w:rsid w:val="00312988"/>
    <w:rsid w:val="00312B98"/>
    <w:rsid w:val="003136DB"/>
    <w:rsid w:val="00313922"/>
    <w:rsid w:val="0031409B"/>
    <w:rsid w:val="00314228"/>
    <w:rsid w:val="003142C1"/>
    <w:rsid w:val="00315498"/>
    <w:rsid w:val="0031623E"/>
    <w:rsid w:val="003162FF"/>
    <w:rsid w:val="00316474"/>
    <w:rsid w:val="003176BB"/>
    <w:rsid w:val="00317CD2"/>
    <w:rsid w:val="00320567"/>
    <w:rsid w:val="0032075A"/>
    <w:rsid w:val="003207CA"/>
    <w:rsid w:val="003208A7"/>
    <w:rsid w:val="00320C3A"/>
    <w:rsid w:val="003210E9"/>
    <w:rsid w:val="00322016"/>
    <w:rsid w:val="00322107"/>
    <w:rsid w:val="00322355"/>
    <w:rsid w:val="00322656"/>
    <w:rsid w:val="00322846"/>
    <w:rsid w:val="00323133"/>
    <w:rsid w:val="00323BDD"/>
    <w:rsid w:val="003244BE"/>
    <w:rsid w:val="00324A82"/>
    <w:rsid w:val="00324ABD"/>
    <w:rsid w:val="003256D9"/>
    <w:rsid w:val="003264B3"/>
    <w:rsid w:val="003266E0"/>
    <w:rsid w:val="00326DA7"/>
    <w:rsid w:val="00326DDC"/>
    <w:rsid w:val="003270E4"/>
    <w:rsid w:val="00327CC9"/>
    <w:rsid w:val="00327EF6"/>
    <w:rsid w:val="00330374"/>
    <w:rsid w:val="0033096D"/>
    <w:rsid w:val="00330C0C"/>
    <w:rsid w:val="00330DAA"/>
    <w:rsid w:val="00330F5C"/>
    <w:rsid w:val="003335E8"/>
    <w:rsid w:val="00333646"/>
    <w:rsid w:val="00333B19"/>
    <w:rsid w:val="00334B1C"/>
    <w:rsid w:val="00334B73"/>
    <w:rsid w:val="00335992"/>
    <w:rsid w:val="00335B5A"/>
    <w:rsid w:val="003360F6"/>
    <w:rsid w:val="003366C9"/>
    <w:rsid w:val="00336822"/>
    <w:rsid w:val="00336E8B"/>
    <w:rsid w:val="003371B0"/>
    <w:rsid w:val="003375E6"/>
    <w:rsid w:val="00337D57"/>
    <w:rsid w:val="00337F68"/>
    <w:rsid w:val="003401E7"/>
    <w:rsid w:val="003407C8"/>
    <w:rsid w:val="00340DF1"/>
    <w:rsid w:val="003418BA"/>
    <w:rsid w:val="00342074"/>
    <w:rsid w:val="00342F85"/>
    <w:rsid w:val="00343273"/>
    <w:rsid w:val="0034351A"/>
    <w:rsid w:val="00343A81"/>
    <w:rsid w:val="003449DB"/>
    <w:rsid w:val="0034521D"/>
    <w:rsid w:val="00346044"/>
    <w:rsid w:val="0034610C"/>
    <w:rsid w:val="0034674E"/>
    <w:rsid w:val="00346810"/>
    <w:rsid w:val="00347958"/>
    <w:rsid w:val="00347A25"/>
    <w:rsid w:val="00347CC2"/>
    <w:rsid w:val="00350077"/>
    <w:rsid w:val="0035022E"/>
    <w:rsid w:val="00350717"/>
    <w:rsid w:val="00350875"/>
    <w:rsid w:val="00350BAE"/>
    <w:rsid w:val="00350BCF"/>
    <w:rsid w:val="003517F9"/>
    <w:rsid w:val="0035195E"/>
    <w:rsid w:val="00351BA9"/>
    <w:rsid w:val="003520A7"/>
    <w:rsid w:val="00352358"/>
    <w:rsid w:val="003525CC"/>
    <w:rsid w:val="0035265A"/>
    <w:rsid w:val="00352F63"/>
    <w:rsid w:val="003543D7"/>
    <w:rsid w:val="00354F64"/>
    <w:rsid w:val="0035512F"/>
    <w:rsid w:val="003554AB"/>
    <w:rsid w:val="0035620E"/>
    <w:rsid w:val="00356D76"/>
    <w:rsid w:val="00356E34"/>
    <w:rsid w:val="00356FA2"/>
    <w:rsid w:val="003575BE"/>
    <w:rsid w:val="00357EF3"/>
    <w:rsid w:val="00360345"/>
    <w:rsid w:val="003604D0"/>
    <w:rsid w:val="00360CD8"/>
    <w:rsid w:val="003613E8"/>
    <w:rsid w:val="003619F1"/>
    <w:rsid w:val="00361A05"/>
    <w:rsid w:val="00361A25"/>
    <w:rsid w:val="003622A4"/>
    <w:rsid w:val="00362454"/>
    <w:rsid w:val="003624C4"/>
    <w:rsid w:val="00362A5B"/>
    <w:rsid w:val="00362AD1"/>
    <w:rsid w:val="00363068"/>
    <w:rsid w:val="003631F0"/>
    <w:rsid w:val="00363663"/>
    <w:rsid w:val="003637B9"/>
    <w:rsid w:val="0036392A"/>
    <w:rsid w:val="00363B00"/>
    <w:rsid w:val="00363CF8"/>
    <w:rsid w:val="0036413F"/>
    <w:rsid w:val="0036456F"/>
    <w:rsid w:val="00364FE8"/>
    <w:rsid w:val="003654AC"/>
    <w:rsid w:val="00365A3F"/>
    <w:rsid w:val="00365D2F"/>
    <w:rsid w:val="003663FD"/>
    <w:rsid w:val="0036642B"/>
    <w:rsid w:val="00366ADE"/>
    <w:rsid w:val="00366B5E"/>
    <w:rsid w:val="00366F45"/>
    <w:rsid w:val="003670F8"/>
    <w:rsid w:val="0037068E"/>
    <w:rsid w:val="00370B25"/>
    <w:rsid w:val="00370D36"/>
    <w:rsid w:val="00370EBF"/>
    <w:rsid w:val="003710CF"/>
    <w:rsid w:val="003712A3"/>
    <w:rsid w:val="00371767"/>
    <w:rsid w:val="00371783"/>
    <w:rsid w:val="0037237F"/>
    <w:rsid w:val="00372858"/>
    <w:rsid w:val="00372A8F"/>
    <w:rsid w:val="00372AD3"/>
    <w:rsid w:val="00372ADF"/>
    <w:rsid w:val="00372D82"/>
    <w:rsid w:val="00372E88"/>
    <w:rsid w:val="0037358A"/>
    <w:rsid w:val="00373A92"/>
    <w:rsid w:val="00373B0D"/>
    <w:rsid w:val="003750F6"/>
    <w:rsid w:val="00375398"/>
    <w:rsid w:val="0037550E"/>
    <w:rsid w:val="003755FC"/>
    <w:rsid w:val="003757F1"/>
    <w:rsid w:val="003760FC"/>
    <w:rsid w:val="0037643D"/>
    <w:rsid w:val="00376A25"/>
    <w:rsid w:val="00376F33"/>
    <w:rsid w:val="0037796F"/>
    <w:rsid w:val="00380197"/>
    <w:rsid w:val="003809C4"/>
    <w:rsid w:val="00380C6E"/>
    <w:rsid w:val="00380F08"/>
    <w:rsid w:val="003819DD"/>
    <w:rsid w:val="00382470"/>
    <w:rsid w:val="0038307A"/>
    <w:rsid w:val="0038365C"/>
    <w:rsid w:val="0038369B"/>
    <w:rsid w:val="003839A4"/>
    <w:rsid w:val="00383B78"/>
    <w:rsid w:val="003850CD"/>
    <w:rsid w:val="00385598"/>
    <w:rsid w:val="0038570D"/>
    <w:rsid w:val="00385A9D"/>
    <w:rsid w:val="00386021"/>
    <w:rsid w:val="00386290"/>
    <w:rsid w:val="00386898"/>
    <w:rsid w:val="00387121"/>
    <w:rsid w:val="003872EC"/>
    <w:rsid w:val="00387B39"/>
    <w:rsid w:val="00390221"/>
    <w:rsid w:val="003902B1"/>
    <w:rsid w:val="00390A4D"/>
    <w:rsid w:val="00390B46"/>
    <w:rsid w:val="00390CE0"/>
    <w:rsid w:val="00390FDB"/>
    <w:rsid w:val="00391625"/>
    <w:rsid w:val="0039179C"/>
    <w:rsid w:val="003917E5"/>
    <w:rsid w:val="00393AD2"/>
    <w:rsid w:val="00393BD0"/>
    <w:rsid w:val="00394D2A"/>
    <w:rsid w:val="003950A4"/>
    <w:rsid w:val="003950BB"/>
    <w:rsid w:val="003955EF"/>
    <w:rsid w:val="00395731"/>
    <w:rsid w:val="003959D0"/>
    <w:rsid w:val="00395AF2"/>
    <w:rsid w:val="00395BD1"/>
    <w:rsid w:val="00395CD8"/>
    <w:rsid w:val="00396430"/>
    <w:rsid w:val="003967C5"/>
    <w:rsid w:val="00396896"/>
    <w:rsid w:val="00396A8E"/>
    <w:rsid w:val="00396B3E"/>
    <w:rsid w:val="00396FD0"/>
    <w:rsid w:val="00397323"/>
    <w:rsid w:val="00397946"/>
    <w:rsid w:val="00397CAB"/>
    <w:rsid w:val="003A06ED"/>
    <w:rsid w:val="003A147A"/>
    <w:rsid w:val="003A1A7A"/>
    <w:rsid w:val="003A2392"/>
    <w:rsid w:val="003A2831"/>
    <w:rsid w:val="003A3C5F"/>
    <w:rsid w:val="003A3CB6"/>
    <w:rsid w:val="003A3ED1"/>
    <w:rsid w:val="003A44DB"/>
    <w:rsid w:val="003A45B9"/>
    <w:rsid w:val="003A4A09"/>
    <w:rsid w:val="003A4C14"/>
    <w:rsid w:val="003A4CB6"/>
    <w:rsid w:val="003A4CC9"/>
    <w:rsid w:val="003A4E66"/>
    <w:rsid w:val="003A5BF9"/>
    <w:rsid w:val="003A5E96"/>
    <w:rsid w:val="003A6076"/>
    <w:rsid w:val="003A6E6A"/>
    <w:rsid w:val="003A7356"/>
    <w:rsid w:val="003A74B0"/>
    <w:rsid w:val="003A7BB8"/>
    <w:rsid w:val="003B08AA"/>
    <w:rsid w:val="003B0D77"/>
    <w:rsid w:val="003B185A"/>
    <w:rsid w:val="003B2CB2"/>
    <w:rsid w:val="003B35CD"/>
    <w:rsid w:val="003B37C2"/>
    <w:rsid w:val="003B3971"/>
    <w:rsid w:val="003B3D0B"/>
    <w:rsid w:val="003B3EF1"/>
    <w:rsid w:val="003B420D"/>
    <w:rsid w:val="003B473F"/>
    <w:rsid w:val="003B4761"/>
    <w:rsid w:val="003B4F77"/>
    <w:rsid w:val="003B507C"/>
    <w:rsid w:val="003B55D1"/>
    <w:rsid w:val="003B5B61"/>
    <w:rsid w:val="003B5BCB"/>
    <w:rsid w:val="003B5C24"/>
    <w:rsid w:val="003B693E"/>
    <w:rsid w:val="003B6D82"/>
    <w:rsid w:val="003B701D"/>
    <w:rsid w:val="003B7960"/>
    <w:rsid w:val="003C08A7"/>
    <w:rsid w:val="003C1654"/>
    <w:rsid w:val="003C1885"/>
    <w:rsid w:val="003C1B45"/>
    <w:rsid w:val="003C1DA6"/>
    <w:rsid w:val="003C1F7E"/>
    <w:rsid w:val="003C212C"/>
    <w:rsid w:val="003C23A5"/>
    <w:rsid w:val="003C25B6"/>
    <w:rsid w:val="003C2CA2"/>
    <w:rsid w:val="003C2F99"/>
    <w:rsid w:val="003C3278"/>
    <w:rsid w:val="003C42FD"/>
    <w:rsid w:val="003C45A6"/>
    <w:rsid w:val="003C4910"/>
    <w:rsid w:val="003C4981"/>
    <w:rsid w:val="003C4D6B"/>
    <w:rsid w:val="003C51B7"/>
    <w:rsid w:val="003C5542"/>
    <w:rsid w:val="003C572C"/>
    <w:rsid w:val="003C5B00"/>
    <w:rsid w:val="003C5B48"/>
    <w:rsid w:val="003C5DF1"/>
    <w:rsid w:val="003C600A"/>
    <w:rsid w:val="003C72F8"/>
    <w:rsid w:val="003C75B5"/>
    <w:rsid w:val="003C7600"/>
    <w:rsid w:val="003C78CB"/>
    <w:rsid w:val="003C7C15"/>
    <w:rsid w:val="003C7D19"/>
    <w:rsid w:val="003C7D2F"/>
    <w:rsid w:val="003D0C1C"/>
    <w:rsid w:val="003D0C5A"/>
    <w:rsid w:val="003D0D24"/>
    <w:rsid w:val="003D13E8"/>
    <w:rsid w:val="003D1828"/>
    <w:rsid w:val="003D18AD"/>
    <w:rsid w:val="003D1DE4"/>
    <w:rsid w:val="003D1E9A"/>
    <w:rsid w:val="003D2422"/>
    <w:rsid w:val="003D2ED4"/>
    <w:rsid w:val="003D2F6F"/>
    <w:rsid w:val="003D3356"/>
    <w:rsid w:val="003D380C"/>
    <w:rsid w:val="003D39A1"/>
    <w:rsid w:val="003D3FBF"/>
    <w:rsid w:val="003D4678"/>
    <w:rsid w:val="003D4A30"/>
    <w:rsid w:val="003D4BB9"/>
    <w:rsid w:val="003D529A"/>
    <w:rsid w:val="003D5DE7"/>
    <w:rsid w:val="003D6032"/>
    <w:rsid w:val="003D7452"/>
    <w:rsid w:val="003D7880"/>
    <w:rsid w:val="003D79BB"/>
    <w:rsid w:val="003D7AEC"/>
    <w:rsid w:val="003D7C98"/>
    <w:rsid w:val="003D7D9D"/>
    <w:rsid w:val="003E01B8"/>
    <w:rsid w:val="003E029C"/>
    <w:rsid w:val="003E0543"/>
    <w:rsid w:val="003E0560"/>
    <w:rsid w:val="003E0794"/>
    <w:rsid w:val="003E2085"/>
    <w:rsid w:val="003E211A"/>
    <w:rsid w:val="003E2247"/>
    <w:rsid w:val="003E2418"/>
    <w:rsid w:val="003E27E5"/>
    <w:rsid w:val="003E2D35"/>
    <w:rsid w:val="003E32FC"/>
    <w:rsid w:val="003E36C9"/>
    <w:rsid w:val="003E3709"/>
    <w:rsid w:val="003E457F"/>
    <w:rsid w:val="003E523D"/>
    <w:rsid w:val="003E5271"/>
    <w:rsid w:val="003E53B7"/>
    <w:rsid w:val="003E5603"/>
    <w:rsid w:val="003E5F1E"/>
    <w:rsid w:val="003E5F52"/>
    <w:rsid w:val="003E6376"/>
    <w:rsid w:val="003E724B"/>
    <w:rsid w:val="003E749E"/>
    <w:rsid w:val="003F0AE5"/>
    <w:rsid w:val="003F0D49"/>
    <w:rsid w:val="003F13B3"/>
    <w:rsid w:val="003F1B32"/>
    <w:rsid w:val="003F27B4"/>
    <w:rsid w:val="003F2999"/>
    <w:rsid w:val="003F30F5"/>
    <w:rsid w:val="003F3ADF"/>
    <w:rsid w:val="003F3F33"/>
    <w:rsid w:val="003F4156"/>
    <w:rsid w:val="003F4AAA"/>
    <w:rsid w:val="003F4CDC"/>
    <w:rsid w:val="003F5ADF"/>
    <w:rsid w:val="003F668E"/>
    <w:rsid w:val="003F6712"/>
    <w:rsid w:val="003F6FEA"/>
    <w:rsid w:val="004000A5"/>
    <w:rsid w:val="00400B29"/>
    <w:rsid w:val="00401A06"/>
    <w:rsid w:val="00401B9D"/>
    <w:rsid w:val="00401E8C"/>
    <w:rsid w:val="00402273"/>
    <w:rsid w:val="00402812"/>
    <w:rsid w:val="00402871"/>
    <w:rsid w:val="00402D49"/>
    <w:rsid w:val="004032BE"/>
    <w:rsid w:val="00403A61"/>
    <w:rsid w:val="004043AE"/>
    <w:rsid w:val="00404408"/>
    <w:rsid w:val="0040504B"/>
    <w:rsid w:val="0040534D"/>
    <w:rsid w:val="00405387"/>
    <w:rsid w:val="004059F4"/>
    <w:rsid w:val="00405C25"/>
    <w:rsid w:val="00406176"/>
    <w:rsid w:val="004063D0"/>
    <w:rsid w:val="004074F2"/>
    <w:rsid w:val="00407835"/>
    <w:rsid w:val="00407FE5"/>
    <w:rsid w:val="004101B0"/>
    <w:rsid w:val="0041025D"/>
    <w:rsid w:val="00410326"/>
    <w:rsid w:val="00410708"/>
    <w:rsid w:val="00410BE3"/>
    <w:rsid w:val="00410EC7"/>
    <w:rsid w:val="00411B39"/>
    <w:rsid w:val="0041232A"/>
    <w:rsid w:val="00412368"/>
    <w:rsid w:val="004127A7"/>
    <w:rsid w:val="00412AE4"/>
    <w:rsid w:val="00413A1E"/>
    <w:rsid w:val="00413C19"/>
    <w:rsid w:val="00413FD1"/>
    <w:rsid w:val="00414476"/>
    <w:rsid w:val="0041448B"/>
    <w:rsid w:val="0041469D"/>
    <w:rsid w:val="00414C2E"/>
    <w:rsid w:val="00414C4E"/>
    <w:rsid w:val="00414F6A"/>
    <w:rsid w:val="0041502B"/>
    <w:rsid w:val="004151CF"/>
    <w:rsid w:val="00415AAB"/>
    <w:rsid w:val="00415DC9"/>
    <w:rsid w:val="00416364"/>
    <w:rsid w:val="0041712B"/>
    <w:rsid w:val="004171A0"/>
    <w:rsid w:val="0041733C"/>
    <w:rsid w:val="00417905"/>
    <w:rsid w:val="0042047F"/>
    <w:rsid w:val="00420AA6"/>
    <w:rsid w:val="00420B9F"/>
    <w:rsid w:val="00420CAC"/>
    <w:rsid w:val="00420F5D"/>
    <w:rsid w:val="004211AC"/>
    <w:rsid w:val="00421598"/>
    <w:rsid w:val="0042192C"/>
    <w:rsid w:val="00421BD6"/>
    <w:rsid w:val="0042217F"/>
    <w:rsid w:val="00422260"/>
    <w:rsid w:val="00422B06"/>
    <w:rsid w:val="004231B2"/>
    <w:rsid w:val="0042334D"/>
    <w:rsid w:val="004233E2"/>
    <w:rsid w:val="00423727"/>
    <w:rsid w:val="00423F55"/>
    <w:rsid w:val="0042413F"/>
    <w:rsid w:val="00424641"/>
    <w:rsid w:val="004250CB"/>
    <w:rsid w:val="00425E27"/>
    <w:rsid w:val="00426BD6"/>
    <w:rsid w:val="0042702E"/>
    <w:rsid w:val="004272AA"/>
    <w:rsid w:val="0042796B"/>
    <w:rsid w:val="00427F44"/>
    <w:rsid w:val="00427F87"/>
    <w:rsid w:val="00427FA6"/>
    <w:rsid w:val="00430980"/>
    <w:rsid w:val="00431023"/>
    <w:rsid w:val="0043174A"/>
    <w:rsid w:val="004319F8"/>
    <w:rsid w:val="00431E55"/>
    <w:rsid w:val="004321C1"/>
    <w:rsid w:val="004321F6"/>
    <w:rsid w:val="004323C3"/>
    <w:rsid w:val="0043274D"/>
    <w:rsid w:val="00432859"/>
    <w:rsid w:val="00432AFF"/>
    <w:rsid w:val="00433044"/>
    <w:rsid w:val="00433188"/>
    <w:rsid w:val="004331D3"/>
    <w:rsid w:val="00433372"/>
    <w:rsid w:val="00433764"/>
    <w:rsid w:val="00433A9A"/>
    <w:rsid w:val="00434088"/>
    <w:rsid w:val="00434244"/>
    <w:rsid w:val="004342EA"/>
    <w:rsid w:val="0043466E"/>
    <w:rsid w:val="004348E0"/>
    <w:rsid w:val="0043497F"/>
    <w:rsid w:val="00434DE8"/>
    <w:rsid w:val="00435A0C"/>
    <w:rsid w:val="00437036"/>
    <w:rsid w:val="004373AC"/>
    <w:rsid w:val="004373B0"/>
    <w:rsid w:val="004373EC"/>
    <w:rsid w:val="004375B9"/>
    <w:rsid w:val="004377EA"/>
    <w:rsid w:val="00437C1C"/>
    <w:rsid w:val="00440026"/>
    <w:rsid w:val="00440ED1"/>
    <w:rsid w:val="004428D0"/>
    <w:rsid w:val="0044294C"/>
    <w:rsid w:val="00442A99"/>
    <w:rsid w:val="00442EF2"/>
    <w:rsid w:val="00443042"/>
    <w:rsid w:val="0044335B"/>
    <w:rsid w:val="00443605"/>
    <w:rsid w:val="00443727"/>
    <w:rsid w:val="00443B4C"/>
    <w:rsid w:val="00444185"/>
    <w:rsid w:val="004443A7"/>
    <w:rsid w:val="00444428"/>
    <w:rsid w:val="0044442C"/>
    <w:rsid w:val="00444863"/>
    <w:rsid w:val="00444CE9"/>
    <w:rsid w:val="0044518D"/>
    <w:rsid w:val="00445272"/>
    <w:rsid w:val="00445884"/>
    <w:rsid w:val="00445941"/>
    <w:rsid w:val="0044609F"/>
    <w:rsid w:val="004464EB"/>
    <w:rsid w:val="004472AA"/>
    <w:rsid w:val="00447D26"/>
    <w:rsid w:val="00447DFC"/>
    <w:rsid w:val="00447FEA"/>
    <w:rsid w:val="00450FCE"/>
    <w:rsid w:val="00451191"/>
    <w:rsid w:val="00451390"/>
    <w:rsid w:val="00451798"/>
    <w:rsid w:val="004523EC"/>
    <w:rsid w:val="00452454"/>
    <w:rsid w:val="00452731"/>
    <w:rsid w:val="00452776"/>
    <w:rsid w:val="004527D1"/>
    <w:rsid w:val="00453BE1"/>
    <w:rsid w:val="00453EAA"/>
    <w:rsid w:val="00454696"/>
    <w:rsid w:val="00454E24"/>
    <w:rsid w:val="004552F9"/>
    <w:rsid w:val="0045554C"/>
    <w:rsid w:val="00455613"/>
    <w:rsid w:val="00455D45"/>
    <w:rsid w:val="00455EE6"/>
    <w:rsid w:val="00455F17"/>
    <w:rsid w:val="004564C8"/>
    <w:rsid w:val="0045684A"/>
    <w:rsid w:val="00456DA5"/>
    <w:rsid w:val="00456FA6"/>
    <w:rsid w:val="00457A42"/>
    <w:rsid w:val="00460549"/>
    <w:rsid w:val="00460931"/>
    <w:rsid w:val="00460D5C"/>
    <w:rsid w:val="00461506"/>
    <w:rsid w:val="00461B7B"/>
    <w:rsid w:val="00461E30"/>
    <w:rsid w:val="0046254F"/>
    <w:rsid w:val="00462888"/>
    <w:rsid w:val="00462F69"/>
    <w:rsid w:val="00463832"/>
    <w:rsid w:val="00463EDD"/>
    <w:rsid w:val="00464595"/>
    <w:rsid w:val="00464EF7"/>
    <w:rsid w:val="004658B5"/>
    <w:rsid w:val="00465FF8"/>
    <w:rsid w:val="0046604D"/>
    <w:rsid w:val="004662E7"/>
    <w:rsid w:val="004670BF"/>
    <w:rsid w:val="004670CE"/>
    <w:rsid w:val="004676B2"/>
    <w:rsid w:val="00467B87"/>
    <w:rsid w:val="00470BA7"/>
    <w:rsid w:val="0047147C"/>
    <w:rsid w:val="00471A45"/>
    <w:rsid w:val="00471B09"/>
    <w:rsid w:val="00471EA5"/>
    <w:rsid w:val="00472826"/>
    <w:rsid w:val="00472A79"/>
    <w:rsid w:val="00472C88"/>
    <w:rsid w:val="00472E30"/>
    <w:rsid w:val="004737D6"/>
    <w:rsid w:val="00473C8B"/>
    <w:rsid w:val="00473F19"/>
    <w:rsid w:val="00474D31"/>
    <w:rsid w:val="00474E03"/>
    <w:rsid w:val="00474E30"/>
    <w:rsid w:val="00474F91"/>
    <w:rsid w:val="0047505C"/>
    <w:rsid w:val="0047540E"/>
    <w:rsid w:val="00475E22"/>
    <w:rsid w:val="0047610E"/>
    <w:rsid w:val="004761FE"/>
    <w:rsid w:val="00476842"/>
    <w:rsid w:val="004770C2"/>
    <w:rsid w:val="00480324"/>
    <w:rsid w:val="0048088E"/>
    <w:rsid w:val="00480F2B"/>
    <w:rsid w:val="004816DE"/>
    <w:rsid w:val="00481AD1"/>
    <w:rsid w:val="00482102"/>
    <w:rsid w:val="00482720"/>
    <w:rsid w:val="00482790"/>
    <w:rsid w:val="00482A6C"/>
    <w:rsid w:val="00482C18"/>
    <w:rsid w:val="00482C3D"/>
    <w:rsid w:val="00482C86"/>
    <w:rsid w:val="004835E7"/>
    <w:rsid w:val="00483691"/>
    <w:rsid w:val="004837F9"/>
    <w:rsid w:val="00483E0F"/>
    <w:rsid w:val="00484A0F"/>
    <w:rsid w:val="00484E2A"/>
    <w:rsid w:val="004852F3"/>
    <w:rsid w:val="004856CD"/>
    <w:rsid w:val="004859E1"/>
    <w:rsid w:val="004867E2"/>
    <w:rsid w:val="00486BB1"/>
    <w:rsid w:val="004874B4"/>
    <w:rsid w:val="00487A31"/>
    <w:rsid w:val="00487FBD"/>
    <w:rsid w:val="0049026A"/>
    <w:rsid w:val="00490B17"/>
    <w:rsid w:val="00490D68"/>
    <w:rsid w:val="00490FC1"/>
    <w:rsid w:val="00491282"/>
    <w:rsid w:val="004914A4"/>
    <w:rsid w:val="00491B3A"/>
    <w:rsid w:val="0049294D"/>
    <w:rsid w:val="00492AF0"/>
    <w:rsid w:val="00492CFD"/>
    <w:rsid w:val="00492DAE"/>
    <w:rsid w:val="00493843"/>
    <w:rsid w:val="00493F7A"/>
    <w:rsid w:val="00494207"/>
    <w:rsid w:val="00494DD5"/>
    <w:rsid w:val="004962D2"/>
    <w:rsid w:val="00496389"/>
    <w:rsid w:val="00496DF1"/>
    <w:rsid w:val="00497018"/>
    <w:rsid w:val="00497158"/>
    <w:rsid w:val="00497405"/>
    <w:rsid w:val="0049752A"/>
    <w:rsid w:val="004979C8"/>
    <w:rsid w:val="00497E2C"/>
    <w:rsid w:val="004A0000"/>
    <w:rsid w:val="004A0CE5"/>
    <w:rsid w:val="004A0DA1"/>
    <w:rsid w:val="004A125F"/>
    <w:rsid w:val="004A13D6"/>
    <w:rsid w:val="004A1C56"/>
    <w:rsid w:val="004A1EF3"/>
    <w:rsid w:val="004A24E1"/>
    <w:rsid w:val="004A25DD"/>
    <w:rsid w:val="004A2D8A"/>
    <w:rsid w:val="004A33CE"/>
    <w:rsid w:val="004A377C"/>
    <w:rsid w:val="004A39CE"/>
    <w:rsid w:val="004A3CB5"/>
    <w:rsid w:val="004A4194"/>
    <w:rsid w:val="004A448E"/>
    <w:rsid w:val="004A45CB"/>
    <w:rsid w:val="004A486F"/>
    <w:rsid w:val="004A4DB7"/>
    <w:rsid w:val="004A4E36"/>
    <w:rsid w:val="004A5153"/>
    <w:rsid w:val="004A52E9"/>
    <w:rsid w:val="004A58BA"/>
    <w:rsid w:val="004A59BD"/>
    <w:rsid w:val="004A5DDE"/>
    <w:rsid w:val="004A6040"/>
    <w:rsid w:val="004A64E2"/>
    <w:rsid w:val="004A6597"/>
    <w:rsid w:val="004A6740"/>
    <w:rsid w:val="004A684B"/>
    <w:rsid w:val="004A69C6"/>
    <w:rsid w:val="004A718F"/>
    <w:rsid w:val="004A766C"/>
    <w:rsid w:val="004A7848"/>
    <w:rsid w:val="004A793B"/>
    <w:rsid w:val="004B0108"/>
    <w:rsid w:val="004B03D3"/>
    <w:rsid w:val="004B0411"/>
    <w:rsid w:val="004B04EC"/>
    <w:rsid w:val="004B10B8"/>
    <w:rsid w:val="004B110F"/>
    <w:rsid w:val="004B1360"/>
    <w:rsid w:val="004B1681"/>
    <w:rsid w:val="004B16B4"/>
    <w:rsid w:val="004B1CB4"/>
    <w:rsid w:val="004B1F0A"/>
    <w:rsid w:val="004B2167"/>
    <w:rsid w:val="004B2F18"/>
    <w:rsid w:val="004B2F74"/>
    <w:rsid w:val="004B2F9D"/>
    <w:rsid w:val="004B3431"/>
    <w:rsid w:val="004B3DDB"/>
    <w:rsid w:val="004B4430"/>
    <w:rsid w:val="004B44FD"/>
    <w:rsid w:val="004B5CFC"/>
    <w:rsid w:val="004B64B8"/>
    <w:rsid w:val="004B69A3"/>
    <w:rsid w:val="004B6F79"/>
    <w:rsid w:val="004B774D"/>
    <w:rsid w:val="004C0161"/>
    <w:rsid w:val="004C119D"/>
    <w:rsid w:val="004C13E5"/>
    <w:rsid w:val="004C1477"/>
    <w:rsid w:val="004C2600"/>
    <w:rsid w:val="004C283A"/>
    <w:rsid w:val="004C2AC2"/>
    <w:rsid w:val="004C2C92"/>
    <w:rsid w:val="004C3893"/>
    <w:rsid w:val="004C3A92"/>
    <w:rsid w:val="004C3B02"/>
    <w:rsid w:val="004C45E5"/>
    <w:rsid w:val="004C4766"/>
    <w:rsid w:val="004C4AED"/>
    <w:rsid w:val="004C5B07"/>
    <w:rsid w:val="004C5C20"/>
    <w:rsid w:val="004C640D"/>
    <w:rsid w:val="004C6FB9"/>
    <w:rsid w:val="004C7028"/>
    <w:rsid w:val="004C72DD"/>
    <w:rsid w:val="004C7497"/>
    <w:rsid w:val="004C7C9B"/>
    <w:rsid w:val="004D009E"/>
    <w:rsid w:val="004D0C31"/>
    <w:rsid w:val="004D1307"/>
    <w:rsid w:val="004D1660"/>
    <w:rsid w:val="004D17F2"/>
    <w:rsid w:val="004D193D"/>
    <w:rsid w:val="004D21BB"/>
    <w:rsid w:val="004D2365"/>
    <w:rsid w:val="004D28A3"/>
    <w:rsid w:val="004D2B13"/>
    <w:rsid w:val="004D2C2D"/>
    <w:rsid w:val="004D4FDF"/>
    <w:rsid w:val="004D5F7F"/>
    <w:rsid w:val="004D5F95"/>
    <w:rsid w:val="004D6523"/>
    <w:rsid w:val="004D65EB"/>
    <w:rsid w:val="004D6660"/>
    <w:rsid w:val="004D673E"/>
    <w:rsid w:val="004D69B5"/>
    <w:rsid w:val="004D7227"/>
    <w:rsid w:val="004D7398"/>
    <w:rsid w:val="004D7B5E"/>
    <w:rsid w:val="004D7B9C"/>
    <w:rsid w:val="004E0E7F"/>
    <w:rsid w:val="004E0EB8"/>
    <w:rsid w:val="004E12B7"/>
    <w:rsid w:val="004E1509"/>
    <w:rsid w:val="004E18E9"/>
    <w:rsid w:val="004E2ADC"/>
    <w:rsid w:val="004E2E19"/>
    <w:rsid w:val="004E2F58"/>
    <w:rsid w:val="004E3AA9"/>
    <w:rsid w:val="004E43B2"/>
    <w:rsid w:val="004E5D12"/>
    <w:rsid w:val="004E65AE"/>
    <w:rsid w:val="004E66AC"/>
    <w:rsid w:val="004E6C41"/>
    <w:rsid w:val="004E7F40"/>
    <w:rsid w:val="004F0BDC"/>
    <w:rsid w:val="004F0F95"/>
    <w:rsid w:val="004F10AC"/>
    <w:rsid w:val="004F1794"/>
    <w:rsid w:val="004F184A"/>
    <w:rsid w:val="004F1D02"/>
    <w:rsid w:val="004F1F33"/>
    <w:rsid w:val="004F2679"/>
    <w:rsid w:val="004F2A9A"/>
    <w:rsid w:val="004F2F21"/>
    <w:rsid w:val="004F36A7"/>
    <w:rsid w:val="004F3DE5"/>
    <w:rsid w:val="004F3EFE"/>
    <w:rsid w:val="004F42B0"/>
    <w:rsid w:val="004F467E"/>
    <w:rsid w:val="004F481E"/>
    <w:rsid w:val="004F56B7"/>
    <w:rsid w:val="004F5B4E"/>
    <w:rsid w:val="004F67A7"/>
    <w:rsid w:val="004F6913"/>
    <w:rsid w:val="004F6A1E"/>
    <w:rsid w:val="004F6D64"/>
    <w:rsid w:val="004F7485"/>
    <w:rsid w:val="004F752F"/>
    <w:rsid w:val="004F7865"/>
    <w:rsid w:val="004F789C"/>
    <w:rsid w:val="004F7F18"/>
    <w:rsid w:val="00500656"/>
    <w:rsid w:val="00500CE7"/>
    <w:rsid w:val="00500F22"/>
    <w:rsid w:val="00501486"/>
    <w:rsid w:val="0050174E"/>
    <w:rsid w:val="00501854"/>
    <w:rsid w:val="00501A34"/>
    <w:rsid w:val="0050219B"/>
    <w:rsid w:val="00502968"/>
    <w:rsid w:val="00502D78"/>
    <w:rsid w:val="00503D91"/>
    <w:rsid w:val="00503F17"/>
    <w:rsid w:val="00503F3A"/>
    <w:rsid w:val="00503FCA"/>
    <w:rsid w:val="00504965"/>
    <w:rsid w:val="00505BD8"/>
    <w:rsid w:val="00506105"/>
    <w:rsid w:val="00506467"/>
    <w:rsid w:val="005065C2"/>
    <w:rsid w:val="00506928"/>
    <w:rsid w:val="005077EF"/>
    <w:rsid w:val="00507A71"/>
    <w:rsid w:val="00507D6A"/>
    <w:rsid w:val="00507F5A"/>
    <w:rsid w:val="0051060D"/>
    <w:rsid w:val="00511082"/>
    <w:rsid w:val="005118DC"/>
    <w:rsid w:val="00511AD5"/>
    <w:rsid w:val="00511DC7"/>
    <w:rsid w:val="005123D2"/>
    <w:rsid w:val="00512528"/>
    <w:rsid w:val="00512F75"/>
    <w:rsid w:val="00513B6A"/>
    <w:rsid w:val="00513BDB"/>
    <w:rsid w:val="0051403F"/>
    <w:rsid w:val="005141C9"/>
    <w:rsid w:val="005142C5"/>
    <w:rsid w:val="00514495"/>
    <w:rsid w:val="005145B6"/>
    <w:rsid w:val="00514691"/>
    <w:rsid w:val="0051501B"/>
    <w:rsid w:val="005152B5"/>
    <w:rsid w:val="00515507"/>
    <w:rsid w:val="00515886"/>
    <w:rsid w:val="00515C63"/>
    <w:rsid w:val="00515D71"/>
    <w:rsid w:val="00516E35"/>
    <w:rsid w:val="005171CB"/>
    <w:rsid w:val="00517286"/>
    <w:rsid w:val="0051798F"/>
    <w:rsid w:val="00517C4E"/>
    <w:rsid w:val="00520E8F"/>
    <w:rsid w:val="0052123C"/>
    <w:rsid w:val="00521319"/>
    <w:rsid w:val="005218DE"/>
    <w:rsid w:val="00521D46"/>
    <w:rsid w:val="005227BD"/>
    <w:rsid w:val="00522BC8"/>
    <w:rsid w:val="00522E3C"/>
    <w:rsid w:val="00523AE6"/>
    <w:rsid w:val="00523C28"/>
    <w:rsid w:val="00523D15"/>
    <w:rsid w:val="005245E9"/>
    <w:rsid w:val="005246B1"/>
    <w:rsid w:val="00524ABE"/>
    <w:rsid w:val="00524CDF"/>
    <w:rsid w:val="005253BE"/>
    <w:rsid w:val="00525AD5"/>
    <w:rsid w:val="00525AF5"/>
    <w:rsid w:val="00526057"/>
    <w:rsid w:val="0052670F"/>
    <w:rsid w:val="005270DE"/>
    <w:rsid w:val="005273DF"/>
    <w:rsid w:val="00530269"/>
    <w:rsid w:val="0053083F"/>
    <w:rsid w:val="00531015"/>
    <w:rsid w:val="0053176B"/>
    <w:rsid w:val="00531C18"/>
    <w:rsid w:val="00532114"/>
    <w:rsid w:val="00532F08"/>
    <w:rsid w:val="0053350E"/>
    <w:rsid w:val="005338AC"/>
    <w:rsid w:val="00534123"/>
    <w:rsid w:val="005341B3"/>
    <w:rsid w:val="005346FC"/>
    <w:rsid w:val="0053481A"/>
    <w:rsid w:val="00535575"/>
    <w:rsid w:val="00535B82"/>
    <w:rsid w:val="00536F42"/>
    <w:rsid w:val="00537182"/>
    <w:rsid w:val="00537838"/>
    <w:rsid w:val="00537975"/>
    <w:rsid w:val="00537B7A"/>
    <w:rsid w:val="0054076F"/>
    <w:rsid w:val="00540F46"/>
    <w:rsid w:val="005419C4"/>
    <w:rsid w:val="00541BBC"/>
    <w:rsid w:val="00541EDD"/>
    <w:rsid w:val="005421EF"/>
    <w:rsid w:val="00542743"/>
    <w:rsid w:val="0054281A"/>
    <w:rsid w:val="00542851"/>
    <w:rsid w:val="00542C2D"/>
    <w:rsid w:val="00542D6C"/>
    <w:rsid w:val="005434E2"/>
    <w:rsid w:val="00543628"/>
    <w:rsid w:val="005438D4"/>
    <w:rsid w:val="00543BD5"/>
    <w:rsid w:val="005441AA"/>
    <w:rsid w:val="00546586"/>
    <w:rsid w:val="00546682"/>
    <w:rsid w:val="0054683C"/>
    <w:rsid w:val="005468A2"/>
    <w:rsid w:val="00546938"/>
    <w:rsid w:val="005478BB"/>
    <w:rsid w:val="005478BD"/>
    <w:rsid w:val="005478E5"/>
    <w:rsid w:val="005479E3"/>
    <w:rsid w:val="00547DE7"/>
    <w:rsid w:val="0055007D"/>
    <w:rsid w:val="0055046F"/>
    <w:rsid w:val="00550476"/>
    <w:rsid w:val="00550A2F"/>
    <w:rsid w:val="00550BAD"/>
    <w:rsid w:val="00550FDE"/>
    <w:rsid w:val="00551985"/>
    <w:rsid w:val="00551A0A"/>
    <w:rsid w:val="00551D48"/>
    <w:rsid w:val="00552BD3"/>
    <w:rsid w:val="00553125"/>
    <w:rsid w:val="005532A0"/>
    <w:rsid w:val="005536EA"/>
    <w:rsid w:val="005537AD"/>
    <w:rsid w:val="0055390C"/>
    <w:rsid w:val="00554475"/>
    <w:rsid w:val="00555109"/>
    <w:rsid w:val="0055541C"/>
    <w:rsid w:val="00555B00"/>
    <w:rsid w:val="005563B9"/>
    <w:rsid w:val="00556497"/>
    <w:rsid w:val="00556A81"/>
    <w:rsid w:val="00556AA0"/>
    <w:rsid w:val="00556B35"/>
    <w:rsid w:val="0055741A"/>
    <w:rsid w:val="00557C0B"/>
    <w:rsid w:val="00557C34"/>
    <w:rsid w:val="005602D5"/>
    <w:rsid w:val="00560933"/>
    <w:rsid w:val="005611B7"/>
    <w:rsid w:val="005613EF"/>
    <w:rsid w:val="005616C3"/>
    <w:rsid w:val="005616D2"/>
    <w:rsid w:val="005618D4"/>
    <w:rsid w:val="00561BD5"/>
    <w:rsid w:val="00561D6A"/>
    <w:rsid w:val="00561DEF"/>
    <w:rsid w:val="00561FF2"/>
    <w:rsid w:val="00562012"/>
    <w:rsid w:val="0056271D"/>
    <w:rsid w:val="005639D6"/>
    <w:rsid w:val="00563C4D"/>
    <w:rsid w:val="005647F0"/>
    <w:rsid w:val="00564867"/>
    <w:rsid w:val="005648BA"/>
    <w:rsid w:val="00565336"/>
    <w:rsid w:val="00565C79"/>
    <w:rsid w:val="00565DF0"/>
    <w:rsid w:val="0056696F"/>
    <w:rsid w:val="00566B5D"/>
    <w:rsid w:val="005672DB"/>
    <w:rsid w:val="00567F62"/>
    <w:rsid w:val="00570582"/>
    <w:rsid w:val="0057066A"/>
    <w:rsid w:val="005706E9"/>
    <w:rsid w:val="00572269"/>
    <w:rsid w:val="0057244A"/>
    <w:rsid w:val="00572A6C"/>
    <w:rsid w:val="00572F26"/>
    <w:rsid w:val="0057318F"/>
    <w:rsid w:val="00573457"/>
    <w:rsid w:val="00573C89"/>
    <w:rsid w:val="005748A6"/>
    <w:rsid w:val="005750C5"/>
    <w:rsid w:val="00575130"/>
    <w:rsid w:val="005752DE"/>
    <w:rsid w:val="005753E1"/>
    <w:rsid w:val="005755CA"/>
    <w:rsid w:val="00575D60"/>
    <w:rsid w:val="00575D8D"/>
    <w:rsid w:val="00576972"/>
    <w:rsid w:val="00577248"/>
    <w:rsid w:val="005773CD"/>
    <w:rsid w:val="00577925"/>
    <w:rsid w:val="00577A24"/>
    <w:rsid w:val="00577DCC"/>
    <w:rsid w:val="00580485"/>
    <w:rsid w:val="00581B67"/>
    <w:rsid w:val="00581F20"/>
    <w:rsid w:val="00582320"/>
    <w:rsid w:val="00582DA2"/>
    <w:rsid w:val="00583699"/>
    <w:rsid w:val="0058378C"/>
    <w:rsid w:val="00583873"/>
    <w:rsid w:val="00583C6C"/>
    <w:rsid w:val="00583C94"/>
    <w:rsid w:val="00583DA0"/>
    <w:rsid w:val="00584B7B"/>
    <w:rsid w:val="005853F0"/>
    <w:rsid w:val="00585CDD"/>
    <w:rsid w:val="005864BC"/>
    <w:rsid w:val="00586755"/>
    <w:rsid w:val="00586F51"/>
    <w:rsid w:val="00587058"/>
    <w:rsid w:val="0058767D"/>
    <w:rsid w:val="005879E7"/>
    <w:rsid w:val="00587AE4"/>
    <w:rsid w:val="00587C08"/>
    <w:rsid w:val="00587C3D"/>
    <w:rsid w:val="00587E5C"/>
    <w:rsid w:val="005906D3"/>
    <w:rsid w:val="00590953"/>
    <w:rsid w:val="005910E0"/>
    <w:rsid w:val="00591957"/>
    <w:rsid w:val="00591FB3"/>
    <w:rsid w:val="005920A0"/>
    <w:rsid w:val="00592528"/>
    <w:rsid w:val="00592A0F"/>
    <w:rsid w:val="00593AA8"/>
    <w:rsid w:val="00593BDE"/>
    <w:rsid w:val="005942A7"/>
    <w:rsid w:val="005946A1"/>
    <w:rsid w:val="00594D8B"/>
    <w:rsid w:val="0059515D"/>
    <w:rsid w:val="00595C33"/>
    <w:rsid w:val="00595CAF"/>
    <w:rsid w:val="00595EE1"/>
    <w:rsid w:val="00596760"/>
    <w:rsid w:val="00596F43"/>
    <w:rsid w:val="0059738B"/>
    <w:rsid w:val="00597751"/>
    <w:rsid w:val="00597BF9"/>
    <w:rsid w:val="005A0C11"/>
    <w:rsid w:val="005A1E57"/>
    <w:rsid w:val="005A309A"/>
    <w:rsid w:val="005A373D"/>
    <w:rsid w:val="005A3B44"/>
    <w:rsid w:val="005A40CF"/>
    <w:rsid w:val="005A4119"/>
    <w:rsid w:val="005A43D6"/>
    <w:rsid w:val="005A45DF"/>
    <w:rsid w:val="005A4BAA"/>
    <w:rsid w:val="005A56F6"/>
    <w:rsid w:val="005A5A1C"/>
    <w:rsid w:val="005A6549"/>
    <w:rsid w:val="005A671B"/>
    <w:rsid w:val="005A725C"/>
    <w:rsid w:val="005A72A8"/>
    <w:rsid w:val="005B0B58"/>
    <w:rsid w:val="005B13E9"/>
    <w:rsid w:val="005B1A52"/>
    <w:rsid w:val="005B1E4F"/>
    <w:rsid w:val="005B2CEF"/>
    <w:rsid w:val="005B37EF"/>
    <w:rsid w:val="005B3BDC"/>
    <w:rsid w:val="005B3D23"/>
    <w:rsid w:val="005B44CD"/>
    <w:rsid w:val="005B4E53"/>
    <w:rsid w:val="005B5857"/>
    <w:rsid w:val="005B72F9"/>
    <w:rsid w:val="005B7BF6"/>
    <w:rsid w:val="005C05BA"/>
    <w:rsid w:val="005C19C4"/>
    <w:rsid w:val="005C1A76"/>
    <w:rsid w:val="005C1B83"/>
    <w:rsid w:val="005C209E"/>
    <w:rsid w:val="005C25FF"/>
    <w:rsid w:val="005C283D"/>
    <w:rsid w:val="005C2BE9"/>
    <w:rsid w:val="005C2D55"/>
    <w:rsid w:val="005C2FE2"/>
    <w:rsid w:val="005C346B"/>
    <w:rsid w:val="005C3A81"/>
    <w:rsid w:val="005C463F"/>
    <w:rsid w:val="005C4B68"/>
    <w:rsid w:val="005C550A"/>
    <w:rsid w:val="005C5ABC"/>
    <w:rsid w:val="005C5D04"/>
    <w:rsid w:val="005C6146"/>
    <w:rsid w:val="005C671D"/>
    <w:rsid w:val="005C6983"/>
    <w:rsid w:val="005C7167"/>
    <w:rsid w:val="005C716B"/>
    <w:rsid w:val="005C75D4"/>
    <w:rsid w:val="005C76D7"/>
    <w:rsid w:val="005D0194"/>
    <w:rsid w:val="005D044D"/>
    <w:rsid w:val="005D0597"/>
    <w:rsid w:val="005D08AE"/>
    <w:rsid w:val="005D0ABD"/>
    <w:rsid w:val="005D1804"/>
    <w:rsid w:val="005D18AD"/>
    <w:rsid w:val="005D2148"/>
    <w:rsid w:val="005D26B4"/>
    <w:rsid w:val="005D37D4"/>
    <w:rsid w:val="005D410F"/>
    <w:rsid w:val="005D5035"/>
    <w:rsid w:val="005D65F2"/>
    <w:rsid w:val="005D6E8A"/>
    <w:rsid w:val="005D6F97"/>
    <w:rsid w:val="005D7367"/>
    <w:rsid w:val="005D76A0"/>
    <w:rsid w:val="005D7ABE"/>
    <w:rsid w:val="005D7B2D"/>
    <w:rsid w:val="005D7F22"/>
    <w:rsid w:val="005E011A"/>
    <w:rsid w:val="005E0158"/>
    <w:rsid w:val="005E0620"/>
    <w:rsid w:val="005E0939"/>
    <w:rsid w:val="005E1995"/>
    <w:rsid w:val="005E2C44"/>
    <w:rsid w:val="005E2E92"/>
    <w:rsid w:val="005E2E96"/>
    <w:rsid w:val="005E2FD6"/>
    <w:rsid w:val="005E3EE3"/>
    <w:rsid w:val="005E4DA0"/>
    <w:rsid w:val="005E5866"/>
    <w:rsid w:val="005E677C"/>
    <w:rsid w:val="005E6CBC"/>
    <w:rsid w:val="005E72FF"/>
    <w:rsid w:val="005E73C0"/>
    <w:rsid w:val="005E773C"/>
    <w:rsid w:val="005E7A91"/>
    <w:rsid w:val="005F06E2"/>
    <w:rsid w:val="005F07ED"/>
    <w:rsid w:val="005F106D"/>
    <w:rsid w:val="005F1284"/>
    <w:rsid w:val="005F1B11"/>
    <w:rsid w:val="005F1FD5"/>
    <w:rsid w:val="005F2286"/>
    <w:rsid w:val="005F2706"/>
    <w:rsid w:val="005F2991"/>
    <w:rsid w:val="005F32E5"/>
    <w:rsid w:val="005F3D2F"/>
    <w:rsid w:val="005F40B5"/>
    <w:rsid w:val="005F483B"/>
    <w:rsid w:val="005F4FC4"/>
    <w:rsid w:val="005F57FC"/>
    <w:rsid w:val="005F5A3A"/>
    <w:rsid w:val="005F6230"/>
    <w:rsid w:val="005F6266"/>
    <w:rsid w:val="005F64FF"/>
    <w:rsid w:val="005F695C"/>
    <w:rsid w:val="005F6A8F"/>
    <w:rsid w:val="005F6BB7"/>
    <w:rsid w:val="005F7379"/>
    <w:rsid w:val="005F7588"/>
    <w:rsid w:val="005F7C0B"/>
    <w:rsid w:val="005F7E05"/>
    <w:rsid w:val="006003C3"/>
    <w:rsid w:val="0060044C"/>
    <w:rsid w:val="00600797"/>
    <w:rsid w:val="00600E13"/>
    <w:rsid w:val="006020F9"/>
    <w:rsid w:val="00602641"/>
    <w:rsid w:val="006028D3"/>
    <w:rsid w:val="00602A14"/>
    <w:rsid w:val="00602B91"/>
    <w:rsid w:val="00603C4D"/>
    <w:rsid w:val="00603DB9"/>
    <w:rsid w:val="006053B4"/>
    <w:rsid w:val="0060693F"/>
    <w:rsid w:val="00606E07"/>
    <w:rsid w:val="00606FBA"/>
    <w:rsid w:val="00607669"/>
    <w:rsid w:val="006076F4"/>
    <w:rsid w:val="00607AFD"/>
    <w:rsid w:val="006103B5"/>
    <w:rsid w:val="0061054C"/>
    <w:rsid w:val="006117EA"/>
    <w:rsid w:val="00611B12"/>
    <w:rsid w:val="00611E4F"/>
    <w:rsid w:val="00611EDC"/>
    <w:rsid w:val="006122BC"/>
    <w:rsid w:val="006129B6"/>
    <w:rsid w:val="00612CDF"/>
    <w:rsid w:val="00612F97"/>
    <w:rsid w:val="0061345D"/>
    <w:rsid w:val="00614584"/>
    <w:rsid w:val="006149DA"/>
    <w:rsid w:val="00615145"/>
    <w:rsid w:val="00615383"/>
    <w:rsid w:val="0061549B"/>
    <w:rsid w:val="00615552"/>
    <w:rsid w:val="00616802"/>
    <w:rsid w:val="00616B8E"/>
    <w:rsid w:val="00617C2B"/>
    <w:rsid w:val="00617E12"/>
    <w:rsid w:val="00617ED0"/>
    <w:rsid w:val="00620034"/>
    <w:rsid w:val="0062074E"/>
    <w:rsid w:val="00620C25"/>
    <w:rsid w:val="00621048"/>
    <w:rsid w:val="00621352"/>
    <w:rsid w:val="00621477"/>
    <w:rsid w:val="00621481"/>
    <w:rsid w:val="00621731"/>
    <w:rsid w:val="00621ADA"/>
    <w:rsid w:val="00621F9D"/>
    <w:rsid w:val="006223AD"/>
    <w:rsid w:val="006227F5"/>
    <w:rsid w:val="00622832"/>
    <w:rsid w:val="0062305F"/>
    <w:rsid w:val="0062313D"/>
    <w:rsid w:val="00623B18"/>
    <w:rsid w:val="00623F7B"/>
    <w:rsid w:val="00624414"/>
    <w:rsid w:val="00624614"/>
    <w:rsid w:val="0062484F"/>
    <w:rsid w:val="00624BD4"/>
    <w:rsid w:val="00624FBB"/>
    <w:rsid w:val="00625278"/>
    <w:rsid w:val="00625F7D"/>
    <w:rsid w:val="00625F89"/>
    <w:rsid w:val="0062615B"/>
    <w:rsid w:val="00626FD9"/>
    <w:rsid w:val="00627182"/>
    <w:rsid w:val="00627683"/>
    <w:rsid w:val="006278CA"/>
    <w:rsid w:val="00627A4E"/>
    <w:rsid w:val="00630C74"/>
    <w:rsid w:val="0063158F"/>
    <w:rsid w:val="006316C6"/>
    <w:rsid w:val="00631807"/>
    <w:rsid w:val="00631D6B"/>
    <w:rsid w:val="00632183"/>
    <w:rsid w:val="006322DD"/>
    <w:rsid w:val="006323E1"/>
    <w:rsid w:val="006324F1"/>
    <w:rsid w:val="00632774"/>
    <w:rsid w:val="006330A1"/>
    <w:rsid w:val="0063335D"/>
    <w:rsid w:val="006334B6"/>
    <w:rsid w:val="0063479F"/>
    <w:rsid w:val="00634986"/>
    <w:rsid w:val="006353D3"/>
    <w:rsid w:val="006353F0"/>
    <w:rsid w:val="006354E6"/>
    <w:rsid w:val="006357B5"/>
    <w:rsid w:val="00635C39"/>
    <w:rsid w:val="00635CBE"/>
    <w:rsid w:val="006361F2"/>
    <w:rsid w:val="0063634D"/>
    <w:rsid w:val="006364A1"/>
    <w:rsid w:val="0063678E"/>
    <w:rsid w:val="0063722E"/>
    <w:rsid w:val="006374A4"/>
    <w:rsid w:val="00637B27"/>
    <w:rsid w:val="00637BFD"/>
    <w:rsid w:val="00637C5C"/>
    <w:rsid w:val="0064082E"/>
    <w:rsid w:val="00640B7B"/>
    <w:rsid w:val="006412CE"/>
    <w:rsid w:val="0064140A"/>
    <w:rsid w:val="0064198A"/>
    <w:rsid w:val="006419E0"/>
    <w:rsid w:val="00641C4E"/>
    <w:rsid w:val="00641EEE"/>
    <w:rsid w:val="00641FB3"/>
    <w:rsid w:val="006420DA"/>
    <w:rsid w:val="00642266"/>
    <w:rsid w:val="0064294A"/>
    <w:rsid w:val="00642C74"/>
    <w:rsid w:val="0064434C"/>
    <w:rsid w:val="00644984"/>
    <w:rsid w:val="0064514A"/>
    <w:rsid w:val="0064573C"/>
    <w:rsid w:val="006458EA"/>
    <w:rsid w:val="006462F5"/>
    <w:rsid w:val="006463E1"/>
    <w:rsid w:val="006469A2"/>
    <w:rsid w:val="006471CC"/>
    <w:rsid w:val="006472FE"/>
    <w:rsid w:val="00647360"/>
    <w:rsid w:val="006479F3"/>
    <w:rsid w:val="00647A29"/>
    <w:rsid w:val="0065079F"/>
    <w:rsid w:val="006509F0"/>
    <w:rsid w:val="00650A64"/>
    <w:rsid w:val="00650B92"/>
    <w:rsid w:val="00651019"/>
    <w:rsid w:val="006516B0"/>
    <w:rsid w:val="006516D7"/>
    <w:rsid w:val="00651934"/>
    <w:rsid w:val="00651B12"/>
    <w:rsid w:val="00651D41"/>
    <w:rsid w:val="00651F51"/>
    <w:rsid w:val="00652210"/>
    <w:rsid w:val="006523A4"/>
    <w:rsid w:val="00652A28"/>
    <w:rsid w:val="00652C04"/>
    <w:rsid w:val="0065379F"/>
    <w:rsid w:val="00653C36"/>
    <w:rsid w:val="0065456F"/>
    <w:rsid w:val="00655BB0"/>
    <w:rsid w:val="00655DB0"/>
    <w:rsid w:val="00656188"/>
    <w:rsid w:val="006562C3"/>
    <w:rsid w:val="00656CE3"/>
    <w:rsid w:val="00656FBC"/>
    <w:rsid w:val="0065713B"/>
    <w:rsid w:val="0065715A"/>
    <w:rsid w:val="00657B04"/>
    <w:rsid w:val="00657FE5"/>
    <w:rsid w:val="006605C4"/>
    <w:rsid w:val="00660A03"/>
    <w:rsid w:val="006610F1"/>
    <w:rsid w:val="0066132A"/>
    <w:rsid w:val="006615AD"/>
    <w:rsid w:val="00661C6B"/>
    <w:rsid w:val="00661F49"/>
    <w:rsid w:val="006621F6"/>
    <w:rsid w:val="00662D3E"/>
    <w:rsid w:val="00662E8C"/>
    <w:rsid w:val="006632A2"/>
    <w:rsid w:val="00663684"/>
    <w:rsid w:val="00663D86"/>
    <w:rsid w:val="006640F4"/>
    <w:rsid w:val="0066494A"/>
    <w:rsid w:val="00664D66"/>
    <w:rsid w:val="00664E10"/>
    <w:rsid w:val="006650EF"/>
    <w:rsid w:val="00665A1D"/>
    <w:rsid w:val="006671B9"/>
    <w:rsid w:val="00667400"/>
    <w:rsid w:val="00667807"/>
    <w:rsid w:val="00667BE3"/>
    <w:rsid w:val="00667CD9"/>
    <w:rsid w:val="00670B0E"/>
    <w:rsid w:val="00670B24"/>
    <w:rsid w:val="00670F13"/>
    <w:rsid w:val="00671004"/>
    <w:rsid w:val="006715BA"/>
    <w:rsid w:val="00671695"/>
    <w:rsid w:val="00671BA3"/>
    <w:rsid w:val="00671FCF"/>
    <w:rsid w:val="00672646"/>
    <w:rsid w:val="00672968"/>
    <w:rsid w:val="00672C80"/>
    <w:rsid w:val="00673D7F"/>
    <w:rsid w:val="00673E4F"/>
    <w:rsid w:val="00673FB3"/>
    <w:rsid w:val="006743CE"/>
    <w:rsid w:val="006745CA"/>
    <w:rsid w:val="00674E42"/>
    <w:rsid w:val="00674ECA"/>
    <w:rsid w:val="00675778"/>
    <w:rsid w:val="00675982"/>
    <w:rsid w:val="00676563"/>
    <w:rsid w:val="0067685B"/>
    <w:rsid w:val="00676AEE"/>
    <w:rsid w:val="00677870"/>
    <w:rsid w:val="00680078"/>
    <w:rsid w:val="00680DA8"/>
    <w:rsid w:val="0068137D"/>
    <w:rsid w:val="006813F8"/>
    <w:rsid w:val="00681431"/>
    <w:rsid w:val="00681906"/>
    <w:rsid w:val="00681C15"/>
    <w:rsid w:val="00681C17"/>
    <w:rsid w:val="00682112"/>
    <w:rsid w:val="006825BC"/>
    <w:rsid w:val="00682BA6"/>
    <w:rsid w:val="00683243"/>
    <w:rsid w:val="00683C22"/>
    <w:rsid w:val="006841F4"/>
    <w:rsid w:val="00684495"/>
    <w:rsid w:val="00684D83"/>
    <w:rsid w:val="00684E8A"/>
    <w:rsid w:val="00685024"/>
    <w:rsid w:val="006853BB"/>
    <w:rsid w:val="00685E8A"/>
    <w:rsid w:val="006862CD"/>
    <w:rsid w:val="00686553"/>
    <w:rsid w:val="00686957"/>
    <w:rsid w:val="00686C22"/>
    <w:rsid w:val="006872AF"/>
    <w:rsid w:val="006872BA"/>
    <w:rsid w:val="006877B8"/>
    <w:rsid w:val="00690639"/>
    <w:rsid w:val="00690795"/>
    <w:rsid w:val="00690A9B"/>
    <w:rsid w:val="00690EBC"/>
    <w:rsid w:val="00691648"/>
    <w:rsid w:val="006917D7"/>
    <w:rsid w:val="00691A50"/>
    <w:rsid w:val="00692A9B"/>
    <w:rsid w:val="00692EC3"/>
    <w:rsid w:val="00692ECA"/>
    <w:rsid w:val="00692FA5"/>
    <w:rsid w:val="006938E5"/>
    <w:rsid w:val="0069434C"/>
    <w:rsid w:val="00694839"/>
    <w:rsid w:val="00694D3E"/>
    <w:rsid w:val="00694F44"/>
    <w:rsid w:val="006952CE"/>
    <w:rsid w:val="00695A19"/>
    <w:rsid w:val="00695E93"/>
    <w:rsid w:val="00696655"/>
    <w:rsid w:val="0069680F"/>
    <w:rsid w:val="006968F7"/>
    <w:rsid w:val="00696EF9"/>
    <w:rsid w:val="00696F51"/>
    <w:rsid w:val="006979A5"/>
    <w:rsid w:val="00697F61"/>
    <w:rsid w:val="006A0063"/>
    <w:rsid w:val="006A016F"/>
    <w:rsid w:val="006A09E8"/>
    <w:rsid w:val="006A0DF7"/>
    <w:rsid w:val="006A104F"/>
    <w:rsid w:val="006A1576"/>
    <w:rsid w:val="006A179C"/>
    <w:rsid w:val="006A19C1"/>
    <w:rsid w:val="006A1E50"/>
    <w:rsid w:val="006A2297"/>
    <w:rsid w:val="006A2384"/>
    <w:rsid w:val="006A29FC"/>
    <w:rsid w:val="006A2E6C"/>
    <w:rsid w:val="006A35B3"/>
    <w:rsid w:val="006A3605"/>
    <w:rsid w:val="006A3FFE"/>
    <w:rsid w:val="006A4321"/>
    <w:rsid w:val="006A43BC"/>
    <w:rsid w:val="006A43D9"/>
    <w:rsid w:val="006A4F88"/>
    <w:rsid w:val="006A5CA6"/>
    <w:rsid w:val="006A6B99"/>
    <w:rsid w:val="006A6ED9"/>
    <w:rsid w:val="006A72EF"/>
    <w:rsid w:val="006A74F1"/>
    <w:rsid w:val="006A75D4"/>
    <w:rsid w:val="006A77C8"/>
    <w:rsid w:val="006A7E5F"/>
    <w:rsid w:val="006B051D"/>
    <w:rsid w:val="006B0EB7"/>
    <w:rsid w:val="006B1799"/>
    <w:rsid w:val="006B1B57"/>
    <w:rsid w:val="006B21A4"/>
    <w:rsid w:val="006B261B"/>
    <w:rsid w:val="006B26E7"/>
    <w:rsid w:val="006B2C90"/>
    <w:rsid w:val="006B2FE2"/>
    <w:rsid w:val="006B3184"/>
    <w:rsid w:val="006B35E6"/>
    <w:rsid w:val="006B3685"/>
    <w:rsid w:val="006B3B3C"/>
    <w:rsid w:val="006B3D5C"/>
    <w:rsid w:val="006B419C"/>
    <w:rsid w:val="006B4590"/>
    <w:rsid w:val="006B465A"/>
    <w:rsid w:val="006B4901"/>
    <w:rsid w:val="006B545C"/>
    <w:rsid w:val="006B6DD0"/>
    <w:rsid w:val="006B6FFE"/>
    <w:rsid w:val="006C0399"/>
    <w:rsid w:val="006C044E"/>
    <w:rsid w:val="006C06AF"/>
    <w:rsid w:val="006C0950"/>
    <w:rsid w:val="006C0CF3"/>
    <w:rsid w:val="006C1049"/>
    <w:rsid w:val="006C12B3"/>
    <w:rsid w:val="006C1946"/>
    <w:rsid w:val="006C23BB"/>
    <w:rsid w:val="006C2A8E"/>
    <w:rsid w:val="006C3255"/>
    <w:rsid w:val="006C3A7D"/>
    <w:rsid w:val="006C3F26"/>
    <w:rsid w:val="006C4243"/>
    <w:rsid w:val="006C46B1"/>
    <w:rsid w:val="006C580B"/>
    <w:rsid w:val="006C5B4E"/>
    <w:rsid w:val="006C5F11"/>
    <w:rsid w:val="006C63F3"/>
    <w:rsid w:val="006C649F"/>
    <w:rsid w:val="006C6960"/>
    <w:rsid w:val="006D0C24"/>
    <w:rsid w:val="006D0D17"/>
    <w:rsid w:val="006D10D1"/>
    <w:rsid w:val="006D19EA"/>
    <w:rsid w:val="006D2383"/>
    <w:rsid w:val="006D2E96"/>
    <w:rsid w:val="006D3A19"/>
    <w:rsid w:val="006D3C7D"/>
    <w:rsid w:val="006D3C89"/>
    <w:rsid w:val="006D3ECB"/>
    <w:rsid w:val="006D4659"/>
    <w:rsid w:val="006D4B8B"/>
    <w:rsid w:val="006D4F30"/>
    <w:rsid w:val="006D5539"/>
    <w:rsid w:val="006D5D13"/>
    <w:rsid w:val="006D5D5F"/>
    <w:rsid w:val="006D68FB"/>
    <w:rsid w:val="006D7635"/>
    <w:rsid w:val="006D79D2"/>
    <w:rsid w:val="006D7C26"/>
    <w:rsid w:val="006E07CC"/>
    <w:rsid w:val="006E1947"/>
    <w:rsid w:val="006E1A17"/>
    <w:rsid w:val="006E20B9"/>
    <w:rsid w:val="006E2868"/>
    <w:rsid w:val="006E3254"/>
    <w:rsid w:val="006E3A40"/>
    <w:rsid w:val="006E51BA"/>
    <w:rsid w:val="006E51F4"/>
    <w:rsid w:val="006E539D"/>
    <w:rsid w:val="006E578A"/>
    <w:rsid w:val="006E5951"/>
    <w:rsid w:val="006E5989"/>
    <w:rsid w:val="006E598C"/>
    <w:rsid w:val="006E6391"/>
    <w:rsid w:val="006E66A9"/>
    <w:rsid w:val="006E67CD"/>
    <w:rsid w:val="006E76B1"/>
    <w:rsid w:val="006E7A76"/>
    <w:rsid w:val="006F0025"/>
    <w:rsid w:val="006F0635"/>
    <w:rsid w:val="006F0D2C"/>
    <w:rsid w:val="006F0E38"/>
    <w:rsid w:val="006F186C"/>
    <w:rsid w:val="006F1AB6"/>
    <w:rsid w:val="006F205A"/>
    <w:rsid w:val="006F21D1"/>
    <w:rsid w:val="006F2C6E"/>
    <w:rsid w:val="006F3028"/>
    <w:rsid w:val="006F306C"/>
    <w:rsid w:val="006F30B3"/>
    <w:rsid w:val="006F3408"/>
    <w:rsid w:val="006F34F3"/>
    <w:rsid w:val="006F377E"/>
    <w:rsid w:val="006F3E45"/>
    <w:rsid w:val="006F43CC"/>
    <w:rsid w:val="006F4438"/>
    <w:rsid w:val="006F4A9B"/>
    <w:rsid w:val="006F4CBC"/>
    <w:rsid w:val="006F63A5"/>
    <w:rsid w:val="006F6698"/>
    <w:rsid w:val="006F6CA6"/>
    <w:rsid w:val="006F7388"/>
    <w:rsid w:val="006F74F4"/>
    <w:rsid w:val="00700362"/>
    <w:rsid w:val="007010F7"/>
    <w:rsid w:val="0070142B"/>
    <w:rsid w:val="00702387"/>
    <w:rsid w:val="0070276E"/>
    <w:rsid w:val="007028F8"/>
    <w:rsid w:val="00702EE3"/>
    <w:rsid w:val="00702F8F"/>
    <w:rsid w:val="00703349"/>
    <w:rsid w:val="00703A42"/>
    <w:rsid w:val="00703FE2"/>
    <w:rsid w:val="007040F9"/>
    <w:rsid w:val="00704119"/>
    <w:rsid w:val="00704243"/>
    <w:rsid w:val="00704677"/>
    <w:rsid w:val="00704D89"/>
    <w:rsid w:val="0070575E"/>
    <w:rsid w:val="007059DC"/>
    <w:rsid w:val="00705D92"/>
    <w:rsid w:val="00705F72"/>
    <w:rsid w:val="0070646E"/>
    <w:rsid w:val="007067D4"/>
    <w:rsid w:val="0070685E"/>
    <w:rsid w:val="007078FC"/>
    <w:rsid w:val="007079FC"/>
    <w:rsid w:val="00707DEB"/>
    <w:rsid w:val="007102CB"/>
    <w:rsid w:val="00710360"/>
    <w:rsid w:val="00710F70"/>
    <w:rsid w:val="00711A36"/>
    <w:rsid w:val="00711D5E"/>
    <w:rsid w:val="007125D3"/>
    <w:rsid w:val="0071338B"/>
    <w:rsid w:val="0071360C"/>
    <w:rsid w:val="00713A80"/>
    <w:rsid w:val="00713E8F"/>
    <w:rsid w:val="00714C26"/>
    <w:rsid w:val="00714EAD"/>
    <w:rsid w:val="00714EDD"/>
    <w:rsid w:val="0071507D"/>
    <w:rsid w:val="00715197"/>
    <w:rsid w:val="0071529C"/>
    <w:rsid w:val="00715767"/>
    <w:rsid w:val="00715E35"/>
    <w:rsid w:val="00715F0A"/>
    <w:rsid w:val="007163EF"/>
    <w:rsid w:val="007165A2"/>
    <w:rsid w:val="007170DA"/>
    <w:rsid w:val="007172AD"/>
    <w:rsid w:val="00717546"/>
    <w:rsid w:val="00717796"/>
    <w:rsid w:val="00717943"/>
    <w:rsid w:val="00717BCE"/>
    <w:rsid w:val="00717D96"/>
    <w:rsid w:val="007202FD"/>
    <w:rsid w:val="00720801"/>
    <w:rsid w:val="00720BF9"/>
    <w:rsid w:val="007219D1"/>
    <w:rsid w:val="00721A1A"/>
    <w:rsid w:val="00721CC5"/>
    <w:rsid w:val="00721EC7"/>
    <w:rsid w:val="00722B1B"/>
    <w:rsid w:val="00722C25"/>
    <w:rsid w:val="00722C6C"/>
    <w:rsid w:val="0072352E"/>
    <w:rsid w:val="00723531"/>
    <w:rsid w:val="00723F17"/>
    <w:rsid w:val="00723F68"/>
    <w:rsid w:val="0072416F"/>
    <w:rsid w:val="007241DB"/>
    <w:rsid w:val="007254B6"/>
    <w:rsid w:val="007257EE"/>
    <w:rsid w:val="00725A2E"/>
    <w:rsid w:val="00725F9A"/>
    <w:rsid w:val="0072648E"/>
    <w:rsid w:val="00726668"/>
    <w:rsid w:val="00726685"/>
    <w:rsid w:val="00726800"/>
    <w:rsid w:val="00727C94"/>
    <w:rsid w:val="007300EF"/>
    <w:rsid w:val="00731604"/>
    <w:rsid w:val="00731B0A"/>
    <w:rsid w:val="00731EAE"/>
    <w:rsid w:val="00731EE4"/>
    <w:rsid w:val="0073220C"/>
    <w:rsid w:val="0073273E"/>
    <w:rsid w:val="00732C8D"/>
    <w:rsid w:val="0073306E"/>
    <w:rsid w:val="00733073"/>
    <w:rsid w:val="00733395"/>
    <w:rsid w:val="00733AD1"/>
    <w:rsid w:val="00733FBC"/>
    <w:rsid w:val="007340F5"/>
    <w:rsid w:val="00734255"/>
    <w:rsid w:val="00734416"/>
    <w:rsid w:val="00734942"/>
    <w:rsid w:val="00734E7B"/>
    <w:rsid w:val="00735033"/>
    <w:rsid w:val="00735328"/>
    <w:rsid w:val="0073532D"/>
    <w:rsid w:val="00735987"/>
    <w:rsid w:val="00735EFB"/>
    <w:rsid w:val="0073685B"/>
    <w:rsid w:val="00736C0D"/>
    <w:rsid w:val="00736F86"/>
    <w:rsid w:val="00740E3E"/>
    <w:rsid w:val="0074137C"/>
    <w:rsid w:val="00741B90"/>
    <w:rsid w:val="007422D4"/>
    <w:rsid w:val="00742390"/>
    <w:rsid w:val="00742A9A"/>
    <w:rsid w:val="00742F02"/>
    <w:rsid w:val="00743040"/>
    <w:rsid w:val="007434C1"/>
    <w:rsid w:val="00743569"/>
    <w:rsid w:val="00743E01"/>
    <w:rsid w:val="00744014"/>
    <w:rsid w:val="007449BF"/>
    <w:rsid w:val="007450F3"/>
    <w:rsid w:val="00745141"/>
    <w:rsid w:val="007458E5"/>
    <w:rsid w:val="007463FE"/>
    <w:rsid w:val="007468A2"/>
    <w:rsid w:val="00746A10"/>
    <w:rsid w:val="00746AB7"/>
    <w:rsid w:val="00746BC0"/>
    <w:rsid w:val="007472C7"/>
    <w:rsid w:val="007475F0"/>
    <w:rsid w:val="007477AB"/>
    <w:rsid w:val="007503B6"/>
    <w:rsid w:val="007510B4"/>
    <w:rsid w:val="007510E0"/>
    <w:rsid w:val="00751298"/>
    <w:rsid w:val="007512A3"/>
    <w:rsid w:val="007516B9"/>
    <w:rsid w:val="007518B8"/>
    <w:rsid w:val="00751FB8"/>
    <w:rsid w:val="00752142"/>
    <w:rsid w:val="007521CE"/>
    <w:rsid w:val="007523F9"/>
    <w:rsid w:val="0075255D"/>
    <w:rsid w:val="0075357E"/>
    <w:rsid w:val="00753B29"/>
    <w:rsid w:val="00753EA0"/>
    <w:rsid w:val="007555FD"/>
    <w:rsid w:val="00755B69"/>
    <w:rsid w:val="00755E7D"/>
    <w:rsid w:val="00756358"/>
    <w:rsid w:val="007565FB"/>
    <w:rsid w:val="007570E1"/>
    <w:rsid w:val="007573E8"/>
    <w:rsid w:val="00757903"/>
    <w:rsid w:val="00760824"/>
    <w:rsid w:val="00760C4E"/>
    <w:rsid w:val="00760F9E"/>
    <w:rsid w:val="00761429"/>
    <w:rsid w:val="00761586"/>
    <w:rsid w:val="00761590"/>
    <w:rsid w:val="007616E6"/>
    <w:rsid w:val="00762279"/>
    <w:rsid w:val="007626F4"/>
    <w:rsid w:val="007627BE"/>
    <w:rsid w:val="00763347"/>
    <w:rsid w:val="00763670"/>
    <w:rsid w:val="00764431"/>
    <w:rsid w:val="007647E5"/>
    <w:rsid w:val="00764F03"/>
    <w:rsid w:val="00765B1A"/>
    <w:rsid w:val="00765DC1"/>
    <w:rsid w:val="007668B4"/>
    <w:rsid w:val="00766A50"/>
    <w:rsid w:val="00767BB8"/>
    <w:rsid w:val="007704C8"/>
    <w:rsid w:val="00770C0B"/>
    <w:rsid w:val="007723BE"/>
    <w:rsid w:val="0077257D"/>
    <w:rsid w:val="00772A92"/>
    <w:rsid w:val="00772ACC"/>
    <w:rsid w:val="00772B29"/>
    <w:rsid w:val="0077302A"/>
    <w:rsid w:val="007732B8"/>
    <w:rsid w:val="00773332"/>
    <w:rsid w:val="0077497D"/>
    <w:rsid w:val="00774FA3"/>
    <w:rsid w:val="007751AB"/>
    <w:rsid w:val="007755CF"/>
    <w:rsid w:val="00775E1F"/>
    <w:rsid w:val="00776A29"/>
    <w:rsid w:val="00776F16"/>
    <w:rsid w:val="0077707E"/>
    <w:rsid w:val="00777335"/>
    <w:rsid w:val="007801E3"/>
    <w:rsid w:val="007807A9"/>
    <w:rsid w:val="00780A62"/>
    <w:rsid w:val="007816C1"/>
    <w:rsid w:val="007821EB"/>
    <w:rsid w:val="00782289"/>
    <w:rsid w:val="00782B6F"/>
    <w:rsid w:val="00783293"/>
    <w:rsid w:val="007836EE"/>
    <w:rsid w:val="00783F8E"/>
    <w:rsid w:val="00784294"/>
    <w:rsid w:val="007843F2"/>
    <w:rsid w:val="007846FA"/>
    <w:rsid w:val="00784974"/>
    <w:rsid w:val="007851B6"/>
    <w:rsid w:val="00785443"/>
    <w:rsid w:val="007855D0"/>
    <w:rsid w:val="007856C7"/>
    <w:rsid w:val="00785A9F"/>
    <w:rsid w:val="00785B79"/>
    <w:rsid w:val="00785E28"/>
    <w:rsid w:val="00785F6B"/>
    <w:rsid w:val="00787782"/>
    <w:rsid w:val="007879D2"/>
    <w:rsid w:val="00787ACE"/>
    <w:rsid w:val="00787B01"/>
    <w:rsid w:val="00787C47"/>
    <w:rsid w:val="00790472"/>
    <w:rsid w:val="007907DC"/>
    <w:rsid w:val="00790D59"/>
    <w:rsid w:val="007913CD"/>
    <w:rsid w:val="0079172B"/>
    <w:rsid w:val="00791F68"/>
    <w:rsid w:val="007925DF"/>
    <w:rsid w:val="00792FE2"/>
    <w:rsid w:val="007941E0"/>
    <w:rsid w:val="00794455"/>
    <w:rsid w:val="0079458F"/>
    <w:rsid w:val="007947D3"/>
    <w:rsid w:val="00794AB1"/>
    <w:rsid w:val="00794EF7"/>
    <w:rsid w:val="00795587"/>
    <w:rsid w:val="007958A3"/>
    <w:rsid w:val="007959F6"/>
    <w:rsid w:val="00795AB6"/>
    <w:rsid w:val="00795C96"/>
    <w:rsid w:val="00796342"/>
    <w:rsid w:val="00796476"/>
    <w:rsid w:val="007966F5"/>
    <w:rsid w:val="00796BA6"/>
    <w:rsid w:val="007971CB"/>
    <w:rsid w:val="00797959"/>
    <w:rsid w:val="007A08AA"/>
    <w:rsid w:val="007A0A12"/>
    <w:rsid w:val="007A0AB8"/>
    <w:rsid w:val="007A1271"/>
    <w:rsid w:val="007A132D"/>
    <w:rsid w:val="007A1345"/>
    <w:rsid w:val="007A1A52"/>
    <w:rsid w:val="007A2115"/>
    <w:rsid w:val="007A288D"/>
    <w:rsid w:val="007A2DDB"/>
    <w:rsid w:val="007A376B"/>
    <w:rsid w:val="007A3D05"/>
    <w:rsid w:val="007A3EB5"/>
    <w:rsid w:val="007A4177"/>
    <w:rsid w:val="007A438F"/>
    <w:rsid w:val="007A43B2"/>
    <w:rsid w:val="007A45C7"/>
    <w:rsid w:val="007A70BA"/>
    <w:rsid w:val="007A75FE"/>
    <w:rsid w:val="007A76C2"/>
    <w:rsid w:val="007A76D5"/>
    <w:rsid w:val="007A78C1"/>
    <w:rsid w:val="007A7A49"/>
    <w:rsid w:val="007B0060"/>
    <w:rsid w:val="007B0D68"/>
    <w:rsid w:val="007B14C4"/>
    <w:rsid w:val="007B168B"/>
    <w:rsid w:val="007B1773"/>
    <w:rsid w:val="007B1D77"/>
    <w:rsid w:val="007B221F"/>
    <w:rsid w:val="007B251D"/>
    <w:rsid w:val="007B2952"/>
    <w:rsid w:val="007B2A2A"/>
    <w:rsid w:val="007B2DEE"/>
    <w:rsid w:val="007B3533"/>
    <w:rsid w:val="007B3C40"/>
    <w:rsid w:val="007B489F"/>
    <w:rsid w:val="007B4A7B"/>
    <w:rsid w:val="007B4F58"/>
    <w:rsid w:val="007B528D"/>
    <w:rsid w:val="007B553C"/>
    <w:rsid w:val="007B5748"/>
    <w:rsid w:val="007B5A6B"/>
    <w:rsid w:val="007B5DC7"/>
    <w:rsid w:val="007B5E09"/>
    <w:rsid w:val="007B5F9A"/>
    <w:rsid w:val="007B63CA"/>
    <w:rsid w:val="007B6427"/>
    <w:rsid w:val="007B65B9"/>
    <w:rsid w:val="007B6DF8"/>
    <w:rsid w:val="007B7687"/>
    <w:rsid w:val="007B77D1"/>
    <w:rsid w:val="007B7D21"/>
    <w:rsid w:val="007C0227"/>
    <w:rsid w:val="007C05FC"/>
    <w:rsid w:val="007C07C7"/>
    <w:rsid w:val="007C1425"/>
    <w:rsid w:val="007C15F9"/>
    <w:rsid w:val="007C1865"/>
    <w:rsid w:val="007C1C3D"/>
    <w:rsid w:val="007C1CB7"/>
    <w:rsid w:val="007C1CD9"/>
    <w:rsid w:val="007C2267"/>
    <w:rsid w:val="007C27C9"/>
    <w:rsid w:val="007C2B2D"/>
    <w:rsid w:val="007C32EF"/>
    <w:rsid w:val="007C35EC"/>
    <w:rsid w:val="007C361D"/>
    <w:rsid w:val="007C3BF9"/>
    <w:rsid w:val="007C434C"/>
    <w:rsid w:val="007C4357"/>
    <w:rsid w:val="007C4399"/>
    <w:rsid w:val="007C43A0"/>
    <w:rsid w:val="007C47DD"/>
    <w:rsid w:val="007C4B84"/>
    <w:rsid w:val="007C4BD4"/>
    <w:rsid w:val="007C5020"/>
    <w:rsid w:val="007C513C"/>
    <w:rsid w:val="007C6045"/>
    <w:rsid w:val="007C60DD"/>
    <w:rsid w:val="007C6389"/>
    <w:rsid w:val="007C6592"/>
    <w:rsid w:val="007C6D29"/>
    <w:rsid w:val="007C70FF"/>
    <w:rsid w:val="007C78BC"/>
    <w:rsid w:val="007C7C25"/>
    <w:rsid w:val="007D004F"/>
    <w:rsid w:val="007D008C"/>
    <w:rsid w:val="007D035F"/>
    <w:rsid w:val="007D062F"/>
    <w:rsid w:val="007D06B2"/>
    <w:rsid w:val="007D0805"/>
    <w:rsid w:val="007D0B38"/>
    <w:rsid w:val="007D109D"/>
    <w:rsid w:val="007D136C"/>
    <w:rsid w:val="007D1418"/>
    <w:rsid w:val="007D19EC"/>
    <w:rsid w:val="007D31A2"/>
    <w:rsid w:val="007D354E"/>
    <w:rsid w:val="007D3766"/>
    <w:rsid w:val="007D3811"/>
    <w:rsid w:val="007D3E3D"/>
    <w:rsid w:val="007D43CA"/>
    <w:rsid w:val="007D46D0"/>
    <w:rsid w:val="007D5440"/>
    <w:rsid w:val="007D649B"/>
    <w:rsid w:val="007D65B3"/>
    <w:rsid w:val="007D6988"/>
    <w:rsid w:val="007D69EB"/>
    <w:rsid w:val="007D6B2A"/>
    <w:rsid w:val="007D7D01"/>
    <w:rsid w:val="007D7DA9"/>
    <w:rsid w:val="007E128F"/>
    <w:rsid w:val="007E1B6B"/>
    <w:rsid w:val="007E3724"/>
    <w:rsid w:val="007E37A7"/>
    <w:rsid w:val="007E3A44"/>
    <w:rsid w:val="007E3FCF"/>
    <w:rsid w:val="007E441E"/>
    <w:rsid w:val="007E467F"/>
    <w:rsid w:val="007E46C4"/>
    <w:rsid w:val="007E5004"/>
    <w:rsid w:val="007E51D1"/>
    <w:rsid w:val="007E51D5"/>
    <w:rsid w:val="007E53F3"/>
    <w:rsid w:val="007E5CB8"/>
    <w:rsid w:val="007E6CA5"/>
    <w:rsid w:val="007E7642"/>
    <w:rsid w:val="007E789B"/>
    <w:rsid w:val="007E7BFF"/>
    <w:rsid w:val="007F0401"/>
    <w:rsid w:val="007F06A6"/>
    <w:rsid w:val="007F0C08"/>
    <w:rsid w:val="007F0FC9"/>
    <w:rsid w:val="007F1017"/>
    <w:rsid w:val="007F110F"/>
    <w:rsid w:val="007F14B8"/>
    <w:rsid w:val="007F1CEE"/>
    <w:rsid w:val="007F1FEE"/>
    <w:rsid w:val="007F2F26"/>
    <w:rsid w:val="007F3A77"/>
    <w:rsid w:val="007F46BA"/>
    <w:rsid w:val="007F4A3F"/>
    <w:rsid w:val="007F4A61"/>
    <w:rsid w:val="007F4B8F"/>
    <w:rsid w:val="007F5255"/>
    <w:rsid w:val="007F56CC"/>
    <w:rsid w:val="007F61C2"/>
    <w:rsid w:val="007F6A06"/>
    <w:rsid w:val="007F6A70"/>
    <w:rsid w:val="007F6C72"/>
    <w:rsid w:val="007F73CB"/>
    <w:rsid w:val="008000CC"/>
    <w:rsid w:val="00800350"/>
    <w:rsid w:val="00800A12"/>
    <w:rsid w:val="00800A13"/>
    <w:rsid w:val="0080144B"/>
    <w:rsid w:val="008023E4"/>
    <w:rsid w:val="00804034"/>
    <w:rsid w:val="00804D80"/>
    <w:rsid w:val="00804D87"/>
    <w:rsid w:val="00804FB5"/>
    <w:rsid w:val="00805142"/>
    <w:rsid w:val="00805365"/>
    <w:rsid w:val="0080566B"/>
    <w:rsid w:val="00805FCE"/>
    <w:rsid w:val="008061ED"/>
    <w:rsid w:val="00807974"/>
    <w:rsid w:val="00807A8B"/>
    <w:rsid w:val="00807D2A"/>
    <w:rsid w:val="008101E4"/>
    <w:rsid w:val="0081110E"/>
    <w:rsid w:val="00811383"/>
    <w:rsid w:val="0081138D"/>
    <w:rsid w:val="00811AE6"/>
    <w:rsid w:val="00811C04"/>
    <w:rsid w:val="00811C0E"/>
    <w:rsid w:val="0081206A"/>
    <w:rsid w:val="00812149"/>
    <w:rsid w:val="0081274B"/>
    <w:rsid w:val="0081293B"/>
    <w:rsid w:val="00812CAC"/>
    <w:rsid w:val="0081385D"/>
    <w:rsid w:val="00814058"/>
    <w:rsid w:val="008144CC"/>
    <w:rsid w:val="008151F8"/>
    <w:rsid w:val="00815922"/>
    <w:rsid w:val="00816036"/>
    <w:rsid w:val="00816215"/>
    <w:rsid w:val="00816278"/>
    <w:rsid w:val="00816361"/>
    <w:rsid w:val="008166EF"/>
    <w:rsid w:val="00816E6B"/>
    <w:rsid w:val="00816FEF"/>
    <w:rsid w:val="0081734A"/>
    <w:rsid w:val="00817E9D"/>
    <w:rsid w:val="0082000C"/>
    <w:rsid w:val="00820A8C"/>
    <w:rsid w:val="00820FC4"/>
    <w:rsid w:val="00821221"/>
    <w:rsid w:val="00821531"/>
    <w:rsid w:val="008215FB"/>
    <w:rsid w:val="00821C0D"/>
    <w:rsid w:val="00821C1F"/>
    <w:rsid w:val="00821CE5"/>
    <w:rsid w:val="008220CC"/>
    <w:rsid w:val="00822E2B"/>
    <w:rsid w:val="00822E2D"/>
    <w:rsid w:val="00822E6B"/>
    <w:rsid w:val="00823174"/>
    <w:rsid w:val="00823818"/>
    <w:rsid w:val="0082398B"/>
    <w:rsid w:val="0082436A"/>
    <w:rsid w:val="00824468"/>
    <w:rsid w:val="0082469E"/>
    <w:rsid w:val="008248A6"/>
    <w:rsid w:val="00825607"/>
    <w:rsid w:val="00825751"/>
    <w:rsid w:val="00825D69"/>
    <w:rsid w:val="00825FE3"/>
    <w:rsid w:val="008264EB"/>
    <w:rsid w:val="0082656F"/>
    <w:rsid w:val="008268CE"/>
    <w:rsid w:val="0082693F"/>
    <w:rsid w:val="00826D39"/>
    <w:rsid w:val="0082730F"/>
    <w:rsid w:val="00827C23"/>
    <w:rsid w:val="00830735"/>
    <w:rsid w:val="00830E2B"/>
    <w:rsid w:val="008310F4"/>
    <w:rsid w:val="00831B05"/>
    <w:rsid w:val="00831B08"/>
    <w:rsid w:val="00832378"/>
    <w:rsid w:val="00832E9A"/>
    <w:rsid w:val="0083361C"/>
    <w:rsid w:val="00833877"/>
    <w:rsid w:val="0083387E"/>
    <w:rsid w:val="00833B05"/>
    <w:rsid w:val="0083469F"/>
    <w:rsid w:val="008348E4"/>
    <w:rsid w:val="00835518"/>
    <w:rsid w:val="0083606E"/>
    <w:rsid w:val="008362B4"/>
    <w:rsid w:val="00836423"/>
    <w:rsid w:val="0083699A"/>
    <w:rsid w:val="00836E7C"/>
    <w:rsid w:val="0083726D"/>
    <w:rsid w:val="00837531"/>
    <w:rsid w:val="008405D7"/>
    <w:rsid w:val="00840B09"/>
    <w:rsid w:val="00840CA2"/>
    <w:rsid w:val="008414D6"/>
    <w:rsid w:val="00841C26"/>
    <w:rsid w:val="008422AD"/>
    <w:rsid w:val="0084251F"/>
    <w:rsid w:val="008429FB"/>
    <w:rsid w:val="00842BEE"/>
    <w:rsid w:val="00843375"/>
    <w:rsid w:val="0084374F"/>
    <w:rsid w:val="00843AFA"/>
    <w:rsid w:val="00843C97"/>
    <w:rsid w:val="00843E53"/>
    <w:rsid w:val="00844879"/>
    <w:rsid w:val="00844A22"/>
    <w:rsid w:val="00844BC9"/>
    <w:rsid w:val="008454AF"/>
    <w:rsid w:val="00845A56"/>
    <w:rsid w:val="00845E16"/>
    <w:rsid w:val="00845EBA"/>
    <w:rsid w:val="00846146"/>
    <w:rsid w:val="00846278"/>
    <w:rsid w:val="00846FE1"/>
    <w:rsid w:val="008471D1"/>
    <w:rsid w:val="00847690"/>
    <w:rsid w:val="00847703"/>
    <w:rsid w:val="008477D9"/>
    <w:rsid w:val="00847D12"/>
    <w:rsid w:val="00847DF5"/>
    <w:rsid w:val="00847E6F"/>
    <w:rsid w:val="00850091"/>
    <w:rsid w:val="008501EF"/>
    <w:rsid w:val="008504F0"/>
    <w:rsid w:val="00850A75"/>
    <w:rsid w:val="00850BC3"/>
    <w:rsid w:val="00850D78"/>
    <w:rsid w:val="00851728"/>
    <w:rsid w:val="0085309D"/>
    <w:rsid w:val="00854459"/>
    <w:rsid w:val="0085472C"/>
    <w:rsid w:val="00854F24"/>
    <w:rsid w:val="00855145"/>
    <w:rsid w:val="00855F31"/>
    <w:rsid w:val="00856897"/>
    <w:rsid w:val="00856E9A"/>
    <w:rsid w:val="00856F55"/>
    <w:rsid w:val="00857C12"/>
    <w:rsid w:val="00857D2E"/>
    <w:rsid w:val="0086075D"/>
    <w:rsid w:val="00860923"/>
    <w:rsid w:val="00860D3C"/>
    <w:rsid w:val="008613D2"/>
    <w:rsid w:val="00861631"/>
    <w:rsid w:val="0086178E"/>
    <w:rsid w:val="008620BB"/>
    <w:rsid w:val="008620E4"/>
    <w:rsid w:val="00862502"/>
    <w:rsid w:val="0086259A"/>
    <w:rsid w:val="00862CB2"/>
    <w:rsid w:val="00862CC1"/>
    <w:rsid w:val="008636AB"/>
    <w:rsid w:val="00863785"/>
    <w:rsid w:val="00863858"/>
    <w:rsid w:val="008642A7"/>
    <w:rsid w:val="00864671"/>
    <w:rsid w:val="008646B1"/>
    <w:rsid w:val="00864D60"/>
    <w:rsid w:val="00864EE5"/>
    <w:rsid w:val="008660D4"/>
    <w:rsid w:val="00866151"/>
    <w:rsid w:val="00866BAB"/>
    <w:rsid w:val="00866CAD"/>
    <w:rsid w:val="00866D23"/>
    <w:rsid w:val="008670EF"/>
    <w:rsid w:val="00867119"/>
    <w:rsid w:val="00867C0D"/>
    <w:rsid w:val="00867EB2"/>
    <w:rsid w:val="00867F7C"/>
    <w:rsid w:val="0087000E"/>
    <w:rsid w:val="0087003A"/>
    <w:rsid w:val="00870244"/>
    <w:rsid w:val="00870C64"/>
    <w:rsid w:val="00870F65"/>
    <w:rsid w:val="00871051"/>
    <w:rsid w:val="008714C6"/>
    <w:rsid w:val="00871DD5"/>
    <w:rsid w:val="00871FA9"/>
    <w:rsid w:val="00872285"/>
    <w:rsid w:val="00872366"/>
    <w:rsid w:val="008728E9"/>
    <w:rsid w:val="00873DBD"/>
    <w:rsid w:val="00873EC5"/>
    <w:rsid w:val="00874034"/>
    <w:rsid w:val="0087475A"/>
    <w:rsid w:val="00874C56"/>
    <w:rsid w:val="0087506C"/>
    <w:rsid w:val="00875259"/>
    <w:rsid w:val="00875571"/>
    <w:rsid w:val="0087614F"/>
    <w:rsid w:val="0087650E"/>
    <w:rsid w:val="0087660C"/>
    <w:rsid w:val="00877570"/>
    <w:rsid w:val="0087792A"/>
    <w:rsid w:val="00877D10"/>
    <w:rsid w:val="008808C6"/>
    <w:rsid w:val="00880BE9"/>
    <w:rsid w:val="008816B9"/>
    <w:rsid w:val="00882038"/>
    <w:rsid w:val="00882874"/>
    <w:rsid w:val="00882E3C"/>
    <w:rsid w:val="0088308A"/>
    <w:rsid w:val="008832AB"/>
    <w:rsid w:val="00883787"/>
    <w:rsid w:val="00883CB2"/>
    <w:rsid w:val="00884C70"/>
    <w:rsid w:val="008855E4"/>
    <w:rsid w:val="0088570C"/>
    <w:rsid w:val="00886CD2"/>
    <w:rsid w:val="008878C9"/>
    <w:rsid w:val="00887B27"/>
    <w:rsid w:val="008900CE"/>
    <w:rsid w:val="00890542"/>
    <w:rsid w:val="008907EC"/>
    <w:rsid w:val="00890CE3"/>
    <w:rsid w:val="00890E5B"/>
    <w:rsid w:val="008911EB"/>
    <w:rsid w:val="0089138B"/>
    <w:rsid w:val="00891BC1"/>
    <w:rsid w:val="00891BD6"/>
    <w:rsid w:val="00891DD9"/>
    <w:rsid w:val="00891E6F"/>
    <w:rsid w:val="00892685"/>
    <w:rsid w:val="0089275D"/>
    <w:rsid w:val="00892A36"/>
    <w:rsid w:val="00892FE6"/>
    <w:rsid w:val="00893239"/>
    <w:rsid w:val="00893A51"/>
    <w:rsid w:val="0089420E"/>
    <w:rsid w:val="00894489"/>
    <w:rsid w:val="008948D8"/>
    <w:rsid w:val="00894AB6"/>
    <w:rsid w:val="00894CD6"/>
    <w:rsid w:val="008957A7"/>
    <w:rsid w:val="008957B2"/>
    <w:rsid w:val="008963A5"/>
    <w:rsid w:val="00896D5D"/>
    <w:rsid w:val="008974F0"/>
    <w:rsid w:val="0089787B"/>
    <w:rsid w:val="008A10E1"/>
    <w:rsid w:val="008A11BB"/>
    <w:rsid w:val="008A1440"/>
    <w:rsid w:val="008A1603"/>
    <w:rsid w:val="008A16BE"/>
    <w:rsid w:val="008A1F41"/>
    <w:rsid w:val="008A259E"/>
    <w:rsid w:val="008A28EE"/>
    <w:rsid w:val="008A2B7C"/>
    <w:rsid w:val="008A3158"/>
    <w:rsid w:val="008A3363"/>
    <w:rsid w:val="008A3371"/>
    <w:rsid w:val="008A3C3E"/>
    <w:rsid w:val="008A3C6E"/>
    <w:rsid w:val="008A3CD0"/>
    <w:rsid w:val="008A416C"/>
    <w:rsid w:val="008A44AF"/>
    <w:rsid w:val="008A4500"/>
    <w:rsid w:val="008A4845"/>
    <w:rsid w:val="008A4A16"/>
    <w:rsid w:val="008A4B35"/>
    <w:rsid w:val="008A5968"/>
    <w:rsid w:val="008A677F"/>
    <w:rsid w:val="008A760D"/>
    <w:rsid w:val="008A788E"/>
    <w:rsid w:val="008A79B7"/>
    <w:rsid w:val="008A79DE"/>
    <w:rsid w:val="008B1757"/>
    <w:rsid w:val="008B1C33"/>
    <w:rsid w:val="008B337A"/>
    <w:rsid w:val="008B3FD6"/>
    <w:rsid w:val="008B4B6F"/>
    <w:rsid w:val="008B4F63"/>
    <w:rsid w:val="008B5496"/>
    <w:rsid w:val="008B5FD1"/>
    <w:rsid w:val="008B602D"/>
    <w:rsid w:val="008B607C"/>
    <w:rsid w:val="008B6289"/>
    <w:rsid w:val="008B6AC6"/>
    <w:rsid w:val="008B7090"/>
    <w:rsid w:val="008B73B2"/>
    <w:rsid w:val="008B752E"/>
    <w:rsid w:val="008B7992"/>
    <w:rsid w:val="008B7D7E"/>
    <w:rsid w:val="008C004A"/>
    <w:rsid w:val="008C026B"/>
    <w:rsid w:val="008C0AFA"/>
    <w:rsid w:val="008C0B20"/>
    <w:rsid w:val="008C1412"/>
    <w:rsid w:val="008C1E24"/>
    <w:rsid w:val="008C2408"/>
    <w:rsid w:val="008C2B9A"/>
    <w:rsid w:val="008C3652"/>
    <w:rsid w:val="008C3823"/>
    <w:rsid w:val="008C3AC0"/>
    <w:rsid w:val="008C3DCB"/>
    <w:rsid w:val="008C44DA"/>
    <w:rsid w:val="008C47C7"/>
    <w:rsid w:val="008C4867"/>
    <w:rsid w:val="008C5610"/>
    <w:rsid w:val="008C5739"/>
    <w:rsid w:val="008C5835"/>
    <w:rsid w:val="008C588C"/>
    <w:rsid w:val="008C61D1"/>
    <w:rsid w:val="008C6E81"/>
    <w:rsid w:val="008C7282"/>
    <w:rsid w:val="008C794F"/>
    <w:rsid w:val="008C7ECB"/>
    <w:rsid w:val="008D0B46"/>
    <w:rsid w:val="008D0BB5"/>
    <w:rsid w:val="008D13E9"/>
    <w:rsid w:val="008D1449"/>
    <w:rsid w:val="008D1ED3"/>
    <w:rsid w:val="008D1F20"/>
    <w:rsid w:val="008D2353"/>
    <w:rsid w:val="008D2468"/>
    <w:rsid w:val="008D2585"/>
    <w:rsid w:val="008D2C1C"/>
    <w:rsid w:val="008D31DC"/>
    <w:rsid w:val="008D321A"/>
    <w:rsid w:val="008D3B86"/>
    <w:rsid w:val="008D422D"/>
    <w:rsid w:val="008D433D"/>
    <w:rsid w:val="008D43FD"/>
    <w:rsid w:val="008D4755"/>
    <w:rsid w:val="008D4840"/>
    <w:rsid w:val="008D496C"/>
    <w:rsid w:val="008D4C3D"/>
    <w:rsid w:val="008D5112"/>
    <w:rsid w:val="008D5459"/>
    <w:rsid w:val="008D55E9"/>
    <w:rsid w:val="008D5913"/>
    <w:rsid w:val="008D5BBE"/>
    <w:rsid w:val="008D5D61"/>
    <w:rsid w:val="008D5E61"/>
    <w:rsid w:val="008D5F2E"/>
    <w:rsid w:val="008D65A8"/>
    <w:rsid w:val="008D6671"/>
    <w:rsid w:val="008D6901"/>
    <w:rsid w:val="008D6BDF"/>
    <w:rsid w:val="008D73E6"/>
    <w:rsid w:val="008D743C"/>
    <w:rsid w:val="008E0781"/>
    <w:rsid w:val="008E0D3C"/>
    <w:rsid w:val="008E1384"/>
    <w:rsid w:val="008E166C"/>
    <w:rsid w:val="008E1934"/>
    <w:rsid w:val="008E1B9E"/>
    <w:rsid w:val="008E1D43"/>
    <w:rsid w:val="008E1EBA"/>
    <w:rsid w:val="008E20A5"/>
    <w:rsid w:val="008E22D2"/>
    <w:rsid w:val="008E287C"/>
    <w:rsid w:val="008E28B4"/>
    <w:rsid w:val="008E3114"/>
    <w:rsid w:val="008E43D4"/>
    <w:rsid w:val="008E4F36"/>
    <w:rsid w:val="008E5468"/>
    <w:rsid w:val="008E55AB"/>
    <w:rsid w:val="008E597C"/>
    <w:rsid w:val="008E6E0C"/>
    <w:rsid w:val="008E7563"/>
    <w:rsid w:val="008F120A"/>
    <w:rsid w:val="008F1332"/>
    <w:rsid w:val="008F1C00"/>
    <w:rsid w:val="008F1ED8"/>
    <w:rsid w:val="008F2237"/>
    <w:rsid w:val="008F27CD"/>
    <w:rsid w:val="008F27E0"/>
    <w:rsid w:val="008F2AED"/>
    <w:rsid w:val="008F389A"/>
    <w:rsid w:val="008F4579"/>
    <w:rsid w:val="008F48EB"/>
    <w:rsid w:val="008F4925"/>
    <w:rsid w:val="008F4D30"/>
    <w:rsid w:val="008F4EF4"/>
    <w:rsid w:val="008F4F0B"/>
    <w:rsid w:val="008F5054"/>
    <w:rsid w:val="008F580D"/>
    <w:rsid w:val="008F5F2F"/>
    <w:rsid w:val="008F5F6E"/>
    <w:rsid w:val="008F64C3"/>
    <w:rsid w:val="008F6B37"/>
    <w:rsid w:val="008F708D"/>
    <w:rsid w:val="008F71BE"/>
    <w:rsid w:val="008F729B"/>
    <w:rsid w:val="0090028A"/>
    <w:rsid w:val="00900AB3"/>
    <w:rsid w:val="0090162F"/>
    <w:rsid w:val="00901727"/>
    <w:rsid w:val="00901816"/>
    <w:rsid w:val="0090187A"/>
    <w:rsid w:val="00902263"/>
    <w:rsid w:val="009024FC"/>
    <w:rsid w:val="00902980"/>
    <w:rsid w:val="00903B49"/>
    <w:rsid w:val="009046C4"/>
    <w:rsid w:val="00904DBC"/>
    <w:rsid w:val="00904F20"/>
    <w:rsid w:val="00905126"/>
    <w:rsid w:val="00905195"/>
    <w:rsid w:val="009055E5"/>
    <w:rsid w:val="00905C12"/>
    <w:rsid w:val="009060E6"/>
    <w:rsid w:val="009062A5"/>
    <w:rsid w:val="00906D85"/>
    <w:rsid w:val="009073F2"/>
    <w:rsid w:val="009074C3"/>
    <w:rsid w:val="00907699"/>
    <w:rsid w:val="0090795E"/>
    <w:rsid w:val="00907E0A"/>
    <w:rsid w:val="009100DF"/>
    <w:rsid w:val="00910D55"/>
    <w:rsid w:val="00910FA7"/>
    <w:rsid w:val="00911272"/>
    <w:rsid w:val="00911339"/>
    <w:rsid w:val="00911C3A"/>
    <w:rsid w:val="0091214C"/>
    <w:rsid w:val="00912A84"/>
    <w:rsid w:val="00912C45"/>
    <w:rsid w:val="00912DC4"/>
    <w:rsid w:val="0091306D"/>
    <w:rsid w:val="00913524"/>
    <w:rsid w:val="009135D6"/>
    <w:rsid w:val="0091406B"/>
    <w:rsid w:val="0091461A"/>
    <w:rsid w:val="00914C77"/>
    <w:rsid w:val="00914E39"/>
    <w:rsid w:val="00915174"/>
    <w:rsid w:val="00915FA3"/>
    <w:rsid w:val="0091638C"/>
    <w:rsid w:val="009166B0"/>
    <w:rsid w:val="00916803"/>
    <w:rsid w:val="009177AB"/>
    <w:rsid w:val="009179D2"/>
    <w:rsid w:val="00917CBF"/>
    <w:rsid w:val="00917E63"/>
    <w:rsid w:val="009208BA"/>
    <w:rsid w:val="0092103C"/>
    <w:rsid w:val="0092122B"/>
    <w:rsid w:val="00921945"/>
    <w:rsid w:val="00921ACB"/>
    <w:rsid w:val="00921D5A"/>
    <w:rsid w:val="00921EC2"/>
    <w:rsid w:val="009222A9"/>
    <w:rsid w:val="0092325C"/>
    <w:rsid w:val="0092369B"/>
    <w:rsid w:val="00923D27"/>
    <w:rsid w:val="00923E31"/>
    <w:rsid w:val="0092456B"/>
    <w:rsid w:val="009247F9"/>
    <w:rsid w:val="00924F3F"/>
    <w:rsid w:val="0092542B"/>
    <w:rsid w:val="00925EB3"/>
    <w:rsid w:val="00926637"/>
    <w:rsid w:val="00926ECC"/>
    <w:rsid w:val="00926F89"/>
    <w:rsid w:val="00927519"/>
    <w:rsid w:val="0092751D"/>
    <w:rsid w:val="00927A0B"/>
    <w:rsid w:val="00927C73"/>
    <w:rsid w:val="00930479"/>
    <w:rsid w:val="00930857"/>
    <w:rsid w:val="009313C9"/>
    <w:rsid w:val="00931474"/>
    <w:rsid w:val="00931BEE"/>
    <w:rsid w:val="00932234"/>
    <w:rsid w:val="009324AC"/>
    <w:rsid w:val="00932A6B"/>
    <w:rsid w:val="00933485"/>
    <w:rsid w:val="0093378C"/>
    <w:rsid w:val="0093482B"/>
    <w:rsid w:val="00934988"/>
    <w:rsid w:val="00934A51"/>
    <w:rsid w:val="00934B46"/>
    <w:rsid w:val="00934CBF"/>
    <w:rsid w:val="009352E0"/>
    <w:rsid w:val="00935371"/>
    <w:rsid w:val="00935730"/>
    <w:rsid w:val="00935C67"/>
    <w:rsid w:val="00936351"/>
    <w:rsid w:val="00937089"/>
    <w:rsid w:val="0093725D"/>
    <w:rsid w:val="00937AD3"/>
    <w:rsid w:val="0094025C"/>
    <w:rsid w:val="009413A3"/>
    <w:rsid w:val="00941F55"/>
    <w:rsid w:val="00942559"/>
    <w:rsid w:val="00942A5E"/>
    <w:rsid w:val="009438C1"/>
    <w:rsid w:val="00943C7B"/>
    <w:rsid w:val="00943D28"/>
    <w:rsid w:val="00944031"/>
    <w:rsid w:val="00944F8A"/>
    <w:rsid w:val="009469BC"/>
    <w:rsid w:val="009477FB"/>
    <w:rsid w:val="0095028A"/>
    <w:rsid w:val="0095046B"/>
    <w:rsid w:val="00950636"/>
    <w:rsid w:val="0095072B"/>
    <w:rsid w:val="00950DCE"/>
    <w:rsid w:val="009510A2"/>
    <w:rsid w:val="009513C3"/>
    <w:rsid w:val="009515A7"/>
    <w:rsid w:val="00951A2B"/>
    <w:rsid w:val="00951A7F"/>
    <w:rsid w:val="00951FAC"/>
    <w:rsid w:val="009529CC"/>
    <w:rsid w:val="00953257"/>
    <w:rsid w:val="00953471"/>
    <w:rsid w:val="00953968"/>
    <w:rsid w:val="0095474C"/>
    <w:rsid w:val="00954B2B"/>
    <w:rsid w:val="00954C03"/>
    <w:rsid w:val="00954F90"/>
    <w:rsid w:val="00955134"/>
    <w:rsid w:val="00955784"/>
    <w:rsid w:val="009562E8"/>
    <w:rsid w:val="009567EA"/>
    <w:rsid w:val="00956B28"/>
    <w:rsid w:val="00957834"/>
    <w:rsid w:val="00957D92"/>
    <w:rsid w:val="0096007D"/>
    <w:rsid w:val="00960486"/>
    <w:rsid w:val="009607FB"/>
    <w:rsid w:val="009620F7"/>
    <w:rsid w:val="009622A4"/>
    <w:rsid w:val="009627D5"/>
    <w:rsid w:val="00962CB9"/>
    <w:rsid w:val="0096303A"/>
    <w:rsid w:val="00963355"/>
    <w:rsid w:val="00964312"/>
    <w:rsid w:val="00964822"/>
    <w:rsid w:val="00964BD0"/>
    <w:rsid w:val="00965B8A"/>
    <w:rsid w:val="00965E72"/>
    <w:rsid w:val="0096670B"/>
    <w:rsid w:val="00966C17"/>
    <w:rsid w:val="00967341"/>
    <w:rsid w:val="00967732"/>
    <w:rsid w:val="009677DB"/>
    <w:rsid w:val="00967E5D"/>
    <w:rsid w:val="00967EA6"/>
    <w:rsid w:val="009701A4"/>
    <w:rsid w:val="0097037B"/>
    <w:rsid w:val="0097054D"/>
    <w:rsid w:val="0097071E"/>
    <w:rsid w:val="0097071F"/>
    <w:rsid w:val="009712CF"/>
    <w:rsid w:val="009717AC"/>
    <w:rsid w:val="009718DF"/>
    <w:rsid w:val="00971EE9"/>
    <w:rsid w:val="009725C5"/>
    <w:rsid w:val="00972837"/>
    <w:rsid w:val="00974439"/>
    <w:rsid w:val="00974E33"/>
    <w:rsid w:val="009751C1"/>
    <w:rsid w:val="00975274"/>
    <w:rsid w:val="0097580F"/>
    <w:rsid w:val="00975DF3"/>
    <w:rsid w:val="00976382"/>
    <w:rsid w:val="0097660E"/>
    <w:rsid w:val="009768FB"/>
    <w:rsid w:val="009777E5"/>
    <w:rsid w:val="009779E2"/>
    <w:rsid w:val="00980C36"/>
    <w:rsid w:val="00980EF8"/>
    <w:rsid w:val="009811F1"/>
    <w:rsid w:val="0098126A"/>
    <w:rsid w:val="0098195E"/>
    <w:rsid w:val="00981FE4"/>
    <w:rsid w:val="00982376"/>
    <w:rsid w:val="0098262F"/>
    <w:rsid w:val="009826FA"/>
    <w:rsid w:val="00982D28"/>
    <w:rsid w:val="0098338F"/>
    <w:rsid w:val="0098379B"/>
    <w:rsid w:val="00983E57"/>
    <w:rsid w:val="0098413C"/>
    <w:rsid w:val="009842CE"/>
    <w:rsid w:val="00984776"/>
    <w:rsid w:val="00984D90"/>
    <w:rsid w:val="00984E10"/>
    <w:rsid w:val="009854A0"/>
    <w:rsid w:val="009855C2"/>
    <w:rsid w:val="0098562E"/>
    <w:rsid w:val="00985AAD"/>
    <w:rsid w:val="00985DE2"/>
    <w:rsid w:val="00986702"/>
    <w:rsid w:val="0098675D"/>
    <w:rsid w:val="00986AF4"/>
    <w:rsid w:val="00986D59"/>
    <w:rsid w:val="00987398"/>
    <w:rsid w:val="00987BA4"/>
    <w:rsid w:val="0099023B"/>
    <w:rsid w:val="0099056C"/>
    <w:rsid w:val="0099073D"/>
    <w:rsid w:val="00990BF6"/>
    <w:rsid w:val="0099194F"/>
    <w:rsid w:val="00991CED"/>
    <w:rsid w:val="00991EA9"/>
    <w:rsid w:val="009926E0"/>
    <w:rsid w:val="00992CB4"/>
    <w:rsid w:val="00993386"/>
    <w:rsid w:val="00993474"/>
    <w:rsid w:val="00993BA1"/>
    <w:rsid w:val="00993D40"/>
    <w:rsid w:val="00993DA1"/>
    <w:rsid w:val="00993ED8"/>
    <w:rsid w:val="00994415"/>
    <w:rsid w:val="0099451E"/>
    <w:rsid w:val="0099477E"/>
    <w:rsid w:val="00994CB0"/>
    <w:rsid w:val="00995824"/>
    <w:rsid w:val="00995A46"/>
    <w:rsid w:val="00995D0A"/>
    <w:rsid w:val="009962BC"/>
    <w:rsid w:val="00996A45"/>
    <w:rsid w:val="00996B1A"/>
    <w:rsid w:val="00997C27"/>
    <w:rsid w:val="009A0B1E"/>
    <w:rsid w:val="009A0F71"/>
    <w:rsid w:val="009A11BF"/>
    <w:rsid w:val="009A131F"/>
    <w:rsid w:val="009A18F6"/>
    <w:rsid w:val="009A21CB"/>
    <w:rsid w:val="009A2232"/>
    <w:rsid w:val="009A2DCC"/>
    <w:rsid w:val="009A314B"/>
    <w:rsid w:val="009A3871"/>
    <w:rsid w:val="009A3CB6"/>
    <w:rsid w:val="009A56AB"/>
    <w:rsid w:val="009A5ABC"/>
    <w:rsid w:val="009A6509"/>
    <w:rsid w:val="009A6B38"/>
    <w:rsid w:val="009A6C20"/>
    <w:rsid w:val="009A6D21"/>
    <w:rsid w:val="009A7176"/>
    <w:rsid w:val="009A7A43"/>
    <w:rsid w:val="009A7F10"/>
    <w:rsid w:val="009B062F"/>
    <w:rsid w:val="009B0971"/>
    <w:rsid w:val="009B0EF1"/>
    <w:rsid w:val="009B1212"/>
    <w:rsid w:val="009B1E92"/>
    <w:rsid w:val="009B2555"/>
    <w:rsid w:val="009B2A38"/>
    <w:rsid w:val="009B2B88"/>
    <w:rsid w:val="009B3CE4"/>
    <w:rsid w:val="009B3E26"/>
    <w:rsid w:val="009B4120"/>
    <w:rsid w:val="009B4556"/>
    <w:rsid w:val="009B46BA"/>
    <w:rsid w:val="009B55A3"/>
    <w:rsid w:val="009B5C66"/>
    <w:rsid w:val="009B5D18"/>
    <w:rsid w:val="009B6A7F"/>
    <w:rsid w:val="009B6B3F"/>
    <w:rsid w:val="009B70E6"/>
    <w:rsid w:val="009B756A"/>
    <w:rsid w:val="009B7BBE"/>
    <w:rsid w:val="009C06C7"/>
    <w:rsid w:val="009C0898"/>
    <w:rsid w:val="009C0A9E"/>
    <w:rsid w:val="009C1271"/>
    <w:rsid w:val="009C171F"/>
    <w:rsid w:val="009C1A3E"/>
    <w:rsid w:val="009C2218"/>
    <w:rsid w:val="009C248A"/>
    <w:rsid w:val="009C287C"/>
    <w:rsid w:val="009C3706"/>
    <w:rsid w:val="009C3A3A"/>
    <w:rsid w:val="009C426B"/>
    <w:rsid w:val="009C50B6"/>
    <w:rsid w:val="009C50FE"/>
    <w:rsid w:val="009C5109"/>
    <w:rsid w:val="009C5EF2"/>
    <w:rsid w:val="009C6364"/>
    <w:rsid w:val="009C6396"/>
    <w:rsid w:val="009C6A02"/>
    <w:rsid w:val="009C6CE7"/>
    <w:rsid w:val="009C6CEA"/>
    <w:rsid w:val="009C753B"/>
    <w:rsid w:val="009C7B85"/>
    <w:rsid w:val="009C7BEF"/>
    <w:rsid w:val="009D00B3"/>
    <w:rsid w:val="009D0254"/>
    <w:rsid w:val="009D094A"/>
    <w:rsid w:val="009D0F17"/>
    <w:rsid w:val="009D1364"/>
    <w:rsid w:val="009D150F"/>
    <w:rsid w:val="009D1A64"/>
    <w:rsid w:val="009D1D59"/>
    <w:rsid w:val="009D237B"/>
    <w:rsid w:val="009D25E3"/>
    <w:rsid w:val="009D3BC0"/>
    <w:rsid w:val="009D3CC4"/>
    <w:rsid w:val="009D4DF1"/>
    <w:rsid w:val="009D515C"/>
    <w:rsid w:val="009D52D5"/>
    <w:rsid w:val="009D5B91"/>
    <w:rsid w:val="009D6BEF"/>
    <w:rsid w:val="009D6C9E"/>
    <w:rsid w:val="009D7728"/>
    <w:rsid w:val="009D792E"/>
    <w:rsid w:val="009E051A"/>
    <w:rsid w:val="009E0A15"/>
    <w:rsid w:val="009E0DFE"/>
    <w:rsid w:val="009E104A"/>
    <w:rsid w:val="009E1B35"/>
    <w:rsid w:val="009E2027"/>
    <w:rsid w:val="009E26BC"/>
    <w:rsid w:val="009E31F6"/>
    <w:rsid w:val="009E38A9"/>
    <w:rsid w:val="009E3D8C"/>
    <w:rsid w:val="009E3E9A"/>
    <w:rsid w:val="009E3FAD"/>
    <w:rsid w:val="009E4C07"/>
    <w:rsid w:val="009E777F"/>
    <w:rsid w:val="009F0565"/>
    <w:rsid w:val="009F06D6"/>
    <w:rsid w:val="009F0DCE"/>
    <w:rsid w:val="009F16C9"/>
    <w:rsid w:val="009F1833"/>
    <w:rsid w:val="009F198C"/>
    <w:rsid w:val="009F2076"/>
    <w:rsid w:val="009F2269"/>
    <w:rsid w:val="009F22AB"/>
    <w:rsid w:val="009F4193"/>
    <w:rsid w:val="009F48F6"/>
    <w:rsid w:val="009F4E67"/>
    <w:rsid w:val="009F5182"/>
    <w:rsid w:val="009F51DF"/>
    <w:rsid w:val="009F5571"/>
    <w:rsid w:val="009F5EED"/>
    <w:rsid w:val="009F6120"/>
    <w:rsid w:val="009F6395"/>
    <w:rsid w:val="009F6A10"/>
    <w:rsid w:val="009F6AB9"/>
    <w:rsid w:val="009F7149"/>
    <w:rsid w:val="009F73B0"/>
    <w:rsid w:val="009F750C"/>
    <w:rsid w:val="009F7818"/>
    <w:rsid w:val="009F796F"/>
    <w:rsid w:val="00A0052F"/>
    <w:rsid w:val="00A00547"/>
    <w:rsid w:val="00A008DD"/>
    <w:rsid w:val="00A00C10"/>
    <w:rsid w:val="00A00D76"/>
    <w:rsid w:val="00A00F9F"/>
    <w:rsid w:val="00A01184"/>
    <w:rsid w:val="00A013E3"/>
    <w:rsid w:val="00A01449"/>
    <w:rsid w:val="00A01BA3"/>
    <w:rsid w:val="00A025FD"/>
    <w:rsid w:val="00A037C2"/>
    <w:rsid w:val="00A03986"/>
    <w:rsid w:val="00A03D43"/>
    <w:rsid w:val="00A03EEC"/>
    <w:rsid w:val="00A0434F"/>
    <w:rsid w:val="00A04380"/>
    <w:rsid w:val="00A04786"/>
    <w:rsid w:val="00A05472"/>
    <w:rsid w:val="00A0590C"/>
    <w:rsid w:val="00A05C32"/>
    <w:rsid w:val="00A060F1"/>
    <w:rsid w:val="00A0653F"/>
    <w:rsid w:val="00A071BC"/>
    <w:rsid w:val="00A072A5"/>
    <w:rsid w:val="00A0771A"/>
    <w:rsid w:val="00A07864"/>
    <w:rsid w:val="00A10E98"/>
    <w:rsid w:val="00A11852"/>
    <w:rsid w:val="00A118B6"/>
    <w:rsid w:val="00A11CD0"/>
    <w:rsid w:val="00A13948"/>
    <w:rsid w:val="00A14383"/>
    <w:rsid w:val="00A14CE8"/>
    <w:rsid w:val="00A14FEF"/>
    <w:rsid w:val="00A1555B"/>
    <w:rsid w:val="00A155C5"/>
    <w:rsid w:val="00A15C37"/>
    <w:rsid w:val="00A15D93"/>
    <w:rsid w:val="00A15F75"/>
    <w:rsid w:val="00A163F3"/>
    <w:rsid w:val="00A16AD8"/>
    <w:rsid w:val="00A16EC4"/>
    <w:rsid w:val="00A2021E"/>
    <w:rsid w:val="00A217FE"/>
    <w:rsid w:val="00A21849"/>
    <w:rsid w:val="00A21C95"/>
    <w:rsid w:val="00A21CF3"/>
    <w:rsid w:val="00A22A20"/>
    <w:rsid w:val="00A22B99"/>
    <w:rsid w:val="00A24813"/>
    <w:rsid w:val="00A253BC"/>
    <w:rsid w:val="00A255BB"/>
    <w:rsid w:val="00A258E1"/>
    <w:rsid w:val="00A26136"/>
    <w:rsid w:val="00A26288"/>
    <w:rsid w:val="00A26343"/>
    <w:rsid w:val="00A26417"/>
    <w:rsid w:val="00A268C1"/>
    <w:rsid w:val="00A26A6A"/>
    <w:rsid w:val="00A27168"/>
    <w:rsid w:val="00A2747F"/>
    <w:rsid w:val="00A2778B"/>
    <w:rsid w:val="00A2781B"/>
    <w:rsid w:val="00A27AEC"/>
    <w:rsid w:val="00A27B38"/>
    <w:rsid w:val="00A27C0F"/>
    <w:rsid w:val="00A309D6"/>
    <w:rsid w:val="00A30B6D"/>
    <w:rsid w:val="00A311EE"/>
    <w:rsid w:val="00A312BE"/>
    <w:rsid w:val="00A31347"/>
    <w:rsid w:val="00A319C7"/>
    <w:rsid w:val="00A320DB"/>
    <w:rsid w:val="00A3225C"/>
    <w:rsid w:val="00A32312"/>
    <w:rsid w:val="00A3271E"/>
    <w:rsid w:val="00A32B32"/>
    <w:rsid w:val="00A334B1"/>
    <w:rsid w:val="00A33997"/>
    <w:rsid w:val="00A33A42"/>
    <w:rsid w:val="00A33B7E"/>
    <w:rsid w:val="00A3407E"/>
    <w:rsid w:val="00A35019"/>
    <w:rsid w:val="00A359FF"/>
    <w:rsid w:val="00A35D16"/>
    <w:rsid w:val="00A36EAD"/>
    <w:rsid w:val="00A37A5A"/>
    <w:rsid w:val="00A37BCD"/>
    <w:rsid w:val="00A403D6"/>
    <w:rsid w:val="00A40D30"/>
    <w:rsid w:val="00A41689"/>
    <w:rsid w:val="00A42260"/>
    <w:rsid w:val="00A42592"/>
    <w:rsid w:val="00A426E0"/>
    <w:rsid w:val="00A426FA"/>
    <w:rsid w:val="00A43C59"/>
    <w:rsid w:val="00A45534"/>
    <w:rsid w:val="00A46D92"/>
    <w:rsid w:val="00A46EAC"/>
    <w:rsid w:val="00A47C2B"/>
    <w:rsid w:val="00A47D6E"/>
    <w:rsid w:val="00A47E64"/>
    <w:rsid w:val="00A50351"/>
    <w:rsid w:val="00A505BE"/>
    <w:rsid w:val="00A50735"/>
    <w:rsid w:val="00A50D32"/>
    <w:rsid w:val="00A50ECD"/>
    <w:rsid w:val="00A50F5A"/>
    <w:rsid w:val="00A51067"/>
    <w:rsid w:val="00A51186"/>
    <w:rsid w:val="00A51405"/>
    <w:rsid w:val="00A51888"/>
    <w:rsid w:val="00A518F3"/>
    <w:rsid w:val="00A518F5"/>
    <w:rsid w:val="00A51C91"/>
    <w:rsid w:val="00A52729"/>
    <w:rsid w:val="00A535C4"/>
    <w:rsid w:val="00A53675"/>
    <w:rsid w:val="00A53B42"/>
    <w:rsid w:val="00A54936"/>
    <w:rsid w:val="00A55694"/>
    <w:rsid w:val="00A5586A"/>
    <w:rsid w:val="00A56384"/>
    <w:rsid w:val="00A564D7"/>
    <w:rsid w:val="00A56B6A"/>
    <w:rsid w:val="00A56BF3"/>
    <w:rsid w:val="00A56D9F"/>
    <w:rsid w:val="00A570B4"/>
    <w:rsid w:val="00A572B9"/>
    <w:rsid w:val="00A578DC"/>
    <w:rsid w:val="00A57C72"/>
    <w:rsid w:val="00A6055D"/>
    <w:rsid w:val="00A60FB0"/>
    <w:rsid w:val="00A610E9"/>
    <w:rsid w:val="00A61822"/>
    <w:rsid w:val="00A61CB7"/>
    <w:rsid w:val="00A625E7"/>
    <w:rsid w:val="00A62AF3"/>
    <w:rsid w:val="00A63077"/>
    <w:rsid w:val="00A634EC"/>
    <w:rsid w:val="00A638B7"/>
    <w:rsid w:val="00A640E2"/>
    <w:rsid w:val="00A64211"/>
    <w:rsid w:val="00A6454A"/>
    <w:rsid w:val="00A64A45"/>
    <w:rsid w:val="00A64D65"/>
    <w:rsid w:val="00A65168"/>
    <w:rsid w:val="00A656CE"/>
    <w:rsid w:val="00A660F8"/>
    <w:rsid w:val="00A66691"/>
    <w:rsid w:val="00A67212"/>
    <w:rsid w:val="00A6725B"/>
    <w:rsid w:val="00A67803"/>
    <w:rsid w:val="00A67931"/>
    <w:rsid w:val="00A67B6D"/>
    <w:rsid w:val="00A67DF9"/>
    <w:rsid w:val="00A67ED0"/>
    <w:rsid w:val="00A70519"/>
    <w:rsid w:val="00A70605"/>
    <w:rsid w:val="00A70750"/>
    <w:rsid w:val="00A70F66"/>
    <w:rsid w:val="00A71770"/>
    <w:rsid w:val="00A71F96"/>
    <w:rsid w:val="00A720F3"/>
    <w:rsid w:val="00A72334"/>
    <w:rsid w:val="00A73134"/>
    <w:rsid w:val="00A731D1"/>
    <w:rsid w:val="00A7365A"/>
    <w:rsid w:val="00A737D6"/>
    <w:rsid w:val="00A73920"/>
    <w:rsid w:val="00A73958"/>
    <w:rsid w:val="00A73E0F"/>
    <w:rsid w:val="00A75913"/>
    <w:rsid w:val="00A76001"/>
    <w:rsid w:val="00A76439"/>
    <w:rsid w:val="00A7652C"/>
    <w:rsid w:val="00A769C7"/>
    <w:rsid w:val="00A77675"/>
    <w:rsid w:val="00A777B1"/>
    <w:rsid w:val="00A777B2"/>
    <w:rsid w:val="00A77931"/>
    <w:rsid w:val="00A807CB"/>
    <w:rsid w:val="00A8083F"/>
    <w:rsid w:val="00A80959"/>
    <w:rsid w:val="00A812F8"/>
    <w:rsid w:val="00A81454"/>
    <w:rsid w:val="00A81F7C"/>
    <w:rsid w:val="00A825D4"/>
    <w:rsid w:val="00A8272F"/>
    <w:rsid w:val="00A828F6"/>
    <w:rsid w:val="00A82B73"/>
    <w:rsid w:val="00A82BF7"/>
    <w:rsid w:val="00A82ED3"/>
    <w:rsid w:val="00A8411E"/>
    <w:rsid w:val="00A8447A"/>
    <w:rsid w:val="00A846F9"/>
    <w:rsid w:val="00A84C90"/>
    <w:rsid w:val="00A85337"/>
    <w:rsid w:val="00A85D19"/>
    <w:rsid w:val="00A85D9E"/>
    <w:rsid w:val="00A865A3"/>
    <w:rsid w:val="00A8663C"/>
    <w:rsid w:val="00A867DE"/>
    <w:rsid w:val="00A86E8B"/>
    <w:rsid w:val="00A87164"/>
    <w:rsid w:val="00A871A9"/>
    <w:rsid w:val="00A87295"/>
    <w:rsid w:val="00A87388"/>
    <w:rsid w:val="00A87A67"/>
    <w:rsid w:val="00A87EE6"/>
    <w:rsid w:val="00A900E7"/>
    <w:rsid w:val="00A90968"/>
    <w:rsid w:val="00A92477"/>
    <w:rsid w:val="00A92D53"/>
    <w:rsid w:val="00A93072"/>
    <w:rsid w:val="00A938BD"/>
    <w:rsid w:val="00A93953"/>
    <w:rsid w:val="00A94099"/>
    <w:rsid w:val="00A9412B"/>
    <w:rsid w:val="00A94CD2"/>
    <w:rsid w:val="00A9555D"/>
    <w:rsid w:val="00A959D8"/>
    <w:rsid w:val="00A96479"/>
    <w:rsid w:val="00A97F60"/>
    <w:rsid w:val="00AA018A"/>
    <w:rsid w:val="00AA0417"/>
    <w:rsid w:val="00AA113D"/>
    <w:rsid w:val="00AA2A1A"/>
    <w:rsid w:val="00AA329C"/>
    <w:rsid w:val="00AA398A"/>
    <w:rsid w:val="00AA3A7F"/>
    <w:rsid w:val="00AA3D1B"/>
    <w:rsid w:val="00AA462D"/>
    <w:rsid w:val="00AA494B"/>
    <w:rsid w:val="00AA53E3"/>
    <w:rsid w:val="00AA664F"/>
    <w:rsid w:val="00AA6B3C"/>
    <w:rsid w:val="00AA6BD5"/>
    <w:rsid w:val="00AA6BD8"/>
    <w:rsid w:val="00AA6BFC"/>
    <w:rsid w:val="00AA6C7D"/>
    <w:rsid w:val="00AA6CE7"/>
    <w:rsid w:val="00AA6E6C"/>
    <w:rsid w:val="00AA78F9"/>
    <w:rsid w:val="00AA7B9C"/>
    <w:rsid w:val="00AA7FD6"/>
    <w:rsid w:val="00AB0038"/>
    <w:rsid w:val="00AB042A"/>
    <w:rsid w:val="00AB11AD"/>
    <w:rsid w:val="00AB19EF"/>
    <w:rsid w:val="00AB2046"/>
    <w:rsid w:val="00AB2495"/>
    <w:rsid w:val="00AB2C39"/>
    <w:rsid w:val="00AB2D34"/>
    <w:rsid w:val="00AB3167"/>
    <w:rsid w:val="00AB3430"/>
    <w:rsid w:val="00AB37B9"/>
    <w:rsid w:val="00AB3F35"/>
    <w:rsid w:val="00AB470F"/>
    <w:rsid w:val="00AB4AD1"/>
    <w:rsid w:val="00AB53C8"/>
    <w:rsid w:val="00AB5410"/>
    <w:rsid w:val="00AB5E07"/>
    <w:rsid w:val="00AB5EA6"/>
    <w:rsid w:val="00AB6205"/>
    <w:rsid w:val="00AB6383"/>
    <w:rsid w:val="00AB6757"/>
    <w:rsid w:val="00AB72A0"/>
    <w:rsid w:val="00AB7A72"/>
    <w:rsid w:val="00AB7AC3"/>
    <w:rsid w:val="00AB7C7E"/>
    <w:rsid w:val="00AB7CFA"/>
    <w:rsid w:val="00AC002C"/>
    <w:rsid w:val="00AC0415"/>
    <w:rsid w:val="00AC0BB3"/>
    <w:rsid w:val="00AC1236"/>
    <w:rsid w:val="00AC2041"/>
    <w:rsid w:val="00AC22E6"/>
    <w:rsid w:val="00AC40D0"/>
    <w:rsid w:val="00AC5B42"/>
    <w:rsid w:val="00AC5B48"/>
    <w:rsid w:val="00AC5D20"/>
    <w:rsid w:val="00AC614F"/>
    <w:rsid w:val="00AC6594"/>
    <w:rsid w:val="00AC661D"/>
    <w:rsid w:val="00AC7B5D"/>
    <w:rsid w:val="00AC7D49"/>
    <w:rsid w:val="00AD08B1"/>
    <w:rsid w:val="00AD094E"/>
    <w:rsid w:val="00AD1450"/>
    <w:rsid w:val="00AD15E8"/>
    <w:rsid w:val="00AD1B33"/>
    <w:rsid w:val="00AD1CB6"/>
    <w:rsid w:val="00AD1D83"/>
    <w:rsid w:val="00AD2B4B"/>
    <w:rsid w:val="00AD32BD"/>
    <w:rsid w:val="00AD356D"/>
    <w:rsid w:val="00AD3764"/>
    <w:rsid w:val="00AD3C9F"/>
    <w:rsid w:val="00AD3F8F"/>
    <w:rsid w:val="00AD46FF"/>
    <w:rsid w:val="00AD4833"/>
    <w:rsid w:val="00AD4D0F"/>
    <w:rsid w:val="00AD5F6F"/>
    <w:rsid w:val="00AD5FEC"/>
    <w:rsid w:val="00AD60DD"/>
    <w:rsid w:val="00AD6502"/>
    <w:rsid w:val="00AD66A0"/>
    <w:rsid w:val="00AD7500"/>
    <w:rsid w:val="00AD7A62"/>
    <w:rsid w:val="00AE009D"/>
    <w:rsid w:val="00AE0520"/>
    <w:rsid w:val="00AE0695"/>
    <w:rsid w:val="00AE0C9C"/>
    <w:rsid w:val="00AE13F5"/>
    <w:rsid w:val="00AE180A"/>
    <w:rsid w:val="00AE2009"/>
    <w:rsid w:val="00AE21E8"/>
    <w:rsid w:val="00AE227B"/>
    <w:rsid w:val="00AE271A"/>
    <w:rsid w:val="00AE2A42"/>
    <w:rsid w:val="00AE3BDA"/>
    <w:rsid w:val="00AE3E7E"/>
    <w:rsid w:val="00AE4B31"/>
    <w:rsid w:val="00AE52C2"/>
    <w:rsid w:val="00AE7176"/>
    <w:rsid w:val="00AE79F6"/>
    <w:rsid w:val="00AE7E53"/>
    <w:rsid w:val="00AF10FC"/>
    <w:rsid w:val="00AF11F6"/>
    <w:rsid w:val="00AF1315"/>
    <w:rsid w:val="00AF19BF"/>
    <w:rsid w:val="00AF1B9F"/>
    <w:rsid w:val="00AF2458"/>
    <w:rsid w:val="00AF25C6"/>
    <w:rsid w:val="00AF27EB"/>
    <w:rsid w:val="00AF2A44"/>
    <w:rsid w:val="00AF2DC3"/>
    <w:rsid w:val="00AF2F5A"/>
    <w:rsid w:val="00AF35F2"/>
    <w:rsid w:val="00AF3619"/>
    <w:rsid w:val="00AF3E98"/>
    <w:rsid w:val="00AF4358"/>
    <w:rsid w:val="00AF4B2F"/>
    <w:rsid w:val="00AF5E93"/>
    <w:rsid w:val="00AF6056"/>
    <w:rsid w:val="00AF688B"/>
    <w:rsid w:val="00AF6904"/>
    <w:rsid w:val="00AF6A46"/>
    <w:rsid w:val="00AF748F"/>
    <w:rsid w:val="00AF7610"/>
    <w:rsid w:val="00B01136"/>
    <w:rsid w:val="00B013D7"/>
    <w:rsid w:val="00B01541"/>
    <w:rsid w:val="00B01CED"/>
    <w:rsid w:val="00B01D3C"/>
    <w:rsid w:val="00B01DB4"/>
    <w:rsid w:val="00B0219B"/>
    <w:rsid w:val="00B02707"/>
    <w:rsid w:val="00B0270F"/>
    <w:rsid w:val="00B02ACE"/>
    <w:rsid w:val="00B033E5"/>
    <w:rsid w:val="00B03A63"/>
    <w:rsid w:val="00B04A6B"/>
    <w:rsid w:val="00B05060"/>
    <w:rsid w:val="00B0541B"/>
    <w:rsid w:val="00B05C18"/>
    <w:rsid w:val="00B05F56"/>
    <w:rsid w:val="00B05FA0"/>
    <w:rsid w:val="00B06D64"/>
    <w:rsid w:val="00B070B0"/>
    <w:rsid w:val="00B077A7"/>
    <w:rsid w:val="00B0784E"/>
    <w:rsid w:val="00B07A58"/>
    <w:rsid w:val="00B10051"/>
    <w:rsid w:val="00B1035E"/>
    <w:rsid w:val="00B11049"/>
    <w:rsid w:val="00B114B3"/>
    <w:rsid w:val="00B114C8"/>
    <w:rsid w:val="00B12749"/>
    <w:rsid w:val="00B129A4"/>
    <w:rsid w:val="00B12E51"/>
    <w:rsid w:val="00B14179"/>
    <w:rsid w:val="00B141F2"/>
    <w:rsid w:val="00B148B3"/>
    <w:rsid w:val="00B14D48"/>
    <w:rsid w:val="00B15185"/>
    <w:rsid w:val="00B1531D"/>
    <w:rsid w:val="00B15B3E"/>
    <w:rsid w:val="00B160BE"/>
    <w:rsid w:val="00B164FE"/>
    <w:rsid w:val="00B16969"/>
    <w:rsid w:val="00B16BC0"/>
    <w:rsid w:val="00B175E6"/>
    <w:rsid w:val="00B200B1"/>
    <w:rsid w:val="00B201A4"/>
    <w:rsid w:val="00B201D1"/>
    <w:rsid w:val="00B205FC"/>
    <w:rsid w:val="00B209F2"/>
    <w:rsid w:val="00B20F35"/>
    <w:rsid w:val="00B213A6"/>
    <w:rsid w:val="00B2168C"/>
    <w:rsid w:val="00B21FA2"/>
    <w:rsid w:val="00B22D96"/>
    <w:rsid w:val="00B235B0"/>
    <w:rsid w:val="00B240F2"/>
    <w:rsid w:val="00B2477C"/>
    <w:rsid w:val="00B2482C"/>
    <w:rsid w:val="00B24DF6"/>
    <w:rsid w:val="00B24FBF"/>
    <w:rsid w:val="00B251ED"/>
    <w:rsid w:val="00B258B4"/>
    <w:rsid w:val="00B267FE"/>
    <w:rsid w:val="00B2734B"/>
    <w:rsid w:val="00B276D0"/>
    <w:rsid w:val="00B27A61"/>
    <w:rsid w:val="00B30684"/>
    <w:rsid w:val="00B30D90"/>
    <w:rsid w:val="00B31338"/>
    <w:rsid w:val="00B32B4A"/>
    <w:rsid w:val="00B32BCF"/>
    <w:rsid w:val="00B32E2D"/>
    <w:rsid w:val="00B32FF3"/>
    <w:rsid w:val="00B3359A"/>
    <w:rsid w:val="00B3383B"/>
    <w:rsid w:val="00B33B93"/>
    <w:rsid w:val="00B34412"/>
    <w:rsid w:val="00B3442C"/>
    <w:rsid w:val="00B34CFE"/>
    <w:rsid w:val="00B34F25"/>
    <w:rsid w:val="00B34FE2"/>
    <w:rsid w:val="00B35166"/>
    <w:rsid w:val="00B357D8"/>
    <w:rsid w:val="00B3592A"/>
    <w:rsid w:val="00B360F4"/>
    <w:rsid w:val="00B36A00"/>
    <w:rsid w:val="00B37030"/>
    <w:rsid w:val="00B373AF"/>
    <w:rsid w:val="00B3763A"/>
    <w:rsid w:val="00B3792B"/>
    <w:rsid w:val="00B37BFC"/>
    <w:rsid w:val="00B37C5B"/>
    <w:rsid w:val="00B40358"/>
    <w:rsid w:val="00B410C5"/>
    <w:rsid w:val="00B412AA"/>
    <w:rsid w:val="00B41614"/>
    <w:rsid w:val="00B42640"/>
    <w:rsid w:val="00B42851"/>
    <w:rsid w:val="00B42879"/>
    <w:rsid w:val="00B42941"/>
    <w:rsid w:val="00B42BF8"/>
    <w:rsid w:val="00B42C0D"/>
    <w:rsid w:val="00B42F80"/>
    <w:rsid w:val="00B435CB"/>
    <w:rsid w:val="00B43B48"/>
    <w:rsid w:val="00B45072"/>
    <w:rsid w:val="00B46450"/>
    <w:rsid w:val="00B465EC"/>
    <w:rsid w:val="00B4663A"/>
    <w:rsid w:val="00B472F8"/>
    <w:rsid w:val="00B47550"/>
    <w:rsid w:val="00B47568"/>
    <w:rsid w:val="00B479E5"/>
    <w:rsid w:val="00B505C8"/>
    <w:rsid w:val="00B507A8"/>
    <w:rsid w:val="00B50802"/>
    <w:rsid w:val="00B50DB8"/>
    <w:rsid w:val="00B50F7F"/>
    <w:rsid w:val="00B5142E"/>
    <w:rsid w:val="00B5175E"/>
    <w:rsid w:val="00B5196E"/>
    <w:rsid w:val="00B5274C"/>
    <w:rsid w:val="00B52F9D"/>
    <w:rsid w:val="00B53654"/>
    <w:rsid w:val="00B53905"/>
    <w:rsid w:val="00B539E5"/>
    <w:rsid w:val="00B53B13"/>
    <w:rsid w:val="00B546DB"/>
    <w:rsid w:val="00B548E0"/>
    <w:rsid w:val="00B54AF6"/>
    <w:rsid w:val="00B54B5B"/>
    <w:rsid w:val="00B5562E"/>
    <w:rsid w:val="00B55862"/>
    <w:rsid w:val="00B558FC"/>
    <w:rsid w:val="00B55AE4"/>
    <w:rsid w:val="00B55D65"/>
    <w:rsid w:val="00B56305"/>
    <w:rsid w:val="00B56BCC"/>
    <w:rsid w:val="00B56DC8"/>
    <w:rsid w:val="00B56E93"/>
    <w:rsid w:val="00B56F35"/>
    <w:rsid w:val="00B57000"/>
    <w:rsid w:val="00B5709C"/>
    <w:rsid w:val="00B57EB7"/>
    <w:rsid w:val="00B60681"/>
    <w:rsid w:val="00B60939"/>
    <w:rsid w:val="00B60AFD"/>
    <w:rsid w:val="00B613C9"/>
    <w:rsid w:val="00B615A5"/>
    <w:rsid w:val="00B622BD"/>
    <w:rsid w:val="00B62715"/>
    <w:rsid w:val="00B63835"/>
    <w:rsid w:val="00B644C6"/>
    <w:rsid w:val="00B64961"/>
    <w:rsid w:val="00B65611"/>
    <w:rsid w:val="00B660E4"/>
    <w:rsid w:val="00B666C3"/>
    <w:rsid w:val="00B66E1B"/>
    <w:rsid w:val="00B66F8D"/>
    <w:rsid w:val="00B67361"/>
    <w:rsid w:val="00B67601"/>
    <w:rsid w:val="00B676F0"/>
    <w:rsid w:val="00B67955"/>
    <w:rsid w:val="00B67C92"/>
    <w:rsid w:val="00B700B4"/>
    <w:rsid w:val="00B701F6"/>
    <w:rsid w:val="00B70484"/>
    <w:rsid w:val="00B704B0"/>
    <w:rsid w:val="00B70524"/>
    <w:rsid w:val="00B705AE"/>
    <w:rsid w:val="00B70A9C"/>
    <w:rsid w:val="00B70E8E"/>
    <w:rsid w:val="00B71387"/>
    <w:rsid w:val="00B7186A"/>
    <w:rsid w:val="00B729B4"/>
    <w:rsid w:val="00B72C7F"/>
    <w:rsid w:val="00B73254"/>
    <w:rsid w:val="00B7409C"/>
    <w:rsid w:val="00B74BDD"/>
    <w:rsid w:val="00B74E51"/>
    <w:rsid w:val="00B75109"/>
    <w:rsid w:val="00B752BD"/>
    <w:rsid w:val="00B75DA3"/>
    <w:rsid w:val="00B7665F"/>
    <w:rsid w:val="00B766C2"/>
    <w:rsid w:val="00B76C92"/>
    <w:rsid w:val="00B772ED"/>
    <w:rsid w:val="00B80364"/>
    <w:rsid w:val="00B80416"/>
    <w:rsid w:val="00B80EFD"/>
    <w:rsid w:val="00B8130A"/>
    <w:rsid w:val="00B813A9"/>
    <w:rsid w:val="00B818A4"/>
    <w:rsid w:val="00B82FEF"/>
    <w:rsid w:val="00B83739"/>
    <w:rsid w:val="00B84117"/>
    <w:rsid w:val="00B84125"/>
    <w:rsid w:val="00B8422E"/>
    <w:rsid w:val="00B85054"/>
    <w:rsid w:val="00B85490"/>
    <w:rsid w:val="00B858F0"/>
    <w:rsid w:val="00B85905"/>
    <w:rsid w:val="00B85AA2"/>
    <w:rsid w:val="00B85B31"/>
    <w:rsid w:val="00B8649C"/>
    <w:rsid w:val="00B8678F"/>
    <w:rsid w:val="00B8695D"/>
    <w:rsid w:val="00B86C0E"/>
    <w:rsid w:val="00B86CC6"/>
    <w:rsid w:val="00B86D3C"/>
    <w:rsid w:val="00B86E48"/>
    <w:rsid w:val="00B87525"/>
    <w:rsid w:val="00B87F0A"/>
    <w:rsid w:val="00B90539"/>
    <w:rsid w:val="00B90E45"/>
    <w:rsid w:val="00B910CA"/>
    <w:rsid w:val="00B91BAD"/>
    <w:rsid w:val="00B91CFB"/>
    <w:rsid w:val="00B91F1E"/>
    <w:rsid w:val="00B92526"/>
    <w:rsid w:val="00B92D0B"/>
    <w:rsid w:val="00B92F32"/>
    <w:rsid w:val="00B932F9"/>
    <w:rsid w:val="00B93627"/>
    <w:rsid w:val="00B9478C"/>
    <w:rsid w:val="00B94945"/>
    <w:rsid w:val="00B94BD1"/>
    <w:rsid w:val="00B94DD6"/>
    <w:rsid w:val="00B9530E"/>
    <w:rsid w:val="00B95498"/>
    <w:rsid w:val="00B95B57"/>
    <w:rsid w:val="00B96555"/>
    <w:rsid w:val="00B965EF"/>
    <w:rsid w:val="00B96816"/>
    <w:rsid w:val="00B97CA2"/>
    <w:rsid w:val="00BA02C7"/>
    <w:rsid w:val="00BA063C"/>
    <w:rsid w:val="00BA0C5C"/>
    <w:rsid w:val="00BA1B76"/>
    <w:rsid w:val="00BA1CD6"/>
    <w:rsid w:val="00BA2BEF"/>
    <w:rsid w:val="00BA322D"/>
    <w:rsid w:val="00BA3754"/>
    <w:rsid w:val="00BA3A92"/>
    <w:rsid w:val="00BA3C6E"/>
    <w:rsid w:val="00BA458E"/>
    <w:rsid w:val="00BA546A"/>
    <w:rsid w:val="00BA63FA"/>
    <w:rsid w:val="00BA69E9"/>
    <w:rsid w:val="00BA6F83"/>
    <w:rsid w:val="00BA7CAF"/>
    <w:rsid w:val="00BB00B3"/>
    <w:rsid w:val="00BB02E2"/>
    <w:rsid w:val="00BB0402"/>
    <w:rsid w:val="00BB09E6"/>
    <w:rsid w:val="00BB0BDD"/>
    <w:rsid w:val="00BB13A0"/>
    <w:rsid w:val="00BB13BF"/>
    <w:rsid w:val="00BB176C"/>
    <w:rsid w:val="00BB20DB"/>
    <w:rsid w:val="00BB21D6"/>
    <w:rsid w:val="00BB235A"/>
    <w:rsid w:val="00BB2A73"/>
    <w:rsid w:val="00BB303C"/>
    <w:rsid w:val="00BB304D"/>
    <w:rsid w:val="00BB3A45"/>
    <w:rsid w:val="00BB48ED"/>
    <w:rsid w:val="00BB490A"/>
    <w:rsid w:val="00BB4ACC"/>
    <w:rsid w:val="00BB5BA1"/>
    <w:rsid w:val="00BB65E4"/>
    <w:rsid w:val="00BB6A2B"/>
    <w:rsid w:val="00BB703E"/>
    <w:rsid w:val="00BB732D"/>
    <w:rsid w:val="00BB7405"/>
    <w:rsid w:val="00BB74FF"/>
    <w:rsid w:val="00BB7F3A"/>
    <w:rsid w:val="00BC0509"/>
    <w:rsid w:val="00BC05F0"/>
    <w:rsid w:val="00BC06C0"/>
    <w:rsid w:val="00BC06F8"/>
    <w:rsid w:val="00BC07EB"/>
    <w:rsid w:val="00BC0E31"/>
    <w:rsid w:val="00BC1352"/>
    <w:rsid w:val="00BC1653"/>
    <w:rsid w:val="00BC178A"/>
    <w:rsid w:val="00BC1B26"/>
    <w:rsid w:val="00BC276D"/>
    <w:rsid w:val="00BC2AEB"/>
    <w:rsid w:val="00BC2F7B"/>
    <w:rsid w:val="00BC3631"/>
    <w:rsid w:val="00BC3633"/>
    <w:rsid w:val="00BC4181"/>
    <w:rsid w:val="00BC4C2C"/>
    <w:rsid w:val="00BC4E14"/>
    <w:rsid w:val="00BC4F9A"/>
    <w:rsid w:val="00BC517C"/>
    <w:rsid w:val="00BC539C"/>
    <w:rsid w:val="00BC591F"/>
    <w:rsid w:val="00BC5998"/>
    <w:rsid w:val="00BC5F8E"/>
    <w:rsid w:val="00BC6330"/>
    <w:rsid w:val="00BC65C8"/>
    <w:rsid w:val="00BC65DF"/>
    <w:rsid w:val="00BC666A"/>
    <w:rsid w:val="00BC67AF"/>
    <w:rsid w:val="00BC6EFE"/>
    <w:rsid w:val="00BC7C33"/>
    <w:rsid w:val="00BC7D6D"/>
    <w:rsid w:val="00BC7ECF"/>
    <w:rsid w:val="00BD0942"/>
    <w:rsid w:val="00BD1E85"/>
    <w:rsid w:val="00BD2108"/>
    <w:rsid w:val="00BD210D"/>
    <w:rsid w:val="00BD2255"/>
    <w:rsid w:val="00BD2A47"/>
    <w:rsid w:val="00BD2DAF"/>
    <w:rsid w:val="00BD2E94"/>
    <w:rsid w:val="00BD31B0"/>
    <w:rsid w:val="00BD4FA2"/>
    <w:rsid w:val="00BD51C6"/>
    <w:rsid w:val="00BD543C"/>
    <w:rsid w:val="00BD560D"/>
    <w:rsid w:val="00BD5EF0"/>
    <w:rsid w:val="00BD68A3"/>
    <w:rsid w:val="00BD6936"/>
    <w:rsid w:val="00BD6938"/>
    <w:rsid w:val="00BD6CF3"/>
    <w:rsid w:val="00BD6D35"/>
    <w:rsid w:val="00BD6EC9"/>
    <w:rsid w:val="00BD721E"/>
    <w:rsid w:val="00BD789B"/>
    <w:rsid w:val="00BD7C5A"/>
    <w:rsid w:val="00BD7F72"/>
    <w:rsid w:val="00BE0ECA"/>
    <w:rsid w:val="00BE1085"/>
    <w:rsid w:val="00BE164A"/>
    <w:rsid w:val="00BE2180"/>
    <w:rsid w:val="00BE21F2"/>
    <w:rsid w:val="00BE2226"/>
    <w:rsid w:val="00BE27C1"/>
    <w:rsid w:val="00BE2F93"/>
    <w:rsid w:val="00BE3307"/>
    <w:rsid w:val="00BE4119"/>
    <w:rsid w:val="00BE4275"/>
    <w:rsid w:val="00BE42FE"/>
    <w:rsid w:val="00BE482C"/>
    <w:rsid w:val="00BE6215"/>
    <w:rsid w:val="00BE6290"/>
    <w:rsid w:val="00BE67A1"/>
    <w:rsid w:val="00BE6A93"/>
    <w:rsid w:val="00BE6B90"/>
    <w:rsid w:val="00BE71C0"/>
    <w:rsid w:val="00BF01B7"/>
    <w:rsid w:val="00BF06AE"/>
    <w:rsid w:val="00BF098E"/>
    <w:rsid w:val="00BF0C69"/>
    <w:rsid w:val="00BF0F95"/>
    <w:rsid w:val="00BF176C"/>
    <w:rsid w:val="00BF1FC9"/>
    <w:rsid w:val="00BF221F"/>
    <w:rsid w:val="00BF2244"/>
    <w:rsid w:val="00BF2298"/>
    <w:rsid w:val="00BF2433"/>
    <w:rsid w:val="00BF2C2E"/>
    <w:rsid w:val="00BF2E64"/>
    <w:rsid w:val="00BF2E6E"/>
    <w:rsid w:val="00BF2FD5"/>
    <w:rsid w:val="00BF4991"/>
    <w:rsid w:val="00BF590E"/>
    <w:rsid w:val="00BF5BF7"/>
    <w:rsid w:val="00BF5C1F"/>
    <w:rsid w:val="00BF5D44"/>
    <w:rsid w:val="00BF61C9"/>
    <w:rsid w:val="00BF6C94"/>
    <w:rsid w:val="00BF7234"/>
    <w:rsid w:val="00BF7905"/>
    <w:rsid w:val="00BF7AE7"/>
    <w:rsid w:val="00C00424"/>
    <w:rsid w:val="00C00BB0"/>
    <w:rsid w:val="00C00E70"/>
    <w:rsid w:val="00C01237"/>
    <w:rsid w:val="00C01789"/>
    <w:rsid w:val="00C02690"/>
    <w:rsid w:val="00C027BA"/>
    <w:rsid w:val="00C0339F"/>
    <w:rsid w:val="00C03497"/>
    <w:rsid w:val="00C03BFE"/>
    <w:rsid w:val="00C0425C"/>
    <w:rsid w:val="00C04430"/>
    <w:rsid w:val="00C04A24"/>
    <w:rsid w:val="00C04CDE"/>
    <w:rsid w:val="00C04D1C"/>
    <w:rsid w:val="00C05695"/>
    <w:rsid w:val="00C05E3C"/>
    <w:rsid w:val="00C067D7"/>
    <w:rsid w:val="00C0689D"/>
    <w:rsid w:val="00C0761E"/>
    <w:rsid w:val="00C07854"/>
    <w:rsid w:val="00C07C80"/>
    <w:rsid w:val="00C10011"/>
    <w:rsid w:val="00C10DC4"/>
    <w:rsid w:val="00C10DE1"/>
    <w:rsid w:val="00C10F48"/>
    <w:rsid w:val="00C1141B"/>
    <w:rsid w:val="00C1179F"/>
    <w:rsid w:val="00C11B4E"/>
    <w:rsid w:val="00C12238"/>
    <w:rsid w:val="00C1248A"/>
    <w:rsid w:val="00C127B9"/>
    <w:rsid w:val="00C128BD"/>
    <w:rsid w:val="00C128FA"/>
    <w:rsid w:val="00C12BFE"/>
    <w:rsid w:val="00C12C14"/>
    <w:rsid w:val="00C13135"/>
    <w:rsid w:val="00C13DE0"/>
    <w:rsid w:val="00C14844"/>
    <w:rsid w:val="00C149A1"/>
    <w:rsid w:val="00C14B65"/>
    <w:rsid w:val="00C15219"/>
    <w:rsid w:val="00C1594D"/>
    <w:rsid w:val="00C15F04"/>
    <w:rsid w:val="00C16361"/>
    <w:rsid w:val="00C163FA"/>
    <w:rsid w:val="00C16800"/>
    <w:rsid w:val="00C168E9"/>
    <w:rsid w:val="00C16BA1"/>
    <w:rsid w:val="00C16F7F"/>
    <w:rsid w:val="00C17013"/>
    <w:rsid w:val="00C17197"/>
    <w:rsid w:val="00C178AC"/>
    <w:rsid w:val="00C17906"/>
    <w:rsid w:val="00C179B3"/>
    <w:rsid w:val="00C17E3F"/>
    <w:rsid w:val="00C200AA"/>
    <w:rsid w:val="00C207D0"/>
    <w:rsid w:val="00C20A58"/>
    <w:rsid w:val="00C211AC"/>
    <w:rsid w:val="00C21A0B"/>
    <w:rsid w:val="00C21EE5"/>
    <w:rsid w:val="00C220CC"/>
    <w:rsid w:val="00C22585"/>
    <w:rsid w:val="00C234EC"/>
    <w:rsid w:val="00C237ED"/>
    <w:rsid w:val="00C23868"/>
    <w:rsid w:val="00C238A8"/>
    <w:rsid w:val="00C23D52"/>
    <w:rsid w:val="00C2455C"/>
    <w:rsid w:val="00C24632"/>
    <w:rsid w:val="00C246E7"/>
    <w:rsid w:val="00C248B7"/>
    <w:rsid w:val="00C24A50"/>
    <w:rsid w:val="00C25418"/>
    <w:rsid w:val="00C25587"/>
    <w:rsid w:val="00C25A8A"/>
    <w:rsid w:val="00C25D9C"/>
    <w:rsid w:val="00C26266"/>
    <w:rsid w:val="00C26BA1"/>
    <w:rsid w:val="00C26FF3"/>
    <w:rsid w:val="00C276C6"/>
    <w:rsid w:val="00C2778B"/>
    <w:rsid w:val="00C27BF5"/>
    <w:rsid w:val="00C304B0"/>
    <w:rsid w:val="00C3098D"/>
    <w:rsid w:val="00C31649"/>
    <w:rsid w:val="00C32887"/>
    <w:rsid w:val="00C32EC9"/>
    <w:rsid w:val="00C3360A"/>
    <w:rsid w:val="00C33C90"/>
    <w:rsid w:val="00C33D6F"/>
    <w:rsid w:val="00C34275"/>
    <w:rsid w:val="00C3434C"/>
    <w:rsid w:val="00C346B7"/>
    <w:rsid w:val="00C3581F"/>
    <w:rsid w:val="00C361CE"/>
    <w:rsid w:val="00C36A1E"/>
    <w:rsid w:val="00C36AC8"/>
    <w:rsid w:val="00C36BCB"/>
    <w:rsid w:val="00C36C52"/>
    <w:rsid w:val="00C37157"/>
    <w:rsid w:val="00C372D7"/>
    <w:rsid w:val="00C37629"/>
    <w:rsid w:val="00C4031A"/>
    <w:rsid w:val="00C40385"/>
    <w:rsid w:val="00C4049D"/>
    <w:rsid w:val="00C40CA2"/>
    <w:rsid w:val="00C41055"/>
    <w:rsid w:val="00C41768"/>
    <w:rsid w:val="00C41808"/>
    <w:rsid w:val="00C41BD3"/>
    <w:rsid w:val="00C4262D"/>
    <w:rsid w:val="00C42C05"/>
    <w:rsid w:val="00C42D5C"/>
    <w:rsid w:val="00C43724"/>
    <w:rsid w:val="00C43E64"/>
    <w:rsid w:val="00C452B4"/>
    <w:rsid w:val="00C452D4"/>
    <w:rsid w:val="00C455EA"/>
    <w:rsid w:val="00C4642C"/>
    <w:rsid w:val="00C475AA"/>
    <w:rsid w:val="00C478F8"/>
    <w:rsid w:val="00C47A7E"/>
    <w:rsid w:val="00C47E8E"/>
    <w:rsid w:val="00C50149"/>
    <w:rsid w:val="00C51518"/>
    <w:rsid w:val="00C52004"/>
    <w:rsid w:val="00C52039"/>
    <w:rsid w:val="00C527C7"/>
    <w:rsid w:val="00C52B48"/>
    <w:rsid w:val="00C52D23"/>
    <w:rsid w:val="00C530DB"/>
    <w:rsid w:val="00C53AE2"/>
    <w:rsid w:val="00C53C98"/>
    <w:rsid w:val="00C54967"/>
    <w:rsid w:val="00C55302"/>
    <w:rsid w:val="00C561A1"/>
    <w:rsid w:val="00C569D0"/>
    <w:rsid w:val="00C56FCF"/>
    <w:rsid w:val="00C57127"/>
    <w:rsid w:val="00C572F6"/>
    <w:rsid w:val="00C57B6C"/>
    <w:rsid w:val="00C57D70"/>
    <w:rsid w:val="00C603F5"/>
    <w:rsid w:val="00C60475"/>
    <w:rsid w:val="00C60610"/>
    <w:rsid w:val="00C60CBC"/>
    <w:rsid w:val="00C61A59"/>
    <w:rsid w:val="00C62323"/>
    <w:rsid w:val="00C628A6"/>
    <w:rsid w:val="00C62A42"/>
    <w:rsid w:val="00C62F7D"/>
    <w:rsid w:val="00C63BD8"/>
    <w:rsid w:val="00C64344"/>
    <w:rsid w:val="00C646B6"/>
    <w:rsid w:val="00C64B97"/>
    <w:rsid w:val="00C64ED4"/>
    <w:rsid w:val="00C6504E"/>
    <w:rsid w:val="00C65108"/>
    <w:rsid w:val="00C65576"/>
    <w:rsid w:val="00C65CDF"/>
    <w:rsid w:val="00C66165"/>
    <w:rsid w:val="00C66982"/>
    <w:rsid w:val="00C66F2C"/>
    <w:rsid w:val="00C67180"/>
    <w:rsid w:val="00C67917"/>
    <w:rsid w:val="00C67ECD"/>
    <w:rsid w:val="00C70029"/>
    <w:rsid w:val="00C70101"/>
    <w:rsid w:val="00C702E8"/>
    <w:rsid w:val="00C7060A"/>
    <w:rsid w:val="00C70A12"/>
    <w:rsid w:val="00C70C4A"/>
    <w:rsid w:val="00C713DE"/>
    <w:rsid w:val="00C71506"/>
    <w:rsid w:val="00C7151A"/>
    <w:rsid w:val="00C717E3"/>
    <w:rsid w:val="00C71A48"/>
    <w:rsid w:val="00C71E7E"/>
    <w:rsid w:val="00C71F60"/>
    <w:rsid w:val="00C72241"/>
    <w:rsid w:val="00C74063"/>
    <w:rsid w:val="00C74988"/>
    <w:rsid w:val="00C74D38"/>
    <w:rsid w:val="00C750C8"/>
    <w:rsid w:val="00C75106"/>
    <w:rsid w:val="00C75570"/>
    <w:rsid w:val="00C7560F"/>
    <w:rsid w:val="00C7567E"/>
    <w:rsid w:val="00C7609C"/>
    <w:rsid w:val="00C762C7"/>
    <w:rsid w:val="00C76DD3"/>
    <w:rsid w:val="00C76F5B"/>
    <w:rsid w:val="00C77D47"/>
    <w:rsid w:val="00C80164"/>
    <w:rsid w:val="00C805B7"/>
    <w:rsid w:val="00C80A0E"/>
    <w:rsid w:val="00C80A11"/>
    <w:rsid w:val="00C811FD"/>
    <w:rsid w:val="00C81A0B"/>
    <w:rsid w:val="00C81D10"/>
    <w:rsid w:val="00C8213F"/>
    <w:rsid w:val="00C82299"/>
    <w:rsid w:val="00C82742"/>
    <w:rsid w:val="00C82AA0"/>
    <w:rsid w:val="00C82C04"/>
    <w:rsid w:val="00C82DA9"/>
    <w:rsid w:val="00C8303F"/>
    <w:rsid w:val="00C833F6"/>
    <w:rsid w:val="00C8343C"/>
    <w:rsid w:val="00C83FBB"/>
    <w:rsid w:val="00C84295"/>
    <w:rsid w:val="00C85154"/>
    <w:rsid w:val="00C853FB"/>
    <w:rsid w:val="00C85480"/>
    <w:rsid w:val="00C854A2"/>
    <w:rsid w:val="00C85A70"/>
    <w:rsid w:val="00C86280"/>
    <w:rsid w:val="00C86DC6"/>
    <w:rsid w:val="00C8715B"/>
    <w:rsid w:val="00C8726E"/>
    <w:rsid w:val="00C8761D"/>
    <w:rsid w:val="00C8797A"/>
    <w:rsid w:val="00C87A1A"/>
    <w:rsid w:val="00C87CC4"/>
    <w:rsid w:val="00C900B8"/>
    <w:rsid w:val="00C90197"/>
    <w:rsid w:val="00C90686"/>
    <w:rsid w:val="00C90C71"/>
    <w:rsid w:val="00C919D1"/>
    <w:rsid w:val="00C91D2D"/>
    <w:rsid w:val="00C91FD1"/>
    <w:rsid w:val="00C92A17"/>
    <w:rsid w:val="00C931CF"/>
    <w:rsid w:val="00C93214"/>
    <w:rsid w:val="00C936E3"/>
    <w:rsid w:val="00C938CF"/>
    <w:rsid w:val="00C94053"/>
    <w:rsid w:val="00C94756"/>
    <w:rsid w:val="00C94A64"/>
    <w:rsid w:val="00C958B9"/>
    <w:rsid w:val="00C95C3D"/>
    <w:rsid w:val="00C95D30"/>
    <w:rsid w:val="00C9624D"/>
    <w:rsid w:val="00C96441"/>
    <w:rsid w:val="00C969DA"/>
    <w:rsid w:val="00C96C51"/>
    <w:rsid w:val="00C96DF8"/>
    <w:rsid w:val="00C970B6"/>
    <w:rsid w:val="00C9723D"/>
    <w:rsid w:val="00C97AE6"/>
    <w:rsid w:val="00C97CD8"/>
    <w:rsid w:val="00CA04F0"/>
    <w:rsid w:val="00CA0997"/>
    <w:rsid w:val="00CA1C6A"/>
    <w:rsid w:val="00CA1D67"/>
    <w:rsid w:val="00CA23B1"/>
    <w:rsid w:val="00CA23B4"/>
    <w:rsid w:val="00CA267D"/>
    <w:rsid w:val="00CA2A88"/>
    <w:rsid w:val="00CA2C77"/>
    <w:rsid w:val="00CA33CC"/>
    <w:rsid w:val="00CA3732"/>
    <w:rsid w:val="00CA3789"/>
    <w:rsid w:val="00CA3F02"/>
    <w:rsid w:val="00CA4423"/>
    <w:rsid w:val="00CA444F"/>
    <w:rsid w:val="00CA450B"/>
    <w:rsid w:val="00CA4DD4"/>
    <w:rsid w:val="00CA5245"/>
    <w:rsid w:val="00CA5B92"/>
    <w:rsid w:val="00CA5DAE"/>
    <w:rsid w:val="00CA71F4"/>
    <w:rsid w:val="00CA7B09"/>
    <w:rsid w:val="00CB12A5"/>
    <w:rsid w:val="00CB1CAC"/>
    <w:rsid w:val="00CB23B7"/>
    <w:rsid w:val="00CB2F2A"/>
    <w:rsid w:val="00CB340B"/>
    <w:rsid w:val="00CB377B"/>
    <w:rsid w:val="00CB41EF"/>
    <w:rsid w:val="00CB4A81"/>
    <w:rsid w:val="00CB4D62"/>
    <w:rsid w:val="00CB5137"/>
    <w:rsid w:val="00CB52D1"/>
    <w:rsid w:val="00CB5320"/>
    <w:rsid w:val="00CB5B1A"/>
    <w:rsid w:val="00CB5FC1"/>
    <w:rsid w:val="00CB69EB"/>
    <w:rsid w:val="00CB6B22"/>
    <w:rsid w:val="00CB6DB4"/>
    <w:rsid w:val="00CB71B0"/>
    <w:rsid w:val="00CB7333"/>
    <w:rsid w:val="00CB7348"/>
    <w:rsid w:val="00CB73AC"/>
    <w:rsid w:val="00CB79C5"/>
    <w:rsid w:val="00CB7AD0"/>
    <w:rsid w:val="00CB7CE2"/>
    <w:rsid w:val="00CB7F5F"/>
    <w:rsid w:val="00CC0348"/>
    <w:rsid w:val="00CC0676"/>
    <w:rsid w:val="00CC08A7"/>
    <w:rsid w:val="00CC1887"/>
    <w:rsid w:val="00CC190F"/>
    <w:rsid w:val="00CC1B39"/>
    <w:rsid w:val="00CC1BFA"/>
    <w:rsid w:val="00CC1EAE"/>
    <w:rsid w:val="00CC2342"/>
    <w:rsid w:val="00CC24EA"/>
    <w:rsid w:val="00CC2CE4"/>
    <w:rsid w:val="00CC2E9F"/>
    <w:rsid w:val="00CC35EA"/>
    <w:rsid w:val="00CC3848"/>
    <w:rsid w:val="00CC3BDF"/>
    <w:rsid w:val="00CC3ED0"/>
    <w:rsid w:val="00CC4181"/>
    <w:rsid w:val="00CC4479"/>
    <w:rsid w:val="00CC47B6"/>
    <w:rsid w:val="00CC5232"/>
    <w:rsid w:val="00CC52C8"/>
    <w:rsid w:val="00CC5F36"/>
    <w:rsid w:val="00CC6D5E"/>
    <w:rsid w:val="00CC6D7D"/>
    <w:rsid w:val="00CC6E3A"/>
    <w:rsid w:val="00CC72EF"/>
    <w:rsid w:val="00CD0200"/>
    <w:rsid w:val="00CD061A"/>
    <w:rsid w:val="00CD1297"/>
    <w:rsid w:val="00CD1DFB"/>
    <w:rsid w:val="00CD1F54"/>
    <w:rsid w:val="00CD1FBB"/>
    <w:rsid w:val="00CD27CB"/>
    <w:rsid w:val="00CD28F5"/>
    <w:rsid w:val="00CD2971"/>
    <w:rsid w:val="00CD341E"/>
    <w:rsid w:val="00CD3628"/>
    <w:rsid w:val="00CD3B84"/>
    <w:rsid w:val="00CD3C45"/>
    <w:rsid w:val="00CD3C68"/>
    <w:rsid w:val="00CD3D1C"/>
    <w:rsid w:val="00CD3F77"/>
    <w:rsid w:val="00CD400B"/>
    <w:rsid w:val="00CD4456"/>
    <w:rsid w:val="00CD4CF4"/>
    <w:rsid w:val="00CD521C"/>
    <w:rsid w:val="00CD5262"/>
    <w:rsid w:val="00CD5494"/>
    <w:rsid w:val="00CD5560"/>
    <w:rsid w:val="00CD5BDD"/>
    <w:rsid w:val="00CD5ECF"/>
    <w:rsid w:val="00CD5EF6"/>
    <w:rsid w:val="00CD6ADC"/>
    <w:rsid w:val="00CD6B28"/>
    <w:rsid w:val="00CD7193"/>
    <w:rsid w:val="00CD762F"/>
    <w:rsid w:val="00CD76C8"/>
    <w:rsid w:val="00CD785D"/>
    <w:rsid w:val="00CD7F20"/>
    <w:rsid w:val="00CE076F"/>
    <w:rsid w:val="00CE13E3"/>
    <w:rsid w:val="00CE1B4C"/>
    <w:rsid w:val="00CE2743"/>
    <w:rsid w:val="00CE2B04"/>
    <w:rsid w:val="00CE346B"/>
    <w:rsid w:val="00CE359B"/>
    <w:rsid w:val="00CE38C8"/>
    <w:rsid w:val="00CE3BA1"/>
    <w:rsid w:val="00CE3D55"/>
    <w:rsid w:val="00CE4690"/>
    <w:rsid w:val="00CE497E"/>
    <w:rsid w:val="00CE4A5B"/>
    <w:rsid w:val="00CE524F"/>
    <w:rsid w:val="00CE55F4"/>
    <w:rsid w:val="00CE58CC"/>
    <w:rsid w:val="00CE5A79"/>
    <w:rsid w:val="00CE6274"/>
    <w:rsid w:val="00CE6524"/>
    <w:rsid w:val="00CE66DD"/>
    <w:rsid w:val="00CE6B04"/>
    <w:rsid w:val="00CE7441"/>
    <w:rsid w:val="00CE77B6"/>
    <w:rsid w:val="00CE7B8B"/>
    <w:rsid w:val="00CF06F7"/>
    <w:rsid w:val="00CF0E09"/>
    <w:rsid w:val="00CF165F"/>
    <w:rsid w:val="00CF19DB"/>
    <w:rsid w:val="00CF1AA8"/>
    <w:rsid w:val="00CF2648"/>
    <w:rsid w:val="00CF2879"/>
    <w:rsid w:val="00CF2B8D"/>
    <w:rsid w:val="00CF2FE8"/>
    <w:rsid w:val="00CF30AD"/>
    <w:rsid w:val="00CF39DF"/>
    <w:rsid w:val="00CF3A1B"/>
    <w:rsid w:val="00CF3EA3"/>
    <w:rsid w:val="00CF456B"/>
    <w:rsid w:val="00CF5415"/>
    <w:rsid w:val="00CF5A22"/>
    <w:rsid w:val="00CF627F"/>
    <w:rsid w:val="00CF7868"/>
    <w:rsid w:val="00CF7B1D"/>
    <w:rsid w:val="00D00866"/>
    <w:rsid w:val="00D009B0"/>
    <w:rsid w:val="00D00B81"/>
    <w:rsid w:val="00D016A3"/>
    <w:rsid w:val="00D0181B"/>
    <w:rsid w:val="00D0262E"/>
    <w:rsid w:val="00D03407"/>
    <w:rsid w:val="00D03679"/>
    <w:rsid w:val="00D04344"/>
    <w:rsid w:val="00D048D2"/>
    <w:rsid w:val="00D04BA9"/>
    <w:rsid w:val="00D05CBE"/>
    <w:rsid w:val="00D05E3D"/>
    <w:rsid w:val="00D06139"/>
    <w:rsid w:val="00D062B9"/>
    <w:rsid w:val="00D06A7E"/>
    <w:rsid w:val="00D06AE5"/>
    <w:rsid w:val="00D06EFB"/>
    <w:rsid w:val="00D07051"/>
    <w:rsid w:val="00D071DC"/>
    <w:rsid w:val="00D07444"/>
    <w:rsid w:val="00D10189"/>
    <w:rsid w:val="00D106D6"/>
    <w:rsid w:val="00D10AEE"/>
    <w:rsid w:val="00D10D73"/>
    <w:rsid w:val="00D110BD"/>
    <w:rsid w:val="00D11777"/>
    <w:rsid w:val="00D118C5"/>
    <w:rsid w:val="00D11A31"/>
    <w:rsid w:val="00D11E04"/>
    <w:rsid w:val="00D12074"/>
    <w:rsid w:val="00D12789"/>
    <w:rsid w:val="00D13675"/>
    <w:rsid w:val="00D13806"/>
    <w:rsid w:val="00D13C3B"/>
    <w:rsid w:val="00D141E1"/>
    <w:rsid w:val="00D14D02"/>
    <w:rsid w:val="00D14FC5"/>
    <w:rsid w:val="00D15314"/>
    <w:rsid w:val="00D15B48"/>
    <w:rsid w:val="00D15E9D"/>
    <w:rsid w:val="00D165C3"/>
    <w:rsid w:val="00D17D6C"/>
    <w:rsid w:val="00D20064"/>
    <w:rsid w:val="00D20103"/>
    <w:rsid w:val="00D2010F"/>
    <w:rsid w:val="00D20186"/>
    <w:rsid w:val="00D21111"/>
    <w:rsid w:val="00D214F9"/>
    <w:rsid w:val="00D2155B"/>
    <w:rsid w:val="00D22051"/>
    <w:rsid w:val="00D220CE"/>
    <w:rsid w:val="00D22272"/>
    <w:rsid w:val="00D23386"/>
    <w:rsid w:val="00D23B06"/>
    <w:rsid w:val="00D23D11"/>
    <w:rsid w:val="00D241A4"/>
    <w:rsid w:val="00D244B6"/>
    <w:rsid w:val="00D2474E"/>
    <w:rsid w:val="00D24A9E"/>
    <w:rsid w:val="00D24E29"/>
    <w:rsid w:val="00D25052"/>
    <w:rsid w:val="00D2543D"/>
    <w:rsid w:val="00D25A57"/>
    <w:rsid w:val="00D26018"/>
    <w:rsid w:val="00D26E91"/>
    <w:rsid w:val="00D26F8F"/>
    <w:rsid w:val="00D2736E"/>
    <w:rsid w:val="00D2754D"/>
    <w:rsid w:val="00D27B27"/>
    <w:rsid w:val="00D30663"/>
    <w:rsid w:val="00D30C88"/>
    <w:rsid w:val="00D30D5B"/>
    <w:rsid w:val="00D3109D"/>
    <w:rsid w:val="00D312D5"/>
    <w:rsid w:val="00D3320A"/>
    <w:rsid w:val="00D339A2"/>
    <w:rsid w:val="00D33A3A"/>
    <w:rsid w:val="00D33BE9"/>
    <w:rsid w:val="00D33F93"/>
    <w:rsid w:val="00D345E9"/>
    <w:rsid w:val="00D349AB"/>
    <w:rsid w:val="00D34B9F"/>
    <w:rsid w:val="00D35275"/>
    <w:rsid w:val="00D357FF"/>
    <w:rsid w:val="00D359A1"/>
    <w:rsid w:val="00D361A8"/>
    <w:rsid w:val="00D37128"/>
    <w:rsid w:val="00D37502"/>
    <w:rsid w:val="00D4048E"/>
    <w:rsid w:val="00D40A77"/>
    <w:rsid w:val="00D4128A"/>
    <w:rsid w:val="00D41314"/>
    <w:rsid w:val="00D42376"/>
    <w:rsid w:val="00D424C7"/>
    <w:rsid w:val="00D43B2A"/>
    <w:rsid w:val="00D43CF1"/>
    <w:rsid w:val="00D43D83"/>
    <w:rsid w:val="00D43E77"/>
    <w:rsid w:val="00D44BEF"/>
    <w:rsid w:val="00D4680D"/>
    <w:rsid w:val="00D46C51"/>
    <w:rsid w:val="00D47239"/>
    <w:rsid w:val="00D47575"/>
    <w:rsid w:val="00D50758"/>
    <w:rsid w:val="00D5098D"/>
    <w:rsid w:val="00D50C79"/>
    <w:rsid w:val="00D510D7"/>
    <w:rsid w:val="00D51159"/>
    <w:rsid w:val="00D5177B"/>
    <w:rsid w:val="00D51A18"/>
    <w:rsid w:val="00D51D5C"/>
    <w:rsid w:val="00D5243B"/>
    <w:rsid w:val="00D533EC"/>
    <w:rsid w:val="00D5403E"/>
    <w:rsid w:val="00D551D3"/>
    <w:rsid w:val="00D5579D"/>
    <w:rsid w:val="00D55C7E"/>
    <w:rsid w:val="00D56214"/>
    <w:rsid w:val="00D56A95"/>
    <w:rsid w:val="00D5712A"/>
    <w:rsid w:val="00D571FC"/>
    <w:rsid w:val="00D5747E"/>
    <w:rsid w:val="00D576AC"/>
    <w:rsid w:val="00D603E4"/>
    <w:rsid w:val="00D604C9"/>
    <w:rsid w:val="00D6076E"/>
    <w:rsid w:val="00D60958"/>
    <w:rsid w:val="00D61B38"/>
    <w:rsid w:val="00D620DF"/>
    <w:rsid w:val="00D634CD"/>
    <w:rsid w:val="00D63C59"/>
    <w:rsid w:val="00D64111"/>
    <w:rsid w:val="00D642AC"/>
    <w:rsid w:val="00D65286"/>
    <w:rsid w:val="00D658ED"/>
    <w:rsid w:val="00D65AD2"/>
    <w:rsid w:val="00D65ED1"/>
    <w:rsid w:val="00D66211"/>
    <w:rsid w:val="00D66B43"/>
    <w:rsid w:val="00D66CF7"/>
    <w:rsid w:val="00D66EED"/>
    <w:rsid w:val="00D66F6C"/>
    <w:rsid w:val="00D678EE"/>
    <w:rsid w:val="00D67A40"/>
    <w:rsid w:val="00D67C18"/>
    <w:rsid w:val="00D70744"/>
    <w:rsid w:val="00D70F16"/>
    <w:rsid w:val="00D71366"/>
    <w:rsid w:val="00D714ED"/>
    <w:rsid w:val="00D71A48"/>
    <w:rsid w:val="00D71CDA"/>
    <w:rsid w:val="00D71CEB"/>
    <w:rsid w:val="00D72044"/>
    <w:rsid w:val="00D7232E"/>
    <w:rsid w:val="00D72617"/>
    <w:rsid w:val="00D72F57"/>
    <w:rsid w:val="00D72FA1"/>
    <w:rsid w:val="00D7321B"/>
    <w:rsid w:val="00D740FF"/>
    <w:rsid w:val="00D7414E"/>
    <w:rsid w:val="00D74E55"/>
    <w:rsid w:val="00D7501C"/>
    <w:rsid w:val="00D7517C"/>
    <w:rsid w:val="00D757FE"/>
    <w:rsid w:val="00D75E7E"/>
    <w:rsid w:val="00D768A4"/>
    <w:rsid w:val="00D76A44"/>
    <w:rsid w:val="00D76CE1"/>
    <w:rsid w:val="00D77515"/>
    <w:rsid w:val="00D775F2"/>
    <w:rsid w:val="00D77992"/>
    <w:rsid w:val="00D77DD2"/>
    <w:rsid w:val="00D805F9"/>
    <w:rsid w:val="00D80824"/>
    <w:rsid w:val="00D80EC6"/>
    <w:rsid w:val="00D80FB1"/>
    <w:rsid w:val="00D815EF"/>
    <w:rsid w:val="00D81636"/>
    <w:rsid w:val="00D81949"/>
    <w:rsid w:val="00D81E10"/>
    <w:rsid w:val="00D81F26"/>
    <w:rsid w:val="00D821A8"/>
    <w:rsid w:val="00D822E2"/>
    <w:rsid w:val="00D8297A"/>
    <w:rsid w:val="00D82AE6"/>
    <w:rsid w:val="00D82CFA"/>
    <w:rsid w:val="00D830CD"/>
    <w:rsid w:val="00D8348D"/>
    <w:rsid w:val="00D834EE"/>
    <w:rsid w:val="00D83F80"/>
    <w:rsid w:val="00D841F3"/>
    <w:rsid w:val="00D843F2"/>
    <w:rsid w:val="00D846BD"/>
    <w:rsid w:val="00D8520B"/>
    <w:rsid w:val="00D85385"/>
    <w:rsid w:val="00D8551A"/>
    <w:rsid w:val="00D86231"/>
    <w:rsid w:val="00D86362"/>
    <w:rsid w:val="00D86D10"/>
    <w:rsid w:val="00D86E5E"/>
    <w:rsid w:val="00D8768A"/>
    <w:rsid w:val="00D87D46"/>
    <w:rsid w:val="00D907BC"/>
    <w:rsid w:val="00D908F7"/>
    <w:rsid w:val="00D90B2F"/>
    <w:rsid w:val="00D90B5A"/>
    <w:rsid w:val="00D912AB"/>
    <w:rsid w:val="00D91713"/>
    <w:rsid w:val="00D91923"/>
    <w:rsid w:val="00D91BEA"/>
    <w:rsid w:val="00D92D9D"/>
    <w:rsid w:val="00D92DF9"/>
    <w:rsid w:val="00D92F85"/>
    <w:rsid w:val="00D93753"/>
    <w:rsid w:val="00D93CB8"/>
    <w:rsid w:val="00D94334"/>
    <w:rsid w:val="00D9437D"/>
    <w:rsid w:val="00D94F29"/>
    <w:rsid w:val="00D9503B"/>
    <w:rsid w:val="00D953B9"/>
    <w:rsid w:val="00D95B6D"/>
    <w:rsid w:val="00D95BCB"/>
    <w:rsid w:val="00D95D06"/>
    <w:rsid w:val="00D96217"/>
    <w:rsid w:val="00D96521"/>
    <w:rsid w:val="00D96A2C"/>
    <w:rsid w:val="00D96B00"/>
    <w:rsid w:val="00D96CFB"/>
    <w:rsid w:val="00D96EFB"/>
    <w:rsid w:val="00D974F1"/>
    <w:rsid w:val="00D97A48"/>
    <w:rsid w:val="00DA011A"/>
    <w:rsid w:val="00DA044D"/>
    <w:rsid w:val="00DA077E"/>
    <w:rsid w:val="00DA0996"/>
    <w:rsid w:val="00DA09A2"/>
    <w:rsid w:val="00DA1879"/>
    <w:rsid w:val="00DA2055"/>
    <w:rsid w:val="00DA21D2"/>
    <w:rsid w:val="00DA2855"/>
    <w:rsid w:val="00DA3167"/>
    <w:rsid w:val="00DA3436"/>
    <w:rsid w:val="00DA4140"/>
    <w:rsid w:val="00DA4DC3"/>
    <w:rsid w:val="00DA5D8C"/>
    <w:rsid w:val="00DA630A"/>
    <w:rsid w:val="00DA66B5"/>
    <w:rsid w:val="00DA6D27"/>
    <w:rsid w:val="00DA77A5"/>
    <w:rsid w:val="00DA7AF2"/>
    <w:rsid w:val="00DA7DFA"/>
    <w:rsid w:val="00DA7EF6"/>
    <w:rsid w:val="00DB0E36"/>
    <w:rsid w:val="00DB17C4"/>
    <w:rsid w:val="00DB19A4"/>
    <w:rsid w:val="00DB1A37"/>
    <w:rsid w:val="00DB1C01"/>
    <w:rsid w:val="00DB1CA0"/>
    <w:rsid w:val="00DB1CDD"/>
    <w:rsid w:val="00DB1E64"/>
    <w:rsid w:val="00DB2723"/>
    <w:rsid w:val="00DB32E7"/>
    <w:rsid w:val="00DB3335"/>
    <w:rsid w:val="00DB35FD"/>
    <w:rsid w:val="00DB3DBF"/>
    <w:rsid w:val="00DB484F"/>
    <w:rsid w:val="00DB4880"/>
    <w:rsid w:val="00DB4C3D"/>
    <w:rsid w:val="00DB5479"/>
    <w:rsid w:val="00DB56B6"/>
    <w:rsid w:val="00DB56FE"/>
    <w:rsid w:val="00DB5735"/>
    <w:rsid w:val="00DB5F5E"/>
    <w:rsid w:val="00DB65EA"/>
    <w:rsid w:val="00DB6654"/>
    <w:rsid w:val="00DB69AB"/>
    <w:rsid w:val="00DB74DF"/>
    <w:rsid w:val="00DB7530"/>
    <w:rsid w:val="00DB7C80"/>
    <w:rsid w:val="00DB7D94"/>
    <w:rsid w:val="00DC009F"/>
    <w:rsid w:val="00DC01D3"/>
    <w:rsid w:val="00DC04F6"/>
    <w:rsid w:val="00DC0690"/>
    <w:rsid w:val="00DC08A5"/>
    <w:rsid w:val="00DC0FD1"/>
    <w:rsid w:val="00DC1D65"/>
    <w:rsid w:val="00DC250C"/>
    <w:rsid w:val="00DC285C"/>
    <w:rsid w:val="00DC2C0A"/>
    <w:rsid w:val="00DC3B72"/>
    <w:rsid w:val="00DC3C57"/>
    <w:rsid w:val="00DC449D"/>
    <w:rsid w:val="00DC4735"/>
    <w:rsid w:val="00DC529B"/>
    <w:rsid w:val="00DC5302"/>
    <w:rsid w:val="00DC5501"/>
    <w:rsid w:val="00DC5595"/>
    <w:rsid w:val="00DC5DE4"/>
    <w:rsid w:val="00DC639F"/>
    <w:rsid w:val="00DC6B0B"/>
    <w:rsid w:val="00DC6FEC"/>
    <w:rsid w:val="00DC7154"/>
    <w:rsid w:val="00DC71F2"/>
    <w:rsid w:val="00DC7E8A"/>
    <w:rsid w:val="00DD001E"/>
    <w:rsid w:val="00DD0049"/>
    <w:rsid w:val="00DD030E"/>
    <w:rsid w:val="00DD0745"/>
    <w:rsid w:val="00DD0A27"/>
    <w:rsid w:val="00DD0F78"/>
    <w:rsid w:val="00DD1F6C"/>
    <w:rsid w:val="00DD21D8"/>
    <w:rsid w:val="00DD273C"/>
    <w:rsid w:val="00DD2AEE"/>
    <w:rsid w:val="00DD2FF5"/>
    <w:rsid w:val="00DD3A47"/>
    <w:rsid w:val="00DD3D18"/>
    <w:rsid w:val="00DD3F28"/>
    <w:rsid w:val="00DD4446"/>
    <w:rsid w:val="00DD4537"/>
    <w:rsid w:val="00DD45A0"/>
    <w:rsid w:val="00DD48EC"/>
    <w:rsid w:val="00DD4E15"/>
    <w:rsid w:val="00DD4F31"/>
    <w:rsid w:val="00DD525D"/>
    <w:rsid w:val="00DD52DC"/>
    <w:rsid w:val="00DD583F"/>
    <w:rsid w:val="00DD5AFF"/>
    <w:rsid w:val="00DD6604"/>
    <w:rsid w:val="00DD7774"/>
    <w:rsid w:val="00DD7AB0"/>
    <w:rsid w:val="00DE02D0"/>
    <w:rsid w:val="00DE1770"/>
    <w:rsid w:val="00DE1DF9"/>
    <w:rsid w:val="00DE218F"/>
    <w:rsid w:val="00DE2304"/>
    <w:rsid w:val="00DE27D5"/>
    <w:rsid w:val="00DE2E62"/>
    <w:rsid w:val="00DE2F29"/>
    <w:rsid w:val="00DE3138"/>
    <w:rsid w:val="00DE3142"/>
    <w:rsid w:val="00DE3368"/>
    <w:rsid w:val="00DE3380"/>
    <w:rsid w:val="00DE37B5"/>
    <w:rsid w:val="00DE37F8"/>
    <w:rsid w:val="00DE3EC3"/>
    <w:rsid w:val="00DE4273"/>
    <w:rsid w:val="00DE42B0"/>
    <w:rsid w:val="00DE4DC0"/>
    <w:rsid w:val="00DE4FCB"/>
    <w:rsid w:val="00DE51BE"/>
    <w:rsid w:val="00DE590F"/>
    <w:rsid w:val="00DE59C5"/>
    <w:rsid w:val="00DE5BA4"/>
    <w:rsid w:val="00DE5D07"/>
    <w:rsid w:val="00DE7277"/>
    <w:rsid w:val="00DE72A7"/>
    <w:rsid w:val="00DE74FC"/>
    <w:rsid w:val="00DE7832"/>
    <w:rsid w:val="00DF011D"/>
    <w:rsid w:val="00DF05EA"/>
    <w:rsid w:val="00DF18FC"/>
    <w:rsid w:val="00DF1F21"/>
    <w:rsid w:val="00DF2045"/>
    <w:rsid w:val="00DF219B"/>
    <w:rsid w:val="00DF2448"/>
    <w:rsid w:val="00DF251F"/>
    <w:rsid w:val="00DF385E"/>
    <w:rsid w:val="00DF3DBA"/>
    <w:rsid w:val="00DF411E"/>
    <w:rsid w:val="00DF43A1"/>
    <w:rsid w:val="00DF4E51"/>
    <w:rsid w:val="00DF55C9"/>
    <w:rsid w:val="00DF595B"/>
    <w:rsid w:val="00DF59D6"/>
    <w:rsid w:val="00DF5B61"/>
    <w:rsid w:val="00DF5BEC"/>
    <w:rsid w:val="00DF5D2B"/>
    <w:rsid w:val="00DF6341"/>
    <w:rsid w:val="00DF6AAE"/>
    <w:rsid w:val="00DF6C1F"/>
    <w:rsid w:val="00DF7002"/>
    <w:rsid w:val="00DF7AF8"/>
    <w:rsid w:val="00DF7D88"/>
    <w:rsid w:val="00E001CB"/>
    <w:rsid w:val="00E004D7"/>
    <w:rsid w:val="00E00E8E"/>
    <w:rsid w:val="00E01184"/>
    <w:rsid w:val="00E01418"/>
    <w:rsid w:val="00E01D1E"/>
    <w:rsid w:val="00E032E3"/>
    <w:rsid w:val="00E0342C"/>
    <w:rsid w:val="00E03A4E"/>
    <w:rsid w:val="00E03D22"/>
    <w:rsid w:val="00E04150"/>
    <w:rsid w:val="00E04E83"/>
    <w:rsid w:val="00E052D8"/>
    <w:rsid w:val="00E05630"/>
    <w:rsid w:val="00E059A7"/>
    <w:rsid w:val="00E05B0F"/>
    <w:rsid w:val="00E05DE1"/>
    <w:rsid w:val="00E06A61"/>
    <w:rsid w:val="00E06AFD"/>
    <w:rsid w:val="00E06CB4"/>
    <w:rsid w:val="00E06DBB"/>
    <w:rsid w:val="00E07006"/>
    <w:rsid w:val="00E07C1F"/>
    <w:rsid w:val="00E07D40"/>
    <w:rsid w:val="00E07F13"/>
    <w:rsid w:val="00E10149"/>
    <w:rsid w:val="00E10C4F"/>
    <w:rsid w:val="00E11340"/>
    <w:rsid w:val="00E11393"/>
    <w:rsid w:val="00E11801"/>
    <w:rsid w:val="00E11F75"/>
    <w:rsid w:val="00E122A1"/>
    <w:rsid w:val="00E145BA"/>
    <w:rsid w:val="00E1481E"/>
    <w:rsid w:val="00E14874"/>
    <w:rsid w:val="00E1501F"/>
    <w:rsid w:val="00E16329"/>
    <w:rsid w:val="00E16372"/>
    <w:rsid w:val="00E16647"/>
    <w:rsid w:val="00E16AD8"/>
    <w:rsid w:val="00E17263"/>
    <w:rsid w:val="00E17E01"/>
    <w:rsid w:val="00E17E79"/>
    <w:rsid w:val="00E17FFA"/>
    <w:rsid w:val="00E200EE"/>
    <w:rsid w:val="00E204A8"/>
    <w:rsid w:val="00E2094C"/>
    <w:rsid w:val="00E20E4D"/>
    <w:rsid w:val="00E20ED6"/>
    <w:rsid w:val="00E20EE1"/>
    <w:rsid w:val="00E21358"/>
    <w:rsid w:val="00E214FA"/>
    <w:rsid w:val="00E21A61"/>
    <w:rsid w:val="00E2249B"/>
    <w:rsid w:val="00E225C9"/>
    <w:rsid w:val="00E22A0D"/>
    <w:rsid w:val="00E23CBF"/>
    <w:rsid w:val="00E244F6"/>
    <w:rsid w:val="00E252A7"/>
    <w:rsid w:val="00E258DB"/>
    <w:rsid w:val="00E26191"/>
    <w:rsid w:val="00E268BD"/>
    <w:rsid w:val="00E26C6E"/>
    <w:rsid w:val="00E26E41"/>
    <w:rsid w:val="00E2771E"/>
    <w:rsid w:val="00E27D0C"/>
    <w:rsid w:val="00E30AA4"/>
    <w:rsid w:val="00E30B29"/>
    <w:rsid w:val="00E30C99"/>
    <w:rsid w:val="00E311EF"/>
    <w:rsid w:val="00E3143F"/>
    <w:rsid w:val="00E314C7"/>
    <w:rsid w:val="00E3169A"/>
    <w:rsid w:val="00E31908"/>
    <w:rsid w:val="00E31BC2"/>
    <w:rsid w:val="00E31FA0"/>
    <w:rsid w:val="00E32177"/>
    <w:rsid w:val="00E32180"/>
    <w:rsid w:val="00E32F87"/>
    <w:rsid w:val="00E33188"/>
    <w:rsid w:val="00E33344"/>
    <w:rsid w:val="00E342AA"/>
    <w:rsid w:val="00E346F7"/>
    <w:rsid w:val="00E34948"/>
    <w:rsid w:val="00E34D1D"/>
    <w:rsid w:val="00E3528F"/>
    <w:rsid w:val="00E359FA"/>
    <w:rsid w:val="00E35A71"/>
    <w:rsid w:val="00E35AD8"/>
    <w:rsid w:val="00E36281"/>
    <w:rsid w:val="00E368EF"/>
    <w:rsid w:val="00E36ECE"/>
    <w:rsid w:val="00E370AB"/>
    <w:rsid w:val="00E372BE"/>
    <w:rsid w:val="00E37383"/>
    <w:rsid w:val="00E37569"/>
    <w:rsid w:val="00E400F4"/>
    <w:rsid w:val="00E401B2"/>
    <w:rsid w:val="00E4101A"/>
    <w:rsid w:val="00E41ADB"/>
    <w:rsid w:val="00E41AE6"/>
    <w:rsid w:val="00E41E30"/>
    <w:rsid w:val="00E426DF"/>
    <w:rsid w:val="00E42851"/>
    <w:rsid w:val="00E42992"/>
    <w:rsid w:val="00E42C6C"/>
    <w:rsid w:val="00E42F73"/>
    <w:rsid w:val="00E43042"/>
    <w:rsid w:val="00E435B8"/>
    <w:rsid w:val="00E43870"/>
    <w:rsid w:val="00E43A3E"/>
    <w:rsid w:val="00E43D70"/>
    <w:rsid w:val="00E44E55"/>
    <w:rsid w:val="00E45C1A"/>
    <w:rsid w:val="00E45D7E"/>
    <w:rsid w:val="00E4606A"/>
    <w:rsid w:val="00E46269"/>
    <w:rsid w:val="00E46380"/>
    <w:rsid w:val="00E466F3"/>
    <w:rsid w:val="00E46A60"/>
    <w:rsid w:val="00E46B20"/>
    <w:rsid w:val="00E4752F"/>
    <w:rsid w:val="00E47B2C"/>
    <w:rsid w:val="00E47DE7"/>
    <w:rsid w:val="00E502D5"/>
    <w:rsid w:val="00E50742"/>
    <w:rsid w:val="00E5079C"/>
    <w:rsid w:val="00E51260"/>
    <w:rsid w:val="00E51560"/>
    <w:rsid w:val="00E51821"/>
    <w:rsid w:val="00E52033"/>
    <w:rsid w:val="00E52945"/>
    <w:rsid w:val="00E52BFF"/>
    <w:rsid w:val="00E531C6"/>
    <w:rsid w:val="00E53428"/>
    <w:rsid w:val="00E53A89"/>
    <w:rsid w:val="00E53D79"/>
    <w:rsid w:val="00E53FC8"/>
    <w:rsid w:val="00E54347"/>
    <w:rsid w:val="00E54396"/>
    <w:rsid w:val="00E54B6C"/>
    <w:rsid w:val="00E553C7"/>
    <w:rsid w:val="00E55424"/>
    <w:rsid w:val="00E5560F"/>
    <w:rsid w:val="00E55848"/>
    <w:rsid w:val="00E5584E"/>
    <w:rsid w:val="00E55915"/>
    <w:rsid w:val="00E55BB5"/>
    <w:rsid w:val="00E55D0A"/>
    <w:rsid w:val="00E56053"/>
    <w:rsid w:val="00E57D6E"/>
    <w:rsid w:val="00E6011C"/>
    <w:rsid w:val="00E60D4C"/>
    <w:rsid w:val="00E611DF"/>
    <w:rsid w:val="00E614C1"/>
    <w:rsid w:val="00E615BF"/>
    <w:rsid w:val="00E61C40"/>
    <w:rsid w:val="00E62336"/>
    <w:rsid w:val="00E627C9"/>
    <w:rsid w:val="00E628A6"/>
    <w:rsid w:val="00E62EC7"/>
    <w:rsid w:val="00E63177"/>
    <w:rsid w:val="00E64563"/>
    <w:rsid w:val="00E650F1"/>
    <w:rsid w:val="00E65338"/>
    <w:rsid w:val="00E65E79"/>
    <w:rsid w:val="00E66164"/>
    <w:rsid w:val="00E66400"/>
    <w:rsid w:val="00E66B71"/>
    <w:rsid w:val="00E66BA2"/>
    <w:rsid w:val="00E66BAF"/>
    <w:rsid w:val="00E67416"/>
    <w:rsid w:val="00E677B1"/>
    <w:rsid w:val="00E67CD1"/>
    <w:rsid w:val="00E7027D"/>
    <w:rsid w:val="00E70927"/>
    <w:rsid w:val="00E718B6"/>
    <w:rsid w:val="00E71B83"/>
    <w:rsid w:val="00E71C7C"/>
    <w:rsid w:val="00E72105"/>
    <w:rsid w:val="00E723BA"/>
    <w:rsid w:val="00E726D6"/>
    <w:rsid w:val="00E729A1"/>
    <w:rsid w:val="00E73369"/>
    <w:rsid w:val="00E73581"/>
    <w:rsid w:val="00E74604"/>
    <w:rsid w:val="00E750F5"/>
    <w:rsid w:val="00E751C8"/>
    <w:rsid w:val="00E75E68"/>
    <w:rsid w:val="00E75F94"/>
    <w:rsid w:val="00E76580"/>
    <w:rsid w:val="00E76706"/>
    <w:rsid w:val="00E7688B"/>
    <w:rsid w:val="00E76995"/>
    <w:rsid w:val="00E774EA"/>
    <w:rsid w:val="00E77FCA"/>
    <w:rsid w:val="00E805F5"/>
    <w:rsid w:val="00E80670"/>
    <w:rsid w:val="00E806A4"/>
    <w:rsid w:val="00E80B28"/>
    <w:rsid w:val="00E81925"/>
    <w:rsid w:val="00E81DBB"/>
    <w:rsid w:val="00E82393"/>
    <w:rsid w:val="00E828C6"/>
    <w:rsid w:val="00E82BC8"/>
    <w:rsid w:val="00E82C89"/>
    <w:rsid w:val="00E82E20"/>
    <w:rsid w:val="00E831BD"/>
    <w:rsid w:val="00E833F7"/>
    <w:rsid w:val="00E837C9"/>
    <w:rsid w:val="00E83BDF"/>
    <w:rsid w:val="00E84110"/>
    <w:rsid w:val="00E85657"/>
    <w:rsid w:val="00E85CA3"/>
    <w:rsid w:val="00E85F40"/>
    <w:rsid w:val="00E86223"/>
    <w:rsid w:val="00E86FCC"/>
    <w:rsid w:val="00E8789B"/>
    <w:rsid w:val="00E87A1D"/>
    <w:rsid w:val="00E87FFA"/>
    <w:rsid w:val="00E9094A"/>
    <w:rsid w:val="00E91D35"/>
    <w:rsid w:val="00E926A5"/>
    <w:rsid w:val="00E92825"/>
    <w:rsid w:val="00E9291B"/>
    <w:rsid w:val="00E92EC8"/>
    <w:rsid w:val="00E93C1B"/>
    <w:rsid w:val="00E94510"/>
    <w:rsid w:val="00E94B16"/>
    <w:rsid w:val="00E94B5A"/>
    <w:rsid w:val="00E950C7"/>
    <w:rsid w:val="00E95EE1"/>
    <w:rsid w:val="00E96225"/>
    <w:rsid w:val="00E962CC"/>
    <w:rsid w:val="00E96702"/>
    <w:rsid w:val="00E9673A"/>
    <w:rsid w:val="00E970BA"/>
    <w:rsid w:val="00E971F8"/>
    <w:rsid w:val="00E975B4"/>
    <w:rsid w:val="00EA0D4F"/>
    <w:rsid w:val="00EA0DDB"/>
    <w:rsid w:val="00EA1147"/>
    <w:rsid w:val="00EA17C3"/>
    <w:rsid w:val="00EA1936"/>
    <w:rsid w:val="00EA26E9"/>
    <w:rsid w:val="00EA2B9E"/>
    <w:rsid w:val="00EA2CAA"/>
    <w:rsid w:val="00EA3051"/>
    <w:rsid w:val="00EA30EE"/>
    <w:rsid w:val="00EA3864"/>
    <w:rsid w:val="00EA3895"/>
    <w:rsid w:val="00EA3BAB"/>
    <w:rsid w:val="00EA3DB2"/>
    <w:rsid w:val="00EA4202"/>
    <w:rsid w:val="00EA43E6"/>
    <w:rsid w:val="00EA5358"/>
    <w:rsid w:val="00EA58C7"/>
    <w:rsid w:val="00EA6639"/>
    <w:rsid w:val="00EA6B62"/>
    <w:rsid w:val="00EA76FE"/>
    <w:rsid w:val="00EA7910"/>
    <w:rsid w:val="00EA7F1C"/>
    <w:rsid w:val="00EB0799"/>
    <w:rsid w:val="00EB08CD"/>
    <w:rsid w:val="00EB0B14"/>
    <w:rsid w:val="00EB0E09"/>
    <w:rsid w:val="00EB10AD"/>
    <w:rsid w:val="00EB123A"/>
    <w:rsid w:val="00EB15B6"/>
    <w:rsid w:val="00EB1C56"/>
    <w:rsid w:val="00EB2210"/>
    <w:rsid w:val="00EB23F0"/>
    <w:rsid w:val="00EB35A7"/>
    <w:rsid w:val="00EB3A99"/>
    <w:rsid w:val="00EB3B28"/>
    <w:rsid w:val="00EB3D06"/>
    <w:rsid w:val="00EB40AF"/>
    <w:rsid w:val="00EB4916"/>
    <w:rsid w:val="00EB495D"/>
    <w:rsid w:val="00EB4BF2"/>
    <w:rsid w:val="00EB5467"/>
    <w:rsid w:val="00EB56F9"/>
    <w:rsid w:val="00EB5A68"/>
    <w:rsid w:val="00EB5D6D"/>
    <w:rsid w:val="00EB66E5"/>
    <w:rsid w:val="00EB6A20"/>
    <w:rsid w:val="00EB6B4A"/>
    <w:rsid w:val="00EB7D6F"/>
    <w:rsid w:val="00EB7E9F"/>
    <w:rsid w:val="00EC00C9"/>
    <w:rsid w:val="00EC03AF"/>
    <w:rsid w:val="00EC05C4"/>
    <w:rsid w:val="00EC05E6"/>
    <w:rsid w:val="00EC0942"/>
    <w:rsid w:val="00EC09AD"/>
    <w:rsid w:val="00EC0AF9"/>
    <w:rsid w:val="00EC0DD9"/>
    <w:rsid w:val="00EC21B0"/>
    <w:rsid w:val="00EC2649"/>
    <w:rsid w:val="00EC2E03"/>
    <w:rsid w:val="00EC31ED"/>
    <w:rsid w:val="00EC4CD9"/>
    <w:rsid w:val="00EC4ED6"/>
    <w:rsid w:val="00EC5836"/>
    <w:rsid w:val="00EC5CF6"/>
    <w:rsid w:val="00EC6787"/>
    <w:rsid w:val="00EC688C"/>
    <w:rsid w:val="00EC6D5A"/>
    <w:rsid w:val="00EC7ACE"/>
    <w:rsid w:val="00EC7C8C"/>
    <w:rsid w:val="00ED0A48"/>
    <w:rsid w:val="00ED0B96"/>
    <w:rsid w:val="00ED0CBB"/>
    <w:rsid w:val="00ED0E8A"/>
    <w:rsid w:val="00ED0EF4"/>
    <w:rsid w:val="00ED12E3"/>
    <w:rsid w:val="00ED166B"/>
    <w:rsid w:val="00ED16C3"/>
    <w:rsid w:val="00ED1BD2"/>
    <w:rsid w:val="00ED2C54"/>
    <w:rsid w:val="00ED2E5D"/>
    <w:rsid w:val="00ED2FD4"/>
    <w:rsid w:val="00ED34F2"/>
    <w:rsid w:val="00ED3551"/>
    <w:rsid w:val="00ED38CC"/>
    <w:rsid w:val="00ED399C"/>
    <w:rsid w:val="00ED3A9D"/>
    <w:rsid w:val="00ED4B04"/>
    <w:rsid w:val="00ED57EA"/>
    <w:rsid w:val="00ED5B90"/>
    <w:rsid w:val="00ED5BD4"/>
    <w:rsid w:val="00ED5DA7"/>
    <w:rsid w:val="00ED5EBA"/>
    <w:rsid w:val="00ED70FB"/>
    <w:rsid w:val="00ED7F66"/>
    <w:rsid w:val="00EE07D3"/>
    <w:rsid w:val="00EE08EB"/>
    <w:rsid w:val="00EE0981"/>
    <w:rsid w:val="00EE1382"/>
    <w:rsid w:val="00EE1996"/>
    <w:rsid w:val="00EE1C01"/>
    <w:rsid w:val="00EE1F03"/>
    <w:rsid w:val="00EE2170"/>
    <w:rsid w:val="00EE22AF"/>
    <w:rsid w:val="00EE23D5"/>
    <w:rsid w:val="00EE29CD"/>
    <w:rsid w:val="00EE2E39"/>
    <w:rsid w:val="00EE3077"/>
    <w:rsid w:val="00EE4A10"/>
    <w:rsid w:val="00EE4AC6"/>
    <w:rsid w:val="00EE5A56"/>
    <w:rsid w:val="00EE5E0D"/>
    <w:rsid w:val="00EE5E72"/>
    <w:rsid w:val="00EE653E"/>
    <w:rsid w:val="00EE692F"/>
    <w:rsid w:val="00EE6F0F"/>
    <w:rsid w:val="00EE71BA"/>
    <w:rsid w:val="00EF0171"/>
    <w:rsid w:val="00EF01FA"/>
    <w:rsid w:val="00EF052F"/>
    <w:rsid w:val="00EF0648"/>
    <w:rsid w:val="00EF06E2"/>
    <w:rsid w:val="00EF1143"/>
    <w:rsid w:val="00EF13D0"/>
    <w:rsid w:val="00EF1B25"/>
    <w:rsid w:val="00EF1DA0"/>
    <w:rsid w:val="00EF1E81"/>
    <w:rsid w:val="00EF27E6"/>
    <w:rsid w:val="00EF2BA8"/>
    <w:rsid w:val="00EF2FDA"/>
    <w:rsid w:val="00EF3BA5"/>
    <w:rsid w:val="00EF3EF4"/>
    <w:rsid w:val="00EF41FB"/>
    <w:rsid w:val="00EF439F"/>
    <w:rsid w:val="00EF4747"/>
    <w:rsid w:val="00EF4BF8"/>
    <w:rsid w:val="00EF4DDF"/>
    <w:rsid w:val="00EF54A0"/>
    <w:rsid w:val="00EF5CA0"/>
    <w:rsid w:val="00EF5EDF"/>
    <w:rsid w:val="00EF5FC0"/>
    <w:rsid w:val="00EF6720"/>
    <w:rsid w:val="00EF6C59"/>
    <w:rsid w:val="00EF6CA6"/>
    <w:rsid w:val="00EF774D"/>
    <w:rsid w:val="00EF7923"/>
    <w:rsid w:val="00EF7FF0"/>
    <w:rsid w:val="00F00687"/>
    <w:rsid w:val="00F00B90"/>
    <w:rsid w:val="00F00C17"/>
    <w:rsid w:val="00F01163"/>
    <w:rsid w:val="00F0161F"/>
    <w:rsid w:val="00F01DAE"/>
    <w:rsid w:val="00F01F4C"/>
    <w:rsid w:val="00F02253"/>
    <w:rsid w:val="00F02284"/>
    <w:rsid w:val="00F028F6"/>
    <w:rsid w:val="00F02AB6"/>
    <w:rsid w:val="00F02B97"/>
    <w:rsid w:val="00F02DC1"/>
    <w:rsid w:val="00F02F44"/>
    <w:rsid w:val="00F03B59"/>
    <w:rsid w:val="00F03C2E"/>
    <w:rsid w:val="00F04194"/>
    <w:rsid w:val="00F04250"/>
    <w:rsid w:val="00F042D9"/>
    <w:rsid w:val="00F04A66"/>
    <w:rsid w:val="00F04B4B"/>
    <w:rsid w:val="00F0516C"/>
    <w:rsid w:val="00F05C53"/>
    <w:rsid w:val="00F065F9"/>
    <w:rsid w:val="00F067A2"/>
    <w:rsid w:val="00F06CE3"/>
    <w:rsid w:val="00F07A36"/>
    <w:rsid w:val="00F07B9E"/>
    <w:rsid w:val="00F07C53"/>
    <w:rsid w:val="00F10C90"/>
    <w:rsid w:val="00F1116F"/>
    <w:rsid w:val="00F114E7"/>
    <w:rsid w:val="00F11814"/>
    <w:rsid w:val="00F1263A"/>
    <w:rsid w:val="00F131DE"/>
    <w:rsid w:val="00F13590"/>
    <w:rsid w:val="00F13598"/>
    <w:rsid w:val="00F139C5"/>
    <w:rsid w:val="00F13DFC"/>
    <w:rsid w:val="00F13F84"/>
    <w:rsid w:val="00F1457F"/>
    <w:rsid w:val="00F14A51"/>
    <w:rsid w:val="00F15293"/>
    <w:rsid w:val="00F15B77"/>
    <w:rsid w:val="00F15EE1"/>
    <w:rsid w:val="00F15F80"/>
    <w:rsid w:val="00F16D50"/>
    <w:rsid w:val="00F17613"/>
    <w:rsid w:val="00F17D28"/>
    <w:rsid w:val="00F17D4B"/>
    <w:rsid w:val="00F204A6"/>
    <w:rsid w:val="00F2075F"/>
    <w:rsid w:val="00F209FD"/>
    <w:rsid w:val="00F21042"/>
    <w:rsid w:val="00F21236"/>
    <w:rsid w:val="00F214E3"/>
    <w:rsid w:val="00F21D96"/>
    <w:rsid w:val="00F227D8"/>
    <w:rsid w:val="00F22C53"/>
    <w:rsid w:val="00F23502"/>
    <w:rsid w:val="00F239DF"/>
    <w:rsid w:val="00F23F57"/>
    <w:rsid w:val="00F24334"/>
    <w:rsid w:val="00F24837"/>
    <w:rsid w:val="00F24853"/>
    <w:rsid w:val="00F249D8"/>
    <w:rsid w:val="00F254B5"/>
    <w:rsid w:val="00F2575F"/>
    <w:rsid w:val="00F25D59"/>
    <w:rsid w:val="00F25EBC"/>
    <w:rsid w:val="00F26113"/>
    <w:rsid w:val="00F26B0A"/>
    <w:rsid w:val="00F26CE2"/>
    <w:rsid w:val="00F27565"/>
    <w:rsid w:val="00F301DB"/>
    <w:rsid w:val="00F30238"/>
    <w:rsid w:val="00F3054E"/>
    <w:rsid w:val="00F3099E"/>
    <w:rsid w:val="00F30D91"/>
    <w:rsid w:val="00F310D4"/>
    <w:rsid w:val="00F31803"/>
    <w:rsid w:val="00F31C0A"/>
    <w:rsid w:val="00F31D5A"/>
    <w:rsid w:val="00F324B7"/>
    <w:rsid w:val="00F32749"/>
    <w:rsid w:val="00F33440"/>
    <w:rsid w:val="00F335D5"/>
    <w:rsid w:val="00F33975"/>
    <w:rsid w:val="00F33DE9"/>
    <w:rsid w:val="00F33F63"/>
    <w:rsid w:val="00F33F98"/>
    <w:rsid w:val="00F34EDE"/>
    <w:rsid w:val="00F35556"/>
    <w:rsid w:val="00F3577D"/>
    <w:rsid w:val="00F35A3D"/>
    <w:rsid w:val="00F35CD2"/>
    <w:rsid w:val="00F35E1E"/>
    <w:rsid w:val="00F35E6D"/>
    <w:rsid w:val="00F3619A"/>
    <w:rsid w:val="00F362D3"/>
    <w:rsid w:val="00F372EB"/>
    <w:rsid w:val="00F376FD"/>
    <w:rsid w:val="00F3779D"/>
    <w:rsid w:val="00F37C2B"/>
    <w:rsid w:val="00F40646"/>
    <w:rsid w:val="00F406A9"/>
    <w:rsid w:val="00F40844"/>
    <w:rsid w:val="00F40AAA"/>
    <w:rsid w:val="00F40AC6"/>
    <w:rsid w:val="00F40BA7"/>
    <w:rsid w:val="00F40F1C"/>
    <w:rsid w:val="00F40F9D"/>
    <w:rsid w:val="00F41736"/>
    <w:rsid w:val="00F4174B"/>
    <w:rsid w:val="00F41ACD"/>
    <w:rsid w:val="00F42319"/>
    <w:rsid w:val="00F42AC7"/>
    <w:rsid w:val="00F44987"/>
    <w:rsid w:val="00F44A40"/>
    <w:rsid w:val="00F451A4"/>
    <w:rsid w:val="00F451F2"/>
    <w:rsid w:val="00F46CB6"/>
    <w:rsid w:val="00F47493"/>
    <w:rsid w:val="00F4756D"/>
    <w:rsid w:val="00F47BA5"/>
    <w:rsid w:val="00F47DE8"/>
    <w:rsid w:val="00F50561"/>
    <w:rsid w:val="00F50782"/>
    <w:rsid w:val="00F50B81"/>
    <w:rsid w:val="00F50F3F"/>
    <w:rsid w:val="00F51E57"/>
    <w:rsid w:val="00F52076"/>
    <w:rsid w:val="00F542C1"/>
    <w:rsid w:val="00F54A9C"/>
    <w:rsid w:val="00F550E3"/>
    <w:rsid w:val="00F55CC3"/>
    <w:rsid w:val="00F55E73"/>
    <w:rsid w:val="00F55EDA"/>
    <w:rsid w:val="00F560A6"/>
    <w:rsid w:val="00F56875"/>
    <w:rsid w:val="00F56B51"/>
    <w:rsid w:val="00F56C80"/>
    <w:rsid w:val="00F57D17"/>
    <w:rsid w:val="00F60092"/>
    <w:rsid w:val="00F6024A"/>
    <w:rsid w:val="00F6047D"/>
    <w:rsid w:val="00F604BF"/>
    <w:rsid w:val="00F61391"/>
    <w:rsid w:val="00F61813"/>
    <w:rsid w:val="00F61C18"/>
    <w:rsid w:val="00F61CE1"/>
    <w:rsid w:val="00F61EAC"/>
    <w:rsid w:val="00F621E7"/>
    <w:rsid w:val="00F63409"/>
    <w:rsid w:val="00F63C39"/>
    <w:rsid w:val="00F64477"/>
    <w:rsid w:val="00F6460C"/>
    <w:rsid w:val="00F65ED8"/>
    <w:rsid w:val="00F65F4B"/>
    <w:rsid w:val="00F66388"/>
    <w:rsid w:val="00F6667E"/>
    <w:rsid w:val="00F669B2"/>
    <w:rsid w:val="00F67A69"/>
    <w:rsid w:val="00F67F24"/>
    <w:rsid w:val="00F70BFF"/>
    <w:rsid w:val="00F70C9D"/>
    <w:rsid w:val="00F7120C"/>
    <w:rsid w:val="00F71CC4"/>
    <w:rsid w:val="00F7292E"/>
    <w:rsid w:val="00F72C50"/>
    <w:rsid w:val="00F72E08"/>
    <w:rsid w:val="00F72E2F"/>
    <w:rsid w:val="00F73155"/>
    <w:rsid w:val="00F73E08"/>
    <w:rsid w:val="00F741C7"/>
    <w:rsid w:val="00F74A33"/>
    <w:rsid w:val="00F74CD9"/>
    <w:rsid w:val="00F754B6"/>
    <w:rsid w:val="00F75C52"/>
    <w:rsid w:val="00F7674A"/>
    <w:rsid w:val="00F770D5"/>
    <w:rsid w:val="00F773BB"/>
    <w:rsid w:val="00F77D52"/>
    <w:rsid w:val="00F77F19"/>
    <w:rsid w:val="00F8020E"/>
    <w:rsid w:val="00F80A7B"/>
    <w:rsid w:val="00F80D29"/>
    <w:rsid w:val="00F80E5D"/>
    <w:rsid w:val="00F80FA1"/>
    <w:rsid w:val="00F81024"/>
    <w:rsid w:val="00F817D5"/>
    <w:rsid w:val="00F819A4"/>
    <w:rsid w:val="00F81D8A"/>
    <w:rsid w:val="00F81E78"/>
    <w:rsid w:val="00F83596"/>
    <w:rsid w:val="00F83916"/>
    <w:rsid w:val="00F83B24"/>
    <w:rsid w:val="00F83BC5"/>
    <w:rsid w:val="00F84328"/>
    <w:rsid w:val="00F84964"/>
    <w:rsid w:val="00F84E2D"/>
    <w:rsid w:val="00F850AB"/>
    <w:rsid w:val="00F851CE"/>
    <w:rsid w:val="00F85277"/>
    <w:rsid w:val="00F8544D"/>
    <w:rsid w:val="00F85DFA"/>
    <w:rsid w:val="00F86340"/>
    <w:rsid w:val="00F86489"/>
    <w:rsid w:val="00F8680F"/>
    <w:rsid w:val="00F86B5E"/>
    <w:rsid w:val="00F879D1"/>
    <w:rsid w:val="00F879E5"/>
    <w:rsid w:val="00F87E14"/>
    <w:rsid w:val="00F90052"/>
    <w:rsid w:val="00F90921"/>
    <w:rsid w:val="00F90985"/>
    <w:rsid w:val="00F90A55"/>
    <w:rsid w:val="00F90DB6"/>
    <w:rsid w:val="00F91219"/>
    <w:rsid w:val="00F91D6D"/>
    <w:rsid w:val="00F91F0F"/>
    <w:rsid w:val="00F92444"/>
    <w:rsid w:val="00F92879"/>
    <w:rsid w:val="00F9393E"/>
    <w:rsid w:val="00F93A01"/>
    <w:rsid w:val="00F9483C"/>
    <w:rsid w:val="00F95472"/>
    <w:rsid w:val="00F957E5"/>
    <w:rsid w:val="00F95DBC"/>
    <w:rsid w:val="00F9606A"/>
    <w:rsid w:val="00F969C5"/>
    <w:rsid w:val="00F96FD0"/>
    <w:rsid w:val="00F96FDA"/>
    <w:rsid w:val="00F97788"/>
    <w:rsid w:val="00F978D7"/>
    <w:rsid w:val="00F97A78"/>
    <w:rsid w:val="00FA01F2"/>
    <w:rsid w:val="00FA03E0"/>
    <w:rsid w:val="00FA073C"/>
    <w:rsid w:val="00FA0AAE"/>
    <w:rsid w:val="00FA0B20"/>
    <w:rsid w:val="00FA0BC0"/>
    <w:rsid w:val="00FA0DBD"/>
    <w:rsid w:val="00FA14F1"/>
    <w:rsid w:val="00FA24E7"/>
    <w:rsid w:val="00FA24EC"/>
    <w:rsid w:val="00FA250A"/>
    <w:rsid w:val="00FA2697"/>
    <w:rsid w:val="00FA26EA"/>
    <w:rsid w:val="00FA28CB"/>
    <w:rsid w:val="00FA296A"/>
    <w:rsid w:val="00FA2E66"/>
    <w:rsid w:val="00FA4141"/>
    <w:rsid w:val="00FA465A"/>
    <w:rsid w:val="00FA491C"/>
    <w:rsid w:val="00FA4E91"/>
    <w:rsid w:val="00FA5038"/>
    <w:rsid w:val="00FA57B3"/>
    <w:rsid w:val="00FA590D"/>
    <w:rsid w:val="00FA5B4C"/>
    <w:rsid w:val="00FA5EE6"/>
    <w:rsid w:val="00FA5FC5"/>
    <w:rsid w:val="00FA6006"/>
    <w:rsid w:val="00FA6333"/>
    <w:rsid w:val="00FA6892"/>
    <w:rsid w:val="00FA7071"/>
    <w:rsid w:val="00FA760A"/>
    <w:rsid w:val="00FA7956"/>
    <w:rsid w:val="00FB0824"/>
    <w:rsid w:val="00FB09BD"/>
    <w:rsid w:val="00FB0E61"/>
    <w:rsid w:val="00FB0F5E"/>
    <w:rsid w:val="00FB0FF1"/>
    <w:rsid w:val="00FB12DF"/>
    <w:rsid w:val="00FB27B1"/>
    <w:rsid w:val="00FB2F05"/>
    <w:rsid w:val="00FB2FCB"/>
    <w:rsid w:val="00FB34C0"/>
    <w:rsid w:val="00FB352F"/>
    <w:rsid w:val="00FB3544"/>
    <w:rsid w:val="00FB3F50"/>
    <w:rsid w:val="00FB4917"/>
    <w:rsid w:val="00FB4C2E"/>
    <w:rsid w:val="00FB4C9C"/>
    <w:rsid w:val="00FB51FF"/>
    <w:rsid w:val="00FB5570"/>
    <w:rsid w:val="00FB5837"/>
    <w:rsid w:val="00FB58BB"/>
    <w:rsid w:val="00FB5B3B"/>
    <w:rsid w:val="00FB5FA1"/>
    <w:rsid w:val="00FB713F"/>
    <w:rsid w:val="00FB7C55"/>
    <w:rsid w:val="00FC082A"/>
    <w:rsid w:val="00FC1074"/>
    <w:rsid w:val="00FC1884"/>
    <w:rsid w:val="00FC1C83"/>
    <w:rsid w:val="00FC2338"/>
    <w:rsid w:val="00FC2D40"/>
    <w:rsid w:val="00FC371D"/>
    <w:rsid w:val="00FC3822"/>
    <w:rsid w:val="00FC3BA7"/>
    <w:rsid w:val="00FC3F49"/>
    <w:rsid w:val="00FC4981"/>
    <w:rsid w:val="00FC5F0B"/>
    <w:rsid w:val="00FC6364"/>
    <w:rsid w:val="00FC690F"/>
    <w:rsid w:val="00FC748E"/>
    <w:rsid w:val="00FC74F4"/>
    <w:rsid w:val="00FC750E"/>
    <w:rsid w:val="00FC7AC7"/>
    <w:rsid w:val="00FC7E3B"/>
    <w:rsid w:val="00FD0863"/>
    <w:rsid w:val="00FD0898"/>
    <w:rsid w:val="00FD0BDA"/>
    <w:rsid w:val="00FD0D7F"/>
    <w:rsid w:val="00FD0E68"/>
    <w:rsid w:val="00FD2100"/>
    <w:rsid w:val="00FD23F8"/>
    <w:rsid w:val="00FD25D7"/>
    <w:rsid w:val="00FD2BEE"/>
    <w:rsid w:val="00FD2CCB"/>
    <w:rsid w:val="00FD384B"/>
    <w:rsid w:val="00FD39A3"/>
    <w:rsid w:val="00FD39BD"/>
    <w:rsid w:val="00FD436C"/>
    <w:rsid w:val="00FD446D"/>
    <w:rsid w:val="00FD4545"/>
    <w:rsid w:val="00FD4F2C"/>
    <w:rsid w:val="00FD5797"/>
    <w:rsid w:val="00FD5856"/>
    <w:rsid w:val="00FD5F5B"/>
    <w:rsid w:val="00FD6394"/>
    <w:rsid w:val="00FD69BB"/>
    <w:rsid w:val="00FD6D46"/>
    <w:rsid w:val="00FD7C9B"/>
    <w:rsid w:val="00FD7EB6"/>
    <w:rsid w:val="00FE0A93"/>
    <w:rsid w:val="00FE0E6C"/>
    <w:rsid w:val="00FE1527"/>
    <w:rsid w:val="00FE1BC3"/>
    <w:rsid w:val="00FE1CDC"/>
    <w:rsid w:val="00FE1CFC"/>
    <w:rsid w:val="00FE1E25"/>
    <w:rsid w:val="00FE2262"/>
    <w:rsid w:val="00FE25B4"/>
    <w:rsid w:val="00FE2E85"/>
    <w:rsid w:val="00FE2F0F"/>
    <w:rsid w:val="00FE45B7"/>
    <w:rsid w:val="00FE6349"/>
    <w:rsid w:val="00FE6EF9"/>
    <w:rsid w:val="00FE70C3"/>
    <w:rsid w:val="00FE7250"/>
    <w:rsid w:val="00FE7AD3"/>
    <w:rsid w:val="00FE7D84"/>
    <w:rsid w:val="00FF0A25"/>
    <w:rsid w:val="00FF1169"/>
    <w:rsid w:val="00FF15F7"/>
    <w:rsid w:val="00FF1A8B"/>
    <w:rsid w:val="00FF1F3D"/>
    <w:rsid w:val="00FF230D"/>
    <w:rsid w:val="00FF2633"/>
    <w:rsid w:val="00FF268D"/>
    <w:rsid w:val="00FF2A8F"/>
    <w:rsid w:val="00FF2AD9"/>
    <w:rsid w:val="00FF2EBD"/>
    <w:rsid w:val="00FF3274"/>
    <w:rsid w:val="00FF359F"/>
    <w:rsid w:val="00FF3D18"/>
    <w:rsid w:val="00FF3DCF"/>
    <w:rsid w:val="00FF3ECD"/>
    <w:rsid w:val="00FF492C"/>
    <w:rsid w:val="00FF4A21"/>
    <w:rsid w:val="00FF5AA3"/>
    <w:rsid w:val="00FF5AD8"/>
    <w:rsid w:val="00FF5E5B"/>
    <w:rsid w:val="00FF653E"/>
    <w:rsid w:val="00FF65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02"/>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9A6C20"/>
    <w:pPr>
      <w:keepNext/>
      <w:spacing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A6C20"/>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CICsubheading">
    <w:name w:val="COM CIC subheading"/>
    <w:basedOn w:val="Normal"/>
    <w:link w:val="COMCICsubheadingChar"/>
    <w:qFormat/>
    <w:rsid w:val="002C1390"/>
    <w:pPr>
      <w:keepNext/>
      <w:keepLines/>
      <w:spacing w:before="40"/>
      <w:jc w:val="center"/>
      <w:outlineLvl w:val="2"/>
    </w:pPr>
    <w:rPr>
      <w:rFonts w:asciiTheme="minorHAnsi" w:eastAsiaTheme="majorEastAsia" w:hAnsiTheme="minorHAnsi" w:cstheme="majorBidi"/>
      <w:b/>
      <w:color w:val="000000" w:themeColor="text1"/>
    </w:rPr>
  </w:style>
  <w:style w:type="character" w:customStyle="1" w:styleId="COMCICsubheadingChar">
    <w:name w:val="COM CIC subheading Char"/>
    <w:basedOn w:val="DefaultParagraphFont"/>
    <w:link w:val="COMCICsubheading"/>
    <w:rsid w:val="002C1390"/>
    <w:rPr>
      <w:rFonts w:asciiTheme="minorHAnsi" w:eastAsiaTheme="majorEastAsia" w:hAnsiTheme="minorHAnsi" w:cstheme="majorBidi"/>
      <w:b/>
      <w:color w:val="000000" w:themeColor="text1"/>
      <w:sz w:val="24"/>
      <w:szCs w:val="24"/>
    </w:rPr>
  </w:style>
  <w:style w:type="paragraph" w:styleId="Header">
    <w:name w:val="header"/>
    <w:aliases w:val="Page Header,Header title,he=header,cntr/bld"/>
    <w:basedOn w:val="Normal"/>
    <w:link w:val="HeaderChar"/>
    <w:qFormat/>
    <w:rsid w:val="00A51C91"/>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rsid w:val="00A51C91"/>
    <w:rPr>
      <w:rFonts w:ascii="Calibri" w:hAnsi="Calibri" w:cs="Arial"/>
      <w:i/>
      <w:iCs/>
      <w:sz w:val="24"/>
      <w:szCs w:val="24"/>
    </w:rPr>
  </w:style>
  <w:style w:type="paragraph" w:customStyle="1" w:styleId="PageFooter">
    <w:name w:val="Page Footer"/>
    <w:basedOn w:val="Normal"/>
    <w:link w:val="PageFooterChar"/>
    <w:qFormat/>
    <w:rsid w:val="00AB5410"/>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AB5410"/>
    <w:rPr>
      <w:rFonts w:ascii="Calibri" w:hAnsi="Calibri" w:cs="Arial"/>
      <w:b/>
      <w:sz w:val="24"/>
      <w:szCs w:val="24"/>
    </w:rPr>
  </w:style>
  <w:style w:type="character" w:styleId="Hyperlink">
    <w:name w:val="Hyperlink"/>
    <w:basedOn w:val="DefaultParagraphFont"/>
    <w:uiPriority w:val="99"/>
    <w:unhideWhenUsed/>
    <w:rsid w:val="00B15185"/>
    <w:rPr>
      <w:color w:val="0000FF" w:themeColor="hyperlink"/>
      <w:u w:val="single"/>
    </w:rPr>
  </w:style>
  <w:style w:type="paragraph" w:customStyle="1" w:styleId="COMH2-numbered">
    <w:name w:val="COM H2 - numbered"/>
    <w:basedOn w:val="Heading2"/>
    <w:next w:val="COMBody"/>
    <w:qFormat/>
    <w:rsid w:val="001C002E"/>
  </w:style>
  <w:style w:type="table" w:styleId="TableGrid">
    <w:name w:val="Table Grid"/>
    <w:aliases w:val="Summary box,Table Gridbeth,CMA Table Template,ASD Table,Lash Style Table,PBAC table,HTAtableplain,new style,MSD Table Grid,Dossier table,Section 3- footnotes,Summary Table,Tabellengitternetz 9pt,Table Grid No Line,Legemiddelverket 3"/>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FD5856"/>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07519D"/>
    <w:pPr>
      <w:numPr>
        <w:numId w:val="2"/>
      </w:numPr>
      <w:spacing w:after="120"/>
      <w:contextualSpacing/>
      <w:jc w:val="left"/>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COMheadingnotforTOC">
    <w:name w:val="COM heading not for TOC"/>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D92D9D"/>
    <w:pPr>
      <w:keepNext/>
      <w:keepLines/>
    </w:pPr>
    <w:rPr>
      <w:rFonts w:ascii="Arial Narrow" w:eastAsiaTheme="majorEastAsia" w:hAnsi="Arial Narrow"/>
      <w:b/>
      <w:szCs w:val="24"/>
      <w:lang w:val="en-US"/>
    </w:rPr>
  </w:style>
  <w:style w:type="paragraph" w:customStyle="1" w:styleId="COMH1-numbered">
    <w:name w:val="COM H1 - numbered"/>
    <w:next w:val="COMexecsummnumbered"/>
    <w:qFormat/>
    <w:rsid w:val="00292028"/>
    <w:pPr>
      <w:keepNext/>
      <w:numPr>
        <w:numId w:val="1"/>
      </w:numPr>
      <w:spacing w:before="240" w:after="120"/>
      <w:outlineLvl w:val="0"/>
    </w:pPr>
    <w:rPr>
      <w:rFonts w:asciiTheme="minorHAnsi" w:hAnsiTheme="minorHAnsi" w:cs="Arial"/>
      <w:b/>
      <w:snapToGrid w:val="0"/>
      <w:sz w:val="32"/>
      <w:szCs w:val="32"/>
    </w:rPr>
  </w:style>
  <w:style w:type="paragraph" w:customStyle="1" w:styleId="COMexecsummheadings">
    <w:name w:val="COM exec summ headings"/>
    <w:next w:val="COMH1-numbered"/>
    <w:link w:val="COMexecsummheadings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COMexecsummheadingsChar">
    <w:name w:val="COM exec summ headings Char"/>
    <w:basedOn w:val="DefaultParagraphFont"/>
    <w:link w:val="COMexecsummheadings"/>
    <w:rsid w:val="004C3B02"/>
    <w:rPr>
      <w:rFonts w:asciiTheme="minorHAnsi" w:eastAsiaTheme="majorEastAsia" w:hAnsiTheme="minorHAnsi" w:cstheme="majorBidi"/>
      <w:b/>
      <w:spacing w:val="5"/>
      <w:kern w:val="28"/>
      <w:sz w:val="36"/>
      <w:szCs w:val="36"/>
    </w:rPr>
  </w:style>
  <w:style w:type="paragraph" w:customStyle="1" w:styleId="COMexecsummnumbered">
    <w:name w:val="COM exec summ numbered"/>
    <w:link w:val="COMexecsummnumberedChar"/>
    <w:qFormat/>
    <w:rsid w:val="00817E9D"/>
    <w:pPr>
      <w:numPr>
        <w:ilvl w:val="1"/>
        <w:numId w:val="1"/>
      </w:numPr>
      <w:spacing w:before="120" w:after="120"/>
      <w:jc w:val="both"/>
    </w:pPr>
    <w:rPr>
      <w:rFonts w:asciiTheme="minorHAnsi" w:eastAsiaTheme="minorHAnsi" w:hAnsiTheme="minorHAnsi" w:cstheme="minorBidi"/>
      <w:sz w:val="24"/>
      <w:szCs w:val="22"/>
    </w:rPr>
  </w:style>
  <w:style w:type="character" w:customStyle="1" w:styleId="COMexecsummnumberedChar">
    <w:name w:val="COM exec summ numbered Char"/>
    <w:basedOn w:val="DefaultParagraphFont"/>
    <w:link w:val="COMexecsummnumbered"/>
    <w:rsid w:val="00817E9D"/>
    <w:rPr>
      <w:rFonts w:asciiTheme="minorHAnsi" w:eastAsiaTheme="minorHAnsi" w:hAnsiTheme="minorHAnsi" w:cstheme="minorBidi"/>
      <w:sz w:val="24"/>
      <w:szCs w:val="22"/>
    </w:rPr>
  </w:style>
  <w:style w:type="paragraph" w:customStyle="1" w:styleId="COMBody">
    <w:name w:val="COM Body"/>
    <w:basedOn w:val="Normal"/>
    <w:link w:val="COMBodyChar"/>
    <w:qFormat/>
    <w:rsid w:val="0079172B"/>
  </w:style>
  <w:style w:type="character" w:customStyle="1" w:styleId="COMBodyChar">
    <w:name w:val="COM Body Char"/>
    <w:basedOn w:val="DefaultParagraphFont"/>
    <w:link w:val="COMBody"/>
    <w:rsid w:val="0079172B"/>
    <w:rPr>
      <w:rFonts w:ascii="Calibri" w:hAnsi="Calibri" w:cs="Arial"/>
      <w:sz w:val="24"/>
      <w:szCs w:val="24"/>
    </w:rPr>
  </w:style>
  <w:style w:type="paragraph" w:customStyle="1" w:styleId="COMbodybulletlist">
    <w:name w:val="COM body bullet list"/>
    <w:basedOn w:val="Normal"/>
    <w:link w:val="COMbodybulletlistChar"/>
    <w:qFormat/>
    <w:rsid w:val="001909D7"/>
    <w:pPr>
      <w:numPr>
        <w:numId w:val="4"/>
      </w:numPr>
      <w:contextualSpacing/>
    </w:pPr>
  </w:style>
  <w:style w:type="character" w:customStyle="1" w:styleId="COMbodybulletlistChar">
    <w:name w:val="COM body bullet list Char"/>
    <w:basedOn w:val="DefaultParagraphFont"/>
    <w:link w:val="COMbodybulletlist"/>
    <w:rsid w:val="0079172B"/>
    <w:rPr>
      <w:rFonts w:ascii="Calibri" w:hAnsi="Calibri" w:cs="Arial"/>
      <w:sz w:val="24"/>
      <w:szCs w:val="24"/>
    </w:rPr>
  </w:style>
  <w:style w:type="paragraph" w:customStyle="1" w:styleId="COMexecsummbulletlist">
    <w:name w:val="COM exec summ bullet list"/>
    <w:basedOn w:val="Normal"/>
    <w:link w:val="COMexecsummbulletlistChar"/>
    <w:qFormat/>
    <w:rsid w:val="0007519D"/>
    <w:pPr>
      <w:numPr>
        <w:numId w:val="5"/>
      </w:numPr>
      <w:spacing w:after="120"/>
      <w:ind w:left="1134"/>
    </w:pPr>
    <w:rPr>
      <w:rFonts w:asciiTheme="minorHAnsi" w:hAnsiTheme="minorHAnsi"/>
      <w:snapToGrid w:val="0"/>
    </w:rPr>
  </w:style>
  <w:style w:type="character" w:customStyle="1" w:styleId="COMexecsummbulletlistChar">
    <w:name w:val="COM exec summ bullet list Char"/>
    <w:basedOn w:val="DefaultParagraphFont"/>
    <w:link w:val="COMexecsummbulletlist"/>
    <w:rsid w:val="0007519D"/>
    <w:rPr>
      <w:rFonts w:asciiTheme="minorHAnsi" w:hAnsiTheme="minorHAnsi" w:cs="Arial"/>
      <w:snapToGrid w:val="0"/>
      <w:sz w:val="24"/>
      <w:szCs w:val="24"/>
    </w:rPr>
  </w:style>
  <w:style w:type="paragraph" w:customStyle="1" w:styleId="COMexecsummmainissuesbullets">
    <w:name w:val="COM exec summ main issues bullets"/>
    <w:basedOn w:val="Normal"/>
    <w:link w:val="COMexecsummmainissuesbulletsChar"/>
    <w:qFormat/>
    <w:rsid w:val="0007519D"/>
    <w:pPr>
      <w:numPr>
        <w:numId w:val="6"/>
      </w:numPr>
      <w:spacing w:after="120"/>
    </w:pPr>
    <w:rPr>
      <w:rFonts w:asciiTheme="minorHAnsi" w:hAnsiTheme="minorHAnsi"/>
      <w:snapToGrid w:val="0"/>
      <w:color w:val="0066FF"/>
    </w:rPr>
  </w:style>
  <w:style w:type="character" w:customStyle="1" w:styleId="COMexecsummmainissuesbulletsChar">
    <w:name w:val="COM exec summ main issues bullets Char"/>
    <w:basedOn w:val="DefaultParagraphFont"/>
    <w:link w:val="COMexecsummmainissuesbullets"/>
    <w:rsid w:val="0007519D"/>
    <w:rPr>
      <w:rFonts w:asciiTheme="minorHAnsi" w:hAnsiTheme="minorHAnsi" w:cs="Arial"/>
      <w:snapToGrid w:val="0"/>
      <w:color w:val="0066FF"/>
      <w:sz w:val="24"/>
      <w:szCs w:val="24"/>
    </w:rPr>
  </w:style>
  <w:style w:type="paragraph" w:customStyle="1" w:styleId="COMH1-non-numbered">
    <w:name w:val="COM H1 - non-numbered"/>
    <w:next w:val="Normal"/>
    <w:link w:val="COMH1-non-numberedChar"/>
    <w:qFormat/>
    <w:rsid w:val="0079172B"/>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79172B"/>
    <w:rPr>
      <w:rFonts w:asciiTheme="minorHAnsi" w:eastAsiaTheme="majorEastAsia" w:hAnsiTheme="minorHAnsi" w:cstheme="majorBidi"/>
      <w:b/>
      <w:spacing w:val="5"/>
      <w:kern w:val="28"/>
      <w:sz w:val="32"/>
      <w:szCs w:val="36"/>
    </w:rPr>
  </w:style>
  <w:style w:type="paragraph" w:customStyle="1" w:styleId="COMH2-non-numbered">
    <w:name w:val="COM H2 - non-numbered"/>
    <w:basedOn w:val="Heading2"/>
    <w:next w:val="Normal"/>
    <w:link w:val="COMH2-non-numberedChar"/>
    <w:qFormat/>
    <w:rsid w:val="0079172B"/>
    <w:pPr>
      <w:spacing w:before="120"/>
      <w:jc w:val="left"/>
    </w:pPr>
    <w:rPr>
      <w:rFonts w:asciiTheme="minorHAnsi" w:eastAsiaTheme="majorEastAsia" w:hAnsiTheme="minorHAnsi" w:cstheme="majorBidi"/>
      <w:spacing w:val="5"/>
      <w:kern w:val="28"/>
      <w:szCs w:val="36"/>
      <w:lang w:eastAsia="en-US"/>
    </w:rPr>
  </w:style>
  <w:style w:type="character" w:customStyle="1" w:styleId="COMH2-non-numberedChar">
    <w:name w:val="COM H2 - non-numbered Char"/>
    <w:basedOn w:val="Heading2Char"/>
    <w:link w:val="COMH2-non-numbered"/>
    <w:rsid w:val="0079172B"/>
    <w:rPr>
      <w:rFonts w:asciiTheme="minorHAnsi" w:eastAsiaTheme="majorEastAsia" w:hAnsiTheme="minorHAnsi" w:cstheme="majorBidi"/>
      <w:b/>
      <w:i/>
      <w:snapToGrid w:val="0"/>
      <w:spacing w:val="5"/>
      <w:kern w:val="28"/>
      <w:sz w:val="28"/>
      <w:szCs w:val="36"/>
    </w:rPr>
  </w:style>
  <w:style w:type="paragraph" w:customStyle="1" w:styleId="COMH3">
    <w:name w:val="COM H3"/>
    <w:basedOn w:val="Normal"/>
    <w:next w:val="Normal"/>
    <w:link w:val="COMH3Char"/>
    <w:qFormat/>
    <w:rsid w:val="00226F21"/>
    <w:pPr>
      <w:keepNext/>
      <w:spacing w:after="120"/>
      <w:outlineLvl w:val="2"/>
    </w:pPr>
    <w:rPr>
      <w:b/>
      <w:iCs/>
      <w:sz w:val="28"/>
    </w:rPr>
  </w:style>
  <w:style w:type="character" w:customStyle="1" w:styleId="COMH3Char">
    <w:name w:val="COM H3 Char"/>
    <w:basedOn w:val="DefaultParagraphFont"/>
    <w:link w:val="COMH3"/>
    <w:rsid w:val="00226F21"/>
    <w:rPr>
      <w:rFonts w:ascii="Calibri" w:hAnsi="Calibri" w:cs="Arial"/>
      <w:b/>
      <w:iCs/>
      <w:sz w:val="28"/>
      <w:szCs w:val="24"/>
    </w:rPr>
  </w:style>
  <w:style w:type="paragraph" w:customStyle="1" w:styleId="COMH4">
    <w:name w:val="COM H4"/>
    <w:basedOn w:val="Heading4"/>
    <w:link w:val="COMH4Char"/>
    <w:qFormat/>
    <w:rsid w:val="0035022E"/>
    <w:pPr>
      <w:spacing w:before="0" w:after="120"/>
    </w:pPr>
    <w:rPr>
      <w:sz w:val="24"/>
    </w:rPr>
  </w:style>
  <w:style w:type="character" w:customStyle="1" w:styleId="COMH4Char">
    <w:name w:val="COM H4 Char"/>
    <w:basedOn w:val="DefaultParagraphFont"/>
    <w:link w:val="COMH4"/>
    <w:rsid w:val="0035022E"/>
    <w:rPr>
      <w:rFonts w:ascii="Calibri" w:hAnsi="Calibri" w:cs="Arial"/>
      <w:b/>
      <w:bCs/>
      <w:i/>
      <w:sz w:val="24"/>
      <w:szCs w:val="28"/>
    </w:rPr>
  </w:style>
  <w:style w:type="paragraph" w:customStyle="1" w:styleId="COMTablefooter">
    <w:name w:val="COM Table footer"/>
    <w:basedOn w:val="Normal"/>
    <w:next w:val="Normal"/>
    <w:link w:val="COMTablefooterChar"/>
    <w:qFormat/>
    <w:rsid w:val="0079172B"/>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79172B"/>
    <w:rPr>
      <w:rFonts w:ascii="Arial Narrow" w:hAnsi="Arial Narrow" w:cs="Arial"/>
      <w:snapToGrid w:val="0"/>
      <w:sz w:val="18"/>
      <w:szCs w:val="22"/>
    </w:rPr>
  </w:style>
  <w:style w:type="paragraph" w:customStyle="1" w:styleId="COMTableheadingrow">
    <w:name w:val="COM Table heading row"/>
    <w:qFormat/>
    <w:rsid w:val="0079172B"/>
    <w:pPr>
      <w:keepNext/>
    </w:pPr>
    <w:rPr>
      <w:rFonts w:ascii="Arial Narrow" w:eastAsiaTheme="majorEastAsia" w:hAnsi="Arial Narrow"/>
      <w:b/>
      <w:szCs w:val="24"/>
      <w:lang w:val="en-US"/>
    </w:rPr>
  </w:style>
  <w:style w:type="paragraph" w:customStyle="1" w:styleId="COMTabletext">
    <w:name w:val="COM Table text"/>
    <w:link w:val="COMTabletextChar"/>
    <w:qFormat/>
    <w:rsid w:val="0079172B"/>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79172B"/>
    <w:rPr>
      <w:rFonts w:ascii="Arial Narrow" w:eastAsiaTheme="majorEastAsia" w:hAnsi="Arial Narrow" w:cstheme="majorBidi"/>
      <w:bCs/>
      <w:szCs w:val="24"/>
    </w:rPr>
  </w:style>
  <w:style w:type="paragraph" w:customStyle="1" w:styleId="COMtablefigcaption">
    <w:name w:val="COM table/fig caption"/>
    <w:next w:val="COMTableheadingrow"/>
    <w:link w:val="COMtablefigcaptionChar"/>
    <w:qFormat/>
    <w:rsid w:val="00BB48ED"/>
    <w:pPr>
      <w:keepNext/>
      <w:jc w:val="both"/>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BB48ED"/>
    <w:rPr>
      <w:rFonts w:ascii="Arial Narrow" w:eastAsiaTheme="majorEastAsia" w:hAnsi="Arial Narrow" w:cstheme="majorBidi"/>
      <w:b/>
      <w:bCs/>
      <w:szCs w:val="24"/>
    </w:rPr>
  </w:style>
  <w:style w:type="paragraph" w:customStyle="1" w:styleId="C-BodyText">
    <w:name w:val="C-Body Text"/>
    <w:link w:val="C-BodyTextChar"/>
    <w:rsid w:val="006877B8"/>
    <w:pPr>
      <w:spacing w:before="120" w:after="120" w:line="280" w:lineRule="atLeast"/>
    </w:pPr>
    <w:rPr>
      <w:sz w:val="24"/>
      <w:lang w:val="en-US" w:eastAsia="en-US"/>
    </w:rPr>
  </w:style>
  <w:style w:type="paragraph" w:customStyle="1" w:styleId="C-NumberedList">
    <w:name w:val="C-Numbered List"/>
    <w:link w:val="C-NumberedListChar"/>
    <w:rsid w:val="006877B8"/>
    <w:pPr>
      <w:numPr>
        <w:numId w:val="7"/>
      </w:numPr>
      <w:spacing w:before="120" w:after="120" w:line="280" w:lineRule="atLeast"/>
    </w:pPr>
    <w:rPr>
      <w:sz w:val="24"/>
      <w:lang w:val="en-US" w:eastAsia="en-US"/>
    </w:rPr>
  </w:style>
  <w:style w:type="paragraph" w:customStyle="1" w:styleId="C-AlphabeticList">
    <w:name w:val="C-Alphabetic List"/>
    <w:rsid w:val="006877B8"/>
    <w:pPr>
      <w:numPr>
        <w:ilvl w:val="1"/>
        <w:numId w:val="7"/>
      </w:numPr>
    </w:pPr>
    <w:rPr>
      <w:sz w:val="24"/>
      <w:lang w:val="en-US" w:eastAsia="en-US"/>
    </w:rPr>
  </w:style>
  <w:style w:type="character" w:customStyle="1" w:styleId="C-Hyperlink">
    <w:name w:val="C-Hyperlink"/>
    <w:rsid w:val="006877B8"/>
    <w:rPr>
      <w:color w:val="0000FF"/>
    </w:rPr>
  </w:style>
  <w:style w:type="character" w:customStyle="1" w:styleId="C-BodyTextChar">
    <w:name w:val="C-Body Text Char"/>
    <w:basedOn w:val="DefaultParagraphFont"/>
    <w:link w:val="C-BodyText"/>
    <w:rsid w:val="006877B8"/>
    <w:rPr>
      <w:sz w:val="24"/>
      <w:lang w:val="en-US" w:eastAsia="en-US"/>
    </w:rPr>
  </w:style>
  <w:style w:type="character" w:customStyle="1" w:styleId="C-NumberedListChar">
    <w:name w:val="C-Numbered List Char"/>
    <w:basedOn w:val="DefaultParagraphFont"/>
    <w:link w:val="C-NumberedList"/>
    <w:locked/>
    <w:rsid w:val="006877B8"/>
    <w:rPr>
      <w:sz w:val="24"/>
      <w:lang w:val="en-US" w:eastAsia="en-US"/>
    </w:rPr>
  </w:style>
  <w:style w:type="paragraph" w:styleId="ListParagraph">
    <w:name w:val="List Paragraph"/>
    <w:aliases w:val="BulletPoints,Numbered para,Footnote,Bullet point,List Paragraph1,List Paragraph11,Recommendation,ES Paragraph,PBAC ES Paragraph,PBAC normal points,Bullet List,Figure_name,Numbered Indented Text,Bullet- First level,List NUmber,Bullet Point"/>
    <w:basedOn w:val="Normal"/>
    <w:link w:val="ListParagraphChar"/>
    <w:uiPriority w:val="34"/>
    <w:qFormat/>
    <w:rsid w:val="006D7C26"/>
    <w:pPr>
      <w:ind w:left="720"/>
      <w:contextualSpacing/>
    </w:pPr>
  </w:style>
  <w:style w:type="character" w:styleId="CommentReference">
    <w:name w:val="annotation reference"/>
    <w:aliases w:val="Table Title"/>
    <w:basedOn w:val="DefaultParagraphFont"/>
    <w:uiPriority w:val="99"/>
    <w:unhideWhenUsed/>
    <w:qFormat/>
    <w:rsid w:val="003162FF"/>
    <w:rPr>
      <w:sz w:val="16"/>
      <w:szCs w:val="16"/>
    </w:rPr>
  </w:style>
  <w:style w:type="paragraph" w:styleId="CommentText">
    <w:name w:val="annotation text"/>
    <w:basedOn w:val="Normal"/>
    <w:link w:val="CommentTextChar"/>
    <w:uiPriority w:val="99"/>
    <w:unhideWhenUsed/>
    <w:rsid w:val="003162FF"/>
    <w:rPr>
      <w:sz w:val="20"/>
      <w:szCs w:val="20"/>
    </w:rPr>
  </w:style>
  <w:style w:type="character" w:customStyle="1" w:styleId="CommentTextChar">
    <w:name w:val="Comment Text Char"/>
    <w:basedOn w:val="DefaultParagraphFont"/>
    <w:link w:val="CommentText"/>
    <w:uiPriority w:val="99"/>
    <w:rsid w:val="003162FF"/>
    <w:rPr>
      <w:rFonts w:ascii="Calibri" w:hAnsi="Calibri" w:cs="Arial"/>
    </w:rPr>
  </w:style>
  <w:style w:type="paragraph" w:styleId="CommentSubject">
    <w:name w:val="annotation subject"/>
    <w:basedOn w:val="CommentText"/>
    <w:next w:val="CommentText"/>
    <w:link w:val="CommentSubjectChar"/>
    <w:semiHidden/>
    <w:unhideWhenUsed/>
    <w:rsid w:val="003162FF"/>
    <w:rPr>
      <w:b/>
      <w:bCs/>
    </w:rPr>
  </w:style>
  <w:style w:type="character" w:customStyle="1" w:styleId="CommentSubjectChar">
    <w:name w:val="Comment Subject Char"/>
    <w:basedOn w:val="CommentTextChar"/>
    <w:link w:val="CommentSubject"/>
    <w:semiHidden/>
    <w:rsid w:val="003162FF"/>
    <w:rPr>
      <w:rFonts w:ascii="Calibri" w:hAnsi="Calibri" w:cs="Arial"/>
      <w:b/>
      <w:bCs/>
    </w:rPr>
  </w:style>
  <w:style w:type="paragraph" w:customStyle="1" w:styleId="TableFooter">
    <w:name w:val="Table Footer"/>
    <w:basedOn w:val="Normal"/>
    <w:link w:val="TableFooterChar"/>
    <w:qFormat/>
    <w:rsid w:val="005B1E4F"/>
    <w:pPr>
      <w:widowControl w:val="0"/>
      <w:contextualSpacing/>
    </w:pPr>
    <w:rPr>
      <w:rFonts w:ascii="Arial Narrow" w:hAnsi="Arial Narrow"/>
      <w:snapToGrid w:val="0"/>
      <w:sz w:val="18"/>
      <w:szCs w:val="20"/>
      <w:lang w:eastAsia="en-US"/>
    </w:rPr>
  </w:style>
  <w:style w:type="character" w:customStyle="1" w:styleId="TableFooterChar">
    <w:name w:val="Table Footer Char"/>
    <w:link w:val="TableFooter"/>
    <w:rsid w:val="005B1E4F"/>
    <w:rPr>
      <w:rFonts w:ascii="Arial Narrow" w:hAnsi="Arial Narrow" w:cs="Arial"/>
      <w:snapToGrid w:val="0"/>
      <w:sz w:val="18"/>
      <w:lang w:eastAsia="en-US"/>
    </w:rPr>
  </w:style>
  <w:style w:type="paragraph" w:styleId="Footer">
    <w:name w:val="footer"/>
    <w:basedOn w:val="Normal"/>
    <w:link w:val="FooterChar"/>
    <w:uiPriority w:val="99"/>
    <w:unhideWhenUsed/>
    <w:rsid w:val="008A4B35"/>
    <w:pPr>
      <w:tabs>
        <w:tab w:val="center" w:pos="4513"/>
        <w:tab w:val="right" w:pos="9026"/>
      </w:tabs>
    </w:pPr>
  </w:style>
  <w:style w:type="character" w:customStyle="1" w:styleId="FooterChar">
    <w:name w:val="Footer Char"/>
    <w:basedOn w:val="DefaultParagraphFont"/>
    <w:link w:val="Footer"/>
    <w:uiPriority w:val="99"/>
    <w:rsid w:val="008A4B35"/>
    <w:rPr>
      <w:rFonts w:ascii="Calibri" w:hAnsi="Calibri" w:cs="Arial"/>
      <w:sz w:val="24"/>
      <w:szCs w:val="24"/>
    </w:rPr>
  </w:style>
  <w:style w:type="table" w:customStyle="1" w:styleId="PBACtable2">
    <w:name w:val="PBAC table2"/>
    <w:basedOn w:val="TableNormal"/>
    <w:next w:val="TableGrid"/>
    <w:uiPriority w:val="39"/>
    <w:rsid w:val="009F796F"/>
    <w:pPr>
      <w:jc w:val="both"/>
    </w:pPr>
    <w:rPr>
      <w:rFonts w:ascii="Trebuchet MS" w:eastAsiaTheme="minorHAnsi" w:hAnsi="Trebuchet M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56D9"/>
    <w:rPr>
      <w:color w:val="666666"/>
    </w:rPr>
  </w:style>
  <w:style w:type="paragraph" w:customStyle="1" w:styleId="Tabletext">
    <w:name w:val="Table text"/>
    <w:basedOn w:val="Normal"/>
    <w:link w:val="TabletextChar"/>
    <w:uiPriority w:val="99"/>
    <w:qFormat/>
    <w:rsid w:val="00C67ECD"/>
    <w:pPr>
      <w:jc w:val="left"/>
    </w:pPr>
    <w:rPr>
      <w:rFonts w:ascii="Trebuchet MS" w:hAnsi="Trebuchet MS" w:cs="Times New Roman"/>
      <w:color w:val="000000" w:themeColor="text1"/>
      <w:sz w:val="20"/>
      <w:szCs w:val="20"/>
      <w:lang w:eastAsia="en-US"/>
    </w:rPr>
  </w:style>
  <w:style w:type="character" w:customStyle="1" w:styleId="TabletextChar">
    <w:name w:val="Table text Char"/>
    <w:basedOn w:val="DefaultParagraphFont"/>
    <w:link w:val="Tabletext"/>
    <w:uiPriority w:val="99"/>
    <w:rsid w:val="00C67ECD"/>
    <w:rPr>
      <w:rFonts w:ascii="Trebuchet MS" w:hAnsi="Trebuchet MS"/>
      <w:color w:val="000000" w:themeColor="text1"/>
      <w:lang w:eastAsia="en-US"/>
    </w:rPr>
  </w:style>
  <w:style w:type="paragraph" w:customStyle="1" w:styleId="Tablebold">
    <w:name w:val="Table bold"/>
    <w:basedOn w:val="Tabletext"/>
    <w:qFormat/>
    <w:rsid w:val="00C67ECD"/>
    <w:pPr>
      <w:keepNext/>
      <w:keepLines/>
      <w:spacing w:before="60" w:after="60"/>
    </w:pPr>
    <w:rPr>
      <w:rFonts w:ascii="Verdana" w:eastAsia="Calibri" w:hAnsi="Verdana"/>
      <w:b/>
      <w:color w:val="auto"/>
      <w:sz w:val="18"/>
      <w:szCs w:val="22"/>
    </w:rPr>
  </w:style>
  <w:style w:type="paragraph" w:styleId="Caption">
    <w:name w:val="caption"/>
    <w:basedOn w:val="COMtablefigcaption"/>
    <w:next w:val="Normal"/>
    <w:unhideWhenUsed/>
    <w:qFormat/>
    <w:rsid w:val="003C51B7"/>
  </w:style>
  <w:style w:type="paragraph" w:customStyle="1" w:styleId="TableText0">
    <w:name w:val="Table Text"/>
    <w:link w:val="TableTextChar0"/>
    <w:qFormat/>
    <w:rsid w:val="001C2ED1"/>
    <w:pPr>
      <w:keepNext/>
      <w:keepLines/>
      <w:widowControl w:val="0"/>
    </w:pPr>
    <w:rPr>
      <w:rFonts w:ascii="Arial Narrow" w:eastAsiaTheme="majorEastAsia" w:hAnsi="Arial Narrow" w:cstheme="majorBidi"/>
      <w:bCs/>
      <w:szCs w:val="24"/>
    </w:rPr>
  </w:style>
  <w:style w:type="character" w:customStyle="1" w:styleId="TableTextChar0">
    <w:name w:val="Table Text Char"/>
    <w:basedOn w:val="DefaultParagraphFont"/>
    <w:link w:val="TableText0"/>
    <w:rsid w:val="001C2ED1"/>
    <w:rPr>
      <w:rFonts w:ascii="Arial Narrow" w:eastAsiaTheme="majorEastAsia" w:hAnsi="Arial Narrow" w:cstheme="majorBidi"/>
      <w:bCs/>
      <w:szCs w:val="24"/>
    </w:rPr>
  </w:style>
  <w:style w:type="paragraph" w:customStyle="1" w:styleId="V50Instructions">
    <w:name w:val="V5.0 Instructions"/>
    <w:basedOn w:val="Normal"/>
    <w:link w:val="V50InstructionsChar"/>
    <w:qFormat/>
    <w:rsid w:val="001C2ED1"/>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1C2ED1"/>
    <w:rPr>
      <w:rFonts w:asciiTheme="minorHAnsi" w:eastAsiaTheme="minorHAnsi" w:hAnsiTheme="minorHAnsi" w:cstheme="minorBidi"/>
      <w:color w:val="4BACC6" w:themeColor="accent5"/>
      <w:sz w:val="24"/>
      <w:szCs w:val="22"/>
      <w:lang w:eastAsia="en-US"/>
    </w:rPr>
  </w:style>
  <w:style w:type="paragraph" w:customStyle="1" w:styleId="COMBody0">
    <w:name w:val="COMBody"/>
    <w:basedOn w:val="Normal"/>
    <w:link w:val="COMBodyChar0"/>
    <w:qFormat/>
    <w:rsid w:val="001C2ED1"/>
    <w:pPr>
      <w:widowControl w:val="0"/>
    </w:pPr>
    <w:rPr>
      <w:rFonts w:ascii="Arial" w:hAnsi="Arial"/>
      <w:snapToGrid w:val="0"/>
      <w:sz w:val="22"/>
      <w:szCs w:val="20"/>
      <w:lang w:eastAsia="en-US"/>
    </w:rPr>
  </w:style>
  <w:style w:type="character" w:customStyle="1" w:styleId="COMBodyChar0">
    <w:name w:val="COMBody Char"/>
    <w:basedOn w:val="DefaultParagraphFont"/>
    <w:link w:val="COMBody0"/>
    <w:rsid w:val="001C2ED1"/>
    <w:rPr>
      <w:rFonts w:ascii="Arial" w:hAnsi="Arial" w:cs="Arial"/>
      <w:snapToGrid w:val="0"/>
      <w:sz w:val="22"/>
      <w:lang w:eastAsia="en-US"/>
    </w:rPr>
  </w:style>
  <w:style w:type="paragraph" w:customStyle="1" w:styleId="COM-CIChead">
    <w:name w:val="COM-CIChead"/>
    <w:basedOn w:val="Normal"/>
    <w:link w:val="COM-CICheadChar"/>
    <w:qFormat/>
    <w:rsid w:val="001C2ED1"/>
    <w:pPr>
      <w:widowControl w:val="0"/>
      <w:jc w:val="center"/>
    </w:pPr>
    <w:rPr>
      <w:rFonts w:ascii="Arial" w:hAnsi="Arial"/>
      <w:b/>
      <w:snapToGrid w:val="0"/>
      <w:sz w:val="22"/>
      <w:szCs w:val="20"/>
      <w:u w:val="single"/>
      <w:lang w:eastAsia="en-US"/>
    </w:rPr>
  </w:style>
  <w:style w:type="character" w:customStyle="1" w:styleId="COM-CICheadChar">
    <w:name w:val="COM-CIChead Char"/>
    <w:basedOn w:val="DefaultParagraphFont"/>
    <w:link w:val="COM-CIChead"/>
    <w:rsid w:val="001C2ED1"/>
    <w:rPr>
      <w:rFonts w:ascii="Arial" w:hAnsi="Arial" w:cs="Arial"/>
      <w:b/>
      <w:snapToGrid w:val="0"/>
      <w:sz w:val="22"/>
      <w:u w:val="single"/>
      <w:lang w:eastAsia="en-US"/>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Figure_name Char"/>
    <w:link w:val="ListParagraph"/>
    <w:uiPriority w:val="34"/>
    <w:qFormat/>
    <w:locked/>
    <w:rsid w:val="005C76D7"/>
    <w:rPr>
      <w:rFonts w:ascii="Calibri" w:hAnsi="Calibri" w:cs="Arial"/>
      <w:sz w:val="24"/>
      <w:szCs w:val="24"/>
    </w:rPr>
  </w:style>
  <w:style w:type="paragraph" w:styleId="NormalWeb">
    <w:name w:val="Normal (Web)"/>
    <w:basedOn w:val="Normal"/>
    <w:uiPriority w:val="99"/>
    <w:semiHidden/>
    <w:unhideWhenUsed/>
    <w:rsid w:val="005D7F22"/>
    <w:pPr>
      <w:spacing w:before="100" w:beforeAutospacing="1" w:after="100" w:afterAutospacing="1"/>
      <w:jc w:val="left"/>
    </w:pPr>
    <w:rPr>
      <w:rFonts w:ascii="Times New Roman" w:hAnsi="Times New Roman" w:cs="Times New Roman"/>
    </w:rPr>
  </w:style>
  <w:style w:type="paragraph" w:customStyle="1" w:styleId="PBACHeading1">
    <w:name w:val="PBAC Heading 1"/>
    <w:qFormat/>
    <w:rsid w:val="00440026"/>
    <w:pPr>
      <w:ind w:left="720" w:hanging="720"/>
      <w:outlineLvl w:val="0"/>
    </w:pPr>
    <w:rPr>
      <w:rFonts w:ascii="Calibri" w:hAnsi="Calibri" w:cs="Calibri"/>
      <w:b/>
      <w:snapToGrid w:val="0"/>
      <w:sz w:val="32"/>
      <w:szCs w:val="32"/>
      <w:lang w:eastAsia="en-US"/>
    </w:rPr>
  </w:style>
  <w:style w:type="paragraph" w:styleId="Subtitle">
    <w:name w:val="Subtitle"/>
    <w:basedOn w:val="Normal"/>
    <w:link w:val="SubtitleChar"/>
    <w:qFormat/>
    <w:rsid w:val="00B90539"/>
    <w:rPr>
      <w:rFonts w:ascii="Times New Roman" w:hAnsi="Times New Roman" w:cs="Times New Roman"/>
      <w:b/>
      <w:szCs w:val="20"/>
    </w:rPr>
  </w:style>
  <w:style w:type="character" w:customStyle="1" w:styleId="SubtitleChar">
    <w:name w:val="Subtitle Char"/>
    <w:basedOn w:val="DefaultParagraphFont"/>
    <w:link w:val="Subtitle"/>
    <w:rsid w:val="00B90539"/>
    <w:rPr>
      <w:b/>
      <w:sz w:val="24"/>
    </w:rPr>
  </w:style>
  <w:style w:type="paragraph" w:styleId="FootnoteText">
    <w:name w:val="footnote text"/>
    <w:basedOn w:val="Normal"/>
    <w:link w:val="FootnoteTextChar"/>
    <w:semiHidden/>
    <w:unhideWhenUsed/>
    <w:rsid w:val="006621F6"/>
    <w:rPr>
      <w:sz w:val="20"/>
      <w:szCs w:val="20"/>
    </w:rPr>
  </w:style>
  <w:style w:type="character" w:customStyle="1" w:styleId="FootnoteTextChar">
    <w:name w:val="Footnote Text Char"/>
    <w:basedOn w:val="DefaultParagraphFont"/>
    <w:link w:val="FootnoteText"/>
    <w:semiHidden/>
    <w:rsid w:val="006621F6"/>
    <w:rPr>
      <w:rFonts w:ascii="Calibri" w:hAnsi="Calibri" w:cs="Arial"/>
    </w:rPr>
  </w:style>
  <w:style w:type="character" w:styleId="FootnoteReference">
    <w:name w:val="footnote reference"/>
    <w:basedOn w:val="DefaultParagraphFont"/>
    <w:semiHidden/>
    <w:unhideWhenUsed/>
    <w:rsid w:val="006621F6"/>
    <w:rPr>
      <w:vertAlign w:val="superscript"/>
    </w:rPr>
  </w:style>
  <w:style w:type="paragraph" w:customStyle="1" w:styleId="Default">
    <w:name w:val="Default"/>
    <w:rsid w:val="00AE13F5"/>
    <w:pPr>
      <w:autoSpaceDE w:val="0"/>
      <w:autoSpaceDN w:val="0"/>
      <w:adjustRightInd w:val="0"/>
    </w:pPr>
    <w:rPr>
      <w:rFonts w:ascii="Calibri" w:hAnsi="Calibri" w:cs="Calibri"/>
      <w:color w:val="000000"/>
      <w:sz w:val="24"/>
      <w:szCs w:val="24"/>
    </w:rPr>
  </w:style>
  <w:style w:type="paragraph" w:customStyle="1" w:styleId="2-SectionHeading">
    <w:name w:val="2-Section Heading"/>
    <w:next w:val="3-BodyText"/>
    <w:qFormat/>
    <w:rsid w:val="00E52BFF"/>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link w:val="3-BodyTextChar"/>
    <w:qFormat/>
    <w:rsid w:val="00E52BFF"/>
    <w:pPr>
      <w:spacing w:before="60" w:after="60"/>
      <w:ind w:left="720" w:hanging="720"/>
      <w:jc w:val="both"/>
    </w:pPr>
    <w:rPr>
      <w:rFonts w:asciiTheme="minorHAnsi" w:eastAsiaTheme="minorHAnsi" w:hAnsiTheme="minorHAnsi" w:cstheme="minorBidi"/>
      <w:sz w:val="24"/>
      <w:szCs w:val="22"/>
    </w:rPr>
  </w:style>
  <w:style w:type="character" w:customStyle="1" w:styleId="3-BodyTextChar">
    <w:name w:val="3-Body Text Char"/>
    <w:basedOn w:val="DefaultParagraphFont"/>
    <w:link w:val="3-BodyText"/>
    <w:rsid w:val="00E52BFF"/>
    <w:rPr>
      <w:rFonts w:asciiTheme="minorHAnsi" w:eastAsiaTheme="minorHAnsi" w:hAnsiTheme="minorHAnsi" w:cstheme="minorBidi"/>
      <w:sz w:val="24"/>
      <w:szCs w:val="22"/>
    </w:rPr>
  </w:style>
  <w:style w:type="numbering" w:customStyle="1" w:styleId="Style3">
    <w:name w:val="Style3"/>
    <w:uiPriority w:val="99"/>
    <w:rsid w:val="00E52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0026">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618487349">
      <w:bodyDiv w:val="1"/>
      <w:marLeft w:val="0"/>
      <w:marRight w:val="0"/>
      <w:marTop w:val="0"/>
      <w:marBottom w:val="0"/>
      <w:divBdr>
        <w:top w:val="none" w:sz="0" w:space="0" w:color="auto"/>
        <w:left w:val="none" w:sz="0" w:space="0" w:color="auto"/>
        <w:bottom w:val="none" w:sz="0" w:space="0" w:color="auto"/>
        <w:right w:val="none" w:sz="0" w:space="0" w:color="auto"/>
      </w:divBdr>
    </w:div>
    <w:div w:id="700252478">
      <w:bodyDiv w:val="1"/>
      <w:marLeft w:val="0"/>
      <w:marRight w:val="0"/>
      <w:marTop w:val="0"/>
      <w:marBottom w:val="0"/>
      <w:divBdr>
        <w:top w:val="none" w:sz="0" w:space="0" w:color="auto"/>
        <w:left w:val="none" w:sz="0" w:space="0" w:color="auto"/>
        <w:bottom w:val="none" w:sz="0" w:space="0" w:color="auto"/>
        <w:right w:val="none" w:sz="0" w:space="0" w:color="auto"/>
      </w:divBdr>
    </w:div>
    <w:div w:id="726339265">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20257290">
      <w:bodyDiv w:val="1"/>
      <w:marLeft w:val="0"/>
      <w:marRight w:val="0"/>
      <w:marTop w:val="0"/>
      <w:marBottom w:val="0"/>
      <w:divBdr>
        <w:top w:val="none" w:sz="0" w:space="0" w:color="auto"/>
        <w:left w:val="none" w:sz="0" w:space="0" w:color="auto"/>
        <w:bottom w:val="none" w:sz="0" w:space="0" w:color="auto"/>
        <w:right w:val="none" w:sz="0" w:space="0" w:color="auto"/>
      </w:divBdr>
    </w:div>
    <w:div w:id="990446586">
      <w:bodyDiv w:val="1"/>
      <w:marLeft w:val="0"/>
      <w:marRight w:val="0"/>
      <w:marTop w:val="0"/>
      <w:marBottom w:val="0"/>
      <w:divBdr>
        <w:top w:val="none" w:sz="0" w:space="0" w:color="auto"/>
        <w:left w:val="none" w:sz="0" w:space="0" w:color="auto"/>
        <w:bottom w:val="none" w:sz="0" w:space="0" w:color="auto"/>
        <w:right w:val="none" w:sz="0" w:space="0" w:color="auto"/>
      </w:divBdr>
      <w:divsChild>
        <w:div w:id="217520278">
          <w:marLeft w:val="360"/>
          <w:marRight w:val="0"/>
          <w:marTop w:val="20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4396">
      <w:bodyDiv w:val="1"/>
      <w:marLeft w:val="0"/>
      <w:marRight w:val="0"/>
      <w:marTop w:val="0"/>
      <w:marBottom w:val="0"/>
      <w:divBdr>
        <w:top w:val="none" w:sz="0" w:space="0" w:color="auto"/>
        <w:left w:val="none" w:sz="0" w:space="0" w:color="auto"/>
        <w:bottom w:val="none" w:sz="0" w:space="0" w:color="auto"/>
        <w:right w:val="none" w:sz="0" w:space="0" w:color="auto"/>
      </w:divBdr>
      <w:divsChild>
        <w:div w:id="131364544">
          <w:marLeft w:val="446"/>
          <w:marRight w:val="0"/>
          <w:marTop w:val="0"/>
          <w:marBottom w:val="0"/>
          <w:divBdr>
            <w:top w:val="none" w:sz="0" w:space="0" w:color="auto"/>
            <w:left w:val="none" w:sz="0" w:space="0" w:color="auto"/>
            <w:bottom w:val="none" w:sz="0" w:space="0" w:color="auto"/>
            <w:right w:val="none" w:sz="0" w:space="0" w:color="auto"/>
          </w:divBdr>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47886762">
      <w:bodyDiv w:val="1"/>
      <w:marLeft w:val="0"/>
      <w:marRight w:val="0"/>
      <w:marTop w:val="0"/>
      <w:marBottom w:val="0"/>
      <w:divBdr>
        <w:top w:val="none" w:sz="0" w:space="0" w:color="auto"/>
        <w:left w:val="none" w:sz="0" w:space="0" w:color="auto"/>
        <w:bottom w:val="none" w:sz="0" w:space="0" w:color="auto"/>
        <w:right w:val="none" w:sz="0" w:space="0" w:color="auto"/>
      </w:divBdr>
    </w:div>
    <w:div w:id="1254436498">
      <w:bodyDiv w:val="1"/>
      <w:marLeft w:val="0"/>
      <w:marRight w:val="0"/>
      <w:marTop w:val="0"/>
      <w:marBottom w:val="0"/>
      <w:divBdr>
        <w:top w:val="none" w:sz="0" w:space="0" w:color="auto"/>
        <w:left w:val="none" w:sz="0" w:space="0" w:color="auto"/>
        <w:bottom w:val="none" w:sz="0" w:space="0" w:color="auto"/>
        <w:right w:val="none" w:sz="0" w:space="0" w:color="auto"/>
      </w:divBdr>
    </w:div>
    <w:div w:id="1263612354">
      <w:bodyDiv w:val="1"/>
      <w:marLeft w:val="0"/>
      <w:marRight w:val="0"/>
      <w:marTop w:val="0"/>
      <w:marBottom w:val="0"/>
      <w:divBdr>
        <w:top w:val="none" w:sz="0" w:space="0" w:color="auto"/>
        <w:left w:val="none" w:sz="0" w:space="0" w:color="auto"/>
        <w:bottom w:val="none" w:sz="0" w:space="0" w:color="auto"/>
        <w:right w:val="none" w:sz="0" w:space="0" w:color="auto"/>
      </w:divBdr>
    </w:div>
    <w:div w:id="1269001311">
      <w:bodyDiv w:val="1"/>
      <w:marLeft w:val="0"/>
      <w:marRight w:val="0"/>
      <w:marTop w:val="0"/>
      <w:marBottom w:val="0"/>
      <w:divBdr>
        <w:top w:val="none" w:sz="0" w:space="0" w:color="auto"/>
        <w:left w:val="none" w:sz="0" w:space="0" w:color="auto"/>
        <w:bottom w:val="none" w:sz="0" w:space="0" w:color="auto"/>
        <w:right w:val="none" w:sz="0" w:space="0" w:color="auto"/>
      </w:divBdr>
    </w:div>
    <w:div w:id="1762876026">
      <w:bodyDiv w:val="1"/>
      <w:marLeft w:val="0"/>
      <w:marRight w:val="0"/>
      <w:marTop w:val="0"/>
      <w:marBottom w:val="0"/>
      <w:divBdr>
        <w:top w:val="none" w:sz="0" w:space="0" w:color="auto"/>
        <w:left w:val="none" w:sz="0" w:space="0" w:color="auto"/>
        <w:bottom w:val="none" w:sz="0" w:space="0" w:color="auto"/>
        <w:right w:val="none" w:sz="0" w:space="0" w:color="auto"/>
      </w:divBdr>
      <w:divsChild>
        <w:div w:id="713576750">
          <w:marLeft w:val="547"/>
          <w:marRight w:val="0"/>
          <w:marTop w:val="200"/>
          <w:marBottom w:val="120"/>
          <w:divBdr>
            <w:top w:val="none" w:sz="0" w:space="0" w:color="auto"/>
            <w:left w:val="none" w:sz="0" w:space="0" w:color="auto"/>
            <w:bottom w:val="none" w:sz="0" w:space="0" w:color="auto"/>
            <w:right w:val="none" w:sz="0" w:space="0" w:color="auto"/>
          </w:divBdr>
        </w:div>
      </w:divsChild>
    </w:div>
    <w:div w:id="1888445542">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555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D5A3EF01-CC91-43FF-A5E6-3ADBC65FD311}">
  <ds:schemaRefs>
    <ds:schemaRef ds:uri="http://schemas.microsoft.com/sharepoint/v3/contenttype/forms"/>
  </ds:schemaRefs>
</ds:datastoreItem>
</file>

<file path=customXml/itemProps2.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3.xml><?xml version="1.0" encoding="utf-8"?>
<ds:datastoreItem xmlns:ds="http://schemas.openxmlformats.org/officeDocument/2006/customXml" ds:itemID="{4FE0824F-E1C3-499B-9926-2F661F44E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41091D-8AC1-471A-A1A6-53040A05D41E}">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15447</Words>
  <Characters>88054</Characters>
  <Application>Microsoft Office Word</Application>
  <DocSecurity>0</DocSecurity>
  <Lines>733</Lines>
  <Paragraphs>206</Paragraphs>
  <ScaleCrop>false</ScaleCrop>
  <Company/>
  <LinksUpToDate>false</LinksUpToDate>
  <CharactersWithSpaces>103295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2025-08-26T08:40:00Z</dcterms:created>
  <dcterms:modified xsi:type="dcterms:W3CDTF">2025-08-27T23:51:00Z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43159825,29768422,9047e5c</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5c95b80b,85075aa,42ffc8b</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2025-08-26T08:41:20Z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10a69173-7810-4894-adf4-0da55450a24e</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y fmtid="{D5CDD505-2E9C-101B-9397-08002B2CF9AE}" pid="16" name="MediaServiceImageTags">
    <vt:lpwstr/>
  </property>
  <property fmtid="{D5CDD505-2E9C-101B-9397-08002B2CF9AE}" pid="17" name="ContentTypeId">
    <vt:lpwstr>0x0101007FED174C5281F747A8037A05221D6DBD</vt:lpwstr>
  </property>
</Properties>
</file>